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D6432" w:rsidRPr="00071A28" w:rsidP="00E94C08" w14:paraId="08A2CBC9" w14:textId="5590793D">
      <w:pPr>
        <w:jc w:val="center"/>
        <w:rPr>
          <w:b/>
          <w:bCs/>
          <w:caps/>
          <w:szCs w:val="22"/>
        </w:rPr>
      </w:pPr>
      <w:r w:rsidRPr="00071A28">
        <w:rPr>
          <w:b/>
          <w:bCs/>
          <w:caps/>
          <w:szCs w:val="22"/>
        </w:rPr>
        <w:t>STATEMENT OF</w:t>
      </w:r>
    </w:p>
    <w:p w:rsidR="00D1457E" w:rsidRPr="00071A28" w:rsidP="00E94C08" w14:paraId="0E8B0514" w14:textId="6870A3C7">
      <w:pPr>
        <w:jc w:val="center"/>
        <w:rPr>
          <w:b/>
          <w:bCs/>
          <w:caps/>
          <w:szCs w:val="22"/>
        </w:rPr>
      </w:pPr>
      <w:r w:rsidRPr="00071A28">
        <w:rPr>
          <w:b/>
          <w:bCs/>
          <w:caps/>
          <w:szCs w:val="22"/>
        </w:rPr>
        <w:t>COMMISSIONER GEOFFREY STARKS</w:t>
      </w:r>
    </w:p>
    <w:p w:rsidR="009A574D" w:rsidRPr="00071A28" w:rsidP="00E94C08" w14:paraId="7F6D0528" w14:textId="725F1BD7">
      <w:pPr>
        <w:jc w:val="center"/>
        <w:rPr>
          <w:b/>
          <w:bCs/>
          <w:caps/>
          <w:szCs w:val="22"/>
        </w:rPr>
      </w:pPr>
      <w:r w:rsidRPr="00071A28">
        <w:rPr>
          <w:b/>
          <w:bCs/>
          <w:caps/>
          <w:szCs w:val="22"/>
        </w:rPr>
        <w:t xml:space="preserve">approving in part and </w:t>
      </w:r>
      <w:r w:rsidRPr="00071A28" w:rsidR="000D6432">
        <w:rPr>
          <w:b/>
          <w:bCs/>
          <w:caps/>
          <w:szCs w:val="22"/>
        </w:rPr>
        <w:t>dissenting</w:t>
      </w:r>
      <w:r w:rsidRPr="00071A28">
        <w:rPr>
          <w:b/>
          <w:bCs/>
          <w:caps/>
          <w:szCs w:val="22"/>
        </w:rPr>
        <w:t xml:space="preserve"> in part</w:t>
      </w:r>
    </w:p>
    <w:p w:rsidR="00D1457E" w:rsidRPr="005D044D" w:rsidP="00E94C08" w14:paraId="549AFE0C" w14:textId="77777777">
      <w:pPr>
        <w:jc w:val="center"/>
        <w:rPr>
          <w:b/>
          <w:bCs/>
          <w:caps/>
          <w:sz w:val="24"/>
          <w:szCs w:val="24"/>
        </w:rPr>
      </w:pPr>
    </w:p>
    <w:p w:rsidR="004C6688" w:rsidRPr="00071A28" w:rsidP="00E94C08" w14:paraId="03B2088F" w14:textId="2C0CD990">
      <w:pPr>
        <w:ind w:left="720" w:hanging="720"/>
        <w:rPr>
          <w:i/>
          <w:szCs w:val="22"/>
        </w:rPr>
      </w:pPr>
      <w:r w:rsidRPr="00071A28">
        <w:rPr>
          <w:szCs w:val="22"/>
        </w:rPr>
        <w:t xml:space="preserve">Re: </w:t>
      </w:r>
      <w:r w:rsidRPr="00071A28">
        <w:rPr>
          <w:szCs w:val="22"/>
        </w:rPr>
        <w:tab/>
      </w:r>
      <w:r w:rsidRPr="00071A28" w:rsidR="00071A28">
        <w:rPr>
          <w:bCs/>
          <w:i/>
          <w:iCs/>
          <w:szCs w:val="22"/>
        </w:rPr>
        <w:t>Establishing a 5G Fund for Rural America</w:t>
      </w:r>
      <w:r w:rsidRPr="00071A28" w:rsidR="00071A28">
        <w:rPr>
          <w:bCs/>
          <w:szCs w:val="22"/>
        </w:rPr>
        <w:t>, GN Docket No. 20-32</w:t>
      </w:r>
    </w:p>
    <w:p w:rsidR="004C6688" w:rsidRPr="00071A28" w:rsidP="00E94C08" w14:paraId="680A98E5" w14:textId="77777777">
      <w:pPr>
        <w:ind w:left="720" w:hanging="720"/>
        <w:rPr>
          <w:i/>
          <w:szCs w:val="22"/>
        </w:rPr>
      </w:pPr>
    </w:p>
    <w:p w:rsidR="005D044D" w:rsidRPr="00071A28" w:rsidP="009C7319" w14:paraId="28A02324" w14:textId="09D72C6E">
      <w:pPr>
        <w:ind w:firstLine="720"/>
        <w:rPr>
          <w:color w:val="000000" w:themeColor="text1"/>
          <w:szCs w:val="22"/>
        </w:rPr>
      </w:pPr>
      <w:r w:rsidRPr="00071A28">
        <w:rPr>
          <w:szCs w:val="22"/>
        </w:rPr>
        <w:t>This year, o</w:t>
      </w:r>
      <w:r w:rsidRPr="00071A28">
        <w:rPr>
          <w:szCs w:val="22"/>
        </w:rPr>
        <w:t xml:space="preserve">ur country </w:t>
      </w:r>
      <w:r w:rsidRPr="00071A28">
        <w:rPr>
          <w:szCs w:val="22"/>
        </w:rPr>
        <w:t xml:space="preserve">has </w:t>
      </w:r>
      <w:r w:rsidRPr="00071A28">
        <w:rPr>
          <w:szCs w:val="22"/>
        </w:rPr>
        <w:t>face</w:t>
      </w:r>
      <w:r w:rsidRPr="00071A28">
        <w:rPr>
          <w:szCs w:val="22"/>
        </w:rPr>
        <w:t>d</w:t>
      </w:r>
      <w:r w:rsidRPr="00071A28">
        <w:rPr>
          <w:szCs w:val="22"/>
        </w:rPr>
        <w:t xml:space="preserve"> unprecedented challenges on multiple fronts.  The COVID-19 pandemic brought into sharp relief </w:t>
      </w:r>
      <w:r w:rsidRPr="00071A28">
        <w:rPr>
          <w:color w:val="000000" w:themeColor="text1"/>
          <w:szCs w:val="22"/>
        </w:rPr>
        <w:t xml:space="preserve">a host of problems that </w:t>
      </w:r>
      <w:bookmarkStart w:id="0" w:name="_Hlk53406295"/>
      <w:r w:rsidRPr="00071A28">
        <w:rPr>
          <w:color w:val="000000" w:themeColor="text1"/>
          <w:szCs w:val="22"/>
        </w:rPr>
        <w:t>are</w:t>
      </w:r>
      <w:r w:rsidRPr="00071A28" w:rsidR="001540E7">
        <w:rPr>
          <w:color w:val="000000" w:themeColor="text1"/>
          <w:szCs w:val="22"/>
        </w:rPr>
        <w:t>, at their core,</w:t>
      </w:r>
      <w:r w:rsidRPr="00071A28">
        <w:rPr>
          <w:color w:val="000000" w:themeColor="text1"/>
          <w:szCs w:val="22"/>
        </w:rPr>
        <w:t xml:space="preserve"> about </w:t>
      </w:r>
      <w:r w:rsidRPr="00071A28">
        <w:rPr>
          <w:szCs w:val="22"/>
        </w:rPr>
        <w:t>fairness</w:t>
      </w:r>
      <w:bookmarkEnd w:id="0"/>
      <w:r w:rsidRPr="00071A28">
        <w:rPr>
          <w:szCs w:val="22"/>
        </w:rPr>
        <w:t xml:space="preserve">—issues </w:t>
      </w:r>
      <w:r w:rsidRPr="00071A28">
        <w:rPr>
          <w:color w:val="000000" w:themeColor="text1"/>
          <w:szCs w:val="22"/>
        </w:rPr>
        <w:t xml:space="preserve">of racial justice, economic security, and the digital divide, among others.  </w:t>
      </w:r>
      <w:r w:rsidRPr="00071A28" w:rsidR="00741652">
        <w:rPr>
          <w:color w:val="000000" w:themeColor="text1"/>
          <w:szCs w:val="22"/>
        </w:rPr>
        <w:t xml:space="preserve">In response to the pandemic, Americans are relying on their wireless devices more than ever for everything from connections to work and school to </w:t>
      </w:r>
      <w:r w:rsidRPr="00071A28" w:rsidR="00C25AB9">
        <w:rPr>
          <w:color w:val="000000" w:themeColor="text1"/>
          <w:szCs w:val="22"/>
        </w:rPr>
        <w:t xml:space="preserve">telehealth </w:t>
      </w:r>
      <w:r w:rsidRPr="00071A28" w:rsidR="00741652">
        <w:rPr>
          <w:color w:val="000000" w:themeColor="text1"/>
          <w:szCs w:val="22"/>
        </w:rPr>
        <w:t xml:space="preserve">applications.  </w:t>
      </w:r>
      <w:r w:rsidRPr="00071A28" w:rsidR="00FD52E2">
        <w:rPr>
          <w:color w:val="000000" w:themeColor="text1"/>
          <w:szCs w:val="22"/>
        </w:rPr>
        <w:t>They’re also</w:t>
      </w:r>
      <w:r w:rsidRPr="00071A28">
        <w:rPr>
          <w:color w:val="000000" w:themeColor="text1"/>
          <w:szCs w:val="22"/>
        </w:rPr>
        <w:t xml:space="preserve"> using their smartphones to document both injustice and inspiration.  </w:t>
      </w:r>
      <w:r w:rsidRPr="00071A28" w:rsidR="00EA59C1">
        <w:rPr>
          <w:szCs w:val="22"/>
        </w:rPr>
        <w:t>M</w:t>
      </w:r>
      <w:r w:rsidRPr="00071A28">
        <w:rPr>
          <w:szCs w:val="22"/>
        </w:rPr>
        <w:t>odern wireless technology that has served as a powerful tool for building movements</w:t>
      </w:r>
      <w:r w:rsidRPr="00071A28" w:rsidR="009C7319">
        <w:rPr>
          <w:szCs w:val="22"/>
        </w:rPr>
        <w:t xml:space="preserve"> that are changing our country.</w:t>
      </w:r>
      <w:r w:rsidRPr="00071A28">
        <w:rPr>
          <w:szCs w:val="22"/>
        </w:rPr>
        <w:t xml:space="preserve"> </w:t>
      </w:r>
    </w:p>
    <w:p w:rsidR="009C7319" w:rsidRPr="00071A28" w:rsidP="005D044D" w14:paraId="0D2D1C58" w14:textId="77777777">
      <w:pPr>
        <w:ind w:firstLine="720"/>
        <w:rPr>
          <w:szCs w:val="22"/>
        </w:rPr>
      </w:pPr>
    </w:p>
    <w:p w:rsidR="005D044D" w:rsidRPr="00071A28" w:rsidP="00430DC1" w14:paraId="757D3220" w14:textId="1ED025AB">
      <w:pPr>
        <w:ind w:firstLine="720"/>
        <w:rPr>
          <w:color w:val="000000" w:themeColor="text1"/>
          <w:szCs w:val="22"/>
        </w:rPr>
      </w:pPr>
      <w:r w:rsidRPr="00071A28">
        <w:rPr>
          <w:szCs w:val="22"/>
        </w:rPr>
        <w:t>These event</w:t>
      </w:r>
      <w:r w:rsidRPr="00071A28" w:rsidR="006F13A4">
        <w:rPr>
          <w:szCs w:val="22"/>
        </w:rPr>
        <w:t>s</w:t>
      </w:r>
      <w:r w:rsidRPr="00071A28">
        <w:rPr>
          <w:szCs w:val="22"/>
        </w:rPr>
        <w:t xml:space="preserve"> should leave no doubt that</w:t>
      </w:r>
      <w:r w:rsidRPr="00071A28">
        <w:rPr>
          <w:color w:val="000000" w:themeColor="text1"/>
          <w:szCs w:val="22"/>
        </w:rPr>
        <w:t xml:space="preserve"> full pa</w:t>
      </w:r>
      <w:bookmarkStart w:id="1" w:name="_GoBack"/>
      <w:bookmarkEnd w:id="1"/>
      <w:r w:rsidRPr="00071A28">
        <w:rPr>
          <w:color w:val="000000" w:themeColor="text1"/>
          <w:szCs w:val="22"/>
        </w:rPr>
        <w:t>rticipation in civil society requires an internet connection.  That’s why we must do more to make high-quality affordable broadband, including 5G wireless service</w:t>
      </w:r>
      <w:r w:rsidRPr="00071A28" w:rsidR="00352837">
        <w:rPr>
          <w:color w:val="000000" w:themeColor="text1"/>
          <w:szCs w:val="22"/>
        </w:rPr>
        <w:t>,</w:t>
      </w:r>
      <w:r w:rsidRPr="00071A28">
        <w:rPr>
          <w:color w:val="000000" w:themeColor="text1"/>
          <w:szCs w:val="22"/>
        </w:rPr>
        <w:t xml:space="preserve"> available to everyone.  Our </w:t>
      </w:r>
      <w:r w:rsidRPr="00071A28" w:rsidR="006F13A4">
        <w:rPr>
          <w:color w:val="000000" w:themeColor="text1"/>
          <w:szCs w:val="22"/>
        </w:rPr>
        <w:t xml:space="preserve">nation’s </w:t>
      </w:r>
      <w:r w:rsidRPr="00071A28">
        <w:rPr>
          <w:color w:val="000000" w:themeColor="text1"/>
          <w:szCs w:val="22"/>
        </w:rPr>
        <w:t xml:space="preserve">5G success will rely on smart policy decision and industry execution. </w:t>
      </w:r>
      <w:r w:rsidRPr="00071A28" w:rsidR="00430DC1">
        <w:rPr>
          <w:color w:val="000000" w:themeColor="text1"/>
          <w:szCs w:val="22"/>
        </w:rPr>
        <w:t xml:space="preserve"> </w:t>
      </w:r>
      <w:r w:rsidRPr="00071A28">
        <w:rPr>
          <w:rFonts w:asciiTheme="minorBidi" w:hAnsiTheme="minorBidi"/>
          <w:szCs w:val="22"/>
        </w:rPr>
        <w:t xml:space="preserve">I’ve seen the great work that the wireless industry has done throughout the pandemic, </w:t>
      </w:r>
      <w:r w:rsidRPr="00071A28" w:rsidR="00430DC1">
        <w:rPr>
          <w:rFonts w:asciiTheme="minorBidi" w:hAnsiTheme="minorBidi"/>
          <w:szCs w:val="22"/>
        </w:rPr>
        <w:t xml:space="preserve">and </w:t>
      </w:r>
      <w:r w:rsidRPr="00071A28">
        <w:rPr>
          <w:rFonts w:asciiTheme="minorBidi" w:hAnsiTheme="minorBidi"/>
          <w:szCs w:val="22"/>
        </w:rPr>
        <w:t>I recently announced the first group of honorees for my Digital Opportunity Equity Recognition (or DOER) program, which seeks to acknowledge the efforts of individuals, organizations</w:t>
      </w:r>
      <w:r w:rsidRPr="00071A28" w:rsidR="00DC6DF9">
        <w:rPr>
          <w:rFonts w:asciiTheme="minorBidi" w:hAnsiTheme="minorBidi"/>
          <w:szCs w:val="22"/>
        </w:rPr>
        <w:t>,</w:t>
      </w:r>
      <w:r w:rsidRPr="00071A28">
        <w:rPr>
          <w:rFonts w:asciiTheme="minorBidi" w:hAnsiTheme="minorBidi"/>
          <w:szCs w:val="22"/>
        </w:rPr>
        <w:t xml:space="preserve"> and companies seeking to close the digital divide in communities without access to affordable, reliable broadband.  Those honorees include several wireless representatives who are working hard to </w:t>
      </w:r>
      <w:r w:rsidRPr="00071A28">
        <w:rPr>
          <w:color w:val="000000" w:themeColor="text1"/>
          <w:szCs w:val="22"/>
        </w:rPr>
        <w:t>ensure that no one gets left offline</w:t>
      </w:r>
      <w:r w:rsidRPr="00071A28">
        <w:rPr>
          <w:rFonts w:asciiTheme="minorBidi" w:hAnsiTheme="minorBidi"/>
          <w:szCs w:val="22"/>
        </w:rPr>
        <w:t xml:space="preserve"> during </w:t>
      </w:r>
      <w:r w:rsidRPr="00071A28">
        <w:rPr>
          <w:color w:val="000000" w:themeColor="text1"/>
          <w:szCs w:val="22"/>
        </w:rPr>
        <w:t xml:space="preserve">this crisis.  </w:t>
      </w:r>
      <w:r w:rsidRPr="00071A28" w:rsidR="000116B0">
        <w:rPr>
          <w:rFonts w:asciiTheme="minorBidi" w:hAnsiTheme="minorBidi"/>
          <w:szCs w:val="22"/>
        </w:rPr>
        <w:t>They include</w:t>
      </w:r>
      <w:r w:rsidRPr="00071A28">
        <w:rPr>
          <w:color w:val="000000" w:themeColor="text1"/>
          <w:szCs w:val="22"/>
        </w:rPr>
        <w:t xml:space="preserve"> </w:t>
      </w:r>
      <w:r w:rsidRPr="00071A28" w:rsidR="00670454">
        <w:rPr>
          <w:color w:val="000000" w:themeColor="text1"/>
          <w:szCs w:val="22"/>
        </w:rPr>
        <w:t xml:space="preserve">wireless or rural tribal providers like </w:t>
      </w:r>
      <w:r w:rsidRPr="00071A28" w:rsidR="0076683D">
        <w:rPr>
          <w:color w:val="000000" w:themeColor="text1"/>
          <w:szCs w:val="22"/>
        </w:rPr>
        <w:t>NISHNANET in Iowa, NTUA Wireless for the Nava</w:t>
      </w:r>
      <w:r w:rsidRPr="00071A28" w:rsidR="00662409">
        <w:rPr>
          <w:color w:val="000000" w:themeColor="text1"/>
          <w:szCs w:val="22"/>
        </w:rPr>
        <w:t>j</w:t>
      </w:r>
      <w:r w:rsidRPr="00071A28" w:rsidR="0076683D">
        <w:rPr>
          <w:color w:val="000000" w:themeColor="text1"/>
          <w:szCs w:val="22"/>
        </w:rPr>
        <w:t>o Nation, and Triad Wireless in Arizon</w:t>
      </w:r>
      <w:r w:rsidRPr="00071A28" w:rsidR="00A14628">
        <w:rPr>
          <w:color w:val="000000" w:themeColor="text1"/>
          <w:szCs w:val="22"/>
        </w:rPr>
        <w:t>a, as well as</w:t>
      </w:r>
      <w:r w:rsidRPr="00071A28" w:rsidR="0076683D">
        <w:rPr>
          <w:color w:val="000000" w:themeColor="text1"/>
          <w:szCs w:val="22"/>
        </w:rPr>
        <w:t xml:space="preserve"> </w:t>
      </w:r>
      <w:r w:rsidRPr="00071A28" w:rsidR="00B2280E">
        <w:rPr>
          <w:color w:val="000000" w:themeColor="text1"/>
          <w:szCs w:val="22"/>
        </w:rPr>
        <w:t xml:space="preserve">Dr. </w:t>
      </w:r>
      <w:r w:rsidRPr="00071A28">
        <w:rPr>
          <w:color w:val="000000" w:themeColor="text1"/>
          <w:szCs w:val="22"/>
        </w:rPr>
        <w:t>Kiesha Taylor, the National Education Administrator for T-Mobile for Education</w:t>
      </w:r>
      <w:r w:rsidRPr="00071A28" w:rsidR="00A14628">
        <w:rPr>
          <w:color w:val="000000" w:themeColor="text1"/>
          <w:szCs w:val="22"/>
        </w:rPr>
        <w:t xml:space="preserve">.  </w:t>
      </w:r>
    </w:p>
    <w:p w:rsidR="00323D59" w:rsidRPr="00071A28" w:rsidP="005D044D" w14:paraId="4DCFD60D" w14:textId="77777777">
      <w:pPr>
        <w:ind w:firstLine="720"/>
        <w:rPr>
          <w:color w:val="000000" w:themeColor="text1"/>
          <w:szCs w:val="22"/>
        </w:rPr>
      </w:pPr>
    </w:p>
    <w:p w:rsidR="005D044D" w:rsidRPr="00071A28" w:rsidP="00A92BF8" w14:paraId="1106EBAA" w14:textId="28BA2305">
      <w:pPr>
        <w:ind w:firstLine="720"/>
        <w:rPr>
          <w:color w:val="000000" w:themeColor="text1"/>
          <w:szCs w:val="22"/>
        </w:rPr>
      </w:pPr>
      <w:r w:rsidRPr="00071A28">
        <w:rPr>
          <w:color w:val="000000" w:themeColor="text1"/>
          <w:szCs w:val="22"/>
        </w:rPr>
        <w:t xml:space="preserve">This is great work, but much </w:t>
      </w:r>
      <w:r w:rsidRPr="00071A28" w:rsidR="00584F25">
        <w:rPr>
          <w:color w:val="000000" w:themeColor="text1"/>
          <w:szCs w:val="22"/>
        </w:rPr>
        <w:t>is required</w:t>
      </w:r>
      <w:r w:rsidRPr="00071A28">
        <w:rPr>
          <w:color w:val="000000" w:themeColor="text1"/>
          <w:szCs w:val="22"/>
        </w:rPr>
        <w:t xml:space="preserve"> to ensure that everyone shares in the benefits of advanced wireless service.  According to the Pew Research Center, a disproportionate number of Black and Latinx Americans rely solely on their mobile devices to connect to the internet.  Even before 2020, mobile phones were the only way many in these communities could access online education, health care, and employment.  5G must reach these wireless-only households.  They share the ubiquitous need to access the most innovative telehealth treatments, participate in sophisticated distance learning from the kitchen table or the city bus, and be as productive working from home as from the office.  Every American deserves the opportunity to participate in the 5G revolution, even if they don’t live in the wealthiest </w:t>
      </w:r>
      <w:r w:rsidRPr="00071A28" w:rsidR="000973CF">
        <w:rPr>
          <w:color w:val="000000" w:themeColor="text1"/>
          <w:szCs w:val="22"/>
        </w:rPr>
        <w:t>neighborhoods</w:t>
      </w:r>
      <w:r w:rsidRPr="00071A28">
        <w:rPr>
          <w:color w:val="000000" w:themeColor="text1"/>
          <w:szCs w:val="22"/>
        </w:rPr>
        <w:t xml:space="preserve">.  We otherwise risk devolving into two Americas: one in which those with much get even more, another that is stuck in the past and falling further behind every year.  </w:t>
      </w:r>
    </w:p>
    <w:p w:rsidR="00A92BF8" w:rsidRPr="00071A28" w:rsidP="00A92BF8" w14:paraId="030F0F46" w14:textId="77777777">
      <w:pPr>
        <w:ind w:firstLine="720"/>
        <w:rPr>
          <w:color w:val="000000" w:themeColor="text1"/>
          <w:szCs w:val="22"/>
        </w:rPr>
      </w:pPr>
    </w:p>
    <w:p w:rsidR="009A3B32" w:rsidRPr="00071A28" w:rsidP="00E94C08" w14:paraId="4C4D861A" w14:textId="4FAF2A4A">
      <w:pPr>
        <w:ind w:firstLine="720"/>
        <w:rPr>
          <w:szCs w:val="22"/>
        </w:rPr>
      </w:pPr>
      <w:r w:rsidRPr="00071A28">
        <w:rPr>
          <w:szCs w:val="22"/>
        </w:rPr>
        <w:t xml:space="preserve">With stakes this high, </w:t>
      </w:r>
      <w:r w:rsidRPr="00071A28" w:rsidR="006A0696">
        <w:rPr>
          <w:szCs w:val="22"/>
        </w:rPr>
        <w:t xml:space="preserve">it’s important that </w:t>
      </w:r>
      <w:r w:rsidRPr="00071A28" w:rsidR="0016440F">
        <w:rPr>
          <w:szCs w:val="22"/>
        </w:rPr>
        <w:t xml:space="preserve">we get </w:t>
      </w:r>
      <w:r w:rsidRPr="00071A28" w:rsidR="0016440F">
        <w:rPr>
          <w:szCs w:val="22"/>
        </w:rPr>
        <w:t>every last</w:t>
      </w:r>
      <w:r w:rsidRPr="00071A28" w:rsidR="0016440F">
        <w:rPr>
          <w:szCs w:val="22"/>
        </w:rPr>
        <w:t xml:space="preserve"> drop out of our Universal Service dollars</w:t>
      </w:r>
      <w:r w:rsidRPr="00071A28" w:rsidR="005353CE">
        <w:rPr>
          <w:szCs w:val="22"/>
        </w:rPr>
        <w:t xml:space="preserve">.  </w:t>
      </w:r>
      <w:r w:rsidRPr="00071A28" w:rsidR="002368CA">
        <w:rPr>
          <w:szCs w:val="22"/>
        </w:rPr>
        <w:t xml:space="preserve">That starts with gathering adequate data that </w:t>
      </w:r>
      <w:r w:rsidRPr="00071A28" w:rsidR="00E93AC6">
        <w:rPr>
          <w:szCs w:val="22"/>
        </w:rPr>
        <w:t xml:space="preserve">will </w:t>
      </w:r>
      <w:r w:rsidRPr="00071A28" w:rsidR="002368CA">
        <w:rPr>
          <w:szCs w:val="22"/>
        </w:rPr>
        <w:t xml:space="preserve">allow us to really understand the problem.  </w:t>
      </w:r>
      <w:r w:rsidRPr="00071A28" w:rsidR="00420206">
        <w:rPr>
          <w:szCs w:val="22"/>
        </w:rPr>
        <w:t>As the Mo</w:t>
      </w:r>
      <w:r w:rsidRPr="00071A28" w:rsidR="00AA553F">
        <w:rPr>
          <w:szCs w:val="22"/>
        </w:rPr>
        <w:t xml:space="preserve">bility Fund Phase II staff report released last year made plain, </w:t>
      </w:r>
      <w:r w:rsidRPr="00071A28" w:rsidR="00F56C48">
        <w:rPr>
          <w:szCs w:val="22"/>
        </w:rPr>
        <w:t xml:space="preserve">the </w:t>
      </w:r>
      <w:r w:rsidRPr="00071A28" w:rsidR="00AA553F">
        <w:rPr>
          <w:szCs w:val="22"/>
        </w:rPr>
        <w:t xml:space="preserve">widespread </w:t>
      </w:r>
      <w:r w:rsidRPr="00071A28" w:rsidR="00182618">
        <w:rPr>
          <w:szCs w:val="22"/>
        </w:rPr>
        <w:t xml:space="preserve">skepticism about our current data </w:t>
      </w:r>
      <w:r w:rsidRPr="00071A28" w:rsidR="00B77E08">
        <w:rPr>
          <w:szCs w:val="22"/>
        </w:rPr>
        <w:t>is justifi</w:t>
      </w:r>
      <w:r w:rsidRPr="00071A28" w:rsidR="00121978">
        <w:rPr>
          <w:szCs w:val="22"/>
        </w:rPr>
        <w:t>ed</w:t>
      </w:r>
      <w:r w:rsidRPr="00071A28" w:rsidR="00E726F1">
        <w:rPr>
          <w:szCs w:val="22"/>
        </w:rPr>
        <w:t xml:space="preserve">.  </w:t>
      </w:r>
    </w:p>
    <w:p w:rsidR="000C0F5A" w:rsidRPr="00071A28" w:rsidP="00E94C08" w14:paraId="0AA6C146" w14:textId="3A5160A3">
      <w:pPr>
        <w:ind w:firstLine="720"/>
        <w:rPr>
          <w:szCs w:val="22"/>
        </w:rPr>
      </w:pPr>
    </w:p>
    <w:p w:rsidR="00675E82" w:rsidRPr="00071A28" w:rsidP="00E94C08" w14:paraId="4958BCC9" w14:textId="77777777">
      <w:pPr>
        <w:ind w:firstLine="720"/>
        <w:rPr>
          <w:szCs w:val="22"/>
        </w:rPr>
      </w:pPr>
      <w:r w:rsidRPr="00071A28">
        <w:rPr>
          <w:szCs w:val="22"/>
        </w:rPr>
        <w:br w:type="page"/>
      </w:r>
    </w:p>
    <w:p w:rsidR="00CD034B" w:rsidRPr="00071A28" w:rsidP="00E94C08" w14:paraId="1675E723" w14:textId="16BC1AB1">
      <w:pPr>
        <w:ind w:firstLine="720"/>
        <w:rPr>
          <w:szCs w:val="22"/>
        </w:rPr>
      </w:pPr>
      <w:r w:rsidRPr="00071A28">
        <w:rPr>
          <w:szCs w:val="22"/>
        </w:rPr>
        <w:t>Earlier this year</w:t>
      </w:r>
      <w:r w:rsidRPr="00071A28" w:rsidR="00AC3B2E">
        <w:rPr>
          <w:szCs w:val="22"/>
        </w:rPr>
        <w:t xml:space="preserve">, </w:t>
      </w:r>
      <w:r w:rsidRPr="00071A28" w:rsidR="0088743D">
        <w:rPr>
          <w:szCs w:val="22"/>
        </w:rPr>
        <w:t>I argued that Option A—</w:t>
      </w:r>
      <w:r w:rsidRPr="00071A28" w:rsidR="004266A4">
        <w:rPr>
          <w:szCs w:val="22"/>
        </w:rPr>
        <w:t>under which we would target this funding without first developin</w:t>
      </w:r>
      <w:r w:rsidRPr="00071A28" w:rsidR="00AD43E3">
        <w:rPr>
          <w:szCs w:val="22"/>
        </w:rPr>
        <w:t>g the new coverage maps Congress ordered us to develop—</w:t>
      </w:r>
      <w:r w:rsidRPr="00071A28" w:rsidR="00FB1A4D">
        <w:rPr>
          <w:szCs w:val="22"/>
        </w:rPr>
        <w:t xml:space="preserve">was so </w:t>
      </w:r>
      <w:r w:rsidRPr="00071A28" w:rsidR="007F4290">
        <w:rPr>
          <w:szCs w:val="22"/>
        </w:rPr>
        <w:t xml:space="preserve">flawed </w:t>
      </w:r>
      <w:r w:rsidRPr="00071A28" w:rsidR="007C3049">
        <w:rPr>
          <w:szCs w:val="22"/>
        </w:rPr>
        <w:t xml:space="preserve">and </w:t>
      </w:r>
      <w:r w:rsidRPr="00071A28" w:rsidR="007F4290">
        <w:rPr>
          <w:szCs w:val="22"/>
        </w:rPr>
        <w:t xml:space="preserve">unsound </w:t>
      </w:r>
      <w:r w:rsidRPr="00071A28" w:rsidR="007C3049">
        <w:rPr>
          <w:szCs w:val="22"/>
        </w:rPr>
        <w:t xml:space="preserve">that </w:t>
      </w:r>
      <w:r w:rsidRPr="00071A28" w:rsidR="001F703D">
        <w:rPr>
          <w:szCs w:val="22"/>
        </w:rPr>
        <w:t xml:space="preserve">it didn’t </w:t>
      </w:r>
      <w:r w:rsidRPr="00071A28" w:rsidR="007F4290">
        <w:rPr>
          <w:szCs w:val="22"/>
        </w:rPr>
        <w:t xml:space="preserve">even </w:t>
      </w:r>
      <w:r w:rsidRPr="00071A28" w:rsidR="001F703D">
        <w:rPr>
          <w:szCs w:val="22"/>
        </w:rPr>
        <w:t>belong</w:t>
      </w:r>
      <w:r w:rsidRPr="00071A28" w:rsidR="00321E6A">
        <w:rPr>
          <w:szCs w:val="22"/>
        </w:rPr>
        <w:t xml:space="preserve"> in the </w:t>
      </w:r>
      <w:r w:rsidRPr="00071A28" w:rsidR="00507C2A">
        <w:rPr>
          <w:i/>
          <w:iCs/>
          <w:szCs w:val="22"/>
        </w:rPr>
        <w:t>Notice of Proposed Rulemaking</w:t>
      </w:r>
      <w:r w:rsidRPr="00071A28" w:rsidR="001F703D">
        <w:rPr>
          <w:i/>
          <w:iCs/>
          <w:szCs w:val="22"/>
        </w:rPr>
        <w:t>.</w:t>
      </w:r>
      <w:r w:rsidRPr="00071A28" w:rsidR="001F703D">
        <w:rPr>
          <w:szCs w:val="22"/>
        </w:rPr>
        <w:t xml:space="preserve">  </w:t>
      </w:r>
      <w:r w:rsidRPr="00071A28" w:rsidR="00ED3F0F">
        <w:rPr>
          <w:szCs w:val="22"/>
        </w:rPr>
        <w:t xml:space="preserve">I’m not surprised, then, that commenters overwhelmingly rejected that proposal. </w:t>
      </w:r>
      <w:r w:rsidRPr="00071A28" w:rsidR="00CD1FC1">
        <w:rPr>
          <w:szCs w:val="22"/>
        </w:rPr>
        <w:t xml:space="preserve"> </w:t>
      </w:r>
      <w:r w:rsidRPr="00071A28" w:rsidR="00797333">
        <w:rPr>
          <w:szCs w:val="22"/>
        </w:rPr>
        <w:t xml:space="preserve">Making long-term funding decisions </w:t>
      </w:r>
      <w:r w:rsidRPr="00071A28" w:rsidR="00E6168E">
        <w:rPr>
          <w:szCs w:val="22"/>
        </w:rPr>
        <w:t xml:space="preserve">based on </w:t>
      </w:r>
      <w:r w:rsidRPr="00071A28" w:rsidR="003B70F6">
        <w:rPr>
          <w:szCs w:val="22"/>
        </w:rPr>
        <w:t xml:space="preserve">deeply flawed </w:t>
      </w:r>
      <w:r w:rsidRPr="00071A28" w:rsidR="00D332C2">
        <w:rPr>
          <w:szCs w:val="22"/>
        </w:rPr>
        <w:t>maps and data</w:t>
      </w:r>
      <w:r w:rsidRPr="00071A28" w:rsidR="005B6EA2">
        <w:rPr>
          <w:szCs w:val="22"/>
        </w:rPr>
        <w:t xml:space="preserve"> would extend and </w:t>
      </w:r>
      <w:r w:rsidRPr="00071A28" w:rsidR="001F194A">
        <w:rPr>
          <w:szCs w:val="22"/>
        </w:rPr>
        <w:t xml:space="preserve">deepen the </w:t>
      </w:r>
      <w:r w:rsidRPr="00071A28" w:rsidR="00012C38">
        <w:rPr>
          <w:szCs w:val="22"/>
        </w:rPr>
        <w:t xml:space="preserve">problems that have </w:t>
      </w:r>
      <w:r w:rsidRPr="00071A28" w:rsidR="00684B53">
        <w:rPr>
          <w:szCs w:val="22"/>
        </w:rPr>
        <w:t>interfered with</w:t>
      </w:r>
      <w:r w:rsidRPr="00071A28" w:rsidR="0021193F">
        <w:rPr>
          <w:szCs w:val="22"/>
        </w:rPr>
        <w:t xml:space="preserve"> efforts to close the digital divide for too long.  </w:t>
      </w:r>
      <w:r w:rsidRPr="00071A28" w:rsidR="005A05FD">
        <w:rPr>
          <w:szCs w:val="22"/>
        </w:rPr>
        <w:t xml:space="preserve">I agree with </w:t>
      </w:r>
      <w:r w:rsidRPr="00071A28" w:rsidR="00FA5EB2">
        <w:rPr>
          <w:szCs w:val="22"/>
        </w:rPr>
        <w:t>the conclusion in today’s decision that “</w:t>
      </w:r>
      <w:r w:rsidRPr="00071A28" w:rsidR="00714596">
        <w:rPr>
          <w:szCs w:val="22"/>
        </w:rPr>
        <w:t>requiring new mobile coverage data will result in a better understanding of the unserved areas most in need of our limited universal service funds than existing data</w:t>
      </w:r>
      <w:r w:rsidRPr="00071A28" w:rsidR="00CD514E">
        <w:rPr>
          <w:szCs w:val="22"/>
        </w:rPr>
        <w:t>.</w:t>
      </w:r>
      <w:r w:rsidRPr="00071A28" w:rsidR="00EB5623">
        <w:rPr>
          <w:szCs w:val="22"/>
        </w:rPr>
        <w:t xml:space="preserve">” </w:t>
      </w:r>
      <w:r w:rsidRPr="00071A28" w:rsidR="00CD514E">
        <w:rPr>
          <w:szCs w:val="22"/>
        </w:rPr>
        <w:t xml:space="preserve"> </w:t>
      </w:r>
      <w:r w:rsidRPr="00071A28">
        <w:rPr>
          <w:szCs w:val="22"/>
        </w:rPr>
        <w:t xml:space="preserve">Option B is the right call. </w:t>
      </w:r>
    </w:p>
    <w:p w:rsidR="00E94C08" w:rsidRPr="00071A28" w:rsidP="00E94C08" w14:paraId="45DC242C" w14:textId="40D2B1D0">
      <w:pPr>
        <w:ind w:firstLine="720"/>
        <w:rPr>
          <w:szCs w:val="22"/>
        </w:rPr>
      </w:pPr>
    </w:p>
    <w:p w:rsidR="00187403" w:rsidRPr="00071A28" w:rsidP="00E94C08" w14:paraId="6DFC5A7E" w14:textId="323686FB">
      <w:pPr>
        <w:ind w:firstLine="720"/>
        <w:rPr>
          <w:szCs w:val="22"/>
        </w:rPr>
      </w:pPr>
      <w:r w:rsidRPr="00071A28">
        <w:rPr>
          <w:szCs w:val="22"/>
        </w:rPr>
        <w:t xml:space="preserve">So where does that leave us?  </w:t>
      </w:r>
      <w:r w:rsidRPr="00071A28" w:rsidR="00833662">
        <w:rPr>
          <w:szCs w:val="22"/>
        </w:rPr>
        <w:t xml:space="preserve">Before distributing </w:t>
      </w:r>
      <w:r w:rsidRPr="00071A28" w:rsidR="00F204D3">
        <w:rPr>
          <w:szCs w:val="22"/>
        </w:rPr>
        <w:t xml:space="preserve">the 5G Fund, </w:t>
      </w:r>
      <w:r w:rsidRPr="00071A28" w:rsidR="00605565">
        <w:rPr>
          <w:szCs w:val="22"/>
        </w:rPr>
        <w:t xml:space="preserve">we need to gather and analyze </w:t>
      </w:r>
      <w:r w:rsidRPr="00071A28" w:rsidR="003B057F">
        <w:rPr>
          <w:szCs w:val="22"/>
        </w:rPr>
        <w:t xml:space="preserve">new wireless coverage data for </w:t>
      </w:r>
      <w:r w:rsidRPr="00071A28" w:rsidR="00C62470">
        <w:rPr>
          <w:szCs w:val="22"/>
        </w:rPr>
        <w:t>the vast majority of</w:t>
      </w:r>
      <w:r w:rsidRPr="00071A28" w:rsidR="00C62470">
        <w:rPr>
          <w:szCs w:val="22"/>
        </w:rPr>
        <w:t xml:space="preserve"> the United States. </w:t>
      </w:r>
      <w:r w:rsidRPr="00071A28" w:rsidR="002B10C2">
        <w:rPr>
          <w:szCs w:val="22"/>
        </w:rPr>
        <w:t xml:space="preserve"> </w:t>
      </w:r>
      <w:r w:rsidRPr="00071A28" w:rsidR="00C62470">
        <w:rPr>
          <w:szCs w:val="22"/>
        </w:rPr>
        <w:t xml:space="preserve">Today’s </w:t>
      </w:r>
      <w:r w:rsidRPr="00071A28" w:rsidR="002B10C2">
        <w:rPr>
          <w:szCs w:val="22"/>
        </w:rPr>
        <w:t xml:space="preserve">decision tells us to </w:t>
      </w:r>
      <w:r w:rsidRPr="00071A28" w:rsidR="00C62470">
        <w:rPr>
          <w:szCs w:val="22"/>
        </w:rPr>
        <w:t xml:space="preserve">expect that data in </w:t>
      </w:r>
      <w:r w:rsidRPr="00071A28" w:rsidR="001A0B7E">
        <w:rPr>
          <w:szCs w:val="22"/>
        </w:rPr>
        <w:t xml:space="preserve">2021 or 2022.  </w:t>
      </w:r>
      <w:r w:rsidRPr="00071A28" w:rsidR="00393515">
        <w:rPr>
          <w:szCs w:val="22"/>
        </w:rPr>
        <w:t>Because</w:t>
      </w:r>
      <w:r w:rsidRPr="00071A28" w:rsidR="00F81E87">
        <w:rPr>
          <w:szCs w:val="22"/>
        </w:rPr>
        <w:t xml:space="preserve"> we </w:t>
      </w:r>
      <w:r w:rsidRPr="00071A28" w:rsidR="00332B63">
        <w:rPr>
          <w:szCs w:val="22"/>
        </w:rPr>
        <w:t>are deciding</w:t>
      </w:r>
      <w:r w:rsidRPr="00071A28" w:rsidR="00F81E87">
        <w:rPr>
          <w:szCs w:val="22"/>
        </w:rPr>
        <w:t xml:space="preserve"> today to make completing </w:t>
      </w:r>
      <w:r w:rsidRPr="00071A28" w:rsidR="00004D36">
        <w:rPr>
          <w:szCs w:val="22"/>
        </w:rPr>
        <w:t xml:space="preserve">that work a precondition </w:t>
      </w:r>
      <w:r w:rsidRPr="00071A28" w:rsidR="00332B63">
        <w:rPr>
          <w:szCs w:val="22"/>
        </w:rPr>
        <w:t>to an auction</w:t>
      </w:r>
      <w:r w:rsidRPr="00071A28" w:rsidR="00004D36">
        <w:rPr>
          <w:szCs w:val="22"/>
        </w:rPr>
        <w:t xml:space="preserve">, </w:t>
      </w:r>
      <w:r w:rsidRPr="00071A28" w:rsidR="00CF1233">
        <w:rPr>
          <w:szCs w:val="22"/>
        </w:rPr>
        <w:t>we shoul</w:t>
      </w:r>
      <w:r w:rsidRPr="00071A28" w:rsidR="004136DC">
        <w:rPr>
          <w:szCs w:val="22"/>
        </w:rPr>
        <w:t xml:space="preserve">d be doing everything in our power to </w:t>
      </w:r>
      <w:r w:rsidRPr="00071A28" w:rsidR="00CB6F53">
        <w:rPr>
          <w:szCs w:val="22"/>
        </w:rPr>
        <w:t>make new map</w:t>
      </w:r>
      <w:r w:rsidRPr="00071A28" w:rsidR="00C1465F">
        <w:rPr>
          <w:szCs w:val="22"/>
        </w:rPr>
        <w:t xml:space="preserve">s and data available as quickly as possible.  </w:t>
      </w:r>
      <w:r w:rsidRPr="00071A28" w:rsidR="0020429F">
        <w:rPr>
          <w:szCs w:val="22"/>
        </w:rPr>
        <w:t xml:space="preserve">That’s why I am </w:t>
      </w:r>
      <w:r w:rsidRPr="00071A28" w:rsidR="00F26715">
        <w:rPr>
          <w:szCs w:val="22"/>
        </w:rPr>
        <w:t xml:space="preserve">surprised, frankly, to be voting </w:t>
      </w:r>
      <w:r w:rsidRPr="00071A28" w:rsidR="000D5270">
        <w:rPr>
          <w:szCs w:val="22"/>
        </w:rPr>
        <w:t xml:space="preserve">on some of the issues </w:t>
      </w:r>
      <w:r w:rsidRPr="00071A28" w:rsidR="00074D3B">
        <w:rPr>
          <w:szCs w:val="22"/>
        </w:rPr>
        <w:t>addressed in today’s item</w:t>
      </w:r>
      <w:r w:rsidRPr="00071A28" w:rsidR="006B1897">
        <w:rPr>
          <w:szCs w:val="22"/>
        </w:rPr>
        <w:t xml:space="preserve"> for two reasons</w:t>
      </w:r>
      <w:r w:rsidRPr="00071A28" w:rsidR="006A2ED7">
        <w:rPr>
          <w:szCs w:val="22"/>
        </w:rPr>
        <w:t>:</w:t>
      </w:r>
      <w:r w:rsidRPr="00071A28" w:rsidR="006B1897">
        <w:rPr>
          <w:szCs w:val="22"/>
        </w:rPr>
        <w:t xml:space="preserve"> </w:t>
      </w:r>
    </w:p>
    <w:p w:rsidR="006B1897" w:rsidRPr="00071A28" w:rsidP="00E94C08" w14:paraId="13066F4A" w14:textId="78E81A6F">
      <w:pPr>
        <w:ind w:firstLine="720"/>
        <w:rPr>
          <w:szCs w:val="22"/>
        </w:rPr>
      </w:pPr>
    </w:p>
    <w:p w:rsidR="006B1897" w:rsidRPr="00071A28" w:rsidP="00E94C08" w14:paraId="7B4B0922" w14:textId="73584BE5">
      <w:pPr>
        <w:ind w:firstLine="720"/>
        <w:rPr>
          <w:szCs w:val="22"/>
        </w:rPr>
      </w:pPr>
      <w:r w:rsidRPr="00071A28">
        <w:rPr>
          <w:szCs w:val="22"/>
        </w:rPr>
        <w:t xml:space="preserve">First, </w:t>
      </w:r>
      <w:r w:rsidRPr="00071A28" w:rsidR="003B6C8A">
        <w:rPr>
          <w:szCs w:val="22"/>
        </w:rPr>
        <w:t xml:space="preserve">it makes me question whether the Commission has its priorities in the right order.  </w:t>
      </w:r>
      <w:r w:rsidRPr="00071A28" w:rsidR="00644608">
        <w:rPr>
          <w:szCs w:val="22"/>
        </w:rPr>
        <w:t xml:space="preserve">Last year, in response to bipartisan frustration with the Commission’s failure to correct its data, </w:t>
      </w:r>
      <w:r w:rsidRPr="00071A28" w:rsidR="00BB3191">
        <w:rPr>
          <w:szCs w:val="22"/>
        </w:rPr>
        <w:t xml:space="preserve">Congress </w:t>
      </w:r>
      <w:r w:rsidRPr="00071A28" w:rsidR="005F5D03">
        <w:rPr>
          <w:szCs w:val="22"/>
        </w:rPr>
        <w:t>passed the Broadband DATA Act</w:t>
      </w:r>
      <w:r w:rsidRPr="00071A28" w:rsidR="00164050">
        <w:rPr>
          <w:szCs w:val="22"/>
        </w:rPr>
        <w:t xml:space="preserve">. </w:t>
      </w:r>
      <w:r w:rsidRPr="00071A28" w:rsidR="003B6C8A">
        <w:rPr>
          <w:szCs w:val="22"/>
        </w:rPr>
        <w:t xml:space="preserve"> </w:t>
      </w:r>
      <w:r w:rsidRPr="00071A28" w:rsidR="00511004">
        <w:rPr>
          <w:szCs w:val="22"/>
        </w:rPr>
        <w:t xml:space="preserve">Among other things, that legislation required the Commission to adopt final new mapping rules by September 2020 at the latest.  </w:t>
      </w:r>
      <w:r w:rsidRPr="00071A28" w:rsidR="005D573E">
        <w:rPr>
          <w:szCs w:val="22"/>
        </w:rPr>
        <w:t xml:space="preserve">We </w:t>
      </w:r>
      <w:r w:rsidRPr="00071A28" w:rsidR="007F4290">
        <w:rPr>
          <w:szCs w:val="22"/>
        </w:rPr>
        <w:t xml:space="preserve">fell short and </w:t>
      </w:r>
      <w:r w:rsidRPr="00071A28" w:rsidR="005D573E">
        <w:rPr>
          <w:szCs w:val="22"/>
        </w:rPr>
        <w:t xml:space="preserve">did not meet that deadline.  </w:t>
      </w:r>
      <w:r w:rsidRPr="00071A28" w:rsidR="0088791A">
        <w:rPr>
          <w:szCs w:val="22"/>
        </w:rPr>
        <w:t xml:space="preserve">Given </w:t>
      </w:r>
      <w:r w:rsidRPr="00071A28" w:rsidR="00393515">
        <w:rPr>
          <w:szCs w:val="22"/>
        </w:rPr>
        <w:t xml:space="preserve">the direct instruction from Congress and the centrality of </w:t>
      </w:r>
      <w:r w:rsidRPr="00071A28" w:rsidR="00E83768">
        <w:rPr>
          <w:szCs w:val="22"/>
        </w:rPr>
        <w:t xml:space="preserve">those rules to the ultimate success of the </w:t>
      </w:r>
      <w:r w:rsidRPr="00071A28" w:rsidR="00CA16E3">
        <w:rPr>
          <w:szCs w:val="22"/>
        </w:rPr>
        <w:t xml:space="preserve">5G Fund, </w:t>
      </w:r>
      <w:r w:rsidRPr="00071A28" w:rsidR="004C6BC3">
        <w:rPr>
          <w:szCs w:val="22"/>
        </w:rPr>
        <w:t xml:space="preserve">we should have </w:t>
      </w:r>
      <w:r w:rsidRPr="00071A28" w:rsidR="007F4290">
        <w:rPr>
          <w:szCs w:val="22"/>
        </w:rPr>
        <w:t xml:space="preserve">prioritized them, </w:t>
      </w:r>
      <w:r w:rsidRPr="00071A28" w:rsidR="004C6BC3">
        <w:rPr>
          <w:szCs w:val="22"/>
        </w:rPr>
        <w:t>stayed fo</w:t>
      </w:r>
      <w:r w:rsidRPr="00071A28" w:rsidR="009579ED">
        <w:rPr>
          <w:szCs w:val="22"/>
        </w:rPr>
        <w:t>cused</w:t>
      </w:r>
      <w:r w:rsidRPr="00071A28" w:rsidR="00651C11">
        <w:rPr>
          <w:szCs w:val="22"/>
        </w:rPr>
        <w:t>,</w:t>
      </w:r>
      <w:r w:rsidRPr="00071A28" w:rsidR="009579ED">
        <w:rPr>
          <w:szCs w:val="22"/>
        </w:rPr>
        <w:t xml:space="preserve"> and finished the job.  </w:t>
      </w:r>
      <w:r w:rsidRPr="00071A28" w:rsidR="00F55DD6">
        <w:rPr>
          <w:szCs w:val="22"/>
        </w:rPr>
        <w:t xml:space="preserve">Instead, </w:t>
      </w:r>
      <w:r w:rsidRPr="00071A28" w:rsidR="007F4290">
        <w:rPr>
          <w:szCs w:val="22"/>
        </w:rPr>
        <w:t xml:space="preserve">in </w:t>
      </w:r>
      <w:r w:rsidRPr="00071A28" w:rsidR="003138DE">
        <w:rPr>
          <w:szCs w:val="22"/>
        </w:rPr>
        <w:t>a situation that</w:t>
      </w:r>
      <w:r w:rsidRPr="00071A28" w:rsidR="00587FFE">
        <w:rPr>
          <w:szCs w:val="22"/>
        </w:rPr>
        <w:t xml:space="preserve"> can</w:t>
      </w:r>
      <w:r w:rsidRPr="00071A28" w:rsidR="007F4290">
        <w:rPr>
          <w:szCs w:val="22"/>
        </w:rPr>
        <w:t xml:space="preserve"> only be described as backward, </w:t>
      </w:r>
      <w:r w:rsidRPr="00071A28" w:rsidR="00475980">
        <w:rPr>
          <w:szCs w:val="22"/>
        </w:rPr>
        <w:t>auction</w:t>
      </w:r>
      <w:r w:rsidRPr="00071A28" w:rsidR="007F4290">
        <w:rPr>
          <w:szCs w:val="22"/>
        </w:rPr>
        <w:t xml:space="preserve"> </w:t>
      </w:r>
      <w:r w:rsidRPr="00071A28" w:rsidR="00F55DD6">
        <w:rPr>
          <w:szCs w:val="22"/>
        </w:rPr>
        <w:t xml:space="preserve">rules </w:t>
      </w:r>
      <w:r w:rsidRPr="00071A28" w:rsidR="00516B89">
        <w:rPr>
          <w:szCs w:val="22"/>
        </w:rPr>
        <w:t>we plan to use in two years are before us today</w:t>
      </w:r>
      <w:r w:rsidRPr="00071A28" w:rsidR="006A4703">
        <w:rPr>
          <w:szCs w:val="22"/>
        </w:rPr>
        <w:t>,</w:t>
      </w:r>
      <w:r w:rsidRPr="00071A28" w:rsidR="00C33B86">
        <w:rPr>
          <w:szCs w:val="22"/>
        </w:rPr>
        <w:t xml:space="preserve"> and our past-due </w:t>
      </w:r>
      <w:r w:rsidRPr="00071A28" w:rsidR="00A73295">
        <w:rPr>
          <w:szCs w:val="22"/>
        </w:rPr>
        <w:t>mapping regulations are not.</w:t>
      </w:r>
    </w:p>
    <w:p w:rsidR="00A73295" w:rsidRPr="00071A28" w:rsidP="00E94C08" w14:paraId="60BDBA7B" w14:textId="69A7DF8A">
      <w:pPr>
        <w:ind w:firstLine="720"/>
        <w:rPr>
          <w:szCs w:val="22"/>
        </w:rPr>
      </w:pPr>
    </w:p>
    <w:p w:rsidR="000D21DD" w:rsidRPr="00071A28" w:rsidP="00E94C08" w14:paraId="4E9DA0D7" w14:textId="32B44A84">
      <w:pPr>
        <w:ind w:firstLine="720"/>
        <w:rPr>
          <w:szCs w:val="22"/>
        </w:rPr>
      </w:pPr>
      <w:r w:rsidRPr="00071A28">
        <w:rPr>
          <w:szCs w:val="22"/>
        </w:rPr>
        <w:t xml:space="preserve">Second, </w:t>
      </w:r>
      <w:r w:rsidRPr="00071A28" w:rsidR="008E02E4">
        <w:rPr>
          <w:szCs w:val="22"/>
        </w:rPr>
        <w:t>because</w:t>
      </w:r>
      <w:r w:rsidRPr="00071A28" w:rsidR="00344B83">
        <w:rPr>
          <w:szCs w:val="22"/>
        </w:rPr>
        <w:t xml:space="preserve"> we know </w:t>
      </w:r>
      <w:r w:rsidRPr="00071A28" w:rsidR="001D4F41">
        <w:rPr>
          <w:szCs w:val="22"/>
        </w:rPr>
        <w:t xml:space="preserve">that </w:t>
      </w:r>
      <w:r w:rsidRPr="00071A28" w:rsidR="00764360">
        <w:rPr>
          <w:szCs w:val="22"/>
        </w:rPr>
        <w:t xml:space="preserve">under Option B </w:t>
      </w:r>
      <w:r w:rsidRPr="00071A28" w:rsidR="00344B83">
        <w:rPr>
          <w:szCs w:val="22"/>
        </w:rPr>
        <w:t xml:space="preserve">the 5G Fund auction </w:t>
      </w:r>
      <w:r w:rsidRPr="00071A28" w:rsidR="00342F4B">
        <w:rPr>
          <w:szCs w:val="22"/>
        </w:rPr>
        <w:t>is more than just a few months away</w:t>
      </w:r>
      <w:r w:rsidRPr="00071A28" w:rsidR="003D288B">
        <w:rPr>
          <w:szCs w:val="22"/>
        </w:rPr>
        <w:t xml:space="preserve">, many of today’s decisions seem premature.  Central in my mind, for example, </w:t>
      </w:r>
      <w:r w:rsidRPr="00071A28" w:rsidR="00E425FB">
        <w:rPr>
          <w:szCs w:val="22"/>
        </w:rPr>
        <w:t xml:space="preserve">is the budget.  </w:t>
      </w:r>
      <w:r w:rsidRPr="00071A28" w:rsidR="00001F5B">
        <w:rPr>
          <w:szCs w:val="22"/>
        </w:rPr>
        <w:t xml:space="preserve">The </w:t>
      </w:r>
      <w:r w:rsidRPr="00071A28" w:rsidR="00001F5B">
        <w:rPr>
          <w:i/>
          <w:iCs/>
          <w:szCs w:val="22"/>
        </w:rPr>
        <w:t xml:space="preserve">Order </w:t>
      </w:r>
      <w:r w:rsidRPr="00071A28" w:rsidR="00001F5B">
        <w:rPr>
          <w:szCs w:val="22"/>
        </w:rPr>
        <w:t xml:space="preserve">explains </w:t>
      </w:r>
      <w:r w:rsidRPr="00071A28" w:rsidR="002378A4">
        <w:rPr>
          <w:szCs w:val="22"/>
        </w:rPr>
        <w:t>“the more precise and granular mobile broadband coverage data that will become available in the Digital Opportunity Data Collection proceeding will show that the number of areas unserved by</w:t>
      </w:r>
      <w:r w:rsidRPr="00071A28" w:rsidR="00475B1B">
        <w:rPr>
          <w:szCs w:val="22"/>
        </w:rPr>
        <w:t xml:space="preserve"> unsubsidized 4G LTE</w:t>
      </w:r>
      <w:r w:rsidRPr="00071A28" w:rsidR="002378A4">
        <w:rPr>
          <w:szCs w:val="22"/>
        </w:rPr>
        <w:t xml:space="preserve"> will be . . . substantial.”  </w:t>
      </w:r>
      <w:r w:rsidRPr="00071A28" w:rsidR="00A71471">
        <w:rPr>
          <w:szCs w:val="22"/>
        </w:rPr>
        <w:t xml:space="preserve">But it doesn’t </w:t>
      </w:r>
      <w:r w:rsidRPr="00071A28" w:rsidR="000D630F">
        <w:rPr>
          <w:szCs w:val="22"/>
        </w:rPr>
        <w:t>provide an estimate of how</w:t>
      </w:r>
      <w:r w:rsidRPr="00071A28" w:rsidR="00537D52">
        <w:rPr>
          <w:szCs w:val="22"/>
        </w:rPr>
        <w:t xml:space="preserve"> far off </w:t>
      </w:r>
      <w:r w:rsidRPr="00071A28" w:rsidR="00FE6696">
        <w:rPr>
          <w:szCs w:val="22"/>
        </w:rPr>
        <w:t>the existing data is</w:t>
      </w:r>
      <w:r w:rsidRPr="00071A28" w:rsidR="007411BE">
        <w:rPr>
          <w:szCs w:val="22"/>
        </w:rPr>
        <w:t xml:space="preserve"> or an explanation of the assumptions underlying that estimate.  </w:t>
      </w:r>
    </w:p>
    <w:p w:rsidR="000D21DD" w:rsidRPr="00071A28" w:rsidP="00E94C08" w14:paraId="2693C496" w14:textId="77777777">
      <w:pPr>
        <w:ind w:firstLine="720"/>
        <w:rPr>
          <w:szCs w:val="22"/>
        </w:rPr>
      </w:pPr>
    </w:p>
    <w:p w:rsidR="00682FD0" w:rsidRPr="00071A28" w:rsidP="00E94C08" w14:paraId="5D6B9C23" w14:textId="309FA2B1">
      <w:pPr>
        <w:ind w:firstLine="720"/>
        <w:rPr>
          <w:szCs w:val="22"/>
        </w:rPr>
      </w:pPr>
      <w:r w:rsidRPr="00071A28">
        <w:rPr>
          <w:szCs w:val="22"/>
        </w:rPr>
        <w:t xml:space="preserve">That leaves </w:t>
      </w:r>
      <w:r w:rsidRPr="00071A28" w:rsidR="008E67F9">
        <w:rPr>
          <w:szCs w:val="22"/>
        </w:rPr>
        <w:t xml:space="preserve">the </w:t>
      </w:r>
      <w:r w:rsidRPr="00071A28" w:rsidR="008E67F9">
        <w:rPr>
          <w:i/>
          <w:iCs/>
          <w:szCs w:val="22"/>
        </w:rPr>
        <w:t>Order</w:t>
      </w:r>
      <w:r w:rsidRPr="00071A28">
        <w:rPr>
          <w:szCs w:val="22"/>
        </w:rPr>
        <w:t xml:space="preserve"> </w:t>
      </w:r>
      <w:r w:rsidRPr="00071A28" w:rsidR="00EC0AF4">
        <w:rPr>
          <w:szCs w:val="22"/>
        </w:rPr>
        <w:t xml:space="preserve">with a </w:t>
      </w:r>
      <w:r w:rsidRPr="00071A28" w:rsidR="007A5916">
        <w:rPr>
          <w:szCs w:val="22"/>
        </w:rPr>
        <w:t>paper-thin</w:t>
      </w:r>
      <w:r w:rsidRPr="00071A28" w:rsidR="00EC0AF4">
        <w:rPr>
          <w:szCs w:val="22"/>
        </w:rPr>
        <w:t xml:space="preserve"> justification </w:t>
      </w:r>
      <w:r w:rsidRPr="00071A28" w:rsidR="008E67F9">
        <w:rPr>
          <w:szCs w:val="22"/>
        </w:rPr>
        <w:t>for the Fund’s $9</w:t>
      </w:r>
      <w:r w:rsidRPr="00071A28" w:rsidR="003B197A">
        <w:rPr>
          <w:szCs w:val="22"/>
        </w:rPr>
        <w:t> b</w:t>
      </w:r>
      <w:r w:rsidRPr="00071A28" w:rsidR="008E67F9">
        <w:rPr>
          <w:szCs w:val="22"/>
        </w:rPr>
        <w:t>illion budget</w:t>
      </w:r>
      <w:r w:rsidRPr="00071A28" w:rsidR="007A5916">
        <w:rPr>
          <w:szCs w:val="22"/>
        </w:rPr>
        <w:t xml:space="preserve">.  Basically, the </w:t>
      </w:r>
      <w:r w:rsidRPr="00071A28" w:rsidR="007A5916">
        <w:rPr>
          <w:i/>
          <w:iCs/>
          <w:szCs w:val="22"/>
        </w:rPr>
        <w:t xml:space="preserve">Order </w:t>
      </w:r>
      <w:r w:rsidRPr="00071A28" w:rsidR="007A5916">
        <w:rPr>
          <w:szCs w:val="22"/>
        </w:rPr>
        <w:t xml:space="preserve">explains, the Commission took the </w:t>
      </w:r>
      <w:r w:rsidRPr="00071A28" w:rsidR="004B3B7F">
        <w:rPr>
          <w:szCs w:val="22"/>
        </w:rPr>
        <w:t xml:space="preserve">Mobility Fund Phase II budget and doubled it. </w:t>
      </w:r>
      <w:r w:rsidRPr="00071A28" w:rsidR="00317CDD">
        <w:rPr>
          <w:szCs w:val="22"/>
        </w:rPr>
        <w:t xml:space="preserve"> </w:t>
      </w:r>
      <w:r w:rsidRPr="00071A28" w:rsidR="003B197A">
        <w:rPr>
          <w:szCs w:val="22"/>
        </w:rPr>
        <w:t xml:space="preserve">And the </w:t>
      </w:r>
      <w:r w:rsidRPr="00071A28" w:rsidR="003B197A">
        <w:rPr>
          <w:i/>
          <w:iCs/>
          <w:szCs w:val="22"/>
        </w:rPr>
        <w:t xml:space="preserve">Order </w:t>
      </w:r>
      <w:r w:rsidRPr="00071A28" w:rsidR="003B197A">
        <w:rPr>
          <w:szCs w:val="22"/>
        </w:rPr>
        <w:t xml:space="preserve">blows past concerns </w:t>
      </w:r>
      <w:r w:rsidRPr="00071A28" w:rsidR="002E34DE">
        <w:rPr>
          <w:szCs w:val="22"/>
        </w:rPr>
        <w:t>raised in the record that the budget the Commission adopts today may be insufficient</w:t>
      </w:r>
      <w:r w:rsidRPr="00071A28" w:rsidR="00057127">
        <w:rPr>
          <w:szCs w:val="22"/>
        </w:rPr>
        <w:t xml:space="preserve">, pointing out that “none of those commenters proposed an alternative amount for the total </w:t>
      </w:r>
      <w:r w:rsidRPr="00071A28" w:rsidR="00642081">
        <w:rPr>
          <w:szCs w:val="22"/>
        </w:rPr>
        <w:t xml:space="preserve">5G Fund.”  Can we really blame them?  Without the </w:t>
      </w:r>
      <w:r w:rsidRPr="00071A28" w:rsidR="0020030C">
        <w:rPr>
          <w:szCs w:val="22"/>
        </w:rPr>
        <w:t>new map</w:t>
      </w:r>
      <w:r w:rsidRPr="00071A28" w:rsidR="003E41C6">
        <w:rPr>
          <w:szCs w:val="22"/>
        </w:rPr>
        <w:t xml:space="preserve">s and </w:t>
      </w:r>
      <w:r w:rsidRPr="00071A28" w:rsidR="0020030C">
        <w:rPr>
          <w:szCs w:val="22"/>
        </w:rPr>
        <w:t xml:space="preserve">data, we don’t </w:t>
      </w:r>
      <w:r w:rsidRPr="00071A28" w:rsidR="00400528">
        <w:rPr>
          <w:szCs w:val="22"/>
        </w:rPr>
        <w:t xml:space="preserve">really know </w:t>
      </w:r>
      <w:r w:rsidRPr="00071A28" w:rsidR="002F1F1E">
        <w:rPr>
          <w:szCs w:val="22"/>
        </w:rPr>
        <w:t>how many and what kind of locations the money needs to cover, and neither do those commenters.</w:t>
      </w:r>
      <w:r w:rsidRPr="00071A28" w:rsidR="00E35D05">
        <w:rPr>
          <w:szCs w:val="22"/>
        </w:rPr>
        <w:t xml:space="preserve">  </w:t>
      </w:r>
    </w:p>
    <w:p w:rsidR="00682FD0" w:rsidRPr="00071A28" w:rsidP="00E94C08" w14:paraId="53ED9F38" w14:textId="77777777">
      <w:pPr>
        <w:ind w:firstLine="720"/>
        <w:rPr>
          <w:szCs w:val="22"/>
        </w:rPr>
      </w:pPr>
    </w:p>
    <w:p w:rsidR="00EF3939" w:rsidRPr="00071A28" w:rsidP="00EF3939" w14:paraId="426FA969" w14:textId="1F2EFDA9">
      <w:pPr>
        <w:ind w:firstLine="720"/>
        <w:rPr>
          <w:szCs w:val="22"/>
        </w:rPr>
      </w:pPr>
      <w:r w:rsidRPr="00071A28">
        <w:rPr>
          <w:szCs w:val="22"/>
        </w:rPr>
        <w:t xml:space="preserve">Without that information, the </w:t>
      </w:r>
      <w:r w:rsidRPr="00071A28">
        <w:rPr>
          <w:i/>
          <w:iCs/>
          <w:szCs w:val="22"/>
        </w:rPr>
        <w:t>Order</w:t>
      </w:r>
      <w:r w:rsidRPr="00071A28">
        <w:rPr>
          <w:szCs w:val="22"/>
        </w:rPr>
        <w:t xml:space="preserve">’s assertions that this budget </w:t>
      </w:r>
      <w:r w:rsidRPr="00071A28" w:rsidR="00A05A74">
        <w:rPr>
          <w:szCs w:val="22"/>
        </w:rPr>
        <w:t>balances</w:t>
      </w:r>
      <w:r w:rsidRPr="00071A28" w:rsidR="00B71B5C">
        <w:rPr>
          <w:szCs w:val="22"/>
        </w:rPr>
        <w:t xml:space="preserve"> the Act’s competing objectives, including “</w:t>
      </w:r>
      <w:r w:rsidRPr="00071A28" w:rsidR="00E25DBB">
        <w:rPr>
          <w:szCs w:val="22"/>
        </w:rPr>
        <w:t>providing support that is sufficient, but not so excessive so as to impose an undue burden on consumers and businesses</w:t>
      </w:r>
      <w:r w:rsidRPr="00071A28" w:rsidR="00B71B5C">
        <w:rPr>
          <w:szCs w:val="22"/>
        </w:rPr>
        <w:t>,</w:t>
      </w:r>
      <w:r w:rsidRPr="00071A28" w:rsidR="00E25DBB">
        <w:rPr>
          <w:szCs w:val="22"/>
        </w:rPr>
        <w:t xml:space="preserve">” </w:t>
      </w:r>
      <w:r w:rsidRPr="00071A28" w:rsidR="003B0721">
        <w:rPr>
          <w:szCs w:val="22"/>
        </w:rPr>
        <w:t>lack</w:t>
      </w:r>
      <w:r w:rsidRPr="00071A28" w:rsidR="003C4059">
        <w:rPr>
          <w:szCs w:val="22"/>
        </w:rPr>
        <w:t>s</w:t>
      </w:r>
      <w:r w:rsidRPr="00071A28" w:rsidR="003B0721">
        <w:rPr>
          <w:szCs w:val="22"/>
        </w:rPr>
        <w:t xml:space="preserve"> a firm grounding.  </w:t>
      </w:r>
      <w:r w:rsidRPr="00071A28" w:rsidR="00823BA6">
        <w:rPr>
          <w:szCs w:val="22"/>
        </w:rPr>
        <w:t>With respect to Phase II, the</w:t>
      </w:r>
      <w:r w:rsidRPr="00071A28" w:rsidR="00E60CF1">
        <w:rPr>
          <w:szCs w:val="22"/>
        </w:rPr>
        <w:t xml:space="preserve"> </w:t>
      </w:r>
      <w:r w:rsidRPr="00071A28" w:rsidR="00E60CF1">
        <w:rPr>
          <w:i/>
          <w:iCs/>
          <w:szCs w:val="22"/>
        </w:rPr>
        <w:t xml:space="preserve">Order </w:t>
      </w:r>
      <w:r w:rsidRPr="00071A28" w:rsidR="00E60CF1">
        <w:rPr>
          <w:szCs w:val="22"/>
        </w:rPr>
        <w:t>recognizes that, with the benefit of more time and more information, we may need</w:t>
      </w:r>
      <w:r w:rsidRPr="00071A28" w:rsidR="00D034DC">
        <w:rPr>
          <w:szCs w:val="22"/>
        </w:rPr>
        <w:t xml:space="preserve"> to adjust </w:t>
      </w:r>
      <w:r w:rsidRPr="00071A28" w:rsidR="00823BA6">
        <w:rPr>
          <w:szCs w:val="22"/>
        </w:rPr>
        <w:t>the budget</w:t>
      </w:r>
      <w:r w:rsidRPr="00071A28" w:rsidR="00A559F1">
        <w:rPr>
          <w:szCs w:val="22"/>
        </w:rPr>
        <w:t xml:space="preserve">—particularly </w:t>
      </w:r>
      <w:r w:rsidRPr="00071A28">
        <w:rPr>
          <w:szCs w:val="22"/>
        </w:rPr>
        <w:t>the budget for tribal lands</w:t>
      </w:r>
      <w:r w:rsidRPr="00071A28" w:rsidR="00823BA6">
        <w:rPr>
          <w:szCs w:val="22"/>
        </w:rPr>
        <w:t xml:space="preserve">.  </w:t>
      </w:r>
      <w:r w:rsidRPr="00071A28" w:rsidR="003C4059">
        <w:rPr>
          <w:szCs w:val="22"/>
        </w:rPr>
        <w:t>In my mind</w:t>
      </w:r>
      <w:r w:rsidRPr="00071A28" w:rsidR="008D7737">
        <w:rPr>
          <w:szCs w:val="22"/>
        </w:rPr>
        <w:t xml:space="preserve">, </w:t>
      </w:r>
      <w:r w:rsidRPr="00071A28" w:rsidR="00C55573">
        <w:rPr>
          <w:szCs w:val="22"/>
        </w:rPr>
        <w:t xml:space="preserve">that conclusion applies </w:t>
      </w:r>
      <w:r w:rsidRPr="00071A28" w:rsidR="00417AA5">
        <w:rPr>
          <w:szCs w:val="22"/>
        </w:rPr>
        <w:t xml:space="preserve">equally to Phase I.  </w:t>
      </w:r>
      <w:r w:rsidRPr="00071A28" w:rsidR="00C73C7F">
        <w:rPr>
          <w:szCs w:val="22"/>
        </w:rPr>
        <w:t xml:space="preserve">Those concerns are not allayed by </w:t>
      </w:r>
      <w:r w:rsidRPr="00071A28" w:rsidR="00B72074">
        <w:rPr>
          <w:szCs w:val="22"/>
        </w:rPr>
        <w:t xml:space="preserve">the existence of </w:t>
      </w:r>
      <w:r w:rsidRPr="00071A28" w:rsidR="00026ABA">
        <w:rPr>
          <w:szCs w:val="22"/>
        </w:rPr>
        <w:t>Phase II</w:t>
      </w:r>
      <w:r w:rsidRPr="00071A28" w:rsidR="0062004B">
        <w:rPr>
          <w:szCs w:val="22"/>
        </w:rPr>
        <w:t xml:space="preserve"> at some unspecified date in the future</w:t>
      </w:r>
      <w:r w:rsidRPr="00071A28" w:rsidR="00026ABA">
        <w:rPr>
          <w:szCs w:val="22"/>
        </w:rPr>
        <w:t xml:space="preserve">.  </w:t>
      </w:r>
      <w:r w:rsidRPr="00071A28" w:rsidR="00287DC5">
        <w:rPr>
          <w:szCs w:val="22"/>
        </w:rPr>
        <w:t xml:space="preserve">The </w:t>
      </w:r>
      <w:r w:rsidRPr="00071A28" w:rsidR="00287DC5">
        <w:rPr>
          <w:i/>
          <w:iCs/>
          <w:szCs w:val="22"/>
        </w:rPr>
        <w:t xml:space="preserve">Order </w:t>
      </w:r>
      <w:r w:rsidRPr="00071A28" w:rsidR="00CC38A5">
        <w:rPr>
          <w:szCs w:val="22"/>
        </w:rPr>
        <w:t>promises to dedicate at lea</w:t>
      </w:r>
      <w:r w:rsidRPr="00071A28" w:rsidR="00E90BEB">
        <w:rPr>
          <w:szCs w:val="22"/>
        </w:rPr>
        <w:t>st</w:t>
      </w:r>
      <w:r w:rsidRPr="00071A28" w:rsidR="00CC38A5">
        <w:rPr>
          <w:szCs w:val="22"/>
        </w:rPr>
        <w:t xml:space="preserve"> </w:t>
      </w:r>
      <w:r w:rsidRPr="00071A28" w:rsidR="00834A3E">
        <w:rPr>
          <w:szCs w:val="22"/>
        </w:rPr>
        <w:t xml:space="preserve">$1 billion to </w:t>
      </w:r>
      <w:r w:rsidRPr="00071A28" w:rsidR="007B78AF">
        <w:rPr>
          <w:szCs w:val="22"/>
        </w:rPr>
        <w:t>5G networks that facilitate precision agriculture</w:t>
      </w:r>
      <w:r w:rsidRPr="00071A28" w:rsidR="00984B77">
        <w:rPr>
          <w:szCs w:val="22"/>
        </w:rPr>
        <w:t xml:space="preserve"> in Phase II</w:t>
      </w:r>
      <w:r w:rsidRPr="00071A28" w:rsidR="00E23EC9">
        <w:rPr>
          <w:szCs w:val="22"/>
        </w:rPr>
        <w:t>, as well as any</w:t>
      </w:r>
      <w:r w:rsidRPr="00071A28" w:rsidR="001F7F63">
        <w:rPr>
          <w:szCs w:val="22"/>
        </w:rPr>
        <w:t xml:space="preserve"> </w:t>
      </w:r>
      <w:r w:rsidRPr="00071A28" w:rsidR="00B72074">
        <w:rPr>
          <w:szCs w:val="22"/>
        </w:rPr>
        <w:t>areas</w:t>
      </w:r>
      <w:r w:rsidRPr="00071A28" w:rsidR="00313F86">
        <w:rPr>
          <w:szCs w:val="22"/>
        </w:rPr>
        <w:t xml:space="preserve"> left </w:t>
      </w:r>
      <w:r w:rsidRPr="00071A28" w:rsidR="00736B9D">
        <w:rPr>
          <w:szCs w:val="22"/>
        </w:rPr>
        <w:t>over</w:t>
      </w:r>
      <w:r w:rsidRPr="00071A28" w:rsidR="00B72074">
        <w:rPr>
          <w:szCs w:val="22"/>
        </w:rPr>
        <w:t xml:space="preserve"> from the Phase I auction. </w:t>
      </w:r>
      <w:r w:rsidRPr="00071A28" w:rsidR="0062004B">
        <w:rPr>
          <w:szCs w:val="22"/>
        </w:rPr>
        <w:t xml:space="preserve"> </w:t>
      </w:r>
      <w:r w:rsidRPr="00071A28" w:rsidR="009C59E4">
        <w:rPr>
          <w:szCs w:val="22"/>
        </w:rPr>
        <w:t xml:space="preserve">If </w:t>
      </w:r>
      <w:r w:rsidRPr="00071A28" w:rsidR="00205224">
        <w:rPr>
          <w:szCs w:val="22"/>
        </w:rPr>
        <w:t xml:space="preserve">the Phase I budget </w:t>
      </w:r>
      <w:r w:rsidRPr="00071A28" w:rsidR="00DA3B2C">
        <w:rPr>
          <w:szCs w:val="22"/>
        </w:rPr>
        <w:t xml:space="preserve">proves insufficient, </w:t>
      </w:r>
      <w:r w:rsidRPr="00071A28" w:rsidR="00103FBD">
        <w:rPr>
          <w:szCs w:val="22"/>
        </w:rPr>
        <w:t>still-unserved areas will hav</w:t>
      </w:r>
      <w:r w:rsidRPr="00071A28" w:rsidR="00FE00F9">
        <w:rPr>
          <w:szCs w:val="22"/>
        </w:rPr>
        <w:t>e</w:t>
      </w:r>
      <w:r w:rsidRPr="00071A28" w:rsidR="00103FBD">
        <w:rPr>
          <w:szCs w:val="22"/>
        </w:rPr>
        <w:t xml:space="preserve"> funding further delayed </w:t>
      </w:r>
      <w:r w:rsidRPr="00071A28" w:rsidR="007B4C85">
        <w:rPr>
          <w:szCs w:val="22"/>
        </w:rPr>
        <w:t>and then be pitted against as-yet unspecified precision agriculture objectives.  A more cautious approach would</w:t>
      </w:r>
      <w:r w:rsidRPr="00071A28" w:rsidR="009B1F42">
        <w:rPr>
          <w:szCs w:val="22"/>
        </w:rPr>
        <w:t xml:space="preserve"> use</w:t>
      </w:r>
      <w:r w:rsidRPr="00071A28" w:rsidR="007B4C85">
        <w:rPr>
          <w:szCs w:val="22"/>
        </w:rPr>
        <w:t xml:space="preserve"> time we</w:t>
      </w:r>
      <w:r w:rsidRPr="00071A28" w:rsidR="009B1F42">
        <w:rPr>
          <w:szCs w:val="22"/>
        </w:rPr>
        <w:t xml:space="preserve"> now</w:t>
      </w:r>
      <w:r w:rsidRPr="00071A28" w:rsidR="007B4C85">
        <w:rPr>
          <w:szCs w:val="22"/>
        </w:rPr>
        <w:t xml:space="preserve"> have available </w:t>
      </w:r>
      <w:r w:rsidRPr="00071A28" w:rsidR="009B1F42">
        <w:rPr>
          <w:szCs w:val="22"/>
        </w:rPr>
        <w:t xml:space="preserve">before the Phase II auction to </w:t>
      </w:r>
      <w:r w:rsidRPr="00071A28" w:rsidR="00484626">
        <w:rPr>
          <w:szCs w:val="22"/>
        </w:rPr>
        <w:t xml:space="preserve">gather facts and give decisions like the budget a firmer footing.  </w:t>
      </w:r>
    </w:p>
    <w:p w:rsidR="003C0BCE" w:rsidRPr="00071A28" w:rsidP="00484626" w14:paraId="7C601EA9" w14:textId="77777777">
      <w:pPr>
        <w:rPr>
          <w:szCs w:val="22"/>
        </w:rPr>
      </w:pPr>
    </w:p>
    <w:p w:rsidR="00CD514E" w:rsidRPr="00071A28" w:rsidP="00FF761C" w14:paraId="5971E0D8" w14:textId="4B968374">
      <w:pPr>
        <w:ind w:firstLine="720"/>
        <w:rPr>
          <w:szCs w:val="22"/>
        </w:rPr>
      </w:pPr>
      <w:r w:rsidRPr="00071A28">
        <w:rPr>
          <w:szCs w:val="22"/>
        </w:rPr>
        <w:t>For those of us that</w:t>
      </w:r>
      <w:r w:rsidRPr="00071A28">
        <w:rPr>
          <w:szCs w:val="22"/>
        </w:rPr>
        <w:t xml:space="preserve"> </w:t>
      </w:r>
      <w:r w:rsidRPr="00071A28" w:rsidR="00621707">
        <w:rPr>
          <w:szCs w:val="22"/>
        </w:rPr>
        <w:t xml:space="preserve">share </w:t>
      </w:r>
      <w:r w:rsidRPr="00071A28" w:rsidR="00DB29EA">
        <w:rPr>
          <w:szCs w:val="22"/>
        </w:rPr>
        <w:t xml:space="preserve">the </w:t>
      </w:r>
      <w:r w:rsidRPr="00071A28" w:rsidR="0011127F">
        <w:rPr>
          <w:szCs w:val="22"/>
        </w:rPr>
        <w:t xml:space="preserve">commitment to expanding the benefits of 5G </w:t>
      </w:r>
      <w:r w:rsidRPr="00071A28" w:rsidR="00FE13A1">
        <w:rPr>
          <w:szCs w:val="22"/>
        </w:rPr>
        <w:t>to all Americans</w:t>
      </w:r>
      <w:r w:rsidRPr="00071A28">
        <w:rPr>
          <w:szCs w:val="22"/>
        </w:rPr>
        <w:t xml:space="preserve">, this </w:t>
      </w:r>
      <w:r w:rsidRPr="00071A28" w:rsidR="00326559">
        <w:rPr>
          <w:i/>
          <w:iCs/>
          <w:szCs w:val="22"/>
        </w:rPr>
        <w:t xml:space="preserve">Order </w:t>
      </w:r>
      <w:r w:rsidRPr="00071A28" w:rsidR="00326559">
        <w:rPr>
          <w:szCs w:val="22"/>
        </w:rPr>
        <w:t>represents</w:t>
      </w:r>
      <w:r w:rsidRPr="00071A28">
        <w:rPr>
          <w:szCs w:val="22"/>
        </w:rPr>
        <w:t xml:space="preserve"> an important </w:t>
      </w:r>
      <w:r w:rsidRPr="00071A28" w:rsidR="00FF761C">
        <w:rPr>
          <w:szCs w:val="22"/>
        </w:rPr>
        <w:t>milestone</w:t>
      </w:r>
      <w:r w:rsidRPr="00071A28" w:rsidR="008C10BB">
        <w:rPr>
          <w:szCs w:val="22"/>
        </w:rPr>
        <w:t>.  A</w:t>
      </w:r>
      <w:r w:rsidRPr="00071A28" w:rsidR="00326559">
        <w:rPr>
          <w:szCs w:val="22"/>
        </w:rPr>
        <w:t xml:space="preserve">nd </w:t>
      </w:r>
      <w:r w:rsidRPr="00071A28" w:rsidR="00141F58">
        <w:rPr>
          <w:szCs w:val="22"/>
        </w:rPr>
        <w:t xml:space="preserve">I am glad </w:t>
      </w:r>
      <w:r w:rsidRPr="00071A28" w:rsidR="007952AA">
        <w:rPr>
          <w:szCs w:val="22"/>
        </w:rPr>
        <w:t>that we have decided</w:t>
      </w:r>
      <w:r w:rsidRPr="00071A28" w:rsidR="008C10BB">
        <w:rPr>
          <w:szCs w:val="22"/>
        </w:rPr>
        <w:t xml:space="preserve"> to dis</w:t>
      </w:r>
      <w:r w:rsidRPr="00071A28" w:rsidR="004D1ED0">
        <w:rPr>
          <w:szCs w:val="22"/>
        </w:rPr>
        <w:t xml:space="preserve">tribute the 5G Fund using </w:t>
      </w:r>
      <w:r w:rsidRPr="00071A28" w:rsidR="00E019E5">
        <w:rPr>
          <w:szCs w:val="22"/>
        </w:rPr>
        <w:t xml:space="preserve">improved maps.  But </w:t>
      </w:r>
      <w:r w:rsidRPr="00071A28" w:rsidR="00FF761C">
        <w:rPr>
          <w:szCs w:val="22"/>
        </w:rPr>
        <w:t xml:space="preserve">rural Americans deserve more than a $9 billion press release.  </w:t>
      </w:r>
      <w:r w:rsidRPr="00071A28" w:rsidR="00D51D21">
        <w:rPr>
          <w:szCs w:val="22"/>
        </w:rPr>
        <w:t xml:space="preserve">We should withhold judgment </w:t>
      </w:r>
      <w:r w:rsidRPr="00071A28" w:rsidR="0017064B">
        <w:rPr>
          <w:szCs w:val="22"/>
        </w:rPr>
        <w:t xml:space="preserve">on issues that would be better decided with our new maps and data in hand.  For that reason, I respectfully approve in part and dissent in part. </w:t>
      </w:r>
    </w:p>
    <w:p w:rsidR="0017064B" w:rsidRPr="00071A28" w:rsidP="00FF761C" w14:paraId="65102E66" w14:textId="38D0E2DC">
      <w:pPr>
        <w:ind w:firstLine="720"/>
        <w:rPr>
          <w:szCs w:val="22"/>
        </w:rPr>
      </w:pPr>
    </w:p>
    <w:p w:rsidR="0017064B" w:rsidRPr="00071A28" w:rsidP="00FF761C" w14:paraId="409BE9AA" w14:textId="547E8217">
      <w:pPr>
        <w:ind w:firstLine="720"/>
        <w:rPr>
          <w:szCs w:val="22"/>
        </w:rPr>
      </w:pPr>
      <w:r w:rsidRPr="00071A28">
        <w:rPr>
          <w:szCs w:val="22"/>
        </w:rPr>
        <w:t xml:space="preserve">I thank the staff in the Wireline Competition Bureau, the Rural Broadband Auctions Task Force, and the Office of Economics and Analytics for their hard work.  </w:t>
      </w:r>
    </w:p>
    <w:p w:rsidR="009A3B32" w:rsidRPr="005D044D" w:rsidP="00E94C08" w14:paraId="0CA0CC31" w14:textId="77777777">
      <w:pPr>
        <w:ind w:firstLine="720"/>
        <w:rPr>
          <w:sz w:val="24"/>
          <w:szCs w:val="24"/>
        </w:rPr>
      </w:pPr>
    </w:p>
    <w:p w:rsidR="009A3B32" w:rsidRPr="005D044D" w:rsidP="00E94C08" w14:paraId="42E5BD8C" w14:textId="77777777">
      <w:pPr>
        <w:ind w:firstLine="720"/>
        <w:rPr>
          <w:sz w:val="24"/>
          <w:szCs w:val="24"/>
        </w:rPr>
      </w:pPr>
    </w:p>
    <w:p w:rsidR="005D2C7D" w:rsidRPr="005D044D" w:rsidP="00E94C08" w14:paraId="7178DEAB" w14:textId="6C4F459B">
      <w:pPr>
        <w:ind w:firstLine="720"/>
        <w:rPr>
          <w:sz w:val="24"/>
          <w:szCs w:val="24"/>
        </w:rPr>
      </w:pPr>
    </w:p>
    <w:sectPr w:rsidSect="000D21DD">
      <w:headerReference w:type="default" r:id="rId4"/>
      <w:footerReference w:type="even"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1DD" w14:paraId="4E82AA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1DD" w:rsidRPr="000D21DD" w14:paraId="2F65B623" w14:textId="77777777">
    <w:pPr>
      <w:pStyle w:val="Footer"/>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3C4" w:rsidRPr="004C03C4" w:rsidP="004C03C4" w14:paraId="1E823CB8" w14:textId="77777777">
    <w:pPr>
      <w:pStyle w:val="Header"/>
      <w:rPr>
        <w:b/>
        <w:bCs/>
      </w:rPr>
    </w:pPr>
    <w:r>
      <w:tab/>
    </w:r>
    <w:r w:rsidRPr="004C03C4">
      <w:rPr>
        <w:b/>
        <w:bCs/>
      </w:rPr>
      <w:t>Federal Communications Commission</w:t>
    </w:r>
    <w:r w:rsidRPr="004C03C4">
      <w:rPr>
        <w:b/>
        <w:bCs/>
      </w:rPr>
      <w:tab/>
    </w:r>
    <w:r w:rsidRPr="004C03C4">
      <w:rPr>
        <w:b/>
        <w:bCs/>
        <w:spacing w:val="-2"/>
      </w:rPr>
      <w:t>FCC 20-150</w:t>
    </w:r>
  </w:p>
  <w:p w:rsidR="004C03C4" w:rsidRPr="004C03C4" w:rsidP="004C03C4" w14:paraId="1DB6DA08" w14:textId="53BE7C86">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1"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49"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3C4" w:rsidRPr="004C03C4" w:rsidP="004C03C4" w14:paraId="6E4163F3" w14:textId="77777777">
    <w:pPr>
      <w:pStyle w:val="Header"/>
      <w:rPr>
        <w:b/>
        <w:bCs/>
      </w:rPr>
    </w:pPr>
    <w:r>
      <w:tab/>
    </w:r>
    <w:r w:rsidRPr="004C03C4">
      <w:rPr>
        <w:b/>
        <w:bCs/>
      </w:rPr>
      <w:t>Federal Communications Commission</w:t>
    </w:r>
    <w:r w:rsidRPr="004C03C4">
      <w:rPr>
        <w:b/>
        <w:bCs/>
      </w:rPr>
      <w:tab/>
    </w:r>
    <w:r w:rsidRPr="004C03C4">
      <w:rPr>
        <w:b/>
        <w:bCs/>
        <w:spacing w:val="-2"/>
      </w:rPr>
      <w:t>FCC 20-150</w:t>
    </w:r>
  </w:p>
  <w:p w:rsidR="004C03C4" w14:paraId="79E04CFC" w14:textId="281F677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50"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FC628A"/>
    <w:multiLevelType w:val="hybridMultilevel"/>
    <w:tmpl w:val="948C323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7E"/>
    <w:rsid w:val="00001F5B"/>
    <w:rsid w:val="000031EE"/>
    <w:rsid w:val="00004D36"/>
    <w:rsid w:val="000054EC"/>
    <w:rsid w:val="00005AC7"/>
    <w:rsid w:val="00007459"/>
    <w:rsid w:val="000116B0"/>
    <w:rsid w:val="00012C38"/>
    <w:rsid w:val="00023C22"/>
    <w:rsid w:val="00026ABA"/>
    <w:rsid w:val="0002776F"/>
    <w:rsid w:val="000425E5"/>
    <w:rsid w:val="00044C72"/>
    <w:rsid w:val="0005513B"/>
    <w:rsid w:val="00057127"/>
    <w:rsid w:val="00071A28"/>
    <w:rsid w:val="00074D3B"/>
    <w:rsid w:val="00082787"/>
    <w:rsid w:val="000840C1"/>
    <w:rsid w:val="0009285C"/>
    <w:rsid w:val="000973CF"/>
    <w:rsid w:val="000A139F"/>
    <w:rsid w:val="000A1A3A"/>
    <w:rsid w:val="000C0F5A"/>
    <w:rsid w:val="000D21DD"/>
    <w:rsid w:val="000D5270"/>
    <w:rsid w:val="000D630F"/>
    <w:rsid w:val="000D6432"/>
    <w:rsid w:val="000E7035"/>
    <w:rsid w:val="00103FBD"/>
    <w:rsid w:val="00110903"/>
    <w:rsid w:val="0011127F"/>
    <w:rsid w:val="00121978"/>
    <w:rsid w:val="00135D8C"/>
    <w:rsid w:val="00141F58"/>
    <w:rsid w:val="001540E7"/>
    <w:rsid w:val="00164050"/>
    <w:rsid w:val="0016440F"/>
    <w:rsid w:val="0017064B"/>
    <w:rsid w:val="00180BAB"/>
    <w:rsid w:val="00182618"/>
    <w:rsid w:val="0018431E"/>
    <w:rsid w:val="00184856"/>
    <w:rsid w:val="00187403"/>
    <w:rsid w:val="001943D9"/>
    <w:rsid w:val="001A01AA"/>
    <w:rsid w:val="001A0B7E"/>
    <w:rsid w:val="001B4F65"/>
    <w:rsid w:val="001B50A8"/>
    <w:rsid w:val="001C32E2"/>
    <w:rsid w:val="001D4F41"/>
    <w:rsid w:val="001E03FA"/>
    <w:rsid w:val="001F194A"/>
    <w:rsid w:val="001F703D"/>
    <w:rsid w:val="001F7F63"/>
    <w:rsid w:val="0020030C"/>
    <w:rsid w:val="00202411"/>
    <w:rsid w:val="0020429F"/>
    <w:rsid w:val="00205224"/>
    <w:rsid w:val="0021193F"/>
    <w:rsid w:val="00225F9F"/>
    <w:rsid w:val="00235491"/>
    <w:rsid w:val="002368CA"/>
    <w:rsid w:val="002378A4"/>
    <w:rsid w:val="00243E5D"/>
    <w:rsid w:val="00252782"/>
    <w:rsid w:val="00256F2A"/>
    <w:rsid w:val="0026177D"/>
    <w:rsid w:val="00283F8E"/>
    <w:rsid w:val="00285EEB"/>
    <w:rsid w:val="00287DC5"/>
    <w:rsid w:val="002909C6"/>
    <w:rsid w:val="002B10C2"/>
    <w:rsid w:val="002C1FA4"/>
    <w:rsid w:val="002C27D9"/>
    <w:rsid w:val="002D6FE0"/>
    <w:rsid w:val="002E34DE"/>
    <w:rsid w:val="002F1F1E"/>
    <w:rsid w:val="00311123"/>
    <w:rsid w:val="00311EDA"/>
    <w:rsid w:val="003138DE"/>
    <w:rsid w:val="00313F86"/>
    <w:rsid w:val="00317CDD"/>
    <w:rsid w:val="00321E6A"/>
    <w:rsid w:val="00323D59"/>
    <w:rsid w:val="00326559"/>
    <w:rsid w:val="00332B63"/>
    <w:rsid w:val="00342F4B"/>
    <w:rsid w:val="00344B83"/>
    <w:rsid w:val="00352837"/>
    <w:rsid w:val="0039174E"/>
    <w:rsid w:val="00393515"/>
    <w:rsid w:val="003B057F"/>
    <w:rsid w:val="003B0721"/>
    <w:rsid w:val="003B197A"/>
    <w:rsid w:val="003B6C8A"/>
    <w:rsid w:val="003B70F6"/>
    <w:rsid w:val="003C0BCE"/>
    <w:rsid w:val="003C4059"/>
    <w:rsid w:val="003D288B"/>
    <w:rsid w:val="003E0070"/>
    <w:rsid w:val="003E0755"/>
    <w:rsid w:val="003E41C6"/>
    <w:rsid w:val="00400528"/>
    <w:rsid w:val="00403875"/>
    <w:rsid w:val="00404501"/>
    <w:rsid w:val="004122FC"/>
    <w:rsid w:val="004136DC"/>
    <w:rsid w:val="00417AA5"/>
    <w:rsid w:val="00420206"/>
    <w:rsid w:val="004248FB"/>
    <w:rsid w:val="004249FE"/>
    <w:rsid w:val="00425D36"/>
    <w:rsid w:val="004266A4"/>
    <w:rsid w:val="00430197"/>
    <w:rsid w:val="004305C1"/>
    <w:rsid w:val="00430DC1"/>
    <w:rsid w:val="00435991"/>
    <w:rsid w:val="00475980"/>
    <w:rsid w:val="00475B1B"/>
    <w:rsid w:val="00484626"/>
    <w:rsid w:val="004930DF"/>
    <w:rsid w:val="00493603"/>
    <w:rsid w:val="0049382F"/>
    <w:rsid w:val="004B3B7F"/>
    <w:rsid w:val="004C03C4"/>
    <w:rsid w:val="004C6688"/>
    <w:rsid w:val="004C6BC3"/>
    <w:rsid w:val="004D1ED0"/>
    <w:rsid w:val="004E20E4"/>
    <w:rsid w:val="004F41B3"/>
    <w:rsid w:val="00507C2A"/>
    <w:rsid w:val="00511004"/>
    <w:rsid w:val="00512BFC"/>
    <w:rsid w:val="00516B89"/>
    <w:rsid w:val="0052741F"/>
    <w:rsid w:val="0053476E"/>
    <w:rsid w:val="005353CE"/>
    <w:rsid w:val="00537D52"/>
    <w:rsid w:val="00557137"/>
    <w:rsid w:val="0057488C"/>
    <w:rsid w:val="00584F25"/>
    <w:rsid w:val="00587518"/>
    <w:rsid w:val="00587FFE"/>
    <w:rsid w:val="005A05FD"/>
    <w:rsid w:val="005B6EA2"/>
    <w:rsid w:val="005C376A"/>
    <w:rsid w:val="005D044D"/>
    <w:rsid w:val="005D2C7D"/>
    <w:rsid w:val="005D35B7"/>
    <w:rsid w:val="005D573E"/>
    <w:rsid w:val="005D7E3E"/>
    <w:rsid w:val="005E67B6"/>
    <w:rsid w:val="005F5D03"/>
    <w:rsid w:val="00601390"/>
    <w:rsid w:val="00605565"/>
    <w:rsid w:val="0061289A"/>
    <w:rsid w:val="006151D1"/>
    <w:rsid w:val="0062004B"/>
    <w:rsid w:val="00621707"/>
    <w:rsid w:val="00631381"/>
    <w:rsid w:val="00640CFD"/>
    <w:rsid w:val="00642081"/>
    <w:rsid w:val="00644608"/>
    <w:rsid w:val="00651C11"/>
    <w:rsid w:val="00662409"/>
    <w:rsid w:val="00670454"/>
    <w:rsid w:val="00675E82"/>
    <w:rsid w:val="00682FD0"/>
    <w:rsid w:val="00684B53"/>
    <w:rsid w:val="006A0696"/>
    <w:rsid w:val="006A2ED7"/>
    <w:rsid w:val="006A4703"/>
    <w:rsid w:val="006A6EB1"/>
    <w:rsid w:val="006B1897"/>
    <w:rsid w:val="006E4BC5"/>
    <w:rsid w:val="006E77D4"/>
    <w:rsid w:val="006F13A4"/>
    <w:rsid w:val="00714596"/>
    <w:rsid w:val="0072278F"/>
    <w:rsid w:val="00736B9D"/>
    <w:rsid w:val="007411BE"/>
    <w:rsid w:val="00741652"/>
    <w:rsid w:val="00764360"/>
    <w:rsid w:val="0076683D"/>
    <w:rsid w:val="0079474F"/>
    <w:rsid w:val="007952AA"/>
    <w:rsid w:val="00797333"/>
    <w:rsid w:val="007A2D03"/>
    <w:rsid w:val="007A5916"/>
    <w:rsid w:val="007B4C85"/>
    <w:rsid w:val="007B78AF"/>
    <w:rsid w:val="007C3049"/>
    <w:rsid w:val="007C3A66"/>
    <w:rsid w:val="007C3A7A"/>
    <w:rsid w:val="007E1571"/>
    <w:rsid w:val="007F0AB2"/>
    <w:rsid w:val="007F2259"/>
    <w:rsid w:val="007F4290"/>
    <w:rsid w:val="00807B4F"/>
    <w:rsid w:val="0082346D"/>
    <w:rsid w:val="00823B9B"/>
    <w:rsid w:val="00823BA6"/>
    <w:rsid w:val="00833662"/>
    <w:rsid w:val="00834A3E"/>
    <w:rsid w:val="00846687"/>
    <w:rsid w:val="00851D8B"/>
    <w:rsid w:val="008636B8"/>
    <w:rsid w:val="008674DC"/>
    <w:rsid w:val="0088031F"/>
    <w:rsid w:val="00880673"/>
    <w:rsid w:val="0088743D"/>
    <w:rsid w:val="0088791A"/>
    <w:rsid w:val="008B1CCE"/>
    <w:rsid w:val="008C10BB"/>
    <w:rsid w:val="008D6741"/>
    <w:rsid w:val="008D7737"/>
    <w:rsid w:val="008E02E4"/>
    <w:rsid w:val="008E67F9"/>
    <w:rsid w:val="008E72B9"/>
    <w:rsid w:val="008F23D0"/>
    <w:rsid w:val="0091265E"/>
    <w:rsid w:val="0092324E"/>
    <w:rsid w:val="00931239"/>
    <w:rsid w:val="00942F08"/>
    <w:rsid w:val="009509A5"/>
    <w:rsid w:val="00953879"/>
    <w:rsid w:val="009579ED"/>
    <w:rsid w:val="00984B77"/>
    <w:rsid w:val="009A3B32"/>
    <w:rsid w:val="009A574D"/>
    <w:rsid w:val="009A7C81"/>
    <w:rsid w:val="009B1F42"/>
    <w:rsid w:val="009B5827"/>
    <w:rsid w:val="009C59E4"/>
    <w:rsid w:val="009C7319"/>
    <w:rsid w:val="00A03CD9"/>
    <w:rsid w:val="00A05A74"/>
    <w:rsid w:val="00A05BDF"/>
    <w:rsid w:val="00A06219"/>
    <w:rsid w:val="00A06E62"/>
    <w:rsid w:val="00A14628"/>
    <w:rsid w:val="00A14E47"/>
    <w:rsid w:val="00A22B4B"/>
    <w:rsid w:val="00A36A3D"/>
    <w:rsid w:val="00A515E6"/>
    <w:rsid w:val="00A53342"/>
    <w:rsid w:val="00A53F35"/>
    <w:rsid w:val="00A559F1"/>
    <w:rsid w:val="00A6238A"/>
    <w:rsid w:val="00A71471"/>
    <w:rsid w:val="00A73295"/>
    <w:rsid w:val="00A76F5E"/>
    <w:rsid w:val="00A92BF8"/>
    <w:rsid w:val="00A95B3F"/>
    <w:rsid w:val="00AA553F"/>
    <w:rsid w:val="00AB7783"/>
    <w:rsid w:val="00AC0A30"/>
    <w:rsid w:val="00AC3B2E"/>
    <w:rsid w:val="00AD43E3"/>
    <w:rsid w:val="00B135FF"/>
    <w:rsid w:val="00B15665"/>
    <w:rsid w:val="00B21817"/>
    <w:rsid w:val="00B2280E"/>
    <w:rsid w:val="00B35255"/>
    <w:rsid w:val="00B64FD4"/>
    <w:rsid w:val="00B71B5C"/>
    <w:rsid w:val="00B72074"/>
    <w:rsid w:val="00B74126"/>
    <w:rsid w:val="00B77E08"/>
    <w:rsid w:val="00BB1CAF"/>
    <w:rsid w:val="00BB3191"/>
    <w:rsid w:val="00BB44CD"/>
    <w:rsid w:val="00BB7A8A"/>
    <w:rsid w:val="00BD7E28"/>
    <w:rsid w:val="00BE0A57"/>
    <w:rsid w:val="00C01211"/>
    <w:rsid w:val="00C01376"/>
    <w:rsid w:val="00C06D2E"/>
    <w:rsid w:val="00C07F53"/>
    <w:rsid w:val="00C13504"/>
    <w:rsid w:val="00C1465F"/>
    <w:rsid w:val="00C25AB9"/>
    <w:rsid w:val="00C31927"/>
    <w:rsid w:val="00C33B86"/>
    <w:rsid w:val="00C34958"/>
    <w:rsid w:val="00C3736C"/>
    <w:rsid w:val="00C37DA7"/>
    <w:rsid w:val="00C54A93"/>
    <w:rsid w:val="00C55573"/>
    <w:rsid w:val="00C61101"/>
    <w:rsid w:val="00C61411"/>
    <w:rsid w:val="00C62470"/>
    <w:rsid w:val="00C714A1"/>
    <w:rsid w:val="00C73C7F"/>
    <w:rsid w:val="00C8000F"/>
    <w:rsid w:val="00C869AA"/>
    <w:rsid w:val="00C94333"/>
    <w:rsid w:val="00C973B6"/>
    <w:rsid w:val="00CA16E3"/>
    <w:rsid w:val="00CA4698"/>
    <w:rsid w:val="00CB6F53"/>
    <w:rsid w:val="00CC38A5"/>
    <w:rsid w:val="00CD034B"/>
    <w:rsid w:val="00CD1FC1"/>
    <w:rsid w:val="00CD514E"/>
    <w:rsid w:val="00CE4CF7"/>
    <w:rsid w:val="00CE6553"/>
    <w:rsid w:val="00CF1233"/>
    <w:rsid w:val="00CF1751"/>
    <w:rsid w:val="00CF266C"/>
    <w:rsid w:val="00CF7231"/>
    <w:rsid w:val="00D034DC"/>
    <w:rsid w:val="00D054C8"/>
    <w:rsid w:val="00D1457E"/>
    <w:rsid w:val="00D16099"/>
    <w:rsid w:val="00D213C6"/>
    <w:rsid w:val="00D332C2"/>
    <w:rsid w:val="00D453CB"/>
    <w:rsid w:val="00D51D21"/>
    <w:rsid w:val="00D575E9"/>
    <w:rsid w:val="00D60F5C"/>
    <w:rsid w:val="00D62041"/>
    <w:rsid w:val="00DA2139"/>
    <w:rsid w:val="00DA3B2C"/>
    <w:rsid w:val="00DB29EA"/>
    <w:rsid w:val="00DC4028"/>
    <w:rsid w:val="00DC6DF9"/>
    <w:rsid w:val="00DF60A4"/>
    <w:rsid w:val="00E019E5"/>
    <w:rsid w:val="00E23EC9"/>
    <w:rsid w:val="00E25DBB"/>
    <w:rsid w:val="00E35D05"/>
    <w:rsid w:val="00E36301"/>
    <w:rsid w:val="00E425FB"/>
    <w:rsid w:val="00E4628C"/>
    <w:rsid w:val="00E51925"/>
    <w:rsid w:val="00E52224"/>
    <w:rsid w:val="00E577F5"/>
    <w:rsid w:val="00E60CF1"/>
    <w:rsid w:val="00E6168E"/>
    <w:rsid w:val="00E63E55"/>
    <w:rsid w:val="00E66FB1"/>
    <w:rsid w:val="00E726F1"/>
    <w:rsid w:val="00E83768"/>
    <w:rsid w:val="00E90BEB"/>
    <w:rsid w:val="00E93AC6"/>
    <w:rsid w:val="00E94C08"/>
    <w:rsid w:val="00EA59C1"/>
    <w:rsid w:val="00EA613A"/>
    <w:rsid w:val="00EB1408"/>
    <w:rsid w:val="00EB3451"/>
    <w:rsid w:val="00EB44E1"/>
    <w:rsid w:val="00EB5623"/>
    <w:rsid w:val="00EC0AF4"/>
    <w:rsid w:val="00ED3F0F"/>
    <w:rsid w:val="00ED5F76"/>
    <w:rsid w:val="00EF3939"/>
    <w:rsid w:val="00EF421E"/>
    <w:rsid w:val="00F163E9"/>
    <w:rsid w:val="00F204D3"/>
    <w:rsid w:val="00F26715"/>
    <w:rsid w:val="00F30480"/>
    <w:rsid w:val="00F3187D"/>
    <w:rsid w:val="00F3607E"/>
    <w:rsid w:val="00F43A0A"/>
    <w:rsid w:val="00F55DD6"/>
    <w:rsid w:val="00F56C48"/>
    <w:rsid w:val="00F63ABA"/>
    <w:rsid w:val="00F714A4"/>
    <w:rsid w:val="00F81E87"/>
    <w:rsid w:val="00FA5EB2"/>
    <w:rsid w:val="00FB1A4D"/>
    <w:rsid w:val="00FC07D0"/>
    <w:rsid w:val="00FC3FBC"/>
    <w:rsid w:val="00FD4C5D"/>
    <w:rsid w:val="00FD52E2"/>
    <w:rsid w:val="00FE00F9"/>
    <w:rsid w:val="00FE13A1"/>
    <w:rsid w:val="00FE6696"/>
    <w:rsid w:val="00FE70A1"/>
    <w:rsid w:val="00FF76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7E"/>
    <w:pPr>
      <w:widowControl w:val="0"/>
    </w:pPr>
    <w:rPr>
      <w:rFonts w:ascii="Times New Roman" w:eastAsia="Times New Roman" w:hAnsi="Times New Roman" w:cs="Times New Roman"/>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9AA"/>
    <w:rPr>
      <w:sz w:val="16"/>
      <w:szCs w:val="16"/>
    </w:rPr>
  </w:style>
  <w:style w:type="paragraph" w:styleId="CommentText">
    <w:name w:val="annotation text"/>
    <w:basedOn w:val="Normal"/>
    <w:link w:val="CommentTextChar"/>
    <w:uiPriority w:val="99"/>
    <w:semiHidden/>
    <w:unhideWhenUsed/>
    <w:rsid w:val="00C869AA"/>
    <w:rPr>
      <w:sz w:val="20"/>
    </w:rPr>
  </w:style>
  <w:style w:type="character" w:customStyle="1" w:styleId="CommentTextChar">
    <w:name w:val="Comment Text Char"/>
    <w:basedOn w:val="DefaultParagraphFont"/>
    <w:link w:val="CommentText"/>
    <w:uiPriority w:val="99"/>
    <w:semiHidden/>
    <w:rsid w:val="00C869AA"/>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869AA"/>
    <w:rPr>
      <w:b/>
      <w:bCs/>
    </w:rPr>
  </w:style>
  <w:style w:type="character" w:customStyle="1" w:styleId="CommentSubjectChar">
    <w:name w:val="Comment Subject Char"/>
    <w:basedOn w:val="CommentTextChar"/>
    <w:link w:val="CommentSubject"/>
    <w:uiPriority w:val="99"/>
    <w:semiHidden/>
    <w:rsid w:val="00C869AA"/>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8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AA"/>
    <w:rPr>
      <w:rFonts w:ascii="Segoe UI" w:eastAsia="Times New Roman" w:hAnsi="Segoe UI" w:cs="Segoe UI"/>
      <w:snapToGrid w:val="0"/>
      <w:kern w:val="28"/>
      <w:sz w:val="18"/>
      <w:szCs w:val="18"/>
    </w:rPr>
  </w:style>
  <w:style w:type="paragraph" w:styleId="FootnoteText">
    <w:name w:val="footnote text"/>
    <w:basedOn w:val="Normal"/>
    <w:link w:val="FootnoteTextChar"/>
    <w:uiPriority w:val="99"/>
    <w:semiHidden/>
    <w:unhideWhenUsed/>
    <w:rsid w:val="00FE70A1"/>
    <w:rPr>
      <w:sz w:val="20"/>
    </w:rPr>
  </w:style>
  <w:style w:type="character" w:customStyle="1" w:styleId="FootnoteTextChar">
    <w:name w:val="Footnote Text Char"/>
    <w:basedOn w:val="DefaultParagraphFont"/>
    <w:link w:val="FootnoteText"/>
    <w:uiPriority w:val="99"/>
    <w:semiHidden/>
    <w:rsid w:val="00FE70A1"/>
    <w:rPr>
      <w:rFonts w:ascii="Times New Roman" w:eastAsia="Times New Roman" w:hAnsi="Times New Roman" w:cs="Times New Roman"/>
      <w:snapToGrid w:val="0"/>
      <w:kern w:val="28"/>
      <w:sz w:val="20"/>
      <w:szCs w:val="20"/>
    </w:rPr>
  </w:style>
  <w:style w:type="character" w:styleId="FootnoteReference">
    <w:name w:val="footnote reference"/>
    <w:basedOn w:val="DefaultParagraphFont"/>
    <w:uiPriority w:val="99"/>
    <w:semiHidden/>
    <w:unhideWhenUsed/>
    <w:rsid w:val="00FE70A1"/>
    <w:rPr>
      <w:vertAlign w:val="superscript"/>
    </w:rPr>
  </w:style>
  <w:style w:type="paragraph" w:styleId="NormalWeb">
    <w:name w:val="Normal (Web)"/>
    <w:basedOn w:val="Normal"/>
    <w:uiPriority w:val="99"/>
    <w:semiHidden/>
    <w:unhideWhenUsed/>
    <w:rsid w:val="00FE70A1"/>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EB1408"/>
    <w:pPr>
      <w:widowControl/>
      <w:spacing w:after="160" w:line="259" w:lineRule="auto"/>
      <w:ind w:left="720"/>
      <w:contextualSpacing/>
    </w:pPr>
    <w:rPr>
      <w:rFonts w:asciiTheme="minorHAnsi" w:eastAsiaTheme="minorHAnsi" w:hAnsiTheme="minorHAnsi" w:cstheme="minorBidi"/>
      <w:snapToGrid/>
      <w:kern w:val="0"/>
      <w:szCs w:val="22"/>
    </w:rPr>
  </w:style>
  <w:style w:type="character" w:styleId="Hyperlink">
    <w:name w:val="Hyperlink"/>
    <w:basedOn w:val="DefaultParagraphFont"/>
    <w:uiPriority w:val="99"/>
    <w:unhideWhenUsed/>
    <w:rsid w:val="00C07F53"/>
    <w:rPr>
      <w:color w:val="0563C1" w:themeColor="hyperlink"/>
      <w:u w:val="single"/>
    </w:rPr>
  </w:style>
  <w:style w:type="character" w:customStyle="1" w:styleId="UnresolvedMention">
    <w:name w:val="Unresolved Mention"/>
    <w:basedOn w:val="DefaultParagraphFont"/>
    <w:uiPriority w:val="99"/>
    <w:rsid w:val="00C07F53"/>
    <w:rPr>
      <w:color w:val="605E5C"/>
      <w:shd w:val="clear" w:color="auto" w:fill="E1DFDD"/>
    </w:rPr>
  </w:style>
  <w:style w:type="paragraph" w:styleId="Revision">
    <w:name w:val="Revision"/>
    <w:hidden/>
    <w:uiPriority w:val="99"/>
    <w:semiHidden/>
    <w:rsid w:val="00D575E9"/>
    <w:rPr>
      <w:rFonts w:ascii="Times New Roman" w:eastAsia="Times New Roman" w:hAnsi="Times New Roman" w:cs="Times New Roman"/>
      <w:snapToGrid w:val="0"/>
      <w:kern w:val="28"/>
      <w:sz w:val="22"/>
      <w:szCs w:val="20"/>
    </w:rPr>
  </w:style>
  <w:style w:type="character" w:customStyle="1" w:styleId="eop">
    <w:name w:val="eop"/>
    <w:basedOn w:val="DefaultParagraphFont"/>
    <w:rsid w:val="005D044D"/>
  </w:style>
  <w:style w:type="paragraph" w:styleId="Header">
    <w:name w:val="header"/>
    <w:basedOn w:val="Normal"/>
    <w:link w:val="HeaderChar"/>
    <w:unhideWhenUsed/>
    <w:rsid w:val="000D21DD"/>
    <w:pPr>
      <w:tabs>
        <w:tab w:val="center" w:pos="4680"/>
        <w:tab w:val="right" w:pos="9360"/>
      </w:tabs>
    </w:pPr>
  </w:style>
  <w:style w:type="character" w:customStyle="1" w:styleId="HeaderChar">
    <w:name w:val="Header Char"/>
    <w:basedOn w:val="DefaultParagraphFont"/>
    <w:link w:val="Header"/>
    <w:rsid w:val="000D21DD"/>
    <w:rPr>
      <w:rFonts w:ascii="Times New Roman" w:eastAsia="Times New Roman" w:hAnsi="Times New Roman" w:cs="Times New Roman"/>
      <w:snapToGrid w:val="0"/>
      <w:kern w:val="28"/>
      <w:sz w:val="22"/>
      <w:szCs w:val="20"/>
    </w:rPr>
  </w:style>
  <w:style w:type="paragraph" w:styleId="Footer">
    <w:name w:val="footer"/>
    <w:basedOn w:val="Normal"/>
    <w:link w:val="FooterChar"/>
    <w:uiPriority w:val="99"/>
    <w:unhideWhenUsed/>
    <w:rsid w:val="000D21DD"/>
    <w:pPr>
      <w:tabs>
        <w:tab w:val="center" w:pos="4680"/>
        <w:tab w:val="right" w:pos="9360"/>
      </w:tabs>
    </w:pPr>
  </w:style>
  <w:style w:type="character" w:customStyle="1" w:styleId="FooterChar">
    <w:name w:val="Footer Char"/>
    <w:basedOn w:val="DefaultParagraphFont"/>
    <w:link w:val="Footer"/>
    <w:uiPriority w:val="99"/>
    <w:rsid w:val="000D21DD"/>
    <w:rPr>
      <w:rFonts w:ascii="Times New Roman" w:eastAsia="Times New Roman" w:hAnsi="Times New Roman" w:cs="Times New Roman"/>
      <w:snapToGrid w:val="0"/>
      <w:kern w:val="28"/>
      <w:sz w:val="22"/>
      <w:szCs w:val="20"/>
    </w:rPr>
  </w:style>
  <w:style w:type="character" w:styleId="PageNumber">
    <w:name w:val="page number"/>
    <w:basedOn w:val="DefaultParagraphFont"/>
    <w:uiPriority w:val="99"/>
    <w:semiHidden/>
    <w:unhideWhenUsed/>
    <w:rsid w:val="000D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