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A70EC8" w14:paraId="580236B2" w14:textId="434D63FF">
      <w:pPr>
        <w:jc w:val="center"/>
        <w:rPr>
          <w:b/>
        </w:rPr>
      </w:pPr>
      <w:r w:rsidRPr="00A70EC8">
        <w:rPr>
          <w:rFonts w:ascii="Times New Roman Bold" w:hAnsi="Times New Roman Bold"/>
          <w:b/>
          <w:kern w:val="0"/>
          <w:szCs w:val="22"/>
        </w:rPr>
        <w:t>Before</w:t>
      </w:r>
      <w:r w:rsidRPr="00A70EC8">
        <w:rPr>
          <w:b/>
        </w:rPr>
        <w:t xml:space="preserve"> the</w:t>
      </w:r>
    </w:p>
    <w:p w:rsidR="00921803" w:rsidRPr="00A70EC8" w:rsidP="00921803" w14:paraId="67F92639" w14:textId="77777777">
      <w:pPr>
        <w:pStyle w:val="StyleBoldCentered"/>
      </w:pPr>
      <w:r w:rsidRPr="00A70EC8">
        <w:t>F</w:t>
      </w:r>
      <w:r w:rsidRPr="00A70EC8">
        <w:rPr>
          <w:caps w:val="0"/>
        </w:rPr>
        <w:t>ederal Communications Commission</w:t>
      </w:r>
    </w:p>
    <w:p w:rsidR="004C2EE3" w:rsidRPr="00A70EC8" w:rsidP="00096D8C" w14:paraId="5C3C578F" w14:textId="77777777">
      <w:pPr>
        <w:pStyle w:val="StyleBoldCentered"/>
      </w:pPr>
      <w:r w:rsidRPr="00A70EC8">
        <w:rPr>
          <w:caps w:val="0"/>
        </w:rPr>
        <w:t>Washington, D.C. 20554</w:t>
      </w:r>
    </w:p>
    <w:p w:rsidR="004C2EE3" w:rsidRPr="00A70EC8" w:rsidP="0070224F" w14:paraId="11F7F6A6" w14:textId="77777777"/>
    <w:p w:rsidR="004C2EE3" w:rsidRPr="00A70EC8" w:rsidP="0070224F" w14:paraId="70BDEEC8" w14:textId="77777777"/>
    <w:tbl>
      <w:tblPr>
        <w:tblW w:w="0" w:type="auto"/>
        <w:tblLayout w:type="fixed"/>
        <w:tblLook w:val="0000"/>
      </w:tblPr>
      <w:tblGrid>
        <w:gridCol w:w="4698"/>
        <w:gridCol w:w="630"/>
        <w:gridCol w:w="4248"/>
      </w:tblGrid>
      <w:tr w14:paraId="0A20A0E2" w14:textId="77777777">
        <w:tblPrEx>
          <w:tblW w:w="0" w:type="auto"/>
          <w:tblLayout w:type="fixed"/>
          <w:tblLook w:val="0000"/>
        </w:tblPrEx>
        <w:tc>
          <w:tcPr>
            <w:tcW w:w="4698" w:type="dxa"/>
          </w:tcPr>
          <w:p w:rsidR="004C2EE3" w:rsidRPr="00A70EC8" w14:paraId="417E5C80" w14:textId="77777777">
            <w:pPr>
              <w:tabs>
                <w:tab w:val="center" w:pos="4680"/>
              </w:tabs>
              <w:suppressAutoHyphens/>
              <w:rPr>
                <w:spacing w:val="-2"/>
              </w:rPr>
            </w:pPr>
            <w:r w:rsidRPr="00A70EC8">
              <w:rPr>
                <w:spacing w:val="-2"/>
              </w:rPr>
              <w:t>In the Matter of</w:t>
            </w:r>
          </w:p>
          <w:p w:rsidR="004C2EE3" w:rsidRPr="00A70EC8" w14:paraId="27AF7F6E" w14:textId="77777777">
            <w:pPr>
              <w:tabs>
                <w:tab w:val="center" w:pos="4680"/>
              </w:tabs>
              <w:suppressAutoHyphens/>
              <w:rPr>
                <w:spacing w:val="-2"/>
              </w:rPr>
            </w:pPr>
          </w:p>
          <w:p w:rsidR="004C2EE3" w:rsidRPr="00A70EC8" w:rsidP="007115F7" w14:paraId="12B86C24" w14:textId="522EB097">
            <w:pPr>
              <w:tabs>
                <w:tab w:val="center" w:pos="4680"/>
              </w:tabs>
              <w:suppressAutoHyphens/>
              <w:rPr>
                <w:spacing w:val="-2"/>
              </w:rPr>
            </w:pPr>
            <w:r w:rsidRPr="00A70EC8">
              <w:rPr>
                <w:spacing w:val="-2"/>
              </w:rPr>
              <w:t>Implementation of State and Local Governments’ Obligation to Approve Certain Wireless Facility Modification Requests Under Section 6409(a) of the Spectrum Act of 2012</w:t>
            </w:r>
          </w:p>
        </w:tc>
        <w:tc>
          <w:tcPr>
            <w:tcW w:w="630" w:type="dxa"/>
          </w:tcPr>
          <w:p w:rsidR="004C2EE3" w:rsidRPr="00A70EC8" w14:paraId="48195800" w14:textId="77777777">
            <w:pPr>
              <w:tabs>
                <w:tab w:val="center" w:pos="4680"/>
              </w:tabs>
              <w:suppressAutoHyphens/>
              <w:rPr>
                <w:b/>
                <w:spacing w:val="-2"/>
              </w:rPr>
            </w:pPr>
            <w:r w:rsidRPr="00A70EC8">
              <w:rPr>
                <w:b/>
                <w:spacing w:val="-2"/>
              </w:rPr>
              <w:t>)</w:t>
            </w:r>
          </w:p>
          <w:p w:rsidR="004C2EE3" w:rsidRPr="00A70EC8" w14:paraId="0F51D750" w14:textId="77777777">
            <w:pPr>
              <w:tabs>
                <w:tab w:val="center" w:pos="4680"/>
              </w:tabs>
              <w:suppressAutoHyphens/>
              <w:rPr>
                <w:b/>
                <w:spacing w:val="-2"/>
              </w:rPr>
            </w:pPr>
            <w:r w:rsidRPr="00A70EC8">
              <w:rPr>
                <w:b/>
                <w:spacing w:val="-2"/>
              </w:rPr>
              <w:t>)</w:t>
            </w:r>
          </w:p>
          <w:p w:rsidR="004C2EE3" w:rsidRPr="00A70EC8" w14:paraId="51BDCD56" w14:textId="77777777">
            <w:pPr>
              <w:tabs>
                <w:tab w:val="center" w:pos="4680"/>
              </w:tabs>
              <w:suppressAutoHyphens/>
              <w:rPr>
                <w:b/>
                <w:spacing w:val="-2"/>
              </w:rPr>
            </w:pPr>
            <w:r w:rsidRPr="00A70EC8">
              <w:rPr>
                <w:b/>
                <w:spacing w:val="-2"/>
              </w:rPr>
              <w:t>)</w:t>
            </w:r>
          </w:p>
          <w:p w:rsidR="004C2EE3" w:rsidRPr="00A70EC8" w14:paraId="797B3BB3" w14:textId="77777777">
            <w:pPr>
              <w:tabs>
                <w:tab w:val="center" w:pos="4680"/>
              </w:tabs>
              <w:suppressAutoHyphens/>
              <w:rPr>
                <w:b/>
                <w:spacing w:val="-2"/>
              </w:rPr>
            </w:pPr>
            <w:r w:rsidRPr="00A70EC8">
              <w:rPr>
                <w:b/>
                <w:spacing w:val="-2"/>
              </w:rPr>
              <w:t>)</w:t>
            </w:r>
          </w:p>
          <w:p w:rsidR="004C2EE3" w:rsidRPr="00A70EC8" w14:paraId="07AE2B9B" w14:textId="77777777">
            <w:pPr>
              <w:tabs>
                <w:tab w:val="center" w:pos="4680"/>
              </w:tabs>
              <w:suppressAutoHyphens/>
              <w:rPr>
                <w:b/>
                <w:spacing w:val="-2"/>
              </w:rPr>
            </w:pPr>
            <w:r w:rsidRPr="00A70EC8">
              <w:rPr>
                <w:b/>
                <w:spacing w:val="-2"/>
              </w:rPr>
              <w:t>)</w:t>
            </w:r>
          </w:p>
          <w:p w:rsidR="004C2EE3" w:rsidRPr="00A70EC8" w14:paraId="3FCB8A3D" w14:textId="77777777">
            <w:pPr>
              <w:tabs>
                <w:tab w:val="center" w:pos="4680"/>
              </w:tabs>
              <w:suppressAutoHyphens/>
              <w:rPr>
                <w:b/>
                <w:spacing w:val="-2"/>
              </w:rPr>
            </w:pPr>
            <w:r w:rsidRPr="00A70EC8">
              <w:rPr>
                <w:b/>
                <w:spacing w:val="-2"/>
              </w:rPr>
              <w:t>)</w:t>
            </w:r>
          </w:p>
          <w:p w:rsidR="004C2EE3" w:rsidRPr="00A70EC8" w14:paraId="7E831116" w14:textId="77777777">
            <w:pPr>
              <w:tabs>
                <w:tab w:val="center" w:pos="4680"/>
              </w:tabs>
              <w:suppressAutoHyphens/>
              <w:rPr>
                <w:b/>
                <w:spacing w:val="-2"/>
              </w:rPr>
            </w:pPr>
            <w:r w:rsidRPr="00A70EC8">
              <w:rPr>
                <w:b/>
                <w:spacing w:val="-2"/>
              </w:rPr>
              <w:t>)</w:t>
            </w:r>
          </w:p>
          <w:p w:rsidR="004C2EE3" w:rsidRPr="00A70EC8" w14:paraId="05336B69" w14:textId="77777777">
            <w:pPr>
              <w:tabs>
                <w:tab w:val="center" w:pos="4680"/>
              </w:tabs>
              <w:suppressAutoHyphens/>
              <w:rPr>
                <w:b/>
                <w:spacing w:val="-2"/>
              </w:rPr>
            </w:pPr>
            <w:r w:rsidRPr="00A70EC8">
              <w:rPr>
                <w:b/>
                <w:spacing w:val="-2"/>
              </w:rPr>
              <w:t>)</w:t>
            </w:r>
          </w:p>
          <w:p w:rsidR="004C2EE3" w:rsidRPr="00A70EC8" w14:paraId="20AC5CB6" w14:textId="77777777">
            <w:pPr>
              <w:tabs>
                <w:tab w:val="center" w:pos="4680"/>
              </w:tabs>
              <w:suppressAutoHyphens/>
              <w:rPr>
                <w:spacing w:val="-2"/>
              </w:rPr>
            </w:pPr>
            <w:r w:rsidRPr="00A70EC8">
              <w:rPr>
                <w:b/>
                <w:spacing w:val="-2"/>
              </w:rPr>
              <w:t>)</w:t>
            </w:r>
          </w:p>
        </w:tc>
        <w:tc>
          <w:tcPr>
            <w:tcW w:w="4248" w:type="dxa"/>
          </w:tcPr>
          <w:p w:rsidR="004C2EE3" w:rsidRPr="00A70EC8" w14:paraId="0F6D6320" w14:textId="77777777">
            <w:pPr>
              <w:tabs>
                <w:tab w:val="center" w:pos="4680"/>
              </w:tabs>
              <w:suppressAutoHyphens/>
              <w:rPr>
                <w:spacing w:val="-2"/>
              </w:rPr>
            </w:pPr>
          </w:p>
          <w:p w:rsidR="004C2EE3" w:rsidRPr="00A70EC8" w14:paraId="72806E28" w14:textId="77777777">
            <w:pPr>
              <w:pStyle w:val="TOAHeading"/>
              <w:tabs>
                <w:tab w:val="center" w:pos="4680"/>
                <w:tab w:val="clear" w:pos="9360"/>
              </w:tabs>
              <w:rPr>
                <w:spacing w:val="-2"/>
              </w:rPr>
            </w:pPr>
          </w:p>
          <w:p w:rsidR="00F94C35" w:rsidRPr="00A70EC8" w:rsidP="00F94C35" w14:paraId="4BCFDBDA" w14:textId="77777777">
            <w:pPr>
              <w:tabs>
                <w:tab w:val="center" w:pos="4680"/>
              </w:tabs>
              <w:suppressAutoHyphens/>
              <w:rPr>
                <w:spacing w:val="-2"/>
              </w:rPr>
            </w:pPr>
            <w:r w:rsidRPr="00A70EC8">
              <w:rPr>
                <w:spacing w:val="-2"/>
              </w:rPr>
              <w:t>WT Docket No. 19-250</w:t>
            </w:r>
          </w:p>
          <w:p w:rsidR="00F94C35" w:rsidRPr="00A70EC8" w:rsidP="00F94C35" w14:paraId="00320F2B" w14:textId="77777777">
            <w:pPr>
              <w:tabs>
                <w:tab w:val="center" w:pos="4680"/>
              </w:tabs>
              <w:suppressAutoHyphens/>
              <w:rPr>
                <w:spacing w:val="-2"/>
              </w:rPr>
            </w:pPr>
          </w:p>
          <w:p w:rsidR="00F94C35" w:rsidRPr="00A70EC8" w:rsidP="00F94C35" w14:paraId="1B7C975A" w14:textId="285777F1">
            <w:pPr>
              <w:tabs>
                <w:tab w:val="center" w:pos="4680"/>
              </w:tabs>
              <w:suppressAutoHyphens/>
              <w:rPr>
                <w:spacing w:val="-2"/>
              </w:rPr>
            </w:pPr>
            <w:r w:rsidRPr="00A70EC8">
              <w:rPr>
                <w:spacing w:val="-2"/>
              </w:rPr>
              <w:t>RM-11849</w:t>
            </w:r>
          </w:p>
          <w:p w:rsidR="004C2EE3" w:rsidRPr="00A70EC8" w14:paraId="440EE2D3" w14:textId="2037813C">
            <w:pPr>
              <w:tabs>
                <w:tab w:val="center" w:pos="4680"/>
              </w:tabs>
              <w:suppressAutoHyphens/>
              <w:rPr>
                <w:spacing w:val="-2"/>
              </w:rPr>
            </w:pPr>
            <w:bookmarkStart w:id="0" w:name="_GoBack"/>
            <w:bookmarkEnd w:id="0"/>
          </w:p>
        </w:tc>
      </w:tr>
    </w:tbl>
    <w:p w:rsidR="004C2EE3" w:rsidRPr="00A70EC8" w:rsidP="0070224F" w14:paraId="20C8A49E" w14:textId="77777777"/>
    <w:p w:rsidR="00841AB1" w:rsidRPr="00A70EC8" w:rsidP="00F021FA" w14:paraId="4C6002CF" w14:textId="1B9F6FFC">
      <w:pPr>
        <w:pStyle w:val="StyleBoldCentered"/>
      </w:pPr>
      <w:r w:rsidRPr="00A70EC8">
        <w:t>report and order</w:t>
      </w:r>
    </w:p>
    <w:p w:rsidR="004C2EE3" w:rsidRPr="00A70EC8" w14:paraId="1A58AEFF" w14:textId="77777777">
      <w:pPr>
        <w:tabs>
          <w:tab w:val="left" w:pos="-720"/>
        </w:tabs>
        <w:suppressAutoHyphens/>
        <w:spacing w:line="227" w:lineRule="auto"/>
        <w:rPr>
          <w:spacing w:val="-2"/>
        </w:rPr>
      </w:pPr>
    </w:p>
    <w:p w:rsidR="004C2EE3" w:rsidRPr="00A70EC8" w:rsidP="00133F79" w14:paraId="573E2069" w14:textId="4F88A5FA">
      <w:pPr>
        <w:tabs>
          <w:tab w:val="left" w:pos="720"/>
          <w:tab w:val="right" w:pos="9360"/>
        </w:tabs>
        <w:suppressAutoHyphens/>
        <w:spacing w:line="227" w:lineRule="auto"/>
        <w:rPr>
          <w:spacing w:val="-2"/>
        </w:rPr>
      </w:pPr>
      <w:r w:rsidRPr="00A70EC8">
        <w:rPr>
          <w:b/>
          <w:spacing w:val="-2"/>
        </w:rPr>
        <w:t xml:space="preserve">Adopted:  </w:t>
      </w:r>
      <w:r w:rsidRPr="00A70EC8" w:rsidR="000A546A">
        <w:rPr>
          <w:b/>
          <w:spacing w:val="-2"/>
        </w:rPr>
        <w:t xml:space="preserve">October </w:t>
      </w:r>
      <w:r w:rsidR="00796402">
        <w:rPr>
          <w:b/>
          <w:spacing w:val="-2"/>
        </w:rPr>
        <w:t>27</w:t>
      </w:r>
      <w:r w:rsidRPr="00A70EC8" w:rsidR="000A546A">
        <w:rPr>
          <w:b/>
          <w:spacing w:val="-2"/>
        </w:rPr>
        <w:t>, 2020</w:t>
      </w:r>
      <w:r w:rsidRPr="00A70EC8">
        <w:rPr>
          <w:b/>
          <w:spacing w:val="-2"/>
        </w:rPr>
        <w:tab/>
      </w:r>
      <w:r w:rsidRPr="00A70EC8" w:rsidR="00822CE0">
        <w:rPr>
          <w:b/>
          <w:spacing w:val="-2"/>
        </w:rPr>
        <w:t>Released</w:t>
      </w:r>
      <w:r w:rsidRPr="00A70EC8">
        <w:rPr>
          <w:b/>
          <w:spacing w:val="-2"/>
        </w:rPr>
        <w:t>:</w:t>
      </w:r>
      <w:r w:rsidRPr="00A70EC8" w:rsidR="00822CE0">
        <w:rPr>
          <w:b/>
          <w:spacing w:val="-2"/>
        </w:rPr>
        <w:t xml:space="preserve"> </w:t>
      </w:r>
      <w:r w:rsidRPr="00A70EC8">
        <w:rPr>
          <w:b/>
          <w:spacing w:val="-2"/>
        </w:rPr>
        <w:t xml:space="preserve"> </w:t>
      </w:r>
      <w:r w:rsidR="0087774B">
        <w:rPr>
          <w:b/>
          <w:spacing w:val="-2"/>
        </w:rPr>
        <w:t xml:space="preserve">November </w:t>
      </w:r>
      <w:r w:rsidR="00653A82">
        <w:rPr>
          <w:b/>
          <w:spacing w:val="-2"/>
        </w:rPr>
        <w:t>3</w:t>
      </w:r>
      <w:r w:rsidRPr="00A70EC8" w:rsidR="000A546A">
        <w:rPr>
          <w:b/>
          <w:spacing w:val="-2"/>
        </w:rPr>
        <w:t>, 2020</w:t>
      </w:r>
    </w:p>
    <w:p w:rsidR="00822CE0" w:rsidRPr="00A70EC8" w14:paraId="056E49B2" w14:textId="77777777"/>
    <w:p w:rsidR="008C52B2" w14:paraId="5AE149CC" w14:textId="13B2FE11">
      <w:r w:rsidRPr="00A70EC8">
        <w:t xml:space="preserve">By </w:t>
      </w:r>
      <w:r w:rsidRPr="00A70EC8" w:rsidR="004E4A22">
        <w:t>the</w:t>
      </w:r>
      <w:r w:rsidRPr="00A70EC8" w:rsidR="002A2D2E">
        <w:t xml:space="preserve"> </w:t>
      </w:r>
      <w:r w:rsidRPr="00A70EC8" w:rsidR="00632029">
        <w:t>Commission:</w:t>
      </w:r>
      <w:r w:rsidRPr="00796402" w:rsidR="00796402">
        <w:t xml:space="preserve"> Chairman Pai and Commissioners </w:t>
      </w:r>
      <w:r w:rsidRPr="00796402" w:rsidR="00796402">
        <w:t>O’Rielly</w:t>
      </w:r>
      <w:r w:rsidRPr="00796402" w:rsidR="00796402">
        <w:t xml:space="preserve"> and Carr issuing separate statements;  Commissioners </w:t>
      </w:r>
      <w:r w:rsidRPr="00796402" w:rsidR="00796402">
        <w:t>Rosenworcel</w:t>
      </w:r>
      <w:r w:rsidRPr="00796402" w:rsidR="00796402">
        <w:t xml:space="preserve"> and Starks dissenting and issuing separate statements.</w:t>
      </w:r>
    </w:p>
    <w:p w:rsidR="003B35F4" w14:paraId="54C98E91" w14:textId="536F39F3"/>
    <w:p w:rsidR="003B35F4" w:rsidP="003B35F4" w14:paraId="6D0F00FB" w14:textId="787D9EA5">
      <w:pPr>
        <w:pStyle w:val="TOCTitle"/>
      </w:pPr>
      <w:bookmarkStart w:id="1" w:name="TOChere"/>
      <w:r>
        <w:t>Table of Contents</w:t>
      </w:r>
    </w:p>
    <w:p w:rsidR="003B35F4" w:rsidP="003B35F4" w14:paraId="063C17AE" w14:textId="26511D06">
      <w:pPr>
        <w:pStyle w:val="Paratitle"/>
      </w:pPr>
      <w:r>
        <w:t>Heading</w:t>
      </w:r>
      <w:r>
        <w:tab/>
        <w:t>Paragraph #</w:t>
      </w:r>
      <w:bookmarkStart w:id="2" w:name="start_here"/>
      <w:bookmarkEnd w:id="2"/>
    </w:p>
    <w:p w:rsidR="003B35F4" w:rsidP="003B35F4" w14:paraId="239231AA" w14:textId="7665745A">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B35F4" w:rsidP="003B35F4" w14:paraId="3A881416" w14:textId="3DD6E33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3B35F4" w:rsidP="003B35F4" w14:paraId="117754DB" w14:textId="38B1EFFE">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8</w:t>
      </w:r>
    </w:p>
    <w:p w:rsidR="003B35F4" w:rsidP="003B35F4" w14:paraId="29FF0643" w14:textId="38F0BC9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41</w:t>
      </w:r>
    </w:p>
    <w:p w:rsidR="003B35F4" w:rsidP="003B35F4" w14:paraId="37A014BA" w14:textId="321535D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44</w:t>
      </w:r>
    </w:p>
    <w:bookmarkEnd w:id="1"/>
    <w:p w:rsidR="003B35F4" w:rsidRPr="00AF42A7" w:rsidP="003B35F4" w14:paraId="20E300A7" w14:textId="77777777">
      <w:r w:rsidRPr="00AF42A7">
        <w:t xml:space="preserve">APPENDIX A—List of Comments and Replies </w:t>
      </w:r>
    </w:p>
    <w:p w:rsidR="003B35F4" w:rsidRPr="00AF42A7" w:rsidP="003B35F4" w14:paraId="3F9CD8B7" w14:textId="77777777">
      <w:r w:rsidRPr="00AF42A7">
        <w:t>APPENDIX B—Final Rules</w:t>
      </w:r>
    </w:p>
    <w:p w:rsidR="003B35F4" w:rsidP="003B35F4" w14:paraId="7F32BA58" w14:textId="49312311">
      <w:r w:rsidRPr="00AF42A7">
        <w:t>APPENDIX C—Final Regulatory Flexibility Analysis</w:t>
      </w:r>
    </w:p>
    <w:p w:rsidR="003B35F4" w:rsidRPr="00AF42A7" w:rsidP="003B35F4" w14:paraId="7D1B21CF" w14:textId="77777777"/>
    <w:p w:rsidR="007B43B9" w:rsidRPr="00AF42A7" w:rsidP="007B43B9" w14:paraId="3D9B8EDA" w14:textId="77777777">
      <w:pPr>
        <w:pStyle w:val="Heading1"/>
      </w:pPr>
      <w:bookmarkStart w:id="3" w:name="_Toc51678353"/>
      <w:bookmarkStart w:id="4" w:name="_Toc55226807"/>
      <w:r w:rsidRPr="00A70EC8">
        <w:t>INTRODUCTION</w:t>
      </w:r>
      <w:bookmarkEnd w:id="3"/>
      <w:bookmarkEnd w:id="4"/>
    </w:p>
    <w:p w:rsidR="00976F34" w:rsidRPr="00AF42A7" w:rsidP="007B43B9" w14:paraId="7AEE8606" w14:textId="74743818">
      <w:pPr>
        <w:pStyle w:val="ParaNum"/>
        <w:tabs>
          <w:tab w:val="left" w:pos="1440"/>
        </w:tabs>
      </w:pPr>
      <w:bookmarkStart w:id="5" w:name="_Hlk51336921"/>
      <w:r w:rsidRPr="00AF42A7">
        <w:t xml:space="preserve">In this </w:t>
      </w:r>
      <w:r w:rsidRPr="00AF42A7">
        <w:rPr>
          <w:i/>
          <w:iCs/>
        </w:rPr>
        <w:t>Report and Order</w:t>
      </w:r>
      <w:r w:rsidRPr="00AF42A7">
        <w:t xml:space="preserve">, </w:t>
      </w:r>
      <w:bookmarkEnd w:id="5"/>
      <w:r w:rsidRPr="00AF42A7">
        <w:t>we continue our efforts to reduce regulatory barriers to wireless infrastructure deployment by further streamlining the state and local government review process for modifications to existing wireless infrastructure under section 6409(a) of the Spectrum Act of 2012.</w:t>
      </w:r>
      <w:r>
        <w:rPr>
          <w:rStyle w:val="FootnoteReference"/>
        </w:rPr>
        <w:footnoteReference w:id="3"/>
      </w:r>
      <w:r w:rsidRPr="00A70EC8">
        <w:t xml:space="preserve">  </w:t>
      </w:r>
      <w:r w:rsidRPr="00A70EC8" w:rsidR="00645D36">
        <w:t xml:space="preserve">The development of wireless infrastructure is critical to </w:t>
      </w:r>
      <w:bookmarkStart w:id="6" w:name="_Hlk51337485"/>
      <w:r w:rsidRPr="00AF42A7">
        <w:t xml:space="preserve">the deployment of 5G and other advanced wireless networks, </w:t>
      </w:r>
      <w:bookmarkEnd w:id="6"/>
      <w:r w:rsidRPr="00AF42A7" w:rsidR="00645D36">
        <w:t xml:space="preserve">which will enable economic opportunities across </w:t>
      </w:r>
      <w:r w:rsidRPr="00AF42A7" w:rsidR="00F20A43">
        <w:t>the nation</w:t>
      </w:r>
      <w:r w:rsidRPr="00AF42A7" w:rsidR="00645D36">
        <w:t xml:space="preserve">.  To achieve this goal, </w:t>
      </w:r>
      <w:r w:rsidRPr="00AF42A7">
        <w:t>existing infrastructure</w:t>
      </w:r>
      <w:r w:rsidRPr="00AF42A7" w:rsidR="00645D36">
        <w:t xml:space="preserve"> </w:t>
      </w:r>
      <w:r w:rsidRPr="00AF42A7" w:rsidR="00BD135A">
        <w:t xml:space="preserve">can </w:t>
      </w:r>
      <w:r w:rsidRPr="00AF42A7" w:rsidR="00645D36">
        <w:t>be used</w:t>
      </w:r>
      <w:r w:rsidRPr="00AF42A7">
        <w:t xml:space="preserve"> where </w:t>
      </w:r>
      <w:r w:rsidRPr="00AF42A7" w:rsidR="00645D36">
        <w:t xml:space="preserve">it is an </w:t>
      </w:r>
      <w:r w:rsidRPr="00AF42A7">
        <w:t>efficient</w:t>
      </w:r>
      <w:r w:rsidRPr="00AF42A7" w:rsidR="00645D36">
        <w:t xml:space="preserve"> alternative to</w:t>
      </w:r>
      <w:r w:rsidRPr="00AF42A7">
        <w:t xml:space="preserve"> the construction of new infrastructure.  In particular, additional antennas </w:t>
      </w:r>
      <w:r w:rsidRPr="00AF42A7" w:rsidR="00EB36C1">
        <w:t>and other equipment</w:t>
      </w:r>
      <w:r w:rsidRPr="00AF42A7">
        <w:t xml:space="preserve"> will need to be placed on existing infrastructure</w:t>
      </w:r>
      <w:r w:rsidRPr="00AF42A7" w:rsidR="00284CA5">
        <w:t xml:space="preserve"> to keep pace with</w:t>
      </w:r>
      <w:r w:rsidRPr="00AF42A7" w:rsidR="00587352">
        <w:t xml:space="preserve"> continually increasing</w:t>
      </w:r>
      <w:r w:rsidRPr="00AF42A7" w:rsidR="00284CA5">
        <w:t xml:space="preserve"> consumer demand and </w:t>
      </w:r>
      <w:r w:rsidRPr="00AF42A7" w:rsidR="007735A7">
        <w:t xml:space="preserve">to </w:t>
      </w:r>
      <w:r w:rsidRPr="00AF42A7" w:rsidR="00284CA5">
        <w:t>enable advanced services.</w:t>
      </w:r>
      <w:r>
        <w:rPr>
          <w:rStyle w:val="FootnoteReference"/>
        </w:rPr>
        <w:footnoteReference w:id="4"/>
      </w:r>
      <w:r w:rsidRPr="00A70EC8">
        <w:t xml:space="preserve"> </w:t>
      </w:r>
      <w:r w:rsidRPr="00A70EC8" w:rsidR="008F6E26">
        <w:t xml:space="preserve"> </w:t>
      </w:r>
      <w:r w:rsidRPr="00AF42A7" w:rsidR="00D00710">
        <w:t xml:space="preserve">These </w:t>
      </w:r>
      <w:r w:rsidRPr="00AF42A7" w:rsidR="00D00710">
        <w:t>collocations</w:t>
      </w:r>
      <w:r w:rsidRPr="00AF42A7" w:rsidR="009414C3">
        <w:t xml:space="preserve"> </w:t>
      </w:r>
      <w:r w:rsidRPr="00AF42A7" w:rsidR="00296B9E">
        <w:t>will allow providers</w:t>
      </w:r>
      <w:r w:rsidRPr="00AF42A7" w:rsidR="00DD0EFF">
        <w:t xml:space="preserve"> </w:t>
      </w:r>
      <w:r w:rsidRPr="00AF42A7" w:rsidR="00D7002F">
        <w:t>t</w:t>
      </w:r>
      <w:r w:rsidRPr="00AF42A7" w:rsidR="00381A61">
        <w:t>o take advantage of 5G’s low latency</w:t>
      </w:r>
      <w:r w:rsidRPr="00AF42A7" w:rsidR="00D7002F">
        <w:t xml:space="preserve"> through</w:t>
      </w:r>
      <w:r w:rsidRPr="00AF42A7" w:rsidR="00C46BFE">
        <w:t xml:space="preserve">, for example, </w:t>
      </w:r>
      <w:r w:rsidRPr="00AF42A7" w:rsidR="007C6DAF">
        <w:t>cloud</w:t>
      </w:r>
      <w:r w:rsidRPr="00AF42A7" w:rsidR="00625C41">
        <w:t xml:space="preserve"> </w:t>
      </w:r>
      <w:r w:rsidRPr="00AF42A7" w:rsidR="00381A61">
        <w:t>computing capabilities</w:t>
      </w:r>
      <w:r w:rsidRPr="00AF42A7" w:rsidR="00367293">
        <w:t xml:space="preserve"> at the edge of the mobile network</w:t>
      </w:r>
      <w:r w:rsidRPr="00AF42A7" w:rsidR="00C371CE">
        <w:t xml:space="preserve">.  </w:t>
      </w:r>
      <w:r w:rsidRPr="00AF42A7" w:rsidR="00506314">
        <w:t>In addition,</w:t>
      </w:r>
      <w:r w:rsidRPr="00AF42A7" w:rsidR="00381A61">
        <w:t xml:space="preserve"> </w:t>
      </w:r>
      <w:r w:rsidRPr="00AF42A7" w:rsidR="00EE10A1">
        <w:t xml:space="preserve">these </w:t>
      </w:r>
      <w:r w:rsidRPr="00AF42A7" w:rsidR="007B5459">
        <w:t xml:space="preserve">collocations will enable providers to offer more reliable service, including to first responders, as well as to meet governments’ policy goals of ensuring network resiliency.  </w:t>
      </w:r>
      <w:r w:rsidRPr="00AF42A7" w:rsidR="00A85082">
        <w:t>T</w:t>
      </w:r>
      <w:r w:rsidRPr="00AF42A7" w:rsidR="00BF603D">
        <w:t>o facilitate the collocation of antennas and associated ground equipment, while recognizing the role of state and local governments in land use decisions, we revise our section 6409(a) rules to provide that excavation or deployment in a limited area beyond site boundaries would not disqualify the modification of an existing tower from streamlined state and local review on that basis</w:t>
      </w:r>
      <w:r w:rsidRPr="00AF42A7" w:rsidR="007005E9">
        <w:t>.</w:t>
      </w:r>
    </w:p>
    <w:p w:rsidR="007B43B9" w:rsidRPr="00AF42A7" w:rsidP="007B43B9" w14:paraId="62629B90" w14:textId="6E339491">
      <w:pPr>
        <w:pStyle w:val="ParaNum"/>
        <w:tabs>
          <w:tab w:val="left" w:pos="1440"/>
        </w:tabs>
      </w:pPr>
      <w:r w:rsidRPr="00AF42A7">
        <w:t>T</w:t>
      </w:r>
      <w:r w:rsidRPr="00AF42A7" w:rsidR="009947F6">
        <w:t>his change</w:t>
      </w:r>
      <w:r w:rsidRPr="00AF42A7">
        <w:t xml:space="preserve"> is consistent with </w:t>
      </w:r>
      <w:r w:rsidRPr="00AF42A7" w:rsidR="00236970">
        <w:t xml:space="preserve">the recent </w:t>
      </w:r>
      <w:r w:rsidRPr="00AF42A7" w:rsidR="009A2F10">
        <w:t>amendment</w:t>
      </w:r>
      <w:r w:rsidRPr="00AF42A7" w:rsidR="00236970">
        <w:t xml:space="preserve"> </w:t>
      </w:r>
      <w:r w:rsidRPr="00AF42A7" w:rsidR="00A7359D">
        <w:t xml:space="preserve">to the </w:t>
      </w:r>
      <w:r w:rsidRPr="00AF42A7" w:rsidR="00975134">
        <w:t>Nationwide</w:t>
      </w:r>
      <w:r w:rsidRPr="00AF42A7" w:rsidR="00A7359D">
        <w:t xml:space="preserve"> Programmatic Agreement for the </w:t>
      </w:r>
      <w:r w:rsidRPr="00AF42A7" w:rsidR="00975134">
        <w:t>Collocation</w:t>
      </w:r>
      <w:r w:rsidRPr="00AF42A7" w:rsidR="00A7359D">
        <w:t xml:space="preserve"> of Wireless </w:t>
      </w:r>
      <w:r w:rsidRPr="00AF42A7" w:rsidR="008541CD">
        <w:t>Antennas</w:t>
      </w:r>
      <w:r w:rsidRPr="00AF42A7" w:rsidR="00046DD5">
        <w:t>, which no</w:t>
      </w:r>
      <w:r w:rsidRPr="00AF42A7" w:rsidR="00B111F2">
        <w:t>w</w:t>
      </w:r>
      <w:r w:rsidRPr="00AF42A7" w:rsidR="00046DD5">
        <w:t xml:space="preserve"> provides </w:t>
      </w:r>
      <w:r w:rsidRPr="00AF42A7" w:rsidR="007A6540">
        <w:t>that</w:t>
      </w:r>
      <w:r w:rsidRPr="00AF42A7" w:rsidR="00DB3A26">
        <w:t>, in certain cir</w:t>
      </w:r>
      <w:r w:rsidRPr="00AF42A7" w:rsidR="0026261E">
        <w:t>c</w:t>
      </w:r>
      <w:r w:rsidRPr="00AF42A7" w:rsidR="00DB3A26">
        <w:t>umstances,</w:t>
      </w:r>
      <w:r w:rsidRPr="00AF42A7" w:rsidR="007A6540">
        <w:t xml:space="preserve"> excavation </w:t>
      </w:r>
      <w:r w:rsidRPr="00AF42A7" w:rsidR="00C74E49">
        <w:t xml:space="preserve">or deployment </w:t>
      </w:r>
      <w:r w:rsidRPr="00AF42A7" w:rsidR="009809EF">
        <w:t>within</w:t>
      </w:r>
      <w:r w:rsidRPr="00AF42A7" w:rsidR="00AC70E5">
        <w:t xml:space="preserve"> </w:t>
      </w:r>
      <w:r w:rsidRPr="00AF42A7" w:rsidR="00F65C34">
        <w:t>the same limited</w:t>
      </w:r>
      <w:r w:rsidRPr="00AF42A7" w:rsidR="007A6540">
        <w:t xml:space="preserve"> area </w:t>
      </w:r>
      <w:r w:rsidRPr="00AF42A7" w:rsidR="00AC70E5">
        <w:t xml:space="preserve">beyond </w:t>
      </w:r>
      <w:r w:rsidRPr="00AF42A7" w:rsidR="006D2CAD">
        <w:t xml:space="preserve">a </w:t>
      </w:r>
      <w:r w:rsidRPr="00AF42A7" w:rsidR="00AC70E5">
        <w:t>site boundar</w:t>
      </w:r>
      <w:r w:rsidRPr="00AF42A7" w:rsidR="006D2CAD">
        <w:t>y</w:t>
      </w:r>
      <w:r w:rsidRPr="00AF42A7" w:rsidR="00AC70E5">
        <w:t xml:space="preserve"> </w:t>
      </w:r>
      <w:r w:rsidRPr="00AF42A7" w:rsidR="00B50F10">
        <w:t>does</w:t>
      </w:r>
      <w:r w:rsidRPr="00AF42A7" w:rsidR="00040EDF">
        <w:t xml:space="preserve"> not </w:t>
      </w:r>
      <w:r w:rsidRPr="00AF42A7" w:rsidR="00BC130F">
        <w:t>warrant</w:t>
      </w:r>
      <w:r w:rsidRPr="00AF42A7" w:rsidR="00040EDF">
        <w:t xml:space="preserve"> </w:t>
      </w:r>
      <w:r w:rsidRPr="00AF42A7" w:rsidR="00456AAE">
        <w:t>f</w:t>
      </w:r>
      <w:r w:rsidRPr="00AF42A7" w:rsidR="00040EDF">
        <w:t xml:space="preserve">ederal historic </w:t>
      </w:r>
      <w:r w:rsidRPr="00AF42A7" w:rsidR="006D754C">
        <w:t>preservation</w:t>
      </w:r>
      <w:r w:rsidRPr="00AF42A7" w:rsidR="00040EDF">
        <w:t xml:space="preserve"> review of </w:t>
      </w:r>
      <w:r w:rsidRPr="00AF42A7" w:rsidR="00430E55">
        <w:t xml:space="preserve">a </w:t>
      </w:r>
      <w:r w:rsidRPr="00AF42A7" w:rsidR="003B2152">
        <w:t>collocation</w:t>
      </w:r>
      <w:r w:rsidRPr="00AF42A7" w:rsidR="00430E55">
        <w:t>.</w:t>
      </w:r>
      <w:r>
        <w:rPr>
          <w:rStyle w:val="FootnoteReference"/>
        </w:rPr>
        <w:footnoteReference w:id="5"/>
      </w:r>
      <w:r w:rsidRPr="00A70EC8" w:rsidR="00430E55">
        <w:t xml:space="preserve">  </w:t>
      </w:r>
      <w:r w:rsidRPr="00A70EC8" w:rsidR="00D65813">
        <w:t>In addition,</w:t>
      </w:r>
      <w:r w:rsidRPr="007C6360" w:rsidR="007638D0">
        <w:t xml:space="preserve"> </w:t>
      </w:r>
      <w:r w:rsidRPr="007C6360" w:rsidR="009D3151">
        <w:t xml:space="preserve">we revise </w:t>
      </w:r>
      <w:r w:rsidRPr="00AF42A7" w:rsidR="004B4E2C">
        <w:t>the definition of “site” in</w:t>
      </w:r>
      <w:r w:rsidRPr="00AF42A7" w:rsidR="003F3C6B">
        <w:t xml:space="preserve"> our </w:t>
      </w:r>
      <w:r w:rsidRPr="00AF42A7" w:rsidR="009B1648">
        <w:t>section</w:t>
      </w:r>
      <w:r w:rsidRPr="00AF42A7" w:rsidR="003F3C6B">
        <w:t xml:space="preserve"> </w:t>
      </w:r>
      <w:r w:rsidRPr="00AF42A7" w:rsidR="00C70606">
        <w:t>6409(a) rules</w:t>
      </w:r>
      <w:r w:rsidRPr="00AF42A7" w:rsidR="00D65813">
        <w:t xml:space="preserve"> </w:t>
      </w:r>
      <w:r w:rsidRPr="00AF42A7" w:rsidR="00634053">
        <w:t>in a manner that</w:t>
      </w:r>
      <w:r w:rsidRPr="00AF42A7" w:rsidR="00D65813">
        <w:t xml:space="preserve"> </w:t>
      </w:r>
      <w:r w:rsidRPr="00AF42A7" w:rsidR="00A45306">
        <w:t xml:space="preserve">will </w:t>
      </w:r>
      <w:r w:rsidRPr="00AF42A7" w:rsidR="0070724B">
        <w:t xml:space="preserve">ensure that the site boundaries from which </w:t>
      </w:r>
      <w:r w:rsidRPr="00AF42A7" w:rsidR="00761AD9">
        <w:t>limited</w:t>
      </w:r>
      <w:r w:rsidRPr="00AF42A7" w:rsidR="0070724B">
        <w:t xml:space="preserve"> expansion </w:t>
      </w:r>
      <w:r w:rsidRPr="00AF42A7" w:rsidR="00C31930">
        <w:t>is</w:t>
      </w:r>
      <w:r w:rsidRPr="00AF42A7" w:rsidR="0070724B">
        <w:t xml:space="preserve"> measured appropriately reflect prior state or local government</w:t>
      </w:r>
      <w:r w:rsidRPr="00AF42A7" w:rsidR="00542AF3">
        <w:t xml:space="preserve"> </w:t>
      </w:r>
      <w:r w:rsidRPr="00AF42A7" w:rsidR="00EF7D40">
        <w:t xml:space="preserve">review </w:t>
      </w:r>
      <w:r w:rsidRPr="00AF42A7" w:rsidR="00A45306">
        <w:t xml:space="preserve">and </w:t>
      </w:r>
      <w:r w:rsidRPr="00AF42A7" w:rsidR="0070724B">
        <w:t xml:space="preserve">approval. </w:t>
      </w:r>
      <w:r w:rsidRPr="00AF42A7" w:rsidR="00846128">
        <w:t xml:space="preserve"> </w:t>
      </w:r>
      <w:r w:rsidRPr="00AF42A7">
        <w:t>Our action</w:t>
      </w:r>
      <w:r w:rsidRPr="00AF42A7" w:rsidR="00A27726">
        <w:t>s</w:t>
      </w:r>
      <w:r w:rsidRPr="00AF42A7" w:rsidR="00FA5B6A">
        <w:t xml:space="preserve"> today</w:t>
      </w:r>
      <w:r w:rsidRPr="00AF42A7">
        <w:t xml:space="preserve"> </w:t>
      </w:r>
      <w:r w:rsidRPr="00AF42A7" w:rsidR="0071164E">
        <w:t>carefully</w:t>
      </w:r>
      <w:r w:rsidRPr="00AF42A7" w:rsidR="00D83F22">
        <w:t xml:space="preserve"> balance </w:t>
      </w:r>
      <w:r w:rsidRPr="00AF42A7" w:rsidR="0002743A">
        <w:t>the acceleration</w:t>
      </w:r>
      <w:r w:rsidRPr="00AF42A7" w:rsidR="003013D7">
        <w:t xml:space="preserve"> </w:t>
      </w:r>
      <w:r w:rsidRPr="00AF42A7" w:rsidR="0002743A">
        <w:t xml:space="preserve">of </w:t>
      </w:r>
      <w:r w:rsidRPr="00AF42A7" w:rsidR="003013D7">
        <w:t xml:space="preserve">the </w:t>
      </w:r>
      <w:r w:rsidRPr="00AF42A7" w:rsidR="001E3726">
        <w:t xml:space="preserve">deployment of advanced </w:t>
      </w:r>
      <w:r w:rsidRPr="00AF42A7" w:rsidR="007901C1">
        <w:t>wireless</w:t>
      </w:r>
      <w:r w:rsidRPr="00AF42A7" w:rsidR="001E3726">
        <w:t xml:space="preserve"> services, </w:t>
      </w:r>
      <w:r w:rsidRPr="00AF42A7" w:rsidR="007901C1">
        <w:t>particularly</w:t>
      </w:r>
      <w:r w:rsidRPr="00AF42A7" w:rsidR="001E3726">
        <w:t xml:space="preserve"> </w:t>
      </w:r>
      <w:r w:rsidRPr="00AF42A7" w:rsidR="002E3C2F">
        <w:t xml:space="preserve">through </w:t>
      </w:r>
      <w:r w:rsidRPr="00AF42A7">
        <w:t>the use of existing infrastructure where efficient</w:t>
      </w:r>
      <w:r w:rsidRPr="00AF42A7" w:rsidR="0086511E">
        <w:t xml:space="preserve"> to do so</w:t>
      </w:r>
      <w:r w:rsidRPr="00AF42A7">
        <w:t xml:space="preserve">, </w:t>
      </w:r>
      <w:r w:rsidRPr="00AF42A7" w:rsidR="004F3637">
        <w:t xml:space="preserve">with the preservation of </w:t>
      </w:r>
      <w:r w:rsidRPr="00AF42A7" w:rsidR="009A2F10">
        <w:t>s</w:t>
      </w:r>
      <w:r w:rsidRPr="00AF42A7" w:rsidR="002863F7">
        <w:t>tates’ and localities’ ability to manage and protect local land-use interests.</w:t>
      </w:r>
    </w:p>
    <w:p w:rsidR="007B43B9" w:rsidRPr="00AF42A7" w:rsidP="007B43B9" w14:paraId="7BF6E05D" w14:textId="77777777">
      <w:pPr>
        <w:pStyle w:val="Heading1"/>
      </w:pPr>
      <w:bookmarkStart w:id="7" w:name="_Toc51678354"/>
      <w:bookmarkStart w:id="8" w:name="_Toc55226808"/>
      <w:r w:rsidRPr="00AF42A7">
        <w:t>BACKGROUND</w:t>
      </w:r>
      <w:bookmarkEnd w:id="7"/>
      <w:bookmarkEnd w:id="8"/>
    </w:p>
    <w:p w:rsidR="007B43B9" w:rsidRPr="00A70EC8" w:rsidP="007B43B9" w14:paraId="490A560E" w14:textId="3B4FF96C">
      <w:pPr>
        <w:pStyle w:val="ParaNum"/>
        <w:tabs>
          <w:tab w:val="left" w:pos="1440"/>
        </w:tabs>
      </w:pPr>
      <w:r w:rsidRPr="00AF42A7">
        <w:t>To advance “Congress’</w:t>
      </w:r>
      <w:r w:rsidRPr="00AF42A7" w:rsidR="00B8419F">
        <w:t>s</w:t>
      </w:r>
      <w:r w:rsidRPr="00AF42A7">
        <w:t xml:space="preserve"> goal of facilitating rapid deployment</w:t>
      </w:r>
      <w:r w:rsidRPr="00AF42A7" w:rsidR="00415D8B">
        <w:t xml:space="preserve"> [of wireless broadband service]</w:t>
      </w:r>
      <w:r w:rsidRPr="00AF42A7">
        <w:t>”</w:t>
      </w:r>
      <w:r>
        <w:rPr>
          <w:rStyle w:val="FootnoteReference"/>
        </w:rPr>
        <w:footnoteReference w:id="6"/>
      </w:r>
      <w:r w:rsidRPr="00A70EC8">
        <w:t xml:space="preserve"> and </w:t>
      </w:r>
      <w:r w:rsidRPr="00A70EC8" w:rsidR="007C3795">
        <w:t xml:space="preserve">to </w:t>
      </w:r>
      <w:r w:rsidRPr="007C6360">
        <w:t xml:space="preserve">provide clarity to the industry, the Commission </w:t>
      </w:r>
      <w:r w:rsidRPr="007C6360" w:rsidR="007C3795">
        <w:t xml:space="preserve">in 2014 </w:t>
      </w:r>
      <w:r w:rsidRPr="00AF42A7">
        <w:t>adopted rules to implement section 6409(a) of the Spectrum Act of 2012.</w:t>
      </w:r>
      <w:r>
        <w:rPr>
          <w:rStyle w:val="FootnoteReference"/>
        </w:rPr>
        <w:footnoteReference w:id="7"/>
      </w:r>
      <w:r w:rsidRPr="00A70EC8">
        <w:t xml:space="preserve">  Section 6409(a) provides, in relevant part, that “[n]</w:t>
      </w:r>
      <w:r w:rsidRPr="00A70EC8">
        <w:t>otwithstanding</w:t>
      </w:r>
      <w:r w:rsidRPr="00A70EC8">
        <w:t xml:space="preserve"> [47 U.S.C. § 332(c)(7)] or any other provision of law, a State or local government may not deny, and shall approve, any eligible facilities request for a modification of an existing wireless tower or base station that does not subst</w:t>
      </w:r>
      <w:r w:rsidRPr="00AF42A7">
        <w:t>antially change the physical dimensions of such tower or base station.”</w:t>
      </w:r>
      <w:r>
        <w:rPr>
          <w:rStyle w:val="FootnoteReference"/>
        </w:rPr>
        <w:footnoteReference w:id="8"/>
      </w:r>
      <w:r w:rsidRPr="00A70EC8">
        <w:t xml:space="preserve">  Among other matters, the </w:t>
      </w:r>
      <w:r w:rsidRPr="00A70EC8">
        <w:rPr>
          <w:i/>
          <w:iCs/>
        </w:rPr>
        <w:t>2014 Infrastructure Order</w:t>
      </w:r>
      <w:r w:rsidRPr="007C6360">
        <w:t xml:space="preserve"> established a 60-day period in which a state or local government must approve an “eligible facilities request.”</w:t>
      </w:r>
      <w:r>
        <w:rPr>
          <w:rStyle w:val="FootnoteReference"/>
        </w:rPr>
        <w:footnoteReference w:id="9"/>
      </w:r>
      <w:r w:rsidRPr="00A70EC8">
        <w:t xml:space="preserve">  The Commission’s </w:t>
      </w:r>
      <w:r w:rsidRPr="007C6360">
        <w:t>rules define “eligible facilities request” as “</w:t>
      </w:r>
      <w:bookmarkStart w:id="9" w:name="a_2_B"/>
      <w:bookmarkStart w:id="10" w:name="a_2_C"/>
      <w:bookmarkEnd w:id="9"/>
      <w:bookmarkEnd w:id="10"/>
      <w:r w:rsidRPr="007C6360">
        <w:t>any request for modification of an existing tower or base station that does not substantially change the physical dimensions of such tower or base station, involving: (</w:t>
      </w:r>
      <w:r w:rsidRPr="007C6360">
        <w:t>i</w:t>
      </w:r>
      <w:r w:rsidRPr="007C6360">
        <w:t>) Collocation of new transmission equi</w:t>
      </w:r>
      <w:r w:rsidRPr="00AF42A7">
        <w:t xml:space="preserve">pment; (ii) Removal of transmission equipment; or (iii) Replacement of </w:t>
      </w:r>
      <w:r w:rsidRPr="00AF42A7">
        <w:t>transmission equipment.”</w:t>
      </w:r>
      <w:r>
        <w:rPr>
          <w:vertAlign w:val="superscript"/>
        </w:rPr>
        <w:footnoteReference w:id="10"/>
      </w:r>
      <w:r w:rsidRPr="00A70EC8">
        <w:t xml:space="preserve">  </w:t>
      </w:r>
    </w:p>
    <w:p w:rsidR="007B43B9" w:rsidRPr="00A70EC8" w:rsidP="00537C65" w14:paraId="2C94441C" w14:textId="0620807A">
      <w:pPr>
        <w:pStyle w:val="ParaNum"/>
        <w:widowControl/>
        <w:tabs>
          <w:tab w:val="left" w:pos="1440"/>
        </w:tabs>
      </w:pPr>
      <w:r w:rsidRPr="00A70EC8">
        <w:t xml:space="preserve">The </w:t>
      </w:r>
      <w:r w:rsidRPr="007C6360">
        <w:rPr>
          <w:i/>
          <w:iCs/>
        </w:rPr>
        <w:t>2014 Infrastructure Order</w:t>
      </w:r>
      <w:r w:rsidRPr="007C6360">
        <w:t xml:space="preserve"> adopted objective standards for determining when a proposed modification would “substantially change the physical dimensions” </w:t>
      </w:r>
      <w:r w:rsidRPr="00AF42A7">
        <w:t>of an existing tower or base station.</w:t>
      </w:r>
      <w:r>
        <w:rPr>
          <w:rStyle w:val="FootnoteReference"/>
        </w:rPr>
        <w:footnoteReference w:id="11"/>
      </w:r>
      <w:r w:rsidRPr="00A70EC8">
        <w:t xml:space="preserve">  Among other standards, the Commission determined “that a modification is a substantial change if it entails any excavation or deployment outside the current site of the tower or base station.”</w:t>
      </w:r>
      <w:r>
        <w:rPr>
          <w:rStyle w:val="FootnoteReference"/>
        </w:rPr>
        <w:footnoteReference w:id="12"/>
      </w:r>
      <w:r w:rsidRPr="00A70EC8">
        <w:t xml:space="preserve">  </w:t>
      </w:r>
      <w:r w:rsidRPr="00A70EC8">
        <w:rPr>
          <w:iCs/>
          <w:szCs w:val="22"/>
        </w:rPr>
        <w:t>The Commission defi</w:t>
      </w:r>
      <w:r w:rsidRPr="00AF42A7">
        <w:rPr>
          <w:iCs/>
          <w:szCs w:val="22"/>
        </w:rPr>
        <w:t>ned “site” for towers not located in the public rights-of-way as “the current boundaries of the leased or owned property surrounding the tower and any access or utility easements currently related to the site</w:t>
      </w:r>
      <w:r w:rsidRPr="00AF42A7" w:rsidR="00162682">
        <w:rPr>
          <w:iCs/>
          <w:szCs w:val="22"/>
        </w:rPr>
        <w:t>,</w:t>
      </w:r>
      <w:r w:rsidRPr="00AF42A7">
        <w:rPr>
          <w:iCs/>
          <w:szCs w:val="22"/>
        </w:rPr>
        <w:t>”</w:t>
      </w:r>
      <w:r w:rsidRPr="00AF42A7" w:rsidR="008971BB">
        <w:rPr>
          <w:iCs/>
          <w:szCs w:val="22"/>
        </w:rPr>
        <w:t xml:space="preserve"> and it defined “site” for other eligible support structures as being “further restricted to that area in proximity to the structure and to other transmission equipment already deployed on the ground.”</w:t>
      </w:r>
      <w:r>
        <w:rPr>
          <w:rStyle w:val="FootnoteReference"/>
          <w:iCs/>
          <w:szCs w:val="22"/>
        </w:rPr>
        <w:footnoteReference w:id="13"/>
      </w:r>
    </w:p>
    <w:p w:rsidR="007B43B9" w:rsidRPr="00A70EC8" w:rsidP="007B43B9" w14:paraId="4F05A4A9" w14:textId="6C9B78A0">
      <w:pPr>
        <w:pStyle w:val="ParaNum"/>
        <w:tabs>
          <w:tab w:val="left" w:pos="1440"/>
        </w:tabs>
      </w:pPr>
      <w:r w:rsidRPr="00A70EC8">
        <w:t xml:space="preserve">In adopting </w:t>
      </w:r>
      <w:r w:rsidRPr="007C6360" w:rsidR="004F195D">
        <w:t xml:space="preserve">the </w:t>
      </w:r>
      <w:r w:rsidRPr="007C6360">
        <w:t>standard</w:t>
      </w:r>
      <w:r w:rsidRPr="00AF42A7" w:rsidR="004F195D">
        <w:t xml:space="preserve"> for excavation and deployment that would be considered a substa</w:t>
      </w:r>
      <w:r w:rsidRPr="00AF42A7" w:rsidR="001D6961">
        <w:t>n</w:t>
      </w:r>
      <w:r w:rsidRPr="00AF42A7" w:rsidR="004F195D">
        <w:t>tial change under section 6409(a)</w:t>
      </w:r>
      <w:r w:rsidRPr="00AF42A7">
        <w:t xml:space="preserve">, the Commission </w:t>
      </w:r>
      <w:r w:rsidRPr="00AF42A7" w:rsidR="00940CC5">
        <w:t xml:space="preserve">looked to analogous concerns about impacts on historic </w:t>
      </w:r>
      <w:r w:rsidRPr="00AF42A7" w:rsidR="00715769">
        <w:t>properties</w:t>
      </w:r>
      <w:r w:rsidRPr="00AF42A7" w:rsidR="00940CC5">
        <w:t xml:space="preserve"> reflected in implementation of the National Historic Preservation Act</w:t>
      </w:r>
      <w:r w:rsidRPr="00AF42A7" w:rsidR="0080239B">
        <w:t xml:space="preserve"> and </w:t>
      </w:r>
      <w:r w:rsidRPr="00AF42A7">
        <w:t>primarily relied on similar language in the Collocation NPA.</w:t>
      </w:r>
      <w:r>
        <w:rPr>
          <w:rStyle w:val="FootnoteReference"/>
        </w:rPr>
        <w:footnoteReference w:id="14"/>
      </w:r>
      <w:r w:rsidRPr="00A70EC8">
        <w:rPr>
          <w:iCs/>
          <w:szCs w:val="22"/>
        </w:rPr>
        <w:t xml:space="preserve">  </w:t>
      </w:r>
      <w:r w:rsidRPr="00A70EC8" w:rsidR="009E0905">
        <w:rPr>
          <w:iCs/>
          <w:szCs w:val="22"/>
        </w:rPr>
        <w:t>At th</w:t>
      </w:r>
      <w:r w:rsidRPr="007C6360" w:rsidR="0042366A">
        <w:rPr>
          <w:iCs/>
          <w:szCs w:val="22"/>
        </w:rPr>
        <w:t>at</w:t>
      </w:r>
      <w:r w:rsidRPr="007C6360" w:rsidR="009E0905">
        <w:rPr>
          <w:iCs/>
          <w:szCs w:val="22"/>
        </w:rPr>
        <w:t xml:space="preserve"> time, the </w:t>
      </w:r>
      <w:r w:rsidRPr="00AF42A7" w:rsidR="009E0905">
        <w:rPr>
          <w:iCs/>
          <w:szCs w:val="22"/>
        </w:rPr>
        <w:t>Commission</w:t>
      </w:r>
      <w:r w:rsidRPr="00AF42A7">
        <w:t xml:space="preserve"> considered, but declined to adopt,</w:t>
      </w:r>
      <w:r>
        <w:rPr>
          <w:rStyle w:val="FootnoteReference"/>
        </w:rPr>
        <w:footnoteReference w:id="15"/>
      </w:r>
      <w:r w:rsidRPr="00A70EC8">
        <w:t xml:space="preserve"> a proposal to exclude from the scope of “substantial change” </w:t>
      </w:r>
      <w:r w:rsidRPr="00A70EC8" w:rsidR="001E2C15">
        <w:t>an</w:t>
      </w:r>
      <w:r w:rsidRPr="007C6360" w:rsidR="008B4AA7">
        <w:t>y</w:t>
      </w:r>
      <w:r w:rsidRPr="007C6360" w:rsidR="001E2C15">
        <w:t xml:space="preserve"> </w:t>
      </w:r>
      <w:r w:rsidRPr="00AF42A7">
        <w:t xml:space="preserve">excavation or </w:t>
      </w:r>
      <w:r w:rsidRPr="00AF42A7" w:rsidR="008B4AA7">
        <w:t>deployment of</w:t>
      </w:r>
      <w:r w:rsidRPr="00AF42A7">
        <w:t xml:space="preserve"> up to 30 feet in any direction of a site, </w:t>
      </w:r>
      <w:r w:rsidRPr="00AF42A7" w:rsidR="00F11C27">
        <w:t xml:space="preserve">a proposal that was </w:t>
      </w:r>
      <w:r w:rsidRPr="00AF42A7">
        <w:t>consistent with an exclusion from Section 106 review for replacement towers in the Wireless Facilities NPA.</w:t>
      </w:r>
      <w:r>
        <w:rPr>
          <w:rStyle w:val="FootnoteReference"/>
        </w:rPr>
        <w:footnoteReference w:id="16"/>
      </w:r>
      <w:r w:rsidRPr="00A70EC8">
        <w:t xml:space="preserve">  </w:t>
      </w:r>
      <w:r w:rsidRPr="00A70EC8" w:rsidR="00223A54">
        <w:t xml:space="preserve">In reconciling different </w:t>
      </w:r>
      <w:r w:rsidRPr="00AF42A7" w:rsidR="0000792A">
        <w:t>standards</w:t>
      </w:r>
      <w:r w:rsidRPr="00AF42A7" w:rsidR="00223A54">
        <w:t xml:space="preserve"> for potentially analogous deployments in the NPAs, </w:t>
      </w:r>
      <w:r w:rsidRPr="00AF42A7" w:rsidR="00F02AA3">
        <w:t>t</w:t>
      </w:r>
      <w:r w:rsidRPr="00AF42A7">
        <w:t>he</w:t>
      </w:r>
      <w:r w:rsidRPr="00AF42A7">
        <w:rPr>
          <w:i/>
          <w:iCs/>
        </w:rPr>
        <w:t xml:space="preserve"> </w:t>
      </w:r>
      <w:r w:rsidRPr="00AF42A7">
        <w:t>Commission reasoned that the activities covered under section 6409(a) “are more nearly analogous to those covered under the Collocation [NPA] than under the replacement towers exclusion in the [Wireless Facilities] NPA</w:t>
      </w:r>
      <w:r w:rsidRPr="00AF42A7" w:rsidR="001B0A5A">
        <w:t>,</w:t>
      </w:r>
      <w:r w:rsidRPr="00AF42A7">
        <w:t>”</w:t>
      </w:r>
      <w:r w:rsidRPr="00AF42A7" w:rsidR="001B0A5A">
        <w:t xml:space="preserve"> but </w:t>
      </w:r>
      <w:r w:rsidRPr="00AF42A7" w:rsidR="004862DF">
        <w:t xml:space="preserve">the Commission </w:t>
      </w:r>
      <w:r w:rsidRPr="00AF42A7" w:rsidR="001B0A5A">
        <w:t xml:space="preserve">did not explore the reasoning for the discrepancy between the NPAs, nor did </w:t>
      </w:r>
      <w:r w:rsidRPr="00AF42A7" w:rsidR="004862DF">
        <w:t>it</w:t>
      </w:r>
      <w:r w:rsidRPr="00AF42A7" w:rsidR="001B0A5A">
        <w:t xml:space="preserve"> further explain why it chose to borrow from the older NPA instead of the more modern one.</w:t>
      </w:r>
      <w:r>
        <w:rPr>
          <w:rStyle w:val="FootnoteReference"/>
        </w:rPr>
        <w:footnoteReference w:id="17"/>
      </w:r>
      <w:r w:rsidRPr="00A70EC8" w:rsidR="00806AA5">
        <w:t xml:space="preserve">  In addition, the Commission did not make a determination that it would be unreasonable to use 30 feet as a touchstone for defining what types of </w:t>
      </w:r>
      <w:r w:rsidRPr="00A70EC8" w:rsidR="00806AA5">
        <w:t>excavations would “substantially change th</w:t>
      </w:r>
      <w:r w:rsidRPr="007C6360" w:rsidR="00806AA5">
        <w:t xml:space="preserve">e physical dimensions of </w:t>
      </w:r>
      <w:r w:rsidRPr="00AF42A7" w:rsidR="00806AA5">
        <w:t>[an existing] tower or base station.”</w:t>
      </w:r>
      <w:r>
        <w:rPr>
          <w:rStyle w:val="FootnoteReference"/>
        </w:rPr>
        <w:footnoteReference w:id="18"/>
      </w:r>
      <w:r w:rsidRPr="00A70EC8" w:rsidR="00806AA5">
        <w:t xml:space="preserve">  Rather, the Commission established a reasonable, objective</w:t>
      </w:r>
      <w:r w:rsidRPr="00A70EC8" w:rsidR="00F66AC2">
        <w:t>,</w:t>
      </w:r>
      <w:r w:rsidRPr="007C6360" w:rsidR="00806AA5">
        <w:t xml:space="preserve"> and concrete set of criteria to eliminate the need for protracted local zoning review, in furtherance of the goals of the statute, by drawing guidance from</w:t>
      </w:r>
      <w:r w:rsidRPr="00AF42A7" w:rsidR="00806AA5">
        <w:t xml:space="preserve"> the consensus represented by the approach taken in the Collocation NPA.  That same</w:t>
      </w:r>
      <w:r w:rsidRPr="00AF42A7" w:rsidR="00806AA5">
        <w:t xml:space="preserve"> </w:t>
      </w:r>
      <w:r w:rsidRPr="00AF42A7" w:rsidR="00806AA5">
        <w:t xml:space="preserve">Collocation NPA, however, was recently amended to reflect an updated consensus on what might be best regarded as a substantial </w:t>
      </w:r>
      <w:r w:rsidRPr="00AF42A7" w:rsidR="00D33E73">
        <w:t>increase in the size</w:t>
      </w:r>
      <w:r w:rsidRPr="00AF42A7" w:rsidR="00806AA5">
        <w:t xml:space="preserve"> </w:t>
      </w:r>
      <w:r w:rsidRPr="00AF42A7" w:rsidR="00383190">
        <w:t>of</w:t>
      </w:r>
      <w:r w:rsidRPr="00AF42A7" w:rsidR="00806AA5">
        <w:t xml:space="preserve"> an existing tower, as it excludes a collocation from Section 106 review if it involves excavation </w:t>
      </w:r>
      <w:r w:rsidRPr="00AF42A7" w:rsidR="00C33023">
        <w:t>within</w:t>
      </w:r>
      <w:r w:rsidRPr="00AF42A7" w:rsidR="00806AA5">
        <w:t xml:space="preserve"> 30 feet outside the boundaries of the tower site.</w:t>
      </w:r>
      <w:r>
        <w:rPr>
          <w:rStyle w:val="FootnoteReference"/>
        </w:rPr>
        <w:footnoteReference w:id="19"/>
      </w:r>
    </w:p>
    <w:p w:rsidR="007B43B9" w:rsidRPr="00A70EC8" w:rsidP="007B43B9" w14:paraId="268AD3F8" w14:textId="236F890A">
      <w:pPr>
        <w:pStyle w:val="ParaNum"/>
        <w:tabs>
          <w:tab w:val="left" w:pos="1440"/>
        </w:tabs>
      </w:pPr>
      <w:r w:rsidRPr="00A70EC8">
        <w:t>On August 27, 2019, WIA filed a Petition for Declaratory Ruling requesting that the Commission clarify that, for towers o</w:t>
      </w:r>
      <w:r w:rsidRPr="00AF42A7">
        <w:t>ther than towers in the public rights-of-way, the “current site” for purposes of section 1.6100(b)(7)(iv) is the property leased or owned by the applicant at the time it submits a section 6409(a) application and not the initial site boundaries.</w:t>
      </w:r>
      <w:r>
        <w:rPr>
          <w:rStyle w:val="FootnoteReference"/>
        </w:rPr>
        <w:footnoteReference w:id="20"/>
      </w:r>
      <w:r w:rsidRPr="00A70EC8">
        <w:t xml:space="preserve">  On the same day, WIA also filed a Petition for Rulemaking requesting that the Commission amend its rules to</w:t>
      </w:r>
      <w:r w:rsidRPr="00AF42A7">
        <w:t xml:space="preserve"> establish that a modification would not cause a “substantial change” if it entails excavation or deployments at locations of up to 30 feet in any direction outside the boundaries of a tower compound.</w:t>
      </w:r>
      <w:r>
        <w:rPr>
          <w:vertAlign w:val="superscript"/>
        </w:rPr>
        <w:footnoteReference w:id="21"/>
      </w:r>
    </w:p>
    <w:p w:rsidR="007B43B9" w:rsidRPr="00A70EC8" w:rsidP="007B43B9" w14:paraId="36F28C23" w14:textId="3645DF68">
      <w:pPr>
        <w:pStyle w:val="ParaNum"/>
        <w:tabs>
          <w:tab w:val="left" w:pos="1440"/>
        </w:tabs>
      </w:pPr>
      <w:r w:rsidRPr="00A70EC8">
        <w:t xml:space="preserve">On June 10, 2020, the Commission adopted a </w:t>
      </w:r>
      <w:r w:rsidRPr="007C6360">
        <w:rPr>
          <w:i/>
          <w:iCs/>
        </w:rPr>
        <w:t>Notice of Proposed Rulemaking</w:t>
      </w:r>
      <w:r w:rsidRPr="00AF42A7">
        <w:t xml:space="preserve"> that sought comment on two issues regarding the scope of the streamlined application process under section 6409(a):  (</w:t>
      </w:r>
      <w:r w:rsidRPr="00AF42A7">
        <w:t>i</w:t>
      </w:r>
      <w:r w:rsidRPr="00AF42A7">
        <w:t>) the definition of “site” under section 1.6100(b)(6); and (ii) the scope of modifications under section 1.6100(b)(7)(iv).</w:t>
      </w:r>
      <w:r>
        <w:rPr>
          <w:rStyle w:val="FootnoteReference"/>
        </w:rPr>
        <w:footnoteReference w:id="22"/>
      </w:r>
      <w:r w:rsidRPr="00A70EC8">
        <w:t xml:space="preserve">  The Commission proposed to revise the definition of site “to make clear that ‘site’ refers to the boundary of the leased or owned property surrounding the tower and any access or utility easements currently related to the site as of the date that </w:t>
      </w:r>
      <w:r w:rsidRPr="00AF42A7">
        <w:t>the facility was last reviewed and approved by a locality.”</w:t>
      </w:r>
      <w:r>
        <w:rPr>
          <w:rStyle w:val="FootnoteReference"/>
        </w:rPr>
        <w:footnoteReference w:id="23"/>
      </w:r>
      <w:r w:rsidRPr="00A70EC8">
        <w:t xml:space="preserve">  The Commission also proposed “to </w:t>
      </w:r>
      <w:bookmarkStart w:id="12" w:name="_Hlk42270869"/>
      <w:r w:rsidRPr="00A70EC8">
        <w:t>amend section 1.6100(b)(7)(iv) so that modification of an existing facility that entails ground excavation or deployment of up to 30 feet in any direction outsi</w:t>
      </w:r>
      <w:r w:rsidRPr="007C6360">
        <w:t xml:space="preserve">de the facility’s site </w:t>
      </w:r>
      <w:bookmarkEnd w:id="12"/>
      <w:r w:rsidRPr="007C6360">
        <w:t>will be eligible for streamlined processing under section 6409(a).”</w:t>
      </w:r>
      <w:r>
        <w:rPr>
          <w:rStyle w:val="FootnoteReference"/>
        </w:rPr>
        <w:footnoteReference w:id="24"/>
      </w:r>
      <w:r w:rsidRPr="00A70EC8">
        <w:t xml:space="preserve">  The </w:t>
      </w:r>
      <w:r w:rsidRPr="00A70EC8">
        <w:rPr>
          <w:i/>
          <w:iCs/>
        </w:rPr>
        <w:t xml:space="preserve">Notice </w:t>
      </w:r>
      <w:r w:rsidRPr="007C6360">
        <w:t>asked, in the alternative, whether the Commission “should</w:t>
      </w:r>
      <w:r w:rsidRPr="00AF42A7">
        <w:t xml:space="preserve"> revise the definition of site in section 1.6100(b)(6), as proposed above, without making the proposed change to section 1.6100(b)(7)(iv) for excavation or deployment of up to 30 feet outside the site.”</w:t>
      </w:r>
      <w:r>
        <w:rPr>
          <w:rStyle w:val="FootnoteReference"/>
        </w:rPr>
        <w:footnoteReference w:id="25"/>
      </w:r>
      <w:r w:rsidRPr="00A70EC8">
        <w:t xml:space="preserve">  </w:t>
      </w:r>
      <w:r w:rsidRPr="00A70EC8" w:rsidR="0054079F">
        <w:t>In addition, t</w:t>
      </w:r>
      <w:r w:rsidRPr="007C6360">
        <w:t xml:space="preserve">he </w:t>
      </w:r>
      <w:r w:rsidRPr="007C6360">
        <w:rPr>
          <w:i/>
          <w:iCs/>
        </w:rPr>
        <w:t>Notice</w:t>
      </w:r>
      <w:r w:rsidRPr="00AF42A7">
        <w:t xml:space="preserve"> asked “whether to define site in section 1.6100(b)(6) as the boundary of the leased or owned property surrounding the tower and any access or utility easements related to the site </w:t>
      </w:r>
      <w:r w:rsidRPr="00AF42A7">
        <w:rPr>
          <w:i/>
          <w:iCs/>
        </w:rPr>
        <w:t>as of the date an applicant submits a modification request</w:t>
      </w:r>
      <w:r w:rsidRPr="00AF42A7">
        <w:t>.”</w:t>
      </w:r>
      <w:r>
        <w:rPr>
          <w:rStyle w:val="FootnoteReference"/>
        </w:rPr>
        <w:footnoteReference w:id="26"/>
      </w:r>
      <w:r w:rsidRPr="00A70EC8" w:rsidR="009312D8">
        <w:t xml:space="preserve">  Finally, the </w:t>
      </w:r>
      <w:r w:rsidRPr="00A70EC8" w:rsidR="009312D8">
        <w:rPr>
          <w:i/>
        </w:rPr>
        <w:t>Notice</w:t>
      </w:r>
      <w:r w:rsidRPr="007C6360" w:rsidR="009312D8">
        <w:t xml:space="preserve"> asked about alternatives to the proposals, costs, and benefits.</w:t>
      </w:r>
      <w:r>
        <w:rPr>
          <w:rStyle w:val="FootnoteReference"/>
        </w:rPr>
        <w:footnoteReference w:id="27"/>
      </w:r>
    </w:p>
    <w:p w:rsidR="007B43B9" w:rsidRPr="007C6360" w:rsidP="007B43B9" w14:paraId="11F6F9A7" w14:textId="77777777">
      <w:pPr>
        <w:pStyle w:val="Heading1"/>
      </w:pPr>
      <w:bookmarkStart w:id="13" w:name="_Toc51678355"/>
      <w:bookmarkStart w:id="14" w:name="_Toc55226809"/>
      <w:r w:rsidRPr="00A70EC8">
        <w:t>DISCUSSION</w:t>
      </w:r>
      <w:bookmarkEnd w:id="13"/>
      <w:bookmarkEnd w:id="14"/>
    </w:p>
    <w:p w:rsidR="007B43B9" w:rsidRPr="00AF42A7" w:rsidP="007B43B9" w14:paraId="4AD43477" w14:textId="2998D68C">
      <w:pPr>
        <w:pStyle w:val="ParaNum"/>
        <w:tabs>
          <w:tab w:val="left" w:pos="1440"/>
        </w:tabs>
        <w:rPr>
          <w:szCs w:val="22"/>
        </w:rPr>
      </w:pPr>
      <w:r w:rsidRPr="00AF42A7">
        <w:rPr>
          <w:rFonts w:cs="Calibri"/>
        </w:rPr>
        <w:t xml:space="preserve">After reviewing the record in this proceeding, we </w:t>
      </w:r>
      <w:r w:rsidRPr="00AF42A7" w:rsidR="00631ACE">
        <w:rPr>
          <w:rFonts w:cs="Calibri"/>
        </w:rPr>
        <w:t xml:space="preserve">make targeted revisions to </w:t>
      </w:r>
      <w:r w:rsidRPr="00AF42A7" w:rsidR="000E3C94">
        <w:rPr>
          <w:rFonts w:cs="Calibri"/>
        </w:rPr>
        <w:t>section</w:t>
      </w:r>
      <w:r w:rsidRPr="00AF42A7" w:rsidR="002C0AC2">
        <w:rPr>
          <w:rFonts w:cs="Calibri"/>
        </w:rPr>
        <w:t>s</w:t>
      </w:r>
      <w:r w:rsidRPr="00AF42A7" w:rsidR="000E3C94">
        <w:rPr>
          <w:rFonts w:cs="Calibri"/>
        </w:rPr>
        <w:t xml:space="preserve"> 1.6100(b)(7)(iv) </w:t>
      </w:r>
      <w:r w:rsidRPr="00AF42A7" w:rsidR="0088763B">
        <w:rPr>
          <w:rFonts w:cs="Calibri"/>
        </w:rPr>
        <w:t xml:space="preserve">and </w:t>
      </w:r>
      <w:r w:rsidRPr="00AF42A7" w:rsidR="000E3C94">
        <w:rPr>
          <w:rFonts w:cs="Calibri"/>
        </w:rPr>
        <w:t>1.6100(b)(</w:t>
      </w:r>
      <w:r w:rsidRPr="00AF42A7" w:rsidR="002C0AC2">
        <w:rPr>
          <w:rFonts w:cs="Calibri"/>
        </w:rPr>
        <w:t>6) of</w:t>
      </w:r>
      <w:r w:rsidRPr="00AF42A7" w:rsidR="0088763B">
        <w:rPr>
          <w:rFonts w:cs="Calibri"/>
        </w:rPr>
        <w:t xml:space="preserve"> </w:t>
      </w:r>
      <w:r w:rsidRPr="00AF42A7">
        <w:rPr>
          <w:rFonts w:cs="Calibri"/>
        </w:rPr>
        <w:t xml:space="preserve">our rules to </w:t>
      </w:r>
      <w:r w:rsidRPr="00AF42A7">
        <w:t xml:space="preserve">broaden the scope of wireless facility modifications that are eligible for streamlined review under section 6409(a). </w:t>
      </w:r>
      <w:r w:rsidRPr="00AF42A7">
        <w:rPr>
          <w:rFonts w:cs="Calibri"/>
        </w:rPr>
        <w:t xml:space="preserve"> The Commission has considered collocation a tool for advancing wireless services’ deployment for over three decades.</w:t>
      </w:r>
      <w:r>
        <w:rPr>
          <w:rStyle w:val="FootnoteReference"/>
          <w:rFonts w:cs="Calibri"/>
        </w:rPr>
        <w:footnoteReference w:id="28"/>
      </w:r>
      <w:r w:rsidRPr="00A70EC8">
        <w:rPr>
          <w:rFonts w:cs="Calibri"/>
        </w:rPr>
        <w:t xml:space="preserve">  As the Commission noted in the </w:t>
      </w:r>
      <w:r w:rsidRPr="00A70EC8">
        <w:rPr>
          <w:rFonts w:cs="Calibri"/>
          <w:i/>
          <w:iCs/>
        </w:rPr>
        <w:t>2014 Infrastructure Order</w:t>
      </w:r>
      <w:r w:rsidRPr="007C6360">
        <w:rPr>
          <w:rFonts w:cs="Calibri"/>
        </w:rPr>
        <w:t>,</w:t>
      </w:r>
      <w:r w:rsidRPr="007C6360">
        <w:rPr>
          <w:rFonts w:cs="Calibri"/>
          <w:i/>
          <w:iCs/>
        </w:rPr>
        <w:t xml:space="preserve"> </w:t>
      </w:r>
      <w:r w:rsidRPr="00AF42A7">
        <w:rPr>
          <w:rFonts w:cs="Calibri"/>
        </w:rPr>
        <w:t>collocation “is often the most efficient and economical solution for mobile wireless service providers that need new cell sites to expand their existing coverage area, increase their capacity, or deploy new advanced services.”</w:t>
      </w:r>
      <w:r>
        <w:rPr>
          <w:rStyle w:val="FootnoteReference"/>
          <w:rFonts w:cs="Calibri"/>
        </w:rPr>
        <w:footnoteReference w:id="29"/>
      </w:r>
      <w:r w:rsidRPr="00A70EC8">
        <w:rPr>
          <w:rFonts w:cs="Calibri"/>
        </w:rPr>
        <w:t xml:space="preserve">  The actions we take today will further streamline the</w:t>
      </w:r>
      <w:r w:rsidRPr="007C6360" w:rsidR="00F244F4">
        <w:rPr>
          <w:rFonts w:cs="Calibri"/>
        </w:rPr>
        <w:t xml:space="preserve"> </w:t>
      </w:r>
      <w:r w:rsidRPr="00AF42A7" w:rsidR="00F244F4">
        <w:rPr>
          <w:rFonts w:cs="Calibri"/>
        </w:rPr>
        <w:t>approval process for</w:t>
      </w:r>
      <w:r w:rsidRPr="00AF42A7">
        <w:rPr>
          <w:rFonts w:cs="Calibri"/>
        </w:rPr>
        <w:t xml:space="preserve"> us</w:t>
      </w:r>
      <w:r w:rsidRPr="00AF42A7" w:rsidR="00F244F4">
        <w:rPr>
          <w:rFonts w:cs="Calibri"/>
        </w:rPr>
        <w:t>ing</w:t>
      </w:r>
      <w:r w:rsidRPr="00AF42A7">
        <w:rPr>
          <w:rFonts w:cs="Calibri"/>
        </w:rPr>
        <w:t xml:space="preserve"> existing infrastructure to expedite wireless connectivity efforts nationwide</w:t>
      </w:r>
      <w:r w:rsidRPr="00AF42A7" w:rsidR="004F0518">
        <w:rPr>
          <w:rFonts w:cs="Calibri"/>
        </w:rPr>
        <w:t xml:space="preserve"> while preserving localities’ </w:t>
      </w:r>
      <w:r w:rsidRPr="00AF42A7" w:rsidR="00E4286B">
        <w:rPr>
          <w:rFonts w:cs="Calibri"/>
        </w:rPr>
        <w:t>ability to manage local zoning</w:t>
      </w:r>
      <w:r w:rsidRPr="00AF42A7">
        <w:rPr>
          <w:rFonts w:cs="Calibri"/>
        </w:rPr>
        <w:t xml:space="preserve">.  </w:t>
      </w:r>
    </w:p>
    <w:p w:rsidR="00553D7C" w:rsidRPr="00A70EC8" w:rsidP="005B25A8" w14:paraId="08868664" w14:textId="2F17B429">
      <w:pPr>
        <w:pStyle w:val="ParaNum"/>
      </w:pPr>
      <w:r w:rsidRPr="00AF42A7">
        <w:t xml:space="preserve">First, we amend section 1.6100(b)(7)(iv) to provide that, for towers not located in the public rights-of-way, a modification of an existing site that entails ground excavation or deployment </w:t>
      </w:r>
      <w:r w:rsidRPr="002D3456" w:rsidR="004105ED">
        <w:rPr>
          <w:rFonts w:eastAsia="Calibri"/>
          <w:kern w:val="0"/>
        </w:rPr>
        <w:t xml:space="preserve">of </w:t>
      </w:r>
      <w:r w:rsidRPr="00A70EC8" w:rsidR="004105ED">
        <w:rPr>
          <w:rFonts w:eastAsia="Calibri"/>
          <w:snapToGrid/>
          <w:kern w:val="0"/>
          <w:szCs w:val="22"/>
        </w:rPr>
        <w:t xml:space="preserve">transmission equipment </w:t>
      </w:r>
      <w:r w:rsidRPr="00A70EC8">
        <w:t xml:space="preserve">of </w:t>
      </w:r>
      <w:r w:rsidRPr="007C6360">
        <w:t xml:space="preserve">up to 30 feet in any direction outside a tower’s site </w:t>
      </w:r>
      <w:r w:rsidRPr="00AF42A7">
        <w:t>will</w:t>
      </w:r>
      <w:r w:rsidRPr="00A70EC8">
        <w:t xml:space="preserve"> </w:t>
      </w:r>
      <w:r w:rsidRPr="00A70EC8" w:rsidR="00AC46C5">
        <w:t xml:space="preserve">not </w:t>
      </w:r>
      <w:r w:rsidRPr="007C6360">
        <w:t xml:space="preserve">be </w:t>
      </w:r>
      <w:r w:rsidRPr="007C6360" w:rsidR="00F91C9E">
        <w:t>disqu</w:t>
      </w:r>
      <w:r w:rsidRPr="00AF42A7" w:rsidR="00F91C9E">
        <w:t>alified</w:t>
      </w:r>
      <w:r w:rsidRPr="00AF42A7" w:rsidR="00915D3E">
        <w:t xml:space="preserve"> from</w:t>
      </w:r>
      <w:r w:rsidRPr="00AF42A7">
        <w:t xml:space="preserve"> streamlined processing under section 6409(a)</w:t>
      </w:r>
      <w:r w:rsidRPr="00AF42A7" w:rsidR="0099337D">
        <w:t xml:space="preserve"> on that basis</w:t>
      </w:r>
      <w:r w:rsidRPr="00AF42A7">
        <w:t>.</w:t>
      </w:r>
      <w:r>
        <w:rPr>
          <w:rStyle w:val="FootnoteReference"/>
        </w:rPr>
        <w:footnoteReference w:id="30"/>
      </w:r>
      <w:r w:rsidRPr="00AF42A7">
        <w:t xml:space="preserve">  </w:t>
      </w:r>
      <w:r w:rsidRPr="00AF42A7">
        <w:t>In general, section 1.6100(b)(7) describes when an eligible facilities request will “substantially change the physical dimensions” of a facility under section 6409(a).</w:t>
      </w:r>
      <w:r>
        <w:rPr>
          <w:vertAlign w:val="superscript"/>
        </w:rPr>
        <w:footnoteReference w:id="31"/>
      </w:r>
      <w:r w:rsidRPr="00A70EC8">
        <w:t xml:space="preserve">  Because the statutory t</w:t>
      </w:r>
      <w:r w:rsidRPr="007C6360">
        <w:t>erm “substantially change” is ambiguous,</w:t>
      </w:r>
      <w:r>
        <w:rPr>
          <w:vertAlign w:val="superscript"/>
        </w:rPr>
        <w:footnoteReference w:id="32"/>
      </w:r>
      <w:r w:rsidRPr="00A70EC8">
        <w:t xml:space="preserve"> section 1.6100(b)(7) elaborates on the phrase by providing numerical and objective criteria for determining when a proposed expansion will “substantially change” the dimensions of a facility. </w:t>
      </w:r>
      <w:r w:rsidRPr="00A70EC8" w:rsidR="000C1223">
        <w:t xml:space="preserve"> </w:t>
      </w:r>
      <w:r w:rsidRPr="007C6360">
        <w:t>For the reasons expl</w:t>
      </w:r>
      <w:r w:rsidRPr="00AF42A7">
        <w:t>ained more fully below, we conclude that proposed ground excavation or deployment of up to 30 feet in any direction outside a tower’s site is sufficiently modest so as not to “substantially change the physical dimensions” of a tower or base station, and that this amendment to our rules thus represents a permissible construction of section 6409(a).</w:t>
      </w:r>
      <w:r>
        <w:rPr>
          <w:vertAlign w:val="superscript"/>
        </w:rPr>
        <w:footnoteReference w:id="33"/>
      </w:r>
    </w:p>
    <w:p w:rsidR="00E531C6" w:rsidRPr="00AF42A7" w:rsidP="005B25A8" w14:paraId="5CAF6568" w14:textId="09F85785">
      <w:pPr>
        <w:pStyle w:val="ParaNum"/>
      </w:pPr>
      <w:r w:rsidRPr="00A70EC8">
        <w:t xml:space="preserve">In promulgating </w:t>
      </w:r>
      <w:r w:rsidRPr="007C6360" w:rsidR="00952F2B">
        <w:t xml:space="preserve">the initial </w:t>
      </w:r>
      <w:r w:rsidRPr="007C6360">
        <w:t xml:space="preserve">rules </w:t>
      </w:r>
      <w:r w:rsidRPr="00AF42A7" w:rsidR="00270DA9">
        <w:t>to implement section 6409(a), t</w:t>
      </w:r>
      <w:r w:rsidRPr="00AF42A7" w:rsidR="002437DB">
        <w:t xml:space="preserve">he Commission </w:t>
      </w:r>
      <w:r w:rsidRPr="00AF42A7" w:rsidR="00B455DD">
        <w:t>determined</w:t>
      </w:r>
      <w:r w:rsidRPr="00AF42A7" w:rsidR="002437DB">
        <w:t xml:space="preserve"> that </w:t>
      </w:r>
      <w:r w:rsidRPr="00AF42A7" w:rsidR="005E0FE6">
        <w:t>“an objective definition</w:t>
      </w:r>
      <w:r w:rsidRPr="00AF42A7" w:rsidR="00A60601">
        <w:t>”</w:t>
      </w:r>
      <w:r w:rsidRPr="00AF42A7" w:rsidR="005E0FE6">
        <w:t xml:space="preserve"> </w:t>
      </w:r>
      <w:r w:rsidRPr="00AF42A7" w:rsidR="008D6C97">
        <w:t xml:space="preserve">of what constitutes a substantial change </w:t>
      </w:r>
      <w:r w:rsidRPr="00AF42A7" w:rsidR="00F75CAA">
        <w:t>“</w:t>
      </w:r>
      <w:r w:rsidRPr="00AF42A7" w:rsidR="005E0FE6">
        <w:t>will provide an appropriate balance between municipal flexibility and the rapid deployment of covered facilities.</w:t>
      </w:r>
      <w:r w:rsidRPr="00AF42A7" w:rsidR="00A60601">
        <w:t>”</w:t>
      </w:r>
      <w:r>
        <w:rPr>
          <w:rStyle w:val="FootnoteReference"/>
        </w:rPr>
        <w:footnoteReference w:id="34"/>
      </w:r>
      <w:r w:rsidRPr="00A70EC8" w:rsidR="005E0FE6">
        <w:t xml:space="preserve">  </w:t>
      </w:r>
      <w:r w:rsidRPr="00A70EC8" w:rsidR="00EE2559">
        <w:t xml:space="preserve">With respect to excavation and deployment </w:t>
      </w:r>
      <w:r w:rsidRPr="00AF42A7" w:rsidR="00040D2C">
        <w:t xml:space="preserve">in association with </w:t>
      </w:r>
      <w:r w:rsidRPr="00AF42A7" w:rsidR="00F43382">
        <w:t>modifications</w:t>
      </w:r>
      <w:r w:rsidRPr="00AF42A7" w:rsidR="00040D2C">
        <w:t xml:space="preserve"> to existing structures</w:t>
      </w:r>
      <w:r w:rsidRPr="00AF42A7" w:rsidR="0020755F">
        <w:t xml:space="preserve">, </w:t>
      </w:r>
      <w:r w:rsidRPr="00AF42A7" w:rsidR="00867F7C">
        <w:t xml:space="preserve">the </w:t>
      </w:r>
      <w:r w:rsidRPr="00AF42A7" w:rsidR="00F43382">
        <w:t>Commission</w:t>
      </w:r>
      <w:r w:rsidRPr="00AF42A7" w:rsidR="000C5B97">
        <w:t xml:space="preserve"> found that the </w:t>
      </w:r>
      <w:r w:rsidRPr="00AF42A7" w:rsidR="00F43382">
        <w:t>appropriate</w:t>
      </w:r>
      <w:r w:rsidRPr="00AF42A7" w:rsidR="000C5B97">
        <w:t xml:space="preserve"> standard for what </w:t>
      </w:r>
      <w:r w:rsidRPr="00AF42A7" w:rsidR="00AB768F">
        <w:t>constitutes</w:t>
      </w:r>
      <w:r w:rsidRPr="00AF42A7" w:rsidR="000C5B97">
        <w:t xml:space="preserve"> a </w:t>
      </w:r>
      <w:r w:rsidRPr="00AF42A7" w:rsidR="00AB768F">
        <w:t>substantial</w:t>
      </w:r>
      <w:r w:rsidRPr="00AF42A7" w:rsidR="000C5B97">
        <w:t xml:space="preserve"> change </w:t>
      </w:r>
      <w:r w:rsidRPr="00AF42A7" w:rsidR="002016BE">
        <w:t xml:space="preserve">was any </w:t>
      </w:r>
      <w:r w:rsidRPr="00AF42A7" w:rsidR="009A6B2B">
        <w:t xml:space="preserve">excavation </w:t>
      </w:r>
      <w:r w:rsidRPr="00AF42A7" w:rsidR="00CA63DF">
        <w:t>or</w:t>
      </w:r>
      <w:r w:rsidRPr="00AF42A7" w:rsidR="009A6B2B">
        <w:t xml:space="preserve"> deployment outside of the </w:t>
      </w:r>
      <w:r w:rsidRPr="00AF42A7" w:rsidR="00F14134">
        <w:t xml:space="preserve">site </w:t>
      </w:r>
      <w:r w:rsidRPr="00AF42A7" w:rsidR="00AB768F">
        <w:t>boundaries</w:t>
      </w:r>
      <w:r w:rsidRPr="00AF42A7" w:rsidR="00F14134">
        <w:t xml:space="preserve">.  </w:t>
      </w:r>
      <w:r w:rsidRPr="00AF42A7" w:rsidR="00E0232A">
        <w:t xml:space="preserve">Here, we conclude that </w:t>
      </w:r>
      <w:r w:rsidRPr="00AF42A7" w:rsidR="00BB37BE">
        <w:t xml:space="preserve">a revision to this </w:t>
      </w:r>
      <w:r w:rsidRPr="00AF42A7" w:rsidR="00BB37BE">
        <w:t xml:space="preserve">standard </w:t>
      </w:r>
      <w:r w:rsidRPr="00AF42A7" w:rsidR="00B46E57">
        <w:t xml:space="preserve">is warranted by </w:t>
      </w:r>
      <w:r w:rsidRPr="00AF42A7" w:rsidR="000D0CBC">
        <w:t xml:space="preserve">certain </w:t>
      </w:r>
      <w:r w:rsidRPr="00AF42A7" w:rsidR="000304CD">
        <w:t>changes since our initia</w:t>
      </w:r>
      <w:r w:rsidRPr="00AF42A7" w:rsidR="001A2024">
        <w:t>l</w:t>
      </w:r>
      <w:r w:rsidRPr="00AF42A7" w:rsidR="000304CD">
        <w:t xml:space="preserve"> </w:t>
      </w:r>
      <w:r w:rsidRPr="00AF42A7" w:rsidR="00AB768F">
        <w:t>determination</w:t>
      </w:r>
      <w:r w:rsidRPr="00AF42A7" w:rsidR="000D0CBC">
        <w:t xml:space="preserve">:  </w:t>
      </w:r>
      <w:r w:rsidRPr="00AF42A7" w:rsidR="000304CD">
        <w:t xml:space="preserve">the </w:t>
      </w:r>
      <w:r w:rsidRPr="00AF42A7" w:rsidR="00915723">
        <w:t xml:space="preserve">recent </w:t>
      </w:r>
      <w:r w:rsidRPr="00AF42A7" w:rsidR="00535268">
        <w:t xml:space="preserve">recognition </w:t>
      </w:r>
      <w:r w:rsidRPr="00AF42A7" w:rsidR="0000759B">
        <w:t xml:space="preserve">by the Advisory Council on Historic Preservation </w:t>
      </w:r>
      <w:r w:rsidRPr="00AF42A7" w:rsidR="00326A25">
        <w:t xml:space="preserve">and the National </w:t>
      </w:r>
      <w:r w:rsidRPr="00AF42A7" w:rsidR="00355DAE">
        <w:t>Conference</w:t>
      </w:r>
      <w:r w:rsidRPr="00AF42A7" w:rsidR="00326A25">
        <w:t xml:space="preserve"> of State Historic Preservation Officers </w:t>
      </w:r>
      <w:r w:rsidRPr="00AF42A7" w:rsidR="00535268">
        <w:t xml:space="preserve">of </w:t>
      </w:r>
      <w:r w:rsidRPr="00AF42A7" w:rsidR="00DC3F83">
        <w:t xml:space="preserve">30 feet as an appropriate threshold in </w:t>
      </w:r>
      <w:r w:rsidRPr="00AF42A7" w:rsidR="00DF1FE9">
        <w:t xml:space="preserve">the </w:t>
      </w:r>
      <w:r w:rsidRPr="00AF42A7" w:rsidR="00022FAB">
        <w:t xml:space="preserve">context of </w:t>
      </w:r>
      <w:r w:rsidRPr="00AF42A7" w:rsidR="00825FAE">
        <w:t xml:space="preserve">federal </w:t>
      </w:r>
      <w:r w:rsidRPr="00AF42A7" w:rsidR="00022FAB">
        <w:t xml:space="preserve">historic preservation review of </w:t>
      </w:r>
      <w:r w:rsidRPr="00AF42A7" w:rsidR="00AB768F">
        <w:t>collocations</w:t>
      </w:r>
      <w:r w:rsidRPr="00AF42A7" w:rsidR="004A5F65">
        <w:t>;</w:t>
      </w:r>
      <w:r w:rsidRPr="00AF42A7" w:rsidR="00022FAB">
        <w:t xml:space="preserve"> </w:t>
      </w:r>
      <w:r w:rsidRPr="00AF42A7" w:rsidR="00C366E3">
        <w:t xml:space="preserve">and </w:t>
      </w:r>
      <w:r w:rsidRPr="00AF42A7" w:rsidR="00A75670">
        <w:t xml:space="preserve">the ongoing </w:t>
      </w:r>
      <w:r w:rsidRPr="00AF42A7" w:rsidR="00C36895">
        <w:t>evolution of wireless networks</w:t>
      </w:r>
      <w:r w:rsidRPr="00AF42A7" w:rsidR="00F83F54">
        <w:t xml:space="preserve"> that rely on </w:t>
      </w:r>
      <w:r w:rsidRPr="00AF42A7" w:rsidR="00914A4B">
        <w:t xml:space="preserve">an increasing number of </w:t>
      </w:r>
      <w:r w:rsidRPr="00AF42A7" w:rsidR="00AB768F">
        <w:t>collocations</w:t>
      </w:r>
      <w:r w:rsidRPr="00AF42A7" w:rsidR="00DF2111">
        <w:t xml:space="preserve">, where </w:t>
      </w:r>
      <w:r w:rsidRPr="00AF42A7" w:rsidR="00871C6F">
        <w:t xml:space="preserve">they are </w:t>
      </w:r>
      <w:r w:rsidRPr="00AF42A7" w:rsidR="00DF2111">
        <w:t xml:space="preserve">an efficient </w:t>
      </w:r>
      <w:r w:rsidRPr="00AF42A7" w:rsidR="00705709">
        <w:t>alternative</w:t>
      </w:r>
      <w:r w:rsidRPr="00AF42A7" w:rsidR="00DF2111">
        <w:t xml:space="preserve"> to new </w:t>
      </w:r>
      <w:r w:rsidRPr="00AF42A7" w:rsidR="00BE777D">
        <w:t xml:space="preserve">tower </w:t>
      </w:r>
      <w:r w:rsidRPr="00AF42A7" w:rsidR="00DF2111">
        <w:t xml:space="preserve">construction, </w:t>
      </w:r>
      <w:r w:rsidRPr="00AF42A7" w:rsidR="00A230BB">
        <w:t xml:space="preserve">to meet the rising demand for </w:t>
      </w:r>
      <w:r w:rsidRPr="00AF42A7" w:rsidR="0076117D">
        <w:t xml:space="preserve">advanced wireless services.  </w:t>
      </w:r>
      <w:r w:rsidRPr="00AF42A7" w:rsidR="0093365F">
        <w:t xml:space="preserve">In </w:t>
      </w:r>
      <w:r w:rsidRPr="00AF42A7" w:rsidR="007052C2">
        <w:t xml:space="preserve">light of these changes, </w:t>
      </w:r>
      <w:r w:rsidRPr="00AF42A7" w:rsidR="008C5B38">
        <w:t xml:space="preserve">we </w:t>
      </w:r>
      <w:r w:rsidRPr="00AF42A7" w:rsidR="00647559">
        <w:t xml:space="preserve">conclude that </w:t>
      </w:r>
      <w:r w:rsidRPr="00AF42A7" w:rsidR="00FA2CBC">
        <w:t xml:space="preserve">it is reasonable to adjust </w:t>
      </w:r>
      <w:r w:rsidRPr="00AF42A7" w:rsidR="005757AF">
        <w:t xml:space="preserve">the line drawn by the </w:t>
      </w:r>
      <w:r w:rsidRPr="00AF42A7" w:rsidR="00722B99">
        <w:t>Commission</w:t>
      </w:r>
      <w:r w:rsidRPr="00AF42A7" w:rsidR="005757AF">
        <w:t xml:space="preserve"> in 2014 for streamlined treatment of excavations </w:t>
      </w:r>
      <w:r w:rsidRPr="00AF42A7" w:rsidR="005E745A">
        <w:t>or</w:t>
      </w:r>
      <w:r w:rsidRPr="00AF42A7" w:rsidR="005757AF">
        <w:t xml:space="preserve"> deployments associated with </w:t>
      </w:r>
      <w:r w:rsidRPr="00AF42A7" w:rsidR="00722B99">
        <w:t>collocations</w:t>
      </w:r>
      <w:r w:rsidRPr="00AF42A7" w:rsidR="00B86CDF">
        <w:t xml:space="preserve">, and </w:t>
      </w:r>
      <w:r w:rsidRPr="00AF42A7" w:rsidR="00315729">
        <w:t xml:space="preserve">in doing so we continue to believe that it is appropriate to consider in this context </w:t>
      </w:r>
      <w:r w:rsidRPr="00AF42A7" w:rsidR="008E07B9">
        <w:t xml:space="preserve">the </w:t>
      </w:r>
      <w:r w:rsidRPr="00AF42A7" w:rsidR="00722B99">
        <w:t>analogous</w:t>
      </w:r>
      <w:r w:rsidRPr="00AF42A7" w:rsidR="007B0276">
        <w:t xml:space="preserve"> line drawn in the </w:t>
      </w:r>
      <w:r w:rsidRPr="00AF42A7" w:rsidR="00722B99">
        <w:t>f</w:t>
      </w:r>
      <w:r w:rsidRPr="00AF42A7" w:rsidR="007B0276">
        <w:t xml:space="preserve">ederal historic </w:t>
      </w:r>
      <w:r w:rsidRPr="00AF42A7" w:rsidR="00722B99">
        <w:t>preservation</w:t>
      </w:r>
      <w:r w:rsidRPr="00AF42A7" w:rsidR="007B0276">
        <w:t xml:space="preserve"> context </w:t>
      </w:r>
      <w:r w:rsidRPr="00AF42A7" w:rsidR="0070542D">
        <w:t>as</w:t>
      </w:r>
      <w:r w:rsidRPr="00AF42A7" w:rsidR="00FD177D">
        <w:t xml:space="preserve"> a relevant </w:t>
      </w:r>
      <w:r w:rsidRPr="00AF42A7" w:rsidR="0097289F">
        <w:t>benchmark</w:t>
      </w:r>
      <w:r w:rsidRPr="00AF42A7" w:rsidR="009B08C2">
        <w:t>.</w:t>
      </w:r>
      <w:r w:rsidRPr="00AF42A7" w:rsidR="0070542D">
        <w:t xml:space="preserve"> </w:t>
      </w:r>
      <w:r w:rsidRPr="00AF42A7" w:rsidR="00EE35AF">
        <w:t xml:space="preserve">  </w:t>
      </w:r>
    </w:p>
    <w:p w:rsidR="007B43B9" w:rsidRPr="00AF42A7" w:rsidP="007B43B9" w14:paraId="12D04DB9" w14:textId="6287D066">
      <w:pPr>
        <w:pStyle w:val="ParaNum"/>
        <w:tabs>
          <w:tab w:val="left" w:pos="1440"/>
        </w:tabs>
      </w:pPr>
      <w:r w:rsidRPr="00AF42A7">
        <w:t>As an initia</w:t>
      </w:r>
      <w:r w:rsidRPr="00AF42A7" w:rsidR="00EE4764">
        <w:t>l</w:t>
      </w:r>
      <w:r w:rsidRPr="00AF42A7">
        <w:t xml:space="preserve"> matter</w:t>
      </w:r>
      <w:r w:rsidRPr="00AF42A7" w:rsidR="002E5956">
        <w:t xml:space="preserve">, </w:t>
      </w:r>
      <w:r w:rsidRPr="00AF42A7" w:rsidR="00D97049">
        <w:t xml:space="preserve">we </w:t>
      </w:r>
      <w:r w:rsidRPr="00AF42A7" w:rsidR="00EE4764">
        <w:t>recognize</w:t>
      </w:r>
      <w:r w:rsidRPr="00AF42A7" w:rsidR="00D97049">
        <w:t xml:space="preserve"> that t</w:t>
      </w:r>
      <w:r w:rsidRPr="00AF42A7" w:rsidR="00421988">
        <w:t xml:space="preserve">he Commission </w:t>
      </w:r>
      <w:r w:rsidRPr="00AF42A7" w:rsidR="00B32385">
        <w:t xml:space="preserve">relied </w:t>
      </w:r>
      <w:r w:rsidRPr="00AF42A7" w:rsidR="009A38B0">
        <w:t>on</w:t>
      </w:r>
      <w:r w:rsidRPr="00AF42A7" w:rsidR="00421988">
        <w:t xml:space="preserve"> the Wireless Facilities NPA and Collocation NPA to </w:t>
      </w:r>
      <w:r w:rsidRPr="00AF42A7" w:rsidR="000238E8">
        <w:t xml:space="preserve">inform </w:t>
      </w:r>
      <w:r w:rsidRPr="00AF42A7" w:rsidR="00FD6D65">
        <w:t>its</w:t>
      </w:r>
      <w:r w:rsidRPr="00AF42A7" w:rsidR="000238E8">
        <w:t xml:space="preserve"> </w:t>
      </w:r>
      <w:r w:rsidRPr="00AF42A7" w:rsidR="00FA4A3A">
        <w:t xml:space="preserve">adoption of </w:t>
      </w:r>
      <w:r w:rsidRPr="00AF42A7" w:rsidR="00FD6D65">
        <w:t xml:space="preserve">initial </w:t>
      </w:r>
      <w:r w:rsidRPr="00AF42A7" w:rsidR="00FA4A3A">
        <w:t>rules implementing</w:t>
      </w:r>
      <w:r w:rsidRPr="00AF42A7" w:rsidR="000238E8">
        <w:t xml:space="preserve"> </w:t>
      </w:r>
      <w:r w:rsidRPr="00AF42A7" w:rsidR="00011DBF">
        <w:t>s</w:t>
      </w:r>
      <w:r w:rsidRPr="00AF42A7" w:rsidR="000238E8">
        <w:t>ection 6409(a</w:t>
      </w:r>
      <w:r w:rsidRPr="00AF42A7" w:rsidR="00A10214">
        <w:t>)</w:t>
      </w:r>
      <w:r w:rsidRPr="00AF42A7" w:rsidR="009538A6">
        <w:t xml:space="preserve">.  </w:t>
      </w:r>
      <w:r w:rsidRPr="00AF42A7" w:rsidR="00675E76">
        <w:t>In particular</w:t>
      </w:r>
      <w:r w:rsidRPr="00AF42A7" w:rsidR="009538A6">
        <w:t xml:space="preserve">, the Commission stated that “the objective test for ‘substantial increase in size’ under the Collocation [NPA] should inform our consideration of the factors to consider when assessing a ‘substantial change in physical dimensions,’” and that this approach “reflects our general determination that definitions in the Collocation </w:t>
      </w:r>
      <w:r w:rsidRPr="00AF42A7" w:rsidR="001375BD">
        <w:t>[NPA]</w:t>
      </w:r>
      <w:r w:rsidRPr="00AF42A7" w:rsidR="009538A6">
        <w:t xml:space="preserve"> and </w:t>
      </w:r>
      <w:r w:rsidRPr="00AF42A7" w:rsidR="001375BD">
        <w:t xml:space="preserve">[Wireless Facilities] </w:t>
      </w:r>
      <w:r w:rsidRPr="00AF42A7" w:rsidR="009538A6">
        <w:t>NPA should inform our interpretation of similar terms in [s]</w:t>
      </w:r>
      <w:r w:rsidRPr="00AF42A7" w:rsidR="009538A6">
        <w:t>ection</w:t>
      </w:r>
      <w:r w:rsidRPr="00AF42A7" w:rsidR="009538A6">
        <w:t xml:space="preserve"> 6409(a).”</w:t>
      </w:r>
      <w:r>
        <w:rPr>
          <w:rStyle w:val="FootnoteReference"/>
        </w:rPr>
        <w:footnoteReference w:id="35"/>
      </w:r>
      <w:r w:rsidRPr="00A70EC8" w:rsidR="009538A6">
        <w:t xml:space="preserve">  </w:t>
      </w:r>
      <w:r w:rsidRPr="00A70EC8" w:rsidR="001467E1">
        <w:t xml:space="preserve">With respect to </w:t>
      </w:r>
      <w:r w:rsidRPr="007C6360" w:rsidR="00D26CE6">
        <w:t xml:space="preserve">excavation and deployment associated with a modification of an existing </w:t>
      </w:r>
      <w:r w:rsidRPr="00AF42A7" w:rsidR="00D26CE6">
        <w:t xml:space="preserve">structure, </w:t>
      </w:r>
      <w:r w:rsidRPr="00AF42A7" w:rsidR="00750929">
        <w:t xml:space="preserve">the </w:t>
      </w:r>
      <w:r w:rsidRPr="00AF42A7" w:rsidR="004A4C84">
        <w:t>Commission</w:t>
      </w:r>
      <w:r w:rsidRPr="00AF42A7" w:rsidR="00750929">
        <w:t xml:space="preserve"> relied on a provision in the Collocation NPA and determined that “a modification is a substantial change if it entails any excavation or deployment outside the current site of the tower or base station.”</w:t>
      </w:r>
      <w:r>
        <w:rPr>
          <w:iCs/>
          <w:vertAlign w:val="superscript"/>
        </w:rPr>
        <w:footnoteReference w:id="36"/>
      </w:r>
      <w:r w:rsidRPr="00A70EC8" w:rsidR="00750929">
        <w:t xml:space="preserve">  </w:t>
      </w:r>
      <w:r w:rsidRPr="00A70EC8" w:rsidR="007C2F19">
        <w:t xml:space="preserve">Further, </w:t>
      </w:r>
      <w:r w:rsidRPr="007C6360">
        <w:t>the Commission considered, but declined to adopt,</w:t>
      </w:r>
      <w:r>
        <w:rPr>
          <w:rStyle w:val="FootnoteReference"/>
        </w:rPr>
        <w:footnoteReference w:id="37"/>
      </w:r>
      <w:r w:rsidRPr="00A70EC8">
        <w:t xml:space="preserve"> a proposal to exclude from the scope of “substantial change” </w:t>
      </w:r>
      <w:r w:rsidRPr="00A70EC8" w:rsidR="00CD4AAB">
        <w:t xml:space="preserve">any </w:t>
      </w:r>
      <w:r w:rsidRPr="007C6360">
        <w:t xml:space="preserve">excavation or </w:t>
      </w:r>
      <w:r w:rsidRPr="007C6360" w:rsidR="00F97E1C">
        <w:t>deployment</w:t>
      </w:r>
      <w:r w:rsidRPr="00AF42A7">
        <w:t xml:space="preserve"> </w:t>
      </w:r>
      <w:r w:rsidRPr="00AF42A7" w:rsidR="006D2888">
        <w:t xml:space="preserve">of </w:t>
      </w:r>
      <w:r w:rsidRPr="00AF42A7">
        <w:t>up to 30 feet in any direction f</w:t>
      </w:r>
      <w:r w:rsidRPr="00AF42A7" w:rsidR="000017A9">
        <w:t>rom</w:t>
      </w:r>
      <w:r w:rsidRPr="00AF42A7">
        <w:t xml:space="preserve"> a site</w:t>
      </w:r>
      <w:r w:rsidRPr="00AF42A7" w:rsidR="000017A9">
        <w:t>’s boundaries</w:t>
      </w:r>
      <w:r w:rsidRPr="00AF42A7">
        <w:t>, which would have been consistent with an exclusion from Section 106 review for replacement towers in the Wireless Facilities NPA.</w:t>
      </w:r>
      <w:r>
        <w:rPr>
          <w:vertAlign w:val="superscript"/>
        </w:rPr>
        <w:footnoteReference w:id="38"/>
      </w:r>
      <w:r w:rsidRPr="00A70EC8">
        <w:t xml:space="preserve">  </w:t>
      </w:r>
      <w:r w:rsidRPr="00A70EC8" w:rsidR="009D3C4A">
        <w:t>Importantly, the Commission did not characterize the 30-</w:t>
      </w:r>
      <w:r w:rsidRPr="00AF42A7" w:rsidR="0054205B">
        <w:t>foot standard</w:t>
      </w:r>
      <w:r w:rsidRPr="00AF42A7" w:rsidR="009D3C4A">
        <w:t xml:space="preserve"> in the Wireless Facilities NPA to be an unreasonable choice</w:t>
      </w:r>
      <w:r w:rsidRPr="00AF42A7" w:rsidR="00F32267">
        <w:t xml:space="preserve">.  </w:t>
      </w:r>
      <w:r w:rsidRPr="00AF42A7" w:rsidR="009D3C4A">
        <w:t xml:space="preserve">The Commission </w:t>
      </w:r>
      <w:r w:rsidRPr="00AF42A7" w:rsidR="001448F6">
        <w:t xml:space="preserve">elected to </w:t>
      </w:r>
      <w:r w:rsidRPr="00AF42A7" w:rsidR="004229CA">
        <w:t>follow the language in the Collocation NPA</w:t>
      </w:r>
      <w:r w:rsidRPr="00AF42A7" w:rsidR="009D3C4A">
        <w:t xml:space="preserve"> given commonalities between the types of deployments referred to in </w:t>
      </w:r>
      <w:r w:rsidRPr="00AF42A7" w:rsidR="00317084">
        <w:t>s</w:t>
      </w:r>
      <w:r w:rsidRPr="00AF42A7" w:rsidR="009D3C4A">
        <w:t>ection 6409 and the types of deployments covered under the Collocation NPA, as well as input from industry and localities</w:t>
      </w:r>
      <w:r w:rsidRPr="00AF42A7" w:rsidR="006A7B3F">
        <w:t>.</w:t>
      </w:r>
      <w:r w:rsidRPr="00AF42A7">
        <w:t xml:space="preserve">  </w:t>
      </w:r>
    </w:p>
    <w:p w:rsidR="00D25339" w:rsidRPr="00A70EC8" w:rsidP="007B43B9" w14:paraId="7AE54A38" w14:textId="77777777">
      <w:pPr>
        <w:pStyle w:val="ParaNum"/>
        <w:tabs>
          <w:tab w:val="left" w:pos="1440"/>
        </w:tabs>
      </w:pPr>
      <w:r w:rsidRPr="00AF42A7">
        <w:t>The Collocation NPA was recently amended,</w:t>
      </w:r>
      <w:r>
        <w:rPr>
          <w:rStyle w:val="FootnoteReference"/>
        </w:rPr>
        <w:footnoteReference w:id="39"/>
      </w:r>
      <w:r w:rsidRPr="00A70EC8">
        <w:t xml:space="preserve"> however, to align with the Wireless Facilities NPA</w:t>
      </w:r>
      <w:r w:rsidRPr="00A70EC8" w:rsidR="00DD03C3">
        <w:t xml:space="preserve">, reflecting </w:t>
      </w:r>
      <w:r w:rsidRPr="007C6360" w:rsidR="001073EE">
        <w:t xml:space="preserve">a recognition that, in the context of </w:t>
      </w:r>
      <w:r w:rsidRPr="007C6360" w:rsidR="00E353B4">
        <w:t>f</w:t>
      </w:r>
      <w:r w:rsidRPr="00AF42A7" w:rsidR="001073EE">
        <w:t xml:space="preserve">ederal historic preservation review, </w:t>
      </w:r>
      <w:r w:rsidRPr="00AF42A7" w:rsidR="00460F5E">
        <w:t xml:space="preserve">permitting </w:t>
      </w:r>
      <w:r w:rsidRPr="00AF42A7" w:rsidR="003F6082">
        <w:t>a</w:t>
      </w:r>
      <w:r w:rsidRPr="00AF42A7" w:rsidR="008242C7">
        <w:t xml:space="preserve"> limited</w:t>
      </w:r>
      <w:r w:rsidRPr="00AF42A7" w:rsidR="003F6082">
        <w:t xml:space="preserve"> expansion </w:t>
      </w:r>
      <w:r w:rsidRPr="00AF42A7" w:rsidR="008242C7">
        <w:t xml:space="preserve">beyond </w:t>
      </w:r>
      <w:r w:rsidRPr="00AF42A7" w:rsidR="0084280E">
        <w:t xml:space="preserve">the site boundaries </w:t>
      </w:r>
      <w:r w:rsidRPr="00AF42A7" w:rsidR="00460F5E">
        <w:t>to</w:t>
      </w:r>
      <w:r w:rsidRPr="00AF42A7" w:rsidR="00AE4CA2">
        <w:t xml:space="preserve"> </w:t>
      </w:r>
      <w:r w:rsidRPr="00AF42A7" w:rsidR="00B96E09">
        <w:t>proceed without substantial review</w:t>
      </w:r>
      <w:r w:rsidRPr="00AF42A7" w:rsidR="000D45BD">
        <w:t xml:space="preserve"> </w:t>
      </w:r>
      <w:r w:rsidRPr="00AF42A7" w:rsidR="00C50E37">
        <w:t xml:space="preserve">encourages </w:t>
      </w:r>
      <w:r w:rsidRPr="00AF42A7" w:rsidR="00905576">
        <w:t>collocations</w:t>
      </w:r>
      <w:r w:rsidRPr="00AF42A7" w:rsidR="00C50E37">
        <w:t xml:space="preserve"> </w:t>
      </w:r>
      <w:r w:rsidRPr="00AF42A7" w:rsidR="00B653E7">
        <w:t xml:space="preserve">without </w:t>
      </w:r>
      <w:r w:rsidRPr="00AF42A7" w:rsidR="00905576">
        <w:t>significantly</w:t>
      </w:r>
      <w:r w:rsidRPr="00AF42A7" w:rsidR="00B653E7">
        <w:t xml:space="preserve"> affecting historic p</w:t>
      </w:r>
      <w:r w:rsidRPr="00AF42A7" w:rsidR="00811C38">
        <w:t>r</w:t>
      </w:r>
      <w:r w:rsidRPr="00AF42A7" w:rsidR="00B653E7">
        <w:t>eservation interests</w:t>
      </w:r>
      <w:r w:rsidRPr="00AF42A7" w:rsidR="00DD03C3">
        <w:t>.</w:t>
      </w:r>
      <w:r w:rsidRPr="00AF42A7">
        <w:t xml:space="preserve">  </w:t>
      </w:r>
      <w:r w:rsidRPr="00AF42A7" w:rsidR="00BE7854">
        <w:t xml:space="preserve">Specifically, </w:t>
      </w:r>
      <w:r w:rsidRPr="00AF42A7" w:rsidR="00454AA7">
        <w:t xml:space="preserve">on July 10, 2020, </w:t>
      </w:r>
      <w:r w:rsidRPr="00AF42A7" w:rsidR="0090084D">
        <w:t xml:space="preserve">the </w:t>
      </w:r>
      <w:r w:rsidRPr="00AF42A7" w:rsidR="002F19AE">
        <w:t xml:space="preserve">Wireless Telecommunications Bureau Chief (on delegated authority from the </w:t>
      </w:r>
      <w:r w:rsidRPr="00AF42A7" w:rsidR="0090084D">
        <w:t>Commission</w:t>
      </w:r>
      <w:r w:rsidRPr="00AF42A7" w:rsidR="002F19AE">
        <w:t>)</w:t>
      </w:r>
      <w:r w:rsidRPr="00AF42A7" w:rsidR="0090084D">
        <w:t>, the Advisory Council on Historic Preservation, and the National Conference of State Historic Preservation Officers</w:t>
      </w:r>
      <w:r w:rsidRPr="00AF42A7" w:rsidR="00464275">
        <w:t xml:space="preserve"> executed the Amended Collocation NPA</w:t>
      </w:r>
      <w:r w:rsidRPr="00AF42A7" w:rsidR="00436ED2">
        <w:t xml:space="preserve"> to </w:t>
      </w:r>
      <w:r w:rsidRPr="00AF42A7" w:rsidR="00B64B26">
        <w:t>eliminate</w:t>
      </w:r>
      <w:r w:rsidRPr="00AF42A7" w:rsidR="002547AE">
        <w:t xml:space="preserve"> </w:t>
      </w:r>
      <w:r w:rsidRPr="00AF42A7" w:rsidR="009B26BE">
        <w:t>an</w:t>
      </w:r>
      <w:r w:rsidRPr="00AF42A7" w:rsidR="002547AE">
        <w:t xml:space="preserve"> </w:t>
      </w:r>
      <w:r w:rsidRPr="00AF42A7" w:rsidR="00F0606F">
        <w:t>inconsistency</w:t>
      </w:r>
      <w:r w:rsidRPr="00AF42A7" w:rsidR="008124D7">
        <w:t xml:space="preserve"> </w:t>
      </w:r>
      <w:r w:rsidRPr="00AF42A7" w:rsidR="00740096">
        <w:t>between</w:t>
      </w:r>
      <w:r w:rsidRPr="00AF42A7" w:rsidR="008124D7">
        <w:t xml:space="preserve"> </w:t>
      </w:r>
      <w:r w:rsidRPr="00AF42A7" w:rsidR="00F0606F">
        <w:t>the Collocation NPA and the Wireless Facilities NPA</w:t>
      </w:r>
      <w:r w:rsidRPr="00AF42A7" w:rsidR="00464275">
        <w:t>.</w:t>
      </w:r>
      <w:r>
        <w:rPr>
          <w:rStyle w:val="FootnoteReference"/>
        </w:rPr>
        <w:footnoteReference w:id="40"/>
      </w:r>
      <w:r w:rsidRPr="00A70EC8" w:rsidR="00464275">
        <w:t xml:space="preserve">  </w:t>
      </w:r>
    </w:p>
    <w:p w:rsidR="007B43B9" w:rsidRPr="00AF42A7" w:rsidP="007B43B9" w14:paraId="5C426A1A" w14:textId="683CADD2">
      <w:pPr>
        <w:pStyle w:val="ParaNum"/>
        <w:tabs>
          <w:tab w:val="left" w:pos="1440"/>
        </w:tabs>
      </w:pPr>
      <w:r w:rsidRPr="00AF42A7">
        <w:t>The Amended Collocation NPA now provides that, for the purpose of determining whether a collocation may be excluded from Section 106 review, a collocation is a substantial increase in the size of the tower if it “would expand the boundaries of the current tower site by more than 30 feet in any direction or involve excavation outside these expanded boundaries.”</w:t>
      </w:r>
      <w:r>
        <w:rPr>
          <w:vertAlign w:val="superscript"/>
        </w:rPr>
        <w:footnoteReference w:id="41"/>
      </w:r>
      <w:r w:rsidRPr="00A70EC8">
        <w:t xml:space="preserve">  </w:t>
      </w:r>
      <w:r w:rsidRPr="00A70EC8" w:rsidR="00495F9D">
        <w:t xml:space="preserve">In </w:t>
      </w:r>
      <w:r w:rsidRPr="007C6360" w:rsidR="00EC2EA5">
        <w:t>adopting</w:t>
      </w:r>
      <w:r w:rsidRPr="007C6360" w:rsidR="00EB227F">
        <w:t xml:space="preserve"> that change, t</w:t>
      </w:r>
      <w:r w:rsidRPr="00AF42A7" w:rsidR="00635C54">
        <w:t xml:space="preserve">he Amended Collocation </w:t>
      </w:r>
      <w:r w:rsidRPr="00AF42A7" w:rsidR="00B0089C">
        <w:t>NPA</w:t>
      </w:r>
      <w:r w:rsidRPr="00AF42A7" w:rsidR="00EB227F">
        <w:t xml:space="preserve"> </w:t>
      </w:r>
      <w:r w:rsidRPr="00AF42A7" w:rsidR="00635C54">
        <w:t>state</w:t>
      </w:r>
      <w:r w:rsidRPr="00AF42A7" w:rsidR="00EB227F">
        <w:t>d</w:t>
      </w:r>
      <w:r w:rsidRPr="00AF42A7" w:rsidR="00635C54">
        <w:t xml:space="preserve"> that</w:t>
      </w:r>
      <w:r w:rsidRPr="00AF42A7" w:rsidR="006147D4">
        <w:t xml:space="preserve">, among other </w:t>
      </w:r>
      <w:r w:rsidRPr="00AF42A7" w:rsidR="004F3F65">
        <w:t>reasons</w:t>
      </w:r>
      <w:r w:rsidRPr="00AF42A7" w:rsidR="006147D4">
        <w:t>,</w:t>
      </w:r>
      <w:r w:rsidRPr="00AF42A7" w:rsidR="00635C54">
        <w:t xml:space="preserve"> the parties “developed this second amendment to the Collocation Agreement to allow project proponents the same review efficiency </w:t>
      </w:r>
      <w:r w:rsidRPr="00AF42A7" w:rsidR="00FC4A98">
        <w:t xml:space="preserve">[applicable to tower replacements in the </w:t>
      </w:r>
      <w:r w:rsidRPr="00AF42A7" w:rsidR="00F74C58">
        <w:t xml:space="preserve">Wireless Facilities NPA] </w:t>
      </w:r>
      <w:r w:rsidRPr="00AF42A7" w:rsidR="00635C54">
        <w:t>in regard to limited excavation beyond the tower site boundaries for collocation, thereby encouraging project proponents to conduct more collocation activities</w:t>
      </w:r>
      <w:r w:rsidRPr="00AF42A7" w:rsidR="008D63B3">
        <w:t xml:space="preserve"> </w:t>
      </w:r>
      <w:r w:rsidRPr="00AF42A7" w:rsidR="00D41715">
        <w:t xml:space="preserve">instead of constructing new towers </w:t>
      </w:r>
      <w:r w:rsidRPr="00AF42A7" w:rsidR="00635C54">
        <w:t>.</w:t>
      </w:r>
      <w:r w:rsidRPr="00AF42A7" w:rsidR="008D63B3">
        <w:t xml:space="preserve"> . . .</w:t>
      </w:r>
      <w:r w:rsidRPr="00AF42A7" w:rsidR="00635C54">
        <w:t>”</w:t>
      </w:r>
      <w:r>
        <w:rPr>
          <w:rStyle w:val="FootnoteReference"/>
        </w:rPr>
        <w:footnoteReference w:id="42"/>
      </w:r>
      <w:r w:rsidRPr="00A70EC8" w:rsidR="00706C72">
        <w:t xml:space="preserve">  </w:t>
      </w:r>
      <w:r w:rsidRPr="00A70EC8" w:rsidR="0018788F">
        <w:t>The parties therefore recognized the limited</w:t>
      </w:r>
      <w:r w:rsidRPr="00AF42A7" w:rsidR="00706C72">
        <w:t xml:space="preserve"> </w:t>
      </w:r>
      <w:r w:rsidRPr="00AF42A7" w:rsidR="00D31809">
        <w:t xml:space="preserve">effect </w:t>
      </w:r>
      <w:r w:rsidRPr="00AF42A7" w:rsidR="00B37198">
        <w:t>that an up to</w:t>
      </w:r>
      <w:r w:rsidRPr="00AF42A7" w:rsidR="00BA6140">
        <w:t xml:space="preserve"> 30-foot </w:t>
      </w:r>
      <w:r w:rsidRPr="00AF42A7" w:rsidR="002319E3">
        <w:t>compound expansion</w:t>
      </w:r>
      <w:r w:rsidRPr="00AF42A7" w:rsidR="00BA6140">
        <w:t xml:space="preserve"> would </w:t>
      </w:r>
      <w:r w:rsidRPr="00AF42A7" w:rsidR="00CA0F6D">
        <w:t>impose</w:t>
      </w:r>
      <w:r w:rsidRPr="00AF42A7" w:rsidR="00BA6140">
        <w:t xml:space="preserve"> on </w:t>
      </w:r>
      <w:r w:rsidRPr="00AF42A7" w:rsidR="00062E43">
        <w:t>the site</w:t>
      </w:r>
      <w:r w:rsidRPr="00AF42A7" w:rsidR="00162E5F">
        <w:t>, which</w:t>
      </w:r>
      <w:r w:rsidRPr="00AF42A7" w:rsidR="003C6152">
        <w:t xml:space="preserve"> is </w:t>
      </w:r>
      <w:r w:rsidRPr="00AF42A7" w:rsidR="00162E5F">
        <w:t xml:space="preserve">also </w:t>
      </w:r>
      <w:r w:rsidRPr="00AF42A7" w:rsidR="003C6152">
        <w:t xml:space="preserve">consistent with </w:t>
      </w:r>
      <w:r w:rsidRPr="00AF42A7" w:rsidR="0028453C">
        <w:t xml:space="preserve">the </w:t>
      </w:r>
      <w:r w:rsidRPr="00AF42A7" w:rsidR="00162E5F">
        <w:t>Commission</w:t>
      </w:r>
      <w:r w:rsidRPr="00AF42A7" w:rsidR="0028453C">
        <w:t>’s rationale</w:t>
      </w:r>
      <w:r w:rsidRPr="00AF42A7" w:rsidR="00F01405">
        <w:t xml:space="preserve"> in adopting the</w:t>
      </w:r>
      <w:r w:rsidRPr="00AF42A7" w:rsidR="0028453C">
        <w:t xml:space="preserve"> replacement</w:t>
      </w:r>
      <w:r w:rsidRPr="00AF42A7" w:rsidR="00F01405">
        <w:t xml:space="preserve"> </w:t>
      </w:r>
      <w:r w:rsidRPr="00AF42A7" w:rsidR="0028453C">
        <w:t xml:space="preserve">tower exclusion in the </w:t>
      </w:r>
      <w:r w:rsidRPr="00AF42A7" w:rsidR="00F01405">
        <w:t>Wireless Facilities NPA</w:t>
      </w:r>
      <w:r w:rsidRPr="00AF42A7" w:rsidR="00162E5F">
        <w:t>.</w:t>
      </w:r>
      <w:r w:rsidRPr="00AF42A7" w:rsidR="006D104C">
        <w:t xml:space="preserve"> </w:t>
      </w:r>
      <w:r w:rsidRPr="00AF42A7" w:rsidR="00162E5F">
        <w:t xml:space="preserve"> Indeed, </w:t>
      </w:r>
      <w:r w:rsidRPr="00AF42A7" w:rsidR="006C5C0A">
        <w:t xml:space="preserve">in </w:t>
      </w:r>
      <w:r w:rsidRPr="00AF42A7" w:rsidR="00F01405">
        <w:t xml:space="preserve">the </w:t>
      </w:r>
      <w:r w:rsidRPr="00AF42A7" w:rsidR="00512A37">
        <w:rPr>
          <w:i/>
          <w:iCs/>
        </w:rPr>
        <w:t xml:space="preserve">2004 </w:t>
      </w:r>
      <w:r w:rsidRPr="00AF42A7" w:rsidR="00F01405">
        <w:rPr>
          <w:i/>
          <w:iCs/>
        </w:rPr>
        <w:t>Report and Order</w:t>
      </w:r>
      <w:r w:rsidRPr="00AF42A7" w:rsidR="00F01405">
        <w:t xml:space="preserve"> </w:t>
      </w:r>
      <w:r w:rsidRPr="00AF42A7" w:rsidR="006C5C0A">
        <w:t xml:space="preserve">implementing the Wireless Facilities NPA, </w:t>
      </w:r>
      <w:r w:rsidRPr="00AF42A7" w:rsidR="00250A65">
        <w:t xml:space="preserve">the Commission </w:t>
      </w:r>
      <w:r w:rsidRPr="00AF42A7" w:rsidR="00453C8B">
        <w:t xml:space="preserve">concluded that a </w:t>
      </w:r>
      <w:r w:rsidRPr="00AF42A7" w:rsidR="00D23FA3">
        <w:t xml:space="preserve">30-foot standard was “reasonable and appropriate,” </w:t>
      </w:r>
      <w:r w:rsidRPr="00AF42A7" w:rsidR="008408A1">
        <w:t>and reasoned</w:t>
      </w:r>
      <w:r w:rsidRPr="00AF42A7" w:rsidR="00D23FA3">
        <w:t xml:space="preserve"> </w:t>
      </w:r>
      <w:r w:rsidRPr="00AF42A7" w:rsidR="00250A65">
        <w:t xml:space="preserve">that </w:t>
      </w:r>
      <w:r w:rsidRPr="00AF42A7" w:rsidR="006C5C0A">
        <w:t>“construction and excavation to within 30 feet of the existing leased or owned property means that only a minimal amount of previously undisturbed ground, if any, would be turned, and that would be very close to the existing construction.”</w:t>
      </w:r>
      <w:r>
        <w:rPr>
          <w:rStyle w:val="FootnoteReference"/>
        </w:rPr>
        <w:footnoteReference w:id="43"/>
      </w:r>
      <w:r w:rsidRPr="00A70EC8" w:rsidR="006C5C0A">
        <w:t xml:space="preserve">  </w:t>
      </w:r>
      <w:r w:rsidRPr="00A70EC8" w:rsidR="007138B2">
        <w:t>O</w:t>
      </w:r>
      <w:r w:rsidRPr="007C6360">
        <w:t>ur decision to permit an eligible facilities request to include limited excavation and deployment of up to 30 feet in any direction harmonizes the Commission’s rules under section 6409(a) with permitted compound expansions for exclusion from Se</w:t>
      </w:r>
      <w:r w:rsidRPr="00AF42A7">
        <w:t xml:space="preserve">ction 106 review for replacement towers under the Wireless Facilities NPA and collocations under the Collocation NPA.  </w:t>
      </w:r>
    </w:p>
    <w:p w:rsidR="00AA52EA" w:rsidRPr="00A70EC8" w:rsidP="007B43B9" w14:paraId="5B580B26" w14:textId="16B70787">
      <w:pPr>
        <w:pStyle w:val="ParaNum"/>
        <w:tabs>
          <w:tab w:val="left" w:pos="1440"/>
        </w:tabs>
      </w:pPr>
      <w:r w:rsidRPr="00AF42A7">
        <w:t>In that regard, we disagree with the l</w:t>
      </w:r>
      <w:r w:rsidRPr="00AF42A7" w:rsidR="007B43B9">
        <w:t>ocalities</w:t>
      </w:r>
      <w:r w:rsidRPr="00AF42A7">
        <w:t>’</w:t>
      </w:r>
      <w:r w:rsidRPr="00AF42A7" w:rsidR="007B43B9">
        <w:t xml:space="preserve"> argu</w:t>
      </w:r>
      <w:r w:rsidRPr="00AF42A7">
        <w:t>ment</w:t>
      </w:r>
      <w:r w:rsidRPr="00AF42A7" w:rsidR="007B43B9">
        <w:t xml:space="preserve"> that the Collocation NPA “has no bearing on [this] matter</w:t>
      </w:r>
      <w:r w:rsidRPr="00AF42A7" w:rsidR="00514570">
        <w:t>.</w:t>
      </w:r>
      <w:r w:rsidRPr="00AF42A7" w:rsidR="007B43B9">
        <w:t>”</w:t>
      </w:r>
      <w:r>
        <w:rPr>
          <w:rStyle w:val="FootnoteReference"/>
        </w:rPr>
        <w:footnoteReference w:id="44"/>
      </w:r>
      <w:r w:rsidRPr="00A70EC8" w:rsidR="007B43B9">
        <w:t xml:space="preserve">  The definition of “substantial increase in size of the tower” in the Collocation NPA was a primary basis for the Commission’s decision in the </w:t>
      </w:r>
      <w:r w:rsidRPr="007C6360" w:rsidR="007B43B9">
        <w:rPr>
          <w:i/>
          <w:iCs/>
        </w:rPr>
        <w:t>2014 Infrastructure Order</w:t>
      </w:r>
      <w:r w:rsidRPr="007C6360" w:rsidR="007B43B9">
        <w:t xml:space="preserve"> to define a substantial change as any excavation or deployment outside the boundaries </w:t>
      </w:r>
      <w:r w:rsidRPr="00AF42A7" w:rsidR="007B43B9">
        <w:t>of a tower</w:t>
      </w:r>
      <w:r w:rsidRPr="00AF42A7" w:rsidR="00FB0FB3">
        <w:t xml:space="preserve"> site</w:t>
      </w:r>
      <w:r w:rsidRPr="00AF42A7" w:rsidR="007B43B9">
        <w:t>.</w:t>
      </w:r>
      <w:r>
        <w:rPr>
          <w:rStyle w:val="FootnoteReference"/>
        </w:rPr>
        <w:footnoteReference w:id="45"/>
      </w:r>
      <w:r w:rsidRPr="00A70EC8" w:rsidR="007B43B9">
        <w:t xml:space="preserve">  Accordingly</w:t>
      </w:r>
      <w:r w:rsidRPr="007C6360" w:rsidR="007B43B9">
        <w:t xml:space="preserve">, the amendment to the Collocation NPA to provide that excavations of up to 30 feet of the boundaries of a site is not a substantial increase in size provides support for our decision in this </w:t>
      </w:r>
      <w:r w:rsidRPr="00AF42A7" w:rsidR="007B43B9">
        <w:rPr>
          <w:i/>
          <w:iCs/>
        </w:rPr>
        <w:t xml:space="preserve">Report and Order </w:t>
      </w:r>
      <w:r w:rsidRPr="00AF42A7" w:rsidR="007B43B9">
        <w:t xml:space="preserve">to </w:t>
      </w:r>
      <w:r w:rsidRPr="00AF42A7" w:rsidR="00F44121">
        <w:t>once again make</w:t>
      </w:r>
      <w:r w:rsidRPr="00AF42A7" w:rsidR="007B43B9">
        <w:t xml:space="preserve"> the section 6409(a) rules consistent with the Collocation NPA.  Retaining the existing definition despite the amendment to the Collocation NPA </w:t>
      </w:r>
      <w:r w:rsidRPr="00AF42A7" w:rsidR="00421736">
        <w:t>c</w:t>
      </w:r>
      <w:r w:rsidRPr="00AF42A7" w:rsidR="007B43B9">
        <w:t>ould create confusion and invite uncertainty.</w:t>
      </w:r>
      <w:r>
        <w:rPr>
          <w:rStyle w:val="FootnoteReference"/>
        </w:rPr>
        <w:footnoteReference w:id="46"/>
      </w:r>
      <w:r w:rsidRPr="00A70EC8" w:rsidR="00C80B90">
        <w:t xml:space="preserve"> </w:t>
      </w:r>
    </w:p>
    <w:p w:rsidR="002A1E81" w:rsidRPr="00A70EC8" w:rsidP="007B43B9" w14:paraId="3CE3B660" w14:textId="39E8223F">
      <w:pPr>
        <w:pStyle w:val="ParaNum"/>
        <w:tabs>
          <w:tab w:val="left" w:pos="1440"/>
        </w:tabs>
      </w:pPr>
      <w:r w:rsidRPr="00AF42A7">
        <w:t>In addition</w:t>
      </w:r>
      <w:r w:rsidRPr="00AF42A7" w:rsidR="00BF6164">
        <w:t>,</w:t>
      </w:r>
      <w:r w:rsidRPr="00AF42A7" w:rsidR="00E6126A">
        <w:t xml:space="preserve"> </w:t>
      </w:r>
      <w:r w:rsidRPr="00AF42A7" w:rsidR="00AA52EA">
        <w:t xml:space="preserve">we find that the revised 30-foot standard </w:t>
      </w:r>
      <w:r w:rsidRPr="00AF42A7" w:rsidR="00833F36">
        <w:t>is supported by</w:t>
      </w:r>
      <w:r w:rsidRPr="00AF42A7" w:rsidR="00AA52EA">
        <w:t xml:space="preserve"> the current </w:t>
      </w:r>
      <w:r w:rsidRPr="00AF42A7" w:rsidR="000461A3">
        <w:t xml:space="preserve">trends </w:t>
      </w:r>
      <w:r w:rsidRPr="00AF42A7" w:rsidR="00DD40C8">
        <w:t xml:space="preserve">toward </w:t>
      </w:r>
      <w:r w:rsidRPr="00AF42A7" w:rsidR="00AA52EA">
        <w:t>collocation</w:t>
      </w:r>
      <w:r w:rsidRPr="00AF42A7" w:rsidR="0054324C">
        <w:t>s</w:t>
      </w:r>
      <w:r w:rsidRPr="00AF42A7" w:rsidR="00AA52EA">
        <w:t xml:space="preserve"> and technological changes that the record evidences while preserving localities’ zoning authority.  Collocations necessarily include installing transmission equipment that supports the </w:t>
      </w:r>
      <w:r w:rsidRPr="00AF42A7" w:rsidR="00AA52EA">
        <w:t>tower antenna on a site.</w:t>
      </w:r>
      <w:r>
        <w:rPr>
          <w:rStyle w:val="FootnoteReference"/>
        </w:rPr>
        <w:footnoteReference w:id="47"/>
      </w:r>
      <w:r w:rsidRPr="00A70EC8" w:rsidR="00AA52EA">
        <w:t xml:space="preserve">  Industry commenters claim that </w:t>
      </w:r>
      <w:r w:rsidRPr="00A70EC8" w:rsidR="00AA52EA">
        <w:rPr>
          <w:szCs w:val="22"/>
        </w:rPr>
        <w:t>“[t]he majority of existing towers were built</w:t>
      </w:r>
      <w:r w:rsidRPr="007C6360" w:rsidR="00AA52EA">
        <w:rPr>
          <w:szCs w:val="22"/>
        </w:rPr>
        <w:t xml:space="preserve"> many years ago and were intended to support the operations of a single carrier.”</w:t>
      </w:r>
      <w:r>
        <w:rPr>
          <w:rStyle w:val="FootnoteReference"/>
        </w:rPr>
        <w:footnoteReference w:id="48"/>
      </w:r>
      <w:r w:rsidRPr="00A70EC8" w:rsidR="00AA52EA">
        <w:t xml:space="preserve">  Following the </w:t>
      </w:r>
      <w:r w:rsidRPr="00A70EC8" w:rsidR="00AA52EA">
        <w:rPr>
          <w:i/>
          <w:iCs/>
        </w:rPr>
        <w:t>2014 Infrastructure Order</w:t>
      </w:r>
      <w:r w:rsidRPr="00A70EC8" w:rsidR="00210639">
        <w:t>’s</w:t>
      </w:r>
      <w:r w:rsidRPr="007C6360" w:rsidR="00AA52EA">
        <w:t xml:space="preserve"> </w:t>
      </w:r>
      <w:r w:rsidRPr="00AF42A7" w:rsidR="00210639">
        <w:t>promotion of</w:t>
      </w:r>
      <w:r w:rsidRPr="00AF42A7" w:rsidR="00AA52EA">
        <w:t xml:space="preserve"> collocations, more towers now house several operators’ antennas and other transmission equipment, and industry commenters assert that, in many cases, any space that was once available </w:t>
      </w:r>
      <w:r w:rsidRPr="00AF42A7" w:rsidR="00594B92">
        <w:t>at</w:t>
      </w:r>
      <w:r w:rsidRPr="00AF42A7" w:rsidR="00AA52EA">
        <w:t xml:space="preserve"> those tower sites has been used.</w:t>
      </w:r>
      <w:r>
        <w:rPr>
          <w:rStyle w:val="FootnoteReference"/>
        </w:rPr>
        <w:footnoteReference w:id="49"/>
      </w:r>
      <w:r w:rsidRPr="00A70EC8" w:rsidR="00AA52EA">
        <w:t xml:space="preserve">  As a result, there is less space at tower sites for additional collocations without minor modifications to sites to accommodate the expansion of equipment serving existing operators at the sites and the addition of new equipment serving new operators at the sites.</w:t>
      </w:r>
      <w:r>
        <w:rPr>
          <w:rStyle w:val="FootnoteReference"/>
        </w:rPr>
        <w:footnoteReference w:id="50"/>
      </w:r>
      <w:r w:rsidRPr="00A70EC8" w:rsidR="00AA52EA">
        <w:t xml:space="preserve">  As NTCA states, “[l]</w:t>
      </w:r>
      <w:r w:rsidRPr="00A70EC8" w:rsidR="00AA52EA">
        <w:t>ike</w:t>
      </w:r>
      <w:r w:rsidRPr="00A70EC8" w:rsidR="00AA52EA">
        <w:t xml:space="preserve"> other wireless providers, NTCA members often find that colocations on towers require the additional installation of . . . facilities necessary to support transmission equipment.  This has become increasingly difficult as towers built to hold one carrie</w:t>
      </w:r>
      <w:r w:rsidRPr="00AF42A7" w:rsidR="00AA52EA">
        <w:t>r’s facilities may be used to support those utilized by multiple wireless providers.”</w:t>
      </w:r>
      <w:r>
        <w:rPr>
          <w:rStyle w:val="FootnoteReference"/>
        </w:rPr>
        <w:footnoteReference w:id="51"/>
      </w:r>
      <w:r w:rsidRPr="00A70EC8" w:rsidR="00AA52EA">
        <w:t xml:space="preserve">  Further, additional space is generally necessary to add the latest technologies enabling 5G services, such as multi-access edge computing, which requires more space th</w:t>
      </w:r>
      <w:r w:rsidRPr="00AF42A7" w:rsidR="00AA52EA">
        <w:t>an other collocation infrastructure.</w:t>
      </w:r>
      <w:r>
        <w:rPr>
          <w:rStyle w:val="FootnoteReference"/>
        </w:rPr>
        <w:footnoteReference w:id="52"/>
      </w:r>
      <w:r w:rsidRPr="00A70EC8" w:rsidR="00AA52EA">
        <w:t xml:space="preserve">  Given the need for more space on the ground to </w:t>
      </w:r>
      <w:r w:rsidRPr="00A70EC8" w:rsidR="00AA52EA">
        <w:t>accommodate a growing number of facility modifications, we find that streamlined treatment of limited compound expansions is essential to achieve the degree of accelerated advanced wireless network deployment that will best serve the public interest.</w:t>
      </w:r>
      <w:r>
        <w:rPr>
          <w:rStyle w:val="FootnoteReference"/>
        </w:rPr>
        <w:footnoteReference w:id="53"/>
      </w:r>
      <w:r w:rsidRPr="00A70EC8" w:rsidR="00AA52EA">
        <w:t xml:space="preserve">  </w:t>
      </w:r>
      <w:r w:rsidRPr="00A70EC8" w:rsidR="00FC1227">
        <w:t>Indeed, WIA states that the 30</w:t>
      </w:r>
      <w:r w:rsidR="000B2E8F">
        <w:t>-</w:t>
      </w:r>
      <w:r w:rsidRPr="00A70EC8" w:rsidR="00FC1227">
        <w:t>foot standard “appropriately provides a reasonable and realistic degree of flexibility.”</w:t>
      </w:r>
      <w:r>
        <w:rPr>
          <w:rStyle w:val="FootnoteReference"/>
        </w:rPr>
        <w:footnoteReference w:id="54"/>
      </w:r>
      <w:r w:rsidRPr="00A70EC8" w:rsidR="00FC1227">
        <w:t xml:space="preserve">  </w:t>
      </w:r>
      <w:r w:rsidRPr="00A70EC8" w:rsidR="00A67514">
        <w:t>Further</w:t>
      </w:r>
      <w:r w:rsidRPr="00A70EC8" w:rsidR="004E4D47">
        <w:t xml:space="preserve">, </w:t>
      </w:r>
      <w:r w:rsidRPr="007C6360" w:rsidR="00EA2268">
        <w:t>in light of the</w:t>
      </w:r>
      <w:r w:rsidRPr="00AF42A7" w:rsidR="00A61A6C">
        <w:t xml:space="preserve">se developments and the recognition of a new </w:t>
      </w:r>
      <w:r w:rsidRPr="00AF42A7" w:rsidR="00C93D28">
        <w:t xml:space="preserve">compound expansion </w:t>
      </w:r>
      <w:r w:rsidRPr="00AF42A7" w:rsidR="005A5A08">
        <w:t xml:space="preserve">standard in the </w:t>
      </w:r>
      <w:r w:rsidRPr="00AF42A7" w:rsidR="00FB0566">
        <w:t>context of historic p</w:t>
      </w:r>
      <w:r w:rsidRPr="00AF42A7" w:rsidR="009065BF">
        <w:t>r</w:t>
      </w:r>
      <w:r w:rsidRPr="00AF42A7" w:rsidR="00FB0566">
        <w:t xml:space="preserve">eservation review of </w:t>
      </w:r>
      <w:r w:rsidRPr="00AF42A7" w:rsidR="00DD3178">
        <w:t>collocations</w:t>
      </w:r>
      <w:r w:rsidRPr="00AF42A7" w:rsidR="00FB0566">
        <w:t xml:space="preserve">, </w:t>
      </w:r>
      <w:r w:rsidRPr="00AF42A7" w:rsidR="004E4D47">
        <w:t xml:space="preserve">we find </w:t>
      </w:r>
      <w:r w:rsidRPr="00AF42A7" w:rsidR="003C4B0C">
        <w:t xml:space="preserve">it reasonable to adjust </w:t>
      </w:r>
      <w:r w:rsidRPr="00AF42A7" w:rsidR="004B3007">
        <w:t>the</w:t>
      </w:r>
      <w:r w:rsidRPr="00AF42A7" w:rsidR="00E64608">
        <w:t xml:space="preserve"> </w:t>
      </w:r>
      <w:r w:rsidRPr="00AF42A7" w:rsidR="004B3007">
        <w:t>line drawn by the Commiss</w:t>
      </w:r>
      <w:r w:rsidRPr="00AF42A7" w:rsidR="001F7E4F">
        <w:t>i</w:t>
      </w:r>
      <w:r w:rsidRPr="00AF42A7" w:rsidR="004B3007">
        <w:t xml:space="preserve">on in 2014 </w:t>
      </w:r>
      <w:r w:rsidRPr="00AF42A7" w:rsidR="00BC286C">
        <w:t xml:space="preserve">for </w:t>
      </w:r>
      <w:r w:rsidRPr="00AF42A7" w:rsidR="003C4B0C">
        <w:t xml:space="preserve">determining </w:t>
      </w:r>
      <w:r w:rsidRPr="00AF42A7" w:rsidR="002D403A">
        <w:t xml:space="preserve">whether limited compound expansion is a </w:t>
      </w:r>
      <w:r w:rsidRPr="00AF42A7" w:rsidR="00DD3178">
        <w:t>substantial</w:t>
      </w:r>
      <w:r w:rsidRPr="00AF42A7" w:rsidR="002D403A">
        <w:t xml:space="preserve"> </w:t>
      </w:r>
      <w:r w:rsidRPr="00AF42A7" w:rsidR="006C5684">
        <w:t xml:space="preserve">change that </w:t>
      </w:r>
      <w:r w:rsidRPr="00AF42A7" w:rsidR="00910859">
        <w:t>dis</w:t>
      </w:r>
      <w:r w:rsidRPr="00AF42A7" w:rsidR="00DD3178">
        <w:t>qualifies</w:t>
      </w:r>
      <w:r w:rsidRPr="00AF42A7" w:rsidR="006C5684">
        <w:t xml:space="preserve"> </w:t>
      </w:r>
      <w:r w:rsidRPr="00AF42A7" w:rsidR="00910859">
        <w:t>a modification from</w:t>
      </w:r>
      <w:r w:rsidRPr="00AF42A7" w:rsidR="006C5684">
        <w:t xml:space="preserve"> </w:t>
      </w:r>
      <w:r w:rsidRPr="00AF42A7" w:rsidR="000D3C7D">
        <w:t>eligibility</w:t>
      </w:r>
      <w:r w:rsidRPr="00AF42A7" w:rsidR="00AF6BA6">
        <w:t xml:space="preserve"> for </w:t>
      </w:r>
      <w:r w:rsidRPr="00AF42A7" w:rsidR="00DD3178">
        <w:t>streamlined</w:t>
      </w:r>
      <w:r w:rsidRPr="00AF42A7" w:rsidR="00BC286C">
        <w:t xml:space="preserve"> </w:t>
      </w:r>
      <w:r w:rsidRPr="00AF42A7" w:rsidR="001F7E4F">
        <w:t>treatment</w:t>
      </w:r>
      <w:r w:rsidRPr="00AF42A7" w:rsidR="006C5684">
        <w:t>.</w:t>
      </w:r>
      <w:r>
        <w:rPr>
          <w:rStyle w:val="FootnoteReference"/>
        </w:rPr>
        <w:footnoteReference w:id="55"/>
      </w:r>
      <w:r w:rsidRPr="00A70EC8" w:rsidR="00AF58A8">
        <w:t xml:space="preserve"> </w:t>
      </w:r>
    </w:p>
    <w:p w:rsidR="00D610A3" w:rsidRPr="007C6360" w:rsidP="0001680F" w14:paraId="56962316" w14:textId="21BB3411">
      <w:pPr>
        <w:pStyle w:val="ParaNum"/>
        <w:widowControl/>
        <w:tabs>
          <w:tab w:val="left" w:pos="1440"/>
        </w:tabs>
      </w:pPr>
      <w:r w:rsidRPr="00A70EC8">
        <w:t xml:space="preserve">We </w:t>
      </w:r>
      <w:r w:rsidRPr="007C6360">
        <w:t xml:space="preserve">also find that streamlined treatment </w:t>
      </w:r>
      <w:r w:rsidRPr="00AF42A7">
        <w:t>of limited compound expansions will promote public safety and network resiliency.  For example, we note that Crown Castle states that more than 40</w:t>
      </w:r>
      <w:r w:rsidRPr="00AF42A7" w:rsidR="00931C31">
        <w:t xml:space="preserve"> percent</w:t>
      </w:r>
      <w:r w:rsidRPr="00AF42A7">
        <w:t xml:space="preserve"> of its site expansions in the past 18 months were solely for </w:t>
      </w:r>
      <w:r w:rsidRPr="00AF42A7" w:rsidR="00692F4E">
        <w:t>“</w:t>
      </w:r>
      <w:r w:rsidRPr="00AF42A7">
        <w:t>adding backup emergency generators</w:t>
      </w:r>
      <w:r w:rsidRPr="00AF42A7" w:rsidR="00473FAF">
        <w:t xml:space="preserve"> to add resiliency to the network</w:t>
      </w:r>
      <w:r w:rsidRPr="00AF42A7">
        <w:t>.</w:t>
      </w:r>
      <w:r w:rsidRPr="00AF42A7" w:rsidR="00473FAF">
        <w:t>”</w:t>
      </w:r>
      <w:r>
        <w:rPr>
          <w:rStyle w:val="FootnoteReference"/>
        </w:rPr>
        <w:footnoteReference w:id="56"/>
      </w:r>
      <w:r w:rsidRPr="00A70EC8">
        <w:t xml:space="preserve">  And WIA states that, “in many cases, the need for a limited expansion of the compound is being driven by public safety demands and the desire to improve network resiliency.”</w:t>
      </w:r>
      <w:r>
        <w:rPr>
          <w:rStyle w:val="FootnoteReference"/>
        </w:rPr>
        <w:footnoteReference w:id="57"/>
      </w:r>
      <w:r w:rsidRPr="00A70EC8">
        <w:t xml:space="preserve">  Our rule change will also promote public safety in another context—</w:t>
      </w:r>
      <w:r w:rsidRPr="007C6360">
        <w:t>industry c</w:t>
      </w:r>
      <w:r w:rsidRPr="00AF42A7">
        <w:t>ommenters state that the proposed rule changes will ensure expeditious and effective deployment of FirstNet’s network, which Congress directed to leverage collocation on existing infrastructure “to the maximum extent economically desirable.”</w:t>
      </w:r>
      <w:r>
        <w:rPr>
          <w:rStyle w:val="FootnoteReference"/>
        </w:rPr>
        <w:footnoteReference w:id="58"/>
      </w:r>
      <w:r w:rsidRPr="00A70EC8">
        <w:t xml:space="preserve">  AT&amp;T, for example, states that “many collocations on existing towers being performed to build a public safety broadband network for [FirstNet] entail site expansions to add </w:t>
      </w:r>
      <w:r w:rsidRPr="00A70EC8">
        <w:t>generators as well as Band 14 equipment.”</w:t>
      </w:r>
      <w:r>
        <w:rPr>
          <w:rStyle w:val="FootnoteReference"/>
        </w:rPr>
        <w:footnoteReference w:id="59"/>
      </w:r>
      <w:r w:rsidRPr="00A70EC8">
        <w:t xml:space="preserve">  We therefore agree with commenters that these changes will promote public safety</w:t>
      </w:r>
      <w:r w:rsidRPr="00A70EC8">
        <w:t>.</w:t>
      </w:r>
    </w:p>
    <w:p w:rsidR="006F2926" w:rsidRPr="00AF42A7" w:rsidP="00066E60" w14:paraId="427867ED" w14:textId="0FA5F69C">
      <w:pPr>
        <w:pStyle w:val="ParaNum"/>
        <w:tabs>
          <w:tab w:val="left" w:pos="1440"/>
        </w:tabs>
      </w:pPr>
      <w:r w:rsidRPr="00AF42A7">
        <w:t xml:space="preserve">We </w:t>
      </w:r>
      <w:r w:rsidRPr="00AF42A7" w:rsidR="00791ED8">
        <w:t>conclude that 30 feet is an appropriate threshold</w:t>
      </w:r>
      <w:r w:rsidRPr="00AF42A7">
        <w:t>.</w:t>
      </w:r>
      <w:r>
        <w:rPr>
          <w:rStyle w:val="FootnoteReference"/>
        </w:rPr>
        <w:footnoteReference w:id="60"/>
      </w:r>
      <w:r w:rsidRPr="00A70EC8">
        <w:t xml:space="preserve">  The objective standard we adopt today is</w:t>
      </w:r>
      <w:r w:rsidRPr="00A70EC8" w:rsidR="004B5BAF">
        <w:t xml:space="preserve"> </w:t>
      </w:r>
      <w:r w:rsidRPr="007C6360">
        <w:t xml:space="preserve">consistent with </w:t>
      </w:r>
      <w:r w:rsidRPr="00AF42A7" w:rsidR="00986199">
        <w:t>the current collocation marketplace</w:t>
      </w:r>
      <w:r w:rsidRPr="00AF42A7">
        <w:t xml:space="preserve"> </w:t>
      </w:r>
      <w:r w:rsidRPr="00AF42A7" w:rsidR="00047AED">
        <w:t>and</w:t>
      </w:r>
      <w:r w:rsidRPr="00AF42A7">
        <w:t xml:space="preserve"> </w:t>
      </w:r>
      <w:r w:rsidRPr="00AF42A7" w:rsidR="00BA52E4">
        <w:t xml:space="preserve">with the threshold </w:t>
      </w:r>
      <w:r w:rsidRPr="00AF42A7" w:rsidR="00104D42">
        <w:t xml:space="preserve">adopted in the </w:t>
      </w:r>
      <w:r w:rsidRPr="00AF42A7" w:rsidR="00A85C59">
        <w:t xml:space="preserve">Wireless Facilities NPA and </w:t>
      </w:r>
      <w:r w:rsidRPr="00AF42A7" w:rsidR="00BA52E4">
        <w:t xml:space="preserve">recently included in the </w:t>
      </w:r>
      <w:r w:rsidRPr="00AF42A7" w:rsidR="000C5E01">
        <w:t xml:space="preserve">Amended </w:t>
      </w:r>
      <w:r w:rsidRPr="00AF42A7" w:rsidR="00F20A43">
        <w:t>Collocation</w:t>
      </w:r>
      <w:r w:rsidRPr="00AF42A7" w:rsidR="00BA52E4">
        <w:t xml:space="preserve"> NPA</w:t>
      </w:r>
      <w:r w:rsidRPr="00AF42A7">
        <w:t xml:space="preserve">.  In affirming the </w:t>
      </w:r>
      <w:r w:rsidRPr="00AF42A7">
        <w:rPr>
          <w:i/>
          <w:iCs/>
        </w:rPr>
        <w:t>2014 Infrastructure Order</w:t>
      </w:r>
      <w:r w:rsidRPr="00AF42A7">
        <w:t>, the Fourth Circuit stated that the order “provide[d] objective and numerical standards to establish when an eligible facilities request would ‘substantially change the physical dimensions’” of a site.</w:t>
      </w:r>
      <w:r>
        <w:rPr>
          <w:rStyle w:val="FootnoteReference"/>
        </w:rPr>
        <w:footnoteReference w:id="61"/>
      </w:r>
      <w:r w:rsidRPr="00A70EC8">
        <w:t xml:space="preserve">  Here, we extend those objective and numerical standards in a manner that reflects </w:t>
      </w:r>
      <w:r w:rsidRPr="00A70EC8" w:rsidR="00D378A5">
        <w:t xml:space="preserve">the recent recognition of 30 feet as an appropriate standard </w:t>
      </w:r>
      <w:r w:rsidRPr="00AF42A7" w:rsidR="0095293A">
        <w:t xml:space="preserve">in the </w:t>
      </w:r>
      <w:r w:rsidRPr="00AF42A7" w:rsidR="00EA1D9E">
        <w:t>f</w:t>
      </w:r>
      <w:r w:rsidRPr="00AF42A7" w:rsidR="0095293A">
        <w:t xml:space="preserve">ederal </w:t>
      </w:r>
      <w:r w:rsidRPr="00AF42A7" w:rsidR="00B1357D">
        <w:t>historic</w:t>
      </w:r>
      <w:r w:rsidRPr="00AF42A7" w:rsidR="0095293A">
        <w:t xml:space="preserve"> </w:t>
      </w:r>
      <w:r w:rsidRPr="00AF42A7" w:rsidR="00B1357D">
        <w:t>preservation</w:t>
      </w:r>
      <w:r w:rsidRPr="00AF42A7" w:rsidR="0095293A">
        <w:t xml:space="preserve"> context and the </w:t>
      </w:r>
      <w:r w:rsidRPr="00AF42A7">
        <w:t>changes in the collocation marketplace</w:t>
      </w:r>
      <w:r w:rsidRPr="00AF42A7" w:rsidR="0012588F">
        <w:t xml:space="preserve">, which </w:t>
      </w:r>
      <w:r w:rsidRPr="00AF42A7" w:rsidR="005A1F26">
        <w:t>is</w:t>
      </w:r>
      <w:r w:rsidRPr="00AF42A7" w:rsidR="00E30ACE">
        <w:t xml:space="preserve"> lacking space for</w:t>
      </w:r>
      <w:r w:rsidRPr="00AF42A7" w:rsidR="00233618">
        <w:t xml:space="preserve"> collocations</w:t>
      </w:r>
      <w:r w:rsidRPr="00AF42A7">
        <w:t xml:space="preserve">. </w:t>
      </w:r>
      <w:r w:rsidRPr="00AF42A7" w:rsidR="00E13983">
        <w:t xml:space="preserve"> </w:t>
      </w:r>
    </w:p>
    <w:p w:rsidR="00D806E2" w:rsidRPr="00A70EC8" w:rsidP="00AF42A7" w14:paraId="5C0159A7" w14:textId="1FAAEA78">
      <w:pPr>
        <w:pStyle w:val="ParaNum"/>
      </w:pPr>
      <w:r w:rsidRPr="007C6360">
        <w:t>We believe that our actions</w:t>
      </w:r>
      <w:r w:rsidRPr="00AF42A7" w:rsidR="005B00B7">
        <w:t xml:space="preserve"> today</w:t>
      </w:r>
      <w:r w:rsidRPr="00AF42A7" w:rsidR="003A2953">
        <w:t xml:space="preserve">, </w:t>
      </w:r>
      <w:r w:rsidRPr="00AF42A7" w:rsidR="001C706E">
        <w:t>which reflect the</w:t>
      </w:r>
      <w:r w:rsidRPr="00AF42A7" w:rsidR="00D7760C">
        <w:t xml:space="preserve"> Amended Collocation</w:t>
      </w:r>
      <w:r w:rsidRPr="00AF42A7" w:rsidR="001C706E">
        <w:t xml:space="preserve"> NPA and </w:t>
      </w:r>
      <w:r w:rsidRPr="00AF42A7" w:rsidR="004F077F">
        <w:t xml:space="preserve">collocation marketplace </w:t>
      </w:r>
      <w:r w:rsidRPr="00AF42A7" w:rsidR="003A2953">
        <w:t xml:space="preserve">changes since the </w:t>
      </w:r>
      <w:r w:rsidRPr="00AF42A7" w:rsidR="00C6351E">
        <w:t>Commission</w:t>
      </w:r>
      <w:r w:rsidRPr="00AF42A7" w:rsidR="007F42E5">
        <w:t>’s</w:t>
      </w:r>
      <w:r w:rsidRPr="00AF42A7" w:rsidR="00C6351E">
        <w:t xml:space="preserve"> </w:t>
      </w:r>
      <w:r w:rsidRPr="00AF42A7" w:rsidR="008B1DBA">
        <w:t>determination</w:t>
      </w:r>
      <w:r w:rsidRPr="00AF42A7" w:rsidR="00C6351E">
        <w:t xml:space="preserve"> in 2014, </w:t>
      </w:r>
      <w:r w:rsidRPr="00AF42A7">
        <w:t>“will provide an appropriate balance between municipal flexibility and the rapid deployment of covered facilities.”</w:t>
      </w:r>
      <w:r>
        <w:rPr>
          <w:vertAlign w:val="superscript"/>
        </w:rPr>
        <w:footnoteReference w:id="62"/>
      </w:r>
      <w:r w:rsidRPr="00A70EC8" w:rsidR="00A604D3">
        <w:t xml:space="preserve">  </w:t>
      </w:r>
      <w:r w:rsidRPr="00A70EC8" w:rsidR="003E5D69">
        <w:t xml:space="preserve">Indeed, the record </w:t>
      </w:r>
      <w:r w:rsidRPr="007C6360" w:rsidR="003E5D69">
        <w:t xml:space="preserve">reflects that </w:t>
      </w:r>
      <w:r w:rsidRPr="00AF42A7" w:rsidR="00ED4296">
        <w:t xml:space="preserve">the </w:t>
      </w:r>
      <w:r w:rsidRPr="00AF42A7" w:rsidR="006E1661">
        <w:t xml:space="preserve">deployment of transmission equipment </w:t>
      </w:r>
      <w:r w:rsidRPr="00AF42A7" w:rsidR="00746D87">
        <w:t>wi</w:t>
      </w:r>
      <w:r w:rsidRPr="00AF42A7" w:rsidR="00D96DBD">
        <w:t>th</w:t>
      </w:r>
      <w:r w:rsidRPr="00AF42A7" w:rsidR="00947007">
        <w:t>in</w:t>
      </w:r>
      <w:r w:rsidRPr="00AF42A7" w:rsidR="00623752">
        <w:t xml:space="preserve"> </w:t>
      </w:r>
      <w:r w:rsidRPr="00AF42A7" w:rsidR="004405FB">
        <w:t xml:space="preserve">the </w:t>
      </w:r>
      <w:r w:rsidRPr="00AF42A7" w:rsidR="00947007">
        <w:t xml:space="preserve">expanded </w:t>
      </w:r>
      <w:r w:rsidRPr="00AF42A7" w:rsidR="004405FB">
        <w:t>30</w:t>
      </w:r>
      <w:r w:rsidR="000B2E8F">
        <w:t>-</w:t>
      </w:r>
      <w:r w:rsidRPr="00AF42A7" w:rsidR="004405FB">
        <w:t xml:space="preserve">foot area will be </w:t>
      </w:r>
      <w:r w:rsidRPr="00AF42A7" w:rsidR="00856AFD">
        <w:t>limited</w:t>
      </w:r>
      <w:r w:rsidRPr="00AF42A7" w:rsidR="006A3E11">
        <w:t xml:space="preserve">, buttressing our view that 30 feet is a reasonable </w:t>
      </w:r>
      <w:r w:rsidRPr="00877685" w:rsidR="00877685">
        <w:t xml:space="preserve">limit to expansion that does not </w:t>
      </w:r>
      <w:r w:rsidRPr="00AF42A7" w:rsidR="006A3E11">
        <w:t xml:space="preserve">constitute a substantial change </w:t>
      </w:r>
      <w:r w:rsidR="00877685">
        <w:t>and therefore</w:t>
      </w:r>
      <w:r w:rsidRPr="00AF42A7" w:rsidR="006A3E11">
        <w:t xml:space="preserve"> should be subject to streamlined review under Section 6409 and our implementing regulations</w:t>
      </w:r>
      <w:r w:rsidRPr="00A70EC8" w:rsidR="004405FB">
        <w:t xml:space="preserve">.  </w:t>
      </w:r>
      <w:r w:rsidRPr="00A70EC8" w:rsidR="002E3950">
        <w:t>Crown Castle</w:t>
      </w:r>
      <w:r w:rsidRPr="007C6360" w:rsidR="006A3E11">
        <w:t xml:space="preserve"> </w:t>
      </w:r>
      <w:r w:rsidRPr="00A70EC8" w:rsidR="002E3950">
        <w:t>states that the 30</w:t>
      </w:r>
      <w:r w:rsidR="000B2E8F">
        <w:t>-</w:t>
      </w:r>
      <w:r w:rsidRPr="00A70EC8" w:rsidR="002E3950">
        <w:t>foot standard “</w:t>
      </w:r>
      <w:r w:rsidRPr="00AF42A7" w:rsidR="002E3950">
        <w:t>will be sufficient to accommodate the types of minor equipment additions that Crown Castle must often make as part of a collocation or other site modification.”</w:t>
      </w:r>
      <w:r>
        <w:rPr>
          <w:rStyle w:val="FootnoteReference"/>
        </w:rPr>
        <w:footnoteReference w:id="63"/>
      </w:r>
      <w:r w:rsidRPr="00A70EC8" w:rsidR="002E3950">
        <w:t xml:space="preserve">  </w:t>
      </w:r>
      <w:r w:rsidRPr="00A70EC8" w:rsidR="00394B82">
        <w:t>Cro</w:t>
      </w:r>
      <w:r w:rsidRPr="007C6360" w:rsidR="00394B82">
        <w:t xml:space="preserve">wn Castle </w:t>
      </w:r>
      <w:r w:rsidRPr="00AF42A7" w:rsidR="00716E0A">
        <w:t>presents</w:t>
      </w:r>
      <w:r w:rsidRPr="00AF42A7" w:rsidR="005C20F2">
        <w:t xml:space="preserve"> several</w:t>
      </w:r>
      <w:r w:rsidRPr="00AF42A7" w:rsidR="0048516B">
        <w:t xml:space="preserve"> representative </w:t>
      </w:r>
      <w:r w:rsidRPr="00AF42A7" w:rsidR="00394B82">
        <w:t>examples</w:t>
      </w:r>
      <w:r w:rsidRPr="00AF42A7" w:rsidR="00325FEA">
        <w:t xml:space="preserve"> </w:t>
      </w:r>
      <w:r w:rsidRPr="00AF42A7" w:rsidR="00983B66">
        <w:t>of</w:t>
      </w:r>
      <w:r w:rsidRPr="00AF42A7" w:rsidR="007F0270">
        <w:t xml:space="preserve"> </w:t>
      </w:r>
      <w:r w:rsidRPr="00AF42A7" w:rsidR="003A38E5">
        <w:t>proposed</w:t>
      </w:r>
      <w:r w:rsidRPr="00A70EC8" w:rsidR="003A38E5">
        <w:t xml:space="preserve"> </w:t>
      </w:r>
      <w:r w:rsidRPr="00A70EC8" w:rsidR="007F0270">
        <w:t xml:space="preserve">minor </w:t>
      </w:r>
      <w:r w:rsidRPr="007C6360" w:rsidR="00983B66">
        <w:t>site expansions</w:t>
      </w:r>
      <w:r w:rsidRPr="00AF42A7" w:rsidR="00A4424C">
        <w:t>, which include “</w:t>
      </w:r>
      <w:r w:rsidRPr="00AF42A7" w:rsidR="00CF6512">
        <w:t>additional equipment, equipment upgrades, new collocations, and back-up generator installations.”</w:t>
      </w:r>
      <w:r>
        <w:rPr>
          <w:rStyle w:val="FootnoteReference"/>
        </w:rPr>
        <w:footnoteReference w:id="64"/>
      </w:r>
      <w:r w:rsidRPr="00A70EC8" w:rsidR="003E7FD0">
        <w:t xml:space="preserve">  These </w:t>
      </w:r>
      <w:r w:rsidRPr="00A70EC8" w:rsidR="00223E45">
        <w:t>examples demonstrate th</w:t>
      </w:r>
      <w:r w:rsidRPr="00AF42A7" w:rsidR="00223E45">
        <w:t>at</w:t>
      </w:r>
      <w:r w:rsidRPr="00AF42A7" w:rsidR="00391789">
        <w:t xml:space="preserve"> </w:t>
      </w:r>
      <w:r w:rsidRPr="00AF42A7" w:rsidR="006D72E9">
        <w:t xml:space="preserve">compound </w:t>
      </w:r>
      <w:r w:rsidRPr="00AF42A7" w:rsidR="00391789">
        <w:t xml:space="preserve">expansions </w:t>
      </w:r>
      <w:r w:rsidRPr="00AF42A7" w:rsidR="00BF6BD4">
        <w:t>occur as close to the tower as possible,</w:t>
      </w:r>
      <w:r w:rsidRPr="00AF42A7" w:rsidR="0042673D">
        <w:t xml:space="preserve"> as “customers </w:t>
      </w:r>
      <w:r w:rsidRPr="00AF42A7" w:rsidR="00C564ED">
        <w:t>typically require their equipment to be in close proximity to the tower, their other equipment, power sources, available fiber, and any back-up power supply.”</w:t>
      </w:r>
      <w:r>
        <w:rPr>
          <w:rStyle w:val="FootnoteReference"/>
        </w:rPr>
        <w:footnoteReference w:id="65"/>
      </w:r>
      <w:r w:rsidRPr="00A70EC8" w:rsidR="009E192B">
        <w:t xml:space="preserve"> </w:t>
      </w:r>
      <w:r w:rsidRPr="00A70EC8" w:rsidR="007A44F3">
        <w:t xml:space="preserve"> </w:t>
      </w:r>
      <w:r w:rsidRPr="00AF42A7" w:rsidR="003A38E5">
        <w:t>These examples also demonstrate that</w:t>
      </w:r>
      <w:r w:rsidRPr="00A70EC8" w:rsidR="003A38E5">
        <w:t xml:space="preserve"> </w:t>
      </w:r>
      <w:r w:rsidRPr="00AF42A7" w:rsidR="003A38E5">
        <w:t>c</w:t>
      </w:r>
      <w:r w:rsidRPr="00AF42A7" w:rsidR="00D04CAD">
        <w:t xml:space="preserve">onstruction within </w:t>
      </w:r>
      <w:r w:rsidRPr="00AF42A7" w:rsidR="003A38E5">
        <w:t>a 30-foot</w:t>
      </w:r>
      <w:r w:rsidRPr="00AF42A7" w:rsidR="00D04CAD">
        <w:t xml:space="preserve"> perimeter of an existing site</w:t>
      </w:r>
      <w:r w:rsidRPr="00A70EC8" w:rsidR="00D04CAD">
        <w:t xml:space="preserve"> </w:t>
      </w:r>
      <w:r w:rsidRPr="00AF42A7" w:rsidR="003A38E5">
        <w:t>would</w:t>
      </w:r>
      <w:r w:rsidRPr="00AF42A7" w:rsidR="00D04CAD">
        <w:t xml:space="preserve"> not result in </w:t>
      </w:r>
      <w:r w:rsidRPr="00AF42A7" w:rsidR="003A38E5">
        <w:t xml:space="preserve">what could be considered </w:t>
      </w:r>
      <w:r w:rsidRPr="00AF42A7" w:rsidR="00D04CAD">
        <w:t>substantial changes to the</w:t>
      </w:r>
      <w:r w:rsidRPr="00AF42A7" w:rsidR="003A38E5">
        <w:t xml:space="preserve"> physical</w:t>
      </w:r>
      <w:r w:rsidRPr="00AF42A7" w:rsidR="00D04CAD">
        <w:t xml:space="preserve"> </w:t>
      </w:r>
      <w:r w:rsidRPr="00AF42A7" w:rsidR="003A38E5">
        <w:t xml:space="preserve">footprint </w:t>
      </w:r>
      <w:r w:rsidRPr="00AF42A7" w:rsidR="00D04CAD">
        <w:t>of existing sites, especially when considered in conjunction with other limitations in our rules that we are not altering.</w:t>
      </w:r>
    </w:p>
    <w:p w:rsidR="00075CEE" w:rsidRPr="00AF42A7" w:rsidP="00613A8A" w14:paraId="720A4D65" w14:textId="737991D3">
      <w:pPr>
        <w:pStyle w:val="ParaNum"/>
      </w:pPr>
      <w:r w:rsidRPr="00AF42A7">
        <w:t>Localities</w:t>
      </w:r>
      <w:r w:rsidRPr="00A70EC8">
        <w:t xml:space="preserve"> </w:t>
      </w:r>
      <w:r w:rsidRPr="00AF42A7">
        <w:t xml:space="preserve">generally oppose any revision to the Commission’s existing “substantial change” definition that would enable streamlined treatment of modifications involving compound </w:t>
      </w:r>
      <w:r w:rsidRPr="00AF42A7">
        <w:t>expansion outside of a site,</w:t>
      </w:r>
      <w:r>
        <w:rPr>
          <w:rStyle w:val="FootnoteReference"/>
        </w:rPr>
        <w:footnoteReference w:id="66"/>
      </w:r>
      <w:r w:rsidRPr="00AF42A7">
        <w:t xml:space="preserve"> but </w:t>
      </w:r>
      <w:r w:rsidRPr="00A70EC8" w:rsidR="002E52F0">
        <w:t>request that, i</w:t>
      </w:r>
      <w:r w:rsidRPr="00AF42A7" w:rsidR="00E76BED">
        <w:t>f</w:t>
      </w:r>
      <w:r w:rsidRPr="00AF42A7" w:rsidR="002E52F0">
        <w:t xml:space="preserve"> such changes nonetheless are made, they should be</w:t>
      </w:r>
      <w:r w:rsidRPr="00AF42A7" w:rsidR="00E76BED">
        <w:t xml:space="preserve"> limited in certain ways.</w:t>
      </w:r>
      <w:r w:rsidRPr="00AF42A7" w:rsidR="00017F7E">
        <w:t xml:space="preserve">  </w:t>
      </w:r>
      <w:r w:rsidRPr="00AF42A7" w:rsidR="00136876">
        <w:t>First</w:t>
      </w:r>
      <w:r w:rsidRPr="00AF42A7" w:rsidR="00FF5235">
        <w:t>,</w:t>
      </w:r>
      <w:r w:rsidRPr="00AF42A7" w:rsidR="00017F7E">
        <w:t xml:space="preserve"> </w:t>
      </w:r>
      <w:r w:rsidRPr="00AF42A7" w:rsidR="00FA4A3F">
        <w:t xml:space="preserve">NATOA and Local Governments </w:t>
      </w:r>
      <w:r w:rsidRPr="00AF42A7" w:rsidR="00315071">
        <w:t xml:space="preserve">express concern that </w:t>
      </w:r>
      <w:r w:rsidRPr="00AF42A7" w:rsidR="004961F3">
        <w:t xml:space="preserve">the </w:t>
      </w:r>
      <w:r w:rsidRPr="00AF42A7" w:rsidR="00B53F7C">
        <w:t xml:space="preserve">rule change with respect to compound expansion could be </w:t>
      </w:r>
      <w:r w:rsidRPr="00AF42A7" w:rsidR="004F5397">
        <w:t>interpreted</w:t>
      </w:r>
      <w:r w:rsidRPr="00AF42A7" w:rsidR="00B53F7C">
        <w:t xml:space="preserve"> to permit the deployment of new towers within the expanded area, and they </w:t>
      </w:r>
      <w:r w:rsidRPr="00AF42A7" w:rsidR="00FA4A3F">
        <w:t xml:space="preserve">request that </w:t>
      </w:r>
      <w:r w:rsidRPr="00AF42A7" w:rsidR="00607E5A">
        <w:t xml:space="preserve">the Commission limit the </w:t>
      </w:r>
      <w:r w:rsidRPr="00AF42A7" w:rsidR="00315071">
        <w:t xml:space="preserve">permissible </w:t>
      </w:r>
      <w:r w:rsidRPr="00AF42A7" w:rsidR="00FA4A3F">
        <w:t>deployment within the expanded area to transmission e</w:t>
      </w:r>
      <w:r w:rsidRPr="00AF42A7" w:rsidR="00506A12">
        <w:t>quipment.</w:t>
      </w:r>
      <w:r>
        <w:rPr>
          <w:rStyle w:val="FootnoteReference"/>
        </w:rPr>
        <w:footnoteReference w:id="67"/>
      </w:r>
      <w:r w:rsidRPr="00A70EC8" w:rsidR="00506A12">
        <w:t xml:space="preserve"> </w:t>
      </w:r>
      <w:r w:rsidRPr="00A70EC8" w:rsidR="002E52F0">
        <w:t xml:space="preserve"> </w:t>
      </w:r>
      <w:r w:rsidRPr="007C6360" w:rsidR="00512093">
        <w:t xml:space="preserve">We agree that the deployments referenced in </w:t>
      </w:r>
      <w:r w:rsidRPr="00AF42A7" w:rsidR="00E73270">
        <w:t xml:space="preserve">section 1.6100(b)(7)(iv) </w:t>
      </w:r>
      <w:r w:rsidRPr="00AF42A7" w:rsidR="00CC247C">
        <w:t>are deployments of transmission equipment.</w:t>
      </w:r>
      <w:r w:rsidRPr="00AF42A7" w:rsidR="004A74BA">
        <w:t xml:space="preserve">  </w:t>
      </w:r>
      <w:r w:rsidRPr="00AF42A7" w:rsidR="006069B9">
        <w:t xml:space="preserve">Under our </w:t>
      </w:r>
      <w:r w:rsidRPr="00AF42A7" w:rsidR="0068293E">
        <w:t xml:space="preserve">current </w:t>
      </w:r>
      <w:r w:rsidRPr="00AF42A7" w:rsidR="006069B9">
        <w:t>rules</w:t>
      </w:r>
      <w:r w:rsidRPr="00AF42A7" w:rsidR="00044BF3">
        <w:t>, any eligible facilities request</w:t>
      </w:r>
      <w:r w:rsidRPr="00AF42A7" w:rsidR="00661462">
        <w:t>—</w:t>
      </w:r>
      <w:r w:rsidRPr="00AF42A7" w:rsidR="00386F48">
        <w:t>a request that is eligible for section 6409(a) treatment</w:t>
      </w:r>
      <w:r w:rsidRPr="00AF42A7" w:rsidR="00661462">
        <w:t>—</w:t>
      </w:r>
      <w:r w:rsidRPr="00AF42A7" w:rsidR="00386F48">
        <w:t xml:space="preserve">must involve the </w:t>
      </w:r>
      <w:r w:rsidRPr="00AF42A7" w:rsidR="004F5397">
        <w:t>collocation</w:t>
      </w:r>
      <w:r w:rsidRPr="00AF42A7" w:rsidR="00CE7439">
        <w:t>, replacement, or removal of transmission equipment</w:t>
      </w:r>
      <w:r w:rsidRPr="00AF42A7" w:rsidR="00184B94">
        <w:t>.</w:t>
      </w:r>
      <w:r>
        <w:rPr>
          <w:rStyle w:val="FootnoteReference"/>
        </w:rPr>
        <w:footnoteReference w:id="68"/>
      </w:r>
      <w:r w:rsidRPr="00A70EC8" w:rsidR="00184B94">
        <w:t xml:space="preserve">  </w:t>
      </w:r>
      <w:r w:rsidRPr="00A70EC8" w:rsidR="00684000">
        <w:t>Accordingly</w:t>
      </w:r>
      <w:r w:rsidRPr="007C6360" w:rsidR="00F67C7D">
        <w:t>,</w:t>
      </w:r>
      <w:r w:rsidRPr="00AF42A7" w:rsidR="00684000">
        <w:t xml:space="preserve"> any deployment </w:t>
      </w:r>
      <w:r w:rsidRPr="00AF42A7" w:rsidR="008A267A">
        <w:t xml:space="preserve">outside the site boundary that is eligible for section 6409(a) treatment under </w:t>
      </w:r>
      <w:r w:rsidRPr="00AF42A7" w:rsidR="006D4F23">
        <w:t xml:space="preserve">section </w:t>
      </w:r>
      <w:r w:rsidRPr="00AF42A7" w:rsidR="008A267A">
        <w:t xml:space="preserve">1.6100(b)(7)(iv), including deployments </w:t>
      </w:r>
      <w:r w:rsidRPr="00AF42A7" w:rsidR="000A234E">
        <w:t xml:space="preserve">within 30 feet of the site </w:t>
      </w:r>
      <w:r w:rsidRPr="00AF42A7" w:rsidR="00F67C7D">
        <w:t>b</w:t>
      </w:r>
      <w:r w:rsidRPr="00AF42A7" w:rsidR="000A234E">
        <w:t xml:space="preserve">oundary for </w:t>
      </w:r>
      <w:r w:rsidRPr="00AF42A7" w:rsidR="00F67C7D">
        <w:t xml:space="preserve">a </w:t>
      </w:r>
      <w:r w:rsidRPr="00AF42A7" w:rsidR="000A234E">
        <w:t xml:space="preserve">tower outside the public rights-of-way, </w:t>
      </w:r>
      <w:r w:rsidRPr="00AF42A7" w:rsidR="00F67C7D">
        <w:t xml:space="preserve">would be </w:t>
      </w:r>
      <w:r w:rsidRPr="00AF42A7" w:rsidR="004F5397">
        <w:t>limited to the deployment of transmission equipment</w:t>
      </w:r>
      <w:r w:rsidR="00877685">
        <w:t>, not new towers</w:t>
      </w:r>
      <w:r w:rsidRPr="00AF42A7" w:rsidR="004F5397">
        <w:t xml:space="preserve">.  </w:t>
      </w:r>
    </w:p>
    <w:p w:rsidR="008D0D8B" w:rsidRPr="00AF42A7" w:rsidP="00613A8A" w14:paraId="0647B0E2" w14:textId="56ACB26A">
      <w:pPr>
        <w:pStyle w:val="ParaNum"/>
      </w:pPr>
      <w:r w:rsidRPr="00AF42A7">
        <w:t xml:space="preserve">Second, </w:t>
      </w:r>
      <w:r w:rsidRPr="00AF42A7" w:rsidR="00D2238A">
        <w:t xml:space="preserve">NATOA and Local Governments </w:t>
      </w:r>
      <w:r w:rsidRPr="00AF42A7" w:rsidR="00FA5294">
        <w:t>propose</w:t>
      </w:r>
      <w:r w:rsidRPr="00AF42A7" w:rsidR="00D2238A">
        <w:t xml:space="preserve"> that </w:t>
      </w:r>
      <w:r w:rsidRPr="00AF42A7" w:rsidR="00183906">
        <w:t xml:space="preserve">the site boundary from which a compound expansion will be measured </w:t>
      </w:r>
      <w:r w:rsidRPr="00AF42A7" w:rsidR="00FA5294">
        <w:t xml:space="preserve">should </w:t>
      </w:r>
      <w:r w:rsidRPr="00AF42A7" w:rsidR="00183906">
        <w:t>exclude easements related to that site</w:t>
      </w:r>
      <w:r w:rsidRPr="00AF42A7" w:rsidR="00FA5294">
        <w:t>.</w:t>
      </w:r>
      <w:r>
        <w:rPr>
          <w:rStyle w:val="FootnoteReference"/>
        </w:rPr>
        <w:footnoteReference w:id="69"/>
      </w:r>
      <w:r w:rsidRPr="00A70EC8" w:rsidR="00EC580C">
        <w:t xml:space="preserve"> </w:t>
      </w:r>
      <w:r w:rsidRPr="00A70EC8" w:rsidR="00FA5294">
        <w:t xml:space="preserve"> We agree.  </w:t>
      </w:r>
      <w:r w:rsidRPr="007C6360" w:rsidR="003E652F">
        <w:t>T</w:t>
      </w:r>
      <w:r w:rsidRPr="00AF42A7" w:rsidR="00FA5294">
        <w:t xml:space="preserve">he definition of “site” in our </w:t>
      </w:r>
      <w:r w:rsidRPr="00AF42A7" w:rsidR="0040525C">
        <w:t xml:space="preserve">current </w:t>
      </w:r>
      <w:r w:rsidRPr="00AF42A7" w:rsidR="00FA5294">
        <w:t>rules</w:t>
      </w:r>
      <w:r w:rsidRPr="00AF42A7" w:rsidR="00583709">
        <w:t xml:space="preserve">, for towers other than towers in the public rights-of-way, </w:t>
      </w:r>
      <w:r w:rsidRPr="00AF42A7" w:rsidR="006F1E03">
        <w:t>is</w:t>
      </w:r>
      <w:r w:rsidRPr="00AF42A7" w:rsidR="00B232EE">
        <w:t xml:space="preserve"> “</w:t>
      </w:r>
      <w:r w:rsidRPr="00AF42A7" w:rsidR="00C14526">
        <w:t>the current boundaries of the leased or owned property surrounding the tower and any access or utility easements currently related to the site</w:t>
      </w:r>
      <w:r w:rsidRPr="00AF42A7" w:rsidR="00661462">
        <w:t>.</w:t>
      </w:r>
      <w:r w:rsidRPr="00AF42A7" w:rsidR="00B232EE">
        <w:t>”</w:t>
      </w:r>
      <w:r>
        <w:rPr>
          <w:rStyle w:val="FootnoteReference"/>
        </w:rPr>
        <w:footnoteReference w:id="70"/>
      </w:r>
      <w:r w:rsidRPr="00A70EC8" w:rsidR="000E57C4">
        <w:t xml:space="preserve"> </w:t>
      </w:r>
      <w:r w:rsidRPr="00A70EC8" w:rsidR="006F1E03">
        <w:t xml:space="preserve"> W</w:t>
      </w:r>
      <w:r w:rsidRPr="007C6360" w:rsidR="000E57C4">
        <w:t>e find</w:t>
      </w:r>
      <w:r w:rsidRPr="00AF42A7" w:rsidR="00DC191C">
        <w:t xml:space="preserve">, </w:t>
      </w:r>
      <w:r w:rsidRPr="00AF42A7" w:rsidR="0047344E">
        <w:t>though</w:t>
      </w:r>
      <w:r w:rsidRPr="00AF42A7" w:rsidR="00DC191C">
        <w:t xml:space="preserve">, that </w:t>
      </w:r>
      <w:r w:rsidRPr="00AF42A7" w:rsidR="00FA77B9">
        <w:t>providing a</w:t>
      </w:r>
      <w:r w:rsidRPr="00AF42A7" w:rsidR="00DF0F5F">
        <w:t xml:space="preserve"> 30-foot expansion for excavation or deployment </w:t>
      </w:r>
      <w:r w:rsidRPr="00AF42A7" w:rsidR="00DE6130">
        <w:t xml:space="preserve">along an easement related to the site </w:t>
      </w:r>
      <w:r w:rsidRPr="00AF42A7" w:rsidR="00CA30E1">
        <w:t xml:space="preserve">is not necessary to meet the goal of </w:t>
      </w:r>
      <w:r w:rsidRPr="00AF42A7" w:rsidR="00247406">
        <w:t>facilitating</w:t>
      </w:r>
      <w:r w:rsidRPr="00AF42A7" w:rsidR="00CA30E1">
        <w:t xml:space="preserve"> wireless infrastructure deployment</w:t>
      </w:r>
      <w:r w:rsidRPr="00AF42A7" w:rsidR="00CA157F">
        <w:t>,</w:t>
      </w:r>
      <w:r w:rsidRPr="00AF42A7" w:rsidR="00CA30E1">
        <w:t xml:space="preserve"> because it is </w:t>
      </w:r>
      <w:r w:rsidRPr="00AF42A7" w:rsidR="0047344E">
        <w:t xml:space="preserve">more likely that additional equipment will need to be placed in a limited area outside the leased or owned </w:t>
      </w:r>
      <w:r w:rsidRPr="00AF42A7" w:rsidR="00693235">
        <w:t>property</w:t>
      </w:r>
      <w:r w:rsidRPr="00AF42A7" w:rsidR="0047344E">
        <w:t xml:space="preserve"> rather than outside the easement</w:t>
      </w:r>
      <w:r w:rsidRPr="00AF42A7" w:rsidR="00075CEE">
        <w:t xml:space="preserve"> related to the site</w:t>
      </w:r>
      <w:r w:rsidRPr="00AF42A7" w:rsidR="0047344E">
        <w:t xml:space="preserve">.  </w:t>
      </w:r>
      <w:r w:rsidRPr="00AF42A7" w:rsidR="00075CEE">
        <w:t xml:space="preserve">Further, </w:t>
      </w:r>
      <w:r w:rsidRPr="00AF42A7" w:rsidR="00884513">
        <w:t xml:space="preserve">excavation or deployment in an area 30 feet outside an easement, which could be miles in length, </w:t>
      </w:r>
      <w:r w:rsidRPr="00AF42A7" w:rsidR="008D3054">
        <w:t xml:space="preserve">could result in a substantial change that would not be entitled to </w:t>
      </w:r>
      <w:r w:rsidRPr="00AF42A7" w:rsidR="00693235">
        <w:t>streamlined treatment</w:t>
      </w:r>
      <w:r w:rsidRPr="00AF42A7" w:rsidR="008D3054">
        <w:t xml:space="preserve"> under section 6409(a).  </w:t>
      </w:r>
    </w:p>
    <w:p w:rsidR="00613A8A" w:rsidRPr="00A70EC8" w:rsidP="00613A8A" w14:paraId="2B22C11A" w14:textId="3342C323">
      <w:pPr>
        <w:pStyle w:val="ParaNum"/>
      </w:pPr>
      <w:r w:rsidRPr="00AF42A7">
        <w:t>Third,</w:t>
      </w:r>
      <w:r w:rsidRPr="00AF42A7" w:rsidR="00CD021F">
        <w:t xml:space="preserve"> </w:t>
      </w:r>
      <w:r w:rsidRPr="00AF42A7" w:rsidR="00AD7F17">
        <w:t>NATOA and Local Governments</w:t>
      </w:r>
      <w:r w:rsidRPr="00AF42A7" w:rsidR="0061728D">
        <w:t xml:space="preserve"> request </w:t>
      </w:r>
      <w:r w:rsidRPr="00AF42A7" w:rsidR="008237AF">
        <w:t xml:space="preserve">that we </w:t>
      </w:r>
      <w:r w:rsidRPr="00AF42A7" w:rsidR="002F6A67">
        <w:t>restrict</w:t>
      </w:r>
      <w:r w:rsidRPr="00AF42A7" w:rsidR="008237AF">
        <w:t xml:space="preserve"> </w:t>
      </w:r>
      <w:r w:rsidRPr="00AF42A7" w:rsidR="002D324B">
        <w:t xml:space="preserve">the size of transmission </w:t>
      </w:r>
      <w:r w:rsidRPr="00AF42A7" w:rsidR="002D324B">
        <w:t xml:space="preserve">equipment deployed outside the </w:t>
      </w:r>
      <w:r w:rsidRPr="00AF42A7" w:rsidR="00DC7F66">
        <w:t>site</w:t>
      </w:r>
      <w:r w:rsidRPr="00AF42A7" w:rsidR="00957C76">
        <w:t>.</w:t>
      </w:r>
      <w:r>
        <w:rPr>
          <w:rStyle w:val="FootnoteReference"/>
        </w:rPr>
        <w:footnoteReference w:id="71"/>
      </w:r>
      <w:r w:rsidRPr="00A70EC8" w:rsidR="004A0DA0">
        <w:t xml:space="preserve">  </w:t>
      </w:r>
      <w:r w:rsidRPr="00A70EC8" w:rsidR="00173DEC">
        <w:t>We find that</w:t>
      </w:r>
      <w:r w:rsidRPr="007C6360" w:rsidR="00293A00">
        <w:t xml:space="preserve">, given </w:t>
      </w:r>
      <w:r w:rsidRPr="00AF42A7" w:rsidR="00293A00">
        <w:t>the limited types of transmission equipment deployed for collocations</w:t>
      </w:r>
      <w:r w:rsidRPr="00AF42A7" w:rsidR="001B6C07">
        <w:t>,</w:t>
      </w:r>
      <w:r w:rsidRPr="00AF42A7" w:rsidR="00173DEC">
        <w:t xml:space="preserve"> such a restriction is not necessary to </w:t>
      </w:r>
      <w:r w:rsidRPr="00AF42A7" w:rsidR="00A64FD2">
        <w:t>consider excavation or deployment within the 30-foot expansion area to be outside the scope of a substantial change.</w:t>
      </w:r>
      <w:r w:rsidRPr="00AF42A7" w:rsidR="008B343E">
        <w:t xml:space="preserve">  </w:t>
      </w:r>
      <w:r w:rsidRPr="00AF42A7" w:rsidR="004A0DA0">
        <w:t xml:space="preserve">Additionally, </w:t>
      </w:r>
      <w:r w:rsidRPr="00AF42A7">
        <w:t xml:space="preserve">size </w:t>
      </w:r>
      <w:r w:rsidRPr="00AF42A7" w:rsidR="00E62316">
        <w:t>restrictions</w:t>
      </w:r>
      <w:r w:rsidRPr="00AF42A7">
        <w:t xml:space="preserve"> based on current equipment may unnecessarily restrict the deployment of future technology, which may include larger transmission equipment than currently deployed or available.</w:t>
      </w:r>
      <w:r w:rsidRPr="00AF42A7" w:rsidR="004367D9">
        <w:t xml:space="preserve">  Finally, </w:t>
      </w:r>
      <w:r w:rsidRPr="00A70EC8" w:rsidR="002E6671">
        <w:t>t</w:t>
      </w:r>
      <w:r w:rsidRPr="007C6360" w:rsidR="002E6671">
        <w:t xml:space="preserve">he </w:t>
      </w:r>
      <w:r w:rsidRPr="00AF42A7" w:rsidR="00AE1C63">
        <w:t xml:space="preserve">other </w:t>
      </w:r>
      <w:r w:rsidRPr="00AF42A7" w:rsidR="00516BCC">
        <w:t xml:space="preserve">substantial change </w:t>
      </w:r>
      <w:r w:rsidRPr="00AF42A7" w:rsidR="002E6671">
        <w:t>lim</w:t>
      </w:r>
      <w:r w:rsidRPr="00AF42A7" w:rsidR="0089726E">
        <w:t xml:space="preserve">itations </w:t>
      </w:r>
      <w:r w:rsidRPr="00AF42A7" w:rsidR="00991605">
        <w:t xml:space="preserve">in section 1.6100(b)(7) </w:t>
      </w:r>
      <w:r w:rsidRPr="00AF42A7" w:rsidR="00E76854">
        <w:t>continue to</w:t>
      </w:r>
      <w:r w:rsidRPr="00AF42A7" w:rsidR="00991605">
        <w:t xml:space="preserve"> apply</w:t>
      </w:r>
      <w:r w:rsidRPr="00AF42A7" w:rsidR="000E48E0">
        <w:t xml:space="preserve"> </w:t>
      </w:r>
      <w:r w:rsidRPr="00AF42A7" w:rsidR="00A264AE">
        <w:t>to modifications</w:t>
      </w:r>
      <w:r w:rsidRPr="00AF42A7" w:rsidR="009629BA">
        <w:t xml:space="preserve"> </w:t>
      </w:r>
      <w:r w:rsidRPr="00AF42A7" w:rsidR="008A4043">
        <w:t>under section 6409(a)</w:t>
      </w:r>
      <w:r w:rsidRPr="00AF42A7" w:rsidR="00991605">
        <w:t>.</w:t>
      </w:r>
      <w:r>
        <w:rPr>
          <w:rStyle w:val="FootnoteReference"/>
        </w:rPr>
        <w:footnoteReference w:id="72"/>
      </w:r>
      <w:r w:rsidRPr="00A70EC8" w:rsidR="00991605">
        <w:t xml:space="preserve">  </w:t>
      </w:r>
    </w:p>
    <w:p w:rsidR="00F5700C" w:rsidRPr="00AF42A7" w:rsidP="00AD0194" w14:paraId="32C9A067" w14:textId="58F5E86F">
      <w:pPr>
        <w:pStyle w:val="ParaNum"/>
        <w:tabs>
          <w:tab w:val="left" w:pos="1440"/>
        </w:tabs>
      </w:pPr>
      <w:r w:rsidRPr="00AF42A7">
        <w:t xml:space="preserve">Fourth, </w:t>
      </w:r>
      <w:r w:rsidRPr="00AF42A7" w:rsidR="00D06B49">
        <w:t xml:space="preserve">NATOA and Local Governments </w:t>
      </w:r>
      <w:r w:rsidRPr="00AF42A7" w:rsidR="00DA16C0">
        <w:t>assert</w:t>
      </w:r>
      <w:r w:rsidRPr="00AF42A7" w:rsidR="001F79CB">
        <w:t xml:space="preserve"> that setting a 30-foot limit on excavation or deployment outside site boundar</w:t>
      </w:r>
      <w:r w:rsidRPr="00AF42A7" w:rsidR="00BB5AB0">
        <w:t xml:space="preserve">ies, without </w:t>
      </w:r>
      <w:r w:rsidRPr="00AF42A7" w:rsidR="00A8580A">
        <w:t xml:space="preserve">regard to the </w:t>
      </w:r>
      <w:r w:rsidRPr="00AF42A7" w:rsidR="00125A43">
        <w:t>size of the existing tower site</w:t>
      </w:r>
      <w:r w:rsidRPr="00AF42A7" w:rsidR="007D38AE">
        <w:t>, could permit substantial changes to qualify for streamlined treatment</w:t>
      </w:r>
      <w:r w:rsidRPr="00AF42A7" w:rsidR="00125A43">
        <w:t>.</w:t>
      </w:r>
      <w:r>
        <w:rPr>
          <w:rStyle w:val="FootnoteReference"/>
        </w:rPr>
        <w:footnoteReference w:id="73"/>
      </w:r>
      <w:r w:rsidRPr="00A70EC8" w:rsidR="00125A43">
        <w:t xml:space="preserve"> </w:t>
      </w:r>
      <w:r w:rsidRPr="00A70EC8" w:rsidR="00763F9C">
        <w:t xml:space="preserve"> In particular, </w:t>
      </w:r>
      <w:r w:rsidRPr="007C6360" w:rsidR="00E41AD7">
        <w:t>NATO</w:t>
      </w:r>
      <w:r w:rsidRPr="00AF42A7" w:rsidR="00DA16C0">
        <w:t>A</w:t>
      </w:r>
      <w:r w:rsidRPr="00AF42A7" w:rsidR="00E41AD7">
        <w:t xml:space="preserve"> and Local Governments </w:t>
      </w:r>
      <w:r w:rsidRPr="00AF42A7" w:rsidR="00795DD3">
        <w:t>propose</w:t>
      </w:r>
      <w:r w:rsidRPr="00AF42A7" w:rsidR="00D06B49">
        <w:t xml:space="preserve"> that</w:t>
      </w:r>
      <w:r w:rsidRPr="00AF42A7" w:rsidR="00C31553">
        <w:t>,</w:t>
      </w:r>
      <w:r w:rsidRPr="00AF42A7" w:rsidR="00D06B49">
        <w:t xml:space="preserve"> </w:t>
      </w:r>
      <w:r w:rsidRPr="00AF42A7" w:rsidR="00C31553">
        <w:t xml:space="preserve">to the extent we revise our “substantial change” definition, </w:t>
      </w:r>
      <w:r w:rsidRPr="00AF42A7" w:rsidR="00D06B49">
        <w:t>the compound expansion standard</w:t>
      </w:r>
      <w:r w:rsidRPr="00AF42A7" w:rsidR="00C31553">
        <w:t xml:space="preserve"> should</w:t>
      </w:r>
      <w:r w:rsidRPr="00AF42A7" w:rsidR="00011888">
        <w:t xml:space="preserve"> </w:t>
      </w:r>
      <w:r w:rsidRPr="00AF42A7" w:rsidR="00D06B49">
        <w:t>be “the lesser of the following distance</w:t>
      </w:r>
      <w:r w:rsidRPr="00AF42A7" w:rsidR="00AF7FCF">
        <w:t>[s]</w:t>
      </w:r>
      <w:r w:rsidRPr="00AF42A7" w:rsidR="00D06B49">
        <w:t xml:space="preserve"> from the current site (not including easements related to the site):  a.  20% of the length or width of the current site measured as a longitudinal or latitudinal line from the current site to the excavation or deployment; or b. 30 feet.”</w:t>
      </w:r>
      <w:r>
        <w:rPr>
          <w:rStyle w:val="FootnoteReference"/>
        </w:rPr>
        <w:footnoteReference w:id="74"/>
      </w:r>
      <w:r w:rsidRPr="00A70EC8" w:rsidR="00D06B49">
        <w:t xml:space="preserve">  We decline to adopt th</w:t>
      </w:r>
      <w:r w:rsidRPr="00AF42A7" w:rsidR="00BF09B5">
        <w:t>is</w:t>
      </w:r>
      <w:r w:rsidRPr="00AF42A7" w:rsidR="00D06B49">
        <w:t xml:space="preserve"> proposal</w:t>
      </w:r>
      <w:r w:rsidRPr="00AF42A7" w:rsidR="00E36800">
        <w:t xml:space="preserve"> because</w:t>
      </w:r>
      <w:r w:rsidR="0020536F">
        <w:t>, on balance, the potential problems it could create outweigh the potential benefits it could achieve</w:t>
      </w:r>
      <w:r w:rsidRPr="00AF42A7" w:rsidR="0020536F">
        <w:t xml:space="preserve">. </w:t>
      </w:r>
      <w:r w:rsidR="0020536F">
        <w:t xml:space="preserve"> A standard of “</w:t>
      </w:r>
      <w:r w:rsidRPr="00387825" w:rsidR="0020536F">
        <w:t>20% of the length or width of the current site</w:t>
      </w:r>
      <w:r w:rsidR="0020536F">
        <w:t>” would be difficult to administer, given that a site boundary is not necessarily a symmetrical shape.  In addition, while the record supports the determination that a 30-foot expansion would be sufficient to accommodate minor equipment additions, the record does not provide support for the determination that the “20%” standard would accomplish this goal.  Moreover, adopting the “20%” proposal would provide limited additional benefit in addressing the concern raised by NATOA and Local Governments.</w:t>
      </w:r>
      <w:r w:rsidRPr="00AF42A7" w:rsidR="00D06B49">
        <w:t xml:space="preserve">  </w:t>
      </w:r>
      <w:r w:rsidRPr="00AF42A7" w:rsidR="00762C66">
        <w:t xml:space="preserve">Because a </w:t>
      </w:r>
      <w:r w:rsidRPr="00AF42A7" w:rsidR="00D06B49">
        <w:t xml:space="preserve">small tower site </w:t>
      </w:r>
      <w:r w:rsidRPr="00AF42A7" w:rsidR="004861B2">
        <w:t>typically is</w:t>
      </w:r>
      <w:r w:rsidRPr="00AF42A7" w:rsidR="00762C66">
        <w:t xml:space="preserve"> </w:t>
      </w:r>
      <w:r w:rsidRPr="00AF42A7" w:rsidR="00D06B49">
        <w:t xml:space="preserve">associated with a </w:t>
      </w:r>
      <w:r w:rsidRPr="00AF42A7" w:rsidR="00762C66">
        <w:t xml:space="preserve">small </w:t>
      </w:r>
      <w:r w:rsidRPr="00AF42A7" w:rsidR="00D06B49">
        <w:t xml:space="preserve">tower that has limited </w:t>
      </w:r>
      <w:r w:rsidRPr="00AF42A7" w:rsidR="00E31864">
        <w:t xml:space="preserve">space for additional </w:t>
      </w:r>
      <w:r w:rsidRPr="00AF42A7" w:rsidR="00D06B49">
        <w:t>antenna</w:t>
      </w:r>
      <w:r w:rsidRPr="00AF42A7" w:rsidR="00E31864">
        <w:t xml:space="preserve">s, it is unlikely that </w:t>
      </w:r>
      <w:r w:rsidRPr="00AF42A7" w:rsidR="00D06B49">
        <w:t xml:space="preserve">operators </w:t>
      </w:r>
      <w:r w:rsidRPr="00AF42A7" w:rsidR="00712838">
        <w:t xml:space="preserve">would need to place </w:t>
      </w:r>
      <w:r w:rsidRPr="00AF42A7" w:rsidR="004B42CB">
        <w:t xml:space="preserve">a significant amount of additional </w:t>
      </w:r>
      <w:r w:rsidR="00B908E7">
        <w:t xml:space="preserve">qualifying transmission </w:t>
      </w:r>
      <w:r w:rsidRPr="00AF42A7" w:rsidR="004B42CB">
        <w:t>equipment in an area outside the site boundaries.</w:t>
      </w:r>
      <w:r>
        <w:rPr>
          <w:rStyle w:val="FootnoteReference"/>
        </w:rPr>
        <w:footnoteReference w:id="75"/>
      </w:r>
      <w:r w:rsidRPr="00A70EC8" w:rsidR="008771AE">
        <w:t xml:space="preserve">  </w:t>
      </w:r>
      <w:r w:rsidRPr="00A70EC8" w:rsidR="00502B7E">
        <w:t xml:space="preserve">In addition, </w:t>
      </w:r>
      <w:r w:rsidRPr="007C6360" w:rsidR="00BC1011">
        <w:t>any modification to an existing tower that involves</w:t>
      </w:r>
      <w:r w:rsidRPr="00AF42A7" w:rsidR="002E2A37">
        <w:t xml:space="preserve"> </w:t>
      </w:r>
      <w:r w:rsidRPr="00AF42A7" w:rsidR="00C80CD5">
        <w:t xml:space="preserve">excavation </w:t>
      </w:r>
      <w:r w:rsidRPr="00AF42A7" w:rsidR="00881851">
        <w:t>or</w:t>
      </w:r>
      <w:r w:rsidRPr="00AF42A7" w:rsidR="00C80CD5">
        <w:t xml:space="preserve"> deployment</w:t>
      </w:r>
      <w:r w:rsidRPr="00AF42A7" w:rsidR="00514011">
        <w:t xml:space="preserve"> </w:t>
      </w:r>
      <w:r w:rsidRPr="00AF42A7" w:rsidR="00BC1011">
        <w:t xml:space="preserve">within the 30-foot expanded </w:t>
      </w:r>
      <w:r w:rsidRPr="00AF42A7" w:rsidR="00DA16C0">
        <w:t>area will</w:t>
      </w:r>
      <w:r w:rsidRPr="00AF42A7" w:rsidR="009B085A">
        <w:t xml:space="preserve"> be subject t</w:t>
      </w:r>
      <w:r w:rsidRPr="00AF42A7" w:rsidR="00B92B94">
        <w:t xml:space="preserve">o the other criteria </w:t>
      </w:r>
      <w:r w:rsidRPr="00AF42A7" w:rsidR="009B085A">
        <w:t xml:space="preserve">in our rules </w:t>
      </w:r>
      <w:r w:rsidRPr="00AF42A7" w:rsidR="00B92B94">
        <w:t xml:space="preserve">for determining </w:t>
      </w:r>
      <w:r w:rsidRPr="00AF42A7" w:rsidR="003B7FFD">
        <w:t xml:space="preserve">whether there is a substantial change that does not warrant </w:t>
      </w:r>
      <w:r w:rsidRPr="00AF42A7" w:rsidR="008B1DBA">
        <w:t>streamlined</w:t>
      </w:r>
      <w:r w:rsidRPr="00AF42A7" w:rsidR="003B7FFD">
        <w:t xml:space="preserve"> </w:t>
      </w:r>
      <w:r w:rsidRPr="00AF42A7" w:rsidR="00CC2960">
        <w:t>treatment</w:t>
      </w:r>
      <w:r w:rsidRPr="00AF42A7" w:rsidR="003B7FFD">
        <w:t xml:space="preserve"> under </w:t>
      </w:r>
      <w:r w:rsidRPr="00AF42A7" w:rsidR="00CC2960">
        <w:t>section</w:t>
      </w:r>
      <w:r w:rsidRPr="00AF42A7" w:rsidR="003B7FFD">
        <w:t xml:space="preserve"> 6409(a).  </w:t>
      </w:r>
      <w:r w:rsidRPr="00AF42A7" w:rsidR="00B86D3F">
        <w:t>Th</w:t>
      </w:r>
      <w:r w:rsidRPr="00AF42A7" w:rsidR="00735429">
        <w:t xml:space="preserve">ose criteria, which we do not alter today, provide further limitation on </w:t>
      </w:r>
      <w:r w:rsidRPr="00AF42A7" w:rsidR="00881851">
        <w:t xml:space="preserve">the size or scope of a </w:t>
      </w:r>
      <w:r w:rsidRPr="00AF42A7" w:rsidR="00CC2960">
        <w:t>modification</w:t>
      </w:r>
      <w:r w:rsidRPr="00AF42A7" w:rsidR="00881851">
        <w:t xml:space="preserve"> that involves excavation or deployment </w:t>
      </w:r>
      <w:r w:rsidRPr="00AF42A7" w:rsidR="00D13B05">
        <w:t xml:space="preserve">within 30 feet of the site boundaries.  For example, </w:t>
      </w:r>
      <w:r w:rsidRPr="00AF42A7" w:rsidR="00904604">
        <w:t>those criteria limit</w:t>
      </w:r>
      <w:r w:rsidRPr="00AF42A7" w:rsidR="00832725">
        <w:t xml:space="preserve"> </w:t>
      </w:r>
      <w:r w:rsidRPr="00AF42A7" w:rsidR="00B875E3">
        <w:t>the</w:t>
      </w:r>
      <w:r w:rsidRPr="00AF42A7" w:rsidR="00832725">
        <w:t xml:space="preserve"> </w:t>
      </w:r>
      <w:r w:rsidRPr="00AF42A7" w:rsidR="00CC2960">
        <w:t>modifications</w:t>
      </w:r>
      <w:r w:rsidRPr="00AF42A7" w:rsidR="00832725">
        <w:t xml:space="preserve"> </w:t>
      </w:r>
      <w:r w:rsidRPr="00AF42A7" w:rsidR="009F2107">
        <w:t xml:space="preserve">that would qualify </w:t>
      </w:r>
      <w:r w:rsidRPr="00AF42A7" w:rsidR="00E15BB0">
        <w:t xml:space="preserve">for </w:t>
      </w:r>
      <w:r w:rsidRPr="00AF42A7" w:rsidR="00B875E3">
        <w:t>streamlined</w:t>
      </w:r>
      <w:r w:rsidRPr="00AF42A7" w:rsidR="009F2107">
        <w:t xml:space="preserve"> treatment </w:t>
      </w:r>
      <w:r w:rsidRPr="00AF42A7" w:rsidR="00B875E3">
        <w:t>by</w:t>
      </w:r>
      <w:r w:rsidRPr="00AF42A7" w:rsidR="00904604">
        <w:t xml:space="preserve"> the number of </w:t>
      </w:r>
      <w:r w:rsidRPr="00AF42A7" w:rsidR="00B875E3">
        <w:t xml:space="preserve">additional </w:t>
      </w:r>
      <w:r w:rsidRPr="00AF42A7" w:rsidR="00904604">
        <w:t xml:space="preserve">equipment cabinets </w:t>
      </w:r>
      <w:r w:rsidRPr="00AF42A7" w:rsidR="00E37A28">
        <w:t>and by the increase in height and girth of the tower</w:t>
      </w:r>
      <w:r w:rsidRPr="00AF42A7" w:rsidR="00B53015">
        <w:t>.</w:t>
      </w:r>
      <w:r w:rsidRPr="00AF42A7" w:rsidR="00A22486">
        <w:t xml:space="preserve">  </w:t>
      </w:r>
      <w:r w:rsidRPr="00AF42A7" w:rsidR="00870F2C">
        <w:t xml:space="preserve">  </w:t>
      </w:r>
    </w:p>
    <w:p w:rsidR="002C351F" w:rsidRPr="00A70EC8" w:rsidP="00B165E1" w14:paraId="674AE18B" w14:textId="5BD82C7B">
      <w:pPr>
        <w:pStyle w:val="ParaNum"/>
        <w:tabs>
          <w:tab w:val="left" w:pos="1440"/>
        </w:tabs>
      </w:pPr>
      <w:r w:rsidRPr="00AF42A7">
        <w:t xml:space="preserve">Our limited </w:t>
      </w:r>
      <w:r w:rsidRPr="00AF42A7" w:rsidR="00DA16C0">
        <w:t>adjustment to</w:t>
      </w:r>
      <w:r w:rsidRPr="00AF42A7">
        <w:t xml:space="preserve"> the definition of substantial change in the context of excavations or deployments is further supported by land</w:t>
      </w:r>
      <w:r w:rsidRPr="00AF42A7" w:rsidR="007520C4">
        <w:t>-</w:t>
      </w:r>
      <w:r w:rsidRPr="00AF42A7">
        <w:t>use laws in several states.  In particular, we observe that at least “eight states have passed laws that expressly permit compound expansion within certain limits . . . under an exempt or expedited review process.”</w:t>
      </w:r>
      <w:r>
        <w:rPr>
          <w:rStyle w:val="FootnoteReference"/>
        </w:rPr>
        <w:footnoteReference w:id="76"/>
      </w:r>
      <w:r w:rsidRPr="00A70EC8">
        <w:t xml:space="preserve">  Most of these laws allow expansion beyond 30 feet from the approved site.</w:t>
      </w:r>
      <w:r>
        <w:rPr>
          <w:rStyle w:val="FootnoteReference"/>
        </w:rPr>
        <w:footnoteReference w:id="77"/>
      </w:r>
      <w:r w:rsidRPr="00A70EC8">
        <w:t xml:space="preserve">  As Crown Castle states, “these state laws are a </w:t>
      </w:r>
      <w:r w:rsidRPr="007C6360">
        <w:t xml:space="preserve">benefit to both </w:t>
      </w:r>
      <w:r w:rsidRPr="007C6360">
        <w:t>th</w:t>
      </w:r>
      <w:r w:rsidRPr="00AF42A7">
        <w:t>e wireless industry and local officials.  They permit the wireless industry to meet the burgeoning network demands while also providing certainty and clarity to all involved.”</w:t>
      </w:r>
      <w:r>
        <w:rPr>
          <w:rStyle w:val="FootnoteReference"/>
        </w:rPr>
        <w:footnoteReference w:id="78"/>
      </w:r>
      <w:r w:rsidRPr="00A70EC8">
        <w:t xml:space="preserve">  </w:t>
      </w:r>
    </w:p>
    <w:p w:rsidR="006C068A" w:rsidRPr="00AF42A7" w:rsidP="00AE612F" w14:paraId="34919073" w14:textId="35D7C126">
      <w:pPr>
        <w:pStyle w:val="ParaNum"/>
        <w:rPr>
          <w:rFonts w:cs="Calibri"/>
        </w:rPr>
      </w:pPr>
      <w:r w:rsidRPr="00AF42A7">
        <w:t>W</w:t>
      </w:r>
      <w:r w:rsidRPr="00AF42A7">
        <w:t xml:space="preserve">e find that the standard we adopt today </w:t>
      </w:r>
      <w:r w:rsidRPr="00AF42A7" w:rsidR="00752E93">
        <w:t xml:space="preserve">continues to </w:t>
      </w:r>
      <w:r w:rsidRPr="00AF42A7" w:rsidR="00B04E7C">
        <w:t>be a reasonable line drawing exercise</w:t>
      </w:r>
      <w:r w:rsidRPr="00AF42A7" w:rsidR="00752E93">
        <w:t xml:space="preserve"> </w:t>
      </w:r>
      <w:r w:rsidRPr="00AF42A7" w:rsidR="00E9536D">
        <w:t>in</w:t>
      </w:r>
      <w:r w:rsidRPr="00AF42A7" w:rsidR="00752E93">
        <w:t xml:space="preserve"> defining “substantial change,” </w:t>
      </w:r>
      <w:r w:rsidRPr="00AF42A7" w:rsidR="00004C0E">
        <w:t>and it</w:t>
      </w:r>
      <w:r w:rsidRPr="00AF42A7" w:rsidR="00752E93">
        <w:t xml:space="preserve"> </w:t>
      </w:r>
      <w:r w:rsidRPr="00AF42A7">
        <w:t xml:space="preserve">reflects a more appropriate balancing of the promotion of </w:t>
      </w:r>
      <w:r w:rsidRPr="00AF42A7" w:rsidR="00FB410D">
        <w:t>“</w:t>
      </w:r>
      <w:r w:rsidRPr="00AF42A7">
        <w:t xml:space="preserve">rapid wireless facility deployment and preserving </w:t>
      </w:r>
      <w:r w:rsidRPr="00AF42A7" w:rsidR="00D069D2">
        <w:t>s</w:t>
      </w:r>
      <w:r w:rsidRPr="00AF42A7">
        <w:t>tates’ and localities’ ability to manage and protect local land-use interests”</w:t>
      </w:r>
      <w:r>
        <w:rPr>
          <w:rStyle w:val="FootnoteReference"/>
        </w:rPr>
        <w:footnoteReference w:id="79"/>
      </w:r>
      <w:r w:rsidRPr="00A70EC8">
        <w:t xml:space="preserve"> </w:t>
      </w:r>
      <w:r w:rsidRPr="00A70EC8" w:rsidR="00336211">
        <w:t>t</w:t>
      </w:r>
      <w:r w:rsidRPr="007C6360" w:rsidR="00B313A1">
        <w:t xml:space="preserve">han the </w:t>
      </w:r>
      <w:r w:rsidRPr="00AF42A7" w:rsidR="00176553">
        <w:t>Commission</w:t>
      </w:r>
      <w:r w:rsidRPr="00AF42A7" w:rsidR="00B313A1">
        <w:t xml:space="preserve"> </w:t>
      </w:r>
      <w:r w:rsidRPr="00AF42A7" w:rsidR="00176553">
        <w:t>articulated</w:t>
      </w:r>
      <w:r w:rsidRPr="00AF42A7" w:rsidR="00B313A1">
        <w:t xml:space="preserve"> in 2014</w:t>
      </w:r>
      <w:r w:rsidRPr="00AF42A7" w:rsidR="00D80352">
        <w:t xml:space="preserve">.  </w:t>
      </w:r>
      <w:r w:rsidRPr="00AF42A7" w:rsidR="00350BD7">
        <w:t xml:space="preserve">In that </w:t>
      </w:r>
      <w:r w:rsidRPr="00AF42A7" w:rsidR="00176553">
        <w:t>regard</w:t>
      </w:r>
      <w:r w:rsidRPr="00AF42A7">
        <w:t>, we find that it is in the public interest to modify the Commission’s prior decision on what constitutes substantial change within the context of excavation or deployment.</w:t>
      </w:r>
    </w:p>
    <w:p w:rsidR="00592992" w:rsidRPr="00AF42A7" w:rsidP="00592992" w14:paraId="2A041B01" w14:textId="25C93F9A">
      <w:pPr>
        <w:pStyle w:val="ParaNum"/>
      </w:pPr>
      <w:r w:rsidRPr="00AF42A7">
        <w:t>In addition to amending section 1.6100(b)(7)(iv)</w:t>
      </w:r>
      <w:r w:rsidRPr="00AF42A7" w:rsidR="007B43B9">
        <w:t>, we revise section 1.6100(b)(6) of the Commission’s rules to define</w:t>
      </w:r>
      <w:r w:rsidRPr="00AF42A7" w:rsidR="00015BA9">
        <w:t xml:space="preserve"> the current boundaries of the</w:t>
      </w:r>
      <w:r w:rsidRPr="00AF42A7" w:rsidR="007B43B9">
        <w:t xml:space="preserve"> “site” </w:t>
      </w:r>
      <w:r w:rsidRPr="00AF42A7" w:rsidR="00015BA9">
        <w:t xml:space="preserve">of a tower outside of public </w:t>
      </w:r>
      <w:r w:rsidRPr="00AF42A7" w:rsidR="00F20A43">
        <w:t>rights</w:t>
      </w:r>
      <w:r w:rsidRPr="00AF42A7" w:rsidR="00015BA9">
        <w:t>-of-way in a manner relat</w:t>
      </w:r>
      <w:r w:rsidRPr="00AF42A7" w:rsidR="002E3CDD">
        <w:t>ive</w:t>
      </w:r>
      <w:r w:rsidRPr="00AF42A7" w:rsidR="00015BA9">
        <w:t xml:space="preserve"> to the prior approval required by the</w:t>
      </w:r>
      <w:r w:rsidRPr="00AF42A7" w:rsidR="00F6632F">
        <w:t xml:space="preserve"> state or local</w:t>
      </w:r>
      <w:r w:rsidRPr="00AF42A7" w:rsidR="002E3CDD">
        <w:t xml:space="preserve"> government</w:t>
      </w:r>
      <w:r w:rsidRPr="00AF42A7" w:rsidR="00F6632F">
        <w:t xml:space="preserve">.  </w:t>
      </w:r>
      <w:r w:rsidRPr="00AF42A7" w:rsidR="00B921E6">
        <w:t>In conjunction with</w:t>
      </w:r>
      <w:r w:rsidRPr="00AF42A7">
        <w:t xml:space="preserve"> section 1.6100(b)(7), section 1.6</w:t>
      </w:r>
      <w:r w:rsidRPr="00AF42A7" w:rsidR="000F7EC0">
        <w:t>1</w:t>
      </w:r>
      <w:r w:rsidRPr="00AF42A7">
        <w:t xml:space="preserve">00(b)(6) </w:t>
      </w:r>
      <w:r w:rsidRPr="00AF42A7" w:rsidR="00BD0DEA">
        <w:t>informs</w:t>
      </w:r>
      <w:r w:rsidRPr="00AF42A7">
        <w:t xml:space="preserve"> when </w:t>
      </w:r>
      <w:r w:rsidRPr="00AF42A7" w:rsidR="00E3035E">
        <w:t xml:space="preserve">excavation or deployment associated with </w:t>
      </w:r>
      <w:r w:rsidRPr="00AF42A7" w:rsidR="00DA5E2A">
        <w:t>a modification</w:t>
      </w:r>
      <w:r w:rsidRPr="00AF42A7">
        <w:t xml:space="preserve"> will “substantially change the physical dimensions” of a facility under section 6409(a).</w:t>
      </w:r>
      <w:r>
        <w:rPr>
          <w:vertAlign w:val="superscript"/>
        </w:rPr>
        <w:footnoteReference w:id="80"/>
      </w:r>
      <w:r w:rsidRPr="00A70EC8">
        <w:t xml:space="preserve">  While the word “site” does not itself appear in section 6409, section 1.6100(b)(7)(iv) uses the term in describing when excavation or deployment might be so distant from an existing structure that such modifications would “substantially ch</w:t>
      </w:r>
      <w:r w:rsidRPr="00AF42A7">
        <w:t>ange the physical dimensions” of the facility.</w:t>
      </w:r>
      <w:r>
        <w:rPr>
          <w:vertAlign w:val="superscript"/>
        </w:rPr>
        <w:footnoteReference w:id="81"/>
      </w:r>
      <w:r w:rsidRPr="00A70EC8">
        <w:t xml:space="preserve">  In amending our current definition, we supply a temporal baseline against which to measure whether </w:t>
      </w:r>
      <w:r w:rsidRPr="007C6360" w:rsidR="00C76A44">
        <w:t>a</w:t>
      </w:r>
      <w:r w:rsidRPr="00AF42A7">
        <w:t xml:space="preserve"> proposed modification would “substantially” change the facility.  For the reasons explained more fully below, we think that this amendment represents a reasonable construction of the ambiguous statutory language</w:t>
      </w:r>
      <w:r w:rsidRPr="00AF42A7" w:rsidR="00A063F6">
        <w:t>;</w:t>
      </w:r>
      <w:r w:rsidRPr="00AF42A7">
        <w:t xml:space="preserve"> ascertaining whether a modification “substantially changes” an existing structure requires establishing a baseline against which to measure the proposed change.  Here, because the statutory language involves streamlined approval of modifications to existing facilities, it is reasonable, based on the statutory language, to measure the boundaries of a site by reference to when a state or local government last had the opportunity to review or approve the structure that the applicant seeks to modify, if such approval occurred prior to </w:t>
      </w:r>
      <w:r w:rsidRPr="00AF42A7" w:rsidR="005018D2">
        <w:t>s</w:t>
      </w:r>
      <w:r w:rsidRPr="00AF42A7">
        <w:t>ection 6409 or otherwise outside of the section 6409(a) process.  After all, the objective of the statute is to streamline approval of additions to structures that were already approved.</w:t>
      </w:r>
    </w:p>
    <w:p w:rsidR="00DC7DC4" w:rsidRPr="00A70EC8" w:rsidP="00AE612F" w14:paraId="55627C1D" w14:textId="0AD24093">
      <w:pPr>
        <w:pStyle w:val="ParaNum"/>
        <w:rPr>
          <w:rFonts w:cs="Calibri"/>
        </w:rPr>
      </w:pPr>
      <w:r w:rsidRPr="00AF42A7">
        <w:t>Because</w:t>
      </w:r>
      <w:r w:rsidRPr="00AF42A7" w:rsidR="00AB2042">
        <w:t xml:space="preserve"> our actions today permit </w:t>
      </w:r>
      <w:r w:rsidRPr="00AF42A7" w:rsidR="00CF0798">
        <w:t xml:space="preserve">streamlined processing </w:t>
      </w:r>
      <w:r w:rsidRPr="00AF42A7" w:rsidR="007153B6">
        <w:t>for modifications that entail ground excavation or deployment up to 30 feet</w:t>
      </w:r>
      <w:r w:rsidRPr="00AF42A7" w:rsidR="009D194F">
        <w:t xml:space="preserve"> outside </w:t>
      </w:r>
      <w:r w:rsidRPr="00AF42A7" w:rsidR="00E83A5B">
        <w:t>a current</w:t>
      </w:r>
      <w:r w:rsidRPr="00AF42A7" w:rsidR="009D194F">
        <w:t xml:space="preserve"> site, we </w:t>
      </w:r>
      <w:r w:rsidRPr="00AF42A7" w:rsidR="00582F7D">
        <w:t xml:space="preserve">find it necessary to clarify and provide greater certainty </w:t>
      </w:r>
      <w:r w:rsidRPr="00AF42A7" w:rsidR="009F5947">
        <w:t>to applicants and localities about</w:t>
      </w:r>
      <w:r w:rsidRPr="00AF42A7" w:rsidR="00D05EAD">
        <w:t xml:space="preserve"> </w:t>
      </w:r>
      <w:r w:rsidRPr="00AF42A7" w:rsidR="00CA0746">
        <w:t>the appropriate temporal baseline for</w:t>
      </w:r>
      <w:r w:rsidRPr="00AF42A7" w:rsidR="00B54700">
        <w:t xml:space="preserve"> </w:t>
      </w:r>
      <w:r w:rsidRPr="00AF42A7" w:rsidR="00FF7D8F">
        <w:t xml:space="preserve">evaluating changes to </w:t>
      </w:r>
      <w:r w:rsidRPr="00AF42A7" w:rsidR="00771FE3">
        <w:t>a</w:t>
      </w:r>
      <w:r w:rsidRPr="00AF42A7" w:rsidR="00FF7D8F">
        <w:t xml:space="preserve"> site.  While the Commission </w:t>
      </w:r>
      <w:r w:rsidRPr="00AF42A7" w:rsidR="00771FE3">
        <w:t xml:space="preserve">did not </w:t>
      </w:r>
      <w:r w:rsidRPr="00AF42A7" w:rsidR="0085766E">
        <w:t xml:space="preserve">have reason to </w:t>
      </w:r>
      <w:r w:rsidRPr="00AF42A7" w:rsidR="00A75F45">
        <w:t>elaborate on</w:t>
      </w:r>
      <w:r w:rsidRPr="00AF42A7" w:rsidR="00771FE3">
        <w:t xml:space="preserve"> </w:t>
      </w:r>
      <w:r w:rsidRPr="00AF42A7" w:rsidR="00F2788A">
        <w:t xml:space="preserve">the meaning of a current site in the </w:t>
      </w:r>
      <w:r w:rsidRPr="00AF42A7" w:rsidR="00F2788A">
        <w:rPr>
          <w:i/>
          <w:iCs/>
        </w:rPr>
        <w:t>2014 Infrastructure Order</w:t>
      </w:r>
      <w:r w:rsidRPr="00AF42A7" w:rsidR="00F2788A">
        <w:t>,</w:t>
      </w:r>
      <w:r w:rsidRPr="00AF42A7" w:rsidR="000B7D60">
        <w:rPr>
          <w:i/>
          <w:iCs/>
        </w:rPr>
        <w:t xml:space="preserve"> </w:t>
      </w:r>
      <w:r w:rsidRPr="00AF42A7" w:rsidR="0085766E">
        <w:t xml:space="preserve">because it </w:t>
      </w:r>
      <w:r w:rsidRPr="00AF42A7" w:rsidR="00603B44">
        <w:t>defined any excavation or deployment</w:t>
      </w:r>
      <w:r w:rsidRPr="00AF42A7" w:rsidR="00990745">
        <w:t xml:space="preserve"> outside a site as a substantial change,</w:t>
      </w:r>
      <w:r>
        <w:rPr>
          <w:rStyle w:val="FootnoteReference"/>
        </w:rPr>
        <w:footnoteReference w:id="82"/>
      </w:r>
      <w:r w:rsidRPr="00A70EC8" w:rsidR="00990745">
        <w:t xml:space="preserve"> </w:t>
      </w:r>
      <w:r w:rsidRPr="00A70EC8" w:rsidR="001919BE">
        <w:t xml:space="preserve">the Commission </w:t>
      </w:r>
      <w:r w:rsidRPr="007C6360" w:rsidR="005A6F31">
        <w:t>did</w:t>
      </w:r>
      <w:r w:rsidRPr="00AF42A7" w:rsidR="001919BE">
        <w:t xml:space="preserve"> </w:t>
      </w:r>
      <w:r w:rsidRPr="00AF42A7" w:rsidR="00542994">
        <w:t xml:space="preserve">establish </w:t>
      </w:r>
      <w:r w:rsidRPr="00AF42A7" w:rsidR="001B16FE">
        <w:t>other</w:t>
      </w:r>
      <w:r w:rsidRPr="00AF42A7" w:rsidR="00542994">
        <w:t xml:space="preserve"> temporal reference points for evaluating </w:t>
      </w:r>
      <w:r w:rsidRPr="00AF42A7" w:rsidR="00542994">
        <w:t xml:space="preserve">other </w:t>
      </w:r>
      <w:r w:rsidRPr="00AF42A7" w:rsidR="00911B27">
        <w:t>substantial change criteria</w:t>
      </w:r>
      <w:r w:rsidRPr="00AF42A7" w:rsidR="0045728B">
        <w:t>,</w:t>
      </w:r>
      <w:r w:rsidRPr="00AF42A7" w:rsidR="00911B27">
        <w:t xml:space="preserve"> including height increases and concealment elements</w:t>
      </w:r>
      <w:r w:rsidRPr="00AF42A7" w:rsidR="0045728B">
        <w:t>.</w:t>
      </w:r>
      <w:r>
        <w:rPr>
          <w:rStyle w:val="FootnoteReference"/>
        </w:rPr>
        <w:footnoteReference w:id="83"/>
      </w:r>
      <w:r w:rsidRPr="00A70EC8" w:rsidR="00F2788A">
        <w:t xml:space="preserve"> </w:t>
      </w:r>
      <w:r w:rsidRPr="00A70EC8" w:rsidR="007153B6">
        <w:t xml:space="preserve"> </w:t>
      </w:r>
      <w:r w:rsidRPr="007C6360" w:rsidR="007B43B9">
        <w:t xml:space="preserve">We </w:t>
      </w:r>
      <w:r w:rsidRPr="00AF42A7" w:rsidR="00990745">
        <w:t xml:space="preserve">therefore </w:t>
      </w:r>
      <w:r w:rsidRPr="00AF42A7" w:rsidR="007B43B9">
        <w:t xml:space="preserve">base our revision </w:t>
      </w:r>
      <w:r w:rsidRPr="00AF42A7" w:rsidR="00C97860">
        <w:t xml:space="preserve">to </w:t>
      </w:r>
      <w:r w:rsidRPr="00AF42A7" w:rsidR="00D05F23">
        <w:t xml:space="preserve">the </w:t>
      </w:r>
      <w:r w:rsidRPr="00AF42A7" w:rsidR="00C97860">
        <w:t>definition</w:t>
      </w:r>
      <w:r w:rsidRPr="00AF42A7" w:rsidR="00D05F23">
        <w:t xml:space="preserve"> of “site”</w:t>
      </w:r>
      <w:r w:rsidRPr="00AF42A7" w:rsidR="00C97860">
        <w:t xml:space="preserve"> on the </w:t>
      </w:r>
      <w:r w:rsidRPr="00AF42A7" w:rsidR="005023A6">
        <w:t xml:space="preserve">terminology and reasoning </w:t>
      </w:r>
      <w:r w:rsidRPr="00AF42A7" w:rsidR="00F20A43">
        <w:t>articulated</w:t>
      </w:r>
      <w:r w:rsidRPr="00AF42A7" w:rsidR="00C97860">
        <w:t xml:space="preserve"> by the Commission </w:t>
      </w:r>
      <w:r w:rsidRPr="00AF42A7" w:rsidR="0045728B">
        <w:t xml:space="preserve">in those </w:t>
      </w:r>
      <w:r w:rsidRPr="00AF42A7" w:rsidR="00960551">
        <w:t xml:space="preserve">related </w:t>
      </w:r>
      <w:r w:rsidRPr="00AF42A7" w:rsidR="0045728B">
        <w:t>contexts</w:t>
      </w:r>
      <w:r w:rsidRPr="00AF42A7" w:rsidR="00A66C05">
        <w:t>, which have been upheld as a permissible construction of an ambiguous statutory provision.</w:t>
      </w:r>
      <w:r>
        <w:rPr>
          <w:vertAlign w:val="superscript"/>
        </w:rPr>
        <w:footnoteReference w:id="84"/>
      </w:r>
      <w:r w:rsidRPr="00A70EC8" w:rsidR="007918A7">
        <w:t xml:space="preserve">  </w:t>
      </w:r>
    </w:p>
    <w:p w:rsidR="00A5650A" w:rsidRPr="007C6360" w:rsidP="00D0302A" w14:paraId="631A73A8" w14:textId="56F8FEB6">
      <w:pPr>
        <w:pStyle w:val="ParaNum"/>
        <w:widowControl/>
        <w:rPr>
          <w:rFonts w:cs="Calibri"/>
        </w:rPr>
      </w:pPr>
      <w:r w:rsidRPr="00AF42A7">
        <w:t>Specifically, i</w:t>
      </w:r>
      <w:r w:rsidRPr="00AF42A7" w:rsidR="00AD72E7">
        <w:t xml:space="preserve">n the </w:t>
      </w:r>
      <w:r w:rsidRPr="00AF42A7" w:rsidR="00AD72E7">
        <w:rPr>
          <w:i/>
          <w:iCs/>
        </w:rPr>
        <w:t xml:space="preserve">2014 </w:t>
      </w:r>
      <w:r w:rsidRPr="00AF42A7" w:rsidR="003E1E5A">
        <w:rPr>
          <w:i/>
          <w:iCs/>
        </w:rPr>
        <w:t>Infrastructure</w:t>
      </w:r>
      <w:r w:rsidRPr="00AF42A7" w:rsidR="00AD72E7">
        <w:rPr>
          <w:i/>
          <w:iCs/>
        </w:rPr>
        <w:t xml:space="preserve"> Order</w:t>
      </w:r>
      <w:r w:rsidRPr="00AF42A7" w:rsidR="007A370D">
        <w:t>,</w:t>
      </w:r>
      <w:r w:rsidRPr="00AF42A7" w:rsidR="00AD72E7">
        <w:rPr>
          <w:i/>
          <w:iCs/>
        </w:rPr>
        <w:t xml:space="preserve"> </w:t>
      </w:r>
      <w:r w:rsidRPr="00AF42A7" w:rsidR="00AD72E7">
        <w:t xml:space="preserve">the </w:t>
      </w:r>
      <w:r w:rsidRPr="00AF42A7" w:rsidR="0051594E">
        <w:t xml:space="preserve">Commission found </w:t>
      </w:r>
      <w:r w:rsidRPr="00AF42A7" w:rsidR="00AD72E7">
        <w:t xml:space="preserve">that, in the context of height increases, </w:t>
      </w:r>
      <w:r w:rsidRPr="00AF42A7" w:rsidR="0051594E">
        <w:t>“whether a modification constitutes a substantial change must be determined by measuring the change in height from the dimensions of the ‘tower or base station’ as originally approved or as of the most recent modification that received local zoning or similar regulatory approval prior to the passage of the Spectrum Act, whichever is greater.”</w:t>
      </w:r>
      <w:r>
        <w:rPr>
          <w:rStyle w:val="FootnoteReference"/>
        </w:rPr>
        <w:footnoteReference w:id="85"/>
      </w:r>
      <w:r w:rsidRPr="00A70EC8" w:rsidR="0051594E">
        <w:t xml:space="preserve"> </w:t>
      </w:r>
      <w:r w:rsidRPr="00A70EC8" w:rsidR="00264261">
        <w:t xml:space="preserve"> </w:t>
      </w:r>
      <w:r w:rsidRPr="007C6360" w:rsidR="003F0935">
        <w:t xml:space="preserve">In </w:t>
      </w:r>
      <w:r w:rsidRPr="00AF42A7" w:rsidR="003D2635">
        <w:t xml:space="preserve">adopting that standard, the Commission noted that </w:t>
      </w:r>
      <w:r w:rsidRPr="00AF42A7" w:rsidR="00621EB2">
        <w:t>“</w:t>
      </w:r>
      <w:r w:rsidRPr="00AF42A7" w:rsidR="003F0935">
        <w:t>since the Spectrum Act became law, approval of covered requests has been mandatory and therefore, approved changes after that time may not establish an appropriate baseline because they may not reflect a siting authority’s judgment that the modified structure is consistent with local land use values.</w:t>
      </w:r>
      <w:r w:rsidRPr="00AF42A7" w:rsidR="00621EB2">
        <w:t>”</w:t>
      </w:r>
      <w:r>
        <w:rPr>
          <w:rStyle w:val="FootnoteReference"/>
        </w:rPr>
        <w:footnoteReference w:id="86"/>
      </w:r>
      <w:r w:rsidRPr="00A70EC8" w:rsidR="003F0935">
        <w:t xml:space="preserve">  </w:t>
      </w:r>
      <w:r w:rsidRPr="00A70EC8" w:rsidR="00264261">
        <w:t xml:space="preserve">Similarly, </w:t>
      </w:r>
      <w:r w:rsidRPr="007C6360" w:rsidR="00643040">
        <w:t xml:space="preserve">in the </w:t>
      </w:r>
      <w:r w:rsidRPr="00AF42A7" w:rsidR="00643040">
        <w:t>Commission’s</w:t>
      </w:r>
      <w:r w:rsidRPr="00AF42A7" w:rsidR="003618E9">
        <w:t xml:space="preserve"> </w:t>
      </w:r>
      <w:r w:rsidRPr="00AF42A7" w:rsidR="001476F4">
        <w:t xml:space="preserve">recent </w:t>
      </w:r>
      <w:r w:rsidRPr="00AF42A7" w:rsidR="003618E9">
        <w:rPr>
          <w:i/>
          <w:iCs/>
        </w:rPr>
        <w:t>Declaratory Ruling</w:t>
      </w:r>
      <w:r w:rsidRPr="00AF42A7" w:rsidR="001476F4">
        <w:t xml:space="preserve">, we </w:t>
      </w:r>
      <w:r w:rsidRPr="00AF42A7" w:rsidR="00A94A6E">
        <w:t>clarified</w:t>
      </w:r>
      <w:r w:rsidRPr="00AF42A7" w:rsidR="00264261">
        <w:t xml:space="preserve"> that “existing” concealment elements “</w:t>
      </w:r>
      <w:r w:rsidRPr="00AF42A7" w:rsidR="00FB1E75">
        <w:t>must have been part of the facility that was considered by the locality at the original approval of the tower or at the modification to the original tower, if the approval of the modification occurred prior to the Spectrum Act or lawfully outside of the section 6409(a) process (for instance, an approval for a modification that did not qualify for streamlined section 6409(a) treatment</w:t>
      </w:r>
      <w:r w:rsidRPr="00AF42A7" w:rsidR="00844E1B">
        <w:t>)</w:t>
      </w:r>
      <w:r w:rsidRPr="00AF42A7" w:rsidR="00515779">
        <w:t>.</w:t>
      </w:r>
      <w:r w:rsidRPr="00AF42A7" w:rsidR="00264261">
        <w:t>”</w:t>
      </w:r>
      <w:r>
        <w:rPr>
          <w:rStyle w:val="FootnoteReference"/>
        </w:rPr>
        <w:footnoteReference w:id="87"/>
      </w:r>
      <w:r w:rsidRPr="00A70EC8" w:rsidR="00264261">
        <w:t xml:space="preserve"> </w:t>
      </w:r>
      <w:r w:rsidRPr="00A70EC8" w:rsidR="00051D95">
        <w:t xml:space="preserve"> </w:t>
      </w:r>
    </w:p>
    <w:p w:rsidR="007B43B9" w:rsidRPr="00AF42A7" w:rsidP="000E7E2E" w14:paraId="7DD3FDD2" w14:textId="49DFD0A8">
      <w:pPr>
        <w:pStyle w:val="ParaNum"/>
      </w:pPr>
      <w:r w:rsidRPr="00AF42A7">
        <w:t xml:space="preserve">We </w:t>
      </w:r>
      <w:r w:rsidRPr="00AF42A7" w:rsidR="004B5107">
        <w:t xml:space="preserve">find that it is in the public interest to use </w:t>
      </w:r>
      <w:r w:rsidRPr="00AF42A7" w:rsidR="00057B2F">
        <w:t>s</w:t>
      </w:r>
      <w:r w:rsidRPr="00AF42A7" w:rsidR="004B5107">
        <w:t>imilar text and reasoning in adopting</w:t>
      </w:r>
      <w:r w:rsidRPr="00AF42A7">
        <w:t xml:space="preserve"> </w:t>
      </w:r>
      <w:r w:rsidRPr="00AF42A7" w:rsidR="00F201AF">
        <w:t xml:space="preserve">the </w:t>
      </w:r>
      <w:r w:rsidRPr="00AF42A7">
        <w:t xml:space="preserve">revised definition of </w:t>
      </w:r>
      <w:r w:rsidRPr="00AF42A7" w:rsidR="00442D51">
        <w:t>“</w:t>
      </w:r>
      <w:r w:rsidRPr="00AF42A7">
        <w:t>site</w:t>
      </w:r>
      <w:r w:rsidRPr="00AF42A7" w:rsidR="00442D51">
        <w:t>”</w:t>
      </w:r>
      <w:r w:rsidRPr="00AF42A7" w:rsidR="004B5107">
        <w:t xml:space="preserve"> in this </w:t>
      </w:r>
      <w:r w:rsidRPr="00AF42A7" w:rsidR="004B5107">
        <w:rPr>
          <w:i/>
          <w:iCs/>
        </w:rPr>
        <w:t>Report and Order</w:t>
      </w:r>
      <w:r w:rsidRPr="00AF42A7">
        <w:t xml:space="preserve">.  </w:t>
      </w:r>
      <w:r w:rsidRPr="00AF42A7" w:rsidR="00057B2F">
        <w:t xml:space="preserve">Here, we similarly are defining what would constitute a </w:t>
      </w:r>
      <w:r w:rsidRPr="00AF42A7" w:rsidR="00F20A43">
        <w:t>substantial</w:t>
      </w:r>
      <w:r w:rsidRPr="00AF42A7" w:rsidR="00057B2F">
        <w:t xml:space="preserve"> change </w:t>
      </w:r>
      <w:r w:rsidRPr="00AF42A7" w:rsidR="00547DD4">
        <w:t xml:space="preserve">to </w:t>
      </w:r>
      <w:r w:rsidRPr="00AF42A7" w:rsidR="00057B2F">
        <w:t>infrastructure that was previously approved by localities under applicable local law</w:t>
      </w:r>
      <w:r w:rsidRPr="00AF42A7" w:rsidR="00CC5252">
        <w:rPr>
          <w:rFonts w:cs="Calibri"/>
        </w:rPr>
        <w:t>—</w:t>
      </w:r>
      <w:r w:rsidRPr="00AF42A7" w:rsidR="00057B2F">
        <w:t xml:space="preserve">in this case, </w:t>
      </w:r>
      <w:r w:rsidRPr="00AF42A7" w:rsidR="009136A6">
        <w:t xml:space="preserve">in the context of </w:t>
      </w:r>
      <w:r w:rsidRPr="00AF42A7" w:rsidR="00057B2F">
        <w:t>excavation or deployment relative to the boundaries of a site.</w:t>
      </w:r>
      <w:r w:rsidRPr="00AF42A7">
        <w:rPr>
          <w:rFonts w:cs="Calibri"/>
        </w:rPr>
        <w:t xml:space="preserve"> </w:t>
      </w:r>
      <w:r w:rsidRPr="00AF42A7" w:rsidR="00E01C79">
        <w:rPr>
          <w:rFonts w:cs="Calibri"/>
        </w:rPr>
        <w:t xml:space="preserve"> </w:t>
      </w:r>
      <w:r w:rsidRPr="00AF42A7" w:rsidR="009D488E">
        <w:t>W</w:t>
      </w:r>
      <w:r w:rsidRPr="00AF42A7" w:rsidR="00967161">
        <w:t xml:space="preserve">e revise </w:t>
      </w:r>
      <w:r w:rsidRPr="00AF42A7" w:rsidR="00BA714E">
        <w:t xml:space="preserve">the definition of “site” to </w:t>
      </w:r>
      <w:r w:rsidRPr="00AF42A7" w:rsidR="005D4389">
        <w:t>provide</w:t>
      </w:r>
      <w:r w:rsidRPr="00AF42A7" w:rsidR="00BA714E">
        <w:t xml:space="preserve"> that the current boundaries of a </w:t>
      </w:r>
      <w:r w:rsidRPr="00AF42A7" w:rsidR="00967161">
        <w:t xml:space="preserve">site are the </w:t>
      </w:r>
      <w:r w:rsidRPr="00AF42A7" w:rsidR="00051D22">
        <w:t>boundaries that existed</w:t>
      </w:r>
      <w:r w:rsidRPr="00AF42A7" w:rsidR="005A116C">
        <w:t xml:space="preserve"> as of the date </w:t>
      </w:r>
      <w:r w:rsidRPr="00AF42A7" w:rsidR="00967161">
        <w:t xml:space="preserve">that </w:t>
      </w:r>
      <w:r w:rsidRPr="00AF42A7" w:rsidR="00277B84">
        <w:t>the original</w:t>
      </w:r>
      <w:r w:rsidRPr="00AF42A7" w:rsidR="00967161">
        <w:t xml:space="preserve"> support structure </w:t>
      </w:r>
      <w:r w:rsidRPr="00AF42A7" w:rsidR="00277B84">
        <w:t>or a</w:t>
      </w:r>
      <w:r w:rsidRPr="00AF42A7" w:rsidR="00A3434E">
        <w:t xml:space="preserve"> modification to that structure </w:t>
      </w:r>
      <w:r w:rsidRPr="00AF42A7" w:rsidR="00967161">
        <w:t xml:space="preserve">was last reviewed and approved by a </w:t>
      </w:r>
      <w:r w:rsidR="000B2E8F">
        <w:t>s</w:t>
      </w:r>
      <w:r w:rsidRPr="00AF42A7" w:rsidR="00967161">
        <w:t>tate or local government</w:t>
      </w:r>
      <w:r w:rsidRPr="00AF42A7" w:rsidR="00A3434E">
        <w:t xml:space="preserve">, if the approval </w:t>
      </w:r>
      <w:r w:rsidRPr="00AF42A7" w:rsidR="00E63186">
        <w:t>of the modification occurred prior to the Spectrum Act or otherwise</w:t>
      </w:r>
      <w:r w:rsidRPr="00AF42A7" w:rsidR="00967161">
        <w:t xml:space="preserve"> outside </w:t>
      </w:r>
      <w:r w:rsidRPr="00AF42A7" w:rsidR="00A117E5">
        <w:t xml:space="preserve">of the </w:t>
      </w:r>
      <w:r w:rsidRPr="00AF42A7" w:rsidR="006A3ACD">
        <w:t>s</w:t>
      </w:r>
      <w:r w:rsidRPr="00AF42A7" w:rsidR="00D510BD">
        <w:t>ection 6409(a) process</w:t>
      </w:r>
      <w:r w:rsidRPr="00AF42A7" w:rsidR="00967161">
        <w:t xml:space="preserve">. </w:t>
      </w:r>
      <w:r w:rsidRPr="00AF42A7" w:rsidR="00D63D98">
        <w:rPr>
          <w:rStyle w:val="FootnoteReference"/>
        </w:rPr>
        <w:t xml:space="preserve"> </w:t>
      </w:r>
      <w:r w:rsidRPr="00AF42A7" w:rsidR="009D488E">
        <w:t>Localities assert that the definition of “site” should ensure that the “facility was last reviewed and approved by a locality with full discretion” and not as an eligible facilities request.</w:t>
      </w:r>
      <w:r>
        <w:rPr>
          <w:rStyle w:val="FootnoteReference"/>
        </w:rPr>
        <w:footnoteReference w:id="88"/>
      </w:r>
      <w:r w:rsidRPr="00A70EC8" w:rsidR="00D63D98">
        <w:t xml:space="preserve">  </w:t>
      </w:r>
      <w:r w:rsidRPr="007C6360" w:rsidR="004036AE">
        <w:t xml:space="preserve">We </w:t>
      </w:r>
      <w:r w:rsidRPr="00AF42A7" w:rsidR="00652DC5">
        <w:t xml:space="preserve">agree with </w:t>
      </w:r>
      <w:r w:rsidRPr="00AF42A7" w:rsidR="00855EEB">
        <w:t xml:space="preserve">commenters </w:t>
      </w:r>
      <w:r w:rsidRPr="00AF42A7" w:rsidR="00652DC5">
        <w:t xml:space="preserve">that </w:t>
      </w:r>
      <w:r w:rsidRPr="00AF42A7" w:rsidR="00DE6BF7">
        <w:t>a site’s boundaries should not be measured</w:t>
      </w:r>
      <w:r w:rsidRPr="00AF42A7" w:rsidR="004036AE">
        <w:t>—</w:t>
      </w:r>
      <w:r w:rsidRPr="00AF42A7" w:rsidR="00DE6BF7">
        <w:t xml:space="preserve">for purposes of setting </w:t>
      </w:r>
      <w:r w:rsidRPr="00AF42A7" w:rsidR="006D0305">
        <w:t>the 30-foot distance</w:t>
      </w:r>
      <w:r w:rsidRPr="00AF42A7" w:rsidR="00DE6BF7">
        <w:t xml:space="preserve"> in a request for modification under section 6409(a)—from the expanded boundary points that were established by any </w:t>
      </w:r>
      <w:r w:rsidRPr="00AF42A7" w:rsidR="0064527C">
        <w:t>approvals granted or deemed granted pursuant to an “eligible facilities request” under section 6409(a)</w:t>
      </w:r>
      <w:r w:rsidRPr="00AF42A7" w:rsidR="004036AE">
        <w:t>.</w:t>
      </w:r>
      <w:r>
        <w:rPr>
          <w:rStyle w:val="FootnoteReference"/>
        </w:rPr>
        <w:footnoteReference w:id="89"/>
      </w:r>
      <w:r w:rsidRPr="00A70EC8" w:rsidR="004036AE">
        <w:t xml:space="preserve">  W</w:t>
      </w:r>
      <w:r w:rsidRPr="00A70EC8" w:rsidR="00793ED2">
        <w:t>e do not</w:t>
      </w:r>
      <w:r w:rsidRPr="007C6360" w:rsidR="00B83966">
        <w:t xml:space="preserve"> agree</w:t>
      </w:r>
      <w:r w:rsidRPr="00AF42A7" w:rsidR="00AA5E51">
        <w:t>, however,</w:t>
      </w:r>
      <w:r w:rsidRPr="00AF42A7" w:rsidR="00793ED2">
        <w:t xml:space="preserve"> with localities’ </w:t>
      </w:r>
      <w:r w:rsidRPr="00AF42A7" w:rsidR="00105478">
        <w:t>framing of the defini</w:t>
      </w:r>
      <w:r w:rsidRPr="00AF42A7" w:rsidR="00770157">
        <w:t>ti</w:t>
      </w:r>
      <w:r w:rsidRPr="00AF42A7" w:rsidR="00105478">
        <w:t xml:space="preserve">on of “site” in terms of the broad concept of discretion. </w:t>
      </w:r>
      <w:r w:rsidRPr="00AF42A7" w:rsidR="001F6D41">
        <w:t xml:space="preserve"> </w:t>
      </w:r>
      <w:r w:rsidRPr="00AF42A7" w:rsidR="000E7E2E">
        <w:t xml:space="preserve">First, a standard that relies on whether the locality has “full discretion” to make a </w:t>
      </w:r>
      <w:r w:rsidRPr="00AF42A7" w:rsidR="000E7E2E">
        <w:t xml:space="preserve">decision would create uncertainty in determining whether a particular approval meets that standard.  Second, non-discretionary approvals could include instances where a locality’s review is limited by </w:t>
      </w:r>
      <w:r w:rsidR="000B2E8F">
        <w:t>s</w:t>
      </w:r>
      <w:r w:rsidRPr="00AF42A7" w:rsidR="000E7E2E">
        <w:t>tate law rather than by section 6409(a)</w:t>
      </w:r>
      <w:r w:rsidRPr="00AF42A7" w:rsidR="008A3707">
        <w:t>,</w:t>
      </w:r>
      <w:r w:rsidRPr="00AF42A7" w:rsidR="000E7E2E">
        <w:t xml:space="preserve"> and we do not find it appropriate for the Commission to engage in line drawing under section 6409(a) based on potential interaction between </w:t>
      </w:r>
      <w:r w:rsidR="000B2E8F">
        <w:t>s</w:t>
      </w:r>
      <w:r w:rsidRPr="00AF42A7" w:rsidR="000E7E2E">
        <w:t>tate and local law.</w:t>
      </w:r>
    </w:p>
    <w:p w:rsidR="007B43B9" w:rsidRPr="00A70EC8" w:rsidP="007B43B9" w14:paraId="48BD6BFB" w14:textId="3BEB80D0">
      <w:pPr>
        <w:pStyle w:val="ParaNum"/>
        <w:tabs>
          <w:tab w:val="left" w:pos="1440"/>
        </w:tabs>
      </w:pPr>
      <w:r w:rsidRPr="00AF42A7">
        <w:t xml:space="preserve">We decline to adopt the industry’s “hybrid” definition of </w:t>
      </w:r>
      <w:r w:rsidRPr="00AF42A7" w:rsidR="00E8609E">
        <w:t>“</w:t>
      </w:r>
      <w:r w:rsidRPr="00AF42A7">
        <w:t>site.</w:t>
      </w:r>
      <w:r w:rsidRPr="00AF42A7" w:rsidR="00E8609E">
        <w:t>”</w:t>
      </w:r>
      <w:r w:rsidRPr="00AF42A7">
        <w:t xml:space="preserve">  Specifically, Crown Castle claims that the industry has interpreted and relied on the definition of </w:t>
      </w:r>
      <w:r w:rsidRPr="00AF42A7" w:rsidR="00E8609E">
        <w:t>“</w:t>
      </w:r>
      <w:r w:rsidRPr="00AF42A7">
        <w:t>site</w:t>
      </w:r>
      <w:r w:rsidRPr="00AF42A7" w:rsidR="00E8609E">
        <w:t>”</w:t>
      </w:r>
      <w:r w:rsidRPr="00AF42A7">
        <w:t xml:space="preserve"> to mean the boundaries of the leased or owned property as of the date an applicant files an application with the locality.</w:t>
      </w:r>
      <w:r>
        <w:rPr>
          <w:rStyle w:val="FootnoteReference"/>
        </w:rPr>
        <w:footnoteReference w:id="90"/>
      </w:r>
      <w:r w:rsidRPr="00A70EC8">
        <w:t xml:space="preserve">  The industry therefore proposes a hybrid approach, which urges us to define site as of “the later of (a) [the date that the Commission issues a new rule under the [</w:t>
      </w:r>
      <w:r w:rsidRPr="00A70EC8">
        <w:rPr>
          <w:i/>
          <w:iCs/>
        </w:rPr>
        <w:t>Notice</w:t>
      </w:r>
      <w:r w:rsidRPr="007C6360">
        <w:t>]]; or (b)</w:t>
      </w:r>
      <w:r w:rsidRPr="00AF42A7">
        <w:t xml:space="preserve"> the date of the last review and approval related to said tower by a state or local government issued outside of the framework of 47 U.S.C. § 1455(a) and these regulations promulgated thereunder.”</w:t>
      </w:r>
      <w:r>
        <w:rPr>
          <w:rStyle w:val="FootnoteReference"/>
        </w:rPr>
        <w:footnoteReference w:id="91"/>
      </w:r>
      <w:r w:rsidRPr="00A70EC8" w:rsidR="004405AE">
        <w:t xml:space="preserve">  </w:t>
      </w:r>
      <w:r w:rsidRPr="00A70EC8">
        <w:t>Adopting that proposal would risk permitting a tower owner to file an eligible facilities request even if it may have substantial</w:t>
      </w:r>
      <w:r w:rsidRPr="007C6360">
        <w:t xml:space="preserve">ly increased the size of a tower site </w:t>
      </w:r>
      <w:r w:rsidRPr="00AF42A7" w:rsidR="0020228B">
        <w:t xml:space="preserve">prior to the adoption of this </w:t>
      </w:r>
      <w:r w:rsidRPr="00AF42A7" w:rsidR="0020228B">
        <w:rPr>
          <w:i/>
          <w:iCs/>
        </w:rPr>
        <w:t>Report and Order</w:t>
      </w:r>
      <w:r w:rsidRPr="00AF42A7" w:rsidR="0020228B">
        <w:t xml:space="preserve"> </w:t>
      </w:r>
      <w:r w:rsidRPr="00AF42A7" w:rsidR="00526E48">
        <w:t xml:space="preserve">and </w:t>
      </w:r>
      <w:r w:rsidRPr="00AF42A7">
        <w:t xml:space="preserve">without </w:t>
      </w:r>
      <w:r w:rsidRPr="00AF42A7" w:rsidR="00970FF4">
        <w:t xml:space="preserve">any necessary </w:t>
      </w:r>
      <w:r w:rsidRPr="00AF42A7">
        <w:t>approval from a locality.  Indeed, several localities caution against the industry’s proposal.</w:t>
      </w:r>
      <w:r>
        <w:rPr>
          <w:rStyle w:val="FootnoteReference"/>
        </w:rPr>
        <w:footnoteReference w:id="92"/>
      </w:r>
      <w:r w:rsidRPr="00A70EC8">
        <w:t xml:space="preserve">  </w:t>
      </w:r>
      <w:r w:rsidRPr="00A70EC8" w:rsidR="000019CF">
        <w:t xml:space="preserve">They raise concerns that adopting the industry’s proposed definition would </w:t>
      </w:r>
      <w:r w:rsidRPr="007C6360" w:rsidR="001942A0">
        <w:t>create “unending accretion of [a] site by repeated applications for expansion</w:t>
      </w:r>
      <w:r w:rsidRPr="00AF42A7" w:rsidR="00381A4B">
        <w:t>.</w:t>
      </w:r>
      <w:r w:rsidRPr="00AF42A7" w:rsidR="001942A0">
        <w:t>”</w:t>
      </w:r>
      <w:r>
        <w:rPr>
          <w:rStyle w:val="FootnoteReference"/>
        </w:rPr>
        <w:footnoteReference w:id="93"/>
      </w:r>
      <w:r w:rsidRPr="00A70EC8" w:rsidR="001942A0">
        <w:t xml:space="preserve">  </w:t>
      </w:r>
      <w:r w:rsidRPr="00A70EC8" w:rsidR="004678C9">
        <w:t xml:space="preserve">We </w:t>
      </w:r>
      <w:r w:rsidRPr="00A70EC8" w:rsidR="00562B15">
        <w:t>share</w:t>
      </w:r>
      <w:r w:rsidRPr="007C6360" w:rsidR="004678C9">
        <w:t xml:space="preserve"> those concerns, and find that our revision addresses them by </w:t>
      </w:r>
      <w:r w:rsidRPr="00AF42A7" w:rsidR="003F42B2">
        <w:t xml:space="preserve">ensuring that a locality has reviewed and approved the </w:t>
      </w:r>
      <w:r w:rsidRPr="00AF42A7" w:rsidR="000C262E">
        <w:t>eligible support structure</w:t>
      </w:r>
      <w:r w:rsidRPr="00AF42A7" w:rsidR="003F42B2">
        <w:t xml:space="preserve"> that is the subject of the eligible facilities request</w:t>
      </w:r>
      <w:r w:rsidRPr="00AF42A7" w:rsidR="002B1D4A">
        <w:t xml:space="preserve"> outside of the </w:t>
      </w:r>
      <w:r w:rsidRPr="00AF42A7" w:rsidR="00C345AC">
        <w:t>s</w:t>
      </w:r>
      <w:r w:rsidRPr="00AF42A7" w:rsidR="00AD6D07">
        <w:t>ection 6409(a) process</w:t>
      </w:r>
      <w:r w:rsidRPr="00AF42A7" w:rsidR="003F42B2">
        <w:t xml:space="preserve">, </w:t>
      </w:r>
      <w:r w:rsidRPr="00AF42A7" w:rsidR="00232DD0">
        <w:t>while recognizing</w:t>
      </w:r>
      <w:r w:rsidRPr="00AF42A7" w:rsidR="003F42B2">
        <w:t xml:space="preserve"> that the </w:t>
      </w:r>
      <w:r w:rsidRPr="00AF42A7" w:rsidR="00050F81">
        <w:t>boundaries</w:t>
      </w:r>
      <w:r w:rsidRPr="00AF42A7" w:rsidR="003F42B2">
        <w:t xml:space="preserve"> may have changed since the locality initially approved </w:t>
      </w:r>
      <w:r w:rsidRPr="00AF42A7" w:rsidR="00235582">
        <w:t xml:space="preserve">the </w:t>
      </w:r>
      <w:r w:rsidRPr="00AF42A7" w:rsidR="00050F81">
        <w:t>eligible support structure</w:t>
      </w:r>
      <w:r w:rsidRPr="00AF42A7" w:rsidR="003F42B2">
        <w:t>.</w:t>
      </w:r>
      <w:r>
        <w:rPr>
          <w:rStyle w:val="FootnoteReference"/>
        </w:rPr>
        <w:footnoteReference w:id="94"/>
      </w:r>
      <w:r w:rsidRPr="00A70EC8" w:rsidR="003F42B2">
        <w:t xml:space="preserve">  </w:t>
      </w:r>
      <w:r w:rsidRPr="00A70EC8">
        <w:t xml:space="preserve">Further, </w:t>
      </w:r>
      <w:r w:rsidRPr="00A70EC8" w:rsidR="00BD0BA4">
        <w:t xml:space="preserve">we </w:t>
      </w:r>
      <w:r w:rsidRPr="00A70EC8" w:rsidR="00735961">
        <w:t>maintain</w:t>
      </w:r>
      <w:r w:rsidRPr="007C6360" w:rsidR="00BD0BA4">
        <w:t xml:space="preserve"> </w:t>
      </w:r>
      <w:r w:rsidRPr="00AF42A7">
        <w:t xml:space="preserve">the </w:t>
      </w:r>
      <w:r w:rsidRPr="00AF42A7">
        <w:rPr>
          <w:i/>
          <w:iCs/>
        </w:rPr>
        <w:t>2014 Infrastructure Order</w:t>
      </w:r>
      <w:r w:rsidRPr="00AF42A7" w:rsidR="00F55E25">
        <w:t xml:space="preserve">’s </w:t>
      </w:r>
      <w:r w:rsidRPr="00AF42A7" w:rsidR="002E4758">
        <w:t>approach</w:t>
      </w:r>
      <w:r w:rsidRPr="00AF42A7">
        <w:rPr>
          <w:i/>
          <w:iCs/>
        </w:rPr>
        <w:t xml:space="preserve"> </w:t>
      </w:r>
      <w:r w:rsidRPr="00AF42A7">
        <w:t xml:space="preserve">that a locality “is not obligated to grant a collocation application under </w:t>
      </w:r>
      <w:r w:rsidRPr="00AF42A7" w:rsidR="00987F47">
        <w:t>[s]</w:t>
      </w:r>
      <w:r w:rsidRPr="00AF42A7">
        <w:t>ection</w:t>
      </w:r>
      <w:r w:rsidRPr="00AF42A7">
        <w:t xml:space="preserve"> 6409(a)” if “a tower or base station was constructed or deployed without proper review, was not required to undergo siting review, or does not support transmission equipment that received another form of affirmative State or local regulatory approval</w:t>
      </w:r>
      <w:r w:rsidRPr="00AF42A7" w:rsidR="006A16DF">
        <w:t>[.]</w:t>
      </w:r>
      <w:r w:rsidRPr="00AF42A7">
        <w:t>”</w:t>
      </w:r>
      <w:r>
        <w:rPr>
          <w:rStyle w:val="FootnoteReference"/>
        </w:rPr>
        <w:footnoteReference w:id="95"/>
      </w:r>
    </w:p>
    <w:p w:rsidR="007B43B9" w:rsidRPr="00A70EC8" w:rsidP="007B43B9" w14:paraId="25E45E6B" w14:textId="22CD8CB1">
      <w:pPr>
        <w:pStyle w:val="ParaNum"/>
        <w:tabs>
          <w:tab w:val="left" w:pos="1440"/>
        </w:tabs>
      </w:pPr>
      <w:r w:rsidRPr="00AF42A7">
        <w:t xml:space="preserve">Crown Castle also proposes that, to the extent </w:t>
      </w:r>
      <w:r w:rsidRPr="00AF42A7" w:rsidR="005258B6">
        <w:t xml:space="preserve">that </w:t>
      </w:r>
      <w:r w:rsidRPr="00AF42A7">
        <w:t xml:space="preserve">we revise the definition of </w:t>
      </w:r>
      <w:r w:rsidRPr="00AF42A7" w:rsidR="000D01C1">
        <w:t>“</w:t>
      </w:r>
      <w:r w:rsidRPr="00AF42A7">
        <w:t>site</w:t>
      </w:r>
      <w:r w:rsidRPr="00AF42A7" w:rsidR="000D01C1">
        <w:t>”</w:t>
      </w:r>
      <w:r w:rsidRPr="00AF42A7">
        <w:t xml:space="preserve"> as proposed in the </w:t>
      </w:r>
      <w:r w:rsidRPr="00AF42A7">
        <w:rPr>
          <w:i/>
          <w:iCs/>
        </w:rPr>
        <w:t>Notice</w:t>
      </w:r>
      <w:r w:rsidRPr="00AF42A7">
        <w:t xml:space="preserve">, we should revise </w:t>
      </w:r>
      <w:r w:rsidRPr="00AF42A7" w:rsidR="005258B6">
        <w:t xml:space="preserve">the </w:t>
      </w:r>
      <w:r w:rsidRPr="00AF42A7">
        <w:t>language to provide that the site boundaries are determined as of the date a locality “last reviewed and issued a permit,” rather than as of the date the locality last reviewed and approved the site.</w:t>
      </w:r>
      <w:r>
        <w:rPr>
          <w:rStyle w:val="FootnoteReference"/>
        </w:rPr>
        <w:footnoteReference w:id="96"/>
      </w:r>
      <w:r w:rsidRPr="00A70EC8">
        <w:t xml:space="preserve">  Crown Castle claims that, contrary to an approval, a “permit . . . applies to a wide variety of processes, and represents a tangible and unambiguous event</w:t>
      </w:r>
      <w:r w:rsidRPr="007C6360" w:rsidR="00815C3B">
        <w:t>[.]</w:t>
      </w:r>
      <w:r w:rsidRPr="00AF42A7">
        <w:t>”</w:t>
      </w:r>
      <w:r>
        <w:rPr>
          <w:rStyle w:val="FootnoteReference"/>
        </w:rPr>
        <w:footnoteReference w:id="97"/>
      </w:r>
      <w:r w:rsidRPr="00A70EC8">
        <w:t xml:space="preserve">  We decline to adopt Crown Castle’s proposal, as the mere issuance of a permit (</w:t>
      </w:r>
      <w:r w:rsidRPr="00AF42A7">
        <w:rPr>
          <w:i/>
          <w:iCs/>
        </w:rPr>
        <w:t>e.g.</w:t>
      </w:r>
      <w:r w:rsidRPr="00AF42A7">
        <w:t>, an electrical permit) does not necessarily involve a locality’s review of the eligible support structure, and thus would not necessarily provide an opportunity for the locality to take into account an increase in the size of the site associated with that structure.</w:t>
      </w:r>
      <w:r>
        <w:rPr>
          <w:rStyle w:val="FootnoteReference"/>
        </w:rPr>
        <w:footnoteReference w:id="98"/>
      </w:r>
      <w:r w:rsidRPr="00A70EC8">
        <w:t xml:space="preserve"> </w:t>
      </w:r>
    </w:p>
    <w:p w:rsidR="001A6004" w:rsidRPr="00AF42A7" w:rsidP="007B43B9" w14:paraId="4694C53B" w14:textId="45275F1E">
      <w:pPr>
        <w:pStyle w:val="ParaNum"/>
        <w:tabs>
          <w:tab w:val="left" w:pos="1440"/>
        </w:tabs>
      </w:pPr>
      <w:bookmarkStart w:id="16" w:name="_Hlk51691006"/>
      <w:r w:rsidRPr="00AF42A7">
        <w:t xml:space="preserve">Accordingly, we revise section 1.6100(b)(6) as follows:  </w:t>
      </w:r>
    </w:p>
    <w:p w:rsidR="00ED4AA9" w:rsidRPr="00A70EC8" w:rsidP="00784056" w14:paraId="65143BB6" w14:textId="4C5C3323">
      <w:pPr>
        <w:pStyle w:val="ParaNum"/>
        <w:numPr>
          <w:ilvl w:val="0"/>
          <w:numId w:val="0"/>
        </w:numPr>
        <w:tabs>
          <w:tab w:val="left" w:pos="1440"/>
        </w:tabs>
        <w:ind w:left="720"/>
      </w:pPr>
      <w:r w:rsidRPr="00AF42A7">
        <w:t>Site.  F</w:t>
      </w:r>
      <w:r w:rsidRPr="00AF42A7">
        <w:t xml:space="preserve">or towers other than towers in the public rights-of-way, the current boundaries of the leased or owned property surrounding the tower and any access or utility easements currently related to the site, and, for other eligible support structures, further restricted to that area in proximity to the structure and to other transmission equipment already deployed on the ground.  The current boundaries of a site are the boundaries that existed as of the date that </w:t>
      </w:r>
      <w:r w:rsidRPr="00AF42A7" w:rsidR="007E4D87">
        <w:t>the original</w:t>
      </w:r>
      <w:r w:rsidRPr="00AF42A7">
        <w:t xml:space="preserve"> support structure</w:t>
      </w:r>
      <w:r w:rsidRPr="00AF42A7" w:rsidR="00C5379E">
        <w:t xml:space="preserve"> or a modification to that structure</w:t>
      </w:r>
      <w:r w:rsidRPr="00AF42A7">
        <w:t xml:space="preserve"> was last reviewed and approved </w:t>
      </w:r>
      <w:r w:rsidRPr="00AF42A7" w:rsidR="00AE3E05">
        <w:t>by a</w:t>
      </w:r>
      <w:r w:rsidRPr="00AF42A7">
        <w:t xml:space="preserve"> State or local </w:t>
      </w:r>
      <w:r w:rsidRPr="00AF42A7" w:rsidR="00A64481">
        <w:t>government</w:t>
      </w:r>
      <w:r w:rsidRPr="00AF42A7" w:rsidR="009E5DB9">
        <w:t>, if the approval of the modification</w:t>
      </w:r>
      <w:r w:rsidRPr="00AF42A7" w:rsidR="00A52BBC">
        <w:t xml:space="preserve"> </w:t>
      </w:r>
      <w:r w:rsidRPr="00AF42A7" w:rsidR="00F24264">
        <w:t xml:space="preserve">occurred prior to the Spectrum Act or otherwise </w:t>
      </w:r>
      <w:r w:rsidRPr="00AF42A7" w:rsidR="00A52BBC">
        <w:t xml:space="preserve">outside </w:t>
      </w:r>
      <w:r w:rsidRPr="00AF42A7" w:rsidR="00F24264">
        <w:t>of the</w:t>
      </w:r>
      <w:r w:rsidRPr="00AF42A7" w:rsidR="00A64481">
        <w:t xml:space="preserve"> Section 6409(a) </w:t>
      </w:r>
      <w:r w:rsidRPr="00AF42A7" w:rsidR="00F24264">
        <w:t>process</w:t>
      </w:r>
      <w:r w:rsidRPr="00AF42A7" w:rsidR="00A64481">
        <w:t>.</w:t>
      </w:r>
      <w:r>
        <w:rPr>
          <w:rStyle w:val="FootnoteReference"/>
          <w:iCs/>
        </w:rPr>
        <w:footnoteReference w:id="99"/>
      </w:r>
      <w:r w:rsidRPr="00A70EC8">
        <w:t xml:space="preserve">  </w:t>
      </w:r>
    </w:p>
    <w:bookmarkEnd w:id="16"/>
    <w:p w:rsidR="007B43B9" w:rsidRPr="00A70EC8" w:rsidP="007B43B9" w14:paraId="34E6D957" w14:textId="6FF4F717">
      <w:pPr>
        <w:pStyle w:val="ParaNum"/>
        <w:tabs>
          <w:tab w:val="left" w:pos="1440"/>
        </w:tabs>
      </w:pPr>
      <w:r w:rsidRPr="00AF42A7">
        <w:t xml:space="preserve">We </w:t>
      </w:r>
      <w:r w:rsidRPr="00AF42A7" w:rsidR="00822887">
        <w:t>emphasize</w:t>
      </w:r>
      <w:r w:rsidRPr="00AF42A7">
        <w:t xml:space="preserve"> that </w:t>
      </w:r>
      <w:r w:rsidRPr="00AF42A7" w:rsidR="00822887">
        <w:t xml:space="preserve">our </w:t>
      </w:r>
      <w:r w:rsidRPr="00AF42A7">
        <w:t xml:space="preserve">revisions to </w:t>
      </w:r>
      <w:r w:rsidRPr="00AF42A7" w:rsidR="008A0D03">
        <w:t xml:space="preserve">the compound expansion </w:t>
      </w:r>
      <w:r w:rsidRPr="00AF42A7" w:rsidR="00F20A43">
        <w:t>provision</w:t>
      </w:r>
      <w:r w:rsidRPr="00AF42A7" w:rsidR="008A0D03">
        <w:t xml:space="preserve"> in </w:t>
      </w:r>
      <w:r w:rsidRPr="00AF42A7" w:rsidR="00822887">
        <w:t>section 1.6100(b)(7)(iv)</w:t>
      </w:r>
      <w:r w:rsidRPr="00AF42A7" w:rsidR="008A0D03">
        <w:t xml:space="preserve"> and to the definition of “site” in</w:t>
      </w:r>
      <w:r w:rsidRPr="00AF42A7" w:rsidR="00822887">
        <w:t xml:space="preserve"> section 1.6100(b)(6)</w:t>
      </w:r>
      <w:r w:rsidRPr="00AF42A7" w:rsidR="00E70094">
        <w:t xml:space="preserve"> </w:t>
      </w:r>
      <w:r w:rsidRPr="00AF42A7">
        <w:t xml:space="preserve">do not apply to towers in the public rights-of-way.  The </w:t>
      </w:r>
      <w:r w:rsidRPr="00AF42A7">
        <w:rPr>
          <w:i/>
        </w:rPr>
        <w:t>2014 Infrastructure Order</w:t>
      </w:r>
      <w:r w:rsidRPr="00AF42A7">
        <w:t xml:space="preserve"> provided </w:t>
      </w:r>
      <w:r w:rsidRPr="00AF42A7" w:rsidR="00E576D3">
        <w:t xml:space="preserve">for streamlined review in more narrowly targeted circumstances with respect to </w:t>
      </w:r>
      <w:r w:rsidRPr="00AF42A7">
        <w:t xml:space="preserve">towers in the public rights-of-way, </w:t>
      </w:r>
      <w:r w:rsidRPr="00AF42A7" w:rsidR="003841D3">
        <w:t xml:space="preserve">and </w:t>
      </w:r>
      <w:r w:rsidRPr="00AF42A7">
        <w:t xml:space="preserve">we leave </w:t>
      </w:r>
      <w:r w:rsidRPr="00AF42A7" w:rsidR="003841D3">
        <w:t xml:space="preserve">those distinctions </w:t>
      </w:r>
      <w:r w:rsidRPr="00AF42A7">
        <w:t>unchanged.</w:t>
      </w:r>
      <w:r>
        <w:rPr>
          <w:rStyle w:val="FootnoteReference"/>
        </w:rPr>
        <w:footnoteReference w:id="100"/>
      </w:r>
      <w:r w:rsidRPr="00A70EC8">
        <w:t xml:space="preserve">  The Commission has recognized that activities in public rights-of-way “are more likely to raise aesthetic, safety, and other issues,” and that “towers in the public rights-of-way should be subject to the more restrictive . . . criteria applicable to non-tower structures rather than the criteria applicable to </w:t>
      </w:r>
      <w:r w:rsidRPr="00A70EC8">
        <w:t>other towers.”</w:t>
      </w:r>
      <w:r>
        <w:rPr>
          <w:rStyle w:val="FootnoteReference"/>
        </w:rPr>
        <w:footnoteReference w:id="101"/>
      </w:r>
      <w:r w:rsidRPr="00A70EC8">
        <w:t xml:space="preserve">  The record reflects agreement by both industry and locality commenters that our rule change to provide for compound expansion shou</w:t>
      </w:r>
      <w:r w:rsidRPr="00AF42A7">
        <w:t>ld not apply to towers in the public rights-of-way.</w:t>
      </w:r>
      <w:r>
        <w:rPr>
          <w:rStyle w:val="FootnoteReference"/>
        </w:rPr>
        <w:footnoteReference w:id="102"/>
      </w:r>
      <w:r w:rsidRPr="00A70EC8">
        <w:t xml:space="preserve">  Our revised compound </w:t>
      </w:r>
      <w:r w:rsidRPr="00A70EC8" w:rsidR="00F579E7">
        <w:t>expansion</w:t>
      </w:r>
      <w:r w:rsidRPr="007C6360">
        <w:t xml:space="preserve"> rule also does not apply to non-tower structures (</w:t>
      </w:r>
      <w:r w:rsidRPr="00AF42A7">
        <w:rPr>
          <w:i/>
        </w:rPr>
        <w:t xml:space="preserve">e.g., </w:t>
      </w:r>
      <w:r w:rsidRPr="00AF42A7">
        <w:t>base stations), which “use very different support structures and equipment configurations” than towers.</w:t>
      </w:r>
      <w:r>
        <w:rPr>
          <w:rStyle w:val="FootnoteReference"/>
        </w:rPr>
        <w:footnoteReference w:id="103"/>
      </w:r>
      <w:r w:rsidRPr="00A70EC8">
        <w:t xml:space="preserve"> </w:t>
      </w:r>
    </w:p>
    <w:p w:rsidR="007B43B9" w:rsidRPr="00A70EC8" w:rsidP="0001680F" w14:paraId="172CB06E" w14:textId="3DB118BE">
      <w:pPr>
        <w:pStyle w:val="ParaNum"/>
        <w:widowControl/>
        <w:tabs>
          <w:tab w:val="left" w:pos="1440"/>
        </w:tabs>
      </w:pPr>
      <w:r w:rsidRPr="00AF42A7">
        <w:t xml:space="preserve">We </w:t>
      </w:r>
      <w:r w:rsidRPr="00AF42A7" w:rsidR="003841D3">
        <w:t xml:space="preserve">also </w:t>
      </w:r>
      <w:r w:rsidRPr="00AF42A7" w:rsidR="003D7855">
        <w:t>emphasize</w:t>
      </w:r>
      <w:r w:rsidRPr="00AF42A7">
        <w:t xml:space="preserve"> that </w:t>
      </w:r>
      <w:r w:rsidRPr="00AF42A7" w:rsidR="0021038C">
        <w:t xml:space="preserve">our actions here are not intended to affect any </w:t>
      </w:r>
      <w:r w:rsidRPr="00AF42A7">
        <w:t xml:space="preserve">setback requirements </w:t>
      </w:r>
      <w:r w:rsidRPr="00AF42A7" w:rsidR="0021038C">
        <w:t>that may apply to a site</w:t>
      </w:r>
      <w:r w:rsidRPr="00AF42A7">
        <w:t>,</w:t>
      </w:r>
      <w:r>
        <w:rPr>
          <w:rStyle w:val="FootnoteReference"/>
        </w:rPr>
        <w:footnoteReference w:id="104"/>
      </w:r>
      <w:r w:rsidRPr="00A70EC8">
        <w:t xml:space="preserve"> and </w:t>
      </w:r>
      <w:r w:rsidRPr="00A70EC8" w:rsidR="00C7177C">
        <w:t xml:space="preserve">that </w:t>
      </w:r>
      <w:r w:rsidRPr="007C6360">
        <w:t>we preserve localities’ authority to impose requirements on local-government prop</w:t>
      </w:r>
      <w:r w:rsidRPr="00AF42A7">
        <w:t xml:space="preserve">erty.  </w:t>
      </w:r>
      <w:r w:rsidRPr="00AF42A7" w:rsidR="000904E4">
        <w:t>Further</w:t>
      </w:r>
      <w:r w:rsidRPr="00AF42A7">
        <w:t>, the expansion of up to 30 feet in any direction is subject to any land</w:t>
      </w:r>
      <w:r w:rsidRPr="00AF42A7" w:rsidR="00B47AE3">
        <w:t>-</w:t>
      </w:r>
      <w:r w:rsidRPr="00AF42A7">
        <w:t xml:space="preserve">use </w:t>
      </w:r>
      <w:r w:rsidRPr="00AF42A7" w:rsidR="00C95C9B">
        <w:t>requirements or permissions that a local authority may</w:t>
      </w:r>
      <w:r w:rsidRPr="00AF42A7" w:rsidR="005219C5">
        <w:t xml:space="preserve"> have</w:t>
      </w:r>
      <w:r w:rsidRPr="00AF42A7" w:rsidR="00C95C9B">
        <w:t xml:space="preserve"> impose</w:t>
      </w:r>
      <w:r w:rsidRPr="00AF42A7" w:rsidR="005219C5">
        <w:t>d</w:t>
      </w:r>
      <w:r w:rsidRPr="00AF42A7" w:rsidR="00C95C9B">
        <w:t xml:space="preserve"> or grant</w:t>
      </w:r>
      <w:r w:rsidRPr="00AF42A7" w:rsidR="005219C5">
        <w:t>ed</w:t>
      </w:r>
      <w:r w:rsidRPr="00AF42A7" w:rsidR="00C95C9B">
        <w:t xml:space="preserve"> </w:t>
      </w:r>
      <w:r w:rsidRPr="00AF42A7">
        <w:t>within the allowed expansion (</w:t>
      </w:r>
      <w:r w:rsidRPr="00AF42A7">
        <w:rPr>
          <w:i/>
          <w:iCs/>
        </w:rPr>
        <w:t>e.g.</w:t>
      </w:r>
      <w:r w:rsidRPr="00AF42A7">
        <w:t>, storm drain easement) at the time of the last review by a locality. </w:t>
      </w:r>
      <w:r w:rsidRPr="00A70EC8">
        <w:t xml:space="preserve"> </w:t>
      </w:r>
      <w:r w:rsidRPr="007C6360" w:rsidR="0000247D">
        <w:t>W</w:t>
      </w:r>
      <w:r w:rsidRPr="00AF42A7">
        <w:t xml:space="preserve">e </w:t>
      </w:r>
      <w:r w:rsidRPr="00AF42A7" w:rsidR="0000247D">
        <w:t>also</w:t>
      </w:r>
      <w:r w:rsidRPr="00AF42A7">
        <w:t xml:space="preserve"> clarify that</w:t>
      </w:r>
      <w:r w:rsidRPr="00AF42A7" w:rsidR="00985A69">
        <w:t xml:space="preserve"> </w:t>
      </w:r>
      <w:r w:rsidRPr="00AF42A7">
        <w:t xml:space="preserve">the revised definition of </w:t>
      </w:r>
      <w:r w:rsidRPr="00AF42A7" w:rsidR="003F643B">
        <w:t>“</w:t>
      </w:r>
      <w:r w:rsidRPr="00AF42A7">
        <w:t>site</w:t>
      </w:r>
      <w:r w:rsidRPr="00AF42A7" w:rsidR="003F643B">
        <w:t>”</w:t>
      </w:r>
      <w:r w:rsidRPr="00AF42A7">
        <w:t xml:space="preserve"> does not restrict a locality from issuing building permits </w:t>
      </w:r>
      <w:r w:rsidRPr="00AF42A7" w:rsidR="00DF5A21">
        <w:t>(</w:t>
      </w:r>
      <w:r w:rsidRPr="00AF42A7" w:rsidR="00DF5A21">
        <w:rPr>
          <w:i/>
          <w:iCs/>
        </w:rPr>
        <w:t>e.g.</w:t>
      </w:r>
      <w:r w:rsidRPr="00AF42A7" w:rsidR="00DF5A21">
        <w:t xml:space="preserve">, electrical) </w:t>
      </w:r>
      <w:r w:rsidRPr="00AF42A7">
        <w:t>or approving easements within the expanded boundaries (</w:t>
      </w:r>
      <w:r w:rsidRPr="00AF42A7">
        <w:rPr>
          <w:i/>
          <w:iCs/>
        </w:rPr>
        <w:t>e.g.</w:t>
      </w:r>
      <w:r w:rsidRPr="00AF42A7">
        <w:t>, a sewer or storm drain easement; a road; or a bike path).</w:t>
      </w:r>
      <w:r>
        <w:rPr>
          <w:rStyle w:val="FootnoteReference"/>
        </w:rPr>
        <w:footnoteReference w:id="105"/>
      </w:r>
      <w:r w:rsidRPr="00A70EC8" w:rsidR="001D11CD">
        <w:t xml:space="preserve">  </w:t>
      </w:r>
      <w:r w:rsidRPr="00A70EC8" w:rsidR="00020242">
        <w:t xml:space="preserve">We </w:t>
      </w:r>
      <w:r w:rsidRPr="007C6360" w:rsidR="00D621DE">
        <w:t xml:space="preserve">further </w:t>
      </w:r>
      <w:r w:rsidRPr="00AF42A7" w:rsidR="00020242">
        <w:t>clarify</w:t>
      </w:r>
      <w:r w:rsidRPr="00AF42A7" w:rsidR="00E5708D">
        <w:t>, however,</w:t>
      </w:r>
      <w:r w:rsidRPr="00AF42A7" w:rsidR="00020242">
        <w:t xml:space="preserve"> that changes in zoning regulations since the last local government review would not disqualify from section 6409(a)</w:t>
      </w:r>
      <w:r w:rsidRPr="00AF42A7" w:rsidR="008C06CA">
        <w:t xml:space="preserve"> </w:t>
      </w:r>
      <w:r w:rsidRPr="00AF42A7" w:rsidR="005815FF">
        <w:t xml:space="preserve">treatment those compound expansions that otherwise would be permitted under our </w:t>
      </w:r>
      <w:r w:rsidRPr="00AF42A7" w:rsidR="004D0825">
        <w:t>revisions</w:t>
      </w:r>
      <w:r w:rsidRPr="00AF42A7" w:rsidR="005815FF">
        <w:t>.</w:t>
      </w:r>
      <w:r>
        <w:rPr>
          <w:rStyle w:val="FootnoteReference"/>
        </w:rPr>
        <w:footnoteReference w:id="106"/>
      </w:r>
    </w:p>
    <w:p w:rsidR="001F6050" w:rsidRPr="00AF42A7" w:rsidP="007B43B9" w14:paraId="181A8CF9" w14:textId="6477991F">
      <w:pPr>
        <w:pStyle w:val="ParaNum"/>
        <w:tabs>
          <w:tab w:val="left" w:pos="1440"/>
        </w:tabs>
      </w:pPr>
      <w:r w:rsidRPr="00AF42A7">
        <w:t>W</w:t>
      </w:r>
      <w:r w:rsidRPr="00AF42A7" w:rsidR="00E25FAE">
        <w:t>hile</w:t>
      </w:r>
      <w:r w:rsidRPr="00AF42A7" w:rsidR="00160889">
        <w:t xml:space="preserve"> localities raise health and safety concerns with modifying the scope of substantial change,</w:t>
      </w:r>
      <w:r>
        <w:rPr>
          <w:rStyle w:val="FootnoteReference"/>
        </w:rPr>
        <w:footnoteReference w:id="107"/>
      </w:r>
      <w:r w:rsidRPr="00A70EC8" w:rsidR="00160889">
        <w:t xml:space="preserve"> we observe that the</w:t>
      </w:r>
      <w:r w:rsidRPr="007C6360" w:rsidR="00160889">
        <w:t xml:space="preserve"> modifications we make</w:t>
      </w:r>
      <w:r w:rsidRPr="00AF42A7" w:rsidR="00160889">
        <w:t xml:space="preserve"> today do not affect localities’ ability to address those concerns.  The</w:t>
      </w:r>
      <w:r w:rsidRPr="00AF42A7" w:rsidR="00160889">
        <w:rPr>
          <w:rFonts w:cs="Calibri"/>
        </w:rPr>
        <w:t xml:space="preserve"> Commission previously has clarified that </w:t>
      </w:r>
      <w:r w:rsidRPr="00AF42A7" w:rsidR="00160889">
        <w:t>neither the statute nor our rules preempt localities’ health and safety requirements or their procedures for reviewing and enforcing compliance with such requirements,</w:t>
      </w:r>
      <w:r>
        <w:rPr>
          <w:vertAlign w:val="superscript"/>
        </w:rPr>
        <w:footnoteReference w:id="108"/>
      </w:r>
      <w:r w:rsidRPr="00A70EC8" w:rsidR="00160889">
        <w:t xml:space="preserve"> and we reaffirm this conclusion today.  We emphasize that s</w:t>
      </w:r>
      <w:r w:rsidRPr="007C6360" w:rsidR="00160889">
        <w:t xml:space="preserve">ection 6409(a) </w:t>
      </w:r>
      <w:r w:rsidRPr="00AF42A7" w:rsidR="00160889">
        <w:t>“does not preclude States and localities from continuing to require compliance with generally applicable health and safety requirements on the placement and operation of backup power sources, including noise control ordinances if any.”</w:t>
      </w:r>
      <w:r>
        <w:rPr>
          <w:rStyle w:val="FootnoteReference"/>
        </w:rPr>
        <w:footnoteReference w:id="109"/>
      </w:r>
      <w:r w:rsidRPr="00A70EC8" w:rsidR="00160889">
        <w:t xml:space="preserve">  We find that our revision strikes the appropriate balance between promoting rapid wireless facility deployment</w:t>
      </w:r>
      <w:r w:rsidRPr="007C6360" w:rsidR="00160889">
        <w:t xml:space="preserve"> while preserving localities’ </w:t>
      </w:r>
      <w:r w:rsidRPr="00AF42A7" w:rsidR="00DF5EF4">
        <w:t>local-use</w:t>
      </w:r>
      <w:r w:rsidRPr="00AF42A7" w:rsidR="00160889">
        <w:t xml:space="preserve"> authority.</w:t>
      </w:r>
    </w:p>
    <w:p w:rsidR="00997D2B" w:rsidRPr="00AF42A7" w:rsidP="007B43B9" w14:paraId="7B0F50BC" w14:textId="69F7275A">
      <w:pPr>
        <w:pStyle w:val="ParaNum"/>
        <w:tabs>
          <w:tab w:val="left" w:pos="1440"/>
        </w:tabs>
      </w:pPr>
      <w:r w:rsidRPr="00AF42A7">
        <w:t xml:space="preserve">Finally, we </w:t>
      </w:r>
      <w:r w:rsidRPr="00AF42A7" w:rsidR="00C865CB">
        <w:t xml:space="preserve">disagree with the contentions of </w:t>
      </w:r>
      <w:r w:rsidRPr="00AF42A7" w:rsidR="00335F82">
        <w:t xml:space="preserve">some </w:t>
      </w:r>
      <w:r w:rsidRPr="00AF42A7">
        <w:t>localities</w:t>
      </w:r>
      <w:r w:rsidRPr="00AF42A7" w:rsidR="00335F82">
        <w:t xml:space="preserve"> that the Commission lacks </w:t>
      </w:r>
      <w:r w:rsidRPr="00AF42A7" w:rsidR="007C6F12">
        <w:t>the legal authority to adopt some or all of the rule changes that we promulgate today, or that the</w:t>
      </w:r>
      <w:r w:rsidRPr="00AF42A7">
        <w:t xml:space="preserve"> Administrative Procedure Act</w:t>
      </w:r>
      <w:r>
        <w:rPr>
          <w:rStyle w:val="FootnoteReference"/>
        </w:rPr>
        <w:footnoteReference w:id="110"/>
      </w:r>
      <w:r w:rsidRPr="00A70EC8">
        <w:t xml:space="preserve"> </w:t>
      </w:r>
      <w:r w:rsidRPr="00A70EC8" w:rsidR="007C6F12">
        <w:t xml:space="preserve">otherwise </w:t>
      </w:r>
      <w:r w:rsidRPr="007C6360" w:rsidR="007C6F12">
        <w:t>precludes such action</w:t>
      </w:r>
      <w:r w:rsidRPr="00AF42A7">
        <w:t>.  Localities allege several infirmities.  First, Virginia Localities argue that Congress limited the Commission’s authority to changes to the dimensions of towers and base stations only, and not to the underlying site.</w:t>
      </w:r>
      <w:r>
        <w:rPr>
          <w:rStyle w:val="FootnoteReference"/>
        </w:rPr>
        <w:footnoteReference w:id="111"/>
      </w:r>
      <w:r w:rsidRPr="00A70EC8">
        <w:t xml:space="preserve">  We disagree with that artificial distinction.  A tower </w:t>
      </w:r>
      <w:r w:rsidRPr="00AF42A7">
        <w:t>cannot exist without a site.</w:t>
      </w:r>
      <w:r>
        <w:rPr>
          <w:rStyle w:val="FootnoteReference"/>
        </w:rPr>
        <w:footnoteReference w:id="112"/>
      </w:r>
      <w:r w:rsidRPr="00A70EC8">
        <w:t xml:space="preserve">  And “[t]here is no question that [certain] terms of the Spectrum Act . . . are ambiguous,”</w:t>
      </w:r>
      <w:r>
        <w:rPr>
          <w:rStyle w:val="FootnoteReference"/>
        </w:rPr>
        <w:footnoteReference w:id="113"/>
      </w:r>
      <w:r w:rsidRPr="00A70EC8">
        <w:t xml:space="preserve"> including what constitutes substantial change to a site.</w:t>
      </w:r>
      <w:r>
        <w:rPr>
          <w:rStyle w:val="FootnoteReference"/>
        </w:rPr>
        <w:footnoteReference w:id="114"/>
      </w:r>
      <w:r w:rsidRPr="00A70EC8">
        <w:t xml:space="preserve">  The Fourth Circuit determined that the Commission can “establish[] objecti</w:t>
      </w:r>
      <w:r w:rsidRPr="007C6360">
        <w:t>ve criteria for determining when a proposed modification ‘substantially changes the physical dimensions’” of an eligible support structure.</w:t>
      </w:r>
      <w:r>
        <w:rPr>
          <w:rStyle w:val="FootnoteReference"/>
        </w:rPr>
        <w:footnoteReference w:id="115"/>
      </w:r>
      <w:r w:rsidRPr="00A70EC8">
        <w:t xml:space="preserve"> </w:t>
      </w:r>
      <w:r w:rsidRPr="00A70EC8" w:rsidR="00A14BD9">
        <w:t xml:space="preserve"> </w:t>
      </w:r>
      <w:r w:rsidRPr="007C6360">
        <w:t xml:space="preserve">The </w:t>
      </w:r>
      <w:r w:rsidRPr="00AF42A7">
        <w:rPr>
          <w:i/>
          <w:iCs/>
        </w:rPr>
        <w:t>Report and Order</w:t>
      </w:r>
      <w:r w:rsidRPr="00AF42A7">
        <w:t xml:space="preserve">’s revisions to the terms “site” and “substantial change” ensure that wireless deployments will continue while preserving localities’ site review and approval process.  </w:t>
      </w:r>
    </w:p>
    <w:p w:rsidR="006F20A0" w:rsidRPr="00A70EC8" w:rsidP="007B43B9" w14:paraId="544618BC" w14:textId="06EAF7CF">
      <w:pPr>
        <w:pStyle w:val="ParaNum"/>
        <w:tabs>
          <w:tab w:val="left" w:pos="1440"/>
        </w:tabs>
      </w:pPr>
      <w:r w:rsidRPr="00AF42A7">
        <w:t xml:space="preserve">Second, </w:t>
      </w:r>
      <w:r w:rsidRPr="00AF42A7" w:rsidR="003C7484">
        <w:t xml:space="preserve">some </w:t>
      </w:r>
      <w:r w:rsidRPr="00AF42A7">
        <w:t xml:space="preserve">localities argue that the Commission failed to provide the specific rule language in the </w:t>
      </w:r>
      <w:r w:rsidRPr="00AF42A7">
        <w:rPr>
          <w:i/>
          <w:iCs/>
        </w:rPr>
        <w:t>Notice</w:t>
      </w:r>
      <w:r w:rsidRPr="00AF42A7">
        <w:t xml:space="preserve"> and that the </w:t>
      </w:r>
      <w:r w:rsidRPr="00AF42A7">
        <w:rPr>
          <w:i/>
          <w:iCs/>
        </w:rPr>
        <w:t xml:space="preserve">Notice </w:t>
      </w:r>
      <w:r w:rsidRPr="00AF42A7">
        <w:t xml:space="preserve">contains several ambiguities.  </w:t>
      </w:r>
      <w:r w:rsidRPr="00AF42A7" w:rsidR="00B279FA">
        <w:t xml:space="preserve">Virginia Localities </w:t>
      </w:r>
      <w:r w:rsidRPr="00AF42A7" w:rsidR="00B13328">
        <w:t>claims that it would be “very difficult to assess the potential practical effects of the proposed amendment to the EFR Rule without language to evaluate.”</w:t>
      </w:r>
      <w:r>
        <w:rPr>
          <w:rStyle w:val="FootnoteReference"/>
        </w:rPr>
        <w:footnoteReference w:id="116"/>
      </w:r>
      <w:r w:rsidRPr="00A70EC8" w:rsidR="00B279FA">
        <w:t xml:space="preserve"> </w:t>
      </w:r>
      <w:r w:rsidRPr="00A70EC8" w:rsidR="00942B2C">
        <w:t xml:space="preserve"> </w:t>
      </w:r>
      <w:r w:rsidRPr="007C6360">
        <w:t>Loca</w:t>
      </w:r>
      <w:r w:rsidRPr="00AF42A7">
        <w:t xml:space="preserve">l Governments </w:t>
      </w:r>
      <w:r w:rsidRPr="00AF42A7" w:rsidR="00D543D0">
        <w:t>claim that</w:t>
      </w:r>
      <w:r w:rsidRPr="00AF42A7" w:rsidR="00902DDE">
        <w:t>, among other issues,</w:t>
      </w:r>
      <w:r w:rsidRPr="00AF42A7" w:rsidR="00D543D0">
        <w:t xml:space="preserve"> the </w:t>
      </w:r>
      <w:r w:rsidRPr="00AF42A7" w:rsidR="00D543D0">
        <w:rPr>
          <w:i/>
          <w:iCs/>
        </w:rPr>
        <w:t>Notice</w:t>
      </w:r>
      <w:r w:rsidRPr="00AF42A7" w:rsidR="00D543D0">
        <w:t xml:space="preserve"> is ambiguous on </w:t>
      </w:r>
      <w:r w:rsidRPr="00AF42A7" w:rsidR="00B2547D">
        <w:t>the operative dat</w:t>
      </w:r>
      <w:r w:rsidRPr="00AF42A7" w:rsidR="006C591B">
        <w:t>e</w:t>
      </w:r>
      <w:r w:rsidRPr="00AF42A7" w:rsidR="00A02092">
        <w:t xml:space="preserve"> of the approval, </w:t>
      </w:r>
      <w:r w:rsidRPr="00AF42A7" w:rsidR="00E90E0C">
        <w:t>the operative boundaries of the proposed expansion</w:t>
      </w:r>
      <w:r w:rsidRPr="00AF42A7" w:rsidR="00902DDE">
        <w:t xml:space="preserve">, and whether the definition of </w:t>
      </w:r>
      <w:r w:rsidRPr="00AF42A7" w:rsidR="003F643B">
        <w:t>“</w:t>
      </w:r>
      <w:r w:rsidRPr="00AF42A7" w:rsidR="00902DDE">
        <w:t>site</w:t>
      </w:r>
      <w:r w:rsidRPr="00AF42A7" w:rsidR="003F643B">
        <w:t>”</w:t>
      </w:r>
      <w:r w:rsidRPr="00AF42A7" w:rsidR="00902DDE">
        <w:t xml:space="preserve"> will provide for other eligible support structures.</w:t>
      </w:r>
      <w:r>
        <w:rPr>
          <w:rStyle w:val="FootnoteReference"/>
        </w:rPr>
        <w:footnoteReference w:id="117"/>
      </w:r>
      <w:r w:rsidRPr="00A70EC8" w:rsidR="00382C37">
        <w:t xml:space="preserve">  Western Communities Coalition </w:t>
      </w:r>
      <w:r w:rsidRPr="00AF42A7" w:rsidR="00FF193B">
        <w:t xml:space="preserve">claims that the </w:t>
      </w:r>
      <w:r w:rsidRPr="00AF42A7" w:rsidR="00FF193B">
        <w:rPr>
          <w:i/>
          <w:iCs/>
        </w:rPr>
        <w:t xml:space="preserve">Notice </w:t>
      </w:r>
      <w:r w:rsidRPr="00AF42A7" w:rsidR="00FF193B">
        <w:t>“appears to suggest that various rule changes might be limited to ‘macro tower compounds.</w:t>
      </w:r>
      <w:r w:rsidRPr="00AF42A7" w:rsidR="00C34038">
        <w:t>’</w:t>
      </w:r>
      <w:r w:rsidRPr="00AF42A7" w:rsidR="00FF193B">
        <w:t>”</w:t>
      </w:r>
      <w:r>
        <w:rPr>
          <w:rStyle w:val="FootnoteReference"/>
        </w:rPr>
        <w:footnoteReference w:id="118"/>
      </w:r>
      <w:r w:rsidRPr="00A70EC8" w:rsidR="00C34038">
        <w:t xml:space="preserve">  </w:t>
      </w:r>
    </w:p>
    <w:p w:rsidR="00F4758C" w:rsidRPr="00A70EC8" w:rsidP="007B43B9" w14:paraId="34476CAC" w14:textId="3FC38992">
      <w:pPr>
        <w:pStyle w:val="ParaNum"/>
        <w:tabs>
          <w:tab w:val="left" w:pos="1440"/>
        </w:tabs>
      </w:pPr>
      <w:r w:rsidRPr="00A70EC8">
        <w:t xml:space="preserve">These arguments </w:t>
      </w:r>
      <w:r w:rsidRPr="007C6360" w:rsidR="00F26621">
        <w:t xml:space="preserve">lack </w:t>
      </w:r>
      <w:r w:rsidRPr="00AF42A7">
        <w:t>merit</w:t>
      </w:r>
      <w:r w:rsidRPr="00AF42A7" w:rsidR="007B43B9">
        <w:t xml:space="preserve">.  </w:t>
      </w:r>
      <w:r w:rsidRPr="00AF42A7" w:rsidR="00DC5FAB">
        <w:t xml:space="preserve">The APA requires that </w:t>
      </w:r>
      <w:r w:rsidRPr="00AF42A7" w:rsidR="00A86A21">
        <w:t xml:space="preserve">an </w:t>
      </w:r>
      <w:r w:rsidRPr="00AF42A7" w:rsidR="00C24C2A">
        <w:t xml:space="preserve">agency’s </w:t>
      </w:r>
      <w:r w:rsidRPr="00AF42A7" w:rsidR="00E952DF">
        <w:t xml:space="preserve">notice </w:t>
      </w:r>
      <w:r w:rsidRPr="00AF42A7" w:rsidR="006C64DD">
        <w:t xml:space="preserve">of proposed rulemaking </w:t>
      </w:r>
      <w:r w:rsidRPr="00AF42A7" w:rsidR="005321DC">
        <w:t>must</w:t>
      </w:r>
      <w:r w:rsidRPr="00AF42A7" w:rsidR="00E952DF">
        <w:t xml:space="preserve"> include “</w:t>
      </w:r>
      <w:r w:rsidRPr="00AF42A7" w:rsidR="00BF320D">
        <w:t xml:space="preserve">either the terms </w:t>
      </w:r>
      <w:r w:rsidRPr="00AF42A7" w:rsidR="00BF320D">
        <w:rPr>
          <w:i/>
          <w:iCs/>
        </w:rPr>
        <w:t>or substance of the proposed </w:t>
      </w:r>
      <w:r w:rsidRPr="00AF42A7" w:rsidR="008E3C33">
        <w:rPr>
          <w:i/>
          <w:iCs/>
        </w:rPr>
        <w:t>rule</w:t>
      </w:r>
      <w:r w:rsidRPr="00AF42A7" w:rsidR="00BF320D">
        <w:t> </w:t>
      </w:r>
      <w:r w:rsidRPr="00AF42A7" w:rsidR="00BF320D">
        <w:rPr>
          <w:i/>
          <w:iCs/>
        </w:rPr>
        <w:t xml:space="preserve">or a description of the </w:t>
      </w:r>
      <w:r w:rsidRPr="00AF42A7" w:rsidR="00BF320D">
        <w:rPr>
          <w:i/>
          <w:iCs/>
        </w:rPr>
        <w:t>subjects and issues involved</w:t>
      </w:r>
      <w:r w:rsidRPr="00AF42A7" w:rsidR="00BF320D">
        <w:t>.”</w:t>
      </w:r>
      <w:r>
        <w:rPr>
          <w:rStyle w:val="FootnoteReference"/>
        </w:rPr>
        <w:footnoteReference w:id="119"/>
      </w:r>
      <w:r w:rsidRPr="00A70EC8" w:rsidR="00A86A21">
        <w:t xml:space="preserve"> </w:t>
      </w:r>
      <w:r w:rsidRPr="00A70EC8" w:rsidR="00BF320D">
        <w:t xml:space="preserve"> </w:t>
      </w:r>
      <w:r w:rsidRPr="00A70EC8" w:rsidR="008311B5">
        <w:t>T</w:t>
      </w:r>
      <w:r w:rsidRPr="007C6360" w:rsidR="005321DC">
        <w:t>he D.C. Circuit has held that a</w:t>
      </w:r>
      <w:r w:rsidRPr="00AF42A7" w:rsidR="007B43B9">
        <w:t xml:space="preserve"> notice of proposed rulemaking </w:t>
      </w:r>
      <w:r w:rsidRPr="00AF42A7" w:rsidR="009A3370">
        <w:t>meet</w:t>
      </w:r>
      <w:r w:rsidRPr="00AF42A7" w:rsidR="00282799">
        <w:t>s</w:t>
      </w:r>
      <w:r w:rsidRPr="00AF42A7" w:rsidR="0071054A">
        <w:t xml:space="preserve"> the requirements of administrative law if it </w:t>
      </w:r>
      <w:r w:rsidRPr="00AF42A7" w:rsidR="007B43B9">
        <w:t>“provide</w:t>
      </w:r>
      <w:r w:rsidRPr="00AF42A7" w:rsidR="0071054A">
        <w:t>[s]</w:t>
      </w:r>
      <w:r w:rsidRPr="00AF42A7" w:rsidR="007B43B9">
        <w:t xml:space="preserve"> sufficient factual detail and rationale for the rule to permit interested parties to comment meaningfully.”</w:t>
      </w:r>
      <w:r>
        <w:rPr>
          <w:rStyle w:val="FootnoteReference"/>
        </w:rPr>
        <w:footnoteReference w:id="120"/>
      </w:r>
      <w:r w:rsidRPr="00A70EC8" w:rsidR="007B43B9">
        <w:rPr>
          <w:szCs w:val="22"/>
        </w:rPr>
        <w:t xml:space="preserve"> </w:t>
      </w:r>
      <w:r w:rsidRPr="00A70EC8" w:rsidR="007E079A">
        <w:rPr>
          <w:szCs w:val="22"/>
        </w:rPr>
        <w:t xml:space="preserve"> </w:t>
      </w:r>
      <w:r w:rsidRPr="00A70EC8" w:rsidR="00086640">
        <w:rPr>
          <w:szCs w:val="22"/>
        </w:rPr>
        <w:t xml:space="preserve">The </w:t>
      </w:r>
      <w:r w:rsidRPr="007C6360" w:rsidR="00086640">
        <w:rPr>
          <w:i/>
          <w:iCs/>
          <w:szCs w:val="22"/>
        </w:rPr>
        <w:t xml:space="preserve">Notice </w:t>
      </w:r>
      <w:r w:rsidRPr="00AF42A7" w:rsidR="00086640">
        <w:rPr>
          <w:szCs w:val="22"/>
        </w:rPr>
        <w:t xml:space="preserve">in this proceeding did just that.  Not only did the Commission </w:t>
      </w:r>
      <w:r w:rsidRPr="00AF42A7" w:rsidR="00E71900">
        <w:rPr>
          <w:szCs w:val="22"/>
        </w:rPr>
        <w:t xml:space="preserve">include the substance of the proposed rule and </w:t>
      </w:r>
      <w:r w:rsidRPr="00AF42A7" w:rsidR="00E42ED3">
        <w:rPr>
          <w:szCs w:val="22"/>
        </w:rPr>
        <w:t>describe the subjects and issue</w:t>
      </w:r>
      <w:r w:rsidRPr="00AF42A7" w:rsidR="00313C96">
        <w:rPr>
          <w:szCs w:val="22"/>
        </w:rPr>
        <w:t>s</w:t>
      </w:r>
      <w:r w:rsidRPr="00AF42A7" w:rsidR="00E42ED3">
        <w:rPr>
          <w:szCs w:val="22"/>
        </w:rPr>
        <w:t xml:space="preserve"> involved,</w:t>
      </w:r>
      <w:r>
        <w:rPr>
          <w:rStyle w:val="FootnoteReference"/>
          <w:szCs w:val="22"/>
        </w:rPr>
        <w:footnoteReference w:id="121"/>
      </w:r>
      <w:r w:rsidRPr="00A70EC8" w:rsidR="00E42ED3">
        <w:rPr>
          <w:szCs w:val="22"/>
        </w:rPr>
        <w:t xml:space="preserve"> it also </w:t>
      </w:r>
      <w:r w:rsidRPr="00A70EC8" w:rsidR="007B43B9">
        <w:t>clearly propose</w:t>
      </w:r>
      <w:r w:rsidR="000B2E8F">
        <w:t>d</w:t>
      </w:r>
      <w:r w:rsidRPr="00A70EC8" w:rsidR="007B43B9">
        <w:t xml:space="preserve"> specific language for the definition of “</w:t>
      </w:r>
      <w:r w:rsidRPr="00A70EC8" w:rsidR="0090423C">
        <w:t>s</w:t>
      </w:r>
      <w:r w:rsidRPr="007C6360" w:rsidR="007B43B9">
        <w:t>ite” and the revision to “</w:t>
      </w:r>
      <w:r w:rsidRPr="00AF42A7" w:rsidR="00E158EE">
        <w:t>s</w:t>
      </w:r>
      <w:r w:rsidRPr="00AF42A7" w:rsidR="007B43B9">
        <w:t>ubstantial change,”</w:t>
      </w:r>
      <w:r>
        <w:rPr>
          <w:rStyle w:val="FootnoteReference"/>
        </w:rPr>
        <w:footnoteReference w:id="122"/>
      </w:r>
      <w:r w:rsidRPr="00A70EC8" w:rsidR="007B43B9">
        <w:t xml:space="preserve"> </w:t>
      </w:r>
      <w:r w:rsidRPr="00A70EC8" w:rsidR="00FA2BA1">
        <w:t xml:space="preserve">and </w:t>
      </w:r>
      <w:r w:rsidRPr="00A70EC8" w:rsidR="007B43B9">
        <w:t>it offered specific alternatives</w:t>
      </w:r>
      <w:r w:rsidRPr="007C6360" w:rsidR="00D40763">
        <w:t xml:space="preserve"> and sought comment on other possible options</w:t>
      </w:r>
      <w:r w:rsidRPr="00AF42A7" w:rsidR="007B43B9">
        <w:t>.</w:t>
      </w:r>
      <w:r>
        <w:rPr>
          <w:rStyle w:val="FootnoteReference"/>
        </w:rPr>
        <w:footnoteReference w:id="123"/>
      </w:r>
      <w:r w:rsidRPr="00A70EC8" w:rsidR="007B43B9">
        <w:t xml:space="preserve">  </w:t>
      </w:r>
      <w:r w:rsidRPr="00A70EC8" w:rsidR="0005188C">
        <w:t>The actions we take today reflect</w:t>
      </w:r>
      <w:r w:rsidRPr="00A70EC8" w:rsidR="009E62B1">
        <w:t xml:space="preserve"> commenters’ responses to the </w:t>
      </w:r>
      <w:r w:rsidRPr="007C6360" w:rsidR="00806EC8">
        <w:rPr>
          <w:i/>
          <w:iCs/>
        </w:rPr>
        <w:t>Notice</w:t>
      </w:r>
      <w:r w:rsidRPr="00AF42A7" w:rsidR="0005188C">
        <w:t xml:space="preserve">.  For example, </w:t>
      </w:r>
      <w:r w:rsidRPr="00AF42A7" w:rsidR="009A23C6">
        <w:t xml:space="preserve">in response to our </w:t>
      </w:r>
      <w:r w:rsidRPr="00AF42A7" w:rsidR="008F70C5">
        <w:t>propos</w:t>
      </w:r>
      <w:r w:rsidRPr="00AF42A7" w:rsidR="00DC3641">
        <w:t xml:space="preserve">ed definition of </w:t>
      </w:r>
      <w:r w:rsidRPr="00AF42A7" w:rsidR="00C61813">
        <w:t>“</w:t>
      </w:r>
      <w:r w:rsidRPr="00AF42A7" w:rsidR="00DC3641">
        <w:t>site,</w:t>
      </w:r>
      <w:r w:rsidRPr="00AF42A7" w:rsidR="00C61813">
        <w:t>”</w:t>
      </w:r>
      <w:r>
        <w:rPr>
          <w:rStyle w:val="FootnoteReference"/>
        </w:rPr>
        <w:footnoteReference w:id="124"/>
      </w:r>
      <w:r w:rsidRPr="00A70EC8" w:rsidR="00AE75A5">
        <w:t xml:space="preserve"> we establish site boundaries as </w:t>
      </w:r>
      <w:r w:rsidRPr="00A70EC8" w:rsidR="008A660F">
        <w:t xml:space="preserve">those </w:t>
      </w:r>
      <w:r w:rsidRPr="007C6360" w:rsidR="00AE75A5">
        <w:t xml:space="preserve">that existed </w:t>
      </w:r>
      <w:r w:rsidRPr="00AF42A7" w:rsidR="00B4588C">
        <w:t xml:space="preserve">as of the date that the original support structure or a modification to that structure was last reviewed and approved by a </w:t>
      </w:r>
      <w:r w:rsidRPr="00AF42A7" w:rsidR="00446FC9">
        <w:t>s</w:t>
      </w:r>
      <w:r w:rsidRPr="00AF42A7" w:rsidR="00B4588C">
        <w:t>tate or local government, if the approval of the modification occurred prior to the Spectrum Act or otherwise outside of the Section 6409(a) process</w:t>
      </w:r>
      <w:r w:rsidRPr="00AF42A7" w:rsidR="008A660F">
        <w:t>.</w:t>
      </w:r>
      <w:r w:rsidRPr="00AF42A7" w:rsidR="00115114">
        <w:t xml:space="preserve">  </w:t>
      </w:r>
      <w:r w:rsidRPr="00AF42A7" w:rsidR="007B43B9">
        <w:t xml:space="preserve">Furthermore, </w:t>
      </w:r>
      <w:r w:rsidRPr="00AF42A7" w:rsidR="00E9228E">
        <w:t xml:space="preserve">various </w:t>
      </w:r>
      <w:r w:rsidRPr="00AF42A7" w:rsidR="007B43B9">
        <w:t xml:space="preserve">changes we </w:t>
      </w:r>
      <w:r w:rsidRPr="00AF42A7" w:rsidR="00E9228E">
        <w:t xml:space="preserve">are </w:t>
      </w:r>
      <w:r w:rsidRPr="00AF42A7" w:rsidR="007B43B9">
        <w:t>mak</w:t>
      </w:r>
      <w:r w:rsidRPr="00AF42A7" w:rsidR="00E9228E">
        <w:t>ing</w:t>
      </w:r>
      <w:r w:rsidRPr="00AF42A7" w:rsidR="007B43B9">
        <w:t xml:space="preserve"> to the proposed language are </w:t>
      </w:r>
      <w:r w:rsidRPr="00AF42A7" w:rsidR="00FC35D1">
        <w:t>reasonably foreseeable modifications designed</w:t>
      </w:r>
      <w:r w:rsidRPr="00AF42A7" w:rsidR="007B43B9">
        <w:t xml:space="preserve"> to prevent any confusion that the proposed language might have caused</w:t>
      </w:r>
      <w:r w:rsidRPr="00AF42A7" w:rsidR="0014190A">
        <w:t xml:space="preserve"> based on concerns that commenters raised</w:t>
      </w:r>
      <w:r w:rsidRPr="00AF42A7" w:rsidR="002415E3">
        <w:t>.</w:t>
      </w:r>
      <w:r w:rsidRPr="00AF42A7" w:rsidR="007B43B9">
        <w:t xml:space="preserve"> </w:t>
      </w:r>
      <w:r w:rsidRPr="00AF42A7" w:rsidR="002415E3">
        <w:t xml:space="preserve"> F</w:t>
      </w:r>
      <w:r w:rsidRPr="00AF42A7" w:rsidR="007B43B9">
        <w:t>or example,</w:t>
      </w:r>
      <w:r w:rsidRPr="00AF42A7" w:rsidR="00E55ACE">
        <w:t xml:space="preserve"> </w:t>
      </w:r>
      <w:r w:rsidRPr="00AF42A7" w:rsidR="007B43B9">
        <w:t xml:space="preserve">in defining </w:t>
      </w:r>
      <w:r w:rsidRPr="00AF42A7" w:rsidR="004663B5">
        <w:t>“</w:t>
      </w:r>
      <w:r w:rsidRPr="00AF42A7" w:rsidR="00D92E2F">
        <w:t>s</w:t>
      </w:r>
      <w:r w:rsidRPr="00AF42A7" w:rsidR="007B43B9">
        <w:t>ite,</w:t>
      </w:r>
      <w:r w:rsidRPr="00AF42A7" w:rsidR="004663B5">
        <w:t>”</w:t>
      </w:r>
      <w:r w:rsidRPr="00AF42A7" w:rsidR="00123449">
        <w:t xml:space="preserve"> </w:t>
      </w:r>
      <w:r w:rsidRPr="00AF42A7" w:rsidR="007B43B9">
        <w:t xml:space="preserve">we substitute the term “eligible support structure,” a defined term, for the proposed use of the word “facility,” which is not defined in </w:t>
      </w:r>
      <w:r w:rsidRPr="00AF42A7" w:rsidR="00A03374">
        <w:t>s</w:t>
      </w:r>
      <w:r w:rsidRPr="00AF42A7" w:rsidR="007B43B9">
        <w:t>ection 1.6100 of our rules.</w:t>
      </w:r>
      <w:r w:rsidRPr="00AF42A7" w:rsidR="00ED2109">
        <w:t xml:space="preserve"> </w:t>
      </w:r>
      <w:r w:rsidRPr="00AF42A7" w:rsidR="007B43B9">
        <w:t xml:space="preserve"> </w:t>
      </w:r>
      <w:r w:rsidRPr="00AF42A7" w:rsidR="005D42A1">
        <w:t>Further, t</w:t>
      </w:r>
      <w:r w:rsidRPr="00AF42A7" w:rsidR="007B43B9">
        <w:t xml:space="preserve">he </w:t>
      </w:r>
      <w:r w:rsidRPr="00AF42A7" w:rsidR="007B43B9">
        <w:rPr>
          <w:i/>
          <w:iCs/>
        </w:rPr>
        <w:t xml:space="preserve">Notice </w:t>
      </w:r>
      <w:r w:rsidRPr="00AF42A7" w:rsidR="007B43B9">
        <w:t>also proposed specific alternatives.</w:t>
      </w:r>
      <w:r>
        <w:rPr>
          <w:rStyle w:val="FootnoteReference"/>
        </w:rPr>
        <w:footnoteReference w:id="125"/>
      </w:r>
      <w:r w:rsidRPr="00A70EC8" w:rsidR="007B43B9">
        <w:t xml:space="preserve">  All </w:t>
      </w:r>
      <w:r w:rsidRPr="00A70EC8" w:rsidR="00521B8D">
        <w:t>localities that allege</w:t>
      </w:r>
      <w:r w:rsidRPr="00A70EC8" w:rsidR="00022178">
        <w:t xml:space="preserve"> ambiguities</w:t>
      </w:r>
      <w:r w:rsidRPr="007C6360" w:rsidR="00521B8D">
        <w:t xml:space="preserve"> </w:t>
      </w:r>
      <w:r w:rsidRPr="00AF42A7" w:rsidR="007B43B9">
        <w:t>raise</w:t>
      </w:r>
      <w:r w:rsidRPr="00AF42A7" w:rsidR="00D4258E">
        <w:t>d</w:t>
      </w:r>
      <w:r w:rsidRPr="00AF42A7" w:rsidR="007B43B9">
        <w:t xml:space="preserve"> meaningful comments and opined on the specific rule changes that we adopt today.</w:t>
      </w:r>
      <w:r>
        <w:rPr>
          <w:rStyle w:val="FootnoteReference"/>
        </w:rPr>
        <w:footnoteReference w:id="126"/>
      </w:r>
    </w:p>
    <w:p w:rsidR="00F4758C" w:rsidRPr="00A70EC8" w:rsidP="007B43B9" w14:paraId="0E695110" w14:textId="1C74AC83">
      <w:pPr>
        <w:pStyle w:val="ParaNum"/>
        <w:tabs>
          <w:tab w:val="left" w:pos="1440"/>
        </w:tabs>
      </w:pPr>
      <w:r w:rsidRPr="00A70EC8">
        <w:t>Third, Local Governments claim that any collocation policy modification should be achieved through 47 U.S.C. § 332.</w:t>
      </w:r>
      <w:r>
        <w:rPr>
          <w:rStyle w:val="FootnoteReference"/>
        </w:rPr>
        <w:footnoteReference w:id="127"/>
      </w:r>
      <w:r w:rsidRPr="00A70EC8">
        <w:t xml:space="preserve">  We disagree.  Congress has directed the Commission to “encourage the rapid deployment of telecommunications services,”</w:t>
      </w:r>
      <w:r>
        <w:rPr>
          <w:rStyle w:val="FootnoteReference"/>
        </w:rPr>
        <w:footnoteReference w:id="128"/>
      </w:r>
      <w:r w:rsidRPr="00A70EC8">
        <w:t xml:space="preserve"> including with section 6409(a)</w:t>
      </w:r>
      <w:r w:rsidRPr="00A70EC8" w:rsidR="00A06883">
        <w:t>, in which Congress specifically addressed modifications of an existing tower or base station “[n]</w:t>
      </w:r>
      <w:r w:rsidRPr="00A70EC8" w:rsidR="00A06883">
        <w:t>otwithstanding</w:t>
      </w:r>
      <w:r w:rsidRPr="00A70EC8" w:rsidR="00A06883">
        <w:t xml:space="preserve">” </w:t>
      </w:r>
      <w:r w:rsidRPr="00A70EC8" w:rsidR="00A06883">
        <w:t>Section 332</w:t>
      </w:r>
      <w:r w:rsidRPr="007C6360">
        <w:t>.</w:t>
      </w:r>
      <w:r>
        <w:rPr>
          <w:rStyle w:val="FootnoteReference"/>
        </w:rPr>
        <w:footnoteReference w:id="129"/>
      </w:r>
      <w:r w:rsidRPr="00A70EC8">
        <w:t xml:space="preserve">  </w:t>
      </w:r>
      <w:r w:rsidRPr="00A70EC8" w:rsidR="002A3A6C">
        <w:t>And t</w:t>
      </w:r>
      <w:r w:rsidRPr="00A70EC8" w:rsidR="00657644">
        <w:t xml:space="preserve">he Commission has </w:t>
      </w:r>
      <w:r w:rsidRPr="00A70EC8" w:rsidR="009F30DD">
        <w:t>relie</w:t>
      </w:r>
      <w:r w:rsidRPr="007C6360" w:rsidR="009F30DD">
        <w:t>d on</w:t>
      </w:r>
      <w:r w:rsidRPr="00AF42A7" w:rsidR="00657644">
        <w:t xml:space="preserve"> section 6409(a) </w:t>
      </w:r>
      <w:r w:rsidRPr="00AF42A7" w:rsidR="003248BB">
        <w:t xml:space="preserve">to </w:t>
      </w:r>
      <w:r w:rsidRPr="00AF42A7" w:rsidR="003A12D7">
        <w:t xml:space="preserve">require </w:t>
      </w:r>
      <w:r w:rsidRPr="00AF42A7" w:rsidR="00810044">
        <w:t>a streamlined review process for modifications of existing tower</w:t>
      </w:r>
      <w:r w:rsidRPr="00AF42A7" w:rsidR="007C2A06">
        <w:t>s</w:t>
      </w:r>
      <w:r w:rsidRPr="00AF42A7" w:rsidR="00810044">
        <w:t xml:space="preserve"> or base station</w:t>
      </w:r>
      <w:r w:rsidRPr="00AF42A7" w:rsidR="007C2A06">
        <w:t>s</w:t>
      </w:r>
      <w:r w:rsidRPr="00AF42A7" w:rsidR="00810044">
        <w:t>.</w:t>
      </w:r>
      <w:r>
        <w:rPr>
          <w:rStyle w:val="FootnoteReference"/>
        </w:rPr>
        <w:footnoteReference w:id="130"/>
      </w:r>
      <w:r w:rsidRPr="00A70EC8" w:rsidR="002C3A5C">
        <w:t xml:space="preserve">  Similar to our actions in the </w:t>
      </w:r>
      <w:r w:rsidRPr="00A70EC8" w:rsidR="002C3A5C">
        <w:rPr>
          <w:i/>
          <w:iCs/>
        </w:rPr>
        <w:t>2014 Infrastructure Order</w:t>
      </w:r>
      <w:r w:rsidRPr="00A70EC8" w:rsidR="002C3A5C">
        <w:t xml:space="preserve">, </w:t>
      </w:r>
      <w:r w:rsidRPr="007C6360" w:rsidR="0023666A">
        <w:t>the rules</w:t>
      </w:r>
      <w:r w:rsidRPr="00AF42A7" w:rsidR="0023666A">
        <w:t xml:space="preserve"> we promulgate today “</w:t>
      </w:r>
      <w:r w:rsidRPr="00AF42A7" w:rsidR="00C61635">
        <w:t>will serve the public interest by providing guidance to all stakeholders on their rights and responsibilities under the provision, reducing delays in the review process for wireless infrastructure modifications, and facilitating the rapid deployment of wireless infrastructure, thereby promoting advanced wireless broadband services.”</w:t>
      </w:r>
      <w:r>
        <w:rPr>
          <w:rStyle w:val="FootnoteReference"/>
        </w:rPr>
        <w:footnoteReference w:id="131"/>
      </w:r>
    </w:p>
    <w:p w:rsidR="00A22F41" w:rsidRPr="007C6360" w:rsidP="00537C65" w14:paraId="08BAD469" w14:textId="54515170">
      <w:pPr>
        <w:pStyle w:val="ParaNum"/>
        <w:widowControl/>
        <w:tabs>
          <w:tab w:val="left" w:pos="1440"/>
        </w:tabs>
      </w:pPr>
      <w:r w:rsidRPr="00A70EC8">
        <w:t>Finally, Western Communities Coalition argues that the comment cycle is unusually short.</w:t>
      </w:r>
      <w:r>
        <w:rPr>
          <w:rStyle w:val="FootnoteReference"/>
        </w:rPr>
        <w:footnoteReference w:id="132"/>
      </w:r>
      <w:r w:rsidRPr="00A70EC8">
        <w:t xml:space="preserve">  </w:t>
      </w:r>
      <w:r w:rsidRPr="00A70EC8" w:rsidR="00E32CEE">
        <w:t xml:space="preserve">The Administrative Procedure Act and the Commission’s rules require only that commenters be afforded reasonable notice of the </w:t>
      </w:r>
      <w:r w:rsidRPr="007C6360" w:rsidR="00E32CEE">
        <w:t>proposed rulemaking</w:t>
      </w:r>
      <w:r w:rsidRPr="00AF42A7" w:rsidR="00BE3930">
        <w:t>.</w:t>
      </w:r>
      <w:r>
        <w:rPr>
          <w:rStyle w:val="FootnoteReference"/>
        </w:rPr>
        <w:footnoteReference w:id="133"/>
      </w:r>
      <w:r w:rsidRPr="00A70EC8" w:rsidR="00BE3930">
        <w:t xml:space="preserve"> </w:t>
      </w:r>
      <w:r w:rsidRPr="00A70EC8" w:rsidR="00E32CEE">
        <w:t xml:space="preserve"> </w:t>
      </w:r>
      <w:r w:rsidRPr="00A70EC8" w:rsidR="00F93BA4">
        <w:t xml:space="preserve">Western Communities </w:t>
      </w:r>
      <w:r w:rsidRPr="00A70EC8" w:rsidR="00E32CEE">
        <w:t>Coalition provides no basis for its view that more than the 30-day time period following Federal Register publication</w:t>
      </w:r>
      <w:r w:rsidRPr="00AF42A7" w:rsidR="00EF63A7">
        <w:t xml:space="preserve"> (20 days for comments and 10 days for reply comments)</w:t>
      </w:r>
      <w:r w:rsidRPr="00AF42A7" w:rsidR="007C7CB5">
        <w:t>,</w:t>
      </w:r>
      <w:r w:rsidRPr="00AF42A7" w:rsidR="00E32CEE">
        <w:t xml:space="preserve"> was inadequate here</w:t>
      </w:r>
      <w:r w:rsidRPr="00AF42A7" w:rsidR="000C796A">
        <w:t xml:space="preserve">, given that the </w:t>
      </w:r>
      <w:r w:rsidRPr="00AF42A7" w:rsidR="000C796A">
        <w:rPr>
          <w:i/>
          <w:iCs/>
        </w:rPr>
        <w:t xml:space="preserve">Notice </w:t>
      </w:r>
      <w:r w:rsidRPr="00AF42A7" w:rsidR="000C796A">
        <w:t>raised a narrow set of issues that had been subject to prior public input in response to WIA’s petition for declaratory ruling and petition for rulemaking</w:t>
      </w:r>
      <w:r w:rsidRPr="00AF42A7" w:rsidR="00E32CEE">
        <w:t xml:space="preserve">. </w:t>
      </w:r>
      <w:r w:rsidRPr="00AF42A7" w:rsidR="00861371">
        <w:t xml:space="preserve"> </w:t>
      </w:r>
      <w:r w:rsidRPr="00AF42A7" w:rsidR="00746865">
        <w:t>And n</w:t>
      </w:r>
      <w:r w:rsidRPr="00AF42A7" w:rsidR="00861371">
        <w:t>o</w:t>
      </w:r>
      <w:r w:rsidRPr="00AF42A7" w:rsidR="00B352DD">
        <w:t xml:space="preserve"> commenter </w:t>
      </w:r>
      <w:r w:rsidRPr="00AF42A7" w:rsidR="004C41D0">
        <w:t>argues</w:t>
      </w:r>
      <w:r w:rsidRPr="00AF42A7" w:rsidR="00B352DD">
        <w:t xml:space="preserve"> that</w:t>
      </w:r>
      <w:r w:rsidRPr="00AF42A7" w:rsidR="00963D07">
        <w:t xml:space="preserve"> it was prejudiced by the comment cycle’s length.</w:t>
      </w:r>
      <w:r w:rsidRPr="00AF42A7" w:rsidR="00E32CEE">
        <w:t xml:space="preserve"> </w:t>
      </w:r>
      <w:r w:rsidRPr="00AF42A7" w:rsidR="00302FD8">
        <w:t xml:space="preserve"> </w:t>
      </w:r>
      <w:r w:rsidRPr="00AF42A7" w:rsidR="00E32CEE">
        <w:t xml:space="preserve">Indeed, </w:t>
      </w:r>
      <w:r w:rsidRPr="00AF42A7">
        <w:t>several commenters, including the Western Communities Coalition, have been considering these issues on the record since at least October 2019.</w:t>
      </w:r>
      <w:r>
        <w:rPr>
          <w:rStyle w:val="FootnoteReference"/>
        </w:rPr>
        <w:footnoteReference w:id="134"/>
      </w:r>
      <w:r w:rsidRPr="00A70EC8">
        <w:t xml:space="preserve">  Claims that the </w:t>
      </w:r>
      <w:r w:rsidRPr="00A70EC8">
        <w:rPr>
          <w:i/>
          <w:iCs/>
        </w:rPr>
        <w:t xml:space="preserve">Notice </w:t>
      </w:r>
      <w:r w:rsidRPr="00A70EC8">
        <w:t xml:space="preserve">is vague or that commenters have had insufficient time to comment are therefore contradicted by the record. </w:t>
      </w:r>
    </w:p>
    <w:p w:rsidR="007B43B9" w:rsidRPr="00AF42A7" w:rsidP="007B43B9" w14:paraId="28792CED" w14:textId="34894249">
      <w:pPr>
        <w:pStyle w:val="ParaNum"/>
        <w:tabs>
          <w:tab w:val="left" w:pos="1440"/>
        </w:tabs>
      </w:pPr>
      <w:r w:rsidRPr="00AF42A7">
        <w:t xml:space="preserve">Accordingly, we revise the compound expansion </w:t>
      </w:r>
      <w:r w:rsidRPr="00AF42A7" w:rsidR="00F20A43">
        <w:t>provision</w:t>
      </w:r>
      <w:r w:rsidRPr="00AF42A7">
        <w:t xml:space="preserve"> in section 1.6100(b)(7)(iv) and the definition of “site” in section 1.6100(b)(6).  We find that </w:t>
      </w:r>
      <w:r w:rsidRPr="00AF42A7" w:rsidR="005C7A14">
        <w:t xml:space="preserve">the </w:t>
      </w:r>
      <w:r w:rsidRPr="00AF42A7" w:rsidR="00A22F41">
        <w:t>revisions we adopt today</w:t>
      </w:r>
      <w:r w:rsidRPr="00AF42A7">
        <w:t xml:space="preserve"> will</w:t>
      </w:r>
      <w:r w:rsidRPr="00AF42A7" w:rsidR="00A22F41">
        <w:t xml:space="preserve"> </w:t>
      </w:r>
      <w:r w:rsidRPr="00AF42A7" w:rsidR="00A22F41">
        <w:rPr>
          <w:rFonts w:cs="Calibri"/>
        </w:rPr>
        <w:t xml:space="preserve">streamline the use of existing infrastructure </w:t>
      </w:r>
      <w:r w:rsidRPr="00AF42A7">
        <w:rPr>
          <w:rFonts w:cs="Calibri"/>
        </w:rPr>
        <w:t>for the deployment of 5G and other advanced wireless networks</w:t>
      </w:r>
      <w:r w:rsidRPr="00AF42A7" w:rsidR="00A22F41">
        <w:rPr>
          <w:rFonts w:cs="Calibri"/>
        </w:rPr>
        <w:t xml:space="preserve"> while preserving localities’ ability to review and approve an eligible support structure.</w:t>
      </w:r>
    </w:p>
    <w:p w:rsidR="007B43B9" w:rsidRPr="00AF42A7" w:rsidP="007B43B9" w14:paraId="4BBD4615" w14:textId="77777777">
      <w:pPr>
        <w:pStyle w:val="Heading1"/>
      </w:pPr>
      <w:bookmarkStart w:id="17" w:name="_Toc51678356"/>
      <w:bookmarkStart w:id="18" w:name="_Toc55226810"/>
      <w:r w:rsidRPr="00AF42A7">
        <w:t>PROCEDURAL MATTERS</w:t>
      </w:r>
      <w:bookmarkEnd w:id="17"/>
      <w:bookmarkEnd w:id="18"/>
    </w:p>
    <w:p w:rsidR="007B43B9" w:rsidRPr="00AF42A7" w:rsidP="007B43B9" w14:paraId="3C12BD49" w14:textId="28560786">
      <w:pPr>
        <w:pStyle w:val="ParaNum"/>
        <w:tabs>
          <w:tab w:val="left" w:pos="1440"/>
        </w:tabs>
      </w:pPr>
      <w:bookmarkStart w:id="19" w:name="_Toc51678357"/>
      <w:r w:rsidRPr="00AF42A7">
        <w:rPr>
          <w:i/>
        </w:rPr>
        <w:t>Final Regulatory Flexibility Analysis</w:t>
      </w:r>
      <w:bookmarkEnd w:id="19"/>
      <w:r w:rsidRPr="00AF42A7">
        <w:rPr>
          <w:i/>
          <w:iCs/>
        </w:rPr>
        <w:t xml:space="preserve">.  </w:t>
      </w:r>
      <w:r w:rsidRPr="00AF42A7" w:rsidR="006853C1">
        <w:t>T</w:t>
      </w:r>
      <w:r w:rsidRPr="00AF42A7" w:rsidR="00E7470F">
        <w:t>he Regulatory Flexibility Act of 1980, as amended (RFA),</w:t>
      </w:r>
      <w:r>
        <w:rPr>
          <w:vertAlign w:val="superscript"/>
        </w:rPr>
        <w:footnoteReference w:id="135"/>
      </w:r>
      <w:r w:rsidRPr="00A70EC8" w:rsidR="00E7470F">
        <w:t xml:space="preserve"> </w:t>
      </w:r>
      <w:bookmarkStart w:id="20" w:name="_Hlk42775669"/>
      <w:r w:rsidRPr="00A70EC8" w:rsidR="00E7470F">
        <w:t>requires that an agency prepare a regulatory flexibility analysis for notice and comment rulemakings, unless the agency certifies that “the rule will not, if promulgated, have a significant e</w:t>
      </w:r>
      <w:r w:rsidRPr="00AF42A7" w:rsidR="00E7470F">
        <w:t>conomic impact on a substantial number of small entities.”</w:t>
      </w:r>
      <w:r>
        <w:rPr>
          <w:vertAlign w:val="superscript"/>
        </w:rPr>
        <w:footnoteReference w:id="136"/>
      </w:r>
      <w:r w:rsidRPr="00A70EC8" w:rsidR="00BD120B">
        <w:t xml:space="preserve"> </w:t>
      </w:r>
      <w:r w:rsidRPr="00A70EC8" w:rsidR="00E7470F">
        <w:t xml:space="preserve"> </w:t>
      </w:r>
      <w:bookmarkEnd w:id="20"/>
      <w:r w:rsidRPr="00A70EC8" w:rsidR="00E7470F">
        <w:t xml:space="preserve">Accordingly, the Commission has prepared a Final Regulatory Flexibility Analysis (FRFA) concerning the possible impact of the rule changes contained in this </w:t>
      </w:r>
      <w:r w:rsidRPr="00A70EC8" w:rsidR="00E7470F">
        <w:rPr>
          <w:i/>
          <w:iCs/>
        </w:rPr>
        <w:t>Re</w:t>
      </w:r>
      <w:r w:rsidRPr="007C6360" w:rsidR="00E7470F">
        <w:rPr>
          <w:i/>
          <w:iCs/>
        </w:rPr>
        <w:t>port and Order</w:t>
      </w:r>
      <w:r w:rsidRPr="00AF42A7" w:rsidR="00E7470F">
        <w:t xml:space="preserve"> on small entities.  The FRFA is set forth in Appendix C</w:t>
      </w:r>
      <w:r w:rsidRPr="00AF42A7">
        <w:t xml:space="preserve">. </w:t>
      </w:r>
    </w:p>
    <w:p w:rsidR="007B43B9" w:rsidRPr="00AF42A7" w:rsidP="007B43B9" w14:paraId="7E9B5AD9" w14:textId="7E6FB558">
      <w:pPr>
        <w:pStyle w:val="ParaNum"/>
        <w:tabs>
          <w:tab w:val="left" w:pos="1440"/>
        </w:tabs>
      </w:pPr>
      <w:bookmarkStart w:id="21" w:name="_Toc51678358"/>
      <w:r w:rsidRPr="00AF42A7">
        <w:rPr>
          <w:i/>
        </w:rPr>
        <w:t>Paperwork Reduction Act</w:t>
      </w:r>
      <w:bookmarkEnd w:id="21"/>
      <w:r w:rsidRPr="00AF42A7">
        <w:rPr>
          <w:i/>
          <w:iCs/>
        </w:rPr>
        <w:t xml:space="preserve">.  </w:t>
      </w:r>
      <w:r w:rsidRPr="00AF42A7">
        <w:t xml:space="preserve">This </w:t>
      </w:r>
      <w:r w:rsidRPr="00AF42A7">
        <w:rPr>
          <w:i/>
          <w:iCs/>
        </w:rPr>
        <w:t xml:space="preserve">Report and Order </w:t>
      </w:r>
      <w:r w:rsidRPr="00AF42A7">
        <w:t xml:space="preserve">does not contain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AF42A7">
        <w:rPr>
          <w:i/>
          <w:iCs/>
        </w:rPr>
        <w:t xml:space="preserve">see </w:t>
      </w:r>
      <w:r w:rsidRPr="00AF42A7">
        <w:t>44 U.S.C. § 3506(c)(4).</w:t>
      </w:r>
      <w:r w:rsidRPr="00AF42A7" w:rsidR="003D3B61">
        <w:rPr>
          <w:rStyle w:val="FootnoteReference"/>
        </w:rPr>
        <w:t xml:space="preserve"> </w:t>
      </w:r>
    </w:p>
    <w:p w:rsidR="007B43B9" w:rsidRPr="00AF42A7" w:rsidP="00D0302A" w14:paraId="7B98E7D3" w14:textId="3AFFBA02">
      <w:pPr>
        <w:pStyle w:val="ParaNum"/>
        <w:widowControl/>
        <w:tabs>
          <w:tab w:val="left" w:pos="1440"/>
        </w:tabs>
      </w:pPr>
      <w:bookmarkStart w:id="22" w:name="_Toc51678359"/>
      <w:r w:rsidRPr="00AF42A7">
        <w:rPr>
          <w:i/>
        </w:rPr>
        <w:t>Congressional Review Act</w:t>
      </w:r>
      <w:bookmarkEnd w:id="22"/>
      <w:r w:rsidRPr="00AF42A7">
        <w:rPr>
          <w:i/>
          <w:iCs/>
        </w:rPr>
        <w:t xml:space="preserve">.  </w:t>
      </w:r>
      <w:r w:rsidRPr="00AF42A7" w:rsidR="006F2150">
        <w:t>The Commission has determined,</w:t>
      </w:r>
      <w:r w:rsidRPr="002D3456" w:rsidR="006F2150">
        <w:t xml:space="preserve"> and</w:t>
      </w:r>
      <w:r w:rsidRPr="00A70EC8" w:rsidR="006F2150">
        <w:t xml:space="preserve"> the Administrator of the Office of Information and Regulatory Affairs, Office of Management and Budget, </w:t>
      </w:r>
      <w:r w:rsidRPr="00AF42A7" w:rsidR="006F2150">
        <w:t xml:space="preserve">concurs that this rule is </w:t>
      </w:r>
      <w:r w:rsidRPr="00AF42A7" w:rsidR="00EB42F6">
        <w:t>non-major</w:t>
      </w:r>
      <w:r w:rsidRPr="00AF42A7" w:rsidR="006F2150">
        <w:t xml:space="preserve"> under the Congressional Review Act, 5 U.S.C. § 804(2).</w:t>
      </w:r>
      <w:r w:rsidRPr="00AF42A7">
        <w:t xml:space="preserve">  </w:t>
      </w:r>
      <w:r w:rsidRPr="00AF42A7">
        <w:t xml:space="preserve">The Commission will send a copy of this </w:t>
      </w:r>
      <w:r w:rsidRPr="00AF42A7" w:rsidR="00302141">
        <w:rPr>
          <w:i/>
          <w:iCs/>
        </w:rPr>
        <w:t>Report and Order</w:t>
      </w:r>
      <w:r w:rsidRPr="00AF42A7">
        <w:rPr>
          <w:i/>
          <w:iCs/>
        </w:rPr>
        <w:t xml:space="preserve"> </w:t>
      </w:r>
      <w:r w:rsidRPr="00AF42A7">
        <w:t>to Congress and the Government Accountability Office pursuant to 5 U.S.C. § 801(a)(1)(A).</w:t>
      </w:r>
    </w:p>
    <w:p w:rsidR="007B43B9" w:rsidRPr="00AF42A7" w:rsidP="007B43B9" w14:paraId="34027D58" w14:textId="77777777">
      <w:pPr>
        <w:pStyle w:val="Heading1"/>
      </w:pPr>
      <w:bookmarkStart w:id="23" w:name="_Toc51678360"/>
      <w:bookmarkStart w:id="24" w:name="_Toc55226811"/>
      <w:r w:rsidRPr="00AF42A7">
        <w:t>ORDERING CLAUSES</w:t>
      </w:r>
      <w:bookmarkEnd w:id="23"/>
      <w:bookmarkEnd w:id="24"/>
    </w:p>
    <w:p w:rsidR="007B43B9" w:rsidRPr="00AF42A7" w:rsidP="007B43B9" w14:paraId="5E8F5DD4" w14:textId="77777777">
      <w:pPr>
        <w:pStyle w:val="ParaNum"/>
        <w:tabs>
          <w:tab w:val="left" w:pos="1440"/>
        </w:tabs>
      </w:pPr>
      <w:r w:rsidRPr="00AF42A7">
        <w:t>Accordingly, IT IS ORDERED, pursuant to sections 1, 4(</w:t>
      </w:r>
      <w:r w:rsidRPr="00AF42A7">
        <w:t>i</w:t>
      </w:r>
      <w:r w:rsidRPr="00AF42A7">
        <w:t>)-(j), 7, 201, 253, 301, 303, 309, 319, and 332 of the Communications Act of 1934, as amended, and section 6409 of the Middle Class Tax Relief and Job Creation Act of 2012, as amended, 47 U.S.C. §§ 151, 154(</w:t>
      </w:r>
      <w:r w:rsidRPr="00AF42A7">
        <w:t>i</w:t>
      </w:r>
      <w:r w:rsidRPr="00AF42A7">
        <w:t xml:space="preserve">)-(j), 157, 201, 253, 301, 303, 309, 319, 332, 1455, that this </w:t>
      </w:r>
      <w:r w:rsidRPr="00AF42A7">
        <w:rPr>
          <w:i/>
          <w:iCs/>
        </w:rPr>
        <w:t xml:space="preserve">Report and Order </w:t>
      </w:r>
      <w:r w:rsidRPr="00AF42A7">
        <w:t>IS hereby ADOPTED.</w:t>
      </w:r>
    </w:p>
    <w:p w:rsidR="007B43B9" w:rsidRPr="00AF42A7" w:rsidP="007B43B9" w14:paraId="3D0F6515" w14:textId="05F7B188">
      <w:pPr>
        <w:pStyle w:val="ParaNum"/>
        <w:tabs>
          <w:tab w:val="left" w:pos="1440"/>
        </w:tabs>
      </w:pPr>
      <w:r w:rsidRPr="00AF42A7">
        <w:t xml:space="preserve">IT IS FURTHER ORDERED that this </w:t>
      </w:r>
      <w:r w:rsidRPr="00AF42A7">
        <w:rPr>
          <w:i/>
          <w:iCs/>
        </w:rPr>
        <w:t xml:space="preserve">Report and Order </w:t>
      </w:r>
      <w:r w:rsidRPr="00AF42A7">
        <w:t>SHALL BE EFFECTIVE 30 days after publication in the Federal Register.</w:t>
      </w:r>
    </w:p>
    <w:p w:rsidR="007B43B9" w:rsidRPr="00AF42A7" w:rsidP="007B43B9" w14:paraId="79D178DE" w14:textId="03174D68">
      <w:pPr>
        <w:pStyle w:val="ParaNum"/>
        <w:tabs>
          <w:tab w:val="left" w:pos="1440"/>
        </w:tabs>
      </w:pPr>
      <w:r w:rsidRPr="00AF42A7">
        <w:t xml:space="preserve">IT IS FURTHER ORDERED that the Commission’s Consumer &amp; Governmental Affairs Bureau, Reference Information Center, SHALL SEND a copy of this </w:t>
      </w:r>
      <w:r w:rsidRPr="00AF42A7">
        <w:rPr>
          <w:i/>
          <w:iCs/>
        </w:rPr>
        <w:t>Report and Order</w:t>
      </w:r>
      <w:r w:rsidRPr="00AF42A7">
        <w:t xml:space="preserve">, including the Final Regulatory Flexibility Analysis, to the Chief Counsel for Advocacy of the Small Business Administration.  </w:t>
      </w:r>
    </w:p>
    <w:p w:rsidR="007B43B9" w:rsidRPr="00AF42A7" w:rsidP="007B43B9" w14:paraId="7416C35F" w14:textId="362487A8">
      <w:pPr>
        <w:pStyle w:val="ParaNum"/>
        <w:tabs>
          <w:tab w:val="left" w:pos="1440"/>
        </w:tabs>
      </w:pPr>
      <w:r w:rsidRPr="00AF42A7">
        <w:t xml:space="preserve">IT IS FURTHER ORDERED that this </w:t>
      </w:r>
      <w:r w:rsidRPr="00AF42A7">
        <w:rPr>
          <w:i/>
          <w:iCs/>
        </w:rPr>
        <w:t xml:space="preserve">Report and Order </w:t>
      </w:r>
      <w:r w:rsidRPr="00AF42A7">
        <w:t xml:space="preserve">SHALL BE sent to Congress and the Government Accountability Office pursuant to the Congressional Review Act, </w:t>
      </w:r>
      <w:r w:rsidRPr="00AF42A7">
        <w:rPr>
          <w:i/>
          <w:iCs/>
        </w:rPr>
        <w:t xml:space="preserve">see </w:t>
      </w:r>
      <w:r w:rsidRPr="00AF42A7">
        <w:t>5 U.S.C. § 801(a)(1)(A).</w:t>
      </w:r>
    </w:p>
    <w:p w:rsidR="00537C65" w:rsidRPr="00AF42A7" w:rsidP="00537C65" w14:paraId="32750642" w14:textId="77777777">
      <w:pPr>
        <w:pStyle w:val="ParaNum"/>
        <w:numPr>
          <w:ilvl w:val="0"/>
          <w:numId w:val="0"/>
        </w:numPr>
        <w:tabs>
          <w:tab w:val="left" w:pos="1440"/>
        </w:tabs>
        <w:ind w:left="720"/>
      </w:pPr>
    </w:p>
    <w:p w:rsidR="00537C65" w:rsidRPr="00AF42A7" w:rsidP="00537C65" w14:paraId="6199235F" w14:textId="77777777">
      <w:pPr>
        <w:keepNext/>
      </w:pPr>
      <w:r w:rsidRPr="00AF42A7">
        <w:tab/>
      </w:r>
      <w:r w:rsidRPr="00AF42A7">
        <w:tab/>
      </w:r>
      <w:r w:rsidRPr="00AF42A7">
        <w:tab/>
      </w:r>
      <w:r w:rsidRPr="00AF42A7">
        <w:tab/>
      </w:r>
      <w:r w:rsidRPr="00AF42A7">
        <w:tab/>
      </w:r>
      <w:r w:rsidRPr="00AF42A7">
        <w:tab/>
        <w:t>FEDERAL COMMUNICATIONS COMMISSION</w:t>
      </w:r>
    </w:p>
    <w:p w:rsidR="00537C65" w:rsidRPr="00AF42A7" w:rsidP="00883F92" w14:paraId="4AEECDE0" w14:textId="77777777"/>
    <w:p w:rsidR="00537C65" w:rsidRPr="00AF42A7" w:rsidP="00883F92" w14:paraId="465CE676" w14:textId="77777777"/>
    <w:p w:rsidR="00537C65" w:rsidRPr="00AF42A7" w:rsidP="00883F92" w14:paraId="75021FC5" w14:textId="77777777"/>
    <w:p w:rsidR="00537C65" w:rsidRPr="00AF42A7" w:rsidP="00883F92" w14:paraId="6D89BFC6" w14:textId="77777777"/>
    <w:p w:rsidR="00537C65" w:rsidRPr="00AF42A7" w:rsidP="00883F92" w14:paraId="588F0ED5" w14:textId="77777777">
      <w:r w:rsidRPr="00AF42A7">
        <w:tab/>
      </w:r>
      <w:r w:rsidRPr="00AF42A7">
        <w:tab/>
      </w:r>
      <w:r w:rsidRPr="00AF42A7">
        <w:tab/>
      </w:r>
      <w:r w:rsidRPr="00AF42A7">
        <w:tab/>
      </w:r>
      <w:r w:rsidRPr="00AF42A7">
        <w:tab/>
      </w:r>
      <w:r w:rsidRPr="00AF42A7">
        <w:tab/>
        <w:t>Marlene H. Dortch</w:t>
      </w:r>
    </w:p>
    <w:p w:rsidR="00D73A28" w:rsidP="00883F92" w14:paraId="184C5F1F" w14:textId="77777777">
      <w:r w:rsidRPr="00AF42A7">
        <w:tab/>
      </w:r>
      <w:r w:rsidRPr="00AF42A7">
        <w:tab/>
      </w:r>
      <w:r w:rsidRPr="00AF42A7">
        <w:tab/>
      </w:r>
      <w:r w:rsidRPr="00AF42A7">
        <w:tab/>
      </w:r>
      <w:r w:rsidRPr="00AF42A7">
        <w:tab/>
      </w:r>
      <w:r w:rsidRPr="00AF42A7">
        <w:tab/>
        <w:t>Secretary</w:t>
      </w:r>
    </w:p>
    <w:p w:rsidR="00D73A28" w:rsidP="00883F92" w14:paraId="5D62D384" w14:textId="77777777"/>
    <w:p w:rsidR="00D73A28" w:rsidP="00883F92" w14:paraId="42DA752D" w14:textId="44E9EE2B">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B43B9" w:rsidRPr="00AF42A7" w:rsidP="00CF282C" w14:paraId="360F0376" w14:textId="6CCE1F68">
      <w:pPr>
        <w:jc w:val="center"/>
        <w:rPr>
          <w:b/>
          <w:bCs/>
        </w:rPr>
      </w:pPr>
      <w:bookmarkStart w:id="25" w:name="_Toc51678361"/>
      <w:r w:rsidRPr="00AF42A7">
        <w:rPr>
          <w:b/>
          <w:bCs/>
        </w:rPr>
        <w:t>APPENDIX A</w:t>
      </w:r>
      <w:bookmarkEnd w:id="25"/>
      <w:r w:rsidRPr="00AF42A7" w:rsidR="009C1A0E">
        <w:rPr>
          <w:b/>
          <w:bCs/>
        </w:rPr>
        <w:br/>
        <w:t xml:space="preserve">List of </w:t>
      </w:r>
      <w:r w:rsidRPr="00AF42A7" w:rsidR="00410D05">
        <w:rPr>
          <w:b/>
          <w:bCs/>
        </w:rPr>
        <w:t>C</w:t>
      </w:r>
      <w:r w:rsidRPr="00AF42A7" w:rsidR="009C1A0E">
        <w:rPr>
          <w:b/>
          <w:bCs/>
        </w:rPr>
        <w:t>omments</w:t>
      </w:r>
      <w:r w:rsidRPr="00AF42A7" w:rsidR="00CF282C">
        <w:rPr>
          <w:b/>
          <w:bCs/>
        </w:rPr>
        <w:t xml:space="preserve"> and Replies</w:t>
      </w:r>
      <w:r w:rsidRPr="00AF42A7" w:rsidR="000B278C">
        <w:rPr>
          <w:b/>
          <w:bCs/>
        </w:rPr>
        <w:br/>
      </w:r>
    </w:p>
    <w:p w:rsidR="007B43B9" w:rsidRPr="00AF42A7" w:rsidP="002E24D3" w14:paraId="79048DF2" w14:textId="77777777">
      <w:pPr>
        <w:rPr>
          <w:szCs w:val="22"/>
          <w:u w:val="single"/>
        </w:rPr>
      </w:pPr>
      <w:r w:rsidRPr="00AF42A7">
        <w:rPr>
          <w:szCs w:val="22"/>
          <w:u w:val="single"/>
        </w:rPr>
        <w:t>Comments</w:t>
      </w:r>
    </w:p>
    <w:p w:rsidR="007B43B9" w:rsidRPr="00AF42A7" w:rsidP="007B43B9" w14:paraId="3EC67314" w14:textId="77777777">
      <w:pPr>
        <w:pStyle w:val="ParaNum"/>
        <w:numPr>
          <w:ilvl w:val="0"/>
          <w:numId w:val="0"/>
        </w:numPr>
        <w:spacing w:after="0"/>
        <w:rPr>
          <w:szCs w:val="22"/>
        </w:rPr>
      </w:pPr>
      <w:r w:rsidRPr="00AF42A7">
        <w:rPr>
          <w:kern w:val="0"/>
        </w:rPr>
        <w:t>American Tower Corporation</w:t>
      </w:r>
    </w:p>
    <w:p w:rsidR="007B43B9" w:rsidRPr="00AF42A7" w:rsidP="007B43B9" w14:paraId="5E398AF9" w14:textId="77777777">
      <w:pPr>
        <w:pStyle w:val="ParaNum"/>
        <w:numPr>
          <w:ilvl w:val="0"/>
          <w:numId w:val="0"/>
        </w:numPr>
        <w:spacing w:after="0"/>
        <w:ind w:left="720" w:hanging="720"/>
        <w:rPr>
          <w:szCs w:val="22"/>
        </w:rPr>
      </w:pPr>
      <w:r w:rsidRPr="00AF42A7">
        <w:rPr>
          <w:szCs w:val="22"/>
        </w:rPr>
        <w:t xml:space="preserve">Cities of Portland, Oregon; Boston, Mass.; Brookhaven, Georgia; Los Angeles, Cal.; Culver City, Cal.; Piedmont, Cal.; Gaithersburg, </w:t>
      </w:r>
      <w:r w:rsidRPr="00AF42A7">
        <w:rPr>
          <w:szCs w:val="22"/>
        </w:rPr>
        <w:t>Maryl</w:t>
      </w:r>
      <w:r w:rsidRPr="00AF42A7">
        <w:rPr>
          <w:szCs w:val="22"/>
        </w:rPr>
        <w:t xml:space="preserve">.; Rockville, </w:t>
      </w:r>
      <w:r w:rsidRPr="00AF42A7">
        <w:rPr>
          <w:szCs w:val="22"/>
        </w:rPr>
        <w:t>Maryl</w:t>
      </w:r>
      <w:r w:rsidRPr="00AF42A7">
        <w:rPr>
          <w:szCs w:val="22"/>
        </w:rPr>
        <w:t xml:space="preserve">.; Gig Harbor, Wash.; Kirkland, Wash.; Lincoln, Nebr.; Plano, Tex.; The Town of Hillsborough, Cal.; Howard County, </w:t>
      </w:r>
      <w:r w:rsidRPr="00AF42A7">
        <w:rPr>
          <w:szCs w:val="22"/>
        </w:rPr>
        <w:t>Maryl</w:t>
      </w:r>
      <w:r w:rsidRPr="00AF42A7">
        <w:rPr>
          <w:szCs w:val="22"/>
        </w:rPr>
        <w:t>.; Clarke County, Nev.; The Texas Coalition of Cities for Utility Issues; The Texas Municipal League; The Michigan Municipal League; and Protec: The Michigan Coalition to Protect Public Rights-of-Way (Local Governments)</w:t>
      </w:r>
    </w:p>
    <w:p w:rsidR="007B43B9" w:rsidRPr="00AF42A7" w:rsidP="007B43B9" w14:paraId="609561F3" w14:textId="77777777">
      <w:pPr>
        <w:pStyle w:val="ParaNum"/>
        <w:numPr>
          <w:ilvl w:val="0"/>
          <w:numId w:val="0"/>
        </w:numPr>
        <w:spacing w:after="0"/>
        <w:rPr>
          <w:kern w:val="0"/>
        </w:rPr>
      </w:pPr>
      <w:r w:rsidRPr="00AF42A7">
        <w:rPr>
          <w:kern w:val="0"/>
        </w:rPr>
        <w:t>City of Coconut Creek, Florida</w:t>
      </w:r>
    </w:p>
    <w:p w:rsidR="007B43B9" w:rsidRPr="00AF42A7" w:rsidP="007B43B9" w14:paraId="5DDB8BE8" w14:textId="77777777">
      <w:pPr>
        <w:pStyle w:val="ParaNum"/>
        <w:numPr>
          <w:ilvl w:val="0"/>
          <w:numId w:val="0"/>
        </w:numPr>
        <w:spacing w:after="0"/>
        <w:rPr>
          <w:szCs w:val="22"/>
        </w:rPr>
      </w:pPr>
      <w:r w:rsidRPr="00AF42A7">
        <w:rPr>
          <w:kern w:val="0"/>
        </w:rPr>
        <w:t xml:space="preserve">City of Gaithersburg, Maryland </w:t>
      </w:r>
    </w:p>
    <w:p w:rsidR="007B43B9" w:rsidRPr="00AF42A7" w:rsidP="007B43B9" w14:paraId="4A931AF2" w14:textId="77777777">
      <w:pPr>
        <w:widowControl/>
        <w:autoSpaceDE w:val="0"/>
        <w:autoSpaceDN w:val="0"/>
        <w:adjustRightInd w:val="0"/>
        <w:rPr>
          <w:kern w:val="0"/>
        </w:rPr>
      </w:pPr>
      <w:r w:rsidRPr="00AF42A7">
        <w:rPr>
          <w:kern w:val="0"/>
        </w:rPr>
        <w:t>City of San Diego, Cal.; City of Beaverton, Or.; City of Boulder, Colo.; Town of Breckenridge, Colo.;</w:t>
      </w:r>
    </w:p>
    <w:p w:rsidR="007B43B9" w:rsidRPr="00AF42A7" w:rsidP="007B43B9" w14:paraId="087DA3B0" w14:textId="77777777">
      <w:pPr>
        <w:widowControl/>
        <w:autoSpaceDE w:val="0"/>
        <w:autoSpaceDN w:val="0"/>
        <w:adjustRightInd w:val="0"/>
        <w:ind w:firstLine="720"/>
        <w:rPr>
          <w:kern w:val="0"/>
        </w:rPr>
      </w:pPr>
      <w:r w:rsidRPr="00AF42A7">
        <w:rPr>
          <w:kern w:val="0"/>
        </w:rPr>
        <w:t>City of Carlsbad, Cal.; City of Cerritos, Cal.; Colorado Communications and Utility Alliance;</w:t>
      </w:r>
    </w:p>
    <w:p w:rsidR="007B43B9" w:rsidRPr="00AF42A7" w:rsidP="007B43B9" w14:paraId="56FD4E62" w14:textId="6FD0FB53">
      <w:pPr>
        <w:widowControl/>
        <w:autoSpaceDE w:val="0"/>
        <w:autoSpaceDN w:val="0"/>
        <w:adjustRightInd w:val="0"/>
        <w:ind w:firstLine="720"/>
        <w:rPr>
          <w:kern w:val="0"/>
        </w:rPr>
      </w:pPr>
      <w:r w:rsidRPr="00AF42A7">
        <w:rPr>
          <w:kern w:val="0"/>
        </w:rPr>
        <w:t>City of Coronado, Cal.; Town of Danville, Cal.; City of Encinitas, Cal.; City of Glendora, Cal.;</w:t>
      </w:r>
    </w:p>
    <w:p w:rsidR="007B43B9" w:rsidRPr="00AF42A7" w:rsidP="007B43B9" w14:paraId="4EB4EF53" w14:textId="77777777">
      <w:pPr>
        <w:widowControl/>
        <w:autoSpaceDE w:val="0"/>
        <w:autoSpaceDN w:val="0"/>
        <w:adjustRightInd w:val="0"/>
        <w:ind w:firstLine="720"/>
        <w:rPr>
          <w:kern w:val="0"/>
        </w:rPr>
      </w:pPr>
      <w:r w:rsidRPr="00AF42A7">
        <w:rPr>
          <w:kern w:val="0"/>
        </w:rPr>
        <w:t>King County, Wash.; City of Lacey, Wash.; City of La Mesa, Cal.; City of Lawndale, Cal.;</w:t>
      </w:r>
    </w:p>
    <w:p w:rsidR="007B43B9" w:rsidRPr="00AF42A7" w:rsidP="007B43B9" w14:paraId="0E4E284F" w14:textId="77777777">
      <w:pPr>
        <w:widowControl/>
        <w:autoSpaceDE w:val="0"/>
        <w:autoSpaceDN w:val="0"/>
        <w:adjustRightInd w:val="0"/>
        <w:ind w:firstLine="720"/>
        <w:rPr>
          <w:kern w:val="0"/>
        </w:rPr>
      </w:pPr>
      <w:r w:rsidRPr="00AF42A7">
        <w:rPr>
          <w:kern w:val="0"/>
        </w:rPr>
        <w:t>League of Oregon Cities; League of California Cities; City of Napa, Cal.; City of Olympia,</w:t>
      </w:r>
    </w:p>
    <w:p w:rsidR="007B43B9" w:rsidRPr="00AF42A7" w:rsidP="007B43B9" w14:paraId="676D1A6A" w14:textId="77777777">
      <w:pPr>
        <w:widowControl/>
        <w:autoSpaceDE w:val="0"/>
        <w:autoSpaceDN w:val="0"/>
        <w:adjustRightInd w:val="0"/>
        <w:ind w:firstLine="720"/>
        <w:rPr>
          <w:kern w:val="0"/>
        </w:rPr>
      </w:pPr>
      <w:r w:rsidRPr="00AF42A7">
        <w:rPr>
          <w:kern w:val="0"/>
        </w:rPr>
        <w:t>Wash.; City of Oxnard, Cal.; City of Pleasanton, Cal.; City of Rancho Palos Verdes, Cal.; City of</w:t>
      </w:r>
    </w:p>
    <w:p w:rsidR="007B43B9" w:rsidRPr="00AF42A7" w:rsidP="007B43B9" w14:paraId="5F9B4BCB" w14:textId="77777777">
      <w:pPr>
        <w:widowControl/>
        <w:autoSpaceDE w:val="0"/>
        <w:autoSpaceDN w:val="0"/>
        <w:adjustRightInd w:val="0"/>
        <w:ind w:firstLine="720"/>
        <w:rPr>
          <w:kern w:val="0"/>
        </w:rPr>
      </w:pPr>
      <w:r w:rsidRPr="00AF42A7">
        <w:rPr>
          <w:kern w:val="0"/>
        </w:rPr>
        <w:t>Richmond, Cal.; Town of San Anselmo, Cal.; City of San Marcos, Cal.; City of San Ramon, Cal.;</w:t>
      </w:r>
    </w:p>
    <w:p w:rsidR="007B43B9" w:rsidRPr="00AF42A7" w:rsidP="007B43B9" w14:paraId="63B78B2D" w14:textId="77777777">
      <w:pPr>
        <w:widowControl/>
        <w:autoSpaceDE w:val="0"/>
        <w:autoSpaceDN w:val="0"/>
        <w:adjustRightInd w:val="0"/>
        <w:ind w:firstLine="720"/>
        <w:rPr>
          <w:kern w:val="0"/>
        </w:rPr>
      </w:pPr>
      <w:r w:rsidRPr="00AF42A7">
        <w:rPr>
          <w:kern w:val="0"/>
        </w:rPr>
        <w:t>City of Santa Cruz, Cal.; City of Santa Monica, Cal.; City of Solana Beach, Cal.; City of South</w:t>
      </w:r>
    </w:p>
    <w:p w:rsidR="007B43B9" w:rsidRPr="00AF42A7" w:rsidP="007B43B9" w14:paraId="136334C9" w14:textId="77777777">
      <w:pPr>
        <w:widowControl/>
        <w:autoSpaceDE w:val="0"/>
        <w:autoSpaceDN w:val="0"/>
        <w:adjustRightInd w:val="0"/>
        <w:ind w:firstLine="720"/>
        <w:rPr>
          <w:kern w:val="0"/>
        </w:rPr>
      </w:pPr>
      <w:r w:rsidRPr="00AF42A7">
        <w:rPr>
          <w:kern w:val="0"/>
        </w:rPr>
        <w:t>Lake Tahoe, Cal.; City of Tacoma, Wash.; City of Thousand Oaks, Cal.; Thurston County,</w:t>
      </w:r>
    </w:p>
    <w:p w:rsidR="007B43B9" w:rsidRPr="00AF42A7" w:rsidP="007B43B9" w14:paraId="5FECCB06" w14:textId="77777777">
      <w:pPr>
        <w:pStyle w:val="ParaNum"/>
        <w:numPr>
          <w:ilvl w:val="0"/>
          <w:numId w:val="0"/>
        </w:numPr>
        <w:spacing w:after="0"/>
        <w:ind w:firstLine="720"/>
        <w:rPr>
          <w:kern w:val="0"/>
        </w:rPr>
      </w:pPr>
      <w:r w:rsidRPr="00AF42A7">
        <w:rPr>
          <w:kern w:val="0"/>
        </w:rPr>
        <w:t>Wash.; City of Tumwater, Wash. (Western Communities Coalition)</w:t>
      </w:r>
    </w:p>
    <w:p w:rsidR="007B43B9" w:rsidRPr="00AF42A7" w:rsidP="007B43B9" w14:paraId="1A359460" w14:textId="77777777">
      <w:pPr>
        <w:pStyle w:val="ParaNum"/>
        <w:numPr>
          <w:ilvl w:val="0"/>
          <w:numId w:val="0"/>
        </w:numPr>
        <w:spacing w:after="0"/>
        <w:rPr>
          <w:kern w:val="0"/>
        </w:rPr>
      </w:pPr>
      <w:r w:rsidRPr="00AF42A7">
        <w:rPr>
          <w:kern w:val="0"/>
        </w:rPr>
        <w:t>Crown Castle International Corp.</w:t>
      </w:r>
    </w:p>
    <w:p w:rsidR="007B43B9" w:rsidRPr="00AF42A7" w:rsidP="007B43B9" w14:paraId="1489EFA2" w14:textId="77777777">
      <w:pPr>
        <w:pStyle w:val="ParaNum"/>
        <w:numPr>
          <w:ilvl w:val="0"/>
          <w:numId w:val="0"/>
        </w:numPr>
        <w:spacing w:after="0"/>
        <w:rPr>
          <w:kern w:val="0"/>
        </w:rPr>
      </w:pPr>
      <w:r w:rsidRPr="00AF42A7">
        <w:rPr>
          <w:kern w:val="0"/>
        </w:rPr>
        <w:t>CTIA</w:t>
      </w:r>
    </w:p>
    <w:p w:rsidR="007B43B9" w:rsidRPr="00AF42A7" w:rsidP="007B43B9" w14:paraId="0ABADBA4" w14:textId="77777777">
      <w:pPr>
        <w:pStyle w:val="ParaNum"/>
        <w:numPr>
          <w:ilvl w:val="0"/>
          <w:numId w:val="0"/>
        </w:numPr>
        <w:spacing w:after="0"/>
        <w:rPr>
          <w:kern w:val="0"/>
        </w:rPr>
      </w:pPr>
      <w:r w:rsidRPr="00AF42A7">
        <w:rPr>
          <w:kern w:val="0"/>
        </w:rPr>
        <w:t>Illinois Municipal League</w:t>
      </w:r>
    </w:p>
    <w:p w:rsidR="007B43B9" w:rsidRPr="00AF42A7" w:rsidP="007B43B9" w14:paraId="3D88E87D" w14:textId="77777777">
      <w:pPr>
        <w:pStyle w:val="ParaNum"/>
        <w:numPr>
          <w:ilvl w:val="0"/>
          <w:numId w:val="0"/>
        </w:numPr>
        <w:spacing w:after="0"/>
        <w:rPr>
          <w:kern w:val="0"/>
        </w:rPr>
      </w:pPr>
      <w:r w:rsidRPr="00AF42A7">
        <w:rPr>
          <w:kern w:val="0"/>
        </w:rPr>
        <w:t>NATE:  The Communications Infrastructure Contractors Association</w:t>
      </w:r>
    </w:p>
    <w:p w:rsidR="007B43B9" w:rsidRPr="00AF42A7" w:rsidP="007B43B9" w14:paraId="484BC8F2" w14:textId="77777777">
      <w:pPr>
        <w:pStyle w:val="ParaNum"/>
        <w:numPr>
          <w:ilvl w:val="0"/>
          <w:numId w:val="0"/>
        </w:numPr>
        <w:spacing w:after="0"/>
        <w:rPr>
          <w:kern w:val="0"/>
        </w:rPr>
      </w:pPr>
      <w:r w:rsidRPr="00AF42A7">
        <w:rPr>
          <w:kern w:val="0"/>
        </w:rPr>
        <w:t>NTCA-The Rural Broadband Association</w:t>
      </w:r>
    </w:p>
    <w:p w:rsidR="007B43B9" w:rsidRPr="00AF42A7" w:rsidP="007B43B9" w14:paraId="1E68B4F9" w14:textId="77777777">
      <w:pPr>
        <w:widowControl/>
        <w:autoSpaceDE w:val="0"/>
        <w:autoSpaceDN w:val="0"/>
        <w:adjustRightInd w:val="0"/>
        <w:rPr>
          <w:kern w:val="0"/>
        </w:rPr>
      </w:pPr>
      <w:r w:rsidRPr="00AF42A7">
        <w:rPr>
          <w:kern w:val="0"/>
        </w:rPr>
        <w:t>The National Association of Telecommunications Officers and Advisors; The United States</w:t>
      </w:r>
    </w:p>
    <w:p w:rsidR="007B43B9" w:rsidRPr="00AF42A7" w:rsidP="007B43B9" w14:paraId="31F36BC1" w14:textId="77777777">
      <w:pPr>
        <w:pStyle w:val="ParaNum"/>
        <w:numPr>
          <w:ilvl w:val="0"/>
          <w:numId w:val="0"/>
        </w:numPr>
        <w:spacing w:after="0"/>
        <w:ind w:firstLine="720"/>
        <w:rPr>
          <w:szCs w:val="22"/>
        </w:rPr>
      </w:pPr>
      <w:r w:rsidRPr="00AF42A7">
        <w:rPr>
          <w:kern w:val="0"/>
        </w:rPr>
        <w:t>Conference of Mayors; and The National Association of Counties (NATOA)</w:t>
      </w:r>
    </w:p>
    <w:p w:rsidR="007B43B9" w:rsidRPr="00AF42A7" w:rsidP="007B43B9" w14:paraId="6279A6E6" w14:textId="77777777">
      <w:pPr>
        <w:pStyle w:val="ParaNum"/>
        <w:numPr>
          <w:ilvl w:val="0"/>
          <w:numId w:val="0"/>
        </w:numPr>
        <w:spacing w:after="0"/>
        <w:rPr>
          <w:szCs w:val="22"/>
        </w:rPr>
      </w:pPr>
      <w:r w:rsidRPr="00AF42A7">
        <w:rPr>
          <w:kern w:val="0"/>
        </w:rPr>
        <w:t>WIA–The Wireless Infrastructure Association (WIA)</w:t>
      </w:r>
    </w:p>
    <w:p w:rsidR="007B43B9" w:rsidRPr="00AF42A7" w:rsidP="007B43B9" w14:paraId="7004B2F3" w14:textId="77777777">
      <w:pPr>
        <w:pStyle w:val="ParaNum"/>
        <w:numPr>
          <w:ilvl w:val="0"/>
          <w:numId w:val="0"/>
        </w:numPr>
        <w:spacing w:after="0"/>
        <w:rPr>
          <w:szCs w:val="22"/>
        </w:rPr>
      </w:pPr>
    </w:p>
    <w:p w:rsidR="007B43B9" w:rsidRPr="00AF42A7" w:rsidP="007B43B9" w14:paraId="7F51F59B" w14:textId="77777777">
      <w:pPr>
        <w:pStyle w:val="ParaNum"/>
        <w:numPr>
          <w:ilvl w:val="0"/>
          <w:numId w:val="0"/>
        </w:numPr>
        <w:spacing w:after="0"/>
        <w:rPr>
          <w:szCs w:val="22"/>
          <w:u w:val="single"/>
        </w:rPr>
      </w:pPr>
      <w:r w:rsidRPr="00AF42A7">
        <w:rPr>
          <w:szCs w:val="22"/>
          <w:u w:val="single"/>
        </w:rPr>
        <w:t>Reply Comments</w:t>
      </w:r>
    </w:p>
    <w:p w:rsidR="007B43B9" w:rsidRPr="00AF42A7" w:rsidP="007B43B9" w14:paraId="064839B7" w14:textId="77777777">
      <w:pPr>
        <w:pStyle w:val="ParaNum"/>
        <w:numPr>
          <w:ilvl w:val="0"/>
          <w:numId w:val="0"/>
        </w:numPr>
        <w:spacing w:after="0"/>
        <w:rPr>
          <w:szCs w:val="22"/>
        </w:rPr>
      </w:pPr>
      <w:r w:rsidRPr="00AF42A7">
        <w:rPr>
          <w:kern w:val="0"/>
        </w:rPr>
        <w:t>American Tower Corporation</w:t>
      </w:r>
    </w:p>
    <w:p w:rsidR="007B43B9" w:rsidRPr="00AF42A7" w:rsidP="007B43B9" w14:paraId="1BDAE571" w14:textId="77777777">
      <w:pPr>
        <w:pStyle w:val="ParaNum"/>
        <w:numPr>
          <w:ilvl w:val="0"/>
          <w:numId w:val="0"/>
        </w:numPr>
        <w:spacing w:after="0"/>
        <w:rPr>
          <w:szCs w:val="22"/>
        </w:rPr>
      </w:pPr>
      <w:r w:rsidRPr="00AF42A7">
        <w:rPr>
          <w:szCs w:val="22"/>
        </w:rPr>
        <w:t>Arlington County, Virg.; The City of Alexandria, Virg.; The City of Fairfax, Virg. (Virginia Localities)</w:t>
      </w:r>
    </w:p>
    <w:p w:rsidR="007B43B9" w:rsidRPr="00AF42A7" w:rsidP="007B43B9" w14:paraId="37A0F03A" w14:textId="77777777">
      <w:pPr>
        <w:pStyle w:val="ParaNum"/>
        <w:numPr>
          <w:ilvl w:val="0"/>
          <w:numId w:val="0"/>
        </w:numPr>
        <w:spacing w:after="0"/>
        <w:rPr>
          <w:szCs w:val="22"/>
        </w:rPr>
      </w:pPr>
      <w:r w:rsidRPr="00AF42A7">
        <w:rPr>
          <w:szCs w:val="22"/>
        </w:rPr>
        <w:t>AT&amp;T Services, Inc.</w:t>
      </w:r>
    </w:p>
    <w:p w:rsidR="007B43B9" w:rsidRPr="00AF42A7" w:rsidP="007B43B9" w14:paraId="342CA22F" w14:textId="77777777">
      <w:pPr>
        <w:pStyle w:val="ParaNum"/>
        <w:numPr>
          <w:ilvl w:val="0"/>
          <w:numId w:val="0"/>
        </w:numPr>
        <w:spacing w:after="0"/>
        <w:ind w:left="720" w:hanging="720"/>
        <w:rPr>
          <w:szCs w:val="22"/>
        </w:rPr>
      </w:pPr>
      <w:r w:rsidRPr="00AF42A7">
        <w:rPr>
          <w:szCs w:val="22"/>
        </w:rPr>
        <w:t xml:space="preserve">Cities of Portland, Oregon; Boston, Mass.; Brookhaven, Georgia; Los Angeles, Cal.; Culver City, Cal.; Piedmont, Cal.; Gaithersburg, </w:t>
      </w:r>
      <w:r w:rsidRPr="00AF42A7">
        <w:rPr>
          <w:szCs w:val="22"/>
        </w:rPr>
        <w:t>Maryl</w:t>
      </w:r>
      <w:r w:rsidRPr="00AF42A7">
        <w:rPr>
          <w:szCs w:val="22"/>
        </w:rPr>
        <w:t xml:space="preserve">.; Rockville, </w:t>
      </w:r>
      <w:r w:rsidRPr="00AF42A7">
        <w:rPr>
          <w:szCs w:val="22"/>
        </w:rPr>
        <w:t>Maryl</w:t>
      </w:r>
      <w:r w:rsidRPr="00AF42A7">
        <w:rPr>
          <w:szCs w:val="22"/>
        </w:rPr>
        <w:t xml:space="preserve">.; Gig Harbor, Wash.; Kirkland, Wash.; Lincoln, Nebr.; Plano, Tex.; The Town of Hillsborough, Cal.; Howard County, </w:t>
      </w:r>
      <w:r w:rsidRPr="00AF42A7">
        <w:rPr>
          <w:szCs w:val="22"/>
        </w:rPr>
        <w:t>Maryl</w:t>
      </w:r>
      <w:r w:rsidRPr="00AF42A7">
        <w:rPr>
          <w:szCs w:val="22"/>
        </w:rPr>
        <w:t>.; Clarke County, Nev.; The Texas Coalition of Cities for Utility Issues; The Texas Municipal League; The Michigan Municipal League; and Protec: The Michigan Coalition to Protect Public Rights-of-Way (Local Governments)</w:t>
      </w:r>
    </w:p>
    <w:p w:rsidR="007B43B9" w:rsidRPr="00AF42A7" w:rsidP="007B43B9" w14:paraId="2F56B8FF" w14:textId="77777777">
      <w:pPr>
        <w:widowControl/>
        <w:autoSpaceDE w:val="0"/>
        <w:autoSpaceDN w:val="0"/>
        <w:adjustRightInd w:val="0"/>
        <w:rPr>
          <w:kern w:val="0"/>
        </w:rPr>
      </w:pPr>
      <w:r w:rsidRPr="00AF42A7">
        <w:rPr>
          <w:kern w:val="0"/>
        </w:rPr>
        <w:t>City of San Diego, Cal.; City of Beaverton, Or.; City of Boulder, Colo.; Town of Breckenridge, Colo.;</w:t>
      </w:r>
    </w:p>
    <w:p w:rsidR="007B43B9" w:rsidRPr="00AF42A7" w:rsidP="007B43B9" w14:paraId="2D03D2E6" w14:textId="77777777">
      <w:pPr>
        <w:widowControl/>
        <w:autoSpaceDE w:val="0"/>
        <w:autoSpaceDN w:val="0"/>
        <w:adjustRightInd w:val="0"/>
        <w:ind w:firstLine="720"/>
        <w:rPr>
          <w:kern w:val="0"/>
        </w:rPr>
      </w:pPr>
      <w:r w:rsidRPr="00AF42A7">
        <w:rPr>
          <w:kern w:val="0"/>
        </w:rPr>
        <w:t>City of Carlsbad, Cal.; City of Cerritos, Cal.; Colorado Communications and Utility Alliance;</w:t>
      </w:r>
    </w:p>
    <w:p w:rsidR="007B43B9" w:rsidRPr="00AF42A7" w:rsidP="007B43B9" w14:paraId="06BE873E" w14:textId="77777777">
      <w:pPr>
        <w:widowControl/>
        <w:autoSpaceDE w:val="0"/>
        <w:autoSpaceDN w:val="0"/>
        <w:adjustRightInd w:val="0"/>
        <w:ind w:firstLine="720"/>
        <w:rPr>
          <w:kern w:val="0"/>
        </w:rPr>
      </w:pPr>
      <w:r w:rsidRPr="00AF42A7">
        <w:rPr>
          <w:kern w:val="0"/>
        </w:rPr>
        <w:t>City of Coronado, Cal.; Town of Danville, Cal.; City of Encinitas, Cal.; City of Glendora, Cal.;</w:t>
      </w:r>
    </w:p>
    <w:p w:rsidR="007B43B9" w:rsidRPr="00AF42A7" w:rsidP="007B43B9" w14:paraId="56570627" w14:textId="77777777">
      <w:pPr>
        <w:widowControl/>
        <w:autoSpaceDE w:val="0"/>
        <w:autoSpaceDN w:val="0"/>
        <w:adjustRightInd w:val="0"/>
        <w:ind w:firstLine="720"/>
        <w:rPr>
          <w:kern w:val="0"/>
        </w:rPr>
      </w:pPr>
      <w:r w:rsidRPr="00AF42A7">
        <w:rPr>
          <w:kern w:val="0"/>
        </w:rPr>
        <w:t>King County, Wash.; City of Lacey, Wash.; City of La Mesa, Cal.; City of Lawndale, Cal.;</w:t>
      </w:r>
    </w:p>
    <w:p w:rsidR="007B43B9" w:rsidRPr="00AF42A7" w:rsidP="007B43B9" w14:paraId="6393DB96" w14:textId="77777777">
      <w:pPr>
        <w:widowControl/>
        <w:autoSpaceDE w:val="0"/>
        <w:autoSpaceDN w:val="0"/>
        <w:adjustRightInd w:val="0"/>
        <w:ind w:firstLine="720"/>
        <w:rPr>
          <w:kern w:val="0"/>
        </w:rPr>
      </w:pPr>
      <w:r w:rsidRPr="00AF42A7">
        <w:rPr>
          <w:kern w:val="0"/>
        </w:rPr>
        <w:t>League of Oregon Cities; League of California Cities; City of Napa, Cal.; City of Olympia,</w:t>
      </w:r>
    </w:p>
    <w:p w:rsidR="007B43B9" w:rsidRPr="00AF42A7" w:rsidP="007B43B9" w14:paraId="3A5BE608" w14:textId="77777777">
      <w:pPr>
        <w:widowControl/>
        <w:autoSpaceDE w:val="0"/>
        <w:autoSpaceDN w:val="0"/>
        <w:adjustRightInd w:val="0"/>
        <w:ind w:firstLine="720"/>
        <w:rPr>
          <w:kern w:val="0"/>
        </w:rPr>
      </w:pPr>
      <w:r w:rsidRPr="00AF42A7">
        <w:rPr>
          <w:kern w:val="0"/>
        </w:rPr>
        <w:t>Wash.; City of Oxnard, Cal.; City of Pleasanton, Cal.; City of Rancho Palos Verdes, Cal.; City of</w:t>
      </w:r>
    </w:p>
    <w:p w:rsidR="007B43B9" w:rsidRPr="00AF42A7" w:rsidP="007B43B9" w14:paraId="729480E4" w14:textId="77777777">
      <w:pPr>
        <w:widowControl/>
        <w:autoSpaceDE w:val="0"/>
        <w:autoSpaceDN w:val="0"/>
        <w:adjustRightInd w:val="0"/>
        <w:ind w:firstLine="720"/>
        <w:rPr>
          <w:kern w:val="0"/>
        </w:rPr>
      </w:pPr>
      <w:r w:rsidRPr="00AF42A7">
        <w:rPr>
          <w:kern w:val="0"/>
        </w:rPr>
        <w:t>Richmond, Cal.; Town of San Anselmo, Cal.; City of San Marcos, Cal.; City of San Ramon, Cal.;</w:t>
      </w:r>
    </w:p>
    <w:p w:rsidR="007B43B9" w:rsidRPr="00AF42A7" w:rsidP="007B43B9" w14:paraId="4621AFAD" w14:textId="77777777">
      <w:pPr>
        <w:widowControl/>
        <w:autoSpaceDE w:val="0"/>
        <w:autoSpaceDN w:val="0"/>
        <w:adjustRightInd w:val="0"/>
        <w:ind w:firstLine="720"/>
        <w:rPr>
          <w:kern w:val="0"/>
        </w:rPr>
      </w:pPr>
      <w:r w:rsidRPr="00AF42A7">
        <w:rPr>
          <w:kern w:val="0"/>
        </w:rPr>
        <w:t>City of Santa Cruz, Cal.; City of Santa Monica, Cal.; City of Solana Beach, Cal.; City of South</w:t>
      </w:r>
    </w:p>
    <w:p w:rsidR="007B43B9" w:rsidRPr="00AF42A7" w:rsidP="007B43B9" w14:paraId="155D5BA3" w14:textId="77777777">
      <w:pPr>
        <w:widowControl/>
        <w:autoSpaceDE w:val="0"/>
        <w:autoSpaceDN w:val="0"/>
        <w:adjustRightInd w:val="0"/>
        <w:ind w:firstLine="720"/>
        <w:rPr>
          <w:kern w:val="0"/>
        </w:rPr>
      </w:pPr>
      <w:r w:rsidRPr="00AF42A7">
        <w:rPr>
          <w:kern w:val="0"/>
        </w:rPr>
        <w:t>Lake Tahoe, Cal.; City of Tacoma, Wash.; City of Thousand Oaks, Cal.; Thurston County,</w:t>
      </w:r>
    </w:p>
    <w:p w:rsidR="007B43B9" w:rsidRPr="00AF42A7" w:rsidP="007B43B9" w14:paraId="3991433F" w14:textId="77777777">
      <w:pPr>
        <w:pStyle w:val="ParaNum"/>
        <w:numPr>
          <w:ilvl w:val="0"/>
          <w:numId w:val="0"/>
        </w:numPr>
        <w:spacing w:after="0"/>
        <w:ind w:firstLine="720"/>
        <w:rPr>
          <w:kern w:val="0"/>
        </w:rPr>
      </w:pPr>
      <w:r w:rsidRPr="00AF42A7">
        <w:rPr>
          <w:kern w:val="0"/>
        </w:rPr>
        <w:t>Wash.; City of Tumwater, Wash. (Western Communities Coalition)</w:t>
      </w:r>
    </w:p>
    <w:p w:rsidR="007B43B9" w:rsidRPr="00AF42A7" w:rsidP="007B43B9" w14:paraId="14CDA939" w14:textId="77777777">
      <w:pPr>
        <w:pStyle w:val="ParaNum"/>
        <w:numPr>
          <w:ilvl w:val="0"/>
          <w:numId w:val="0"/>
        </w:numPr>
        <w:spacing w:after="0"/>
        <w:rPr>
          <w:kern w:val="0"/>
        </w:rPr>
      </w:pPr>
      <w:r w:rsidRPr="00AF42A7">
        <w:rPr>
          <w:kern w:val="0"/>
        </w:rPr>
        <w:t>County of Marin</w:t>
      </w:r>
    </w:p>
    <w:p w:rsidR="007B43B9" w:rsidRPr="00AF42A7" w:rsidP="007B43B9" w14:paraId="30E1A150" w14:textId="77777777">
      <w:pPr>
        <w:pStyle w:val="ParaNum"/>
        <w:numPr>
          <w:ilvl w:val="0"/>
          <w:numId w:val="0"/>
        </w:numPr>
        <w:spacing w:after="0"/>
        <w:rPr>
          <w:kern w:val="0"/>
        </w:rPr>
      </w:pPr>
      <w:r w:rsidRPr="00AF42A7">
        <w:rPr>
          <w:kern w:val="0"/>
        </w:rPr>
        <w:t>Crown Castle International Corp.</w:t>
      </w:r>
    </w:p>
    <w:p w:rsidR="007B43B9" w:rsidRPr="00AF42A7" w:rsidP="007B43B9" w14:paraId="5AF636FA" w14:textId="77777777">
      <w:pPr>
        <w:pStyle w:val="ParaNum"/>
        <w:numPr>
          <w:ilvl w:val="0"/>
          <w:numId w:val="0"/>
        </w:numPr>
        <w:spacing w:after="0"/>
        <w:rPr>
          <w:kern w:val="0"/>
        </w:rPr>
      </w:pPr>
      <w:r w:rsidRPr="00AF42A7">
        <w:rPr>
          <w:kern w:val="0"/>
        </w:rPr>
        <w:t>CTIA</w:t>
      </w:r>
    </w:p>
    <w:p w:rsidR="007B43B9" w:rsidRPr="00AF42A7" w:rsidP="007B43B9" w14:paraId="32A80883" w14:textId="77777777">
      <w:pPr>
        <w:pStyle w:val="ParaNum"/>
        <w:numPr>
          <w:ilvl w:val="0"/>
          <w:numId w:val="0"/>
        </w:numPr>
        <w:spacing w:after="0"/>
        <w:rPr>
          <w:kern w:val="0"/>
        </w:rPr>
      </w:pPr>
      <w:r w:rsidRPr="00AF42A7">
        <w:rPr>
          <w:kern w:val="0"/>
        </w:rPr>
        <w:t>NCTA - The Internet &amp; Television Association</w:t>
      </w:r>
    </w:p>
    <w:p w:rsidR="007B43B9" w:rsidRPr="00AF42A7" w:rsidP="007B43B9" w14:paraId="735B4E72" w14:textId="77777777">
      <w:pPr>
        <w:widowControl/>
        <w:autoSpaceDE w:val="0"/>
        <w:autoSpaceDN w:val="0"/>
        <w:adjustRightInd w:val="0"/>
        <w:rPr>
          <w:kern w:val="0"/>
        </w:rPr>
      </w:pPr>
      <w:r w:rsidRPr="00AF42A7">
        <w:rPr>
          <w:kern w:val="0"/>
        </w:rPr>
        <w:t>The National Association of Telecommunications Officers and Advisors; The United States</w:t>
      </w:r>
    </w:p>
    <w:p w:rsidR="007B43B9" w:rsidRPr="00AF42A7" w:rsidP="007B43B9" w14:paraId="10DD68D9" w14:textId="77777777">
      <w:pPr>
        <w:pStyle w:val="ParaNum"/>
        <w:numPr>
          <w:ilvl w:val="0"/>
          <w:numId w:val="0"/>
        </w:numPr>
        <w:spacing w:after="0"/>
        <w:ind w:firstLine="720"/>
        <w:rPr>
          <w:szCs w:val="22"/>
        </w:rPr>
      </w:pPr>
      <w:r w:rsidRPr="00AF42A7">
        <w:rPr>
          <w:kern w:val="0"/>
        </w:rPr>
        <w:t>Conference of Mayors; and The National Association of Counties (NATOA)</w:t>
      </w:r>
    </w:p>
    <w:p w:rsidR="007B43B9" w:rsidRPr="00AF42A7" w:rsidP="007B43B9" w14:paraId="190C0302" w14:textId="77777777">
      <w:pPr>
        <w:pStyle w:val="ParaNum"/>
        <w:numPr>
          <w:ilvl w:val="0"/>
          <w:numId w:val="0"/>
        </w:numPr>
        <w:spacing w:after="0"/>
        <w:rPr>
          <w:szCs w:val="22"/>
          <w:u w:val="single"/>
        </w:rPr>
      </w:pPr>
      <w:r w:rsidRPr="00AF42A7">
        <w:rPr>
          <w:kern w:val="0"/>
        </w:rPr>
        <w:t>WIA–The Wireless Infrastructure Association (WIA)</w:t>
      </w:r>
    </w:p>
    <w:p w:rsidR="007B43B9" w:rsidRPr="00AF42A7" w:rsidP="007B43B9" w14:paraId="7CDC23B6" w14:textId="77777777">
      <w:pPr>
        <w:pStyle w:val="ParaNum"/>
        <w:numPr>
          <w:ilvl w:val="0"/>
          <w:numId w:val="0"/>
        </w:numPr>
        <w:spacing w:after="0"/>
      </w:pPr>
    </w:p>
    <w:p w:rsidR="00D73A28" w:rsidP="000B6185" w14:paraId="6758B3C5" w14:textId="77777777">
      <w:pPr>
        <w:jc w:val="center"/>
        <w:rPr>
          <w:rFonts w:eastAsia="Calibri"/>
          <w:b/>
          <w:bCs/>
          <w:snapToGrid/>
        </w:rPr>
        <w:sectPr w:rsidSect="00D73A28">
          <w:endnotePr>
            <w:numFmt w:val="decimal"/>
          </w:endnotePr>
          <w:pgSz w:w="12240" w:h="15840"/>
          <w:pgMar w:top="1440" w:right="1440" w:bottom="720" w:left="1440" w:header="720" w:footer="720" w:gutter="0"/>
          <w:cols w:space="720"/>
          <w:noEndnote/>
          <w:titlePg/>
        </w:sectPr>
      </w:pPr>
      <w:bookmarkStart w:id="26" w:name="_Toc51678362"/>
    </w:p>
    <w:p w:rsidR="007B43B9" w:rsidRPr="00AF42A7" w:rsidP="000B6185" w14:paraId="245301F8" w14:textId="0686402D">
      <w:pPr>
        <w:jc w:val="center"/>
        <w:rPr>
          <w:rFonts w:eastAsia="Calibri"/>
          <w:b/>
          <w:bCs/>
          <w:snapToGrid/>
        </w:rPr>
      </w:pPr>
      <w:r w:rsidRPr="00AF42A7">
        <w:rPr>
          <w:rFonts w:eastAsia="Calibri"/>
          <w:b/>
          <w:bCs/>
          <w:snapToGrid/>
        </w:rPr>
        <w:t>APPENDIX B</w:t>
      </w:r>
      <w:bookmarkEnd w:id="26"/>
    </w:p>
    <w:p w:rsidR="007B43B9" w:rsidRPr="00AF42A7" w:rsidP="000B6185" w14:paraId="1F7F3C85" w14:textId="640A9125">
      <w:pPr>
        <w:jc w:val="center"/>
        <w:rPr>
          <w:rFonts w:eastAsia="Calibri"/>
          <w:b/>
          <w:bCs/>
          <w:snapToGrid/>
          <w:kern w:val="0"/>
          <w:szCs w:val="22"/>
        </w:rPr>
      </w:pPr>
      <w:r w:rsidRPr="00AF42A7">
        <w:rPr>
          <w:rFonts w:eastAsia="Calibri"/>
          <w:b/>
          <w:bCs/>
          <w:snapToGrid/>
          <w:kern w:val="0"/>
          <w:szCs w:val="22"/>
        </w:rPr>
        <w:t>Final Rules</w:t>
      </w:r>
      <w:r w:rsidRPr="00AF42A7" w:rsidR="000B6185">
        <w:rPr>
          <w:rFonts w:eastAsia="Calibri"/>
          <w:b/>
          <w:bCs/>
          <w:snapToGrid/>
          <w:kern w:val="0"/>
          <w:szCs w:val="22"/>
        </w:rPr>
        <w:br/>
      </w:r>
    </w:p>
    <w:p w:rsidR="007B43B9" w:rsidRPr="00AF42A7" w:rsidP="007B43B9" w14:paraId="6F418159" w14:textId="77777777">
      <w:pPr>
        <w:widowControl/>
        <w:spacing w:after="200" w:line="276" w:lineRule="auto"/>
        <w:rPr>
          <w:rFonts w:eastAsia="Calibri"/>
          <w:snapToGrid/>
          <w:kern w:val="0"/>
          <w:szCs w:val="22"/>
        </w:rPr>
      </w:pPr>
      <w:r w:rsidRPr="00AF42A7">
        <w:rPr>
          <w:rFonts w:eastAsia="Calibri"/>
          <w:i/>
          <w:iCs/>
          <w:snapToGrid/>
          <w:kern w:val="0"/>
          <w:szCs w:val="22"/>
        </w:rPr>
        <w:t>Subpart U - State and Local Government Regulation of the Placement, Construction, and Modification of</w:t>
      </w:r>
      <w:r w:rsidRPr="00AF42A7">
        <w:rPr>
          <w:rFonts w:eastAsia="Calibri"/>
          <w:snapToGrid/>
          <w:kern w:val="0"/>
          <w:szCs w:val="22"/>
        </w:rPr>
        <w:t xml:space="preserve"> </w:t>
      </w:r>
      <w:r w:rsidRPr="00AF42A7">
        <w:rPr>
          <w:rFonts w:eastAsia="Calibri"/>
          <w:i/>
          <w:iCs/>
          <w:snapToGrid/>
          <w:kern w:val="0"/>
          <w:szCs w:val="22"/>
        </w:rPr>
        <w:t>Personal Wireless Service Facilities</w:t>
      </w:r>
    </w:p>
    <w:p w:rsidR="007B43B9" w:rsidRPr="00AF42A7" w:rsidP="007B43B9" w14:paraId="3F0C14AA" w14:textId="77777777">
      <w:pPr>
        <w:widowControl/>
        <w:spacing w:after="200" w:line="276" w:lineRule="auto"/>
        <w:rPr>
          <w:rFonts w:eastAsia="Calibri"/>
          <w:snapToGrid/>
          <w:kern w:val="0"/>
          <w:szCs w:val="22"/>
        </w:rPr>
      </w:pPr>
      <w:r w:rsidRPr="00AF42A7">
        <w:rPr>
          <w:rFonts w:eastAsia="Calibri"/>
          <w:snapToGrid/>
          <w:kern w:val="0"/>
          <w:szCs w:val="22"/>
        </w:rPr>
        <w:t xml:space="preserve">1. </w:t>
      </w:r>
      <w:r w:rsidRPr="00AF42A7">
        <w:rPr>
          <w:rFonts w:eastAsia="Calibri"/>
          <w:snapToGrid/>
          <w:kern w:val="0"/>
          <w:szCs w:val="22"/>
        </w:rPr>
        <w:tab/>
        <w:t>The authority citation for Part 1 continues to read as follows:</w:t>
      </w:r>
    </w:p>
    <w:p w:rsidR="007B43B9" w:rsidRPr="00AF42A7" w:rsidP="007B43B9" w14:paraId="4D8195CC" w14:textId="789B7C24">
      <w:pPr>
        <w:widowControl/>
        <w:spacing w:after="200" w:line="276" w:lineRule="auto"/>
        <w:rPr>
          <w:rFonts w:eastAsia="Calibri"/>
          <w:snapToGrid/>
          <w:kern w:val="0"/>
          <w:szCs w:val="22"/>
        </w:rPr>
      </w:pPr>
      <w:r w:rsidRPr="00AF42A7">
        <w:rPr>
          <w:rFonts w:eastAsia="Calibri"/>
          <w:snapToGrid/>
          <w:kern w:val="0"/>
          <w:szCs w:val="22"/>
        </w:rPr>
        <w:t xml:space="preserve">AUTHORITY: </w:t>
      </w:r>
      <w:r w:rsidRPr="00AF42A7" w:rsidR="0027633C">
        <w:rPr>
          <w:rFonts w:eastAsia="Calibri"/>
          <w:snapToGrid/>
          <w:kern w:val="0"/>
          <w:szCs w:val="22"/>
        </w:rPr>
        <w:t>[[To be inserted</w:t>
      </w:r>
      <w:r w:rsidRPr="00AF42A7" w:rsidR="0017019E">
        <w:rPr>
          <w:rFonts w:eastAsia="Calibri"/>
          <w:snapToGrid/>
          <w:kern w:val="0"/>
          <w:szCs w:val="22"/>
        </w:rPr>
        <w:t>.</w:t>
      </w:r>
      <w:r w:rsidRPr="00AF42A7" w:rsidR="0027633C">
        <w:rPr>
          <w:rFonts w:eastAsia="Calibri"/>
          <w:snapToGrid/>
          <w:kern w:val="0"/>
          <w:szCs w:val="22"/>
        </w:rPr>
        <w:t>]]</w:t>
      </w:r>
      <w:r w:rsidRPr="00AF42A7" w:rsidR="0027633C">
        <w:rPr>
          <w:rFonts w:eastAsia="Calibri"/>
          <w:snapToGrid/>
          <w:kern w:val="0"/>
          <w:szCs w:val="22"/>
        </w:rPr>
        <w:t xml:space="preserve"> </w:t>
      </w:r>
    </w:p>
    <w:p w:rsidR="007B43B9" w:rsidRPr="00AF42A7" w:rsidP="007B43B9" w14:paraId="7F5C9D5B" w14:textId="77777777">
      <w:pPr>
        <w:widowControl/>
        <w:spacing w:after="200" w:line="276" w:lineRule="auto"/>
        <w:rPr>
          <w:rFonts w:eastAsia="Calibri"/>
          <w:snapToGrid/>
          <w:kern w:val="0"/>
          <w:szCs w:val="22"/>
        </w:rPr>
      </w:pPr>
      <w:r w:rsidRPr="00AF42A7">
        <w:rPr>
          <w:rFonts w:eastAsia="Calibri"/>
          <w:snapToGrid/>
          <w:kern w:val="0"/>
          <w:szCs w:val="22"/>
        </w:rPr>
        <w:t xml:space="preserve">2. </w:t>
      </w:r>
      <w:r w:rsidRPr="00AF42A7">
        <w:rPr>
          <w:rFonts w:eastAsia="Calibri"/>
          <w:snapToGrid/>
          <w:kern w:val="0"/>
          <w:szCs w:val="22"/>
        </w:rPr>
        <w:tab/>
        <w:t>Section 1.6100 is revised by amending subparagraphs 6 and 7 of paragraph b to read as follows:</w:t>
      </w:r>
    </w:p>
    <w:p w:rsidR="007B43B9" w:rsidRPr="00AF42A7" w:rsidP="007B43B9" w14:paraId="1F0D9BA1" w14:textId="77777777">
      <w:pPr>
        <w:widowControl/>
        <w:spacing w:after="200" w:line="276" w:lineRule="auto"/>
        <w:rPr>
          <w:rFonts w:eastAsia="Calibri"/>
          <w:b/>
          <w:bCs/>
          <w:snapToGrid/>
          <w:kern w:val="0"/>
          <w:szCs w:val="22"/>
        </w:rPr>
      </w:pPr>
      <w:r w:rsidRPr="00AF42A7">
        <w:rPr>
          <w:rFonts w:eastAsia="Calibri"/>
          <w:b/>
          <w:bCs/>
          <w:snapToGrid/>
          <w:kern w:val="0"/>
          <w:szCs w:val="22"/>
        </w:rPr>
        <w:t>§ 1.6100  Wireless Facility Modifications.</w:t>
      </w:r>
    </w:p>
    <w:p w:rsidR="007B43B9" w:rsidRPr="00AF42A7" w:rsidP="007B43B9" w14:paraId="681834CB" w14:textId="77777777">
      <w:pPr>
        <w:widowControl/>
        <w:spacing w:after="200" w:line="276" w:lineRule="auto"/>
        <w:rPr>
          <w:rFonts w:eastAsia="Calibri"/>
          <w:snapToGrid/>
          <w:kern w:val="0"/>
          <w:szCs w:val="22"/>
        </w:rPr>
      </w:pPr>
      <w:r w:rsidRPr="00AF42A7">
        <w:rPr>
          <w:rFonts w:eastAsia="Calibri"/>
          <w:snapToGrid/>
          <w:kern w:val="0"/>
          <w:szCs w:val="22"/>
        </w:rPr>
        <w:t>* * * * *</w:t>
      </w:r>
    </w:p>
    <w:p w:rsidR="007B43B9" w:rsidRPr="00AF42A7" w:rsidP="007B43B9" w14:paraId="03AE50A0" w14:textId="6749649E">
      <w:pPr>
        <w:widowControl/>
        <w:spacing w:after="200" w:line="276" w:lineRule="auto"/>
        <w:ind w:firstLine="720"/>
        <w:rPr>
          <w:rFonts w:eastAsia="Calibri"/>
          <w:snapToGrid/>
          <w:kern w:val="0"/>
          <w:szCs w:val="22"/>
        </w:rPr>
      </w:pPr>
      <w:r w:rsidRPr="00AF42A7">
        <w:rPr>
          <w:rFonts w:eastAsia="Calibri"/>
          <w:snapToGrid/>
          <w:kern w:val="0"/>
          <w:szCs w:val="22"/>
        </w:rPr>
        <w:t xml:space="preserve">(b) </w:t>
      </w:r>
      <w:r w:rsidRPr="00AF42A7">
        <w:rPr>
          <w:rFonts w:eastAsia="Calibri"/>
          <w:i/>
          <w:iCs/>
          <w:snapToGrid/>
          <w:kern w:val="0"/>
          <w:szCs w:val="22"/>
        </w:rPr>
        <w:t>Definitions.</w:t>
      </w:r>
      <w:r w:rsidRPr="00AF42A7" w:rsidR="00D45E3C">
        <w:rPr>
          <w:rFonts w:eastAsia="Calibri"/>
          <w:i/>
          <w:iCs/>
          <w:snapToGrid/>
          <w:kern w:val="0"/>
          <w:szCs w:val="22"/>
        </w:rPr>
        <w:t xml:space="preserve"> </w:t>
      </w:r>
      <w:r w:rsidRPr="00AF42A7">
        <w:rPr>
          <w:rFonts w:eastAsia="Calibri"/>
          <w:i/>
          <w:iCs/>
          <w:snapToGrid/>
          <w:kern w:val="0"/>
          <w:szCs w:val="22"/>
        </w:rPr>
        <w:t xml:space="preserve"> </w:t>
      </w:r>
      <w:r w:rsidRPr="00AF42A7">
        <w:rPr>
          <w:rFonts w:eastAsia="Calibri"/>
          <w:snapToGrid/>
          <w:kern w:val="0"/>
          <w:szCs w:val="22"/>
        </w:rPr>
        <w:t>Terms used in this section have the following meanings:</w:t>
      </w:r>
    </w:p>
    <w:p w:rsidR="007B43B9" w:rsidRPr="00AF42A7" w:rsidP="007B43B9" w14:paraId="5157CDC9" w14:textId="77777777">
      <w:pPr>
        <w:widowControl/>
        <w:spacing w:after="200" w:line="276" w:lineRule="auto"/>
        <w:rPr>
          <w:rFonts w:eastAsia="Calibri"/>
          <w:snapToGrid/>
          <w:kern w:val="0"/>
          <w:szCs w:val="22"/>
        </w:rPr>
      </w:pPr>
      <w:r w:rsidRPr="00AF42A7">
        <w:rPr>
          <w:rFonts w:eastAsia="Calibri"/>
          <w:snapToGrid/>
          <w:kern w:val="0"/>
          <w:szCs w:val="22"/>
        </w:rPr>
        <w:t>* * * * *</w:t>
      </w:r>
    </w:p>
    <w:p w:rsidR="007B43B9" w:rsidRPr="00AF42A7" w:rsidP="007B43B9" w14:paraId="307E72AF" w14:textId="76A65CF7">
      <w:pPr>
        <w:widowControl/>
        <w:spacing w:after="200" w:line="276" w:lineRule="auto"/>
        <w:ind w:firstLine="720"/>
        <w:rPr>
          <w:rFonts w:eastAsia="Calibri"/>
          <w:snapToGrid/>
          <w:kern w:val="0"/>
          <w:szCs w:val="22"/>
        </w:rPr>
      </w:pPr>
      <w:r w:rsidRPr="00AF42A7">
        <w:rPr>
          <w:rFonts w:eastAsia="Calibri"/>
          <w:snapToGrid/>
          <w:kern w:val="0"/>
          <w:szCs w:val="22"/>
        </w:rPr>
        <w:t>(6) </w:t>
      </w:r>
      <w:r w:rsidRPr="00AF42A7">
        <w:rPr>
          <w:rFonts w:eastAsia="Calibri"/>
          <w:i/>
          <w:iCs/>
          <w:snapToGrid/>
          <w:kern w:val="0"/>
          <w:szCs w:val="22"/>
        </w:rPr>
        <w:t>Site.</w:t>
      </w:r>
      <w:r w:rsidRPr="00AF42A7">
        <w:rPr>
          <w:rFonts w:eastAsia="Calibri"/>
          <w:snapToGrid/>
          <w:kern w:val="0"/>
          <w:szCs w:val="22"/>
        </w:rPr>
        <w:t> </w:t>
      </w:r>
      <w:r w:rsidRPr="00AF42A7" w:rsidR="00D45E3C">
        <w:rPr>
          <w:rFonts w:eastAsia="Calibri"/>
          <w:snapToGrid/>
          <w:kern w:val="0"/>
          <w:szCs w:val="22"/>
        </w:rPr>
        <w:t xml:space="preserve"> </w:t>
      </w:r>
      <w:r w:rsidRPr="00AF42A7">
        <w:rPr>
          <w:rFonts w:eastAsia="Calibri"/>
          <w:snapToGrid/>
          <w:kern w:val="0"/>
          <w:szCs w:val="22"/>
        </w:rPr>
        <w:t xml:space="preserve">For towers other than towers in the public rights-of-way, the current boundaries of the leased or owned property surrounding the tower and any </w:t>
      </w:r>
      <w:bookmarkStart w:id="27" w:name="_Hlk54359755"/>
      <w:r w:rsidRPr="00AF42A7">
        <w:rPr>
          <w:rFonts w:eastAsia="Calibri"/>
          <w:snapToGrid/>
          <w:kern w:val="0"/>
          <w:szCs w:val="22"/>
        </w:rPr>
        <w:t>access or utility easements currently related to the site</w:t>
      </w:r>
      <w:bookmarkEnd w:id="27"/>
      <w:r w:rsidRPr="00AF42A7">
        <w:rPr>
          <w:rFonts w:eastAsia="Calibri"/>
          <w:snapToGrid/>
          <w:kern w:val="0"/>
          <w:szCs w:val="22"/>
        </w:rPr>
        <w:t xml:space="preserve">, and, for other eligible support structures, further restricted to that area in proximity to the structure and to other transmission equipment already deployed on the ground.  The current boundaries of a site are the boundaries that existed as of the date that </w:t>
      </w:r>
      <w:r w:rsidRPr="00AF42A7" w:rsidR="000213A1">
        <w:rPr>
          <w:rFonts w:eastAsia="Calibri"/>
          <w:snapToGrid/>
          <w:kern w:val="0"/>
          <w:szCs w:val="22"/>
        </w:rPr>
        <w:t>the original</w:t>
      </w:r>
      <w:r w:rsidRPr="00AF42A7">
        <w:rPr>
          <w:rFonts w:eastAsia="Calibri"/>
          <w:snapToGrid/>
          <w:kern w:val="0"/>
          <w:szCs w:val="22"/>
        </w:rPr>
        <w:t xml:space="preserve"> support structure </w:t>
      </w:r>
      <w:r w:rsidRPr="00AF42A7" w:rsidR="00AD468C">
        <w:rPr>
          <w:rFonts w:eastAsia="Calibri"/>
          <w:snapToGrid/>
          <w:kern w:val="0"/>
          <w:szCs w:val="22"/>
        </w:rPr>
        <w:t>or a modification</w:t>
      </w:r>
      <w:r w:rsidRPr="00AF42A7" w:rsidR="00F13098">
        <w:rPr>
          <w:rFonts w:eastAsia="Calibri"/>
          <w:snapToGrid/>
          <w:kern w:val="0"/>
          <w:szCs w:val="22"/>
        </w:rPr>
        <w:t xml:space="preserve"> to that structure </w:t>
      </w:r>
      <w:r w:rsidRPr="00AF42A7">
        <w:rPr>
          <w:rFonts w:eastAsia="Calibri"/>
          <w:snapToGrid/>
          <w:kern w:val="0"/>
          <w:szCs w:val="22"/>
        </w:rPr>
        <w:t xml:space="preserve">was last reviewed and approved </w:t>
      </w:r>
      <w:r w:rsidRPr="00AF42A7" w:rsidR="00E37F36">
        <w:rPr>
          <w:rFonts w:eastAsia="Calibri"/>
          <w:snapToGrid/>
          <w:kern w:val="0"/>
          <w:szCs w:val="22"/>
        </w:rPr>
        <w:t>by a</w:t>
      </w:r>
      <w:r w:rsidRPr="00AF42A7">
        <w:rPr>
          <w:rFonts w:eastAsia="Calibri"/>
          <w:snapToGrid/>
          <w:kern w:val="0"/>
          <w:szCs w:val="22"/>
        </w:rPr>
        <w:t xml:space="preserve"> State or local </w:t>
      </w:r>
      <w:r w:rsidRPr="00AF42A7" w:rsidR="00E37F36">
        <w:t>government</w:t>
      </w:r>
      <w:r w:rsidRPr="00AF42A7" w:rsidR="00FF49E7">
        <w:t xml:space="preserve">, if the approval of the modification </w:t>
      </w:r>
      <w:r w:rsidRPr="00AF42A7" w:rsidR="00910D99">
        <w:t xml:space="preserve">occurred prior to the Spectrum Act or otherwise outside of the </w:t>
      </w:r>
      <w:r w:rsidRPr="00AF42A7" w:rsidR="00E37F36">
        <w:t xml:space="preserve">Section 6409(a) </w:t>
      </w:r>
      <w:r w:rsidRPr="00AF42A7" w:rsidR="006A4572">
        <w:t>process</w:t>
      </w:r>
      <w:r w:rsidRPr="00AF42A7" w:rsidR="00E37F36">
        <w:t>.</w:t>
      </w:r>
      <w:r w:rsidRPr="00AF42A7" w:rsidR="00E37F36">
        <w:rPr>
          <w:rFonts w:eastAsia="Calibri"/>
          <w:snapToGrid/>
          <w:kern w:val="0"/>
          <w:szCs w:val="22"/>
        </w:rPr>
        <w:t xml:space="preserve"> </w:t>
      </w:r>
    </w:p>
    <w:p w:rsidR="007B43B9" w:rsidRPr="00AF42A7" w:rsidP="007B43B9" w14:paraId="7E02752B" w14:textId="77777777">
      <w:pPr>
        <w:widowControl/>
        <w:spacing w:after="200" w:line="276" w:lineRule="auto"/>
        <w:ind w:firstLine="720"/>
        <w:rPr>
          <w:rFonts w:eastAsia="Calibri"/>
          <w:snapToGrid/>
          <w:kern w:val="0"/>
          <w:szCs w:val="22"/>
        </w:rPr>
      </w:pPr>
      <w:r w:rsidRPr="00AF42A7">
        <w:rPr>
          <w:rFonts w:eastAsia="Calibri"/>
          <w:snapToGrid/>
          <w:kern w:val="0"/>
          <w:szCs w:val="22"/>
        </w:rPr>
        <w:t xml:space="preserve">(7) </w:t>
      </w:r>
      <w:r w:rsidRPr="00AF42A7">
        <w:rPr>
          <w:rFonts w:eastAsia="Calibri"/>
          <w:i/>
          <w:iCs/>
          <w:snapToGrid/>
          <w:kern w:val="0"/>
          <w:szCs w:val="22"/>
        </w:rPr>
        <w:t>Substantial change</w:t>
      </w:r>
      <w:r w:rsidRPr="00AF42A7">
        <w:rPr>
          <w:rFonts w:eastAsia="Calibri"/>
          <w:snapToGrid/>
          <w:kern w:val="0"/>
          <w:szCs w:val="22"/>
        </w:rPr>
        <w:t>.  A modification substantially changes the physical dimensions of an eligible support structure if it meets any of the following criteria:</w:t>
      </w:r>
    </w:p>
    <w:p w:rsidR="007B43B9" w:rsidRPr="00AF42A7" w:rsidP="007B43B9" w14:paraId="3F55EB68" w14:textId="77777777">
      <w:pPr>
        <w:widowControl/>
        <w:spacing w:after="200" w:line="276" w:lineRule="auto"/>
        <w:ind w:left="720"/>
        <w:rPr>
          <w:rFonts w:eastAsia="Calibri"/>
          <w:snapToGrid/>
          <w:kern w:val="0"/>
          <w:szCs w:val="22"/>
        </w:rPr>
      </w:pPr>
      <w:r w:rsidRPr="00AF42A7">
        <w:rPr>
          <w:rFonts w:eastAsia="Calibri"/>
          <w:snapToGrid/>
          <w:kern w:val="0"/>
          <w:szCs w:val="22"/>
        </w:rPr>
        <w:t>(</w:t>
      </w:r>
      <w:r w:rsidRPr="00AF42A7">
        <w:rPr>
          <w:rFonts w:eastAsia="Calibri"/>
          <w:snapToGrid/>
          <w:kern w:val="0"/>
          <w:szCs w:val="22"/>
        </w:rPr>
        <w:t>i</w:t>
      </w:r>
      <w:r w:rsidRPr="00AF42A7">
        <w:rPr>
          <w:rFonts w:eastAsia="Calibri"/>
          <w:snapToGrid/>
          <w:kern w:val="0"/>
          <w:szCs w:val="22"/>
        </w:rPr>
        <w:t xml:space="preserve">) </w:t>
      </w:r>
      <w:bookmarkStart w:id="28" w:name="_Hlk42452599"/>
      <w:r w:rsidRPr="00AF42A7">
        <w:rPr>
          <w:rFonts w:eastAsia="Calibri"/>
          <w:snapToGrid/>
          <w:kern w:val="0"/>
          <w:szCs w:val="22"/>
        </w:rPr>
        <w:t xml:space="preserve">* * * </w:t>
      </w:r>
    </w:p>
    <w:bookmarkEnd w:id="28"/>
    <w:p w:rsidR="007B43B9" w:rsidRPr="00AF42A7" w:rsidP="007B43B9" w14:paraId="5E34C720" w14:textId="77777777">
      <w:pPr>
        <w:widowControl/>
        <w:spacing w:after="200" w:line="276" w:lineRule="auto"/>
        <w:ind w:left="720"/>
        <w:rPr>
          <w:rFonts w:eastAsia="Calibri"/>
          <w:snapToGrid/>
          <w:kern w:val="0"/>
          <w:szCs w:val="22"/>
        </w:rPr>
      </w:pPr>
      <w:r w:rsidRPr="00AF42A7">
        <w:rPr>
          <w:rFonts w:eastAsia="Calibri"/>
          <w:snapToGrid/>
          <w:kern w:val="0"/>
          <w:szCs w:val="22"/>
        </w:rPr>
        <w:t>(ii) * * *</w:t>
      </w:r>
    </w:p>
    <w:p w:rsidR="007B43B9" w:rsidRPr="00AF42A7" w:rsidP="007B43B9" w14:paraId="29C8085E" w14:textId="77777777">
      <w:pPr>
        <w:widowControl/>
        <w:spacing w:after="200" w:line="276" w:lineRule="auto"/>
        <w:ind w:left="720"/>
        <w:rPr>
          <w:rFonts w:eastAsia="Calibri"/>
          <w:snapToGrid/>
          <w:kern w:val="0"/>
          <w:szCs w:val="22"/>
        </w:rPr>
      </w:pPr>
      <w:r w:rsidRPr="00AF42A7">
        <w:rPr>
          <w:rFonts w:eastAsia="Calibri"/>
          <w:snapToGrid/>
          <w:kern w:val="0"/>
          <w:szCs w:val="22"/>
        </w:rPr>
        <w:t>(iii) * * *</w:t>
      </w:r>
    </w:p>
    <w:p w:rsidR="007B43B9" w:rsidRPr="00A70EC8" w:rsidP="007B43B9" w14:paraId="79F5CDA5" w14:textId="4BA376E8">
      <w:pPr>
        <w:widowControl/>
        <w:spacing w:after="200" w:line="276" w:lineRule="auto"/>
        <w:ind w:firstLine="720"/>
        <w:rPr>
          <w:rFonts w:eastAsia="Calibri"/>
          <w:snapToGrid/>
          <w:kern w:val="0"/>
          <w:szCs w:val="22"/>
        </w:rPr>
      </w:pPr>
      <w:bookmarkStart w:id="29" w:name="_Hlk54359562"/>
      <w:r w:rsidRPr="00AF42A7">
        <w:rPr>
          <w:rFonts w:eastAsia="Calibri"/>
          <w:snapToGrid/>
          <w:kern w:val="0"/>
          <w:szCs w:val="22"/>
        </w:rPr>
        <w:t xml:space="preserve">(iv) It entails any excavation or deployment outside of the current site, except that, for towers other than towers in the public rights-of-way, it entails any excavation or deployment </w:t>
      </w:r>
      <w:r w:rsidRPr="00AF42A7" w:rsidR="006A34D5">
        <w:rPr>
          <w:rFonts w:eastAsia="Calibri"/>
          <w:snapToGrid/>
          <w:kern w:val="0"/>
          <w:szCs w:val="22"/>
        </w:rPr>
        <w:t xml:space="preserve">of transmission equipment </w:t>
      </w:r>
      <w:r w:rsidRPr="00AF42A7">
        <w:rPr>
          <w:rFonts w:eastAsia="Calibri"/>
          <w:snapToGrid/>
          <w:kern w:val="0"/>
          <w:szCs w:val="22"/>
        </w:rPr>
        <w:t>outside of the current site by more than 30 feet in any direction</w:t>
      </w:r>
      <w:r w:rsidRPr="00AF42A7" w:rsidR="00B656B8">
        <w:rPr>
          <w:rFonts w:eastAsia="Calibri"/>
          <w:snapToGrid/>
          <w:kern w:val="0"/>
          <w:szCs w:val="22"/>
        </w:rPr>
        <w:t xml:space="preserve">.  </w:t>
      </w:r>
      <w:r w:rsidRPr="00AF42A7" w:rsidR="00B656B8">
        <w:t>The site boundary from which the 30 feet is measured excludes any access or utility easements currently related to the site</w:t>
      </w:r>
      <w:r w:rsidR="00AF42A7">
        <w:t>.</w:t>
      </w:r>
    </w:p>
    <w:bookmarkEnd w:id="29"/>
    <w:p w:rsidR="00A47E3D" w:rsidRPr="00AF42A7" w:rsidP="009559EF" w14:paraId="65DF286D" w14:textId="6F066D3C">
      <w:pPr>
        <w:pStyle w:val="NoSpacing"/>
        <w:jc w:val="center"/>
        <w:rPr>
          <w:rFonts w:eastAsia="Calibri"/>
          <w:snapToGrid/>
        </w:rPr>
        <w:sectPr w:rsidSect="00D73A28">
          <w:endnotePr>
            <w:numFmt w:val="decimal"/>
          </w:endnotePr>
          <w:pgSz w:w="12240" w:h="15840"/>
          <w:pgMar w:top="1440" w:right="1440" w:bottom="720" w:left="1440" w:header="720" w:footer="720" w:gutter="0"/>
          <w:cols w:space="720"/>
          <w:noEndnote/>
          <w:titlePg/>
        </w:sectPr>
      </w:pPr>
      <w:r w:rsidRPr="00A70EC8">
        <w:rPr>
          <w:rFonts w:eastAsia="Calibri"/>
          <w:snapToGrid/>
        </w:rPr>
        <w:t xml:space="preserve">* * * * </w:t>
      </w:r>
    </w:p>
    <w:p w:rsidR="007B43B9" w:rsidRPr="00AF42A7" w:rsidP="00784056" w14:paraId="3D1ED69B" w14:textId="77777777">
      <w:pPr>
        <w:pStyle w:val="NoSpacing"/>
        <w:jc w:val="center"/>
        <w:rPr>
          <w:rFonts w:eastAsia="Calibri"/>
          <w:b/>
          <w:bCs/>
          <w:snapToGrid/>
        </w:rPr>
      </w:pPr>
      <w:bookmarkStart w:id="30" w:name="_Toc51678363"/>
      <w:r w:rsidRPr="00AF42A7">
        <w:rPr>
          <w:rFonts w:eastAsia="Calibri"/>
          <w:b/>
          <w:bCs/>
          <w:snapToGrid/>
        </w:rPr>
        <w:t>APPENDIX C</w:t>
      </w:r>
      <w:bookmarkEnd w:id="30"/>
    </w:p>
    <w:p w:rsidR="007B43B9" w:rsidRPr="00AF42A7" w:rsidP="000B6185" w14:paraId="631BDF8F" w14:textId="0C366DB1">
      <w:pPr>
        <w:jc w:val="center"/>
        <w:rPr>
          <w:rFonts w:eastAsia="Calibri"/>
          <w:b/>
          <w:bCs/>
          <w:snapToGrid/>
          <w:kern w:val="0"/>
          <w:szCs w:val="22"/>
        </w:rPr>
      </w:pPr>
      <w:r w:rsidRPr="00AF42A7">
        <w:rPr>
          <w:rFonts w:eastAsia="Calibri"/>
          <w:b/>
          <w:bCs/>
          <w:snapToGrid/>
          <w:kern w:val="0"/>
          <w:szCs w:val="22"/>
        </w:rPr>
        <w:t>Final Regulatory Flexibility Analysis</w:t>
      </w:r>
      <w:r w:rsidRPr="00AF42A7" w:rsidR="000B6185">
        <w:rPr>
          <w:rFonts w:eastAsia="Calibri"/>
          <w:b/>
          <w:bCs/>
          <w:snapToGrid/>
          <w:kern w:val="0"/>
          <w:szCs w:val="22"/>
        </w:rPr>
        <w:br/>
      </w:r>
    </w:p>
    <w:p w:rsidR="007A05B0" w:rsidRPr="00A70EC8" w:rsidP="007A05B0" w14:paraId="2B7777BE" w14:textId="444D72E0">
      <w:pPr>
        <w:pStyle w:val="ParaNum"/>
        <w:numPr>
          <w:ilvl w:val="0"/>
          <w:numId w:val="7"/>
        </w:numPr>
        <w:tabs>
          <w:tab w:val="clear" w:pos="1080"/>
          <w:tab w:val="left" w:pos="1440"/>
        </w:tabs>
      </w:pPr>
      <w:r w:rsidRPr="00AF42A7">
        <w:t>As required by the Regulatory Flexibility Act of 1980, as amended (RFA),</w:t>
      </w:r>
      <w:r>
        <w:rPr>
          <w:rStyle w:val="FootnoteReference"/>
        </w:rPr>
        <w:footnoteReference w:id="137"/>
      </w:r>
      <w:r w:rsidRPr="00A70EC8">
        <w:t xml:space="preserve"> an Initial Regulatory Flexibility Analysis (IRFA) was incorporated in the </w:t>
      </w:r>
      <w:r w:rsidRPr="00A70EC8">
        <w:rPr>
          <w:i/>
          <w:iCs/>
        </w:rPr>
        <w:t xml:space="preserve">Notice of Proposed Rulemaking (Notice) </w:t>
      </w:r>
      <w:r w:rsidRPr="007C6360">
        <w:t xml:space="preserve">released in June </w:t>
      </w:r>
      <w:r w:rsidRPr="00AF42A7" w:rsidR="00BD4539">
        <w:t>2020</w:t>
      </w:r>
      <w:r w:rsidRPr="00AF42A7">
        <w:t>.</w:t>
      </w:r>
      <w:r>
        <w:rPr>
          <w:rStyle w:val="FootnoteReference"/>
        </w:rPr>
        <w:footnoteReference w:id="138"/>
      </w:r>
      <w:r w:rsidRPr="00A70EC8" w:rsidR="00F21886">
        <w:t xml:space="preserve"> </w:t>
      </w:r>
      <w:r w:rsidRPr="00A70EC8">
        <w:t xml:space="preserve"> The Commission sought written public comment on the proposals in the </w:t>
      </w:r>
      <w:r w:rsidRPr="00A70EC8">
        <w:rPr>
          <w:i/>
          <w:iCs/>
        </w:rPr>
        <w:t>Notice</w:t>
      </w:r>
      <w:r w:rsidRPr="00A70EC8">
        <w:t xml:space="preserve">, including </w:t>
      </w:r>
      <w:r w:rsidRPr="00AF42A7">
        <w:t xml:space="preserve">comment on the IRFA.  </w:t>
      </w:r>
      <w:r w:rsidRPr="00AF42A7">
        <w:rPr>
          <w:snapToGrid/>
          <w:szCs w:val="22"/>
        </w:rPr>
        <w:t>No comments were filed addressing the IRFA</w:t>
      </w:r>
      <w:r w:rsidRPr="00AF42A7">
        <w:t>.  This present Final Regulatory Flexibility Analysis (FRFA) conforms to the RFA.</w:t>
      </w:r>
      <w:r>
        <w:rPr>
          <w:rStyle w:val="FootnoteReference"/>
        </w:rPr>
        <w:footnoteReference w:id="139"/>
      </w:r>
    </w:p>
    <w:p w:rsidR="007A05B0" w:rsidRPr="00AF42A7" w:rsidP="0009061B" w14:paraId="21397630" w14:textId="558A2562">
      <w:pPr>
        <w:pStyle w:val="Heading2"/>
      </w:pPr>
      <w:bookmarkStart w:id="31" w:name="_Toc51678364"/>
      <w:bookmarkStart w:id="32" w:name="_Toc55226812"/>
      <w:r w:rsidRPr="00A70EC8">
        <w:t xml:space="preserve">Need for, and Objectives of, the </w:t>
      </w:r>
      <w:r w:rsidRPr="007C6360">
        <w:rPr>
          <w:i/>
          <w:iCs/>
        </w:rPr>
        <w:t>Report and Order</w:t>
      </w:r>
      <w:bookmarkEnd w:id="31"/>
      <w:bookmarkEnd w:id="32"/>
    </w:p>
    <w:p w:rsidR="007A05B0" w:rsidRPr="00A70EC8" w:rsidP="007A05B0" w14:paraId="3477D1D3" w14:textId="3F1CCE8D">
      <w:pPr>
        <w:pStyle w:val="ParaNum"/>
        <w:numPr>
          <w:ilvl w:val="0"/>
          <w:numId w:val="7"/>
        </w:numPr>
        <w:tabs>
          <w:tab w:val="clear" w:pos="1080"/>
          <w:tab w:val="left" w:pos="1440"/>
        </w:tabs>
      </w:pPr>
      <w:r w:rsidRPr="00AF42A7">
        <w:t xml:space="preserve">In the </w:t>
      </w:r>
      <w:r w:rsidRPr="00AF42A7">
        <w:rPr>
          <w:i/>
          <w:iCs/>
        </w:rPr>
        <w:t>Report and Order,</w:t>
      </w:r>
      <w:r w:rsidRPr="00AF42A7">
        <w:t xml:space="preserve"> the Commission continues its efforts to reduce regulatory barriers to infrastructure deployment by further streamlining the state and local government review process for modifications to existing wireless towers or base stations under section 6409(a) of the Spectrum Act of 2012.</w:t>
      </w:r>
      <w:r>
        <w:rPr>
          <w:rStyle w:val="FootnoteReference"/>
        </w:rPr>
        <w:footnoteReference w:id="140"/>
      </w:r>
      <w:r w:rsidRPr="00A70EC8">
        <w:t xml:space="preserve">  The Commission</w:t>
      </w:r>
      <w:r w:rsidRPr="00A70EC8" w:rsidR="00FF479C">
        <w:t>’s</w:t>
      </w:r>
      <w:r w:rsidRPr="00A70EC8">
        <w:t xml:space="preserve"> decision </w:t>
      </w:r>
      <w:r w:rsidRPr="007C6360" w:rsidR="00FF479C">
        <w:t>will enco</w:t>
      </w:r>
      <w:r w:rsidRPr="00AF42A7" w:rsidR="00FF479C">
        <w:t>urage the use of existing infrastructure, where efficient, to accelerate deployment of 5G and other advanced networks, which will enable economic opportunities across the nation</w:t>
      </w:r>
      <w:r w:rsidRPr="00AF42A7">
        <w:t xml:space="preserve">.  More specifically, the </w:t>
      </w:r>
      <w:r w:rsidRPr="00AF42A7">
        <w:rPr>
          <w:i/>
          <w:iCs/>
        </w:rPr>
        <w:t>Report and Order</w:t>
      </w:r>
      <w:r w:rsidRPr="00AF42A7" w:rsidR="0057388E">
        <w:rPr>
          <w:i/>
        </w:rPr>
        <w:t xml:space="preserve"> </w:t>
      </w:r>
      <w:r w:rsidRPr="00AF42A7" w:rsidR="0057388E">
        <w:t xml:space="preserve">revises the Commission’s rules to provide that the modification of an existing tower outside the public rights-of-way that entails ground excavation or deployment of </w:t>
      </w:r>
      <w:r w:rsidR="00B8726C">
        <w:t xml:space="preserve">transmission equipment </w:t>
      </w:r>
      <w:r w:rsidRPr="00AF42A7" w:rsidR="0057388E">
        <w:t>up to 30 feet in any direction outside the site will be eligible for streamlined processing under section 6409(a) review.</w:t>
      </w:r>
      <w:r>
        <w:rPr>
          <w:rStyle w:val="FootnoteReference"/>
        </w:rPr>
        <w:footnoteReference w:id="141"/>
      </w:r>
      <w:r w:rsidRPr="00A70EC8" w:rsidR="0057388E">
        <w:t xml:space="preserve">  </w:t>
      </w:r>
      <w:r w:rsidRPr="00B8726C" w:rsidR="00B8726C">
        <w:t>T</w:t>
      </w:r>
      <w:r w:rsidR="00B8726C">
        <w:t xml:space="preserve">he </w:t>
      </w:r>
      <w:r w:rsidR="00B8726C">
        <w:rPr>
          <w:i/>
          <w:iCs/>
        </w:rPr>
        <w:t xml:space="preserve">Report and Order </w:t>
      </w:r>
      <w:r w:rsidR="00B8726C">
        <w:t>clarifies that t</w:t>
      </w:r>
      <w:r w:rsidRPr="00B8726C" w:rsidR="00B8726C">
        <w:t>he site boundary from which the 30 feet is measured excludes any access or utility easements currently related to the site</w:t>
      </w:r>
      <w:r w:rsidR="00B8726C">
        <w:t>.</w:t>
      </w:r>
      <w:r>
        <w:rPr>
          <w:rStyle w:val="FootnoteReference"/>
        </w:rPr>
        <w:footnoteReference w:id="142"/>
      </w:r>
      <w:r w:rsidR="00B8726C">
        <w:t xml:space="preserve">  </w:t>
      </w:r>
      <w:r w:rsidRPr="00A70EC8" w:rsidR="0057388E">
        <w:t xml:space="preserve">It also revises the Commission’s rules to clarify that </w:t>
      </w:r>
      <w:r w:rsidRPr="00A70EC8" w:rsidR="00D0431C">
        <w:t xml:space="preserve">a site’s current boundaries </w:t>
      </w:r>
      <w:r w:rsidRPr="007C6360" w:rsidR="00806635">
        <w:t xml:space="preserve">are the boundaries that existed as of the date that </w:t>
      </w:r>
      <w:r w:rsidRPr="00AF42A7" w:rsidR="008D5FDC">
        <w:t>the original</w:t>
      </w:r>
      <w:r w:rsidRPr="00AF42A7" w:rsidR="00806635">
        <w:t xml:space="preserve"> support structure </w:t>
      </w:r>
      <w:r w:rsidRPr="00AF42A7" w:rsidR="008D5FDC">
        <w:t xml:space="preserve">or a modification to that structure </w:t>
      </w:r>
      <w:r w:rsidRPr="00AF42A7" w:rsidR="00806635">
        <w:t xml:space="preserve">was last reviewed and approved </w:t>
      </w:r>
      <w:r w:rsidRPr="00AF42A7" w:rsidR="00D53682">
        <w:t>by a</w:t>
      </w:r>
      <w:r w:rsidRPr="00AF42A7" w:rsidR="00806635">
        <w:t xml:space="preserve"> </w:t>
      </w:r>
      <w:r w:rsidR="000B2E8F">
        <w:t>s</w:t>
      </w:r>
      <w:r w:rsidRPr="00AF42A7" w:rsidR="00806635">
        <w:t xml:space="preserve">tate or local </w:t>
      </w:r>
      <w:r w:rsidRPr="00AF42A7" w:rsidR="00D53682">
        <w:t>government</w:t>
      </w:r>
      <w:r w:rsidRPr="00AF42A7" w:rsidR="00806635">
        <w:t>,</w:t>
      </w:r>
      <w:r w:rsidRPr="00AF42A7" w:rsidR="005358AF">
        <w:t xml:space="preserve"> if the approval of the modification occurred prior to the Spectrum Act or otherwise outside of the </w:t>
      </w:r>
      <w:r w:rsidRPr="00AF42A7" w:rsidR="00AF4A31">
        <w:t>s</w:t>
      </w:r>
      <w:r w:rsidRPr="00AF42A7" w:rsidR="005358AF">
        <w:t>ection 6409(a) process</w:t>
      </w:r>
      <w:r w:rsidRPr="00AF42A7" w:rsidR="0057388E">
        <w:t>.</w:t>
      </w:r>
      <w:r>
        <w:rPr>
          <w:rStyle w:val="FootnoteReference"/>
        </w:rPr>
        <w:footnoteReference w:id="143"/>
      </w:r>
      <w:r w:rsidRPr="00A70EC8">
        <w:t xml:space="preserve">  </w:t>
      </w:r>
      <w:r w:rsidRPr="00A70EC8" w:rsidR="008D5FDC">
        <w:rPr>
          <w:rFonts w:eastAsia="Calibri"/>
          <w:snapToGrid/>
          <w:kern w:val="0"/>
          <w:szCs w:val="22"/>
        </w:rPr>
        <w:t xml:space="preserve"> </w:t>
      </w:r>
    </w:p>
    <w:p w:rsidR="007A05B0" w:rsidRPr="00A70EC8" w:rsidP="007A05B0" w14:paraId="73B962F1" w14:textId="4EAE069C">
      <w:pPr>
        <w:pStyle w:val="ParaNum"/>
        <w:numPr>
          <w:ilvl w:val="0"/>
          <w:numId w:val="7"/>
        </w:numPr>
        <w:tabs>
          <w:tab w:val="clear" w:pos="1080"/>
          <w:tab w:val="left" w:pos="1440"/>
        </w:tabs>
      </w:pPr>
      <w:r w:rsidRPr="00A70EC8">
        <w:t xml:space="preserve"> </w:t>
      </w:r>
      <w:r w:rsidRPr="007C6360" w:rsidR="00CA61F0">
        <w:t xml:space="preserve">Our rule revisions </w:t>
      </w:r>
      <w:r w:rsidRPr="00AF42A7" w:rsidR="00CA61F0">
        <w:t xml:space="preserve">reflect the recent recognition of 30 feet as an appropriate standard in the federal historic preservation context and the changes in the collocation marketplace, which is lacking space for collocations.  </w:t>
      </w:r>
      <w:r w:rsidRPr="00AF42A7" w:rsidR="00AD3783">
        <w:t>Th</w:t>
      </w:r>
      <w:r w:rsidRPr="00AF42A7" w:rsidR="00E538B6">
        <w:t xml:space="preserve">is </w:t>
      </w:r>
      <w:r w:rsidRPr="00AF42A7" w:rsidR="00AD3783">
        <w:t xml:space="preserve">standard is consistent with the current collocation marketplace and with the threshold adopted in the Wireless Facilities NPA and recently included in the Amended Collocation NPA.  </w:t>
      </w:r>
      <w:r w:rsidRPr="00AF42A7" w:rsidR="0023650F">
        <w:t>Further,</w:t>
      </w:r>
      <w:r w:rsidRPr="00AF42A7" w:rsidR="002659FD">
        <w:t xml:space="preserve"> at least “eight states have passed laws that expressly permit compound expansion within certain limits . . . under an exempt or expedited review process.”</w:t>
      </w:r>
      <w:r w:rsidRPr="00AF42A7" w:rsidR="002659FD">
        <w:rPr>
          <w:rStyle w:val="FootnoteReference"/>
        </w:rPr>
        <w:t xml:space="preserve"> </w:t>
      </w:r>
      <w:r>
        <w:rPr>
          <w:rStyle w:val="FootnoteReference"/>
        </w:rPr>
        <w:footnoteReference w:id="144"/>
      </w:r>
      <w:r w:rsidRPr="00A70EC8" w:rsidR="002659FD">
        <w:t xml:space="preserve">  Most of these laws allow expansion beyond 30 feet from the approved site.</w:t>
      </w:r>
      <w:r>
        <w:rPr>
          <w:rStyle w:val="FootnoteReference"/>
        </w:rPr>
        <w:footnoteReference w:id="145"/>
      </w:r>
      <w:r w:rsidRPr="00A70EC8" w:rsidR="002659FD">
        <w:t xml:space="preserve">   </w:t>
      </w:r>
    </w:p>
    <w:p w:rsidR="007A05B0" w:rsidRPr="007C6360" w:rsidP="0009061B" w14:paraId="2A15A8D8" w14:textId="77777777">
      <w:pPr>
        <w:pStyle w:val="Heading2"/>
      </w:pPr>
      <w:bookmarkStart w:id="33" w:name="_Toc51678365"/>
      <w:bookmarkStart w:id="34" w:name="_Toc55226813"/>
      <w:r w:rsidRPr="00A70EC8">
        <w:t>Summary of Significant Issues Raised by Public Comments in Response to the IRFA</w:t>
      </w:r>
      <w:bookmarkEnd w:id="33"/>
      <w:bookmarkEnd w:id="34"/>
    </w:p>
    <w:p w:rsidR="007A05B0" w:rsidRPr="00AF42A7" w:rsidP="007A05B0" w14:paraId="1BFB3286" w14:textId="77777777">
      <w:pPr>
        <w:pStyle w:val="ParaNum"/>
        <w:numPr>
          <w:ilvl w:val="0"/>
          <w:numId w:val="7"/>
        </w:numPr>
        <w:tabs>
          <w:tab w:val="clear" w:pos="1080"/>
          <w:tab w:val="left" w:pos="1440"/>
        </w:tabs>
        <w:rPr>
          <w:b/>
          <w:bCs/>
        </w:rPr>
      </w:pPr>
      <w:r w:rsidRPr="00AF42A7">
        <w:t xml:space="preserve">There were no comments filed that specifically addressed the proposed rules and policies presented in the IRFA.  </w:t>
      </w:r>
    </w:p>
    <w:p w:rsidR="007A05B0" w:rsidRPr="00AF42A7" w:rsidP="0009061B" w14:paraId="0ECE002C" w14:textId="39FAA872">
      <w:pPr>
        <w:pStyle w:val="Heading2"/>
      </w:pPr>
      <w:bookmarkStart w:id="35" w:name="_Toc51678366"/>
      <w:bookmarkStart w:id="36" w:name="_Toc55226814"/>
      <w:r w:rsidRPr="00AF42A7">
        <w:t>Response to Comments by the Chief Counsel for Advocacy of the Small Business Administration</w:t>
      </w:r>
      <w:bookmarkEnd w:id="35"/>
      <w:bookmarkEnd w:id="36"/>
    </w:p>
    <w:p w:rsidR="007A05B0" w:rsidRPr="00A70EC8" w:rsidP="007A05B0" w14:paraId="0FE94206" w14:textId="77777777">
      <w:pPr>
        <w:pStyle w:val="ParaNum"/>
        <w:numPr>
          <w:ilvl w:val="0"/>
          <w:numId w:val="7"/>
        </w:numPr>
        <w:tabs>
          <w:tab w:val="clear" w:pos="1080"/>
          <w:tab w:val="left" w:pos="1440"/>
        </w:tabs>
      </w:pPr>
      <w:r w:rsidRPr="00AF42A7">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46"/>
      </w:r>
    </w:p>
    <w:p w:rsidR="007A05B0" w:rsidRPr="00AF42A7" w:rsidP="007A05B0" w14:paraId="02968FD7" w14:textId="0A949E37">
      <w:pPr>
        <w:pStyle w:val="ParaNum"/>
        <w:numPr>
          <w:ilvl w:val="0"/>
          <w:numId w:val="7"/>
        </w:numPr>
        <w:tabs>
          <w:tab w:val="clear" w:pos="1080"/>
          <w:tab w:val="left" w:pos="1440"/>
        </w:tabs>
      </w:pPr>
      <w:r w:rsidRPr="00A70EC8">
        <w:t>The Chief Counsel did not file any comments in response to the proposed rules in this proceeding.</w:t>
      </w:r>
    </w:p>
    <w:p w:rsidR="007A05B0" w:rsidRPr="00AF42A7" w:rsidP="0009061B" w14:paraId="6518CC4C" w14:textId="7028E6C4">
      <w:pPr>
        <w:pStyle w:val="Heading2"/>
      </w:pPr>
      <w:bookmarkStart w:id="37" w:name="_Toc51678367"/>
      <w:bookmarkStart w:id="38" w:name="_Toc55226815"/>
      <w:r w:rsidRPr="00AF42A7">
        <w:t>Description and Estimate of the Number of Small Entities to Which the Rules Will Apply</w:t>
      </w:r>
      <w:bookmarkEnd w:id="37"/>
      <w:bookmarkEnd w:id="38"/>
      <w:r w:rsidRPr="00AF42A7">
        <w:t xml:space="preserve"> </w:t>
      </w:r>
    </w:p>
    <w:p w:rsidR="007A05B0" w:rsidRPr="00A70EC8" w:rsidP="007A05B0" w14:paraId="03626B5D" w14:textId="77740E0F">
      <w:pPr>
        <w:pStyle w:val="ParaNum"/>
        <w:numPr>
          <w:ilvl w:val="0"/>
          <w:numId w:val="7"/>
        </w:numPr>
        <w:tabs>
          <w:tab w:val="clear" w:pos="1080"/>
          <w:tab w:val="left" w:pos="1440"/>
        </w:tabs>
      </w:pPr>
      <w:r w:rsidRPr="00AF42A7">
        <w:t>The RFA directs agencies to provide a description of, and where feasible, an estimate of the number of small entities that may be affected by the rules and adopted herein.</w:t>
      </w:r>
      <w:r>
        <w:rPr>
          <w:vertAlign w:val="superscript"/>
        </w:rPr>
        <w:footnoteReference w:id="147"/>
      </w:r>
      <w:r w:rsidRPr="00A70EC8">
        <w:t xml:space="preserve">  The RFA generally defines the term “small entity” as having the same meaning as the terms “small business,” “small organization,” and “small governmental jurisdiction.”</w:t>
      </w:r>
      <w:r>
        <w:rPr>
          <w:vertAlign w:val="superscript"/>
        </w:rPr>
        <w:footnoteReference w:id="148"/>
      </w:r>
      <w:r w:rsidRPr="00A70EC8">
        <w:t xml:space="preserve">  In addition, the term “small business” has the same meaning as the term “small business concern” under the Small Business Act.</w:t>
      </w:r>
      <w:r>
        <w:rPr>
          <w:vertAlign w:val="superscript"/>
        </w:rPr>
        <w:footnoteReference w:id="149"/>
      </w:r>
      <w:r w:rsidRPr="00A70EC8">
        <w:t xml:space="preserve">  A “small business concern” is one which: (1) is independently owned and operated; (2) is not dominant in its field of operation; and (3) satisfies any additional criteria established by the SBA.</w:t>
      </w:r>
      <w:r>
        <w:rPr>
          <w:vertAlign w:val="superscript"/>
        </w:rPr>
        <w:footnoteReference w:id="150"/>
      </w:r>
      <w:r w:rsidRPr="00A70EC8">
        <w:t xml:space="preserve">  </w:t>
      </w:r>
    </w:p>
    <w:p w:rsidR="007A05B0" w:rsidRPr="00A70EC8" w:rsidP="007A05B0" w14:paraId="71BD7A8A" w14:textId="77777777">
      <w:pPr>
        <w:pStyle w:val="ParaNum"/>
        <w:numPr>
          <w:ilvl w:val="0"/>
          <w:numId w:val="7"/>
        </w:numPr>
        <w:tabs>
          <w:tab w:val="clear" w:pos="1080"/>
          <w:tab w:val="left" w:pos="1440"/>
        </w:tabs>
      </w:pPr>
      <w:r w:rsidRPr="00A70EC8">
        <w:rPr>
          <w:i/>
          <w:iCs/>
        </w:rPr>
        <w:t xml:space="preserve">Small Businesses, Small </w:t>
      </w:r>
      <w:r w:rsidRPr="007C6360">
        <w:rPr>
          <w:i/>
          <w:iCs/>
        </w:rPr>
        <w:t>Organizations, Small Governmental Jurisdictions.</w:t>
      </w:r>
      <w:r w:rsidRPr="00AF42A7">
        <w:t xml:space="preserve">  Our actions, over time, may affect small entities that are not easily categorized at present.  We therefore describe here, at the outset, three broad groups of small entities that could be directly affected herein.</w:t>
      </w:r>
      <w:r>
        <w:rPr>
          <w:vertAlign w:val="superscript"/>
        </w:rPr>
        <w:footnoteReference w:id="151"/>
      </w:r>
      <w:r w:rsidRPr="00A70EC8">
        <w:t xml:space="preserve">  First, while there are industry specific size standards for small businesses that are used in the regulatory flexibility analysis, according to data from the Small Business Administration’s (SBA) Office of Advocacy, in general a small business i</w:t>
      </w:r>
      <w:r w:rsidRPr="007C6360">
        <w:t>s an independent business having fewer than 500</w:t>
      </w:r>
      <w:r w:rsidRPr="00AF42A7">
        <w:t xml:space="preserve"> employees.</w:t>
      </w:r>
      <w:r>
        <w:rPr>
          <w:vertAlign w:val="superscript"/>
        </w:rPr>
        <w:footnoteReference w:id="152"/>
      </w:r>
      <w:r w:rsidRPr="00A70EC8">
        <w:t xml:space="preserve">  These types of small businesses represent 99.9% of all businesses in the United States, which translates to 30.7 million businesses.</w:t>
      </w:r>
      <w:r>
        <w:rPr>
          <w:vertAlign w:val="superscript"/>
        </w:rPr>
        <w:footnoteReference w:id="153"/>
      </w:r>
    </w:p>
    <w:p w:rsidR="007A05B0" w:rsidRPr="00A70EC8" w:rsidP="007A05B0" w14:paraId="0D130356" w14:textId="05F9FE10">
      <w:pPr>
        <w:pStyle w:val="ParaNum"/>
        <w:numPr>
          <w:ilvl w:val="0"/>
          <w:numId w:val="7"/>
        </w:numPr>
        <w:tabs>
          <w:tab w:val="clear" w:pos="1080"/>
          <w:tab w:val="left" w:pos="1440"/>
        </w:tabs>
      </w:pPr>
      <w:r w:rsidRPr="00A70EC8">
        <w:t>Next, the type of small entity described as a “small organiza</w:t>
      </w:r>
      <w:r w:rsidRPr="007C6360">
        <w:t>tion” is generally “any not-for-profit enterp</w:t>
      </w:r>
      <w:r w:rsidRPr="00AF42A7">
        <w:t>rise which is independently owned and operated and is not dominant in its field.”</w:t>
      </w:r>
      <w:r>
        <w:rPr>
          <w:vertAlign w:val="superscript"/>
        </w:rPr>
        <w:footnoteReference w:id="154"/>
      </w:r>
      <w:r w:rsidRPr="00A70EC8" w:rsidR="00A373BE">
        <w:t xml:space="preserve"> </w:t>
      </w:r>
      <w:r w:rsidRPr="00A70EC8">
        <w:t xml:space="preserve"> The </w:t>
      </w:r>
      <w:r w:rsidRPr="00A70EC8">
        <w:t>Internal Revenue Service (IRS) uses a revenue benchmark of $50,000 or less to delineate its annual electronic filing requirements for small exempt organizations.</w:t>
      </w:r>
      <w:r>
        <w:rPr>
          <w:vertAlign w:val="superscript"/>
        </w:rPr>
        <w:footnoteReference w:id="155"/>
      </w:r>
      <w:r w:rsidRPr="00A70EC8">
        <w:t xml:space="preserve">  Nationwide, for tax year 2018, there were approximately 571,709 small exempt organizations in the U.S. reporting revenues of $50,000 or less according to the registration and tax data for exempt organizations available from the IRS.</w:t>
      </w:r>
      <w:r>
        <w:rPr>
          <w:vertAlign w:val="superscript"/>
        </w:rPr>
        <w:footnoteReference w:id="156"/>
      </w:r>
      <w:r w:rsidRPr="00A70EC8">
        <w:t xml:space="preserve"> </w:t>
      </w:r>
    </w:p>
    <w:p w:rsidR="007A05B0" w:rsidRPr="00A70EC8" w:rsidP="007A05B0" w14:paraId="2D73AFD1" w14:textId="77777777">
      <w:pPr>
        <w:pStyle w:val="ParaNum"/>
        <w:numPr>
          <w:ilvl w:val="0"/>
          <w:numId w:val="7"/>
        </w:numPr>
        <w:tabs>
          <w:tab w:val="clear" w:pos="1080"/>
          <w:tab w:val="left" w:pos="1440"/>
        </w:tabs>
      </w:pPr>
      <w:r w:rsidRPr="00A70EC8">
        <w:t>Finally, the small ent</w:t>
      </w:r>
      <w:r w:rsidRPr="007C6360">
        <w:t>ity described as a “small governmental jurisdiction” is defined generally as “governments of cities, counties, towns, townships, villages, school districts, or special districts, with a population of less than fift</w:t>
      </w:r>
      <w:r w:rsidRPr="00AF42A7">
        <w:t>y thousand.”</w:t>
      </w:r>
      <w:r>
        <w:rPr>
          <w:vertAlign w:val="superscript"/>
        </w:rPr>
        <w:footnoteReference w:id="157"/>
      </w:r>
      <w:r w:rsidRPr="00A70EC8">
        <w:t xml:space="preserve">  U.S. Census Bureau data from the 2017 Census of Governments</w:t>
      </w:r>
      <w:r>
        <w:rPr>
          <w:vertAlign w:val="superscript"/>
        </w:rPr>
        <w:footnoteReference w:id="158"/>
      </w:r>
      <w:r w:rsidRPr="00A70EC8">
        <w:t xml:space="preserve"> indicate that there were 90,075 local governmental jurisdictions consisting of general purpose governments and special purpose governments in the United States.</w:t>
      </w:r>
      <w:r>
        <w:rPr>
          <w:vertAlign w:val="superscript"/>
        </w:rPr>
        <w:footnoteReference w:id="159"/>
      </w:r>
      <w:r w:rsidRPr="00A70EC8">
        <w:t xml:space="preserve">  Of this number there were 36,931 general purpose governments (county</w:t>
      </w:r>
      <w:r>
        <w:rPr>
          <w:vertAlign w:val="superscript"/>
        </w:rPr>
        <w:footnoteReference w:id="160"/>
      </w:r>
      <w:r w:rsidRPr="00A70EC8">
        <w:t>, municipal and town or township</w:t>
      </w:r>
      <w:r>
        <w:rPr>
          <w:vertAlign w:val="superscript"/>
        </w:rPr>
        <w:footnoteReference w:id="161"/>
      </w:r>
      <w:r w:rsidRPr="00A70EC8">
        <w:t>) with populations of less than 50,000 and 12,040 special purpose governments - independent school districts</w:t>
      </w:r>
      <w:r>
        <w:rPr>
          <w:vertAlign w:val="superscript"/>
        </w:rPr>
        <w:footnoteReference w:id="162"/>
      </w:r>
      <w:r w:rsidRPr="00A70EC8">
        <w:t xml:space="preserve"> with enrollment </w:t>
      </w:r>
      <w:r w:rsidRPr="00A70EC8">
        <w:t>populations of less than 50,000.</w:t>
      </w:r>
      <w:r>
        <w:rPr>
          <w:vertAlign w:val="superscript"/>
        </w:rPr>
        <w:footnoteReference w:id="163"/>
      </w:r>
      <w:r w:rsidRPr="00A70EC8">
        <w:t xml:space="preserve">  Accordingly, based on the 2017 U.S. Census of Governments data, we estimate that at least 48,971 entities fall into the category of “small governmental jurisdictions.”</w:t>
      </w:r>
      <w:r>
        <w:rPr>
          <w:vertAlign w:val="superscript"/>
        </w:rPr>
        <w:footnoteReference w:id="164"/>
      </w:r>
    </w:p>
    <w:p w:rsidR="007A05B0" w:rsidRPr="007C6360" w:rsidP="007A05B0" w14:paraId="4A2CB9E5" w14:textId="77777777">
      <w:pPr>
        <w:pStyle w:val="ParaNum"/>
        <w:numPr>
          <w:ilvl w:val="0"/>
          <w:numId w:val="7"/>
        </w:numPr>
        <w:tabs>
          <w:tab w:val="clear" w:pos="1080"/>
          <w:tab w:val="left" w:pos="1440"/>
        </w:tabs>
      </w:pPr>
      <w:r w:rsidRPr="00A70EC8">
        <w:rPr>
          <w:i/>
          <w:iCs/>
        </w:rPr>
        <w:t>Wireless Telecommunications Carriers (except Satellite).</w:t>
      </w:r>
      <w:r w:rsidRPr="007C6360">
        <w:t xml:space="preserve">  This industry comprises establishments engaged in operating and maintaini</w:t>
      </w:r>
      <w:r w:rsidRPr="00AF42A7">
        <w:t>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165"/>
      </w:r>
      <w:r w:rsidRPr="00A70EC8">
        <w:t xml:space="preserve">  The appropriate size standard under SBA rules is that such a business is small if it has 1,500 or fewer employees.</w:t>
      </w:r>
      <w:r>
        <w:rPr>
          <w:vertAlign w:val="superscript"/>
        </w:rPr>
        <w:footnoteReference w:id="166"/>
      </w:r>
      <w:r w:rsidRPr="00A70EC8">
        <w:t xml:space="preserve">  For this industry, U.S. Census Bureau data for 2012 show that there were 967 firms that operated for the entire year.</w:t>
      </w:r>
      <w:r>
        <w:rPr>
          <w:vertAlign w:val="superscript"/>
        </w:rPr>
        <w:footnoteReference w:id="167"/>
      </w:r>
      <w:r w:rsidRPr="00A70EC8">
        <w:t xml:space="preserve">  Of this total, 955 firms employed fewer than 1,000 employees and 12 firms employed of 1000 employees or more.</w:t>
      </w:r>
      <w:r>
        <w:rPr>
          <w:vertAlign w:val="superscript"/>
        </w:rPr>
        <w:footnoteReference w:id="168"/>
      </w:r>
      <w:r w:rsidRPr="00A70EC8">
        <w:t xml:space="preserve">  Thus under </w:t>
      </w:r>
      <w:bookmarkStart w:id="43" w:name="_Hlk31781740"/>
      <w:r w:rsidRPr="00A70EC8">
        <w:t xml:space="preserve">this category and the associated size standard, the Commission estimates that </w:t>
      </w:r>
      <w:bookmarkEnd w:id="43"/>
      <w:r w:rsidRPr="00A70EC8">
        <w:t xml:space="preserve">the majority of Wireless Telecommunications Carriers (except Satellite) are small entities.  </w:t>
      </w:r>
    </w:p>
    <w:p w:rsidR="007A05B0" w:rsidRPr="00A70EC8" w:rsidP="007A05B0" w14:paraId="30E45F48" w14:textId="77777777">
      <w:pPr>
        <w:pStyle w:val="ParaNum"/>
        <w:numPr>
          <w:ilvl w:val="0"/>
          <w:numId w:val="7"/>
        </w:numPr>
        <w:tabs>
          <w:tab w:val="clear" w:pos="1080"/>
          <w:tab w:val="left" w:pos="1440"/>
        </w:tabs>
      </w:pPr>
      <w:r w:rsidRPr="00AF42A7">
        <w:t>The Commission’s own data—available in its Universal Licensing System—indicate that, as of August 31, 2018 there are 265 Cellular licensees that will be affected by our actions.</w:t>
      </w:r>
      <w:r>
        <w:rPr>
          <w:vertAlign w:val="superscript"/>
        </w:rPr>
        <w:footnoteReference w:id="169"/>
      </w:r>
      <w:r w:rsidRPr="00A70EC8">
        <w:t xml:space="preserve">  The Commission does not know how many of these licensees are small, as the Commission does not collect that information for these types of entities.  Similarly, according to internally developed Commission data, 413 carriers reported that they were e</w:t>
      </w:r>
      <w:r w:rsidRPr="007C6360">
        <w:t>ngaged in the provision of wireless telephony, including cellular service, Personal Communications Service (PCS), and Specialized Mobile Radio (SMR) Telephony servic</w:t>
      </w:r>
      <w:r w:rsidRPr="00AF42A7">
        <w:t>es.</w:t>
      </w:r>
      <w:r>
        <w:rPr>
          <w:vertAlign w:val="superscript"/>
        </w:rPr>
        <w:footnoteReference w:id="170"/>
      </w:r>
      <w:r w:rsidRPr="00A70EC8">
        <w:t xml:space="preserve">  Of this total, an estimated 261 have 1,500 or fewer employees, and 152 have more than 1,500 employees.</w:t>
      </w:r>
      <w:r>
        <w:rPr>
          <w:vertAlign w:val="superscript"/>
        </w:rPr>
        <w:footnoteReference w:id="171"/>
      </w:r>
      <w:r w:rsidRPr="00A70EC8">
        <w:t xml:space="preserve">  Thus, using available data, we estimate that the majority of wireless firms can be considered small.  </w:t>
      </w:r>
    </w:p>
    <w:p w:rsidR="007A05B0" w:rsidRPr="00AF42A7" w:rsidP="007A05B0" w14:paraId="442825DF" w14:textId="77777777">
      <w:pPr>
        <w:pStyle w:val="ParaNum"/>
        <w:numPr>
          <w:ilvl w:val="0"/>
          <w:numId w:val="7"/>
        </w:numPr>
        <w:tabs>
          <w:tab w:val="clear" w:pos="1080"/>
          <w:tab w:val="left" w:pos="1440"/>
        </w:tabs>
      </w:pPr>
      <w:r w:rsidRPr="007C6360">
        <w:rPr>
          <w:i/>
          <w:iCs/>
        </w:rPr>
        <w:t>All Other Telecommunications.</w:t>
      </w:r>
      <w:r w:rsidRPr="00AF42A7">
        <w:rPr>
          <w:b/>
          <w:bCs/>
        </w:rPr>
        <w:t xml:space="preserve">  </w:t>
      </w:r>
      <w:r w:rsidRPr="00AF42A7">
        <w:t xml:space="preserve">The “All Other Telecommunications” category is comprised of establishments primarily engaged in providing specialized telecommunications services, </w:t>
      </w:r>
      <w:r w:rsidRPr="00AF42A7">
        <w:t>such as satellite tracking, communications telemetry, and radar station operation.</w:t>
      </w:r>
      <w:r>
        <w:rPr>
          <w:vertAlign w:val="superscript"/>
        </w:rPr>
        <w:footnoteReference w:id="172"/>
      </w:r>
      <w:r w:rsidRPr="00A70EC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173"/>
      </w:r>
      <w:r w:rsidRPr="00A70EC8">
        <w:t xml:space="preserve">  Establishments providing Internet services or voice over Internet protocol (VoIP) services via client-supplied telecommunications connections are also included in this industry.</w:t>
      </w:r>
      <w:r>
        <w:rPr>
          <w:vertAlign w:val="superscript"/>
        </w:rPr>
        <w:footnoteReference w:id="174"/>
      </w:r>
      <w:r w:rsidRPr="00A70EC8">
        <w:t xml:space="preserve">  The SBA has developed a small business size standard for “All Other Telecommunications”, which consists of all such firms with annual receipts of $35 million or less.</w:t>
      </w:r>
      <w:r>
        <w:rPr>
          <w:vertAlign w:val="superscript"/>
        </w:rPr>
        <w:footnoteReference w:id="175"/>
      </w:r>
      <w:r w:rsidRPr="00A70EC8">
        <w:t xml:space="preserve">  For this category, U.S. Census Bureau data for 2012 show that there were 1,442 firms that operated for the entire year.</w:t>
      </w:r>
      <w:r>
        <w:rPr>
          <w:vertAlign w:val="superscript"/>
        </w:rPr>
        <w:footnoteReference w:id="176"/>
      </w:r>
      <w:r w:rsidRPr="00A70EC8">
        <w:t xml:space="preserve">  Of those firms, a total of 1,400 had annual receipts less than $25 million and 15 firms had annual receipts of $25 million to $49, 999,999.</w:t>
      </w:r>
      <w:r>
        <w:rPr>
          <w:vertAlign w:val="superscript"/>
        </w:rPr>
        <w:footnoteReference w:id="177"/>
      </w:r>
      <w:r w:rsidRPr="00A70EC8">
        <w:t xml:space="preserve">  Thus, the Commission estimates that the majority of “All Other Telecommunications” firms potentially affected by our action can be considered small. </w:t>
      </w:r>
    </w:p>
    <w:p w:rsidR="007A05B0" w:rsidRPr="00AF42A7" w:rsidP="007A05B0" w14:paraId="5341B83F" w14:textId="77777777">
      <w:pPr>
        <w:pStyle w:val="ParaNum"/>
        <w:numPr>
          <w:ilvl w:val="0"/>
          <w:numId w:val="7"/>
        </w:numPr>
        <w:tabs>
          <w:tab w:val="clear" w:pos="1080"/>
          <w:tab w:val="left" w:pos="1440"/>
        </w:tabs>
      </w:pPr>
      <w:bookmarkStart w:id="46" w:name="_Hlk33776329"/>
      <w:r w:rsidRPr="00AF42A7">
        <w:rPr>
          <w:i/>
          <w:iCs/>
        </w:rPr>
        <w:t>Fixed Microwave Services.</w:t>
      </w:r>
      <w:r w:rsidRPr="00AF42A7">
        <w:t xml:space="preserve">  Microwave services include common carrier,</w:t>
      </w:r>
      <w:r>
        <w:rPr>
          <w:vertAlign w:val="superscript"/>
        </w:rPr>
        <w:footnoteReference w:id="178"/>
      </w:r>
      <w:r w:rsidRPr="00A70EC8">
        <w:t xml:space="preserve"> private-operational fixed,</w:t>
      </w:r>
      <w:r>
        <w:rPr>
          <w:vertAlign w:val="superscript"/>
        </w:rPr>
        <w:footnoteReference w:id="179"/>
      </w:r>
      <w:r w:rsidRPr="00A70EC8">
        <w:t xml:space="preserve"> and broadcast auxiliary radio services.</w:t>
      </w:r>
      <w:r>
        <w:rPr>
          <w:vertAlign w:val="superscript"/>
        </w:rPr>
        <w:footnoteReference w:id="180"/>
      </w:r>
      <w:r w:rsidRPr="00A70EC8">
        <w:t xml:space="preserve">  They also include the Upper Microwave Flexible Use Service,</w:t>
      </w:r>
      <w:r>
        <w:rPr>
          <w:vertAlign w:val="superscript"/>
        </w:rPr>
        <w:footnoteReference w:id="181"/>
      </w:r>
      <w:r w:rsidRPr="00A70EC8">
        <w:t xml:space="preserve"> Millimeter Wave Service,</w:t>
      </w:r>
      <w:r>
        <w:rPr>
          <w:vertAlign w:val="superscript"/>
        </w:rPr>
        <w:footnoteReference w:id="182"/>
      </w:r>
      <w:r w:rsidRPr="00A70EC8">
        <w:t xml:space="preserve">  </w:t>
      </w:r>
      <w:bookmarkStart w:id="47" w:name="_Hlk510607394"/>
      <w:r w:rsidRPr="00A70EC8">
        <w:t>Local Multipoint Distribution Service (LMDS),</w:t>
      </w:r>
      <w:r>
        <w:rPr>
          <w:vertAlign w:val="superscript"/>
        </w:rPr>
        <w:footnoteReference w:id="183"/>
      </w:r>
      <w:r w:rsidRPr="00A70EC8">
        <w:t xml:space="preserve"> the Digital Electronic Message Service (DEMS),</w:t>
      </w:r>
      <w:r>
        <w:rPr>
          <w:vertAlign w:val="superscript"/>
        </w:rPr>
        <w:footnoteReference w:id="184"/>
      </w:r>
      <w:r w:rsidRPr="00A70EC8">
        <w:t xml:space="preserve"> and the 24 GHz Service,</w:t>
      </w:r>
      <w:r>
        <w:rPr>
          <w:vertAlign w:val="superscript"/>
        </w:rPr>
        <w:footnoteReference w:id="185"/>
      </w:r>
      <w:r w:rsidRPr="00A70EC8">
        <w:t xml:space="preserve"> </w:t>
      </w:r>
      <w:bookmarkEnd w:id="47"/>
      <w:r w:rsidRPr="00A70EC8">
        <w:t>where licensees can choose between common carrier and non-common carrier status.</w:t>
      </w:r>
      <w:r>
        <w:rPr>
          <w:vertAlign w:val="superscript"/>
        </w:rPr>
        <w:footnoteReference w:id="186"/>
      </w:r>
      <w:r w:rsidRPr="00A70EC8">
        <w:t xml:space="preserve">  There are approximately 66,680</w:t>
      </w:r>
      <w:r w:rsidRPr="00A70EC8">
        <w:rPr>
          <w:b/>
          <w:bCs/>
        </w:rPr>
        <w:t xml:space="preserve"> </w:t>
      </w:r>
      <w:r w:rsidRPr="00A70EC8">
        <w:t>common carrier fixed licensees, 69,360 private and public safety operational-fixed licensees, 20,150 broadcast auxiliary radio licensees, 411 LMDS lic</w:t>
      </w:r>
      <w:r w:rsidRPr="00AF42A7">
        <w:t>enses, 33 24 GHz DEMS licenses, 777 39 GHz licenses, and five 24 GHz licenses, and 467 Millimeter Wave licenses in the microwave services.</w:t>
      </w:r>
      <w:r>
        <w:rPr>
          <w:vertAlign w:val="superscript"/>
        </w:rPr>
        <w:footnoteReference w:id="187"/>
      </w:r>
      <w:r w:rsidRPr="00A70EC8">
        <w:t xml:space="preserve">  </w:t>
      </w:r>
      <w:bookmarkStart w:id="48" w:name="_Hlk24011364"/>
      <w:r w:rsidRPr="00A70EC8">
        <w:t xml:space="preserve">The Commission has not yet defined a small business with respect to microwave services.  The closest applicable SBA </w:t>
      </w:r>
      <w:r w:rsidRPr="00A70EC8">
        <w:t>category is Wireless Telecommunications Carriers (except Satellite)</w:t>
      </w:r>
      <w:r>
        <w:rPr>
          <w:vertAlign w:val="superscript"/>
        </w:rPr>
        <w:footnoteReference w:id="188"/>
      </w:r>
      <w:r w:rsidRPr="00A70EC8">
        <w:t xml:space="preserve"> and the appropriate size standard for this category under SBA rules is that such a business is small if it has 1,500 or fewer employees.</w:t>
      </w:r>
      <w:r>
        <w:rPr>
          <w:vertAlign w:val="superscript"/>
        </w:rPr>
        <w:footnoteReference w:id="189"/>
      </w:r>
      <w:r w:rsidRPr="00A70EC8">
        <w:t xml:space="preserve">  For this industry, U.S. Census Bureau data for 2012 show that there were 967 firms that operated for the entire year.</w:t>
      </w:r>
      <w:r>
        <w:rPr>
          <w:vertAlign w:val="superscript"/>
        </w:rPr>
        <w:footnoteReference w:id="190"/>
      </w:r>
      <w:r w:rsidRPr="00A70EC8">
        <w:t xml:space="preserve">  Of this total, 955 firms had employment of 999 or fewer employees and 12 had employment of 1000 employees or more.</w:t>
      </w:r>
      <w:r>
        <w:rPr>
          <w:vertAlign w:val="superscript"/>
        </w:rPr>
        <w:footnoteReference w:id="191"/>
      </w:r>
      <w:r w:rsidRPr="00A70EC8">
        <w:t xml:space="preserve"> Thus under this SBA category and the associated size standard, the Commission estimates that a majority of fixed microwave service licensees can be considered small</w:t>
      </w:r>
      <w:bookmarkEnd w:id="48"/>
      <w:r w:rsidRPr="00A70EC8">
        <w:t>.</w:t>
      </w:r>
    </w:p>
    <w:p w:rsidR="007A05B0" w:rsidRPr="00AF42A7" w:rsidP="007A05B0" w14:paraId="1B4639BB" w14:textId="77777777">
      <w:pPr>
        <w:pStyle w:val="ParaNum"/>
        <w:numPr>
          <w:ilvl w:val="0"/>
          <w:numId w:val="7"/>
        </w:numPr>
        <w:tabs>
          <w:tab w:val="clear" w:pos="1080"/>
          <w:tab w:val="left" w:pos="1440"/>
        </w:tabs>
      </w:pPr>
      <w:r w:rsidRPr="00AF42A7">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  </w:t>
      </w:r>
      <w:bookmarkEnd w:id="46"/>
    </w:p>
    <w:p w:rsidR="007A05B0" w:rsidRPr="00AF42A7" w:rsidP="007A05B0" w14:paraId="70218389" w14:textId="77777777">
      <w:pPr>
        <w:pStyle w:val="ParaNum"/>
        <w:numPr>
          <w:ilvl w:val="0"/>
          <w:numId w:val="7"/>
        </w:numPr>
        <w:tabs>
          <w:tab w:val="clear" w:pos="1080"/>
          <w:tab w:val="left" w:pos="1440"/>
        </w:tabs>
      </w:pPr>
      <w:r w:rsidRPr="00AF42A7">
        <w:rPr>
          <w:i/>
          <w:iCs/>
        </w:rPr>
        <w:t>FM Translator Stations and Low Power FM Stations</w:t>
      </w:r>
      <w:r w:rsidRPr="00AF42A7">
        <w:rPr>
          <w:bCs/>
        </w:rPr>
        <w:t>.</w:t>
      </w:r>
      <w:r w:rsidRPr="00AF42A7">
        <w:rPr>
          <w:b/>
          <w:bCs/>
        </w:rPr>
        <w:t xml:space="preserve">  </w:t>
      </w:r>
      <w:r w:rsidRPr="00AF42A7">
        <w:t>FM translators and Low Power FM Stations are classified in the category of Radio Stations and are assigned the same NAICs Code as licensees of radio stations.</w:t>
      </w:r>
      <w:r>
        <w:rPr>
          <w:vertAlign w:val="superscript"/>
        </w:rPr>
        <w:footnoteReference w:id="192"/>
      </w:r>
      <w:r w:rsidRPr="00A70EC8">
        <w:t xml:space="preserve">  This U.S. industry, Radio Stations, comprises establishments primarily engaged in broadcasting aural programs by radio to the public.</w:t>
      </w:r>
      <w:r>
        <w:rPr>
          <w:vertAlign w:val="superscript"/>
        </w:rPr>
        <w:footnoteReference w:id="193"/>
      </w:r>
      <w:r w:rsidRPr="00A70EC8">
        <w:t xml:space="preserve">  Programming may originate in their own studio, from an affiliated network, or from external sources.</w:t>
      </w:r>
      <w:r>
        <w:rPr>
          <w:vertAlign w:val="superscript"/>
        </w:rPr>
        <w:footnoteReference w:id="194"/>
      </w:r>
      <w:r w:rsidRPr="00A70EC8">
        <w:t xml:space="preserve">  The SBA has established a small business size standard which consists of all radio stations whose annual receipts are $41.5 million dollars or less.</w:t>
      </w:r>
      <w:r>
        <w:rPr>
          <w:vertAlign w:val="superscript"/>
        </w:rPr>
        <w:footnoteReference w:id="195"/>
      </w:r>
      <w:r w:rsidRPr="00A70EC8">
        <w:t xml:space="preserve">  U.S. Census Bureau data for 2012 indicate that 2,849 radio station firms operated during that year.</w:t>
      </w:r>
      <w:r>
        <w:rPr>
          <w:vertAlign w:val="superscript"/>
        </w:rPr>
        <w:footnoteReference w:id="196"/>
      </w:r>
      <w:r w:rsidRPr="00A70EC8">
        <w:t xml:space="preserve">  Of that number, 2,806 operated with annual receipts of less than $25 million per year, 17 with annual receipts be</w:t>
      </w:r>
      <w:r w:rsidRPr="00AF42A7">
        <w:t>tween $25 million and $49,999,999 million and 26 with annual receipts of $50 million or more.</w:t>
      </w:r>
      <w:r>
        <w:rPr>
          <w:vertAlign w:val="superscript"/>
        </w:rPr>
        <w:footnoteReference w:id="197"/>
      </w:r>
      <w:r w:rsidRPr="00A70EC8">
        <w:t xml:space="preserve">  Therefore, based on the SBA’s size standard we conclude that the majority of FM Translator Stations and Low Power FM Stations are small.</w:t>
      </w:r>
    </w:p>
    <w:p w:rsidR="007A05B0" w:rsidRPr="00A70EC8" w:rsidP="007A05B0" w14:paraId="50C01F59" w14:textId="77777777">
      <w:pPr>
        <w:pStyle w:val="ParaNum"/>
        <w:numPr>
          <w:ilvl w:val="0"/>
          <w:numId w:val="7"/>
        </w:numPr>
        <w:tabs>
          <w:tab w:val="clear" w:pos="1080"/>
          <w:tab w:val="left" w:pos="1440"/>
        </w:tabs>
      </w:pPr>
      <w:bookmarkStart w:id="52" w:name="_Hlk39483611"/>
      <w:r w:rsidRPr="00AF42A7">
        <w:rPr>
          <w:i/>
          <w:iCs/>
        </w:rPr>
        <w:t xml:space="preserve">Location and Monitoring Service (LMS). </w:t>
      </w:r>
      <w:r w:rsidRPr="00AF42A7">
        <w:t xml:space="preserve"> </w:t>
      </w:r>
      <w:bookmarkEnd w:id="52"/>
      <w:r w:rsidRPr="00AF42A7">
        <w:t>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Pr>
          <w:vertAlign w:val="superscript"/>
        </w:rPr>
        <w:footnoteReference w:id="198"/>
      </w:r>
      <w:r w:rsidRPr="00A70EC8">
        <w:t xml:space="preserve">  A “very small business” is defined as an entity that, together with controlling interests and affiliates, has average annual gross revenues for the preceding three years not to exceed $3 million.</w:t>
      </w:r>
      <w:r>
        <w:rPr>
          <w:vertAlign w:val="superscript"/>
        </w:rPr>
        <w:footnoteReference w:id="199"/>
      </w:r>
      <w:r w:rsidRPr="00A70EC8">
        <w:t xml:space="preserve">  These definitions have been approved by the SBA.</w:t>
      </w:r>
      <w:r>
        <w:rPr>
          <w:vertAlign w:val="superscript"/>
        </w:rPr>
        <w:footnoteReference w:id="200"/>
      </w:r>
      <w:r w:rsidRPr="00A70EC8">
        <w:t xml:space="preserve">  An auction for LMS licenses commenced on February 23, 1999 and closed on March 5, 1999.  Of the 528 licenses auctioned, 289 licenses were sold to four small businesses.</w:t>
      </w:r>
    </w:p>
    <w:p w:rsidR="007A05B0" w:rsidRPr="00A70EC8" w:rsidP="007A05B0" w14:paraId="757F677B" w14:textId="77777777">
      <w:pPr>
        <w:pStyle w:val="ParaNum"/>
        <w:numPr>
          <w:ilvl w:val="0"/>
          <w:numId w:val="7"/>
        </w:numPr>
        <w:tabs>
          <w:tab w:val="clear" w:pos="1080"/>
          <w:tab w:val="left" w:pos="1440"/>
        </w:tabs>
      </w:pPr>
      <w:bookmarkStart w:id="53" w:name="_Hlk39483685"/>
      <w:r w:rsidRPr="00AF42A7">
        <w:rPr>
          <w:i/>
          <w:iCs/>
        </w:rPr>
        <w:t>Multichannel Video Distribution and Data Service (MVDDS)</w:t>
      </w:r>
      <w:r w:rsidRPr="00AF42A7">
        <w:t>.</w:t>
      </w:r>
      <w:bookmarkEnd w:id="53"/>
      <w:r w:rsidRPr="00AF42A7">
        <w:t xml:space="preserve">  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Pr>
          <w:vertAlign w:val="superscript"/>
        </w:rPr>
        <w:footnoteReference w:id="201"/>
      </w:r>
      <w:r w:rsidRPr="00A70EC8">
        <w:t xml:space="preserve">  These definitions were approved by the SBA.</w:t>
      </w:r>
      <w:r>
        <w:rPr>
          <w:vertAlign w:val="superscript"/>
        </w:rPr>
        <w:footnoteReference w:id="202"/>
      </w:r>
      <w:r w:rsidRPr="00A70EC8">
        <w:t xml:space="preserve">  On January 27, 2004, the Commission completed an auction of 214 MVDDS licenses (Auction No. 53).  In this auction, ten winning bidders won a total of 192 MVDDS </w:t>
      </w:r>
      <w:r w:rsidRPr="00AF42A7">
        <w:t>licenses.</w:t>
      </w:r>
      <w:r>
        <w:rPr>
          <w:vertAlign w:val="superscript"/>
        </w:rPr>
        <w:footnoteReference w:id="203"/>
      </w:r>
      <w:r w:rsidRPr="00A70EC8">
        <w:t xml:space="preserve">  Eight of the ten winning bidders claimed small business status and won 144 of the licenses.  The Commission also held an auction of MVDDS licenses on December 7, 2005 (Auction 63).  Of the three winning bidders who won 22 licenses, two winning </w:t>
      </w:r>
      <w:r w:rsidRPr="00AF42A7">
        <w:t>bidders, winning 21 of the licenses, claimed small business status.</w:t>
      </w:r>
      <w:r>
        <w:rPr>
          <w:vertAlign w:val="superscript"/>
        </w:rPr>
        <w:footnoteReference w:id="204"/>
      </w:r>
      <w:r w:rsidRPr="00A70EC8">
        <w:t xml:space="preserve"> </w:t>
      </w:r>
    </w:p>
    <w:p w:rsidR="007A05B0" w:rsidRPr="00AF42A7" w:rsidP="007A05B0" w14:paraId="33B1C4D5" w14:textId="77777777">
      <w:pPr>
        <w:pStyle w:val="ParaNum"/>
        <w:numPr>
          <w:ilvl w:val="0"/>
          <w:numId w:val="7"/>
        </w:numPr>
        <w:tabs>
          <w:tab w:val="clear" w:pos="1080"/>
          <w:tab w:val="left" w:pos="1440"/>
        </w:tabs>
      </w:pPr>
      <w:r w:rsidRPr="00A70EC8">
        <w:rPr>
          <w:i/>
          <w:iCs/>
        </w:rPr>
        <w:t>Multiple Address Systems.</w:t>
      </w:r>
      <w:r w:rsidRPr="00AF42A7">
        <w:t xml:space="preserve">  Entities using Multiple Address Systems (MAS) spectrum, in general, fall into two categories: (1) those using the spectrum for profit-based uses, and (2) those using the spectrum for private internal uses.  With respect to the first category, Profit-based Spectrum use, the size standards established by the Commission define “small entity” for MAS licensees as an entity that has average annual gross revenues of less than $15 million over the three previous calendar years.</w:t>
      </w:r>
      <w:r>
        <w:rPr>
          <w:vertAlign w:val="superscript"/>
        </w:rPr>
        <w:footnoteReference w:id="205"/>
      </w:r>
      <w:r w:rsidRPr="00A70EC8">
        <w:t xml:space="preserve">  A “Very small business” is defined as an entity that, together with its affiliates, has average annual gross </w:t>
      </w:r>
      <w:r w:rsidRPr="00A70EC8">
        <w:t>revenues of not more than $3 million over the preceding three calendar years.</w:t>
      </w:r>
      <w:r>
        <w:rPr>
          <w:vertAlign w:val="superscript"/>
        </w:rPr>
        <w:footnoteReference w:id="206"/>
      </w:r>
      <w:r w:rsidRPr="00A70EC8">
        <w:t xml:space="preserve">  The SBA has approved these definitions.</w:t>
      </w:r>
      <w:r>
        <w:rPr>
          <w:vertAlign w:val="superscript"/>
        </w:rPr>
        <w:footnoteReference w:id="207"/>
      </w:r>
      <w:r w:rsidRPr="00A70EC8">
        <w:t xml:space="preserve">  The majority of MAS operators are licensed in bands where the Commission has implemented a geographic area licensing approach that requires</w:t>
      </w:r>
      <w:r w:rsidRPr="007C6360">
        <w:t xml:space="preserve"> the use of competitive bidding procedures to resolve mutually exclusive applic</w:t>
      </w:r>
      <w:r w:rsidRPr="00AF42A7">
        <w:t xml:space="preserve">ations.  </w:t>
      </w:r>
    </w:p>
    <w:p w:rsidR="007A05B0" w:rsidRPr="00AF42A7" w:rsidP="007A05B0" w14:paraId="45D8EFA1" w14:textId="77777777">
      <w:pPr>
        <w:pStyle w:val="ParaNum"/>
        <w:numPr>
          <w:ilvl w:val="0"/>
          <w:numId w:val="7"/>
        </w:numPr>
        <w:tabs>
          <w:tab w:val="clear" w:pos="1080"/>
          <w:tab w:val="left" w:pos="1440"/>
        </w:tabs>
      </w:pPr>
      <w:r w:rsidRPr="00AF42A7">
        <w:t>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Economic Area market area MAS authorizations.  The Commission’s licensing database also indicates that, as of April 16, 2010, of the 11,653 total MAS station authorizations, 10,773 authorizations were for private radio service.  In 2001, an auction for 5,104 MAS licenses in 176 EAs was conducted.</w:t>
      </w:r>
      <w:r>
        <w:rPr>
          <w:vertAlign w:val="superscript"/>
        </w:rPr>
        <w:footnoteReference w:id="208"/>
      </w:r>
      <w:r w:rsidRPr="00A70EC8">
        <w:t xml:space="preserve">  Seven winning bidders claimed status as small or very small businesses and won 611 licenses.  In 2005, the Commission complete</w:t>
      </w:r>
      <w:r w:rsidRPr="007C6360">
        <w:t>d an auction (Auction 59) of 4,226 MAS licenses in the Fixed Microwave Services from the 928/959 and 932/941 MHz bands.  Twenty-six winning bidders won a total of 2,323 license</w:t>
      </w:r>
      <w:r w:rsidRPr="00AF42A7">
        <w:t xml:space="preserve">s.  Of the 26 winning bidders in this auction, five claimed small business status and won 1,891 licenses. </w:t>
      </w:r>
    </w:p>
    <w:p w:rsidR="007A05B0" w:rsidRPr="00AF42A7" w:rsidP="007A05B0" w14:paraId="2E6DBB92" w14:textId="77777777">
      <w:pPr>
        <w:pStyle w:val="ParaNum"/>
        <w:numPr>
          <w:ilvl w:val="0"/>
          <w:numId w:val="7"/>
        </w:numPr>
        <w:tabs>
          <w:tab w:val="clear" w:pos="1080"/>
          <w:tab w:val="left" w:pos="1440"/>
        </w:tabs>
      </w:pPr>
      <w:r w:rsidRPr="00AF42A7">
        <w:t>With respect to the second category, Internal Private Spectrum use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definition developed by the SBA would be more appropriate than the Commission’s definition.  The closest applicable definition of a small entity is the “Wireless Telecommunications Carriers (except Satellite)” definition under the SBA size standards.</w:t>
      </w:r>
      <w:r>
        <w:rPr>
          <w:vertAlign w:val="superscript"/>
        </w:rPr>
        <w:footnoteReference w:id="209"/>
      </w:r>
      <w:r w:rsidRPr="00A70EC8">
        <w:t xml:space="preserve">  The appropriate size standard under SBA rules is that such a business is small if it has 1,500 or fewer employees.</w:t>
      </w:r>
      <w:r>
        <w:rPr>
          <w:vertAlign w:val="superscript"/>
        </w:rPr>
        <w:footnoteReference w:id="210"/>
      </w:r>
      <w:r w:rsidRPr="00A70EC8">
        <w:t xml:space="preserve">  For this category, U.S. Census Bureau data for 2012 show that there were 967 firms that operated for the entire year.</w:t>
      </w:r>
      <w:r>
        <w:rPr>
          <w:vertAlign w:val="superscript"/>
        </w:rPr>
        <w:footnoteReference w:id="211"/>
      </w:r>
      <w:r w:rsidRPr="00A70EC8">
        <w:t xml:space="preserve">  Of this total, 955 firms had employment of 999 or fewer employees and 12 had employment of 1000 employees or more.</w:t>
      </w:r>
      <w:r>
        <w:rPr>
          <w:vertAlign w:val="superscript"/>
        </w:rPr>
        <w:footnoteReference w:id="212"/>
      </w:r>
      <w:r w:rsidRPr="00A70EC8">
        <w:t xml:space="preserve">  Thus under this category and the associated small business size standard, th</w:t>
      </w:r>
      <w:r w:rsidRPr="007C6360">
        <w:t>e Commission estimates that the majority of firms that may be affected by our action</w:t>
      </w:r>
      <w:r w:rsidRPr="00AF42A7">
        <w:t xml:space="preserve"> can be considered small. </w:t>
      </w:r>
    </w:p>
    <w:p w:rsidR="007A05B0" w:rsidRPr="00AF42A7" w:rsidP="0001680F" w14:paraId="42C19FD6" w14:textId="77777777">
      <w:pPr>
        <w:pStyle w:val="ParaNum"/>
        <w:widowControl/>
        <w:numPr>
          <w:ilvl w:val="0"/>
          <w:numId w:val="7"/>
        </w:numPr>
        <w:tabs>
          <w:tab w:val="clear" w:pos="1080"/>
          <w:tab w:val="left" w:pos="1440"/>
        </w:tabs>
      </w:pPr>
      <w:r w:rsidRPr="00AF42A7">
        <w:rPr>
          <w:i/>
        </w:rPr>
        <w:t>Non-Licensee Owners of Towers and Other Infrastructure</w:t>
      </w:r>
      <w:r w:rsidRPr="00AF42A7">
        <w:t xml:space="preserve">.  Although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Commission’s </w:t>
      </w:r>
      <w:r w:rsidRPr="00AF42A7">
        <w:t>Antenna Structure Registration (“ASR”) system and comply with applicable rules regarding review for impact on the environment and historic properties.</w:t>
      </w:r>
    </w:p>
    <w:p w:rsidR="007A05B0" w:rsidRPr="00AF42A7" w:rsidP="007A05B0" w14:paraId="191DBFBE" w14:textId="77777777">
      <w:pPr>
        <w:pStyle w:val="ParaNum"/>
        <w:numPr>
          <w:ilvl w:val="0"/>
          <w:numId w:val="7"/>
        </w:numPr>
        <w:tabs>
          <w:tab w:val="clear" w:pos="1080"/>
          <w:tab w:val="left" w:pos="1440"/>
        </w:tabs>
      </w:pPr>
      <w:r w:rsidRPr="00AF42A7">
        <w:t>As of March 1, 2017, the ASR database includes approximately 122,157 registration records reflecting a “Constructed” status and 13,987 registration records reflecting a “Granted, Not Constructed” status.  These figures include both towers registered to licensees and towers registered to non-licensee tower owners.  The Commission does not keep information from which we can easily determine how many of these towers are registered to non-licensees or how many non-licensees have registered towers.</w:t>
      </w:r>
      <w:r>
        <w:rPr>
          <w:vertAlign w:val="superscript"/>
        </w:rPr>
        <w:footnoteReference w:id="213"/>
      </w:r>
      <w:r w:rsidRPr="00A70EC8">
        <w:t xml:space="preserve">  Regarding towers that do not require ASR registration, we do not collect information as to the number of such towers in use and therefore cannot estimate the number of tower own</w:t>
      </w:r>
      <w:r w:rsidRPr="007C6360">
        <w:t>ers that would be subject to the rules on which we seek comment.  Moreover, the SBA h</w:t>
      </w:r>
      <w:r w:rsidRPr="00AF42A7">
        <w:t xml:space="preserve">as not developed a size standard for small businesses in the category “Tower Owners.”  Therefore, we are unable to determine the number of non-licensee tower owners that are small entities.  We believe, however, that when all entities owning 10 or fewer towers and leasing space for collocation are included, non-licensee tower </w:t>
      </w:r>
      <w:r w:rsidRPr="00AF42A7">
        <w:t>owners</w:t>
      </w:r>
      <w:r w:rsidRPr="00AF42A7">
        <w:t xml:space="preserve"> number in the thousands.  In addition, there may be other non-licensee owners of other wireless infrastructure, including Distributed Antenna Systems (DAS) and small cells that might be affected by the measures on which we seek comment.  We do not have any basis for estimating the number of such non-licensee owners that are small entities.  </w:t>
      </w:r>
    </w:p>
    <w:p w:rsidR="007A05B0" w:rsidRPr="007C6360" w:rsidP="007A05B0" w14:paraId="25519E30" w14:textId="77777777">
      <w:pPr>
        <w:pStyle w:val="ParaNum"/>
        <w:numPr>
          <w:ilvl w:val="0"/>
          <w:numId w:val="7"/>
        </w:numPr>
        <w:tabs>
          <w:tab w:val="clear" w:pos="1080"/>
          <w:tab w:val="left" w:pos="1440"/>
        </w:tabs>
      </w:pPr>
      <w:r w:rsidRPr="00AF42A7">
        <w:t>The closest applicable SBA category is All Other Telecommunications,</w:t>
      </w:r>
      <w:r>
        <w:rPr>
          <w:vertAlign w:val="superscript"/>
        </w:rPr>
        <w:footnoteReference w:id="214"/>
      </w:r>
      <w:r w:rsidRPr="00A70EC8">
        <w:t xml:space="preserve"> and the appropriate size standard consists of all such firms with gross annual receipts of $38 million or less.</w:t>
      </w:r>
      <w:r>
        <w:rPr>
          <w:vertAlign w:val="superscript"/>
        </w:rPr>
        <w:footnoteReference w:id="215"/>
      </w:r>
      <w:r w:rsidRPr="00A70EC8">
        <w:t xml:space="preserve">  For this category, U.S. Census Bureau data for 2012 show that there were 1</w:t>
      </w:r>
      <w:r w:rsidRPr="007C6360">
        <w:t>,442 firms that operated for the entire year.</w:t>
      </w:r>
      <w:r>
        <w:rPr>
          <w:vertAlign w:val="superscript"/>
        </w:rPr>
        <w:footnoteReference w:id="216"/>
      </w:r>
      <w:r w:rsidRPr="00A70EC8">
        <w:t xml:space="preserve">  Of these firms, a total of 1,400 had gross annual receipts of less than $25 million and 15 firms had annual receipts of $25 million to $49, 999,999.</w:t>
      </w:r>
      <w:r>
        <w:rPr>
          <w:vertAlign w:val="superscript"/>
        </w:rPr>
        <w:footnoteReference w:id="217"/>
      </w:r>
      <w:r w:rsidRPr="00A70EC8">
        <w:t xml:space="preserve">  Thus, under this SBA size standard a majority of the firms potentially affected by our action can be considered small.  </w:t>
      </w:r>
    </w:p>
    <w:p w:rsidR="007A05B0" w:rsidRPr="00AF42A7" w:rsidP="007A05B0" w14:paraId="472E59D3" w14:textId="77777777">
      <w:pPr>
        <w:pStyle w:val="ParaNum"/>
        <w:numPr>
          <w:ilvl w:val="0"/>
          <w:numId w:val="7"/>
        </w:numPr>
        <w:tabs>
          <w:tab w:val="clear" w:pos="1080"/>
          <w:tab w:val="left" w:pos="1440"/>
        </w:tabs>
      </w:pPr>
      <w:r w:rsidRPr="00AF42A7">
        <w:rPr>
          <w:i/>
          <w:iCs/>
        </w:rPr>
        <w:t>Personal Radio Services.</w:t>
      </w:r>
      <w:r w:rsidRPr="00AF42A7">
        <w:t xml:space="preserve">  Personal radio services provide short-range, low-power radio for personal communications, radio signaling, and business communications not provided for in other services.  Personal radio services include services operating in spectrum licensed under Part 95 of our rules.</w:t>
      </w:r>
      <w:r>
        <w:rPr>
          <w:vertAlign w:val="superscript"/>
        </w:rPr>
        <w:footnoteReference w:id="218"/>
      </w:r>
      <w:r w:rsidRPr="00A70EC8">
        <w:t xml:space="preserve">  These services include Citizen Band Radio Service, General Mobile Radio Service, Radio Control Radio Service, Family Radio Service, Wireless Medical Telemetry Service, Medical Implant Communications Service, Low Power Radio Service, an</w:t>
      </w:r>
      <w:r w:rsidRPr="007C6360">
        <w:t>d Multi-Use Radio Service.</w:t>
      </w:r>
      <w:r>
        <w:rPr>
          <w:vertAlign w:val="superscript"/>
        </w:rPr>
        <w:footnoteReference w:id="219"/>
      </w:r>
      <w:r w:rsidRPr="00A70EC8">
        <w:t xml:space="preserve">  There are a variety of methods used to license the spectrum in these rule parts, from licensing by rule, to conditioning </w:t>
      </w:r>
      <w:r w:rsidRPr="00A70EC8">
        <w:t>operation on successful completion of a required test, to site-based licensing, to geographic area licensi</w:t>
      </w:r>
      <w:r w:rsidRPr="007C6360">
        <w:t>ng.  All such entities in this category are wireless, therefore we apply the definition of Wireless Telecommunications Carriers (except Satellite),</w:t>
      </w:r>
      <w:r>
        <w:rPr>
          <w:vertAlign w:val="superscript"/>
        </w:rPr>
        <w:footnoteReference w:id="220"/>
      </w:r>
      <w:r w:rsidRPr="00A70EC8">
        <w:t xml:space="preserve"> pursuant to which the SBA’s small entity size standard is defined as those entities employing 1,500 or fewer persons.</w:t>
      </w:r>
      <w:r>
        <w:rPr>
          <w:vertAlign w:val="superscript"/>
        </w:rPr>
        <w:footnoteReference w:id="221"/>
      </w:r>
      <w:r w:rsidRPr="00A70EC8">
        <w:t xml:space="preserve">  For this industry, U.S. Census Bureau data for 2012 show that there were 967 firms that operated for the entire year.</w:t>
      </w:r>
      <w:r>
        <w:rPr>
          <w:vertAlign w:val="superscript"/>
        </w:rPr>
        <w:footnoteReference w:id="222"/>
      </w:r>
      <w:r w:rsidRPr="00A70EC8">
        <w:t xml:space="preserve">  Of this total, 955 firms had employment of 999 or fewer employees and 12 had employment of 1000 employees or more.</w:t>
      </w:r>
      <w:r>
        <w:rPr>
          <w:vertAlign w:val="superscript"/>
        </w:rPr>
        <w:footnoteReference w:id="223"/>
      </w:r>
      <w:r w:rsidRPr="00A70EC8">
        <w:t xml:space="preserve">  Thus u</w:t>
      </w:r>
      <w:r w:rsidRPr="007C6360">
        <w:t>nder this category and the associated size standard, the Commission estimates that the majority of firms can be considered small.  We note however, that many of the licensees in this category are individuals and not small entities.  In addition, due to the</w:t>
      </w:r>
      <w:r w:rsidRPr="00AF42A7">
        <w:t xml:space="preserve"> mostly unlicensed and shared nature of the spectrum utilized in many of these services, the Commission lacks direct information upon which to base an estimation of the number of small entities that may be affected by our actions in this proceeding.</w:t>
      </w:r>
    </w:p>
    <w:p w:rsidR="007A05B0" w:rsidRPr="007C6360" w:rsidP="007A05B0" w14:paraId="5838CAF1" w14:textId="77777777">
      <w:pPr>
        <w:pStyle w:val="ParaNum"/>
        <w:numPr>
          <w:ilvl w:val="0"/>
          <w:numId w:val="7"/>
        </w:numPr>
        <w:tabs>
          <w:tab w:val="clear" w:pos="1080"/>
          <w:tab w:val="left" w:pos="1440"/>
        </w:tabs>
      </w:pPr>
      <w:r w:rsidRPr="00AF42A7">
        <w:rPr>
          <w:i/>
          <w:iCs/>
        </w:rPr>
        <w:t>Private Land Mobile Radio Licensees</w:t>
      </w:r>
      <w:r w:rsidRPr="00AF42A7">
        <w:t>.  Private land mobile radio (PLMR) systems 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The closest applicable SBA category is Wireless Telecommunications Carriers (except Satellite) which encompasses business entities engag</w:t>
      </w:r>
      <w:r w:rsidRPr="00AF42A7">
        <w:rPr>
          <w:i/>
          <w:iCs/>
        </w:rPr>
        <w:t>ed in radiotelephone communications.</w:t>
      </w:r>
      <w:r>
        <w:rPr>
          <w:vertAlign w:val="superscript"/>
        </w:rPr>
        <w:footnoteReference w:id="224"/>
      </w:r>
      <w:r w:rsidRPr="00A70EC8">
        <w:rPr>
          <w:i/>
          <w:iCs/>
        </w:rPr>
        <w:t xml:space="preserve">  </w:t>
      </w:r>
      <w:r w:rsidRPr="00A70EC8">
        <w:t xml:space="preserve">The appropriate size </w:t>
      </w:r>
      <w:r w:rsidRPr="007C6360">
        <w:t>standard for this category under SBA rules is that such a business is small if it has 1,500 or fewer employees</w:t>
      </w:r>
      <w:r w:rsidRPr="007C6360">
        <w:rPr>
          <w:i/>
          <w:iCs/>
        </w:rPr>
        <w:t>.</w:t>
      </w:r>
      <w:r>
        <w:rPr>
          <w:vertAlign w:val="superscript"/>
        </w:rPr>
        <w:footnoteReference w:id="225"/>
      </w:r>
      <w:r w:rsidRPr="00A70EC8">
        <w:rPr>
          <w:i/>
          <w:iCs/>
        </w:rPr>
        <w:t xml:space="preserve">  </w:t>
      </w:r>
      <w:r w:rsidRPr="00A70EC8">
        <w:t>For this industry, U.S. Census Bureau d</w:t>
      </w:r>
      <w:r w:rsidRPr="007C6360">
        <w:t>ata for 2012 show that there were 967 firms that operated for the entire year.</w:t>
      </w:r>
      <w:r>
        <w:rPr>
          <w:vertAlign w:val="superscript"/>
        </w:rPr>
        <w:footnoteReference w:id="226"/>
      </w:r>
      <w:r w:rsidRPr="00A70EC8">
        <w:t xml:space="preserve">  Of this total, 955 firms had employment of 999 or fewer employees and 12 had employment of 1000 employees or more.</w:t>
      </w:r>
      <w:r>
        <w:rPr>
          <w:vertAlign w:val="superscript"/>
        </w:rPr>
        <w:footnoteReference w:id="227"/>
      </w:r>
      <w:r w:rsidRPr="00A70EC8">
        <w:t xml:space="preserve">  Thus under this category and the associated size standard, the Commission estimates that the majority of PLMR Licensees are small entities.  </w:t>
      </w:r>
    </w:p>
    <w:p w:rsidR="007A05B0" w:rsidRPr="00AF42A7" w:rsidP="007A05B0" w14:paraId="15CE70D8" w14:textId="4E5565AE">
      <w:pPr>
        <w:pStyle w:val="ParaNum"/>
        <w:numPr>
          <w:ilvl w:val="0"/>
          <w:numId w:val="7"/>
        </w:numPr>
        <w:tabs>
          <w:tab w:val="clear" w:pos="1080"/>
          <w:tab w:val="left" w:pos="1440"/>
        </w:tabs>
      </w:pPr>
      <w:r w:rsidRPr="007C6360">
        <w:t>According to the</w:t>
      </w:r>
      <w:r w:rsidRPr="00AF42A7">
        <w:t xml:space="preserve"> Commission’s records, a total of approximately 400,622 licenses comprise PLMR users.</w:t>
      </w:r>
      <w:r>
        <w:rPr>
          <w:vertAlign w:val="superscript"/>
        </w:rPr>
        <w:footnoteReference w:id="228"/>
      </w:r>
      <w:r w:rsidRPr="00A70EC8">
        <w:t xml:space="preserve">  There are a total of approximately 3,577 PLMR licenses in the 4.9 GHz band</w:t>
      </w:r>
      <w:r>
        <w:rPr>
          <w:vertAlign w:val="superscript"/>
        </w:rPr>
        <w:footnoteReference w:id="229"/>
      </w:r>
      <w:r w:rsidRPr="00A70EC8">
        <w:t xml:space="preserve">; </w:t>
      </w:r>
      <w:r w:rsidRPr="00A70EC8">
        <w:t>19,359 PLMR licenses in the 800 MHz band</w:t>
      </w:r>
      <w:r>
        <w:rPr>
          <w:vertAlign w:val="superscript"/>
        </w:rPr>
        <w:footnoteReference w:id="230"/>
      </w:r>
      <w:r w:rsidRPr="00A70EC8">
        <w:t>; and 3,374 licenses in the frequencies range 173.225 MHz to 173.375 MHz.</w:t>
      </w:r>
      <w:r>
        <w:rPr>
          <w:vertAlign w:val="superscript"/>
        </w:rPr>
        <w:footnoteReference w:id="231"/>
      </w:r>
      <w:r w:rsidRPr="00A70EC8">
        <w:t xml:space="preserve">  The Commission does not require PLMR licensees to disclose information about number of employees, and does not have information th</w:t>
      </w:r>
      <w:r w:rsidRPr="007C6360">
        <w:t>at could be used to determine how many PLMR licensees constitute small entities under this defin</w:t>
      </w:r>
      <w:r w:rsidRPr="00AF42A7">
        <w:t>ition.  The Commission however believes that a substantial number of PLMR licensees may be small entities despite the lack of specific information.</w:t>
      </w:r>
    </w:p>
    <w:p w:rsidR="007A05B0" w:rsidRPr="00AF42A7" w:rsidP="007A05B0" w14:paraId="2BCBDA86" w14:textId="270F699F">
      <w:pPr>
        <w:pStyle w:val="ParaNum"/>
        <w:numPr>
          <w:ilvl w:val="0"/>
          <w:numId w:val="7"/>
        </w:numPr>
        <w:tabs>
          <w:tab w:val="clear" w:pos="1080"/>
          <w:tab w:val="left" w:pos="1440"/>
        </w:tabs>
      </w:pPr>
      <w:r w:rsidRPr="00AF42A7">
        <w:rPr>
          <w:i/>
          <w:iCs/>
        </w:rPr>
        <w:t>Public Safety Radio Licensees.</w:t>
      </w:r>
      <w:r w:rsidRPr="00AF42A7">
        <w:t xml:space="preserve">  As a general matter, Public Safety Radio Pool licensees include police, fire, local government, forestry conservation, highway maintenance, and emergency medical services.</w:t>
      </w:r>
      <w:r>
        <w:rPr>
          <w:vertAlign w:val="superscript"/>
        </w:rPr>
        <w:footnoteReference w:id="232"/>
      </w:r>
      <w:r w:rsidRPr="00A70EC8">
        <w:t xml:space="preserve">  Because of the vast array of public safety licensees, the Commission has not developed a small business size standard specifically applicable to public safet</w:t>
      </w:r>
      <w:r w:rsidRPr="007C6360">
        <w:t>y licensees.  The closest applicable SBA category is Wireless Telecommunications Carriers (except Satellite) which encompasses business entities engaged in radiotelephone communications.</w:t>
      </w:r>
      <w:r>
        <w:rPr>
          <w:vertAlign w:val="superscript"/>
        </w:rPr>
        <w:footnoteReference w:id="233"/>
      </w:r>
      <w:r w:rsidRPr="00A70EC8">
        <w:t xml:space="preserve">  The appropriate size standard for this category under SBA rules is that such a business is small if it has 1,500 or fewer employees</w:t>
      </w:r>
      <w:r w:rsidRPr="00A70EC8">
        <w:rPr>
          <w:i/>
          <w:iCs/>
        </w:rPr>
        <w:t>.</w:t>
      </w:r>
      <w:r>
        <w:rPr>
          <w:vertAlign w:val="superscript"/>
        </w:rPr>
        <w:footnoteReference w:id="234"/>
      </w:r>
      <w:r w:rsidRPr="00A70EC8">
        <w:rPr>
          <w:i/>
          <w:iCs/>
        </w:rPr>
        <w:t xml:space="preserve">  </w:t>
      </w:r>
      <w:r w:rsidRPr="00A70EC8">
        <w:t>For this industry, U.S. Census data for 2012 show that there were 967 firms that operated for the entire year.</w:t>
      </w:r>
      <w:r>
        <w:rPr>
          <w:vertAlign w:val="superscript"/>
        </w:rPr>
        <w:footnoteReference w:id="235"/>
      </w:r>
      <w:r w:rsidRPr="00A70EC8">
        <w:t xml:space="preserve">  Of this total, 955 firms had employment of 999 or fewer employees and 12</w:t>
      </w:r>
      <w:r w:rsidRPr="007C6360">
        <w:t xml:space="preserve"> had employment of 1000 employees or more.</w:t>
      </w:r>
      <w:r>
        <w:rPr>
          <w:vertAlign w:val="superscript"/>
        </w:rPr>
        <w:footnoteReference w:id="236"/>
      </w:r>
      <w:r w:rsidRPr="00A70EC8">
        <w:t xml:space="preserve">  Thus under this category and the associated size standard, the Commission estimates that the majority of firms can be c</w:t>
      </w:r>
      <w:r w:rsidRPr="007C6360">
        <w:t>onsidered small.  With respect to local governments, in particular, since many governmental</w:t>
      </w:r>
      <w:r w:rsidRPr="00AF42A7">
        <w:t xml:space="preserve"> entities comprise the licensees for these services, we include under public safety services the number of government entities affected.  According to Commission records, </w:t>
      </w:r>
      <w:r w:rsidRPr="00AF42A7">
        <w:t>there are a total of approximately 133,870 licenses within these services.</w:t>
      </w:r>
      <w:r>
        <w:rPr>
          <w:vertAlign w:val="superscript"/>
        </w:rPr>
        <w:footnoteReference w:id="237"/>
      </w:r>
      <w:r w:rsidRPr="00A70EC8">
        <w:t xml:space="preserve">  There are 3,577 licenses in the 4.9 GHz band, based on an FCC Universal Licensing System search of September 18, 2020.</w:t>
      </w:r>
      <w:r>
        <w:rPr>
          <w:vertAlign w:val="superscript"/>
        </w:rPr>
        <w:footnoteReference w:id="238"/>
      </w:r>
      <w:r w:rsidRPr="00A70EC8">
        <w:t xml:space="preserve">  We estimate that fewer than 2,442 public safety radi</w:t>
      </w:r>
      <w:r w:rsidRPr="007C6360">
        <w:t xml:space="preserve">o licensees hold these licenses because certain entities may have multiple licenses. </w:t>
      </w:r>
    </w:p>
    <w:p w:rsidR="007A05B0" w:rsidRPr="007C6360" w:rsidP="007A05B0" w14:paraId="468B082B" w14:textId="77777777">
      <w:pPr>
        <w:pStyle w:val="ParaNum"/>
        <w:numPr>
          <w:ilvl w:val="0"/>
          <w:numId w:val="7"/>
        </w:numPr>
        <w:tabs>
          <w:tab w:val="clear" w:pos="1080"/>
          <w:tab w:val="left" w:pos="1440"/>
        </w:tabs>
      </w:pPr>
      <w:r w:rsidRPr="00AF42A7">
        <w:rPr>
          <w:i/>
          <w:iCs/>
        </w:rPr>
        <w:t>Radio Stations</w:t>
      </w:r>
      <w:r w:rsidRPr="00AF42A7">
        <w:t>.  This Economic Census category “comprises establishments primarily engaged in broadcasting aural programs by radio to the public.  Programming may originate in their own studio, from an affiliated network, or from external sources.”</w:t>
      </w:r>
      <w:r>
        <w:rPr>
          <w:vertAlign w:val="superscript"/>
        </w:rPr>
        <w:footnoteReference w:id="239"/>
      </w:r>
      <w:r w:rsidRPr="00A70EC8">
        <w:t xml:space="preserve">  The SBA has established a small business size standard for this category as firms having $41.5 million or less in annual receipts.</w:t>
      </w:r>
      <w:r>
        <w:rPr>
          <w:vertAlign w:val="superscript"/>
        </w:rPr>
        <w:footnoteReference w:id="240"/>
      </w:r>
      <w:r w:rsidRPr="00A70EC8">
        <w:t xml:space="preserve">  U.S. Census Bureau data for 2012 show that 2,849 radio station firms operated during that year.</w:t>
      </w:r>
      <w:r>
        <w:rPr>
          <w:vertAlign w:val="superscript"/>
        </w:rPr>
        <w:footnoteReference w:id="241"/>
      </w:r>
      <w:r w:rsidRPr="00A70EC8">
        <w:t xml:space="preserve">  Of that number, 2,806 firms operated with annual receipts of less than $25 million per year and 17 with annual receipts between $25 million and $49,999,999 million.</w:t>
      </w:r>
      <w:r>
        <w:rPr>
          <w:vertAlign w:val="superscript"/>
        </w:rPr>
        <w:footnoteReference w:id="242"/>
      </w:r>
      <w:r w:rsidRPr="00A70EC8">
        <w:t xml:space="preserve">  Therefore, based on the SBA’s size standard the majority of such entities are small entities. </w:t>
      </w:r>
    </w:p>
    <w:p w:rsidR="007A05B0" w:rsidRPr="00AF42A7" w:rsidP="007A05B0" w14:paraId="5EC52A05" w14:textId="77777777">
      <w:pPr>
        <w:pStyle w:val="ParaNum"/>
        <w:numPr>
          <w:ilvl w:val="0"/>
          <w:numId w:val="7"/>
        </w:numPr>
        <w:tabs>
          <w:tab w:val="clear" w:pos="1080"/>
          <w:tab w:val="left" w:pos="1440"/>
        </w:tabs>
      </w:pPr>
      <w:r w:rsidRPr="00AF42A7">
        <w:t>According to Commission staff review of the BIA/Kelsey, LLC’s Media Access Pro Radio Database as of January 2018, about 11,261 (or about 99.9 percent) of 11,383 commercial radio stations had revenues of $38.5 million or less and thus qualify as small entities under the SBA definition.</w:t>
      </w:r>
      <w:r>
        <w:rPr>
          <w:vertAlign w:val="superscript"/>
        </w:rPr>
        <w:footnoteReference w:id="243"/>
      </w:r>
      <w:r w:rsidRPr="00A70EC8">
        <w:t xml:space="preserve"> The Commission has estimated the number of licensed commercial AM radio stations to be 4,580 stations and the </w:t>
      </w:r>
      <w:r w:rsidRPr="007C6360">
        <w:t>number of commercial FM radio stations to be 6,726, for a total number of 11,306.</w:t>
      </w:r>
      <w:r>
        <w:rPr>
          <w:vertAlign w:val="superscript"/>
        </w:rPr>
        <w:footnoteReference w:id="244"/>
      </w:r>
      <w:r w:rsidRPr="00A70EC8">
        <w:t xml:space="preserve">  We note the Commission has also estimated the number of licensed noncommercial (NCE) FM radio stations to be 4,172.</w:t>
      </w:r>
      <w:r>
        <w:rPr>
          <w:vertAlign w:val="superscript"/>
        </w:rPr>
        <w:footnoteReference w:id="245"/>
      </w:r>
      <w:r w:rsidRPr="00A70EC8">
        <w:t xml:space="preserve">  Nevertheless, the Commission does not compile and otherwise does not have access to information on the reve</w:t>
      </w:r>
      <w:r w:rsidRPr="007C6360">
        <w:t xml:space="preserve">nue of NCE stations that would permit it to determine how many such stations would qualify as small entities. </w:t>
      </w:r>
    </w:p>
    <w:p w:rsidR="007A05B0" w:rsidRPr="00AF42A7" w:rsidP="007A05B0" w14:paraId="4CE9D7D5" w14:textId="77777777">
      <w:pPr>
        <w:pStyle w:val="ParaNum"/>
        <w:numPr>
          <w:ilvl w:val="0"/>
          <w:numId w:val="7"/>
        </w:numPr>
        <w:tabs>
          <w:tab w:val="clear" w:pos="1080"/>
          <w:tab w:val="left" w:pos="1440"/>
        </w:tabs>
      </w:pPr>
      <w:r w:rsidRPr="00AF42A7">
        <w:t>We also note, that in assessing whether a business entity qualifies as small under the above definition, business control affiliations must be included.</w:t>
      </w:r>
      <w:r>
        <w:rPr>
          <w:vertAlign w:val="superscript"/>
        </w:rPr>
        <w:footnoteReference w:id="246"/>
      </w:r>
      <w:r w:rsidRPr="00A70EC8">
        <w:t xml:space="preserve">  The Commission’s estimate therefore likely overstates the number of small entities that might be affected by its action, because the revenue figure on which it is based does not include or a</w:t>
      </w:r>
      <w:r w:rsidRPr="007C6360">
        <w:t xml:space="preserve">ggregate revenues from affiliated companies.  In addition, </w:t>
      </w:r>
      <w:r w:rsidRPr="007C6360">
        <w:t>to be determined a “small business,” an entity may not be dominant in its field of operation.</w:t>
      </w:r>
      <w:r>
        <w:rPr>
          <w:vertAlign w:val="superscript"/>
        </w:rPr>
        <w:footnoteReference w:id="247"/>
      </w:r>
      <w:r w:rsidRPr="00A70EC8">
        <w:t xml:space="preserve">  We further note, that it is difficult at times to assess these criteria in the context of media entities, and the estimate of small businesses to which these</w:t>
      </w:r>
      <w:r w:rsidRPr="007C6360">
        <w:t xml:space="preserve"> rules may apply does not exclude any radio station from the definition of a small business on these basis, thus our estimate of small businesses may therefore be over-inclusive.  Also, as noted abov</w:t>
      </w:r>
      <w:r w:rsidRPr="00AF42A7">
        <w:t>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7A05B0" w:rsidRPr="007C6360" w:rsidP="007A05B0" w14:paraId="4209F44D" w14:textId="77777777">
      <w:pPr>
        <w:pStyle w:val="ParaNum"/>
        <w:numPr>
          <w:ilvl w:val="0"/>
          <w:numId w:val="7"/>
        </w:numPr>
        <w:tabs>
          <w:tab w:val="clear" w:pos="1080"/>
          <w:tab w:val="left" w:pos="1440"/>
        </w:tabs>
      </w:pPr>
      <w:bookmarkStart w:id="57" w:name="_DV_C618"/>
      <w:r w:rsidRPr="00AF42A7">
        <w:rPr>
          <w:i/>
          <w:iCs/>
        </w:rPr>
        <w:t>Satellite Telecommunications.</w:t>
      </w:r>
      <w:r w:rsidRPr="00AF42A7">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248"/>
      </w:r>
      <w:r w:rsidRPr="00A70EC8">
        <w:t xml:space="preserve">  Satellite telecommunications service providers include satellite and earth station operators.  The category has a </w:t>
      </w:r>
      <w:r w:rsidRPr="007C6360">
        <w:t>small business size standard of $35 million or less in average annual receipts, under SBA rules.</w:t>
      </w:r>
      <w:r>
        <w:rPr>
          <w:vertAlign w:val="superscript"/>
        </w:rPr>
        <w:footnoteReference w:id="249"/>
      </w:r>
      <w:r w:rsidRPr="00A70EC8">
        <w:t xml:space="preserve">  For this category, U.S. Census Bureau data for 2012 show that there were a total of 333 firms that operated for the entire year.</w:t>
      </w:r>
      <w:bookmarkEnd w:id="57"/>
      <w:r>
        <w:rPr>
          <w:vertAlign w:val="superscript"/>
        </w:rPr>
        <w:footnoteReference w:id="250"/>
      </w:r>
      <w:r w:rsidRPr="00A70EC8">
        <w:t xml:space="preserve">  Of this total, 299 firms had annual receipts of less than $25 million.</w:t>
      </w:r>
      <w:r>
        <w:rPr>
          <w:vertAlign w:val="superscript"/>
        </w:rPr>
        <w:footnoteReference w:id="251"/>
      </w:r>
      <w:r w:rsidRPr="00A70EC8">
        <w:t xml:space="preserve">  Consequently, we estimate that the majority of satellite telecommunications providers are small entities.</w:t>
      </w:r>
      <w:bookmarkStart w:id="63" w:name="_DV_C621"/>
    </w:p>
    <w:bookmarkEnd w:id="63"/>
    <w:p w:rsidR="007A05B0" w:rsidRPr="007C6360" w:rsidP="007A05B0" w14:paraId="12EDF35C" w14:textId="77777777">
      <w:pPr>
        <w:pStyle w:val="ParaNum"/>
        <w:numPr>
          <w:ilvl w:val="0"/>
          <w:numId w:val="7"/>
        </w:numPr>
        <w:tabs>
          <w:tab w:val="clear" w:pos="1080"/>
          <w:tab w:val="left" w:pos="1440"/>
        </w:tabs>
      </w:pPr>
      <w:r w:rsidRPr="00AF42A7">
        <w:rPr>
          <w:i/>
          <w:iCs/>
        </w:rPr>
        <w:t>Television Broadcasting.</w:t>
      </w:r>
      <w:r w:rsidRPr="00AF42A7">
        <w:t xml:space="preserve">  This Economic Census category “comprises establishments primarily engaged in broadcasting images together with sound.”</w:t>
      </w:r>
      <w:r>
        <w:rPr>
          <w:vertAlign w:val="superscript"/>
        </w:rPr>
        <w:footnoteReference w:id="252"/>
      </w:r>
      <w:r w:rsidRPr="00A70EC8">
        <w:t xml:space="preserve">  These establishments operate television broadcast studios and facilities for the programming and transmission of programs to the public.</w:t>
      </w:r>
      <w:r>
        <w:rPr>
          <w:vertAlign w:val="superscript"/>
        </w:rPr>
        <w:footnoteReference w:id="253"/>
      </w:r>
      <w:r w:rsidRPr="00A70EC8">
        <w:t xml:space="preserve"> These establishments also produce or transmit visual programming to affiliated broadcast television stations, which in turn broadcas</w:t>
      </w:r>
      <w:r w:rsidRPr="007C6360">
        <w:t>t the programs to the public on a predetermined schedule.  Programming may originate in their own studio, from an affiliated network, or from external sources.  The SBA has created the followin</w:t>
      </w:r>
      <w:r w:rsidRPr="00AF42A7">
        <w:t>g small business size standard for such businesses: those having $41.5 million or less in annual receipts.</w:t>
      </w:r>
      <w:r>
        <w:rPr>
          <w:vertAlign w:val="superscript"/>
        </w:rPr>
        <w:footnoteReference w:id="254"/>
      </w:r>
      <w:r w:rsidRPr="00A70EC8">
        <w:t xml:space="preserve">  The 2012 Economic Census reports that 751 firms in this category operated in that year.</w:t>
      </w:r>
      <w:r>
        <w:rPr>
          <w:vertAlign w:val="superscript"/>
        </w:rPr>
        <w:footnoteReference w:id="255"/>
      </w:r>
      <w:r w:rsidRPr="00A70EC8">
        <w:t xml:space="preserve">  Of that number, 656 had annual receipts of $25,000,000 or less, and 25 had annual receipts between $25,000,000 and $49,9</w:t>
      </w:r>
      <w:r w:rsidRPr="007C6360">
        <w:t>99,999.</w:t>
      </w:r>
      <w:r>
        <w:rPr>
          <w:vertAlign w:val="superscript"/>
        </w:rPr>
        <w:footnoteReference w:id="256"/>
      </w:r>
      <w:r w:rsidRPr="00A70EC8">
        <w:t xml:space="preserve">  Based on this data we therefore estimate that </w:t>
      </w:r>
      <w:r w:rsidRPr="00A70EC8">
        <w:t xml:space="preserve">the majority of commercial television broadcasters are small entities under the applicable SBA size standard. </w:t>
      </w:r>
    </w:p>
    <w:p w:rsidR="007A05B0" w:rsidRPr="007C6360" w:rsidP="007A05B0" w14:paraId="4D9DCB8A" w14:textId="77777777">
      <w:pPr>
        <w:pStyle w:val="ParaNum"/>
        <w:numPr>
          <w:ilvl w:val="0"/>
          <w:numId w:val="7"/>
        </w:numPr>
        <w:tabs>
          <w:tab w:val="clear" w:pos="1080"/>
          <w:tab w:val="left" w:pos="1440"/>
        </w:tabs>
      </w:pPr>
      <w:r w:rsidRPr="007C6360">
        <w:t xml:space="preserve">The Commission has estimated the number of licensed commercial television stations to be </w:t>
      </w:r>
      <w:r w:rsidRPr="00AF42A7">
        <w:t>1,377.</w:t>
      </w:r>
      <w:r>
        <w:rPr>
          <w:vertAlign w:val="superscript"/>
        </w:rPr>
        <w:footnoteReference w:id="257"/>
      </w:r>
      <w:r w:rsidRPr="00A70EC8">
        <w:t xml:space="preserve">  Of this total, 1,258 stations (or about 91 percent) had revenues of $38.5 million or less, according to Commission staff review of the BIA/Kelsey Inc. Media Access Pro Television D</w:t>
      </w:r>
      <w:r w:rsidRPr="007C6360">
        <w:t>atabase (BIA) on November 16, 2017, and therefore these licensees q</w:t>
      </w:r>
      <w:r w:rsidRPr="00AF42A7">
        <w:t>ualify as small entities under the SBA definition.  In addition, the Commission has estimated the number of licensed noncommercial educational television stations to be 384.</w:t>
      </w:r>
      <w:r>
        <w:rPr>
          <w:vertAlign w:val="superscript"/>
        </w:rPr>
        <w:footnoteReference w:id="258"/>
      </w:r>
      <w:r w:rsidRPr="00A70EC8">
        <w:t xml:space="preserve">  Notwithstanding, the Commission does not compile and otherwise does not have acc</w:t>
      </w:r>
      <w:r w:rsidRPr="007C6360">
        <w:t>ess to information on the revenue of NCE stations that would permit it to determine how many such stations would qualify as small entities.  There are also 2,300 low power television stati</w:t>
      </w:r>
      <w:r w:rsidRPr="00AF42A7">
        <w:t>ons, including Class A stations (LPTV) and 3,681 TV translator stations.</w:t>
      </w:r>
      <w:r>
        <w:rPr>
          <w:vertAlign w:val="superscript"/>
        </w:rPr>
        <w:footnoteReference w:id="259"/>
      </w:r>
      <w:r w:rsidRPr="00A70EC8">
        <w:t xml:space="preserve">  Given the nature of these services, we will presume that all of these entities qualify as small entities under the above SBA small business size standard.  </w:t>
      </w:r>
    </w:p>
    <w:p w:rsidR="007A05B0" w:rsidRPr="00AF42A7" w:rsidP="007A05B0" w14:paraId="39965309" w14:textId="31DA20D6">
      <w:pPr>
        <w:pStyle w:val="ParaNum"/>
        <w:numPr>
          <w:ilvl w:val="0"/>
          <w:numId w:val="7"/>
        </w:numPr>
        <w:tabs>
          <w:tab w:val="clear" w:pos="1080"/>
          <w:tab w:val="left" w:pos="1440"/>
        </w:tabs>
      </w:pPr>
      <w:r w:rsidRPr="00AF42A7">
        <w:t>We note, however, that in assessing whether a business concern qualifies as “small” under the above definition, business (control) affiliations</w:t>
      </w:r>
      <w:r>
        <w:rPr>
          <w:vertAlign w:val="superscript"/>
        </w:rPr>
        <w:footnoteReference w:id="260"/>
      </w:r>
      <w:r w:rsidRPr="00A70EC8">
        <w:t xml:space="preserve"> must be included.  Our estimate, </w:t>
      </w:r>
      <w:r w:rsidRPr="00A70EC8" w:rsidR="00220AAE">
        <w:t>therefore,</w:t>
      </w:r>
      <w:r w:rsidRPr="007C6360">
        <w:t xml:space="preserve"> likely overstates the number of small entities that might be affected by our action, beca</w:t>
      </w:r>
      <w:r w:rsidRPr="00AF42A7">
        <w:t>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7A05B0" w:rsidRPr="00A70EC8" w:rsidP="007A05B0" w14:paraId="56FC5B4E" w14:textId="77777777">
      <w:pPr>
        <w:pStyle w:val="ParaNum"/>
        <w:numPr>
          <w:ilvl w:val="0"/>
          <w:numId w:val="7"/>
        </w:numPr>
        <w:tabs>
          <w:tab w:val="clear" w:pos="1080"/>
          <w:tab w:val="left" w:pos="1440"/>
        </w:tabs>
      </w:pPr>
      <w:r w:rsidRPr="00AF42A7">
        <w:rPr>
          <w:i/>
          <w:iCs/>
        </w:rPr>
        <w:t>Broadband Radio Service and Educational Broadband Service.</w:t>
      </w:r>
      <w:r w:rsidRPr="00AF42A7">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vertAlign w:val="superscript"/>
        </w:rPr>
        <w:footnoteReference w:id="261"/>
      </w:r>
      <w:r w:rsidRPr="00A70EC8">
        <w:t xml:space="preserve">  </w:t>
      </w:r>
    </w:p>
    <w:p w:rsidR="007A05B0" w:rsidRPr="00AF42A7" w:rsidP="007A05B0" w14:paraId="2A47B3C7" w14:textId="77777777">
      <w:pPr>
        <w:pStyle w:val="ParaNum"/>
        <w:numPr>
          <w:ilvl w:val="0"/>
          <w:numId w:val="7"/>
        </w:numPr>
        <w:tabs>
          <w:tab w:val="clear" w:pos="1080"/>
          <w:tab w:val="left" w:pos="1440"/>
        </w:tabs>
      </w:pPr>
      <w:r w:rsidRPr="007C6360">
        <w:rPr>
          <w:i/>
          <w:iCs/>
        </w:rPr>
        <w:t>BRS -</w:t>
      </w:r>
      <w:r w:rsidRPr="007C6360">
        <w:t xml:space="preserve"> In connection with the 1996 BRS auction, the Commission established a small business size standard as </w:t>
      </w:r>
      <w:r w:rsidRPr="00AF42A7">
        <w:t>an entity that had annual average gross revenues of no more than $40 million in the previous three calendar years.</w:t>
      </w:r>
      <w:r>
        <w:rPr>
          <w:vertAlign w:val="superscript"/>
        </w:rPr>
        <w:footnoteReference w:id="262"/>
      </w:r>
      <w:r w:rsidRPr="00A70EC8">
        <w:t xml:space="preserve">  The BRS auctions resulted in 67 successful bidders obtaining licensing opportunities for 493 Basic Trading Areas (BTAs).  Of the 67 auction</w:t>
      </w:r>
      <w:r w:rsidRPr="007C6360">
        <w:t xml:space="preserve"> winners, 61 met the definition of a small business.  BRS also includes licensees of stations authorized prior to the auction.  At this time, we estimat</w:t>
      </w:r>
      <w:r w:rsidRPr="00AF42A7">
        <w:t xml:space="preserve">e that of the 61 small business BRS auction winners, 48 remain small business </w:t>
      </w:r>
      <w:r w:rsidRPr="00AF42A7">
        <w:t>licensees.  In addition to the 48 small businesses that hold BTA authorizations, there are approximately 86 incumbent BRS licensees that are considered small entities (18 incumbent BRS licensees do not meet the small business size standard).</w:t>
      </w:r>
      <w:r>
        <w:rPr>
          <w:vertAlign w:val="superscript"/>
        </w:rPr>
        <w:footnoteReference w:id="263"/>
      </w:r>
      <w:r w:rsidRPr="00A70EC8">
        <w:t xml:space="preserve">  After adding the number of small busin</w:t>
      </w:r>
      <w:r w:rsidRPr="007C6360">
        <w:t>ess auction licensees to the number of incumbent licensees not already counted, there are currently approximately 133 BRS licensees that are defined as</w:t>
      </w:r>
      <w:r w:rsidRPr="00AF42A7">
        <w:t xml:space="preserve"> small businesses under either the SBA or the Commission’s rules.</w:t>
      </w:r>
    </w:p>
    <w:p w:rsidR="007A05B0" w:rsidRPr="00AF42A7" w:rsidP="007A05B0" w14:paraId="1BC8971D" w14:textId="77777777">
      <w:pPr>
        <w:pStyle w:val="ParaNum"/>
        <w:numPr>
          <w:ilvl w:val="0"/>
          <w:numId w:val="7"/>
        </w:numPr>
        <w:tabs>
          <w:tab w:val="clear" w:pos="1080"/>
          <w:tab w:val="left" w:pos="1440"/>
        </w:tabs>
      </w:pPr>
      <w:r w:rsidRPr="00AF42A7">
        <w:t>In 2009, the Commission conducted Auction 86, the sale of 78 licenses in the BRS areas.</w:t>
      </w:r>
      <w:r>
        <w:rPr>
          <w:vertAlign w:val="superscript"/>
        </w:rPr>
        <w:footnoteReference w:id="264"/>
      </w:r>
      <w:r w:rsidRPr="00A70EC8">
        <w:t xml:space="preserve">  The Commission offered three levels of bidding credits: (</w:t>
      </w:r>
      <w:r w:rsidRPr="00A70EC8">
        <w:t>i</w:t>
      </w:r>
      <w:r w:rsidRPr="00A70EC8">
        <w:t>) a bidder with attributed average annual</w:t>
      </w:r>
      <w:r w:rsidRPr="007C6360">
        <w:t xml:space="preserve"> gross revenues that exceed $15 million and do not exceed $40 million for the preceding three years (small</w:t>
      </w:r>
      <w:r w:rsidRPr="00AF42A7">
        <w:t xml:space="preserve">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265"/>
      </w:r>
      <w:r w:rsidRPr="00A70EC8">
        <w:t xml:space="preserve">  Auction 86 concluded in 2009 with the sal</w:t>
      </w:r>
      <w:r w:rsidRPr="007C6360">
        <w:t>e of 61 licenses.</w:t>
      </w:r>
      <w:r>
        <w:rPr>
          <w:vertAlign w:val="superscript"/>
        </w:rPr>
        <w:footnoteReference w:id="266"/>
      </w:r>
      <w:r w:rsidRPr="00A70EC8">
        <w:t xml:space="preserve">  Of the ten winning bidders, two bidders that claimed small business status won 4 licenses; one bidder that claimed very small bu</w:t>
      </w:r>
      <w:r w:rsidRPr="007C6360">
        <w:t>siness status won three licenses; and two bidders that claimed entrepreneur status won six licenses.</w:t>
      </w:r>
    </w:p>
    <w:p w:rsidR="007A05B0" w:rsidRPr="00A70EC8" w:rsidP="0001680F" w14:paraId="7959E163" w14:textId="77777777">
      <w:pPr>
        <w:pStyle w:val="ParaNum"/>
        <w:widowControl/>
        <w:numPr>
          <w:ilvl w:val="0"/>
          <w:numId w:val="7"/>
        </w:numPr>
        <w:tabs>
          <w:tab w:val="clear" w:pos="1080"/>
          <w:tab w:val="left" w:pos="1440"/>
        </w:tabs>
      </w:pPr>
      <w:r w:rsidRPr="00AF42A7">
        <w:rPr>
          <w:i/>
          <w:iCs/>
        </w:rPr>
        <w:t>EBS</w:t>
      </w:r>
      <w:r w:rsidRPr="00AF42A7">
        <w:t xml:space="preserve"> - Educational Broadband Service has been included within the broad economic census category and SBA size standard for Wired Telecommunications Carriers since 2007.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vertAlign w:val="superscript"/>
        </w:rPr>
        <w:footnoteReference w:id="267"/>
      </w:r>
      <w:r w:rsidRPr="00A70EC8">
        <w:t xml:space="preserve">  The SBA’s small business size standard for this category is all such firms having 1,500 or fewer employees.</w:t>
      </w:r>
      <w:r>
        <w:rPr>
          <w:vertAlign w:val="superscript"/>
        </w:rPr>
        <w:footnoteReference w:id="268"/>
      </w:r>
      <w:r w:rsidRPr="00A70EC8">
        <w:t xml:space="preserve">  U.S. Census Bureau data for 2012 show that there were 3,117 firms that operated that year.</w:t>
      </w:r>
      <w:r>
        <w:rPr>
          <w:vertAlign w:val="superscript"/>
        </w:rPr>
        <w:footnoteReference w:id="269"/>
      </w:r>
      <w:r w:rsidRPr="00A70EC8">
        <w:t xml:space="preserve">  Of this to</w:t>
      </w:r>
      <w:r w:rsidRPr="007C6360">
        <w:t>tal, 3,083 operated with fewer than 1,0</w:t>
      </w:r>
      <w:r w:rsidRPr="00AF42A7">
        <w:t>00 employees.</w:t>
      </w:r>
      <w:r>
        <w:rPr>
          <w:vertAlign w:val="superscript"/>
        </w:rPr>
        <w:footnoteReference w:id="270"/>
      </w:r>
      <w:r w:rsidRPr="00A70EC8">
        <w:t xml:space="preserve">  Thus, under this size standard, the majority of firms in this industry can be considered small.  In addition to U.S. Census Bureau data, the Commission’s Universal Licensing System indicates that as of</w:t>
      </w:r>
      <w:r w:rsidRPr="007C6360">
        <w:t xml:space="preserve"> October 2014, there are 2,206 active </w:t>
      </w:r>
      <w:r w:rsidRPr="00AF42A7">
        <w:t xml:space="preserve">EBS licenses.  The </w:t>
      </w:r>
      <w:r w:rsidRPr="00AF42A7">
        <w:t>Commission estimates that of these 2,206 licenses, the majority are held by non-profit educational institutions and school districts, which are by statute defined as small businesses.</w:t>
      </w:r>
      <w:r>
        <w:rPr>
          <w:vertAlign w:val="superscript"/>
        </w:rPr>
        <w:footnoteReference w:id="271"/>
      </w:r>
    </w:p>
    <w:p w:rsidR="007A05B0" w:rsidRPr="00AF42A7" w:rsidP="0009061B" w14:paraId="08289977" w14:textId="77777777">
      <w:pPr>
        <w:pStyle w:val="Heading2"/>
      </w:pPr>
      <w:bookmarkStart w:id="64" w:name="_Toc40438747"/>
      <w:bookmarkStart w:id="65" w:name="_Toc40438867"/>
      <w:bookmarkStart w:id="66" w:name="_Toc40439061"/>
      <w:bookmarkStart w:id="67" w:name="_Toc40439479"/>
      <w:bookmarkStart w:id="68" w:name="_Toc40439708"/>
      <w:bookmarkStart w:id="69" w:name="_Toc40692830"/>
      <w:bookmarkStart w:id="70" w:name="_Toc40694328"/>
      <w:bookmarkStart w:id="71" w:name="_Toc42170279"/>
      <w:bookmarkStart w:id="72" w:name="_Toc42461269"/>
      <w:bookmarkStart w:id="73" w:name="_Toc51678368"/>
      <w:bookmarkStart w:id="74" w:name="_Toc55226816"/>
      <w:r w:rsidRPr="007C6360">
        <w:t>Description of</w:t>
      </w:r>
      <w:r w:rsidRPr="00AF42A7">
        <w:t xml:space="preserve"> Projected Reporting, Recordkeeping, and Other Compliance Requirements for Small Entities</w:t>
      </w:r>
      <w:bookmarkEnd w:id="64"/>
      <w:bookmarkEnd w:id="65"/>
      <w:bookmarkEnd w:id="66"/>
      <w:bookmarkEnd w:id="67"/>
      <w:bookmarkEnd w:id="68"/>
      <w:bookmarkEnd w:id="69"/>
      <w:bookmarkEnd w:id="70"/>
      <w:bookmarkEnd w:id="71"/>
      <w:bookmarkEnd w:id="72"/>
      <w:bookmarkEnd w:id="73"/>
      <w:bookmarkEnd w:id="74"/>
    </w:p>
    <w:p w:rsidR="007A05B0" w:rsidRPr="00AF42A7" w:rsidP="007A05B0" w14:paraId="18941F82" w14:textId="6C29D7F9">
      <w:pPr>
        <w:pStyle w:val="ParaNum"/>
        <w:numPr>
          <w:ilvl w:val="0"/>
          <w:numId w:val="7"/>
        </w:numPr>
        <w:tabs>
          <w:tab w:val="clear" w:pos="1080"/>
          <w:tab w:val="left" w:pos="1440"/>
        </w:tabs>
      </w:pPr>
      <w:bookmarkStart w:id="75" w:name="_Hlk39678720"/>
      <w:r w:rsidRPr="00AF42A7">
        <w:t>The excavation or deployment boundaries of an eligible facilities request pose significant policy implications associated with the Commission’s rules implementing section 6409(a) of the Spectrum Act of 2012.</w:t>
      </w:r>
      <w:r>
        <w:rPr>
          <w:rStyle w:val="FootnoteReference"/>
        </w:rPr>
        <w:footnoteReference w:id="272"/>
      </w:r>
      <w:r w:rsidRPr="00A70EC8">
        <w:t xml:space="preserve">  The Commission believes that the rule changes in the </w:t>
      </w:r>
      <w:r w:rsidRPr="007C6360">
        <w:rPr>
          <w:i/>
          <w:iCs/>
        </w:rPr>
        <w:t xml:space="preserve">Report and Order </w:t>
      </w:r>
      <w:r w:rsidRPr="00AF42A7">
        <w:t xml:space="preserve">provide certainty for providers, state and local governments (collectively, localities), and other entities interpreting these rules.  We do not believe that our resolution of these matters will create any new reporting, recordkeeping, or other compliance requirements for small entities that will be impacted by our decision. </w:t>
      </w:r>
    </w:p>
    <w:p w:rsidR="007A05B0" w:rsidRPr="00AF42A7" w:rsidP="007A05B0" w14:paraId="05897753" w14:textId="3380083C">
      <w:pPr>
        <w:pStyle w:val="ParaNum"/>
        <w:numPr>
          <w:ilvl w:val="0"/>
          <w:numId w:val="7"/>
        </w:numPr>
        <w:tabs>
          <w:tab w:val="clear" w:pos="1080"/>
          <w:tab w:val="left" w:pos="1440"/>
        </w:tabs>
      </w:pPr>
      <w:r w:rsidRPr="00AF42A7">
        <w:t xml:space="preserve">More specifically, </w:t>
      </w:r>
      <w:bookmarkEnd w:id="75"/>
      <w:r w:rsidRPr="00AF42A7">
        <w:t xml:space="preserve">the </w:t>
      </w:r>
      <w:r w:rsidRPr="00AF42A7" w:rsidR="000432BF">
        <w:t>amendment of section 1.6100(b)(7)(iv) to allow a modification of an existing site that entails ground excavation or deployment of up to 30 feet in any direction outside a tower’s site does not create any new reporting, recordkeeping, or other compliance requirements for small entities</w:t>
      </w:r>
      <w:r w:rsidRPr="00AF42A7" w:rsidR="00167E6F">
        <w:t>.  R</w:t>
      </w:r>
      <w:r w:rsidRPr="00AF42A7" w:rsidR="000432BF">
        <w:t>ather</w:t>
      </w:r>
      <w:r w:rsidRPr="00AF42A7" w:rsidR="00167E6F">
        <w:t>,</w:t>
      </w:r>
      <w:r w:rsidRPr="00AF42A7" w:rsidR="000432BF">
        <w:t xml:space="preserve"> it permits an entity submitting an eligible facilities request to </w:t>
      </w:r>
      <w:r w:rsidRPr="00AF42A7" w:rsidR="00DC57CA">
        <w:t>undertake</w:t>
      </w:r>
      <w:r w:rsidRPr="00AF42A7" w:rsidR="000432BF">
        <w:t xml:space="preserve"> limited excavation and deployment of up to 30 feet in any direction.  </w:t>
      </w:r>
      <w:r w:rsidRPr="00AF42A7" w:rsidR="000E0F52">
        <w:t>While t</w:t>
      </w:r>
      <w:r w:rsidRPr="00AF42A7" w:rsidR="000432BF">
        <w:t xml:space="preserve">he Commission cannot quantify the cost of compliance with the changes adopted in the </w:t>
      </w:r>
      <w:r w:rsidRPr="00AF42A7" w:rsidR="000432BF">
        <w:rPr>
          <w:i/>
          <w:iCs/>
        </w:rPr>
        <w:t>Report and Order</w:t>
      </w:r>
      <w:r w:rsidRPr="00AF42A7" w:rsidR="000432BF">
        <w:t xml:space="preserve">, small entities should not have to hire attorneys, engineers, consultants, or other professionals to in order to comply.  </w:t>
      </w:r>
      <w:r w:rsidRPr="00AF42A7" w:rsidR="00222379">
        <w:t xml:space="preserve">Similarly, the revised definition of “site” </w:t>
      </w:r>
      <w:r w:rsidRPr="00AF42A7">
        <w:t xml:space="preserve">adopted in the </w:t>
      </w:r>
      <w:r w:rsidRPr="00AF42A7">
        <w:rPr>
          <w:i/>
          <w:iCs/>
        </w:rPr>
        <w:t>Report and Order</w:t>
      </w:r>
      <w:r w:rsidRPr="00AF42A7">
        <w:t xml:space="preserve"> addresses localities’ concerns of “unending accretion of [a] site by repeated applications for expansion” by ensuring that a locality has reviewed and approved the site that is the subject of the eligible facilities request, and recognizes that the site may have changed since the locality initially approved it.  This action does not create any new reporting, recordkeeping, or other compliance requirements for small entities</w:t>
      </w:r>
      <w:r w:rsidRPr="00AF42A7" w:rsidR="00767221">
        <w:t xml:space="preserve">.  Instead, it </w:t>
      </w:r>
      <w:r w:rsidRPr="00AF42A7">
        <w:t xml:space="preserve">prevents entities from having to file, and localities </w:t>
      </w:r>
      <w:r w:rsidRPr="00AF42A7" w:rsidR="00F7293B">
        <w:t xml:space="preserve">from </w:t>
      </w:r>
      <w:r w:rsidRPr="00AF42A7">
        <w:t>having to receive and review</w:t>
      </w:r>
      <w:r w:rsidRPr="00AF42A7" w:rsidR="00F7293B">
        <w:t>,</w:t>
      </w:r>
      <w:r w:rsidRPr="00AF42A7">
        <w:t xml:space="preserve"> repeated applications for site</w:t>
      </w:r>
      <w:r w:rsidRPr="00AF42A7" w:rsidR="00071DDC">
        <w:t xml:space="preserve"> excavation or deployments</w:t>
      </w:r>
      <w:r w:rsidRPr="00AF42A7">
        <w:t>.  Further, our actions providing clarity on the definition</w:t>
      </w:r>
      <w:r w:rsidRPr="00AF42A7" w:rsidR="00BE78CA">
        <w:t>s of</w:t>
      </w:r>
      <w:r w:rsidRPr="00AF42A7">
        <w:t xml:space="preserve"> site and substantial change pursuant to the Commission's rules implementing section 6409(a) requirements should benefit all entities involved in the wireless facility modification process.  </w:t>
      </w:r>
    </w:p>
    <w:p w:rsidR="007A05B0" w:rsidRPr="00AF42A7" w:rsidP="0009061B" w14:paraId="05B36E5E" w14:textId="77777777">
      <w:pPr>
        <w:pStyle w:val="Heading2"/>
      </w:pPr>
      <w:bookmarkStart w:id="76" w:name="_Toc40438748"/>
      <w:bookmarkStart w:id="77" w:name="_Toc40438868"/>
      <w:bookmarkStart w:id="78" w:name="_Toc40439062"/>
      <w:bookmarkStart w:id="79" w:name="_Toc40439480"/>
      <w:bookmarkStart w:id="80" w:name="_Toc40439709"/>
      <w:bookmarkStart w:id="81" w:name="_Toc40692831"/>
      <w:bookmarkStart w:id="82" w:name="_Toc40694329"/>
      <w:bookmarkStart w:id="83" w:name="_Toc42170280"/>
      <w:bookmarkStart w:id="84" w:name="_Toc42461270"/>
      <w:bookmarkStart w:id="85" w:name="_Toc51678369"/>
      <w:bookmarkStart w:id="86" w:name="_Toc55226817"/>
      <w:r w:rsidRPr="00AF42A7">
        <w:t>Steps Taken to Minimize the Significant Economic Impact on Small Entities, and Significant Alternatives Considered</w:t>
      </w:r>
      <w:bookmarkEnd w:id="76"/>
      <w:bookmarkEnd w:id="77"/>
      <w:bookmarkEnd w:id="78"/>
      <w:bookmarkEnd w:id="79"/>
      <w:bookmarkEnd w:id="80"/>
      <w:bookmarkEnd w:id="81"/>
      <w:bookmarkEnd w:id="82"/>
      <w:bookmarkEnd w:id="83"/>
      <w:bookmarkEnd w:id="84"/>
      <w:bookmarkEnd w:id="85"/>
      <w:bookmarkEnd w:id="86"/>
    </w:p>
    <w:p w:rsidR="007A05B0" w:rsidRPr="007C6360" w:rsidP="007A05B0" w14:paraId="4F9DBD00" w14:textId="489F2194">
      <w:pPr>
        <w:pStyle w:val="ParaNum"/>
        <w:numPr>
          <w:ilvl w:val="0"/>
          <w:numId w:val="7"/>
        </w:numPr>
        <w:tabs>
          <w:tab w:val="clear" w:pos="1080"/>
          <w:tab w:val="left" w:pos="1440"/>
        </w:tabs>
      </w:pPr>
      <w:r w:rsidRPr="00AF42A7">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vertAlign w:val="superscript"/>
        </w:rPr>
        <w:footnoteReference w:id="273"/>
      </w:r>
      <w:r w:rsidRPr="00A70EC8">
        <w:t xml:space="preserve"> </w:t>
      </w:r>
    </w:p>
    <w:p w:rsidR="007A05B0" w:rsidRPr="00AF42A7" w:rsidP="007A05B0" w14:paraId="71689352" w14:textId="05406F1C">
      <w:pPr>
        <w:pStyle w:val="ParaNum"/>
        <w:numPr>
          <w:ilvl w:val="0"/>
          <w:numId w:val="7"/>
        </w:numPr>
        <w:tabs>
          <w:tab w:val="clear" w:pos="1080"/>
          <w:tab w:val="left" w:pos="1440"/>
        </w:tabs>
      </w:pPr>
      <w:r w:rsidRPr="00AF42A7">
        <w:t xml:space="preserve">In the </w:t>
      </w:r>
      <w:r w:rsidRPr="00AF42A7">
        <w:rPr>
          <w:i/>
          <w:iCs/>
        </w:rPr>
        <w:t>Report and Order</w:t>
      </w:r>
      <w:r w:rsidRPr="00AF42A7">
        <w:t xml:space="preserve">, the Commission clarifies and amends its rules associated with </w:t>
      </w:r>
      <w:r w:rsidRPr="00AF42A7" w:rsidR="009F1BC2">
        <w:t>wireless</w:t>
      </w:r>
      <w:r w:rsidRPr="00AF42A7">
        <w:t xml:space="preserve"> infrastructure deployment to provide more certainty to relevant parties and enable small entities and others to more effectively navigate state and local application processes</w:t>
      </w:r>
      <w:r w:rsidRPr="00AF42A7" w:rsidR="005F5DDF">
        <w:t xml:space="preserve"> for eligible facilities requests</w:t>
      </w:r>
      <w:r w:rsidRPr="00AF42A7">
        <w:t>.  These changes</w:t>
      </w:r>
      <w:r w:rsidRPr="00AF42A7" w:rsidR="005F5DDF">
        <w:t>,</w:t>
      </w:r>
      <w:r w:rsidRPr="00AF42A7">
        <w:t xml:space="preserve"> which broaden the scope wireless facility modifications that are eligible for streamlined review by localities under the Commission’s rules implementing section 6409(a)</w:t>
      </w:r>
      <w:r w:rsidRPr="00AF42A7" w:rsidR="00BB4FE5">
        <w:t>,</w:t>
      </w:r>
      <w:r w:rsidRPr="00AF42A7">
        <w:t xml:space="preserve"> should reduce the economic impact on small entities that deploy wireless infrastructure by reducing the costs and delay </w:t>
      </w:r>
      <w:r w:rsidRPr="00AF42A7">
        <w:t xml:space="preserve">associated with the deployment of such infrastructure.  The Commission’s efforts to reduce regulatory barriers to infrastructure deployment by further streamlining the review process by localities for modifications to existing wireless towers or base stations under section 6409(a) should also reduce the economic impact on small localities by reducing the administrative costs associated with the review process.  </w:t>
      </w:r>
    </w:p>
    <w:p w:rsidR="00A45C19" w:rsidRPr="00AF42A7" w:rsidP="00A45C19" w14:paraId="53E8A753" w14:textId="57239267">
      <w:pPr>
        <w:pStyle w:val="ParaNum"/>
        <w:numPr>
          <w:ilvl w:val="0"/>
          <w:numId w:val="7"/>
        </w:numPr>
        <w:tabs>
          <w:tab w:val="clear" w:pos="1080"/>
          <w:tab w:val="left" w:pos="1440"/>
        </w:tabs>
      </w:pPr>
      <w:r w:rsidRPr="00AF42A7">
        <w:t>The Commission considered</w:t>
      </w:r>
      <w:r w:rsidRPr="00AF42A7" w:rsidR="003B5B92">
        <w:t xml:space="preserve"> but decline</w:t>
      </w:r>
      <w:r w:rsidRPr="00AF42A7" w:rsidR="00CF40D9">
        <w:t>d</w:t>
      </w:r>
      <w:r w:rsidRPr="00AF42A7" w:rsidR="003B5B92">
        <w:t xml:space="preserve"> to adopt the industry’s “hybrid” definition of “site.”</w:t>
      </w:r>
      <w:r>
        <w:rPr>
          <w:rStyle w:val="FootnoteReference"/>
        </w:rPr>
        <w:footnoteReference w:id="274"/>
      </w:r>
      <w:r w:rsidRPr="00A70EC8" w:rsidR="003B5B92">
        <w:t xml:space="preserve"> </w:t>
      </w:r>
      <w:r w:rsidRPr="007C6360">
        <w:t xml:space="preserve"> </w:t>
      </w:r>
      <w:r w:rsidRPr="00AF42A7" w:rsidR="00AD60FE">
        <w:t xml:space="preserve">Adopting that proposal would risk permitting a tower owner to file an eligible facilities request even if it may have substantially increased the size of a tower site prior to the adoption of this </w:t>
      </w:r>
      <w:r w:rsidRPr="00AF42A7" w:rsidR="00AD60FE">
        <w:rPr>
          <w:i/>
          <w:iCs/>
        </w:rPr>
        <w:t>Report and Order</w:t>
      </w:r>
      <w:r w:rsidRPr="00AF42A7" w:rsidR="00AD60FE">
        <w:t xml:space="preserve"> and without any necessary approval from a locality</w:t>
      </w:r>
      <w:r w:rsidRPr="00AF42A7" w:rsidR="00B1515E">
        <w:t>.</w:t>
      </w:r>
      <w:r w:rsidRPr="00AF42A7" w:rsidR="00842F01">
        <w:t xml:space="preserve">  It agreed with </w:t>
      </w:r>
      <w:r w:rsidRPr="00AF42A7" w:rsidR="00143AD1">
        <w:t xml:space="preserve">localities’ concerns </w:t>
      </w:r>
      <w:r w:rsidRPr="00AF42A7" w:rsidR="00620CCD">
        <w:t xml:space="preserve">on </w:t>
      </w:r>
      <w:r w:rsidRPr="00AF42A7" w:rsidR="00CF40D9">
        <w:t>the industry’s proposed definition, and found that our revision addresses them by ensuring that a locality has reviewed and approved the eligible support structure that is the subject of the eligible facilities request outside of the section 6409(a) process, while recognizing that the boundaries may have changed since the locality initially approved the eligible support structure</w:t>
      </w:r>
      <w:r w:rsidRPr="00AF42A7" w:rsidR="00242916">
        <w:t>.</w:t>
      </w:r>
      <w:r w:rsidRPr="00AF42A7" w:rsidR="003D3B61">
        <w:t xml:space="preserve">  </w:t>
      </w:r>
      <w:r w:rsidRPr="00AF42A7" w:rsidR="005D5154">
        <w:t>It</w:t>
      </w:r>
      <w:r w:rsidRPr="00AF42A7">
        <w:t xml:space="preserve"> also considered and rejected a proposal </w:t>
      </w:r>
      <w:r w:rsidRPr="00AF42A7" w:rsidR="00E8167A">
        <w:t>that</w:t>
      </w:r>
      <w:r w:rsidRPr="00AF42A7">
        <w:t xml:space="preserve"> would risk creating a loophole whereby a tower owner could use the issuance of a </w:t>
      </w:r>
      <w:r w:rsidRPr="00AF42A7" w:rsidR="00970C8A">
        <w:t>permit—which does not necessarily involve a locality’s review of the eligible support structure</w:t>
      </w:r>
      <w:r w:rsidRPr="00AF42A7" w:rsidR="001D59DF">
        <w:t>, and thus would not necessarily provide an opportunity for the locality to take into account an increase in the size of the site associated with that structure</w:t>
      </w:r>
      <w:r w:rsidRPr="00AF42A7" w:rsidR="00970C8A">
        <w:t>—</w:t>
      </w:r>
      <w:r w:rsidRPr="00AF42A7">
        <w:t>to justify expansion of the site without proper local approval.</w:t>
      </w:r>
      <w:r>
        <w:rPr>
          <w:rStyle w:val="FootnoteReference"/>
        </w:rPr>
        <w:footnoteReference w:id="275"/>
      </w:r>
      <w:r w:rsidRPr="00A70EC8">
        <w:t xml:space="preserve">  On balance, the Commissio</w:t>
      </w:r>
      <w:r w:rsidRPr="007C6360">
        <w:t xml:space="preserve">n believes the </w:t>
      </w:r>
      <w:r w:rsidRPr="00AF42A7" w:rsidR="006E0C5B">
        <w:t>revisions</w:t>
      </w:r>
      <w:r w:rsidRPr="00AF42A7">
        <w:t xml:space="preserve"> adopted in the </w:t>
      </w:r>
      <w:r w:rsidRPr="00AF42A7">
        <w:rPr>
          <w:i/>
          <w:iCs/>
        </w:rPr>
        <w:t>Report and Order</w:t>
      </w:r>
      <w:r w:rsidRPr="00AF42A7">
        <w:t xml:space="preserve"> best achieve the Commission’s goals while at the same time minimiz</w:t>
      </w:r>
      <w:r w:rsidRPr="00AF42A7" w:rsidR="00F5179F">
        <w:t>e</w:t>
      </w:r>
      <w:r w:rsidRPr="00AF42A7">
        <w:t xml:space="preserve"> or further reduc</w:t>
      </w:r>
      <w:r w:rsidRPr="00AF42A7" w:rsidR="00F5179F">
        <w:t>e</w:t>
      </w:r>
      <w:r w:rsidRPr="00AF42A7">
        <w:t xml:space="preserve"> the economic impact on small entities, including small state and local government jurisdictions. </w:t>
      </w:r>
    </w:p>
    <w:p w:rsidR="00A742ED" w:rsidRPr="00AF42A7" w:rsidP="007A05B0" w14:paraId="67597FC0" w14:textId="17A78260">
      <w:pPr>
        <w:pStyle w:val="ParaNum"/>
        <w:numPr>
          <w:ilvl w:val="0"/>
          <w:numId w:val="7"/>
        </w:numPr>
        <w:tabs>
          <w:tab w:val="clear" w:pos="1080"/>
          <w:tab w:val="left" w:pos="1440"/>
        </w:tabs>
      </w:pPr>
      <w:r w:rsidRPr="00AF42A7">
        <w:t>The Commission also considered, but declined to adopt</w:t>
      </w:r>
      <w:r w:rsidRPr="00AF42A7" w:rsidR="00F46FD2">
        <w:t xml:space="preserve">, </w:t>
      </w:r>
      <w:r w:rsidRPr="00AF42A7">
        <w:t>NATOA and Local Governments propos</w:t>
      </w:r>
      <w:r w:rsidRPr="00AF42A7" w:rsidR="00F46FD2">
        <w:t>al</w:t>
      </w:r>
      <w:r w:rsidRPr="00AF42A7">
        <w:t xml:space="preserve"> that, to the extent </w:t>
      </w:r>
      <w:r w:rsidRPr="00AF42A7" w:rsidR="00F46FD2">
        <w:t>the Commission</w:t>
      </w:r>
      <w:r w:rsidRPr="00AF42A7">
        <w:t xml:space="preserve"> revise</w:t>
      </w:r>
      <w:r w:rsidRPr="00AF42A7" w:rsidR="00F46FD2">
        <w:t>s it</w:t>
      </w:r>
      <w:r w:rsidRPr="00AF42A7">
        <w:t xml:space="preserve"> “substantial change” definition, the compound expansion standard should be “the lesser of the following distance[s] from the current site (not including easements related to the site):  a.  20% of the length or width of the current site measured as a longitudinal or latitudinal line from the current site to the excavation or deployment; or b. 30 feet.”</w:t>
      </w:r>
      <w:r>
        <w:rPr>
          <w:rStyle w:val="FootnoteReference"/>
        </w:rPr>
        <w:footnoteReference w:id="276"/>
      </w:r>
      <w:r w:rsidRPr="00A70EC8">
        <w:t xml:space="preserve">  </w:t>
      </w:r>
      <w:r w:rsidRPr="007C6360" w:rsidR="00F46FD2">
        <w:t>The Commission</w:t>
      </w:r>
      <w:r w:rsidRPr="00AF42A7">
        <w:t xml:space="preserve"> decline</w:t>
      </w:r>
      <w:r w:rsidRPr="00AF42A7" w:rsidR="00F46FD2">
        <w:t>d</w:t>
      </w:r>
      <w:r w:rsidRPr="00AF42A7">
        <w:t xml:space="preserve"> to adopt this proposal because</w:t>
      </w:r>
      <w:r w:rsidR="00966246">
        <w:t xml:space="preserve"> it concluded that</w:t>
      </w:r>
      <w:r w:rsidR="00076D9B">
        <w:t>,</w:t>
      </w:r>
      <w:r w:rsidRPr="00AF42A7">
        <w:t xml:space="preserve"> </w:t>
      </w:r>
      <w:r w:rsidRPr="00966246" w:rsidR="00966246">
        <w:t xml:space="preserve">on balance, the potential problems it could create outweigh the potential benefits it could achieve.  </w:t>
      </w:r>
      <w:r w:rsidR="00966246">
        <w:t>The Commission reasoned that the</w:t>
      </w:r>
      <w:r w:rsidRPr="00966246" w:rsidR="00966246">
        <w:t xml:space="preserve"> standard of “20% of the length or width of the current site” would be difficult to administer, given that a site boundary is not necessarily a symmetrical shape.  In addition, while the record supports the determination that a 30-foot expansion would be sufficient to accommodate minor equipment additions, the record does not provide support for the determination that the “20%” standard would accomplish this goal.  Moreover, adopting the “20%” proposal would provide limited additional benefit in addressing the concern raised by NATOA and Local Governments</w:t>
      </w:r>
      <w:r w:rsidRPr="00AF42A7">
        <w:t>.  Because a small tower site typically is associated with a small tower that has limited space for additional antennas, it is unlikely that operators would need to place a significant amount of additional equipment in an area outside the site boundaries.</w:t>
      </w:r>
      <w:r>
        <w:rPr>
          <w:rStyle w:val="FootnoteReference"/>
        </w:rPr>
        <w:footnoteReference w:id="277"/>
      </w:r>
      <w:r w:rsidRPr="00A70EC8">
        <w:t xml:space="preserve">  In add</w:t>
      </w:r>
      <w:r w:rsidRPr="007C6360">
        <w:t xml:space="preserve">ition, any modification to an existing tower that involves excavation or deployment within the 30-foot </w:t>
      </w:r>
      <w:r w:rsidRPr="007C6360">
        <w:t xml:space="preserve">expanded area will be subject to the other criteria in </w:t>
      </w:r>
      <w:r w:rsidRPr="00AF42A7" w:rsidR="009055D0">
        <w:t>the Commission’s</w:t>
      </w:r>
      <w:r w:rsidRPr="00AF42A7">
        <w:t xml:space="preserve"> rules for determining whether there is a substantial change that does not warrant streamlined treatment under section 6409(a).  Those criteria, which </w:t>
      </w:r>
      <w:r w:rsidRPr="00AF42A7" w:rsidR="00F32039">
        <w:t>the Commission</w:t>
      </w:r>
      <w:r w:rsidRPr="00AF42A7">
        <w:t xml:space="preserve"> do</w:t>
      </w:r>
      <w:r w:rsidRPr="00AF42A7" w:rsidR="00F32039">
        <w:t>es</w:t>
      </w:r>
      <w:r w:rsidRPr="00AF42A7">
        <w:t xml:space="preserve"> not alter today, provide further limitation on the size or scope of a modification that involves excavation or deployment within 30 feet of the site boundaries.  </w:t>
      </w:r>
    </w:p>
    <w:p w:rsidR="007A05B0" w:rsidRPr="00AF42A7" w:rsidP="007A05B0" w14:paraId="1F6802C8" w14:textId="77777777">
      <w:pPr>
        <w:pStyle w:val="ParaNum"/>
        <w:numPr>
          <w:ilvl w:val="0"/>
          <w:numId w:val="0"/>
        </w:numPr>
        <w:rPr>
          <w:b/>
        </w:rPr>
      </w:pPr>
      <w:r w:rsidRPr="00AF42A7">
        <w:rPr>
          <w:b/>
        </w:rPr>
        <w:t>Report to Congress</w:t>
      </w:r>
    </w:p>
    <w:p w:rsidR="006908DB" w:rsidP="007A05B0" w14:paraId="408227BA" w14:textId="77777777">
      <w:pPr>
        <w:pStyle w:val="ParaNum"/>
        <w:numPr>
          <w:ilvl w:val="0"/>
          <w:numId w:val="7"/>
        </w:numPr>
        <w:tabs>
          <w:tab w:val="clear" w:pos="1080"/>
          <w:tab w:val="left" w:pos="1440"/>
        </w:tabs>
        <w:rPr>
          <w:bCs/>
        </w:rPr>
        <w:sectPr w:rsidSect="007C2978">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r w:rsidRPr="00AF42A7">
        <w:t xml:space="preserve">The Commission will send a copy of the </w:t>
      </w:r>
      <w:r w:rsidRPr="00AF42A7">
        <w:rPr>
          <w:i/>
          <w:iCs/>
        </w:rPr>
        <w:t>Report and Order</w:t>
      </w:r>
      <w:r w:rsidRPr="00AF42A7">
        <w:t>, including this FRFA, in a report to Congress pursuant to the Congressional Review Act.</w:t>
      </w:r>
      <w:r>
        <w:rPr>
          <w:rStyle w:val="FootnoteReference"/>
        </w:rPr>
        <w:footnoteReference w:id="278"/>
      </w:r>
      <w:r w:rsidRPr="00A70EC8">
        <w:rPr>
          <w:bCs/>
        </w:rPr>
        <w:t xml:space="preserve">  </w:t>
      </w:r>
      <w:r w:rsidRPr="007C6360">
        <w:t>In addition, the Commission will send a copy of</w:t>
      </w:r>
      <w:r w:rsidRPr="00AF42A7">
        <w:t xml:space="preserve"> the </w:t>
      </w:r>
      <w:r w:rsidRPr="00AF42A7">
        <w:rPr>
          <w:i/>
          <w:iCs/>
        </w:rPr>
        <w:t>Report and Order</w:t>
      </w:r>
      <w:r w:rsidRPr="00AF42A7">
        <w:t xml:space="preserve">, including this FRFA, to the Chief Counsel for Advocacy of the SBA. </w:t>
      </w:r>
      <w:r w:rsidRPr="00AF42A7">
        <w:rPr>
          <w:bCs/>
        </w:rPr>
        <w:t xml:space="preserve"> </w:t>
      </w:r>
      <w:r w:rsidRPr="00AF42A7">
        <w:t xml:space="preserve">A copy of the </w:t>
      </w:r>
      <w:r w:rsidRPr="00AF42A7">
        <w:rPr>
          <w:i/>
          <w:iCs/>
        </w:rPr>
        <w:t>Report and Order</w:t>
      </w:r>
      <w:r w:rsidRPr="00AF42A7">
        <w:t>, and FRFA (or summaries thereof) will also be published in the Federal Register</w:t>
      </w:r>
      <w:r w:rsidRPr="00AF42A7">
        <w:rPr>
          <w:bCs/>
        </w:rPr>
        <w:t>.</w:t>
      </w:r>
      <w:r>
        <w:rPr>
          <w:rStyle w:val="FootnoteReference"/>
        </w:rPr>
        <w:footnoteReference w:id="279"/>
      </w:r>
    </w:p>
    <w:p w:rsidR="00836E40" w:rsidRPr="00836E40" w:rsidP="00836E40" w14:paraId="6367BA5F" w14:textId="77777777">
      <w:pPr>
        <w:pStyle w:val="StyleBoldCentered"/>
      </w:pPr>
      <w:r w:rsidRPr="00836E40">
        <w:t>Statement of</w:t>
      </w:r>
    </w:p>
    <w:p w:rsidR="00836E40" w:rsidRPr="00836E40" w:rsidP="00836E40" w14:paraId="1D65C0A1" w14:textId="77777777">
      <w:pPr>
        <w:pStyle w:val="StyleBoldCentered"/>
      </w:pPr>
      <w:r w:rsidRPr="00836E40">
        <w:t>Chairman Ajit Pai</w:t>
      </w:r>
    </w:p>
    <w:p w:rsidR="00836E40" w:rsidRPr="00836E40" w:rsidP="00836E40" w14:paraId="639BAC77" w14:textId="77777777">
      <w:pPr>
        <w:pStyle w:val="ParaNum"/>
        <w:numPr>
          <w:ilvl w:val="0"/>
          <w:numId w:val="0"/>
        </w:numPr>
        <w:ind w:left="720"/>
        <w:rPr>
          <w:b/>
          <w:bCs/>
          <w:caps/>
        </w:rPr>
      </w:pPr>
    </w:p>
    <w:p w:rsidR="00836E40" w:rsidRPr="00B16A1E" w:rsidP="00836E40" w14:paraId="31D099BD" w14:textId="77777777">
      <w:pPr>
        <w:tabs>
          <w:tab w:val="left" w:pos="720"/>
        </w:tabs>
        <w:ind w:left="720" w:hanging="720"/>
      </w:pPr>
      <w:r w:rsidRPr="00B16A1E">
        <w:t>Re:</w:t>
      </w:r>
      <w:r w:rsidRPr="00B16A1E">
        <w:tab/>
      </w:r>
      <w:r w:rsidRPr="00B16A1E">
        <w:rPr>
          <w:i/>
          <w:iCs/>
        </w:rPr>
        <w:t>Implementation of State and Local Governments’ Obligation to Approve Certain Wireless Facility Modification Requests Under Section 6409(a) of the Spectrum Act of 2012</w:t>
      </w:r>
      <w:r w:rsidRPr="00B16A1E">
        <w:rPr>
          <w:iCs/>
        </w:rPr>
        <w:t>,</w:t>
      </w:r>
      <w:r w:rsidRPr="00B16A1E">
        <w:rPr>
          <w:i/>
          <w:iCs/>
        </w:rPr>
        <w:t xml:space="preserve"> </w:t>
      </w:r>
      <w:r w:rsidRPr="00B16A1E">
        <w:t>WT</w:t>
      </w:r>
      <w:r>
        <w:t xml:space="preserve"> Docket No.</w:t>
      </w:r>
      <w:r w:rsidRPr="00B16A1E">
        <w:t xml:space="preserve"> 19-250, RM-11849</w:t>
      </w:r>
    </w:p>
    <w:p w:rsidR="00836E40" w:rsidRPr="00AC7442" w:rsidP="00836E40" w14:paraId="7B73570D" w14:textId="77777777"/>
    <w:p w:rsidR="00836E40" w:rsidP="00836E40" w14:paraId="4AE24E19" w14:textId="77777777">
      <w:pPr>
        <w:ind w:firstLine="720"/>
      </w:pPr>
      <w:r>
        <w:t>A critical part of the FCC’s 5G FAST plan is promoting the deployment of wireless infrastructure</w:t>
      </w:r>
      <w:r w:rsidRPr="00AB3CA8">
        <w:t xml:space="preserve">.  </w:t>
      </w:r>
      <w:r>
        <w:t>Consumer demand for mobile broadband is increasing at a steady clip, and i</w:t>
      </w:r>
      <w:r w:rsidRPr="00AC7442">
        <w:t>nstall</w:t>
      </w:r>
      <w:r>
        <w:t xml:space="preserve">ing </w:t>
      </w:r>
      <w:r w:rsidRPr="00AC7442">
        <w:t xml:space="preserve">equipment on existing structures can accommodate </w:t>
      </w:r>
      <w:r>
        <w:t xml:space="preserve">that </w:t>
      </w:r>
      <w:r w:rsidRPr="00AC7442">
        <w:t>demand without the time delays and costs involved in constructing new towers.</w:t>
      </w:r>
      <w:r>
        <w:t xml:space="preserve">  And c</w:t>
      </w:r>
      <w:r w:rsidRPr="00AC7442">
        <w:t xml:space="preserve">ollocating antennas and other wireless equipment on existing infrastructure is </w:t>
      </w:r>
      <w:r>
        <w:t xml:space="preserve">usually </w:t>
      </w:r>
      <w:r w:rsidRPr="00AC7442">
        <w:t xml:space="preserve">less disruptive to the environment than constructing new sites.  </w:t>
      </w:r>
      <w:r>
        <w:t>But m</w:t>
      </w:r>
      <w:r w:rsidRPr="00AB3CA8">
        <w:t>any</w:t>
      </w:r>
      <w:r w:rsidRPr="00AC7442">
        <w:t xml:space="preserve"> towers were originally designed for use </w:t>
      </w:r>
      <w:r>
        <w:t xml:space="preserve">only </w:t>
      </w:r>
      <w:r w:rsidRPr="00AC7442">
        <w:t xml:space="preserve">by a single carrier, meaning that modifications may be </w:t>
      </w:r>
      <w:r>
        <w:t>necessary</w:t>
      </w:r>
      <w:r w:rsidRPr="00AC7442">
        <w:t xml:space="preserve"> to accommodate additional transmission equipment</w:t>
      </w:r>
      <w:r>
        <w:t xml:space="preserve"> on those towers</w:t>
      </w:r>
      <w:r w:rsidRPr="00AC7442">
        <w:t xml:space="preserve">. </w:t>
      </w:r>
    </w:p>
    <w:p w:rsidR="00836E40" w:rsidRPr="00AB3CA8" w:rsidP="00836E40" w14:paraId="66DAF6DD" w14:textId="77777777">
      <w:pPr>
        <w:ind w:firstLine="720"/>
      </w:pPr>
    </w:p>
    <w:p w:rsidR="00836E40" w:rsidP="00836E40" w14:paraId="793D57B2" w14:textId="77777777">
      <w:pPr>
        <w:ind w:firstLine="720"/>
      </w:pPr>
      <w:r w:rsidRPr="00AB3CA8">
        <w:t>Congress</w:t>
      </w:r>
      <w:r w:rsidRPr="00AC7442">
        <w:t xml:space="preserve"> </w:t>
      </w:r>
      <w:r>
        <w:t>recognized the importance of infrastructure to the</w:t>
      </w:r>
      <w:r w:rsidRPr="00AC7442">
        <w:t xml:space="preserve"> </w:t>
      </w:r>
      <w:r>
        <w:t xml:space="preserve">expansion and advancement </w:t>
      </w:r>
      <w:r w:rsidRPr="00AC7442">
        <w:t>of wireless broadband services</w:t>
      </w:r>
      <w:r>
        <w:t xml:space="preserve"> when a supermajority in each House of Congress </w:t>
      </w:r>
      <w:r w:rsidRPr="00AB3CA8">
        <w:t xml:space="preserve">passed the </w:t>
      </w:r>
      <w:r w:rsidRPr="00AC7442">
        <w:t>Middle Class Tax Relief and Job Creation</w:t>
      </w:r>
      <w:r w:rsidRPr="00AB3CA8">
        <w:t xml:space="preserve"> Act of 2012</w:t>
      </w:r>
      <w:r w:rsidRPr="00AC7442">
        <w:t xml:space="preserve"> (</w:t>
      </w:r>
      <w:r>
        <w:t xml:space="preserve">known in relevant part as </w:t>
      </w:r>
      <w:r w:rsidRPr="00AC7442">
        <w:t xml:space="preserve">the Spectrum Act).  Specifically, section 6409(a) </w:t>
      </w:r>
      <w:r>
        <w:t xml:space="preserve">of the Spectrum Act </w:t>
      </w:r>
      <w:r w:rsidRPr="00AB3CA8">
        <w:t>require</w:t>
      </w:r>
      <w:r w:rsidRPr="00AC7442">
        <w:t>s</w:t>
      </w:r>
      <w:r w:rsidRPr="00AB3CA8">
        <w:t xml:space="preserve"> state </w:t>
      </w:r>
      <w:r>
        <w:t>and</w:t>
      </w:r>
      <w:r w:rsidRPr="00AB3CA8">
        <w:t xml:space="preserve"> local governments to approve request</w:t>
      </w:r>
      <w:r w:rsidRPr="00AC7442">
        <w:t>s</w:t>
      </w:r>
      <w:r w:rsidRPr="00AB3CA8">
        <w:t xml:space="preserve"> for collocation, removal</w:t>
      </w:r>
      <w:r>
        <w:t>,</w:t>
      </w:r>
      <w:r w:rsidRPr="00AB3CA8">
        <w:t xml:space="preserve"> or replacement of transmission equipment that d</w:t>
      </w:r>
      <w:r w:rsidRPr="00AC7442">
        <w:t>o</w:t>
      </w:r>
      <w:r w:rsidRPr="00AB3CA8">
        <w:t xml:space="preserve"> not </w:t>
      </w:r>
      <w:r w:rsidRPr="005B350A">
        <w:t>substantially change</w:t>
      </w:r>
      <w:r w:rsidRPr="00AB3CA8">
        <w:t xml:space="preserve"> the physical dimensions of a tower or base station.  </w:t>
      </w:r>
      <w:r w:rsidRPr="00AC7442">
        <w:t xml:space="preserve">The Commission adopted rules implementing section 6409(a) in 2014, based largely on provisions included in the Commission’s </w:t>
      </w:r>
      <w:r w:rsidRPr="00AC7442">
        <w:rPr>
          <w:i/>
          <w:iCs/>
        </w:rPr>
        <w:t>Nationwide Programmatic Agreement for the Collocation of Wireless Antennas</w:t>
      </w:r>
      <w:r>
        <w:t xml:space="preserve"> (Collocation NPA)</w:t>
      </w:r>
      <w:r w:rsidRPr="00205388">
        <w:t>, which we entered into</w:t>
      </w:r>
      <w:r w:rsidRPr="005C1B7A">
        <w:t xml:space="preserve"> with the National Conference of State Historic Preservation Officers and the Advisory Council on Historic Preservation</w:t>
      </w:r>
      <w:r w:rsidRPr="00AC7442">
        <w:t xml:space="preserve">.  </w:t>
      </w:r>
      <w:r>
        <w:t xml:space="preserve">That agreement governs the evaluation of potential impacts on historical properties associated with collocations.  </w:t>
      </w:r>
    </w:p>
    <w:p w:rsidR="00836E40" w:rsidRPr="00AC7442" w:rsidP="00836E40" w14:paraId="415A3895" w14:textId="77777777">
      <w:pPr>
        <w:ind w:firstLine="720"/>
      </w:pPr>
    </w:p>
    <w:p w:rsidR="00836E40" w:rsidP="00836E40" w14:paraId="3D397BC7" w14:textId="77777777">
      <w:pPr>
        <w:ind w:firstLine="720"/>
      </w:pPr>
      <w:r w:rsidRPr="00415D58">
        <w:t>Earlier this year, the parties amended th</w:t>
      </w:r>
      <w:r>
        <w:t>at</w:t>
      </w:r>
      <w:r w:rsidRPr="00415D58">
        <w:t xml:space="preserve"> agreement to provide that </w:t>
      </w:r>
      <w:r>
        <w:t xml:space="preserve">certain </w:t>
      </w:r>
      <w:r w:rsidRPr="00415D58">
        <w:t>collocation</w:t>
      </w:r>
      <w:r>
        <w:t>-related</w:t>
      </w:r>
      <w:r w:rsidRPr="00415D58">
        <w:t xml:space="preserve"> excavations or deployments</w:t>
      </w:r>
      <w:r>
        <w:t xml:space="preserve"> up to 30 feet</w:t>
      </w:r>
      <w:r w:rsidRPr="00415D58">
        <w:t xml:space="preserve"> beyond a site boundary </w:t>
      </w:r>
      <w:r>
        <w:t xml:space="preserve">generally </w:t>
      </w:r>
      <w:r w:rsidRPr="00415D58">
        <w:t xml:space="preserve">do not warrant federal historic preservation review.  </w:t>
      </w:r>
      <w:r>
        <w:t xml:space="preserve">It is logical that </w:t>
      </w:r>
      <w:r w:rsidRPr="00AC7442">
        <w:t>this same threshold should apply as a benchmark for</w:t>
      </w:r>
      <w:r w:rsidRPr="00AB3CA8">
        <w:t xml:space="preserve"> exempt</w:t>
      </w:r>
      <w:r w:rsidRPr="00AC7442">
        <w:t>ing</w:t>
      </w:r>
      <w:r w:rsidRPr="00AB3CA8">
        <w:t xml:space="preserve"> expansion</w:t>
      </w:r>
      <w:r w:rsidRPr="00AC7442">
        <w:t>s</w:t>
      </w:r>
      <w:r w:rsidRPr="00AB3CA8">
        <w:t xml:space="preserve"> from substantial review by state and local government</w:t>
      </w:r>
      <w:r w:rsidRPr="00AC7442">
        <w:t xml:space="preserve"> pursuant to section 6409(a)</w:t>
      </w:r>
      <w:r w:rsidRPr="00AB3CA8">
        <w:t>.</w:t>
      </w:r>
      <w:r w:rsidRPr="00AC7442">
        <w:t xml:space="preserve"> </w:t>
      </w:r>
      <w:r>
        <w:t xml:space="preserve"> So today, c</w:t>
      </w:r>
      <w:r w:rsidRPr="00AC7442">
        <w:t xml:space="preserve">onsistent with the </w:t>
      </w:r>
      <w:r>
        <w:t xml:space="preserve">amended </w:t>
      </w:r>
      <w:r w:rsidRPr="00AC7442">
        <w:t>Collocation NPA, we</w:t>
      </w:r>
      <w:r w:rsidRPr="00AB3CA8">
        <w:t xml:space="preserve"> </w:t>
      </w:r>
      <w:r w:rsidRPr="00AC7442">
        <w:t>update</w:t>
      </w:r>
      <w:r w:rsidRPr="00AB3CA8">
        <w:t xml:space="preserve"> </w:t>
      </w:r>
      <w:r w:rsidRPr="00AC7442">
        <w:t>our rules</w:t>
      </w:r>
      <w:r w:rsidRPr="00AB3CA8">
        <w:t xml:space="preserve"> to provide that ground excavation or deployment up to </w:t>
      </w:r>
      <w:r w:rsidRPr="00AC7442">
        <w:t>30</w:t>
      </w:r>
      <w:r w:rsidRPr="00AB3CA8">
        <w:t xml:space="preserve"> feet beyond the site boundary of a tower </w:t>
      </w:r>
      <w:r w:rsidRPr="00AC7442">
        <w:t>outside of</w:t>
      </w:r>
      <w:r w:rsidRPr="00AB3CA8">
        <w:t xml:space="preserve"> a public right-of-way does not </w:t>
      </w:r>
      <w:r>
        <w:t xml:space="preserve">by itself </w:t>
      </w:r>
      <w:r w:rsidRPr="00AB3CA8">
        <w:t xml:space="preserve">disqualify the modification from a streamlined review by </w:t>
      </w:r>
      <w:r>
        <w:t>a</w:t>
      </w:r>
      <w:r w:rsidRPr="00AB3CA8">
        <w:t xml:space="preserve"> state or local government </w:t>
      </w:r>
      <w:r>
        <w:t>under section 6409(a)</w:t>
      </w:r>
      <w:r w:rsidRPr="00AB3CA8">
        <w:t xml:space="preserve">.  </w:t>
      </w:r>
    </w:p>
    <w:p w:rsidR="00836E40" w:rsidRPr="00AB3CA8" w:rsidP="00836E40" w14:paraId="614E5E5A" w14:textId="77777777">
      <w:pPr>
        <w:ind w:firstLine="720"/>
      </w:pPr>
    </w:p>
    <w:p w:rsidR="00836E40" w:rsidP="00836E40" w14:paraId="16869377" w14:textId="77777777">
      <w:pPr>
        <w:ind w:firstLine="720"/>
      </w:pPr>
      <w:r w:rsidRPr="00AC7442">
        <w:t>Our decision</w:t>
      </w:r>
      <w:r w:rsidRPr="00AB3CA8">
        <w:t xml:space="preserve"> streamline</w:t>
      </w:r>
      <w:r>
        <w:t>s</w:t>
      </w:r>
      <w:r w:rsidRPr="00AB3CA8">
        <w:t xml:space="preserve"> </w:t>
      </w:r>
      <w:r>
        <w:t xml:space="preserve">the </w:t>
      </w:r>
      <w:r w:rsidRPr="00AB3CA8">
        <w:t xml:space="preserve">processing of </w:t>
      </w:r>
      <w:r>
        <w:t xml:space="preserve">more </w:t>
      </w:r>
      <w:r w:rsidRPr="00AB3CA8">
        <w:t xml:space="preserve">modifications </w:t>
      </w:r>
      <w:r>
        <w:t>that don’t substantially change the physical dimensions of a tower</w:t>
      </w:r>
      <w:r w:rsidRPr="00AB3CA8">
        <w:t xml:space="preserve">.  </w:t>
      </w:r>
      <w:r>
        <w:t>And g</w:t>
      </w:r>
      <w:r w:rsidRPr="00AB3CA8">
        <w:t xml:space="preserve">iven the increasing reliance upon collocations as the most economical </w:t>
      </w:r>
      <w:r>
        <w:t xml:space="preserve">and environmentally friendly </w:t>
      </w:r>
      <w:r w:rsidRPr="00AB3CA8">
        <w:t xml:space="preserve">method for </w:t>
      </w:r>
      <w:r>
        <w:t>expanding</w:t>
      </w:r>
      <w:r w:rsidRPr="00AB3CA8">
        <w:t xml:space="preserve"> </w:t>
      </w:r>
      <w:r>
        <w:t xml:space="preserve">5G </w:t>
      </w:r>
      <w:r w:rsidRPr="00AB3CA8">
        <w:t xml:space="preserve">wireless networks, </w:t>
      </w:r>
      <w:r>
        <w:t>our Order today advances</w:t>
      </w:r>
      <w:r w:rsidRPr="00AB3CA8">
        <w:t xml:space="preserve"> the Commission’s goal of facilitating </w:t>
      </w:r>
      <w:r>
        <w:t xml:space="preserve">the </w:t>
      </w:r>
      <w:r w:rsidRPr="00AB3CA8">
        <w:t xml:space="preserve">rapid development of </w:t>
      </w:r>
      <w:r>
        <w:t xml:space="preserve">5G </w:t>
      </w:r>
      <w:r w:rsidRPr="00AB3CA8">
        <w:t>wireless infrastructure without infringing upon local land-use interests.</w:t>
      </w:r>
    </w:p>
    <w:p w:rsidR="00836E40" w:rsidP="00836E40" w14:paraId="43D3FDDE" w14:textId="77777777">
      <w:pPr>
        <w:ind w:firstLine="720"/>
      </w:pPr>
    </w:p>
    <w:p w:rsidR="00836E40" w:rsidP="00836E40" w14:paraId="36BF0BFC" w14:textId="77777777">
      <w:pPr>
        <w:ind w:firstLine="720"/>
      </w:pPr>
      <w:r w:rsidRPr="007A2B0F">
        <w:t xml:space="preserve">Our actions also promote public safety connectivity and network resiliency.  </w:t>
      </w:r>
      <w:r>
        <w:t xml:space="preserve">For example, </w:t>
      </w:r>
      <w:r w:rsidRPr="007A2B0F">
        <w:t xml:space="preserve">Congress directed that </w:t>
      </w:r>
      <w:r>
        <w:t>FirstNet, the nationwide public safety broadband network,</w:t>
      </w:r>
      <w:r w:rsidRPr="007A2B0F">
        <w:t xml:space="preserve"> should take advantage of existing infrastructure “to the maximum extent economically desirable.”</w:t>
      </w:r>
      <w:r>
        <w:t xml:space="preserve">  Accordingly, </w:t>
      </w:r>
      <w:r w:rsidRPr="007A2B0F">
        <w:t xml:space="preserve">FirstNet will </w:t>
      </w:r>
      <w:r>
        <w:t xml:space="preserve">be among the beneficiaries of </w:t>
      </w:r>
      <w:r w:rsidRPr="007A2B0F">
        <w:t xml:space="preserve">expedited deployment opportunities resulting from </w:t>
      </w:r>
      <w:r>
        <w:t>our Order</w:t>
      </w:r>
      <w:r w:rsidRPr="007A2B0F">
        <w:t xml:space="preserve">.  </w:t>
      </w:r>
      <w:r>
        <w:t>And with respect to network resiliency,</w:t>
      </w:r>
      <w:r w:rsidRPr="007A2B0F">
        <w:t xml:space="preserve"> many site expansions involve the installation of backup generators</w:t>
      </w:r>
      <w:r>
        <w:t xml:space="preserve">.  A </w:t>
      </w:r>
      <w:r w:rsidRPr="007A2B0F">
        <w:t xml:space="preserve">limited expansion </w:t>
      </w:r>
      <w:r>
        <w:t xml:space="preserve">beyond a site boundary to this point could </w:t>
      </w:r>
      <w:r w:rsidRPr="007A2B0F">
        <w:t xml:space="preserve">in many cases be subject to </w:t>
      </w:r>
      <w:r>
        <w:t xml:space="preserve">an unnecessarily lengthy </w:t>
      </w:r>
      <w:r w:rsidRPr="007A2B0F">
        <w:t xml:space="preserve">review </w:t>
      </w:r>
      <w:r>
        <w:t>that would harm public safety.</w:t>
      </w:r>
      <w:r w:rsidRPr="007A2B0F">
        <w:t xml:space="preserve">  </w:t>
      </w:r>
      <w:r>
        <w:t xml:space="preserve">Not </w:t>
      </w:r>
      <w:r>
        <w:t>any more</w:t>
      </w:r>
      <w:r>
        <w:t>.</w:t>
      </w:r>
    </w:p>
    <w:p w:rsidR="00836E40" w:rsidRPr="00AC7442" w:rsidP="00836E40" w14:paraId="5A3B9052" w14:textId="77777777">
      <w:pPr>
        <w:ind w:firstLine="720"/>
      </w:pPr>
    </w:p>
    <w:p w:rsidR="00836E40" w:rsidP="00836E40" w14:paraId="3A1C8875" w14:textId="77777777">
      <w:pPr>
        <w:ind w:firstLine="720"/>
      </w:pPr>
      <w:r>
        <w:t>In this Order, w</w:t>
      </w:r>
      <w:r w:rsidRPr="00AC7442">
        <w:t>e also</w:t>
      </w:r>
      <w:r w:rsidRPr="00AB3CA8">
        <w:t xml:space="preserve"> </w:t>
      </w:r>
      <w:r w:rsidRPr="00AC7442">
        <w:t xml:space="preserve">provide greater certainty to applicants and localities about the appropriate </w:t>
      </w:r>
      <w:r>
        <w:t>time</w:t>
      </w:r>
      <w:r w:rsidRPr="00AC7442">
        <w:t xml:space="preserve">line for evaluating </w:t>
      </w:r>
      <w:r>
        <w:t>boundaries of</w:t>
      </w:r>
      <w:r w:rsidRPr="00AC7442">
        <w:t xml:space="preserve"> a site for purposes of determining eligibility for streamlined review.  </w:t>
      </w:r>
      <w:r w:rsidRPr="00AC7442">
        <w:t>We revise our definition of the term “site”</w:t>
      </w:r>
      <w:r w:rsidRPr="00AB3CA8">
        <w:t xml:space="preserve"> </w:t>
      </w:r>
      <w:r>
        <w:t>to be</w:t>
      </w:r>
      <w:r w:rsidRPr="00AB3CA8">
        <w:t xml:space="preserve"> the boundaries of an eligible support structure at the time the original support structure was built or</w:t>
      </w:r>
      <w:r w:rsidRPr="00AC7442">
        <w:t>, alternatively,</w:t>
      </w:r>
      <w:r w:rsidRPr="00AB3CA8">
        <w:t xml:space="preserve"> the boundaries that were most recently reviewed and approved by the state or local government </w:t>
      </w:r>
      <w:r w:rsidRPr="00AC7442">
        <w:t>(</w:t>
      </w:r>
      <w:r w:rsidRPr="00AB3CA8">
        <w:t xml:space="preserve">provided that the most recent approval was granted prior to the passage of the Spectrum Act or was granted outside of a </w:t>
      </w:r>
      <w:r>
        <w:t xml:space="preserve">section </w:t>
      </w:r>
      <w:r w:rsidRPr="00AB3CA8">
        <w:t>6409(a) streamlined review process</w:t>
      </w:r>
      <w:r w:rsidRPr="00AC7442">
        <w:t>)</w:t>
      </w:r>
      <w:r w:rsidRPr="00AB3CA8">
        <w:t>.</w:t>
      </w:r>
      <w:r>
        <w:t xml:space="preserve">  With this proviso, the Commission provides a reasonable limiting factor to protect against an overexpansion of a site boundary and ensures greater protection for local land-use interests.</w:t>
      </w:r>
    </w:p>
    <w:p w:rsidR="00836E40" w:rsidRPr="00AB3CA8" w:rsidP="00836E40" w14:paraId="73ABD534" w14:textId="77777777">
      <w:pPr>
        <w:ind w:firstLine="720"/>
      </w:pPr>
    </w:p>
    <w:p w:rsidR="00836E40" w:rsidP="00836E40" w14:paraId="221F30E4" w14:textId="77777777">
      <w:pPr>
        <w:ind w:firstLine="720"/>
      </w:pPr>
      <w:r>
        <w:t>This decision doesn’t come in isolation.  Indeed, this Commission has worked hard over the past few years to</w:t>
      </w:r>
      <w:r w:rsidRPr="00AC7442">
        <w:t xml:space="preserve"> </w:t>
      </w:r>
      <w:r>
        <w:t>encourage the deployment of wireless infrastructure</w:t>
      </w:r>
      <w:r w:rsidRPr="00AC7442">
        <w:t xml:space="preserve">.  </w:t>
      </w:r>
      <w:r>
        <w:t xml:space="preserve">We’ve adopted new rules to reduce regulatory impediments to deploying small cells needed for 5G.  We’ve also implemented reforms to speed up state and local review of small cell deployments and to limit unreasonable fees placed on such deployments.  These decisions have yielded significant results.  In the United States, </w:t>
      </w:r>
      <w:r w:rsidRPr="00325265">
        <w:t xml:space="preserve">fewer than 7,000 cell sites </w:t>
      </w:r>
      <w:r>
        <w:t xml:space="preserve">were deployed </w:t>
      </w:r>
      <w:r w:rsidRPr="00325265">
        <w:t>from 2013 to 2016</w:t>
      </w:r>
      <w:r>
        <w:t>.  But deployment picked up starting in 2017</w:t>
      </w:r>
      <w:r w:rsidRPr="00325265">
        <w:t xml:space="preserve">, with </w:t>
      </w:r>
      <w:r>
        <w:t xml:space="preserve">more than </w:t>
      </w:r>
      <w:r w:rsidRPr="00325265">
        <w:t xml:space="preserve">46,000 </w:t>
      </w:r>
      <w:r>
        <w:t xml:space="preserve">sites added </w:t>
      </w:r>
      <w:r w:rsidRPr="00325265">
        <w:t>in 2019 alone</w:t>
      </w:r>
      <w:r>
        <w:t xml:space="preserve">.  Today’s action is just the latest step toward encouraging buildout of communications infrastructure, expediting the expansion of 5G across our nation, and advancing America’s global leadership position in 5G.  </w:t>
      </w:r>
    </w:p>
    <w:p w:rsidR="00836E40" w:rsidRPr="00AB3CA8" w:rsidP="00836E40" w14:paraId="21A35E31" w14:textId="77777777">
      <w:pPr>
        <w:ind w:firstLine="720"/>
      </w:pPr>
    </w:p>
    <w:p w:rsidR="00162A9E" w:rsidP="00836E40" w14:paraId="2059EFB6" w14:textId="77777777">
      <w:pPr>
        <w:ind w:firstLine="720"/>
        <w:sectPr w:rsidSect="007C2978">
          <w:footerReference w:type="default" r:id="rId15"/>
          <w:footnotePr>
            <w:numRestart w:val="eachSect"/>
          </w:footnotePr>
          <w:endnotePr>
            <w:numFmt w:val="decimal"/>
          </w:endnotePr>
          <w:pgSz w:w="12240" w:h="15840"/>
          <w:pgMar w:top="1440" w:right="1440" w:bottom="720" w:left="1440" w:header="720" w:footer="720" w:gutter="0"/>
          <w:cols w:space="720"/>
          <w:noEndnote/>
          <w:docGrid w:linePitch="299"/>
        </w:sectPr>
      </w:pPr>
      <w:r w:rsidRPr="00AC7442">
        <w:t>I’d like to thank Commission staff for their work in preparing this Report and Order</w:t>
      </w:r>
      <w:r>
        <w:t xml:space="preserve">.  </w:t>
      </w:r>
      <w:r w:rsidRPr="002029A2">
        <w:t>From the Wireless Telecommunications Bureau</w:t>
      </w:r>
      <w:r>
        <w:t>:</w:t>
      </w:r>
      <w:r w:rsidRPr="002029A2">
        <w:t xml:space="preserve"> Paul D’Ari, Garnet Hanly, Kari Hicks, Georgios Leris, Belinda Nixon, Dana Shaffer, Don Stockdale, Cecilia Sulhoff, and Joel Taubenblatt; from the Office of General Counsel</w:t>
      </w:r>
      <w:r>
        <w:t>:</w:t>
      </w:r>
      <w:r w:rsidRPr="002029A2">
        <w:t xml:space="preserve"> Mike Carlson, David Horowitz, Bill Richardson, and Anjali Singh; from the Office of Economics and Analytics</w:t>
      </w:r>
      <w:r>
        <w:t>:</w:t>
      </w:r>
      <w:r w:rsidRPr="002029A2">
        <w:t xml:space="preserve"> </w:t>
      </w:r>
      <w:r>
        <w:t>Kat</w:t>
      </w:r>
      <w:r w:rsidRPr="002029A2">
        <w:t>e Matraves and Patrick Sun; from the Wireline Competition Bureau</w:t>
      </w:r>
      <w:r>
        <w:t>:</w:t>
      </w:r>
      <w:r w:rsidRPr="002029A2">
        <w:t xml:space="preserve"> Adam Copeland and Michael Ray; from the Consumer and Governmental Affairs Bureau</w:t>
      </w:r>
      <w:r>
        <w:t>:</w:t>
      </w:r>
      <w:r w:rsidRPr="002029A2">
        <w:t xml:space="preserve"> Gregory Cooke, Barbara Esbin, and Aliza Katz; from the Enforcement Bureau</w:t>
      </w:r>
      <w:r>
        <w:t>:</w:t>
      </w:r>
      <w:r w:rsidRPr="002029A2">
        <w:t xml:space="preserve"> Leslie Barnes, Kathy Harvey, Chris Killion, Shannon </w:t>
      </w:r>
      <w:r w:rsidRPr="002029A2">
        <w:t>Lipp</w:t>
      </w:r>
      <w:r w:rsidRPr="002029A2">
        <w:t>, Neal McNeil, Janet Moran, and Axel Rodriguez; and from the Office of Communications Business Opportunities</w:t>
      </w:r>
      <w:r>
        <w:t>:</w:t>
      </w:r>
      <w:r w:rsidRPr="002029A2">
        <w:t xml:space="preserve"> Chana Wilkerson</w:t>
      </w:r>
      <w:r w:rsidRPr="00AB3CA8">
        <w:t xml:space="preserve">.  </w:t>
      </w:r>
    </w:p>
    <w:p w:rsidR="00162A9E" w:rsidRPr="00A3033D" w:rsidP="00162A9E" w14:paraId="1102A6EE" w14:textId="77777777">
      <w:pPr>
        <w:jc w:val="center"/>
        <w:rPr>
          <w:rFonts w:eastAsiaTheme="minorHAnsi"/>
          <w:b/>
          <w:bCs/>
        </w:rPr>
      </w:pPr>
      <w:r w:rsidRPr="00A3033D">
        <w:rPr>
          <w:rFonts w:eastAsiaTheme="minorHAnsi"/>
          <w:b/>
          <w:bCs/>
        </w:rPr>
        <w:t>STATEMENT OF</w:t>
      </w:r>
    </w:p>
    <w:p w:rsidR="00162A9E" w:rsidP="00162A9E" w14:paraId="2DCAB0BC" w14:textId="7E8ABCE6">
      <w:pPr>
        <w:jc w:val="center"/>
        <w:rPr>
          <w:rFonts w:eastAsiaTheme="minorHAnsi"/>
          <w:b/>
          <w:bCs/>
        </w:rPr>
      </w:pPr>
      <w:r w:rsidRPr="00A3033D">
        <w:rPr>
          <w:rFonts w:eastAsiaTheme="minorHAnsi"/>
          <w:b/>
          <w:bCs/>
        </w:rPr>
        <w:t>COMMISSIONER MICHAEL O’RIELLY</w:t>
      </w:r>
    </w:p>
    <w:p w:rsidR="00162A9E" w:rsidRPr="00A3033D" w:rsidP="00162A9E" w14:paraId="2B7DB11A" w14:textId="77777777">
      <w:pPr>
        <w:jc w:val="center"/>
        <w:rPr>
          <w:rFonts w:eastAsiaTheme="minorHAnsi"/>
          <w:b/>
          <w:bCs/>
        </w:rPr>
      </w:pPr>
    </w:p>
    <w:p w:rsidR="00162A9E" w:rsidRPr="00B16A1E" w:rsidP="00162A9E" w14:paraId="53EADF95" w14:textId="77777777">
      <w:pPr>
        <w:tabs>
          <w:tab w:val="left" w:pos="720"/>
        </w:tabs>
        <w:ind w:left="720" w:hanging="720"/>
      </w:pPr>
      <w:r w:rsidRPr="00B16A1E">
        <w:t>Re:</w:t>
      </w:r>
      <w:r w:rsidRPr="00B16A1E">
        <w:tab/>
      </w:r>
      <w:r w:rsidRPr="00B16A1E">
        <w:rPr>
          <w:i/>
          <w:iCs/>
        </w:rPr>
        <w:t>Implementation of State and Local Governments’ Obligation to Approve Certain Wireless Facility Modification Requests Under Section 6409(a) of the Spectrum Act of 2012</w:t>
      </w:r>
      <w:r w:rsidRPr="00B16A1E">
        <w:rPr>
          <w:iCs/>
        </w:rPr>
        <w:t>,</w:t>
      </w:r>
      <w:r w:rsidRPr="00B16A1E">
        <w:rPr>
          <w:i/>
          <w:iCs/>
        </w:rPr>
        <w:t xml:space="preserve"> </w:t>
      </w:r>
      <w:r w:rsidRPr="00B16A1E">
        <w:t>WT</w:t>
      </w:r>
      <w:r>
        <w:t xml:space="preserve"> Docket No.</w:t>
      </w:r>
      <w:r w:rsidRPr="00B16A1E">
        <w:t xml:space="preserve"> 19-250, RM-11849</w:t>
      </w:r>
    </w:p>
    <w:p w:rsidR="00162A9E" w:rsidP="00162A9E" w14:paraId="74903550" w14:textId="77777777"/>
    <w:p w:rsidR="00162A9E" w:rsidRPr="007747D1" w:rsidP="00162A9E" w14:paraId="5B5A2443" w14:textId="77777777">
      <w:pPr>
        <w:ind w:firstLine="720"/>
      </w:pPr>
      <w:r w:rsidRPr="007747D1">
        <w:t xml:space="preserve">From my earliest days at the Commission, I </w:t>
      </w:r>
      <w:r>
        <w:t xml:space="preserve">have </w:t>
      </w:r>
      <w:r w:rsidRPr="007747D1">
        <w:t xml:space="preserve">met with tower companies, wireless providers, and their trade associations to start an open dialogue about needed improvements to the regulatory structure that is ensnaring infrastructure siting.  Unfortunately, </w:t>
      </w:r>
      <w:r>
        <w:t xml:space="preserve">in numerous meetings, </w:t>
      </w:r>
      <w:r w:rsidRPr="007747D1">
        <w:t>the</w:t>
      </w:r>
      <w:r>
        <w:t>se entities</w:t>
      </w:r>
      <w:r w:rsidRPr="007747D1">
        <w:t xml:space="preserve"> cited a myriad of legitimate examples of local governments, historic preservation boards, and Tribal nations continuously placing unnecessary barriers in the way of Americans receiving higher quality services and the latest wireless innovations.  Sometimes, there was even a reluctance to share their experiences given the potential for negative blowback, but the stories and details made clear to me that Commission action was needed. </w:t>
      </w:r>
    </w:p>
    <w:p w:rsidR="00162A9E" w:rsidRPr="007747D1" w:rsidP="00162A9E" w14:paraId="2C2E1541" w14:textId="77777777"/>
    <w:p w:rsidR="00162A9E" w:rsidRPr="007747D1" w:rsidP="00162A9E" w14:paraId="7EF21C33" w14:textId="77777777">
      <w:pPr>
        <w:ind w:firstLine="720"/>
      </w:pPr>
      <w:r w:rsidRPr="007747D1">
        <w:t xml:space="preserve">Such prohibitions and delays are even more egregious when they affect wireless providers’ ability to collocate on existing towers.  Everyone would naturally assume that staunch tower opponents would support efforts to use existing towers instead of building additional ones, which some find unsightly.  Yet, despite this logical presumption and even Congressional action to facilitate collocations, the wireless industry still faced, and continues to face, ridiculous hurdles.  </w:t>
      </w:r>
    </w:p>
    <w:p w:rsidR="00162A9E" w:rsidRPr="007747D1" w:rsidP="00162A9E" w14:paraId="2930DC92" w14:textId="77777777"/>
    <w:p w:rsidR="00162A9E" w:rsidRPr="007747D1" w:rsidP="00162A9E" w14:paraId="528A933F" w14:textId="77777777">
      <w:pPr>
        <w:ind w:firstLine="720"/>
      </w:pPr>
      <w:r w:rsidRPr="007747D1">
        <w:t xml:space="preserve">The lists of obstacles were quite extensive early on, and the Commission has tackled many of these issues already.  But, one of the problems repeatedly highlighted was obtaining approvals for the compound expansion needed when a provider wanted to collocate on a tower.  Whether it be for equipment cabinets or generators for backup power, long approval processes were being required to expand compounds on land already zoned for this very use.  It amazes me how some can argue against today’s action while repeatedly calling for – and </w:t>
      </w:r>
      <w:r>
        <w:t>some</w:t>
      </w:r>
      <w:r w:rsidRPr="007747D1">
        <w:t xml:space="preserve">times criticizing – the need for greater resiliency, expansion of networks, and the deployment of FirstNet’s system.  Not to mention, most recognize that the deployment of 5G will require more equipment to be placed within these compounds. </w:t>
      </w:r>
    </w:p>
    <w:p w:rsidR="00162A9E" w:rsidRPr="007747D1" w:rsidP="00162A9E" w14:paraId="293FB94C" w14:textId="77777777"/>
    <w:p w:rsidR="00162A9E" w:rsidRPr="007747D1" w:rsidP="00162A9E" w14:paraId="0CB4512F" w14:textId="77777777">
      <w:pPr>
        <w:ind w:firstLine="720"/>
      </w:pPr>
      <w:r w:rsidRPr="007747D1">
        <w:t>Although today’s action</w:t>
      </w:r>
      <w:r>
        <w:t xml:space="preserve"> could have been done earlier</w:t>
      </w:r>
      <w:r w:rsidRPr="007747D1">
        <w:t>, I am pleased that we are finally eliminating the barriers unjustly restricting compound expansion.  After having given many speeches on this topic, I appreciate that this item was brought to conclusion before I depart.</w:t>
      </w:r>
    </w:p>
    <w:p w:rsidR="00162A9E" w:rsidRPr="007747D1" w:rsidP="00162A9E" w14:paraId="7C9B30DE" w14:textId="77777777"/>
    <w:p w:rsidR="00162A9E" w:rsidP="00162A9E" w14:paraId="5D538FC6" w14:textId="77777777">
      <w:pPr>
        <w:ind w:firstLine="720"/>
        <w:sectPr w:rsidSect="007C2978">
          <w:foot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pPr>
      <w:r w:rsidRPr="007747D1">
        <w:t>While this particular issue comes to a close, we unfortunately have failed to resolve the infrastructure-related issue that has been on</w:t>
      </w:r>
      <w:r>
        <w:t xml:space="preserve"> the top of my</w:t>
      </w:r>
      <w:r w:rsidRPr="007747D1">
        <w:t xml:space="preserve"> list the longest: twilight towers.  </w:t>
      </w:r>
      <w:r>
        <w:t>A</w:t>
      </w:r>
      <w:r w:rsidRPr="007747D1">
        <w:t xml:space="preserve">lmost 5000 towers, some of which have been in existence for almost two decades, </w:t>
      </w:r>
      <w:r>
        <w:t xml:space="preserve">are </w:t>
      </w:r>
      <w:r w:rsidRPr="007747D1">
        <w:t xml:space="preserve">available for collocations. </w:t>
      </w:r>
      <w:r>
        <w:t xml:space="preserve"> The</w:t>
      </w:r>
      <w:r w:rsidRPr="007747D1">
        <w:t xml:space="preserve"> Commission</w:t>
      </w:r>
      <w:r>
        <w:t xml:space="preserve"> has a</w:t>
      </w:r>
      <w:r w:rsidRPr="007747D1">
        <w:t xml:space="preserve"> plan to resolve issues that arose because the Commission’s rules were unclear</w:t>
      </w:r>
      <w:r>
        <w:t>, which prevented collocations on these towers.</w:t>
      </w:r>
      <w:r w:rsidRPr="007747D1">
        <w:t xml:space="preserve">  It is hard to believe that </w:t>
      </w:r>
      <w:r>
        <w:t>some</w:t>
      </w:r>
      <w:r w:rsidRPr="007747D1">
        <w:t xml:space="preserve"> would take an action that would hinder network deployment, especially at a time when everyone is relying on telecommunications services to keep in touch with loved ones, attend school, visit their doctors, and do their jobs.  There is plenty of leadership blame to go around on this issue, but let’s be clear: the </w:t>
      </w:r>
      <w:r>
        <w:t>Advisory Council on Historic Preservation</w:t>
      </w:r>
      <w:r w:rsidRPr="007747D1">
        <w:t xml:space="preserve"> must reverse its nonsensical decision on this matter immediately.</w:t>
      </w:r>
      <w:r>
        <w:t xml:space="preserve"> </w:t>
      </w:r>
    </w:p>
    <w:p w:rsidR="00162A9E" w:rsidRPr="00B16A1E" w:rsidP="00162A9E" w14:paraId="6F72D182" w14:textId="77777777">
      <w:pPr>
        <w:jc w:val="center"/>
        <w:rPr>
          <w:b/>
        </w:rPr>
      </w:pPr>
      <w:bookmarkStart w:id="87" w:name="_Hlk23517911"/>
      <w:r w:rsidRPr="00B16A1E">
        <w:rPr>
          <w:b/>
        </w:rPr>
        <w:t>STATEMENT OF</w:t>
      </w:r>
    </w:p>
    <w:p w:rsidR="00162A9E" w:rsidRPr="00B16A1E" w:rsidP="00162A9E" w14:paraId="22DC4D28" w14:textId="77777777">
      <w:pPr>
        <w:jc w:val="center"/>
        <w:rPr>
          <w:b/>
        </w:rPr>
      </w:pPr>
      <w:r w:rsidRPr="00B16A1E">
        <w:rPr>
          <w:b/>
        </w:rPr>
        <w:t>COMMISSIONER BRENDAN CARR</w:t>
      </w:r>
    </w:p>
    <w:p w:rsidR="00162A9E" w:rsidRPr="00B16A1E" w:rsidP="00162A9E" w14:paraId="7888C4C7" w14:textId="77777777">
      <w:pPr>
        <w:jc w:val="center"/>
      </w:pPr>
    </w:p>
    <w:p w:rsidR="00162A9E" w:rsidRPr="00B16A1E" w:rsidP="00162A9E" w14:paraId="31F210E9" w14:textId="77777777">
      <w:pPr>
        <w:tabs>
          <w:tab w:val="left" w:pos="720"/>
        </w:tabs>
        <w:ind w:left="720" w:hanging="720"/>
      </w:pPr>
      <w:r w:rsidRPr="00B16A1E">
        <w:t>Re:</w:t>
      </w:r>
      <w:r w:rsidRPr="00B16A1E">
        <w:tab/>
      </w:r>
      <w:r w:rsidRPr="00B16A1E">
        <w:rPr>
          <w:i/>
          <w:iCs/>
        </w:rPr>
        <w:t>Implementation of State and Local Governments’ Obligation to Approve Certain Wireless Facility Modification Requests Under Section 6409(a) of the Spectrum Act of 2012</w:t>
      </w:r>
      <w:r w:rsidRPr="00B16A1E">
        <w:rPr>
          <w:iCs/>
        </w:rPr>
        <w:t>,</w:t>
      </w:r>
      <w:r w:rsidRPr="00B16A1E">
        <w:rPr>
          <w:i/>
          <w:iCs/>
        </w:rPr>
        <w:t xml:space="preserve"> </w:t>
      </w:r>
      <w:r w:rsidRPr="00B16A1E">
        <w:t>WT</w:t>
      </w:r>
      <w:r>
        <w:t xml:space="preserve"> Docket No.</w:t>
      </w:r>
      <w:r w:rsidRPr="00B16A1E">
        <w:t xml:space="preserve"> 19-250, RM-11849</w:t>
      </w:r>
    </w:p>
    <w:bookmarkEnd w:id="87"/>
    <w:p w:rsidR="00162A9E" w:rsidRPr="00B16A1E" w:rsidP="00162A9E" w14:paraId="2E7F95FC" w14:textId="77777777">
      <w:pPr>
        <w:rPr>
          <w:b/>
        </w:rPr>
      </w:pPr>
    </w:p>
    <w:p w:rsidR="00162A9E" w:rsidRPr="00B16A1E" w:rsidP="00162A9E" w14:paraId="6FA9A821" w14:textId="77777777">
      <w:pPr>
        <w:ind w:firstLine="720"/>
      </w:pPr>
      <w:r w:rsidRPr="00B16A1E">
        <w:t xml:space="preserve">If you’ve ever driven out Arlington Boulevard to where it meets D.C.’s Beltway, chances are that your phone has checked in with a wireless tower located on Gallows Road.  You might not have noticed it as you drove by because the tower was made to be about the same height and have the same brown trunk and green branches as the trees around it.  </w:t>
      </w:r>
    </w:p>
    <w:p w:rsidR="00162A9E" w:rsidRPr="00B16A1E" w:rsidP="00162A9E" w14:paraId="5AA3F40C" w14:textId="77777777">
      <w:pPr>
        <w:ind w:firstLine="720"/>
      </w:pPr>
    </w:p>
    <w:p w:rsidR="00162A9E" w:rsidRPr="00B16A1E" w:rsidP="00162A9E" w14:paraId="5ED64627" w14:textId="77777777">
      <w:pPr>
        <w:ind w:firstLine="720"/>
      </w:pPr>
      <w:r w:rsidRPr="00B16A1E">
        <w:t>Loaded on that trunk and hidden between those branches is radio equipment for two wireless providers, and there are discussions about a third provider collocating soon.  At the base of that monopine are the fiber, computing equipment, and power supply for the wireless providers—and even the local cable company, to boot.</w:t>
      </w:r>
    </w:p>
    <w:p w:rsidR="00162A9E" w:rsidRPr="00B16A1E" w:rsidP="00162A9E" w14:paraId="5D4E1F2E" w14:textId="77777777">
      <w:pPr>
        <w:ind w:firstLine="720"/>
      </w:pPr>
    </w:p>
    <w:p w:rsidR="00162A9E" w:rsidRPr="00B16A1E" w:rsidP="00162A9E" w14:paraId="190F1FD3" w14:textId="77777777">
      <w:pPr>
        <w:ind w:firstLine="720"/>
      </w:pPr>
      <w:r w:rsidRPr="00B16A1E">
        <w:t>Think about all of the work that that single tower does.  For example, it serves the Inova Fairfax Hospital, about a mile away.  With an urgent buzz of pagers, that tower summons surgeons to the ER to save lives; it delivers texts home that say someone’s going to be OK.  It’s positioned even closer to two public elementary schools.  Before the pandemic, there’s no doubt the tower carried communications between teachers and their students’ families.  Now, one of the schools is an Election Day center.  If a voting machine breaks down, the lines are too long, or there’s any other barrier to ensuring that citizens’ right to vote is secured on Tuesday, poll workers will rely on that tower to find solutions quickly.</w:t>
      </w:r>
    </w:p>
    <w:p w:rsidR="00162A9E" w:rsidRPr="00B16A1E" w:rsidP="00162A9E" w14:paraId="74449BA5" w14:textId="77777777">
      <w:pPr>
        <w:ind w:firstLine="720"/>
      </w:pPr>
    </w:p>
    <w:p w:rsidR="00162A9E" w:rsidRPr="00B16A1E" w:rsidP="00162A9E" w14:paraId="0713F96A" w14:textId="77777777">
      <w:pPr>
        <w:ind w:firstLine="720"/>
      </w:pPr>
      <w:r w:rsidRPr="00B16A1E">
        <w:t>The point is that we don’t realize how much we depend on our local wireless tower—until it stops working and we yell at our cell phone company.  And even if we do pause for a moment to ponder and appreciate how much wireless is integrated into our daily lives, almost none of us see the discoveries, planning, investment, and regular effort required to keep us connected.</w:t>
      </w:r>
    </w:p>
    <w:p w:rsidR="00162A9E" w:rsidRPr="00B16A1E" w:rsidP="00162A9E" w14:paraId="2453FD59" w14:textId="77777777">
      <w:pPr>
        <w:ind w:firstLine="720"/>
      </w:pPr>
    </w:p>
    <w:p w:rsidR="00162A9E" w:rsidRPr="00B16A1E" w:rsidP="00162A9E" w14:paraId="452B0EC2" w14:textId="77777777">
      <w:pPr>
        <w:ind w:firstLine="720"/>
      </w:pPr>
      <w:r w:rsidRPr="00B16A1E">
        <w:t>One person who is deeply aware of those efforts is Tam Murray.  The company he founded, Community Wireless Structures, builds and operates towers in northern Virginia, including the one on Gallows Road.  It’s a place where exurbs have grown into suburbs and suburbs have grown into cities in their own right.  With that growth have come an increased demand for data and an expectation that people who live in the suburbs, exurbs, and rural communities will enjoy the same reliability that city people enjoy.</w:t>
      </w:r>
    </w:p>
    <w:p w:rsidR="00162A9E" w:rsidRPr="00B16A1E" w:rsidP="00162A9E" w14:paraId="1FE1F0A3" w14:textId="77777777">
      <w:pPr>
        <w:ind w:firstLine="720"/>
      </w:pPr>
    </w:p>
    <w:p w:rsidR="00162A9E" w:rsidRPr="00B16A1E" w:rsidP="00162A9E" w14:paraId="39D94D9F" w14:textId="77777777">
      <w:pPr>
        <w:ind w:firstLine="720"/>
      </w:pPr>
      <w:r w:rsidRPr="00B16A1E">
        <w:t xml:space="preserve">Tam has been planning to upgrade the Gallows Road tower to meet his customers’ needs.  When I visited the tower with him last week, Tam showed me where he wants to expand his fence to make room for backup power.  Trees cover that area, and it’s notoriously difficult to keep the power on during storms.  While a house without power might be a manageable inconvenience for some, a tower without power can cut off wireless service for miles around.  That’s unacceptable, especially in an emergency.  FirstNet, the government authority charged with building a first responders’ network, has contracted for new backup power at cell sites across the country.  In fact, the California Public Utilities Commission this year </w:t>
      </w:r>
      <w:r w:rsidRPr="00B16A1E">
        <w:rPr>
          <w:i/>
          <w:iCs/>
        </w:rPr>
        <w:t xml:space="preserve">mandated </w:t>
      </w:r>
      <w:r w:rsidRPr="00B16A1E">
        <w:t>72 hours of backup power at sites statewide.</w:t>
      </w:r>
    </w:p>
    <w:p w:rsidR="00162A9E" w:rsidRPr="00B16A1E" w:rsidP="00162A9E" w14:paraId="60838D46" w14:textId="77777777">
      <w:pPr>
        <w:ind w:firstLine="720"/>
      </w:pPr>
    </w:p>
    <w:p w:rsidR="00162A9E" w:rsidRPr="00B16A1E" w:rsidP="00162A9E" w14:paraId="31CF9F55" w14:textId="77777777">
      <w:pPr>
        <w:ind w:firstLine="720"/>
      </w:pPr>
      <w:r w:rsidRPr="00B16A1E">
        <w:t>Tam also needs some more space to expand capacity.  Wireless providers are adding more equipment to towers to light up the massive amounts of spectrum this Commission has brought to market over the last four years.  5G’s hallmark speed—gigabits through the air—requires lots of spectrum, and often lots of equipment to use each band.  And 5G’s low latency—network response in milliseconds—can be advanced by computing power located at tower sites.  To provide these robust 5G capabilities, Tam’s site needs a modest expansion.</w:t>
      </w:r>
    </w:p>
    <w:p w:rsidR="00162A9E" w:rsidRPr="00B16A1E" w:rsidP="00162A9E" w14:paraId="05203EBF" w14:textId="77777777">
      <w:pPr>
        <w:ind w:firstLine="720"/>
      </w:pPr>
    </w:p>
    <w:p w:rsidR="00162A9E" w:rsidRPr="00B16A1E" w:rsidP="00162A9E" w14:paraId="4113E813" w14:textId="77777777">
      <w:pPr>
        <w:ind w:firstLine="720"/>
      </w:pPr>
      <w:r w:rsidRPr="00B16A1E">
        <w:t>In 2012, Congress anticipated problems of this sort.  Back then, the wireless providers were finishing a massive upgrade to 4G LTE, ushering in the era of mobile broadband.  Tower upgrades seemed like no-brainers: they directly benefited communities with fast service while requiring only minor equipment changes to towers that already had been built.  Yet many communities were being left behind because of the long delays and high costs that some municipal governments imposed on straightforward tower work.  Congress stepped in with Section 6409, which mandated that municipal governments approve tower upgrades that do not substantially change the physical dimensions of the tower.</w:t>
      </w:r>
    </w:p>
    <w:p w:rsidR="00162A9E" w:rsidRPr="00B16A1E" w:rsidP="00162A9E" w14:paraId="33BAEDB4" w14:textId="77777777">
      <w:pPr>
        <w:ind w:firstLine="720"/>
      </w:pPr>
    </w:p>
    <w:p w:rsidR="00162A9E" w:rsidRPr="00B16A1E" w:rsidP="00162A9E" w14:paraId="253DF333" w14:textId="77777777">
      <w:pPr>
        <w:ind w:firstLine="720"/>
      </w:pPr>
      <w:r w:rsidRPr="00B16A1E">
        <w:t xml:space="preserve">Two years later, the FCC wrote rules implementing Section 6409.  One of our tasks then was to define what would and wouldn’t count as a substantial change so that tower owners could have some certainty about which upgrades would qualify for expedited approval.  To complete that task, the Commission turned to two agreements that we reached with the Advisory Council on Historic Preservation (ACHP) and the National Conference of State Historic Preservation Officers (NCSHPO).  </w:t>
      </w:r>
    </w:p>
    <w:p w:rsidR="00162A9E" w:rsidRPr="00B16A1E" w:rsidP="00162A9E" w14:paraId="54A7B914" w14:textId="77777777">
      <w:pPr>
        <w:ind w:firstLine="720"/>
      </w:pPr>
    </w:p>
    <w:p w:rsidR="00162A9E" w:rsidRPr="00B16A1E" w:rsidP="00162A9E" w14:paraId="41740E08" w14:textId="77777777">
      <w:pPr>
        <w:ind w:firstLine="720"/>
      </w:pPr>
      <w:r w:rsidRPr="00B16A1E">
        <w:t>These agreements cover tower replacements and collocations, which are when equipment is changed on an existing structure.  The agreements allow replacements and collocations to proceed without going through protracted historic preservation or environmental reviews, in some circumstances.  We noted that Congress was aware of the agreements when it enacted Section 6409, and Congress explicitly referenced our ongoing historic preservation and environmental obligations within the statute’s text.  Because of this, we reasoned that the modest tower changes allowed under the agreements would be a good starting point for understanding the tower changes Section 6409 would allow.  As a policy matter, it makes sense that updates to towers that are minor enough to exclude from our other reviews may be minor enough to exclude from municipal approvals.  And if there’s consistency between our environmental, historic preservation, and local approval rules, it would simplify and expedite tower upgrades—exactly the purpose of Section 6409.</w:t>
      </w:r>
    </w:p>
    <w:p w:rsidR="00162A9E" w:rsidRPr="00B16A1E" w:rsidP="00162A9E" w14:paraId="1C4B139D" w14:textId="77777777">
      <w:pPr>
        <w:ind w:firstLine="720"/>
      </w:pPr>
    </w:p>
    <w:p w:rsidR="00162A9E" w:rsidRPr="00B16A1E" w:rsidP="00162A9E" w14:paraId="073C2530" w14:textId="77777777">
      <w:pPr>
        <w:ind w:firstLine="720"/>
      </w:pPr>
      <w:r w:rsidRPr="00B16A1E">
        <w:t xml:space="preserve">There was one discrepancy between the two agreements, which forms the crux of what we’re doing today.  The 2001 agreement, which covers collocations, didn’t allow for any excavation or deployment beyond the limits of a tower site at the time of the collocation.  In contrast, the 2005 agreement, which covers tower replacements, allowed a tower site to be expanded by 30 feet.  When the Commission wrote its rules for Section 6409, it looked at the two agreements that had nearly identical terms except for site expansion.  On that question, the Commission picked the older agreement, although without much discussion or reasoning.  </w:t>
      </w:r>
    </w:p>
    <w:p w:rsidR="00162A9E" w:rsidRPr="00B16A1E" w:rsidP="00162A9E" w14:paraId="296B49ED" w14:textId="77777777">
      <w:pPr>
        <w:ind w:firstLine="720"/>
      </w:pPr>
    </w:p>
    <w:p w:rsidR="00162A9E" w:rsidRPr="00B16A1E" w:rsidP="00162A9E" w14:paraId="13FFD860" w14:textId="77777777">
      <w:pPr>
        <w:ind w:firstLine="720"/>
      </w:pPr>
      <w:r w:rsidRPr="00B16A1E">
        <w:t>The discrepancy between the 2001 and 2005 agreements didn’t make much sense in the first place.  From an environmental and historic preservation perspective, the point of the agreements was to encourage reuse of tower sites instead of building duplicative ones.  If evolving technology and circumstances by 2005 showed that an additional 30 feet were needed to revitalize tower sites and, on balance, were better for environmental and historic preservation interests than building new sites, then that reasoning would seem to apply with equal force to the 2001 agreement.</w:t>
      </w:r>
    </w:p>
    <w:p w:rsidR="00162A9E" w:rsidRPr="00B16A1E" w:rsidP="00162A9E" w14:paraId="591C9518" w14:textId="77777777">
      <w:pPr>
        <w:ind w:firstLine="720"/>
      </w:pPr>
    </w:p>
    <w:p w:rsidR="00162A9E" w:rsidRPr="00B16A1E" w:rsidP="00162A9E" w14:paraId="389098BB" w14:textId="77777777">
      <w:pPr>
        <w:ind w:firstLine="720"/>
      </w:pPr>
      <w:r w:rsidRPr="00B16A1E">
        <w:t xml:space="preserve">In July of this year, ACHP, NCSHPO, and the FCC corrected the discrepancy between the agreements.  We jointly amended the 2001 agreement to allow for tower site expansion when collocating, which brought the 2001 agreement into conformance with the 2005 agreement.  That leaves us with the Commission’s Section 6409 rules as the sole remaining outlier.  Today’s order finishes our work to sync the site expansion rules between the agreements and Section 6409.  We now will allow 30 feet of site expansion consistently across our environmental, historic preservation, and local approval rules. </w:t>
      </w:r>
    </w:p>
    <w:p w:rsidR="00162A9E" w:rsidRPr="00B16A1E" w:rsidP="00162A9E" w14:paraId="1E3FFDB3" w14:textId="77777777">
      <w:pPr>
        <w:ind w:firstLine="720"/>
      </w:pPr>
    </w:p>
    <w:p w:rsidR="00162A9E" w:rsidRPr="00B16A1E" w:rsidP="00162A9E" w14:paraId="17F4859C" w14:textId="77777777">
      <w:pPr>
        <w:ind w:firstLine="720"/>
      </w:pPr>
      <w:r w:rsidRPr="00B16A1E">
        <w:t xml:space="preserve">From the NPRM to the published draft and from the draft to today’s version, we made a number of changes that we thought resolved outstanding issues and were true to the balance Congress struck in Section 6409.  Our definition of “site” reaffirms local zoning authority by marking site boundaries as those last reviewed and approved by a local government outside of the Section 6409 process.  Per municipal governments’ request, we emphasize that the equipment to be deployed in the expanded site </w:t>
      </w:r>
      <w:r w:rsidRPr="00B16A1E">
        <w:t>space is specifically “transmission equipment.”  We clarify that the municipal governments retain their usual easement power, and we state that site expansion is to be measured from the current site and not from existing easements.  We appreciate municipal governments’, industry’s, and all commenters’ assistance in refining our rules over the last few months.  The final work product benefited from your contributions.</w:t>
      </w:r>
    </w:p>
    <w:p w:rsidR="00162A9E" w:rsidRPr="00B16A1E" w:rsidP="00162A9E" w14:paraId="1AB67363" w14:textId="77777777">
      <w:pPr>
        <w:ind w:firstLine="720"/>
      </w:pPr>
    </w:p>
    <w:p w:rsidR="00162A9E" w:rsidRPr="00B16A1E" w:rsidP="00162A9E" w14:paraId="64755BE7" w14:textId="77777777">
      <w:pPr>
        <w:ind w:firstLine="720"/>
      </w:pPr>
      <w:r w:rsidRPr="00B16A1E">
        <w:t>This action marks another significant step in our broader effort to modernize wireless infrastructure.  Over the last three years, we have set limits on fees and shot clocks for environmental and historic preservation review of small cells.  We put in place guardrails around municipal government review of and fees on that same technology.  We streamlined the process for swapping out utility poles to add wireless equipment.  We created an expedited approval process for tower builds during COVID-19.  We accelerated next-gen networks through our 5G Upgrade Order.  And now we pave the way for more resilient and capable sites through this action.  Those are, of course, on top of the Commission’s bold moves on spectrum and workforce development.</w:t>
      </w:r>
    </w:p>
    <w:p w:rsidR="00162A9E" w:rsidRPr="00B16A1E" w:rsidP="00162A9E" w14:paraId="05539CF1" w14:textId="77777777">
      <w:pPr>
        <w:ind w:firstLine="720"/>
      </w:pPr>
    </w:p>
    <w:p w:rsidR="00162A9E" w:rsidRPr="00B16A1E" w:rsidP="00162A9E" w14:paraId="73B86BDD" w14:textId="77777777">
      <w:pPr>
        <w:ind w:firstLine="720"/>
      </w:pPr>
      <w:r w:rsidRPr="00B16A1E">
        <w:t>America is home to the strongest 5G platform in the world.  And at least some of the credit for that accomplishment should go to our Wireless Telecommunications Bureau and its infrastructure team.  So I’d like to acknowledge the members of that team who had a hand in today’s item and so many of the others we have approved: Paul D’Ari, Garnet Hanly, Kari Hicks, George Leris, Belinda Nixon, Dana Shaffer, Donald Stockdale, and Joel Taubenblatt.</w:t>
      </w:r>
    </w:p>
    <w:p w:rsidR="00162A9E" w:rsidRPr="00B16A1E" w:rsidP="00162A9E" w14:paraId="050F04D6" w14:textId="77777777">
      <w:pPr>
        <w:ind w:firstLine="720"/>
      </w:pPr>
    </w:p>
    <w:p w:rsidR="00162A9E" w:rsidP="00162A9E" w14:paraId="32872AAF" w14:textId="77777777">
      <w:pPr>
        <w:ind w:firstLine="720"/>
        <w:sectPr w:rsidSect="007C2978">
          <w:foot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pPr>
      <w:r w:rsidRPr="00B16A1E">
        <w:t>To the tremendously talented staff, I thank you again for your service to the Commission and the country.  Your work and this order have my support.</w:t>
      </w:r>
    </w:p>
    <w:p w:rsidR="00162A9E" w:rsidRPr="00A13127" w:rsidP="00162A9E" w14:paraId="4BF7E11D" w14:textId="77777777">
      <w:pPr>
        <w:jc w:val="center"/>
        <w:rPr>
          <w:b/>
          <w:bCs/>
        </w:rPr>
      </w:pPr>
      <w:r w:rsidRPr="00A13127">
        <w:rPr>
          <w:b/>
          <w:bCs/>
        </w:rPr>
        <w:t>STATEMENT OF</w:t>
      </w:r>
    </w:p>
    <w:p w:rsidR="00162A9E" w:rsidRPr="00A13127" w:rsidP="00162A9E" w14:paraId="7F83F43E" w14:textId="77777777">
      <w:pPr>
        <w:jc w:val="center"/>
        <w:rPr>
          <w:b/>
          <w:bCs/>
        </w:rPr>
      </w:pPr>
      <w:r w:rsidRPr="00A13127">
        <w:rPr>
          <w:b/>
          <w:bCs/>
        </w:rPr>
        <w:t>COMMISSIONER JESSICA ROSENWORCEL,</w:t>
      </w:r>
    </w:p>
    <w:p w:rsidR="00162A9E" w:rsidRPr="00A13127" w:rsidP="00162A9E" w14:paraId="043DDF25" w14:textId="77777777">
      <w:pPr>
        <w:jc w:val="center"/>
        <w:rPr>
          <w:b/>
          <w:bCs/>
        </w:rPr>
      </w:pPr>
      <w:r w:rsidRPr="00A13127">
        <w:rPr>
          <w:b/>
          <w:bCs/>
        </w:rPr>
        <w:t>DISSENTING</w:t>
      </w:r>
    </w:p>
    <w:p w:rsidR="00162A9E" w:rsidRPr="00A13127" w:rsidP="00162A9E" w14:paraId="54A64237" w14:textId="77777777">
      <w:pPr>
        <w:jc w:val="center"/>
        <w:rPr>
          <w:b/>
          <w:bCs/>
        </w:rPr>
      </w:pPr>
    </w:p>
    <w:p w:rsidR="00162A9E" w:rsidRPr="00A13127" w:rsidP="00162A9E" w14:paraId="09472587" w14:textId="77777777">
      <w:pPr>
        <w:tabs>
          <w:tab w:val="left" w:pos="720"/>
        </w:tabs>
        <w:ind w:left="720" w:hanging="720"/>
      </w:pPr>
      <w:r w:rsidRPr="00A13127">
        <w:t>Re:</w:t>
      </w:r>
      <w:r w:rsidRPr="00A13127">
        <w:tab/>
      </w:r>
      <w:r w:rsidRPr="00A13127">
        <w:rPr>
          <w:i/>
          <w:iCs/>
        </w:rPr>
        <w:t>Implementation of State and Local Governments’ Obligation to Approve Certain Wireless Facility Modification Requests Under Section 6409(a) of the Spectrum Act of 2012</w:t>
      </w:r>
      <w:r w:rsidRPr="00A13127">
        <w:rPr>
          <w:iCs/>
        </w:rPr>
        <w:t>,</w:t>
      </w:r>
      <w:r w:rsidRPr="00A13127">
        <w:rPr>
          <w:i/>
          <w:iCs/>
        </w:rPr>
        <w:t xml:space="preserve"> </w:t>
      </w:r>
      <w:r w:rsidRPr="00A13127">
        <w:t>WT Docket No. 19-250, RM-11849</w:t>
      </w:r>
    </w:p>
    <w:p w:rsidR="00162A9E" w:rsidRPr="00A13127" w:rsidP="00162A9E" w14:paraId="097774F4" w14:textId="77777777">
      <w:pPr>
        <w:ind w:firstLine="720"/>
      </w:pPr>
    </w:p>
    <w:p w:rsidR="00162A9E" w:rsidRPr="00A13127" w:rsidP="00162A9E" w14:paraId="46CE5E00" w14:textId="77777777">
      <w:pPr>
        <w:ind w:firstLine="720"/>
      </w:pPr>
      <w:r w:rsidRPr="00A13127">
        <w:t>As telecommunications laws go, Section 6409 of the 2012 Middle Class Tax Relief and Job Creation Act is simple and straightforward.  It forbids localities from exercising their traditional zoning authority to deny applications to modify wireless towers or base stations if—and only if—the application does not “substantially change the physical dimensions” of the existing facility.  Congress enacted this law because it made sense to speed up routine approvals for wireless deployments that almost always have no impact on state or local interests.  But Congress also took care to bar applications from this process that would result in substantial changes to existing towers.</w:t>
      </w:r>
    </w:p>
    <w:p w:rsidR="00162A9E" w:rsidRPr="00A13127" w:rsidP="00162A9E" w14:paraId="75F90A07" w14:textId="77777777">
      <w:pPr>
        <w:ind w:firstLine="720"/>
      </w:pPr>
    </w:p>
    <w:p w:rsidR="00162A9E" w:rsidRPr="00A13127" w:rsidP="00162A9E" w14:paraId="6E029B30" w14:textId="77777777">
      <w:pPr>
        <w:ind w:firstLine="720"/>
      </w:pPr>
      <w:r w:rsidRPr="00A13127">
        <w:t>I’m familiar with this section of the law.  As congressional staff, I was in the proverbial room where it happened and helped write it.  But being there is hardly necessary.  The law is clear on its face.  It’s also clear that the decision we make today is inconsistent with the statute and that if we continue down this road we risk thwarting the very partnerships with local interests we need if we want to see smart cities technology truly develop.</w:t>
      </w:r>
    </w:p>
    <w:p w:rsidR="00162A9E" w:rsidRPr="00A13127" w:rsidP="00162A9E" w14:paraId="750868F6" w14:textId="77777777">
      <w:pPr>
        <w:ind w:firstLine="720"/>
      </w:pPr>
    </w:p>
    <w:p w:rsidR="00162A9E" w:rsidRPr="00A13127" w:rsidP="00162A9E" w14:paraId="5EAF8E31" w14:textId="77777777">
      <w:pPr>
        <w:ind w:firstLine="720"/>
      </w:pPr>
      <w:r w:rsidRPr="00A13127">
        <w:t>Let me explain.</w:t>
      </w:r>
    </w:p>
    <w:p w:rsidR="00162A9E" w:rsidRPr="00A13127" w:rsidP="00162A9E" w14:paraId="0FEECC24" w14:textId="77777777">
      <w:pPr>
        <w:ind w:firstLine="720"/>
      </w:pPr>
    </w:p>
    <w:p w:rsidR="00162A9E" w:rsidRPr="00A13127" w:rsidP="00162A9E" w14:paraId="571A287D" w14:textId="77777777">
      <w:pPr>
        <w:ind w:firstLine="720"/>
      </w:pPr>
      <w:r w:rsidRPr="00A13127">
        <w:t>First, you can’t square the plain language of Section 6409 with today’s decision.  It stretches credulity to suggest that excavation or deployment of up to 30 feet outside the boundaries of a tower compound does not “substantially change the physical dimensions” of that site.  Thirty feet is five refrigerators laid out one after the other.  It’s half the size of a bowling lane.  It’s about one-fifth of the size of the Leaning Tower of Pisa.  You can’t tell me that construction of this size does not “substantially change the physical dimensions” of a site.  The Federal Communications Commission used to acknowledge this, too.  When the agency first interpreted Section 6409 in 2014, it concluded that excavation outside the current site of a tower was a substantial change.  That didn’t mean that a wireless provider could not expand an existing site—it simply meant that those applications would be approved in the normal course, subject to regular state and local review.</w:t>
      </w:r>
    </w:p>
    <w:p w:rsidR="00162A9E" w:rsidRPr="00A13127" w:rsidP="00162A9E" w14:paraId="21903215" w14:textId="77777777">
      <w:pPr>
        <w:ind w:firstLine="720"/>
      </w:pPr>
    </w:p>
    <w:p w:rsidR="00162A9E" w:rsidRPr="00A13127" w:rsidP="00162A9E" w14:paraId="33DE0DF8" w14:textId="77777777">
      <w:pPr>
        <w:ind w:firstLine="720"/>
      </w:pPr>
      <w:r w:rsidRPr="00A13127">
        <w:t xml:space="preserve">Our rationale for changing direction today doesn’t stand up to scrutiny.  The agency acknowledges that in its decision in 2014 it drew guidance from similar language in the Nationwide Programmatic Agreement of the Collocation of Wireless Antennas, or the Collocation NPA.  It then relies on the fact that the Collocation NPA was amended recently to exclude excavations of up to 30 feet from the definition of “substantial change” to suggest that the FCC could do the same here.  But this is comparing apples to oranges.  The Collocation NPA addresses the review process under Section 106 of the National Historic Preservation Act.  It says nothing about Section 6409 of the Middle Class Tax Relief and Job Creation Act.  Whatever changes have been made to the Collocation </w:t>
      </w:r>
      <w:r w:rsidRPr="00A13127">
        <w:t>NPA,</w:t>
      </w:r>
      <w:r w:rsidRPr="00A13127">
        <w:t xml:space="preserve"> the FCC cannot expand the scope of Section 6409 without authority from Congress to do so.</w:t>
      </w:r>
    </w:p>
    <w:p w:rsidR="00162A9E" w:rsidRPr="00A13127" w:rsidP="00162A9E" w14:paraId="68CAC1BA" w14:textId="77777777">
      <w:pPr>
        <w:ind w:firstLine="720"/>
      </w:pPr>
    </w:p>
    <w:p w:rsidR="00162A9E" w:rsidRPr="00A13127" w:rsidP="00162A9E" w14:paraId="4576E638" w14:textId="77777777">
      <w:pPr>
        <w:ind w:firstLine="720"/>
      </w:pPr>
      <w:r w:rsidRPr="00A13127">
        <w:t xml:space="preserve">Second, when we proceed like this, we create genuinely unhelpful friction between state and local interests who have filed </w:t>
      </w:r>
      <w:r w:rsidRPr="00A13127">
        <w:t>en</w:t>
      </w:r>
      <w:r w:rsidRPr="00A13127">
        <w:t xml:space="preserve"> masse in this proceeding to protest how this agency is diminishing their authority.  By doing so, we reduce the opportunity to foster the kind of partnerships between providers and state and local authorities that can help build smart cities—where connectivity will help improve the quality of life.  That can mean everything from adaptive traffic signals to increased energy efficiency to improved waste management to more data-driven problem solving in real time.  But we won’t get there anytime soon if this agency keeps reading the statute in a way that leaves state and local authorities aggrieved that they lack a say in what is built in their own backyards.  We need a way forward that speeds </w:t>
      </w:r>
      <w:r w:rsidRPr="00A13127">
        <w:t xml:space="preserve">the review of essential facilities and makes cities and states partners and not adversaries in this process.  I think we are creative enough to develop one.  But this isn’t it.  I dissent.  </w:t>
      </w:r>
    </w:p>
    <w:p w:rsidR="00162A9E" w:rsidRPr="00A13127" w:rsidP="00162A9E" w14:paraId="7D6AD086" w14:textId="77777777"/>
    <w:p w:rsidR="00162A9E" w:rsidRPr="00A13127" w:rsidP="00162A9E" w14:paraId="05CEB140" w14:textId="77777777"/>
    <w:p w:rsidR="00162A9E" w:rsidP="00162A9E" w14:paraId="18F34F30" w14:textId="77777777">
      <w:pPr>
        <w:ind w:firstLine="720"/>
        <w:sectPr w:rsidSect="007C2978">
          <w:footnotePr>
            <w:numRestart w:val="eachSect"/>
          </w:footnotePr>
          <w:endnotePr>
            <w:numFmt w:val="decimal"/>
          </w:endnotePr>
          <w:pgSz w:w="12240" w:h="15840"/>
          <w:pgMar w:top="1440" w:right="1440" w:bottom="720" w:left="1440" w:header="720" w:footer="720" w:gutter="0"/>
          <w:cols w:space="720"/>
          <w:noEndnote/>
          <w:docGrid w:linePitch="299"/>
        </w:sectPr>
      </w:pPr>
    </w:p>
    <w:p w:rsidR="00162A9E" w:rsidP="00162A9E" w14:paraId="4931A9AC" w14:textId="77777777">
      <w:pPr>
        <w:jc w:val="center"/>
        <w:rPr>
          <w:b/>
          <w:bCs/>
        </w:rPr>
      </w:pPr>
      <w:r w:rsidRPr="002554AD">
        <w:rPr>
          <w:b/>
          <w:bCs/>
        </w:rPr>
        <w:t>STATEMENT OF</w:t>
      </w:r>
    </w:p>
    <w:p w:rsidR="00162A9E" w:rsidP="00162A9E" w14:paraId="1146FF08" w14:textId="77777777">
      <w:pPr>
        <w:jc w:val="center"/>
        <w:rPr>
          <w:b/>
          <w:bCs/>
        </w:rPr>
      </w:pPr>
      <w:r w:rsidRPr="002554AD">
        <w:rPr>
          <w:b/>
          <w:bCs/>
        </w:rPr>
        <w:t>COMMISSIONER GEOFFREY STARKS</w:t>
      </w:r>
      <w:r>
        <w:rPr>
          <w:b/>
          <w:bCs/>
        </w:rPr>
        <w:t>,</w:t>
      </w:r>
    </w:p>
    <w:p w:rsidR="00162A9E" w:rsidRPr="002554AD" w:rsidP="00162A9E" w14:paraId="6BB29DAF" w14:textId="77777777">
      <w:pPr>
        <w:jc w:val="center"/>
        <w:rPr>
          <w:b/>
          <w:bCs/>
        </w:rPr>
      </w:pPr>
      <w:r>
        <w:rPr>
          <w:b/>
          <w:bCs/>
        </w:rPr>
        <w:t>DISSENTING</w:t>
      </w:r>
    </w:p>
    <w:p w:rsidR="00162A9E" w:rsidRPr="002554AD" w:rsidP="00162A9E" w14:paraId="3E58433A" w14:textId="77777777">
      <w:pPr>
        <w:jc w:val="center"/>
      </w:pPr>
    </w:p>
    <w:p w:rsidR="00162A9E" w:rsidRPr="00B16A1E" w:rsidP="00162A9E" w14:paraId="5B17DD43" w14:textId="77777777">
      <w:pPr>
        <w:tabs>
          <w:tab w:val="left" w:pos="720"/>
        </w:tabs>
        <w:ind w:left="720" w:hanging="720"/>
      </w:pPr>
      <w:r w:rsidRPr="00B16A1E">
        <w:t>Re:</w:t>
      </w:r>
      <w:r w:rsidRPr="00B16A1E">
        <w:tab/>
      </w:r>
      <w:r w:rsidRPr="00B16A1E">
        <w:rPr>
          <w:i/>
          <w:iCs/>
        </w:rPr>
        <w:t>Implementation of State and Local Governments’ Obligation to Approve Certain Wireless Facility Modification Requests Under Section 6409(a) of the Spectrum Act of 2012</w:t>
      </w:r>
      <w:r w:rsidRPr="00B16A1E">
        <w:rPr>
          <w:iCs/>
        </w:rPr>
        <w:t>,</w:t>
      </w:r>
      <w:r w:rsidRPr="00B16A1E">
        <w:rPr>
          <w:i/>
          <w:iCs/>
        </w:rPr>
        <w:t xml:space="preserve"> </w:t>
      </w:r>
      <w:r w:rsidRPr="00B16A1E">
        <w:t>WT</w:t>
      </w:r>
      <w:r>
        <w:t xml:space="preserve"> Docket No.</w:t>
      </w:r>
      <w:r w:rsidRPr="00B16A1E">
        <w:t xml:space="preserve"> 19-250, RM-11849</w:t>
      </w:r>
    </w:p>
    <w:p w:rsidR="00162A9E" w:rsidP="00162A9E" w14:paraId="3D904156" w14:textId="77777777">
      <w:r w:rsidRPr="002554AD">
        <w:tab/>
      </w:r>
    </w:p>
    <w:p w:rsidR="00162A9E" w:rsidP="00162A9E" w14:paraId="62274C98" w14:textId="77777777">
      <w:pPr>
        <w:ind w:firstLine="720"/>
      </w:pPr>
      <w:r w:rsidRPr="002554AD">
        <w:t>It has been well over seven months since COVID-19 first hit the United States.  Even as more than 225,000 people have died from the pandemic and unemployment has hit record highs, state and local governments have been on the front lines running healthcare systems and schools.  They’ve done so despite tight budgets that are only getting more limited.</w:t>
      </w:r>
    </w:p>
    <w:p w:rsidR="00162A9E" w:rsidRPr="002554AD" w:rsidP="00162A9E" w14:paraId="18B24095" w14:textId="77777777">
      <w:pPr>
        <w:ind w:firstLine="720"/>
      </w:pPr>
    </w:p>
    <w:p w:rsidR="00162A9E" w:rsidP="00162A9E" w14:paraId="0964540C" w14:textId="77777777">
      <w:pPr>
        <w:ind w:firstLine="720"/>
      </w:pPr>
      <w:r w:rsidRPr="002554AD">
        <w:t>Today’s Report and Order adds to these already considerable challenges by requiring these governments to provide streamlined processing to requests for ground excavations or deployments of transmission equipment up to 30 feet in any direction outside a macro cell tower site.  On its face, this decision is inconsistent with the plain language of section 6409, which mandates streamlined processing only for modifications of “existing wireless towers.”  By its own terms, the provision does not extend its requirements beyond the wireless tower itself, yet this decision will allow applicants to obtain streamlined processing for work well outside the facility.  Moreover, this decision could encourage applicants to evade local zoning regulations by seeking initial approval for less space than they actually need and then obtaining streamlined processing for expansions beyond that area.  Such expansions could lead to serious public safety issues.</w:t>
      </w:r>
    </w:p>
    <w:p w:rsidR="00162A9E" w:rsidRPr="002554AD" w:rsidP="00162A9E" w14:paraId="68F90183" w14:textId="77777777">
      <w:pPr>
        <w:ind w:firstLine="720"/>
      </w:pPr>
    </w:p>
    <w:p w:rsidR="00162A9E" w:rsidP="00162A9E" w14:paraId="33BBDE6D" w14:textId="77777777">
      <w:pPr>
        <w:ind w:firstLine="720"/>
      </w:pPr>
      <w:r w:rsidRPr="002554AD">
        <w:t>I also take issue with the Report &amp; Order’s decision to define the current boundaries of the “site” of a tower based on the most recent review and approval by the state or local government.  This definition is too broad.  “Site” should only refer to the area surrounding the tower that was identified as the tower site in the relevant application that last received discretionary approval from the applicable authority.  It should not be based upon non-discretionary approvals lacking any substantive review.  This definition of “site” could lead to expansions to areas that the state or local government never had the opportunity to consider on the merits.</w:t>
      </w:r>
    </w:p>
    <w:p w:rsidR="00162A9E" w:rsidRPr="002554AD" w:rsidP="00162A9E" w14:paraId="4950BB49" w14:textId="77777777">
      <w:pPr>
        <w:ind w:firstLine="720"/>
      </w:pPr>
    </w:p>
    <w:p w:rsidR="00162A9E" w:rsidRPr="002554AD" w:rsidP="00162A9E" w14:paraId="392DC87F" w14:textId="77777777">
      <w:pPr>
        <w:ind w:firstLine="720"/>
        <w:rPr>
          <w:b/>
          <w:bCs/>
        </w:rPr>
      </w:pPr>
      <w:r w:rsidRPr="002554AD">
        <w:t>As the country continues to grapple with COVID-19, state and local governments are working overtime to respond to the crisis and continue their daily operations.  This decision will add yet another problem to their plates: expansions that may create public safety hazards in the communities they are already working tirelessly to protect.  While streamlining rules and flexibility can be helpful and sometimes necessary, we must not do so at the expense of state and local governments that are already overburdened.  For these reasons, I dissent.</w:t>
      </w:r>
    </w:p>
    <w:p w:rsidR="00162A9E" w:rsidRPr="002554AD" w:rsidP="00162A9E" w14:paraId="2C7175F9" w14:textId="77777777">
      <w:pPr>
        <w:ind w:firstLine="720"/>
      </w:pPr>
    </w:p>
    <w:p w:rsidR="00836E40" w:rsidRPr="00AB3CA8" w:rsidP="00162A9E" w14:paraId="13613C98" w14:textId="1DDF7360"/>
    <w:p w:rsidR="00412FC5" w:rsidRPr="00A70EC8" w:rsidP="00836E40" w14:paraId="46C69443" w14:textId="26C3CC52">
      <w:pPr>
        <w:pStyle w:val="ParaNum"/>
        <w:numPr>
          <w:ilvl w:val="0"/>
          <w:numId w:val="0"/>
        </w:numPr>
        <w:ind w:firstLine="720"/>
      </w:pPr>
    </w:p>
    <w:sectPr w:rsidSect="007C297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55614C" w14:paraId="48F2B7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08DB" w14:paraId="22683A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4E5CEA" w14:paraId="73F52F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14:paraId="7615AD7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55614C" w14:paraId="75ABFA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08DB" w14:paraId="61ADCA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7B43B9" w14:paraId="13665F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14:paraId="234050F9"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E40" w:rsidP="007B43B9" w14:paraId="7EB5C4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A9E" w:rsidP="007B43B9" w14:paraId="733A55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A9E" w:rsidP="007B43B9" w14:paraId="39DECF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08DB" w14:paraId="725AB885" w14:textId="77777777">
      <w:r>
        <w:separator/>
      </w:r>
    </w:p>
  </w:footnote>
  <w:footnote w:type="continuationSeparator" w:id="1">
    <w:p w:rsidR="006908DB" w:rsidP="00C721AC" w14:paraId="6583425E" w14:textId="77777777">
      <w:pPr>
        <w:spacing w:before="120"/>
        <w:rPr>
          <w:sz w:val="20"/>
        </w:rPr>
      </w:pPr>
      <w:r>
        <w:rPr>
          <w:sz w:val="20"/>
        </w:rPr>
        <w:t xml:space="preserve">(Continued from previous page)  </w:t>
      </w:r>
      <w:r>
        <w:rPr>
          <w:sz w:val="20"/>
        </w:rPr>
        <w:separator/>
      </w:r>
    </w:p>
  </w:footnote>
  <w:footnote w:type="continuationNotice" w:id="2">
    <w:p w:rsidR="006908DB" w:rsidP="00C721AC" w14:paraId="508E5A6E" w14:textId="77777777">
      <w:pPr>
        <w:jc w:val="right"/>
        <w:rPr>
          <w:sz w:val="20"/>
        </w:rPr>
      </w:pPr>
      <w:r>
        <w:rPr>
          <w:sz w:val="20"/>
        </w:rPr>
        <w:t>(continued….)</w:t>
      </w:r>
    </w:p>
  </w:footnote>
  <w:footnote w:id="3">
    <w:p w:rsidR="006908DB" w:rsidRPr="00A70EC8" w:rsidP="007B43B9" w14:paraId="7A5216AF" w14:textId="14B33344">
      <w:pPr>
        <w:pStyle w:val="FootnoteText"/>
      </w:pPr>
      <w:r w:rsidRPr="00A70EC8">
        <w:rPr>
          <w:rStyle w:val="FootnoteReference"/>
        </w:rPr>
        <w:footnoteRef/>
      </w:r>
      <w:r w:rsidRPr="00A70EC8">
        <w:t xml:space="preserve"> Middle Class Tax Relief and Job Creation Act of 2012, Pub. L. No. 112-96, Title VI (Spectrum Act of 2012), § 6409(a), 126 Stat. 156, 232-33 (Feb. 22, 2012) (codified at 47 U.S.C. § 1455(a)).</w:t>
      </w:r>
    </w:p>
  </w:footnote>
  <w:footnote w:id="4">
    <w:p w:rsidR="006908DB" w:rsidRPr="00A70EC8" w:rsidP="007B43B9" w14:paraId="3A3D40C5" w14:textId="3CE4A907">
      <w:pPr>
        <w:pStyle w:val="FootnoteText"/>
      </w:pPr>
      <w:r w:rsidRPr="00A70EC8">
        <w:rPr>
          <w:rStyle w:val="FootnoteReference"/>
        </w:rPr>
        <w:footnoteRef/>
      </w:r>
      <w:r w:rsidRPr="00A70EC8">
        <w:t xml:space="preserve"> Crown Castle Comments at 5-8; WIA Comments at 5-6; Comments of the Wireless Infrastructure Association, WT Docket No. 19-250, RM-11849, WC Docket No. 17-84, at 6-7 (Oct. 29, 2019); Reply Comments of the Wireless Infrastructure Association, WT Docket No. 19-250, RM-11849, WC Docket No. 17-84, at 14-15 (Nov. 20, 2019); Petition of Wireless Infrastructure Association for Rulemaking, File No. RM-11849, at 8 (filed Aug. 27, 2019).  </w:t>
      </w:r>
    </w:p>
  </w:footnote>
  <w:footnote w:id="5">
    <w:p w:rsidR="006908DB" w:rsidRPr="00A70EC8" w14:paraId="445E2304" w14:textId="7CE466A5">
      <w:pPr>
        <w:pStyle w:val="FootnoteText"/>
      </w:pPr>
      <w:r w:rsidRPr="00A70EC8">
        <w:rPr>
          <w:rStyle w:val="FootnoteReference"/>
        </w:rPr>
        <w:footnoteRef/>
      </w:r>
      <w:r w:rsidRPr="00A70EC8">
        <w:t xml:space="preserve">  </w:t>
      </w:r>
      <w:r w:rsidRPr="00A70EC8">
        <w:rPr>
          <w:i/>
        </w:rPr>
        <w:t xml:space="preserve">Wireless Telecommunications Bureau Announces Execution of Second Amendment to the Nationwide Programmatic Agreement for the Collocation of Wireless Antennas, </w:t>
      </w:r>
      <w:r w:rsidRPr="00A70EC8">
        <w:t>Public Notice, Attach. Second Amendment to the Collocation Agreement at § I.E.4, 2020 WL 4187354 (WTB 2020) (codified at 47 CFR part 1, Appx. B) (Amended Collocation NPA).</w:t>
      </w:r>
    </w:p>
  </w:footnote>
  <w:footnote w:id="6">
    <w:p w:rsidR="006908DB" w:rsidRPr="00A70EC8" w:rsidP="007B43B9" w14:paraId="1403CCB6" w14:textId="45F8B979">
      <w:pPr>
        <w:pStyle w:val="FootnoteText"/>
      </w:pPr>
      <w:r w:rsidRPr="00A70EC8">
        <w:rPr>
          <w:rStyle w:val="FootnoteReference"/>
        </w:rPr>
        <w:footnoteRef/>
      </w:r>
      <w:r w:rsidRPr="00A70EC8">
        <w:t xml:space="preserve"> </w:t>
      </w:r>
      <w:r w:rsidRPr="00A70EC8">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A70EC8">
        <w:t xml:space="preserve">, WT Docket Nos. 13-238, 11-59, 13-32, Report and Order, 29 FCC </w:t>
      </w:r>
      <w:r w:rsidRPr="00A70EC8">
        <w:t>Rcd</w:t>
      </w:r>
      <w:r w:rsidRPr="00A70EC8">
        <w:t xml:space="preserve"> 12865, 12872, para. 15 (2014) (</w:t>
      </w:r>
      <w:r w:rsidRPr="00A70EC8">
        <w:rPr>
          <w:i/>
          <w:iCs/>
        </w:rPr>
        <w:t>2014 Infrastructure Order</w:t>
      </w:r>
      <w:r w:rsidRPr="00A70EC8">
        <w:t xml:space="preserve">), </w:t>
      </w:r>
      <w:r w:rsidRPr="00A70EC8">
        <w:rPr>
          <w:i/>
          <w:iCs/>
        </w:rPr>
        <w:t>aff’d</w:t>
      </w:r>
      <w:r w:rsidRPr="00A70EC8">
        <w:t xml:space="preserve">, </w:t>
      </w:r>
      <w:r w:rsidRPr="00A70EC8">
        <w:rPr>
          <w:i/>
          <w:iCs/>
        </w:rPr>
        <w:t>Montgomery County, Md. v. FCC</w:t>
      </w:r>
      <w:r w:rsidRPr="00A70EC8">
        <w:t xml:space="preserve">, 811 F.3d 121 (4th Cir. 2015). </w:t>
      </w:r>
    </w:p>
  </w:footnote>
  <w:footnote w:id="7">
    <w:p w:rsidR="006908DB" w:rsidRPr="00A70EC8" w:rsidP="007B43B9" w14:paraId="70D12DB8" w14:textId="71F027F4">
      <w:pPr>
        <w:pStyle w:val="FootnoteText"/>
      </w:pPr>
      <w:r w:rsidRPr="00A70EC8">
        <w:rPr>
          <w:rStyle w:val="FootnoteReference"/>
        </w:rPr>
        <w:footnoteRef/>
      </w:r>
      <w:r w:rsidRPr="00A70EC8">
        <w:t xml:space="preserve"> </w:t>
      </w:r>
      <w:r w:rsidRPr="00A70EC8">
        <w:rPr>
          <w:i/>
          <w:iCs/>
        </w:rPr>
        <w:t>See</w:t>
      </w:r>
      <w:r w:rsidRPr="00A70EC8">
        <w:rPr>
          <w:i/>
        </w:rPr>
        <w:t xml:space="preserve"> </w:t>
      </w:r>
      <w:r w:rsidRPr="00A70EC8">
        <w:rPr>
          <w:i/>
          <w:iCs/>
        </w:rPr>
        <w:t>2014 Infrastructure Order</w:t>
      </w:r>
      <w:r w:rsidRPr="00A70EC8">
        <w:t xml:space="preserve">, 29 FCC </w:t>
      </w:r>
      <w:r w:rsidRPr="00A70EC8">
        <w:t>Rcd</w:t>
      </w:r>
      <w:r w:rsidRPr="00A70EC8">
        <w:t xml:space="preserve"> 12865, 12922-66, paras. 135-242; </w:t>
      </w:r>
      <w:r w:rsidRPr="00A70EC8">
        <w:rPr>
          <w:i/>
          <w:iCs/>
        </w:rPr>
        <w:t>see also</w:t>
      </w:r>
      <w:r w:rsidRPr="00A70EC8">
        <w:t xml:space="preserve"> 47 U.S.C. § 1455(a); 47 CFR § 1.6100.</w:t>
      </w:r>
    </w:p>
  </w:footnote>
  <w:footnote w:id="8">
    <w:p w:rsidR="006908DB" w:rsidRPr="00A70EC8" w:rsidP="007B43B9" w14:paraId="23D3D040" w14:textId="1EA7C740">
      <w:pPr>
        <w:pStyle w:val="FootnoteText"/>
      </w:pPr>
      <w:r w:rsidRPr="00A70EC8">
        <w:rPr>
          <w:rStyle w:val="FootnoteReference"/>
        </w:rPr>
        <w:footnoteRef/>
      </w:r>
      <w:r w:rsidRPr="00A70EC8">
        <w:t xml:space="preserve"> Spectrum Act of 2012 § 6409(a)(1) (codified at 47 U.S.C. § 1455(a)).</w:t>
      </w:r>
    </w:p>
  </w:footnote>
  <w:footnote w:id="9">
    <w:p w:rsidR="006908DB" w:rsidRPr="00A70EC8" w:rsidP="007B43B9" w14:paraId="0FE8EA04" w14:textId="77777777">
      <w:pPr>
        <w:pStyle w:val="FootnoteText"/>
      </w:pPr>
      <w:r w:rsidRPr="00A70EC8">
        <w:rPr>
          <w:rStyle w:val="FootnoteReference"/>
        </w:rPr>
        <w:footnoteRef/>
      </w:r>
      <w:r w:rsidRPr="00A70EC8">
        <w:t xml:space="preserve"> 47 CFR § 1.6100(b)(3); 47 CFR § 1.6100(c); </w:t>
      </w:r>
      <w:r w:rsidRPr="00A70EC8">
        <w:rPr>
          <w:i/>
          <w:iCs/>
        </w:rPr>
        <w:t>2014 Infrastructure Order</w:t>
      </w:r>
      <w:r w:rsidRPr="00A70EC8">
        <w:t xml:space="preserve">, 29 FCC </w:t>
      </w:r>
      <w:r w:rsidRPr="00A70EC8">
        <w:t>Rcd</w:t>
      </w:r>
      <w:r w:rsidRPr="00A70EC8">
        <w:t xml:space="preserve"> at 12952, 12955-57, paras. 206, 211-12, 215. </w:t>
      </w:r>
    </w:p>
  </w:footnote>
  <w:footnote w:id="10">
    <w:p w:rsidR="006908DB" w:rsidRPr="00A70EC8" w:rsidP="007B43B9" w14:paraId="756648DB" w14:textId="55BF97AE">
      <w:pPr>
        <w:pStyle w:val="FootnoteText"/>
      </w:pPr>
      <w:r w:rsidRPr="00A70EC8">
        <w:rPr>
          <w:rStyle w:val="FootnoteReference"/>
        </w:rPr>
        <w:footnoteRef/>
      </w:r>
      <w:r w:rsidRPr="00A70EC8">
        <w:t xml:space="preserve"> 47 CFR § 1.6100(b)(3).  The statutory definition of “eligible facilities request” is slightly different.  </w:t>
      </w:r>
      <w:r w:rsidRPr="00A70EC8">
        <w:rPr>
          <w:i/>
          <w:iCs/>
        </w:rPr>
        <w:t>See</w:t>
      </w:r>
      <w:r w:rsidRPr="00A70EC8">
        <w:t xml:space="preserve"> 47 U.S.C. § 1455(a).  Our use of the term eligible facilities request in this </w:t>
      </w:r>
      <w:r w:rsidRPr="00A70EC8">
        <w:rPr>
          <w:i/>
          <w:iCs/>
        </w:rPr>
        <w:t>Report and Order</w:t>
      </w:r>
      <w:r w:rsidRPr="00A70EC8">
        <w:t xml:space="preserve"> relies on the definition set forth in the rule.  </w:t>
      </w:r>
      <w:r w:rsidRPr="00A70EC8">
        <w:rPr>
          <w:i/>
          <w:iCs/>
        </w:rPr>
        <w:t>See also</w:t>
      </w:r>
      <w:r w:rsidRPr="00A70EC8">
        <w:t xml:space="preserve"> </w:t>
      </w:r>
      <w:r w:rsidRPr="00A70EC8">
        <w:rPr>
          <w:i/>
          <w:iCs/>
        </w:rPr>
        <w:t>2014 Infrastructure Order</w:t>
      </w:r>
      <w:r w:rsidRPr="00A70EC8">
        <w:t xml:space="preserve">, 29 FCC </w:t>
      </w:r>
      <w:r w:rsidRPr="00A70EC8">
        <w:t>Rcd</w:t>
      </w:r>
      <w:r w:rsidRPr="00A70EC8">
        <w:t xml:space="preserve"> at 12944-45, 12955, paras. 188, 211.</w:t>
      </w:r>
    </w:p>
  </w:footnote>
  <w:footnote w:id="11">
    <w:p w:rsidR="006908DB" w:rsidRPr="00A70EC8" w:rsidP="007B43B9" w14:paraId="7005FC9B" w14:textId="0BE78124">
      <w:pPr>
        <w:pStyle w:val="FootnoteText"/>
      </w:pPr>
      <w:r w:rsidRPr="00A70EC8">
        <w:rPr>
          <w:rStyle w:val="FootnoteReference"/>
        </w:rPr>
        <w:footnoteRef/>
      </w:r>
      <w:r w:rsidRPr="00A70EC8">
        <w:t xml:space="preserve"> </w:t>
      </w:r>
      <w:r w:rsidRPr="00A70EC8">
        <w:rPr>
          <w:i/>
          <w:iCs/>
        </w:rPr>
        <w:t>See 2014 Infrastructure Order</w:t>
      </w:r>
      <w:r w:rsidRPr="00A70EC8">
        <w:t xml:space="preserve">, 29 FCC </w:t>
      </w:r>
      <w:r w:rsidRPr="00A70EC8">
        <w:t>Rcd</w:t>
      </w:r>
      <w:r w:rsidRPr="00A70EC8">
        <w:t xml:space="preserve"> at 12944-45, para. 188 (determining that a change is substantial if it exceeds defined limits on increases in the height or girth of the structure, exceeds the number of associated equipment cabinets, involves excavation or deployment on ground outside a structure’s current site, defeats the concealment elements of the preexisting structure, or violates conditions previously imposed by the local zoning authority); </w:t>
      </w:r>
      <w:r w:rsidRPr="00A70EC8">
        <w:rPr>
          <w:i/>
          <w:iCs/>
        </w:rPr>
        <w:t xml:space="preserve">see also </w:t>
      </w:r>
      <w:r w:rsidRPr="00A70EC8">
        <w:t>47 CFR § 1.6100(b)(7).</w:t>
      </w:r>
    </w:p>
  </w:footnote>
  <w:footnote w:id="12">
    <w:p w:rsidR="006908DB" w:rsidRPr="00A70EC8" w:rsidP="007B43B9" w14:paraId="30B8BAAC" w14:textId="77777777">
      <w:pPr>
        <w:pStyle w:val="FootnoteText"/>
      </w:pPr>
      <w:r w:rsidRPr="00A70EC8">
        <w:rPr>
          <w:rStyle w:val="FootnoteReference"/>
        </w:rPr>
        <w:footnoteRef/>
      </w:r>
      <w:r w:rsidRPr="00A70EC8">
        <w:t xml:space="preserve"> </w:t>
      </w:r>
      <w:r w:rsidRPr="00A70EC8">
        <w:rPr>
          <w:i/>
          <w:iCs/>
        </w:rPr>
        <w:t>2014 Infrastructure Order</w:t>
      </w:r>
      <w:r w:rsidRPr="00A70EC8">
        <w:t xml:space="preserve">, 29 FCC </w:t>
      </w:r>
      <w:r w:rsidRPr="00A70EC8">
        <w:t>Rcd</w:t>
      </w:r>
      <w:r w:rsidRPr="00A70EC8">
        <w:t xml:space="preserve"> at 12949, para. 198.</w:t>
      </w:r>
    </w:p>
  </w:footnote>
  <w:footnote w:id="13">
    <w:p w:rsidR="006908DB" w:rsidRPr="00A70EC8" w:rsidP="007B43B9" w14:paraId="39DE35C5" w14:textId="77777777">
      <w:pPr>
        <w:pStyle w:val="FootnoteText"/>
      </w:pPr>
      <w:r w:rsidRPr="00A70EC8">
        <w:rPr>
          <w:rStyle w:val="FootnoteReference"/>
        </w:rPr>
        <w:footnoteRef/>
      </w:r>
      <w:r w:rsidRPr="00A70EC8">
        <w:t xml:space="preserve"> 47 CFR § 1.6100(b)(6).</w:t>
      </w:r>
    </w:p>
  </w:footnote>
  <w:footnote w:id="14">
    <w:p w:rsidR="006908DB" w:rsidRPr="00A70EC8" w:rsidP="007B43B9" w14:paraId="1CC1A5E1" w14:textId="2539A30B">
      <w:pPr>
        <w:pStyle w:val="FootnoteText"/>
      </w:pPr>
      <w:r w:rsidRPr="00A70EC8">
        <w:rPr>
          <w:rStyle w:val="FootnoteReference"/>
        </w:rPr>
        <w:footnoteRef/>
      </w:r>
      <w:r w:rsidRPr="00A70EC8">
        <w:t xml:space="preserve"> </w:t>
      </w:r>
      <w:r w:rsidRPr="00A70EC8">
        <w:rPr>
          <w:i/>
          <w:iCs/>
        </w:rPr>
        <w:t>2014 Infrastructure Order</w:t>
      </w:r>
      <w:r w:rsidRPr="00A70EC8">
        <w:t xml:space="preserve">, 29 FCC </w:t>
      </w:r>
      <w:r w:rsidRPr="00A70EC8">
        <w:t>Rcd</w:t>
      </w:r>
      <w:r w:rsidRPr="00A70EC8">
        <w:t xml:space="preserve"> at 12949, paras. 198-99; </w:t>
      </w:r>
      <w:r w:rsidRPr="00A70EC8">
        <w:rPr>
          <w:i/>
          <w:iCs/>
        </w:rPr>
        <w:t>Nationwide Programmatic Agreement for the Collocation of Wireless Antennas</w:t>
      </w:r>
      <w:r w:rsidRPr="00A70EC8">
        <w:t xml:space="preserve">, 66 Fed. Reg. 17554-57 (2001) (Collocation NPA); 47 CFR § 1.6100(b)(6), (7).  The Collocation NPA stated that, among other factors, a collocation would not be excluded from Section 106 review if the “mounting of the proposed antenna would involve excavation outside the current tower site, defined as the current boundaries of the leased or owned property surrounding the tower and any access or utility easements currently related to the site.”  </w:t>
      </w:r>
      <w:r w:rsidRPr="00A70EC8">
        <w:t>Collocation NPA, § I.</w:t>
      </w:r>
      <w:r w:rsidRPr="00A70EC8">
        <w:t>C</w:t>
      </w:r>
      <w:r w:rsidRPr="00A70EC8">
        <w:t>.4.</w:t>
      </w:r>
    </w:p>
  </w:footnote>
  <w:footnote w:id="15">
    <w:p w:rsidR="006908DB" w:rsidRPr="00A70EC8" w:rsidP="007B43B9" w14:paraId="4C055E03" w14:textId="0619F013">
      <w:pPr>
        <w:pStyle w:val="FootnoteText"/>
      </w:pPr>
      <w:r w:rsidRPr="00A70EC8">
        <w:rPr>
          <w:rStyle w:val="FootnoteReference"/>
        </w:rPr>
        <w:footnoteRef/>
      </w:r>
      <w:r w:rsidRPr="00A70EC8">
        <w:t xml:space="preserve"> </w:t>
      </w:r>
      <w:r w:rsidRPr="00A70EC8">
        <w:rPr>
          <w:i/>
          <w:iCs/>
        </w:rPr>
        <w:t>2014 Infrastructure Order</w:t>
      </w:r>
      <w:r w:rsidRPr="00A70EC8">
        <w:t xml:space="preserve">, 29 FCC </w:t>
      </w:r>
      <w:r w:rsidRPr="00A70EC8">
        <w:t>Rcd</w:t>
      </w:r>
      <w:r w:rsidRPr="00A70EC8">
        <w:t xml:space="preserve"> at 12949, para. 199.</w:t>
      </w:r>
    </w:p>
  </w:footnote>
  <w:footnote w:id="16">
    <w:p w:rsidR="006908DB" w:rsidRPr="00A70EC8" w:rsidP="007B43B9" w14:paraId="04F4788D" w14:textId="2C1BB45D">
      <w:pPr>
        <w:pStyle w:val="FootnoteText"/>
      </w:pPr>
      <w:r w:rsidRPr="00A70EC8">
        <w:rPr>
          <w:rStyle w:val="FootnoteReference"/>
        </w:rPr>
        <w:footnoteRef/>
      </w:r>
      <w:r w:rsidRPr="00A70EC8">
        <w:t xml:space="preserve"> </w:t>
      </w:r>
      <w:r w:rsidRPr="00A70EC8">
        <w:rPr>
          <w:i/>
          <w:iCs/>
        </w:rPr>
        <w:t>Nationwide Programmatic Agreement Regarding the Section 106 National Historic Preservation Act Review Process</w:t>
      </w:r>
      <w:r w:rsidRPr="00A70EC8">
        <w:t xml:space="preserve">, 47 CFR pt. 1, App. C (Wireless Facilities NPA).  The Wireless Facilities NPA excludes certain activities from Section 106 review, including “construction of a replacement for an existing communications tower and any associated excavation that . . . does not expand the boundaries of the leased or owned property surrounding the tower by more than 30 feet in any direction or involve excavation outside these expanded boundaries or outside any existing access or utility easement related to the site.”  </w:t>
      </w:r>
      <w:r w:rsidRPr="00A70EC8">
        <w:rPr>
          <w:i/>
          <w:iCs/>
        </w:rPr>
        <w:t>Id.</w:t>
      </w:r>
      <w:r w:rsidRPr="00A70EC8">
        <w:t xml:space="preserve"> </w:t>
      </w:r>
      <w:r w:rsidRPr="00A70EC8">
        <w:t xml:space="preserve">at </w:t>
      </w:r>
      <w:r w:rsidRPr="00A70EC8">
        <w:t>§ III.B.</w:t>
      </w:r>
    </w:p>
  </w:footnote>
  <w:footnote w:id="17">
    <w:p w:rsidR="006908DB" w:rsidRPr="00A70EC8" w:rsidP="007B43B9" w14:paraId="31C17C6F" w14:textId="77777777">
      <w:pPr>
        <w:pStyle w:val="FootnoteText"/>
      </w:pPr>
      <w:r w:rsidRPr="00A70EC8">
        <w:rPr>
          <w:rStyle w:val="FootnoteReference"/>
        </w:rPr>
        <w:footnoteRef/>
      </w:r>
      <w:r w:rsidRPr="00A70EC8">
        <w:t xml:space="preserve"> </w:t>
      </w:r>
      <w:r w:rsidRPr="00A70EC8">
        <w:rPr>
          <w:i/>
          <w:iCs/>
        </w:rPr>
        <w:t>2014 Infrastructure Order</w:t>
      </w:r>
      <w:r w:rsidRPr="00A70EC8">
        <w:t xml:space="preserve">, 29 FCC </w:t>
      </w:r>
      <w:r w:rsidRPr="00A70EC8">
        <w:t>Rcd</w:t>
      </w:r>
      <w:r w:rsidRPr="00A70EC8">
        <w:t xml:space="preserve"> at 12949, para. 199.</w:t>
      </w:r>
    </w:p>
  </w:footnote>
  <w:footnote w:id="18">
    <w:p w:rsidR="006908DB" w:rsidRPr="00A70EC8" w:rsidP="00806AA5" w14:paraId="3B01A33F" w14:textId="77777777">
      <w:pPr>
        <w:pStyle w:val="FootnoteText"/>
      </w:pPr>
      <w:r w:rsidRPr="00A70EC8">
        <w:rPr>
          <w:rStyle w:val="FootnoteReference"/>
        </w:rPr>
        <w:footnoteRef/>
      </w:r>
      <w:r w:rsidRPr="00A70EC8">
        <w:t xml:space="preserve"> 47 U.S.C. § 1455(a). </w:t>
      </w:r>
    </w:p>
  </w:footnote>
  <w:footnote w:id="19">
    <w:p w:rsidR="006908DB" w:rsidRPr="00AF42A7" w:rsidP="00806AA5" w14:paraId="48E08519" w14:textId="052B1AC5">
      <w:pPr>
        <w:pStyle w:val="FootnoteText"/>
      </w:pPr>
      <w:r w:rsidRPr="00A70EC8">
        <w:rPr>
          <w:rStyle w:val="FootnoteReference"/>
        </w:rPr>
        <w:footnoteRef/>
      </w:r>
      <w:r w:rsidRPr="00A70EC8">
        <w:t xml:space="preserve"> Amended Collocation NPA, §</w:t>
      </w:r>
      <w:r w:rsidRPr="007C6360">
        <w:t xml:space="preserve"> I.E.4.</w:t>
      </w:r>
    </w:p>
  </w:footnote>
  <w:footnote w:id="20">
    <w:p w:rsidR="006908DB" w:rsidRPr="00AF42A7" w:rsidP="007B43B9" w14:paraId="66CF858A" w14:textId="5B2A1C68">
      <w:pPr>
        <w:pStyle w:val="FootnoteText"/>
      </w:pPr>
      <w:r w:rsidRPr="00A70EC8">
        <w:rPr>
          <w:rStyle w:val="FootnoteReference"/>
        </w:rPr>
        <w:footnoteRef/>
      </w:r>
      <w:r w:rsidRPr="00A70EC8">
        <w:t xml:space="preserve"> Petition of Wireless Infrastructure Association for Declaratory Ruling, WT Docket No. </w:t>
      </w:r>
      <w:r w:rsidRPr="007C6360">
        <w:t>19-250</w:t>
      </w:r>
      <w:r w:rsidRPr="007C6360">
        <w:t>, at 18 (filed Aug. 27, 2019).</w:t>
      </w:r>
    </w:p>
  </w:footnote>
  <w:footnote w:id="21">
    <w:p w:rsidR="006908DB" w:rsidRPr="00AF42A7" w:rsidP="007B43B9" w14:paraId="4242E975" w14:textId="3C4FED31">
      <w:pPr>
        <w:pStyle w:val="FootnoteText"/>
      </w:pPr>
      <w:r w:rsidRPr="00A70EC8">
        <w:rPr>
          <w:rStyle w:val="FootnoteReference"/>
        </w:rPr>
        <w:footnoteRef/>
      </w:r>
      <w:r w:rsidRPr="00A70EC8">
        <w:t xml:space="preserve"> Petition of Wireless Infrastructure Association for Rulemaking, File No. RM-11849, at </w:t>
      </w:r>
      <w:r w:rsidRPr="007C6360">
        <w:t>9-10 (filed Aug. 27, 2019)</w:t>
      </w:r>
      <w:r w:rsidRPr="00AF42A7">
        <w:t xml:space="preserve">. </w:t>
      </w:r>
    </w:p>
  </w:footnote>
  <w:footnote w:id="22">
    <w:p w:rsidR="006908DB" w:rsidRPr="007C6360" w:rsidP="007B43B9" w14:paraId="1C02FDAE" w14:textId="492C72E3">
      <w:pPr>
        <w:pStyle w:val="FootnoteText"/>
      </w:pPr>
      <w:r w:rsidRPr="00A70EC8">
        <w:rPr>
          <w:rStyle w:val="FootnoteReference"/>
        </w:rPr>
        <w:footnoteRef/>
      </w:r>
      <w:r w:rsidRPr="00A70EC8">
        <w:t xml:space="preserve"> </w:t>
      </w:r>
      <w:r w:rsidRPr="007C6360">
        <w:rPr>
          <w:i/>
          <w:iCs/>
        </w:rPr>
        <w:t>See Implement</w:t>
      </w:r>
      <w:r w:rsidRPr="00AF42A7">
        <w:rPr>
          <w:i/>
          <w:iCs/>
        </w:rPr>
        <w:t xml:space="preserve">ation of State and Local Governments’ Obligation to Approve Certain Wireless Facility Modification </w:t>
      </w:r>
      <w:r w:rsidRPr="00AF42A7">
        <w:rPr>
          <w:i/>
        </w:rPr>
        <w:t>Requests Under Section 6409(a) of the Spectrum Act of 2012</w:t>
      </w:r>
      <w:r w:rsidRPr="00AF42A7">
        <w:t xml:space="preserve">, WT Docket No. 19-250, RM-11849, Declaratory Ruling and Notice of Proposed Rulemaking, 35 FCC </w:t>
      </w:r>
      <w:r w:rsidRPr="00AF42A7">
        <w:t>Rcd</w:t>
      </w:r>
      <w:r w:rsidRPr="00AF42A7">
        <w:t xml:space="preserve"> 5977, 6003-04, paras. 51-56 (2020) (</w:t>
      </w:r>
      <w:r w:rsidRPr="00AF42A7">
        <w:rPr>
          <w:i/>
        </w:rPr>
        <w:t>Notice</w:t>
      </w:r>
      <w:r w:rsidRPr="00AF42A7">
        <w:t xml:space="preserve">).  The </w:t>
      </w:r>
      <w:r w:rsidRPr="00AF42A7">
        <w:rPr>
          <w:i/>
        </w:rPr>
        <w:t>Declaratory Ruling</w:t>
      </w:r>
      <w:r w:rsidRPr="00AF42A7">
        <w:t xml:space="preserve"> clarified “the meaning of our rules implementing Congress’ decisions in section 6409(a) of the Spectrum Act of 2012.”  </w:t>
      </w:r>
      <w:r w:rsidRPr="00AF42A7">
        <w:rPr>
          <w:i/>
          <w:iCs/>
        </w:rPr>
        <w:t>Id.</w:t>
      </w:r>
      <w:r w:rsidRPr="002D3456">
        <w:rPr>
          <w:i/>
        </w:rPr>
        <w:t xml:space="preserve"> </w:t>
      </w:r>
      <w:r w:rsidRPr="00A70EC8">
        <w:t>at 5979, para. 3 (citing Spectrum Ac</w:t>
      </w:r>
      <w:r w:rsidRPr="007C6360">
        <w:t>t of 2012, § 6409(a)).</w:t>
      </w:r>
    </w:p>
  </w:footnote>
  <w:footnote w:id="23">
    <w:p w:rsidR="006908DB" w:rsidRPr="00AF42A7" w:rsidP="007B43B9" w14:paraId="39CABD53" w14:textId="77777777">
      <w:pPr>
        <w:pStyle w:val="FootnoteText"/>
      </w:pPr>
      <w:r w:rsidRPr="00A70EC8">
        <w:rPr>
          <w:rStyle w:val="FootnoteReference"/>
        </w:rPr>
        <w:footnoteRef/>
      </w:r>
      <w:r w:rsidRPr="00A70EC8">
        <w:t xml:space="preserve"> </w:t>
      </w:r>
      <w:bookmarkStart w:id="11" w:name="_Hlk52283171"/>
      <w:r w:rsidRPr="007C6360">
        <w:rPr>
          <w:i/>
          <w:iCs/>
        </w:rPr>
        <w:t>Notice</w:t>
      </w:r>
      <w:r w:rsidRPr="007C6360">
        <w:t xml:space="preserve">, 35 FCC </w:t>
      </w:r>
      <w:r w:rsidRPr="007C6360">
        <w:t>Rcd</w:t>
      </w:r>
      <w:r w:rsidRPr="007C6360">
        <w:t xml:space="preserve"> at 6004, para. 55. </w:t>
      </w:r>
      <w:bookmarkEnd w:id="11"/>
    </w:p>
  </w:footnote>
  <w:footnote w:id="24">
    <w:p w:rsidR="006908DB" w:rsidRPr="007C6360" w:rsidP="007B43B9" w14:paraId="31CDED13" w14:textId="44F149AD">
      <w:pPr>
        <w:pStyle w:val="FootnoteText"/>
      </w:pPr>
      <w:r w:rsidRPr="00A70EC8">
        <w:rPr>
          <w:rStyle w:val="FootnoteReference"/>
        </w:rPr>
        <w:footnoteRef/>
      </w:r>
      <w:r w:rsidRPr="00A70EC8">
        <w:t xml:space="preserve"> </w:t>
      </w:r>
      <w:r w:rsidRPr="00AF42A7">
        <w:rPr>
          <w:i/>
          <w:iCs/>
        </w:rPr>
        <w:t>Id.</w:t>
      </w:r>
      <w:r w:rsidRPr="002D3456">
        <w:rPr>
          <w:i/>
        </w:rPr>
        <w:t xml:space="preserve"> </w:t>
      </w:r>
      <w:r w:rsidRPr="00A70EC8">
        <w:t>at 6004, para</w:t>
      </w:r>
      <w:r w:rsidRPr="007C6360">
        <w:t>. 55.</w:t>
      </w:r>
    </w:p>
  </w:footnote>
  <w:footnote w:id="25">
    <w:p w:rsidR="006908DB" w:rsidRPr="007C6360" w:rsidP="007B43B9" w14:paraId="440CB629" w14:textId="75BBE7D0">
      <w:pPr>
        <w:pStyle w:val="FootnoteText"/>
      </w:pPr>
      <w:r w:rsidRPr="00A70EC8">
        <w:rPr>
          <w:rStyle w:val="FootnoteReference"/>
        </w:rPr>
        <w:footnoteRef/>
      </w:r>
      <w:r w:rsidRPr="00A70EC8">
        <w:t xml:space="preserve"> </w:t>
      </w:r>
      <w:r w:rsidRPr="00AF42A7">
        <w:rPr>
          <w:i/>
          <w:iCs/>
        </w:rPr>
        <w:t>Id.</w:t>
      </w:r>
      <w:r w:rsidRPr="002D3456">
        <w:rPr>
          <w:i/>
        </w:rPr>
        <w:t xml:space="preserve"> </w:t>
      </w:r>
      <w:r w:rsidRPr="00A70EC8">
        <w:t>at 6004, para. 56.</w:t>
      </w:r>
    </w:p>
  </w:footnote>
  <w:footnote w:id="26">
    <w:p w:rsidR="006908DB" w:rsidRPr="00AF42A7" w:rsidP="007B43B9" w14:paraId="36B52EF1" w14:textId="09DF43A5">
      <w:pPr>
        <w:pStyle w:val="FootnoteText"/>
      </w:pPr>
      <w:r w:rsidRPr="00A70EC8">
        <w:rPr>
          <w:rStyle w:val="FootnoteReference"/>
        </w:rPr>
        <w:footnoteRef/>
      </w:r>
      <w:r w:rsidRPr="00A70EC8">
        <w:t xml:space="preserve"> </w:t>
      </w:r>
      <w:r w:rsidRPr="00AF42A7">
        <w:rPr>
          <w:i/>
          <w:iCs/>
        </w:rPr>
        <w:t>Id.</w:t>
      </w:r>
      <w:r w:rsidRPr="002D3456">
        <w:rPr>
          <w:i/>
        </w:rPr>
        <w:t xml:space="preserve"> </w:t>
      </w:r>
      <w:r w:rsidRPr="00A70EC8">
        <w:t>at 6004, para. 56</w:t>
      </w:r>
      <w:r w:rsidRPr="007C6360">
        <w:t xml:space="preserve"> (emphasis in original).</w:t>
      </w:r>
    </w:p>
  </w:footnote>
  <w:footnote w:id="27">
    <w:p w:rsidR="006908DB" w:rsidRPr="00AF42A7" w:rsidP="009312D8" w14:paraId="56946232" w14:textId="19B416E1">
      <w:pPr>
        <w:pStyle w:val="FootnoteText"/>
        <w:rPr>
          <w:i/>
          <w:iCs/>
        </w:rPr>
      </w:pPr>
      <w:r w:rsidRPr="00A70EC8">
        <w:rPr>
          <w:rStyle w:val="FootnoteReference"/>
        </w:rPr>
        <w:footnoteRef/>
      </w:r>
      <w:r w:rsidRPr="00A70EC8">
        <w:t xml:space="preserve"> </w:t>
      </w:r>
      <w:r w:rsidRPr="00AF42A7">
        <w:rPr>
          <w:i/>
          <w:iCs/>
        </w:rPr>
        <w:t>Id.</w:t>
      </w:r>
      <w:r w:rsidRPr="002D3456">
        <w:rPr>
          <w:i/>
        </w:rPr>
        <w:t xml:space="preserve"> </w:t>
      </w:r>
      <w:r w:rsidRPr="00A70EC8">
        <w:t>at 6004, para. 5</w:t>
      </w:r>
      <w:r w:rsidRPr="007C6360">
        <w:t>6</w:t>
      </w:r>
      <w:r w:rsidRPr="007C6360">
        <w:rPr>
          <w:i/>
          <w:iCs/>
        </w:rPr>
        <w:t>.</w:t>
      </w:r>
    </w:p>
  </w:footnote>
  <w:footnote w:id="28">
    <w:p w:rsidR="006908DB" w:rsidRPr="00AF42A7" w:rsidP="007B43B9" w14:paraId="5FD6AA8A" w14:textId="77777777">
      <w:pPr>
        <w:pStyle w:val="FootnoteText"/>
      </w:pPr>
      <w:r w:rsidRPr="00A70EC8">
        <w:rPr>
          <w:rStyle w:val="FootnoteReference"/>
        </w:rPr>
        <w:footnoteRef/>
      </w:r>
      <w:r w:rsidRPr="00A70EC8">
        <w:t xml:space="preserve"> </w:t>
      </w:r>
      <w:r w:rsidRPr="007C6360">
        <w:rPr>
          <w:i/>
          <w:iCs/>
        </w:rPr>
        <w:t>See, e.g.</w:t>
      </w:r>
      <w:r w:rsidRPr="00AF42A7">
        <w:t>,</w:t>
      </w:r>
      <w:r w:rsidRPr="00AF42A7">
        <w:rPr>
          <w:i/>
          <w:iCs/>
        </w:rPr>
        <w:t xml:space="preserve"> Amendment of the </w:t>
      </w:r>
      <w:r w:rsidRPr="00AF42A7">
        <w:rPr>
          <w:i/>
        </w:rPr>
        <w:t xml:space="preserve">Commission’s Environmental Rules, </w:t>
      </w:r>
      <w:r w:rsidRPr="00AF42A7">
        <w:t xml:space="preserve">Order, 3 FCC </w:t>
      </w:r>
      <w:r w:rsidRPr="00AF42A7">
        <w:t>Rcd</w:t>
      </w:r>
      <w:r w:rsidRPr="00AF42A7">
        <w:t xml:space="preserve"> 4986, para. 7 (1988) (“The Commission has long held that the mounting of antennas on existing buildings or antenna towers is environmentally preferable to the construction of a new facility . . . .”).</w:t>
      </w:r>
    </w:p>
  </w:footnote>
  <w:footnote w:id="29">
    <w:p w:rsidR="006908DB" w:rsidRPr="00AF42A7" w:rsidP="007B43B9" w14:paraId="49596BEA" w14:textId="4C2EA6A1">
      <w:pPr>
        <w:pStyle w:val="FootnoteText"/>
      </w:pPr>
      <w:r w:rsidRPr="00A70EC8">
        <w:rPr>
          <w:rStyle w:val="FootnoteReference"/>
        </w:rPr>
        <w:footnoteRef/>
      </w:r>
      <w:r w:rsidRPr="00A70EC8">
        <w:t xml:space="preserve"> </w:t>
      </w:r>
      <w:r w:rsidRPr="007C6360">
        <w:rPr>
          <w:i/>
          <w:iCs/>
        </w:rPr>
        <w:t>2014 Infrastructure Order</w:t>
      </w:r>
      <w:r w:rsidRPr="007C6360">
        <w:t xml:space="preserve">, 29 FCC </w:t>
      </w:r>
      <w:r w:rsidRPr="007C6360">
        <w:t>Rcd</w:t>
      </w:r>
      <w:r w:rsidRPr="007C6360">
        <w:t xml:space="preserve"> at 12925, para. 142; </w:t>
      </w:r>
      <w:r w:rsidRPr="00AF42A7">
        <w:rPr>
          <w:i/>
        </w:rPr>
        <w:t xml:space="preserve">see also </w:t>
      </w:r>
      <w:r w:rsidRPr="00AF42A7">
        <w:t xml:space="preserve">Crown Castle Comments at 5-6 (arguing that collocation on existing structures is faster, more cost-effective, and less disruptive to the surrounding environment than construction of new towers); Coleman Bazelon and Pallavi Seth, </w:t>
      </w:r>
      <w:r w:rsidRPr="00AF42A7">
        <w:rPr>
          <w:i/>
        </w:rPr>
        <w:t>REIT Supported Wireless Infrastructure: Foundation of the Mobile Economy</w:t>
      </w:r>
      <w:r w:rsidRPr="00AF42A7">
        <w:t xml:space="preserve"> at 14-15 (May 23, 2017), https://brattlefiles.blob.core.windows.</w:t>
      </w:r>
      <w:r w:rsidRPr="00AF42A7">
        <w:br/>
        <w:t xml:space="preserve">net/files/7344_reit_supported_wireless_infrastructure_foundation_of_the_mobile_economy.pdf (“Carriers have significant economic incentives to choose a collocation model, where they lease space from the tower company and share the infrastructure with another tenant, rather than build their own site.”). </w:t>
      </w:r>
    </w:p>
  </w:footnote>
  <w:footnote w:id="30">
    <w:p w:rsidR="006908DB" w:rsidP="00560D3F" w14:paraId="1947B098" w14:textId="0AFF787D">
      <w:pPr>
        <w:pStyle w:val="FootnoteText"/>
      </w:pPr>
      <w:r>
        <w:rPr>
          <w:rStyle w:val="FootnoteReference"/>
        </w:rPr>
        <w:footnoteRef/>
      </w:r>
      <w:r>
        <w:t xml:space="preserve"> </w:t>
      </w:r>
      <w:r w:rsidRPr="003626FD">
        <w:t xml:space="preserve">We do not amend section 1.6100(b)(7)(iv) </w:t>
      </w:r>
      <w:r>
        <w:t>with respect to</w:t>
      </w:r>
      <w:r w:rsidRPr="003626FD">
        <w:t xml:space="preserve"> towers in the public rights-of-way or non-tower structures.  </w:t>
      </w:r>
    </w:p>
  </w:footnote>
  <w:footnote w:id="31">
    <w:p w:rsidR="006908DB" w:rsidRPr="00AF42A7" w:rsidP="00553D7C" w14:paraId="0A34F6DE" w14:textId="2F30A9F3">
      <w:pPr>
        <w:pStyle w:val="FootnoteText"/>
      </w:pPr>
      <w:r w:rsidRPr="00A70EC8">
        <w:rPr>
          <w:rStyle w:val="FootnoteReference"/>
        </w:rPr>
        <w:footnoteRef/>
      </w:r>
      <w:r w:rsidRPr="00A70EC8">
        <w:t xml:space="preserve"> </w:t>
      </w:r>
      <w:r w:rsidRPr="007C6360">
        <w:rPr>
          <w:i/>
          <w:iCs/>
        </w:rPr>
        <w:t xml:space="preserve">See </w:t>
      </w:r>
      <w:r w:rsidRPr="007C6360">
        <w:t xml:space="preserve">47 C.F.R. </w:t>
      </w:r>
      <w:r w:rsidRPr="00AF42A7">
        <w:rPr>
          <w:rFonts w:cstheme="minorHAnsi"/>
        </w:rPr>
        <w:t>§</w:t>
      </w:r>
      <w:r w:rsidRPr="00AF42A7">
        <w:t xml:space="preserve"> 1.6100(b)(7) (providing that “[a] modification </w:t>
      </w:r>
      <w:r w:rsidRPr="00AF42A7">
        <w:rPr>
          <w:i/>
          <w:iCs/>
        </w:rPr>
        <w:t>substantially changes</w:t>
      </w:r>
      <w:r w:rsidRPr="00AF42A7">
        <w:t xml:space="preserve"> the physical dimensions of an eligible support structure if it meets any of the following criteria”) (emphasis added); </w:t>
      </w:r>
      <w:r w:rsidRPr="00AF42A7">
        <w:rPr>
          <w:i/>
          <w:iCs/>
        </w:rPr>
        <w:t xml:space="preserve">see also </w:t>
      </w:r>
      <w:r w:rsidRPr="00AF42A7">
        <w:t>Spectrum Act of 2012 § 6409(a)(1) (providing that a state or local government may not deny certain eligible facility requests that do not “</w:t>
      </w:r>
      <w:r w:rsidRPr="00AF42A7">
        <w:rPr>
          <w:i/>
          <w:iCs/>
        </w:rPr>
        <w:t>substantially change</w:t>
      </w:r>
      <w:r w:rsidRPr="00AF42A7">
        <w:t xml:space="preserve"> the physical dimensions of such tower or base station”) (emphasis added).</w:t>
      </w:r>
    </w:p>
  </w:footnote>
  <w:footnote w:id="32">
    <w:p w:rsidR="006908DB" w:rsidRPr="00AF42A7" w:rsidP="00553D7C" w14:paraId="2CEF6470" w14:textId="6D5CFECB">
      <w:pPr>
        <w:pStyle w:val="FootnoteText"/>
      </w:pPr>
      <w:r w:rsidRPr="00A70EC8">
        <w:rPr>
          <w:rStyle w:val="FootnoteReference"/>
        </w:rPr>
        <w:footnoteRef/>
      </w:r>
      <w:r w:rsidRPr="00A70EC8">
        <w:t xml:space="preserve"> </w:t>
      </w:r>
      <w:r w:rsidRPr="007C6360">
        <w:rPr>
          <w:i/>
          <w:iCs/>
        </w:rPr>
        <w:t>Montgomery County, Md. v. FCC</w:t>
      </w:r>
      <w:r w:rsidRPr="007C6360">
        <w:t xml:space="preserve">, 811 F.3d </w:t>
      </w:r>
      <w:r w:rsidRPr="00AF42A7">
        <w:t>at 129-30 (“[W]e review Petitioners’ challenge to the manner in which the FCC has defined the two terms referenced earlier: ‘substantially change’ and ‘base station.’”). </w:t>
      </w:r>
    </w:p>
  </w:footnote>
  <w:footnote w:id="33">
    <w:p w:rsidR="006908DB" w:rsidRPr="007C6360" w:rsidP="00553D7C" w14:paraId="76ECE298" w14:textId="77777777">
      <w:pPr>
        <w:pStyle w:val="FootnoteText"/>
      </w:pPr>
      <w:r w:rsidRPr="00A70EC8">
        <w:rPr>
          <w:rStyle w:val="FootnoteReference"/>
        </w:rPr>
        <w:footnoteRef/>
      </w:r>
      <w:r w:rsidRPr="00A70EC8">
        <w:t xml:space="preserve"> 47 U.S.C. § 1455(a).</w:t>
      </w:r>
      <w:r w:rsidRPr="007C6360">
        <w:t xml:space="preserve">  </w:t>
      </w:r>
    </w:p>
  </w:footnote>
  <w:footnote w:id="34">
    <w:p w:rsidR="006908DB" w:rsidRPr="00AF42A7" w14:paraId="7EC0A5E8" w14:textId="6E831196">
      <w:pPr>
        <w:pStyle w:val="FootnoteText"/>
      </w:pPr>
      <w:r w:rsidRPr="00A70EC8">
        <w:rPr>
          <w:rStyle w:val="FootnoteReference"/>
        </w:rPr>
        <w:footnoteRef/>
      </w:r>
      <w:r w:rsidRPr="00A70EC8">
        <w:t xml:space="preserve"> </w:t>
      </w:r>
      <w:r w:rsidRPr="007C6360">
        <w:rPr>
          <w:i/>
          <w:iCs/>
        </w:rPr>
        <w:t>2014 Infrastructure Order</w:t>
      </w:r>
      <w:r w:rsidRPr="007C6360">
        <w:t xml:space="preserve">, 29 FCC </w:t>
      </w:r>
      <w:r w:rsidRPr="007C6360">
        <w:t>Rcd</w:t>
      </w:r>
      <w:r w:rsidRPr="007C6360">
        <w:t xml:space="preserve"> at 12945, para. 189</w:t>
      </w:r>
      <w:r w:rsidRPr="00AF42A7">
        <w:t>.</w:t>
      </w:r>
    </w:p>
  </w:footnote>
  <w:footnote w:id="35">
    <w:p w:rsidR="006908DB" w:rsidRPr="00AF42A7" w:rsidP="007610EC" w14:paraId="3124540B" w14:textId="13D35A8B">
      <w:pPr>
        <w:pStyle w:val="FootnoteText"/>
      </w:pPr>
      <w:r w:rsidRPr="00A70EC8">
        <w:rPr>
          <w:rStyle w:val="FootnoteReference"/>
        </w:rPr>
        <w:footnoteRef/>
      </w:r>
      <w:r w:rsidRPr="00AF42A7">
        <w:t xml:space="preserve"> </w:t>
      </w:r>
      <w:r w:rsidRPr="00AF42A7">
        <w:rPr>
          <w:i/>
          <w:iCs/>
        </w:rPr>
        <w:t>Id.</w:t>
      </w:r>
      <w:r w:rsidRPr="002D3456">
        <w:rPr>
          <w:i/>
        </w:rPr>
        <w:t xml:space="preserve"> </w:t>
      </w:r>
      <w:r w:rsidRPr="00A70EC8">
        <w:t>at 12945, para. 190;</w:t>
      </w:r>
      <w:r w:rsidRPr="007C6360">
        <w:rPr>
          <w:i/>
          <w:iCs/>
        </w:rPr>
        <w:t xml:space="preserve"> see also id. </w:t>
      </w:r>
      <w:r w:rsidRPr="007C6360">
        <w:t>(“</w:t>
      </w:r>
      <w:r w:rsidRPr="00AF42A7">
        <w:t xml:space="preserve">the Commission has previously relied on the Collocation [NPA]’s test in comparable circumstances, concluding in the </w:t>
      </w:r>
      <w:r w:rsidRPr="00AF42A7">
        <w:rPr>
          <w:i/>
          <w:iCs/>
        </w:rPr>
        <w:t xml:space="preserve">2009 </w:t>
      </w:r>
      <w:r w:rsidRPr="007610EC">
        <w:t>Declaratory</w:t>
      </w:r>
      <w:r w:rsidRPr="00AF42A7">
        <w:rPr>
          <w:i/>
          <w:iCs/>
        </w:rPr>
        <w:t xml:space="preserve"> Ruling </w:t>
      </w:r>
      <w:r w:rsidRPr="00AF42A7">
        <w:t>that collocation applications are subject to a shorter shot clock under Section 332(c)(7) to the extent that they</w:t>
      </w:r>
      <w:r w:rsidRPr="007610EC" w:rsidR="007610EC">
        <w:t xml:space="preserve"> do not constitute a ‘substantial increase in size of the underlying structure.’”) (citation omitted).</w:t>
      </w:r>
    </w:p>
  </w:footnote>
  <w:footnote w:id="36">
    <w:p w:rsidR="006908DB" w:rsidRPr="00AF42A7" w:rsidP="00750929" w14:paraId="10A4AC7A" w14:textId="78F497A8">
      <w:pPr>
        <w:pStyle w:val="FootnoteText"/>
      </w:pPr>
      <w:r w:rsidRPr="00A70EC8">
        <w:rPr>
          <w:rStyle w:val="FootnoteReference"/>
        </w:rPr>
        <w:footnoteRef/>
      </w:r>
      <w:r w:rsidRPr="00A70EC8">
        <w:t xml:space="preserve"> </w:t>
      </w:r>
      <w:r w:rsidRPr="007C6360">
        <w:t xml:space="preserve">47 CFR § 1.6100(b)(7)(iv) </w:t>
      </w:r>
      <w:r w:rsidRPr="00AF42A7">
        <w:t xml:space="preserve">(stating that a “modification substantially changes the physical dimensions of an eligible support structure if it . . . entails any excavation or deployment outside the current site.”); </w:t>
      </w:r>
      <w:r w:rsidRPr="00AF42A7">
        <w:rPr>
          <w:i/>
          <w:iCs/>
        </w:rPr>
        <w:t>see also</w:t>
      </w:r>
      <w:r w:rsidRPr="00AF42A7">
        <w:t xml:space="preserve"> </w:t>
      </w:r>
      <w:r w:rsidRPr="00AF42A7">
        <w:rPr>
          <w:i/>
          <w:iCs/>
        </w:rPr>
        <w:t>2014 Infrastructure Order</w:t>
      </w:r>
      <w:r w:rsidRPr="00AF42A7">
        <w:t xml:space="preserve">, 29 FCC </w:t>
      </w:r>
      <w:r w:rsidRPr="00AF42A7">
        <w:t>Rcd</w:t>
      </w:r>
      <w:r w:rsidRPr="00AF42A7">
        <w:t xml:space="preserve"> at 12949, para. 198; Collocation NPA § I.C.</w:t>
      </w:r>
    </w:p>
  </w:footnote>
  <w:footnote w:id="37">
    <w:p w:rsidR="006908DB" w:rsidRPr="00AF42A7" w:rsidP="007B43B9" w14:paraId="6A33681D" w14:textId="225BD9D0">
      <w:pPr>
        <w:pStyle w:val="FootnoteText"/>
      </w:pPr>
      <w:r w:rsidRPr="00A70EC8">
        <w:rPr>
          <w:rStyle w:val="FootnoteReference"/>
        </w:rPr>
        <w:footnoteRef/>
      </w:r>
      <w:r w:rsidRPr="00A70EC8">
        <w:t xml:space="preserve"> </w:t>
      </w:r>
      <w:r w:rsidRPr="007C6360">
        <w:rPr>
          <w:i/>
          <w:iCs/>
        </w:rPr>
        <w:t>2014 Infrastructure Order</w:t>
      </w:r>
      <w:r w:rsidRPr="00AF42A7">
        <w:t xml:space="preserve">, 29 FCC </w:t>
      </w:r>
      <w:r w:rsidRPr="00AF42A7">
        <w:t>Rcd</w:t>
      </w:r>
      <w:r w:rsidRPr="00AF42A7">
        <w:t xml:space="preserve"> at 12949, para. 199.</w:t>
      </w:r>
    </w:p>
  </w:footnote>
  <w:footnote w:id="38">
    <w:p w:rsidR="006908DB" w:rsidRPr="007C6360" w:rsidP="007B43B9" w14:paraId="512E14C0" w14:textId="77777777">
      <w:pPr>
        <w:pStyle w:val="FootnoteText"/>
      </w:pPr>
      <w:r w:rsidRPr="00A70EC8">
        <w:rPr>
          <w:rStyle w:val="FootnoteReference"/>
        </w:rPr>
        <w:footnoteRef/>
      </w:r>
      <w:r w:rsidRPr="00A70EC8">
        <w:t xml:space="preserve"> Wireless Facilities NPA § III.B.</w:t>
      </w:r>
    </w:p>
  </w:footnote>
  <w:footnote w:id="39">
    <w:p w:rsidR="006908DB" w:rsidRPr="007C6360" w:rsidP="00694B45" w14:paraId="60F53EF0" w14:textId="69F1910C">
      <w:pPr>
        <w:pStyle w:val="FootnoteText"/>
      </w:pPr>
      <w:r w:rsidRPr="00A70EC8">
        <w:rPr>
          <w:rStyle w:val="FootnoteReference"/>
        </w:rPr>
        <w:footnoteRef/>
      </w:r>
      <w:r w:rsidRPr="00A70EC8">
        <w:t xml:space="preserve"> Amended Collocation NPA. </w:t>
      </w:r>
    </w:p>
  </w:footnote>
  <w:footnote w:id="40">
    <w:p w:rsidR="006908DB" w:rsidRPr="00AF42A7" w14:paraId="07DDCADD" w14:textId="38893211">
      <w:pPr>
        <w:pStyle w:val="FootnoteText"/>
      </w:pPr>
      <w:r w:rsidRPr="00A70EC8">
        <w:rPr>
          <w:rStyle w:val="FootnoteReference"/>
        </w:rPr>
        <w:footnoteRef/>
      </w:r>
      <w:r w:rsidRPr="00AF42A7">
        <w:t xml:space="preserve"> </w:t>
      </w:r>
      <w:r w:rsidRPr="00AF42A7">
        <w:rPr>
          <w:i/>
          <w:iCs/>
        </w:rPr>
        <w:t>Id.</w:t>
      </w:r>
      <w:r w:rsidRPr="002D3456">
        <w:rPr>
          <w:i/>
        </w:rPr>
        <w:t xml:space="preserve"> </w:t>
      </w:r>
      <w:r w:rsidRPr="00A70EC8">
        <w:t>(stating that the Collocation NPA “provides that a collocation on an existing tower is excluded from Section 106 review unless</w:t>
      </w:r>
      <w:r w:rsidRPr="00AF42A7">
        <w:t xml:space="preserve"> it involves one of the enumerated circumstances, which include a substantial increase in the size of the tower.  Prior to the amendment, a ‘substantial increase in the size of the tower’ was defined to include, among other factors, any excavation outside the current tower site”, while the Wireless Facilities NPA “excludes from Section 106 review the replacement of a tower that involves deployment and excavation by no more than 30 feet in any direction outside the boundaries of an existing tower site.”). 47 CFR part 1, Appx. B.</w:t>
      </w:r>
    </w:p>
  </w:footnote>
  <w:footnote w:id="41">
    <w:p w:rsidR="006908DB" w:rsidRPr="00AF42A7" w:rsidP="007B43B9" w14:paraId="50EDA8D6" w14:textId="1E41E7D4">
      <w:pPr>
        <w:pStyle w:val="FootnoteText"/>
      </w:pPr>
      <w:r w:rsidRPr="00A70EC8">
        <w:rPr>
          <w:rStyle w:val="FootnoteReference"/>
        </w:rPr>
        <w:footnoteRef/>
      </w:r>
      <w:r w:rsidRPr="00A70EC8">
        <w:t xml:space="preserve"> Amended Colloc</w:t>
      </w:r>
      <w:r w:rsidRPr="007C6360">
        <w:t>ation NPA, § I.</w:t>
      </w:r>
      <w:r w:rsidRPr="00AF42A7">
        <w:t>E.4.</w:t>
      </w:r>
    </w:p>
  </w:footnote>
  <w:footnote w:id="42">
    <w:p w:rsidR="006908DB" w:rsidRPr="00AF42A7" w:rsidP="00635C54" w14:paraId="26049D67" w14:textId="3F92FB3F">
      <w:pPr>
        <w:pStyle w:val="FootnoteText"/>
      </w:pPr>
      <w:r w:rsidRPr="00A70EC8">
        <w:rPr>
          <w:rStyle w:val="FootnoteReference"/>
        </w:rPr>
        <w:footnoteRef/>
      </w:r>
      <w:r w:rsidRPr="00AF42A7">
        <w:rPr>
          <w:i/>
          <w:iCs/>
        </w:rPr>
        <w:t>Id.</w:t>
      </w:r>
      <w:r w:rsidRPr="00AF42A7">
        <w:t>, Preamble.</w:t>
      </w:r>
    </w:p>
  </w:footnote>
  <w:footnote w:id="43">
    <w:p w:rsidR="006908DB" w:rsidRPr="00AF42A7" w14:paraId="63D75729" w14:textId="31CA0EA2">
      <w:pPr>
        <w:pStyle w:val="FootnoteText"/>
      </w:pPr>
      <w:r w:rsidRPr="00A70EC8">
        <w:rPr>
          <w:rStyle w:val="FootnoteReference"/>
        </w:rPr>
        <w:footnoteRef/>
      </w:r>
      <w:r w:rsidRPr="00A70EC8">
        <w:t xml:space="preserve"> </w:t>
      </w:r>
      <w:r w:rsidRPr="007C6360">
        <w:rPr>
          <w:i/>
          <w:iCs/>
        </w:rPr>
        <w:t>National Programmatic Agreement Regarding the Section 106 National Historic Preservation Review Process</w:t>
      </w:r>
      <w:r w:rsidRPr="007C6360">
        <w:t xml:space="preserve">, </w:t>
      </w:r>
      <w:r w:rsidRPr="00AF42A7">
        <w:t xml:space="preserve">WT Docket No. 03-128, Report and Order, 20 FCC </w:t>
      </w:r>
      <w:r w:rsidRPr="00AF42A7">
        <w:t>Rcd</w:t>
      </w:r>
      <w:r w:rsidRPr="00AF42A7">
        <w:t xml:space="preserve"> 1073, 1090, para. 45 (2004).</w:t>
      </w:r>
    </w:p>
  </w:footnote>
  <w:footnote w:id="44">
    <w:p w:rsidR="006908DB" w:rsidRPr="00AF42A7" w:rsidP="007B43B9" w14:paraId="48730244" w14:textId="180A9658">
      <w:pPr>
        <w:pStyle w:val="FootnoteText"/>
      </w:pPr>
      <w:r w:rsidRPr="00A70EC8">
        <w:rPr>
          <w:rStyle w:val="FootnoteReference"/>
        </w:rPr>
        <w:footnoteRef/>
      </w:r>
      <w:r w:rsidRPr="00A70EC8">
        <w:t xml:space="preserve"> Local Government Reply Comments at 9; </w:t>
      </w:r>
      <w:r w:rsidRPr="007C6360">
        <w:rPr>
          <w:i/>
          <w:iCs/>
        </w:rPr>
        <w:t>see also</w:t>
      </w:r>
      <w:r w:rsidRPr="007C6360">
        <w:t xml:space="preserve"> Western Communities Coalition Comments at </w:t>
      </w:r>
      <w:r w:rsidRPr="00AF42A7">
        <w:t xml:space="preserve">12-13.  Notably, localities do not argue that a different objective standard of “substantial change” is necessary—they reject any revision of the standard.  </w:t>
      </w:r>
    </w:p>
  </w:footnote>
  <w:footnote w:id="45">
    <w:p w:rsidR="006908DB" w:rsidRPr="00AF42A7" w14:paraId="4C7E7F8B" w14:textId="32ABF8C8">
      <w:pPr>
        <w:pStyle w:val="FootnoteText"/>
      </w:pPr>
      <w:r w:rsidRPr="00A70EC8">
        <w:rPr>
          <w:rStyle w:val="FootnoteReference"/>
        </w:rPr>
        <w:footnoteRef/>
      </w:r>
      <w:r w:rsidRPr="00A70EC8">
        <w:t xml:space="preserve"> </w:t>
      </w:r>
      <w:r w:rsidRPr="007C6360">
        <w:rPr>
          <w:i/>
        </w:rPr>
        <w:t>2014 Infrastructure Order</w:t>
      </w:r>
      <w:r w:rsidRPr="007C6360">
        <w:t xml:space="preserve">, 29 FCC </w:t>
      </w:r>
      <w:r w:rsidRPr="007C6360">
        <w:t>Rcd</w:t>
      </w:r>
      <w:r w:rsidRPr="007C6360">
        <w:t xml:space="preserve"> at 12949, para. 199; </w:t>
      </w:r>
      <w:r w:rsidRPr="00AF42A7">
        <w:rPr>
          <w:i/>
        </w:rPr>
        <w:t xml:space="preserve">see also id. </w:t>
      </w:r>
      <w:r w:rsidRPr="00AF42A7">
        <w:t>at 12945, para. 190 (“We further find that the objective test for ‘substantial increase in size’ under the Collocation Agreement should inform our consideration of the factors to consider when assessing a ‘substantial change in physical dimensions.’  This reflects our general determination that definitions in the Collocation [NPA] and [Wireless Facilities] NPA should inform our interpretation of similar terms in [s]</w:t>
      </w:r>
      <w:r w:rsidRPr="00AF42A7">
        <w:t>ection</w:t>
      </w:r>
      <w:r w:rsidRPr="00AF42A7">
        <w:t xml:space="preserve"> 6409(a).”).</w:t>
      </w:r>
    </w:p>
  </w:footnote>
  <w:footnote w:id="46">
    <w:p w:rsidR="006908DB" w:rsidRPr="00AF42A7" w14:paraId="5A25C672" w14:textId="45F32DF7">
      <w:pPr>
        <w:pStyle w:val="FootnoteText"/>
      </w:pPr>
      <w:r w:rsidRPr="00A70EC8">
        <w:rPr>
          <w:rStyle w:val="FootnoteReference"/>
        </w:rPr>
        <w:footnoteRef/>
      </w:r>
      <w:r w:rsidRPr="00A70EC8">
        <w:t xml:space="preserve"> </w:t>
      </w:r>
      <w:r w:rsidRPr="007C6360">
        <w:t>Crown Castle Comment at 18 (“[G]</w:t>
      </w:r>
      <w:r w:rsidRPr="007C6360">
        <w:t>iven</w:t>
      </w:r>
      <w:r w:rsidRPr="007C6360">
        <w:t xml:space="preserve"> the heavy reliance the agency placed on the 2001 Collocation NPA in its 2014 decision, it would likely be arbitrary and capricious for the Commission to </w:t>
      </w:r>
      <w:r w:rsidRPr="00AF42A7">
        <w:rPr>
          <w:i/>
        </w:rPr>
        <w:t>retain</w:t>
      </w:r>
      <w:r w:rsidRPr="00AF42A7">
        <w:t xml:space="preserve"> the 2014 definition in light of the amendment to the Collocation NPA.”) (emphasis in original).</w:t>
      </w:r>
    </w:p>
  </w:footnote>
  <w:footnote w:id="47">
    <w:p w:rsidR="006908DB" w:rsidRPr="00AF42A7" w:rsidP="00AA52EA" w14:paraId="6E64E978" w14:textId="736C8C51">
      <w:pPr>
        <w:pStyle w:val="FootnoteText"/>
      </w:pPr>
      <w:r w:rsidRPr="00A70EC8">
        <w:rPr>
          <w:rStyle w:val="FootnoteReference"/>
        </w:rPr>
        <w:footnoteRef/>
      </w:r>
      <w:r w:rsidRPr="00A70EC8">
        <w:t xml:space="preserve"> </w:t>
      </w:r>
      <w:r w:rsidRPr="007C6360">
        <w:rPr>
          <w:i/>
          <w:iCs/>
        </w:rPr>
        <w:t>See 2014 Infrastructure Order</w:t>
      </w:r>
      <w:r w:rsidRPr="007C6360">
        <w:t xml:space="preserve">, 29 FCC </w:t>
      </w:r>
      <w:r w:rsidRPr="007C6360">
        <w:t>Rcd</w:t>
      </w:r>
      <w:r w:rsidRPr="007C6360">
        <w:t xml:space="preserve"> at 12932, para. 160 (defining transmission equipment as “any equipment that facilitates transmission for any Commission-licensed or authorized wir</w:t>
      </w:r>
      <w:r w:rsidRPr="00AF42A7">
        <w:t xml:space="preserve">eless communication service, including, but not limited to, radio transceivers, antennas and </w:t>
      </w:r>
      <w:r w:rsidRPr="00AF42A7">
        <w:rPr>
          <w:i/>
          <w:iCs/>
        </w:rPr>
        <w:t>other relevant equipment associated with and necessary to their operation</w:t>
      </w:r>
      <w:r w:rsidRPr="00AF42A7">
        <w:t xml:space="preserve"> . . . .”) (emphasis added); </w:t>
      </w:r>
      <w:r w:rsidRPr="00AF42A7">
        <w:rPr>
          <w:i/>
          <w:iCs/>
        </w:rPr>
        <w:t xml:space="preserve">see also </w:t>
      </w:r>
      <w:r w:rsidRPr="00AF42A7">
        <w:t xml:space="preserve">Crown Castle Comments at 5 (stating that collocation “also requires the use of ground space near the tower for the installation of associated equipment”); Letter from Joshua Turner, Counsel to Crown Castle, to Marlene Dortch, Secretary, FCC, WT Docket No. 19-250, at 1 (filed Oct. 20, 2020) (Crown Castle Oct. 20 </w:t>
      </w:r>
      <w:r w:rsidRPr="00AF42A7">
        <w:rPr>
          <w:i/>
          <w:iCs/>
        </w:rPr>
        <w:t xml:space="preserve">Ex Parte </w:t>
      </w:r>
      <w:r w:rsidRPr="00AF42A7">
        <w:t xml:space="preserve">Letter) (“[T]he continued development of new technologies means that collocations at, and modifications of, existing wireless sites often require the placement of additional equipment associated with, but not directly on, the wireless tower.  This includes the type of ground-mounted equipment such as switches, wiring, cabling, power sources, or cabinets that is covered in the Collocation [NPA].”). </w:t>
      </w:r>
    </w:p>
  </w:footnote>
  <w:footnote w:id="48">
    <w:p w:rsidR="006908DB" w:rsidRPr="00AF42A7" w:rsidP="00AA52EA" w14:paraId="305D88AC" w14:textId="72CB4A79">
      <w:pPr>
        <w:pStyle w:val="FootnoteText"/>
      </w:pPr>
      <w:r w:rsidRPr="00A70EC8">
        <w:rPr>
          <w:rStyle w:val="FootnoteReference"/>
        </w:rPr>
        <w:footnoteRef/>
      </w:r>
      <w:r w:rsidRPr="00A70EC8">
        <w:t xml:space="preserve"> Crown Castle Comments at 5; </w:t>
      </w:r>
      <w:r w:rsidRPr="00A70EC8">
        <w:rPr>
          <w:i/>
          <w:iCs/>
        </w:rPr>
        <w:t xml:space="preserve">see also </w:t>
      </w:r>
      <w:r w:rsidRPr="007C6360">
        <w:t>WIA Comments at 5 (“[T]he record demonstrates that ma</w:t>
      </w:r>
      <w:r w:rsidRPr="00AF42A7">
        <w:t>ny existing towers were built with the intention of supporting only the operations of a single carrier.”); CTIA Comments at 3 (“Many towers and tower sites were initially designed years or even decades ago to hold a single wireless provider’s antennas and supporting ground equipment.”).</w:t>
      </w:r>
    </w:p>
  </w:footnote>
  <w:footnote w:id="49">
    <w:p w:rsidR="006908DB" w:rsidRPr="00AF42A7" w:rsidP="00AA52EA" w14:paraId="0F50ED81" w14:textId="2650010E">
      <w:pPr>
        <w:pStyle w:val="FootnoteText"/>
      </w:pPr>
      <w:r w:rsidRPr="00A70EC8">
        <w:rPr>
          <w:rStyle w:val="FootnoteReference"/>
        </w:rPr>
        <w:footnoteRef/>
      </w:r>
      <w:r w:rsidRPr="00A70EC8">
        <w:t xml:space="preserve"> </w:t>
      </w:r>
      <w:r w:rsidRPr="00A70EC8">
        <w:rPr>
          <w:i/>
          <w:iCs/>
        </w:rPr>
        <w:t>See, e.g.</w:t>
      </w:r>
      <w:r w:rsidRPr="007C6360">
        <w:t xml:space="preserve">, Crown Castle Comments at 5 (“[A]s a result of successful collocation policies by the Commission as well as state and local governments, </w:t>
      </w:r>
      <w:bookmarkStart w:id="15" w:name="_Hlk52102218"/>
      <w:r w:rsidRPr="007C6360">
        <w:t>available space surrounding a tower for ground-mounted equipment has been u</w:t>
      </w:r>
      <w:r w:rsidRPr="00AF42A7">
        <w:t>sed or diminished</w:t>
      </w:r>
      <w:bookmarkEnd w:id="15"/>
      <w:r w:rsidRPr="00AF42A7">
        <w:t>.  As a result, existing sites are often not well-suited to meet current network needs and thus cannot support collocation.”) (citations omitted); WIA Comments at 5-6 (“As collocations increased, minimizing the need for new tower construction, many towers now support antennas from multiple wireless carriers.  However, the potential for additional collocations on such towers is limited because equipment cabinets or shelters originally built at the sites often are full.  In many cases, space no longer exists at the original sites to support the installation of additional equipment cabinets or shelters that a new tenant-carrier would require.”); American Tower Corp. Comments at 5 (“[A]</w:t>
      </w:r>
      <w:r w:rsidRPr="00AF42A7">
        <w:t>dding</w:t>
      </w:r>
      <w:r w:rsidRPr="00AF42A7">
        <w:t xml:space="preserve"> new carrier equipment to existing towers often requires adding additional ground equipment inside the compound, which can require slight expansion of the tower site to accommodate the ground installation.”); Letter from Sarah </w:t>
      </w:r>
      <w:r w:rsidRPr="00AF42A7">
        <w:t>Leggin</w:t>
      </w:r>
      <w:r w:rsidRPr="00AF42A7">
        <w:t>, CTIA, to Marlene Dortch, Secretary, FCC, WT Docket No. 19-250, at 2 (filed Oct. 16, 2020) (“As CTIA and others explained in the record in this proceeding, many of today’s towers already house multiple operators’ antennas and other transmission equipment, and in many cases, the ground space that was once available at those tower sites has been filled.”).</w:t>
      </w:r>
    </w:p>
  </w:footnote>
  <w:footnote w:id="50">
    <w:p w:rsidR="006908DB" w:rsidRPr="00AF42A7" w:rsidP="00AA52EA" w14:paraId="2EB41820" w14:textId="7031F495">
      <w:pPr>
        <w:pStyle w:val="FootnoteText"/>
      </w:pPr>
      <w:r w:rsidRPr="00A70EC8">
        <w:rPr>
          <w:rStyle w:val="FootnoteReference"/>
        </w:rPr>
        <w:footnoteRef/>
      </w:r>
      <w:r w:rsidRPr="00A70EC8">
        <w:t xml:space="preserve"> CTIA Comments at 3-4 (“[H]</w:t>
      </w:r>
      <w:r w:rsidRPr="00A70EC8">
        <w:t>osting</w:t>
      </w:r>
      <w:r w:rsidRPr="00A70EC8">
        <w:t xml:space="preserve"> multiple service providers at one tower site requires the addition of more equipment at that site, including additional equipment shelters, equipment cabinets, base station equipment, HVAC, and more.  </w:t>
      </w:r>
      <w:r w:rsidRPr="007C6360">
        <w:t xml:space="preserve">That, in turn, </w:t>
      </w:r>
      <w:r w:rsidRPr="00AF42A7">
        <w:t>requires more land around the base of the tower to locate equipment.  Even basic customer equipment and backup power require some additional space.  In addition, the transition of networks to newer generations means that more than one generation of equipment may be located at a site as providers phase out older equipment.”); American Tower Corp. Comments at 5 (“The lack of available space, and associated hurdles related to permitting new ground space, may deter operators from deploying backup power solutions in advance of events that may cause network outages.”).</w:t>
      </w:r>
    </w:p>
  </w:footnote>
  <w:footnote w:id="51">
    <w:p w:rsidR="006908DB" w:rsidRPr="00A70EC8" w:rsidP="00AA52EA" w14:paraId="4E0E482F" w14:textId="77777777">
      <w:pPr>
        <w:pStyle w:val="FootnoteText"/>
      </w:pPr>
      <w:r w:rsidRPr="00A70EC8">
        <w:rPr>
          <w:rStyle w:val="FootnoteReference"/>
        </w:rPr>
        <w:footnoteRef/>
      </w:r>
      <w:r w:rsidRPr="00A70EC8">
        <w:t xml:space="preserve"> NTCA Comments at 3.</w:t>
      </w:r>
    </w:p>
  </w:footnote>
  <w:footnote w:id="52">
    <w:p w:rsidR="006908DB" w:rsidRPr="00AF42A7" w:rsidP="00AA52EA" w14:paraId="14F414A2" w14:textId="01E12851">
      <w:pPr>
        <w:pStyle w:val="FootnoteText"/>
      </w:pPr>
      <w:r w:rsidRPr="00A70EC8">
        <w:rPr>
          <w:rStyle w:val="FootnoteReference"/>
        </w:rPr>
        <w:footnoteRef/>
      </w:r>
      <w:r w:rsidRPr="00A70EC8">
        <w:t xml:space="preserve"> </w:t>
      </w:r>
      <w:r w:rsidRPr="00A70EC8">
        <w:rPr>
          <w:i/>
          <w:iCs/>
        </w:rPr>
        <w:t>See, e.g.</w:t>
      </w:r>
      <w:r w:rsidRPr="007C6360">
        <w:t>, CTIA Comments at 4 (“5G networks use Multi-access Edge Computing (‘MEC’) equipment, which needs to be located closer to end users rather tha</w:t>
      </w:r>
      <w:r w:rsidRPr="00AF42A7">
        <w:t xml:space="preserve">n at network hubs. As a practical matter, this requires installing MEC equipment at antenna sites. Again, however, there can be insufficient ground space to install MEC equipment. As 5G networks continue to be deployed, more sites will need additional space for MEC equipment or other technologies.”) (footnote omitted); WIA Reply Comments at 10-11 (“The proposed rule changes will promote [] technological advances and better service because . . . many tower sites no longer have the physical space to accommodate these MECs.”).  Multi-access edge computing, whose proximity to the end users provides low latency for data-intensive applications, will further enable faster and more reliable wireless connectivity.  </w:t>
      </w:r>
      <w:r w:rsidRPr="00AF42A7">
        <w:rPr>
          <w:i/>
          <w:iCs/>
        </w:rPr>
        <w:t>See, e.g.</w:t>
      </w:r>
      <w:r w:rsidRPr="00AF42A7">
        <w:t xml:space="preserve">, Monica </w:t>
      </w:r>
      <w:r w:rsidRPr="00AF42A7">
        <w:t>Alleven</w:t>
      </w:r>
      <w:r w:rsidRPr="00AF42A7">
        <w:t xml:space="preserve">, </w:t>
      </w:r>
      <w:r w:rsidRPr="00AF42A7">
        <w:rPr>
          <w:i/>
          <w:iCs/>
        </w:rPr>
        <w:t>Verizon’s MEC Gear Gives it an ‘Edge’ in Latency</w:t>
      </w:r>
      <w:r w:rsidRPr="00AF42A7">
        <w:t>, Fierce Wireless (Feb. 4, 2019), https://</w:t>
      </w:r>
      <w:r w:rsidRPr="00AF42A7">
        <w:br/>
        <w:t xml:space="preserve">www.fiercewireless.com/wireless/verizon-s-mec-gear-gives-it-edge-latency (describing how Verizon achieved “significantly better” latency with MEC equipment than what it could have done otherwise); Scott Fulton III, </w:t>
      </w:r>
      <w:r w:rsidRPr="00AF42A7">
        <w:rPr>
          <w:i/>
          <w:iCs/>
        </w:rPr>
        <w:t>5G Reinvented: The Longer, Rougher Road towards Ubiquity</w:t>
      </w:r>
      <w:r w:rsidRPr="00AF42A7">
        <w:t>, ZDNet (July 3, 2020), https://www.zdnet.com/</w:t>
      </w:r>
      <w:r w:rsidRPr="00AF42A7">
        <w:br/>
        <w:t xml:space="preserve">article/5g-reinvented-the-longer-rougher-road-toward-ubiquity/ (describing how MEC is the “key 5G portfolio technology for bringing about” 5G deployment). </w:t>
      </w:r>
    </w:p>
  </w:footnote>
  <w:footnote w:id="53">
    <w:p w:rsidR="006908DB" w:rsidRPr="00AF42A7" w14:paraId="2F4D4921" w14:textId="754E14B3">
      <w:pPr>
        <w:pStyle w:val="FootnoteText"/>
      </w:pPr>
      <w:r w:rsidRPr="00A70EC8">
        <w:rPr>
          <w:rStyle w:val="FootnoteReference"/>
        </w:rPr>
        <w:footnoteRef/>
      </w:r>
      <w:r w:rsidRPr="00A70EC8">
        <w:t xml:space="preserve"> Letter from Colleen Thompson, AT&amp;T Services, Inc., to Marlene Dortch, Secretary, FCC, WT Docket No. 19-250</w:t>
      </w:r>
      <w:r w:rsidRPr="00AF42A7">
        <w:t xml:space="preserve">, at 1 (filed Oct. 16, 2020) (stating that the </w:t>
      </w:r>
      <w:r w:rsidRPr="00AF42A7">
        <w:rPr>
          <w:i/>
          <w:iCs/>
        </w:rPr>
        <w:t xml:space="preserve">Report and Order </w:t>
      </w:r>
      <w:r w:rsidRPr="00AF42A7">
        <w:t>will remove potential delays for minor equipment additions).</w:t>
      </w:r>
    </w:p>
  </w:footnote>
  <w:footnote w:id="54">
    <w:p w:rsidR="006908DB" w:rsidRPr="00AF42A7" w:rsidP="00FC1227" w14:paraId="2737496A" w14:textId="04D8AE8F">
      <w:pPr>
        <w:pStyle w:val="FootnoteText"/>
      </w:pPr>
      <w:r w:rsidRPr="00A70EC8">
        <w:rPr>
          <w:rStyle w:val="FootnoteReference"/>
        </w:rPr>
        <w:footnoteRef/>
      </w:r>
      <w:r w:rsidRPr="00A70EC8">
        <w:t xml:space="preserve"> Letter from John Howes, WIA, to Marlene Dortch, Secretary, FCC, WT Docket No. 19-250, at 2 (filed Oct. 19, 2020) (WIA Oct. 19 </w:t>
      </w:r>
      <w:r w:rsidRPr="00AF42A7">
        <w:rPr>
          <w:i/>
          <w:iCs/>
        </w:rPr>
        <w:t xml:space="preserve">Ex Parte </w:t>
      </w:r>
      <w:r w:rsidRPr="00AF42A7">
        <w:t xml:space="preserve">Letter). </w:t>
      </w:r>
    </w:p>
  </w:footnote>
  <w:footnote w:id="55">
    <w:p w:rsidR="006908DB" w:rsidRPr="00AF42A7" w14:paraId="06E25F68" w14:textId="7E764FB0">
      <w:pPr>
        <w:pStyle w:val="FootnoteText"/>
      </w:pPr>
      <w:r w:rsidRPr="00A70EC8">
        <w:rPr>
          <w:rStyle w:val="FootnoteReference"/>
        </w:rPr>
        <w:footnoteRef/>
      </w:r>
      <w:r w:rsidRPr="00A70EC8">
        <w:t xml:space="preserve"> </w:t>
      </w:r>
      <w:r w:rsidRPr="00A70EC8">
        <w:rPr>
          <w:i/>
          <w:iCs/>
        </w:rPr>
        <w:t xml:space="preserve">See </w:t>
      </w:r>
      <w:r w:rsidRPr="007C6360">
        <w:t xml:space="preserve">Crown Castle Oct. 20 </w:t>
      </w:r>
      <w:r w:rsidRPr="00AF42A7">
        <w:rPr>
          <w:i/>
          <w:iCs/>
        </w:rPr>
        <w:t xml:space="preserve">Ex Parte </w:t>
      </w:r>
      <w:r w:rsidRPr="00AF42A7">
        <w:t>Letter at 2 (stating that harmonization of the Collocation NPA and compound expansion rules will increase operators’ deployment efficiency).</w:t>
      </w:r>
    </w:p>
  </w:footnote>
  <w:footnote w:id="56">
    <w:p w:rsidR="006908DB" w:rsidRPr="00AF42A7" w:rsidP="00B8258A" w14:paraId="21E74DEC" w14:textId="687E36B2">
      <w:pPr>
        <w:pStyle w:val="FootnoteText"/>
      </w:pPr>
      <w:r w:rsidRPr="00A70EC8">
        <w:rPr>
          <w:rStyle w:val="FootnoteReference"/>
        </w:rPr>
        <w:footnoteRef/>
      </w:r>
      <w:r w:rsidRPr="00A70EC8">
        <w:t xml:space="preserve"> Crown Castle Comments at 7; </w:t>
      </w:r>
      <w:r w:rsidRPr="007C6360">
        <w:rPr>
          <w:i/>
          <w:iCs/>
        </w:rPr>
        <w:t xml:space="preserve">see also </w:t>
      </w:r>
      <w:r w:rsidRPr="00AF42A7">
        <w:t xml:space="preserve">Letter from Steven </w:t>
      </w:r>
      <w:r w:rsidRPr="00AF42A7">
        <w:t>Vondran</w:t>
      </w:r>
      <w:r w:rsidRPr="00AF42A7">
        <w:t xml:space="preserve">, American Tower Corp., to Marlene Dortch, Secretary, FCC, WT Docket No. 19-250, at 1.  </w:t>
      </w:r>
    </w:p>
  </w:footnote>
  <w:footnote w:id="57">
    <w:p w:rsidR="006908DB" w:rsidRPr="00AF42A7" w:rsidP="00757154" w14:paraId="41A50CE8" w14:textId="664532DA">
      <w:pPr>
        <w:pStyle w:val="FootnoteText"/>
        <w:rPr>
          <w:i/>
          <w:iCs/>
        </w:rPr>
      </w:pPr>
      <w:r w:rsidRPr="00A70EC8">
        <w:rPr>
          <w:rStyle w:val="FootnoteReference"/>
        </w:rPr>
        <w:footnoteRef/>
      </w:r>
      <w:r w:rsidRPr="00A70EC8">
        <w:t xml:space="preserve"> WIA Comments at 6 (footnote omitted); </w:t>
      </w:r>
      <w:r w:rsidRPr="007C6360">
        <w:rPr>
          <w:i/>
          <w:iCs/>
        </w:rPr>
        <w:t xml:space="preserve">see also </w:t>
      </w:r>
      <w:r w:rsidRPr="00AF42A7">
        <w:t>American Tower Corp. Comments at 5-6 (“Allowing the limited compound expansion proposed in this [</w:t>
      </w:r>
      <w:r w:rsidRPr="00AF42A7">
        <w:rPr>
          <w:i/>
          <w:iCs/>
        </w:rPr>
        <w:t>Notice</w:t>
      </w:r>
      <w:r w:rsidRPr="00AF42A7">
        <w:t xml:space="preserve">] would serve the public interest by helping to streamline siting of backup power equipment to create more resilient infrastructure.”); </w:t>
      </w:r>
      <w:r w:rsidRPr="00AF42A7">
        <w:rPr>
          <w:i/>
          <w:iCs/>
        </w:rPr>
        <w:t xml:space="preserve">see also </w:t>
      </w:r>
      <w:r w:rsidRPr="00AF42A7">
        <w:t xml:space="preserve">WIA Oct. 19 </w:t>
      </w:r>
      <w:r w:rsidRPr="00AF42A7">
        <w:rPr>
          <w:i/>
          <w:iCs/>
        </w:rPr>
        <w:t xml:space="preserve">Ex Parte </w:t>
      </w:r>
      <w:r w:rsidRPr="00AF42A7">
        <w:t>Letter at 2 (explaining that providers are using ground equipment to support “carrier collocation and generators for backup power”).</w:t>
      </w:r>
    </w:p>
  </w:footnote>
  <w:footnote w:id="58">
    <w:p w:rsidR="006908DB" w:rsidRPr="00AF42A7" w:rsidP="00757154" w14:paraId="73ED06A1" w14:textId="45EB85B2">
      <w:pPr>
        <w:pStyle w:val="FootnoteText"/>
      </w:pPr>
      <w:r w:rsidRPr="00A70EC8">
        <w:rPr>
          <w:rStyle w:val="FootnoteReference"/>
        </w:rPr>
        <w:footnoteRef/>
      </w:r>
      <w:r w:rsidRPr="00A70EC8">
        <w:t xml:space="preserve"> 47 U.S.C. § 1426(b)(1) (“[FirstNet] shall . . . </w:t>
      </w:r>
      <w:r w:rsidRPr="007C6360">
        <w:t>take all</w:t>
      </w:r>
      <w:r w:rsidRPr="00AF42A7">
        <w:t xml:space="preserve"> actions necessary to ensure the building, deployment, and operation of the nationwide public safety broadband network,” “including by, at a minimum . . . issuing open, transparent, and competitive requests for proposals to private sector entities for the purposes of building, operating, and maintaining the network” and “encouraging that such requests leverage, to the maximum extent economically desirable, existing commercial wireless infrastructure to speed deployment of the network . . . .”). </w:t>
      </w:r>
    </w:p>
  </w:footnote>
  <w:footnote w:id="59">
    <w:p w:rsidR="006908DB" w:rsidRPr="00AF42A7" w:rsidP="00757154" w14:paraId="67245356" w14:textId="7774D5ED">
      <w:pPr>
        <w:pStyle w:val="FootnoteText"/>
      </w:pPr>
      <w:r w:rsidRPr="00A70EC8">
        <w:rPr>
          <w:rStyle w:val="FootnoteReference"/>
        </w:rPr>
        <w:footnoteRef/>
      </w:r>
      <w:r w:rsidRPr="00A70EC8">
        <w:t xml:space="preserve"> AT&amp;T Repl</w:t>
      </w:r>
      <w:r w:rsidRPr="007C6360">
        <w:t xml:space="preserve">y </w:t>
      </w:r>
      <w:r w:rsidRPr="00AF42A7">
        <w:t>Comments at 5;</w:t>
      </w:r>
      <w:r w:rsidRPr="00AF42A7">
        <w:rPr>
          <w:i/>
          <w:iCs/>
        </w:rPr>
        <w:t xml:space="preserve"> see also</w:t>
      </w:r>
      <w:r w:rsidRPr="00AF42A7">
        <w:t xml:space="preserve"> WIA Reply Comments at 13-14 (“Allowing limited compound expansions to be included as a beneficiary of [s]</w:t>
      </w:r>
      <w:r w:rsidRPr="00AF42A7">
        <w:t>ection</w:t>
      </w:r>
      <w:r w:rsidRPr="00AF42A7">
        <w:t xml:space="preserve"> 6409 relief will help FirstNet and other public safety services to upgrade their operations.  First responders are increasingly using mobile applications for search and rescue operations, personnel and asset tracking, drones, mapping and location accuracy, weather tracking, and real-time analytics that all require high capacity, low latency connections.  By allowing for more space at the tower site, FirstNet and other public safety services can put in place the additional equipment to process the data necessary for their mission-critical operations.”)</w:t>
      </w:r>
    </w:p>
  </w:footnote>
  <w:footnote w:id="60">
    <w:p w:rsidR="006908DB" w:rsidRPr="00AF42A7" w:rsidP="007B43B9" w14:paraId="1DB223CE" w14:textId="2344E597">
      <w:pPr>
        <w:pStyle w:val="FootnoteText"/>
      </w:pPr>
      <w:r w:rsidRPr="00A70EC8">
        <w:rPr>
          <w:rStyle w:val="FootnoteReference"/>
        </w:rPr>
        <w:footnoteRef/>
      </w:r>
      <w:r w:rsidRPr="00A70EC8">
        <w:t xml:space="preserve"> </w:t>
      </w:r>
      <w:r>
        <w:t>We thus disagree with the</w:t>
      </w:r>
      <w:r w:rsidRPr="00A70EC8">
        <w:t xml:space="preserve"> Virginia Localities</w:t>
      </w:r>
      <w:r>
        <w:t>, which</w:t>
      </w:r>
      <w:r w:rsidRPr="00A70EC8">
        <w:t xml:space="preserve"> claim that “neither the [</w:t>
      </w:r>
      <w:r w:rsidRPr="007C6360">
        <w:rPr>
          <w:i/>
        </w:rPr>
        <w:t>Notice</w:t>
      </w:r>
      <w:r w:rsidRPr="00AF42A7">
        <w:t xml:space="preserve">] nor any commenter has explained why 30 feet is the appropriate distance for meeting the stated needs of the wireless industry in this context.”  Virginia Localities at 14.  And </w:t>
      </w:r>
      <w:r>
        <w:t xml:space="preserve">we disagree with the </w:t>
      </w:r>
      <w:r w:rsidRPr="00AF42A7">
        <w:t>Western Communities Coalition</w:t>
      </w:r>
      <w:r>
        <w:t>, which</w:t>
      </w:r>
      <w:r w:rsidRPr="00AF42A7">
        <w:t xml:space="preserve"> claims that “the record contains no evidence that ties the 30-foot compound expansion to the size needed to accommodate a collocation,” and that the “industry’s broad claims that space at existing sites is running out cannot be enough to conclude that 30 feet is the right number.”  Western Communities Coalition at 7 (footnote omitted).</w:t>
      </w:r>
    </w:p>
  </w:footnote>
  <w:footnote w:id="61">
    <w:p w:rsidR="006908DB" w:rsidRPr="00AF42A7" w:rsidP="007B43B9" w14:paraId="4E75E289" w14:textId="5521E528">
      <w:pPr>
        <w:pStyle w:val="FootnoteText"/>
      </w:pPr>
      <w:r w:rsidRPr="00A70EC8">
        <w:rPr>
          <w:rStyle w:val="FootnoteReference"/>
        </w:rPr>
        <w:footnoteRef/>
      </w:r>
      <w:r w:rsidRPr="00A70EC8">
        <w:t xml:space="preserve"> </w:t>
      </w:r>
      <w:r w:rsidRPr="007C6360">
        <w:rPr>
          <w:i/>
          <w:iCs/>
        </w:rPr>
        <w:t>Montgomery County, Md. v. FCC</w:t>
      </w:r>
      <w:r w:rsidRPr="00AF42A7">
        <w:t>, 811 F.3d at 130;</w:t>
      </w:r>
      <w:r w:rsidRPr="00AF42A7">
        <w:rPr>
          <w:i/>
          <w:iCs/>
        </w:rPr>
        <w:t xml:space="preserve"> see also id. </w:t>
      </w:r>
      <w:r w:rsidRPr="00AF42A7">
        <w:t>at 131 n.8 (recognizing that the Commission based its standards on the two NPAs).</w:t>
      </w:r>
    </w:p>
  </w:footnote>
  <w:footnote w:id="62">
    <w:p w:rsidR="006908DB" w:rsidRPr="00AF42A7" w:rsidP="00DD4A38" w14:paraId="4977000D" w14:textId="77777777">
      <w:pPr>
        <w:pStyle w:val="FootnoteText"/>
      </w:pPr>
      <w:r w:rsidRPr="00A70EC8">
        <w:rPr>
          <w:rStyle w:val="FootnoteReference"/>
        </w:rPr>
        <w:footnoteRef/>
      </w:r>
      <w:r w:rsidRPr="00A70EC8">
        <w:t xml:space="preserve"> </w:t>
      </w:r>
      <w:r w:rsidRPr="007C6360">
        <w:rPr>
          <w:i/>
          <w:iCs/>
        </w:rPr>
        <w:t>2014 Infrastructure Order</w:t>
      </w:r>
      <w:r w:rsidRPr="00AF42A7">
        <w:t xml:space="preserve">, 29 FCC </w:t>
      </w:r>
      <w:r w:rsidRPr="00AF42A7">
        <w:t>Rcd</w:t>
      </w:r>
      <w:r w:rsidRPr="00AF42A7">
        <w:t xml:space="preserve"> at 12945, para. 189.</w:t>
      </w:r>
    </w:p>
  </w:footnote>
  <w:footnote w:id="63">
    <w:p w:rsidR="006908DB" w:rsidRPr="00AF42A7" w:rsidP="002E3950" w14:paraId="422397DB" w14:textId="297BCBC4">
      <w:pPr>
        <w:pStyle w:val="FootnoteText"/>
      </w:pPr>
      <w:r w:rsidRPr="00A70EC8">
        <w:rPr>
          <w:rStyle w:val="FootnoteReference"/>
        </w:rPr>
        <w:footnoteRef/>
      </w:r>
      <w:r w:rsidRPr="00A70EC8">
        <w:t xml:space="preserve"> Crown Castle Oct. 20 </w:t>
      </w:r>
      <w:r w:rsidRPr="007C6360">
        <w:rPr>
          <w:i/>
          <w:iCs/>
        </w:rPr>
        <w:t xml:space="preserve">Ex Parte </w:t>
      </w:r>
      <w:r w:rsidRPr="00AF42A7">
        <w:t xml:space="preserve">Letter at 2 (citing Crown Castle Reply Comments, Exhibit A). </w:t>
      </w:r>
    </w:p>
  </w:footnote>
  <w:footnote w:id="64">
    <w:p w:rsidR="006908DB" w:rsidRPr="00AF42A7" w14:paraId="5EA472AA" w14:textId="4EDF4933">
      <w:pPr>
        <w:pStyle w:val="FootnoteText"/>
      </w:pPr>
      <w:r w:rsidRPr="00A70EC8">
        <w:rPr>
          <w:rStyle w:val="FootnoteReference"/>
        </w:rPr>
        <w:footnoteRef/>
      </w:r>
      <w:r w:rsidRPr="00A70EC8">
        <w:t xml:space="preserve"> Crown Castle Reply Comments at 5-6</w:t>
      </w:r>
      <w:r w:rsidRPr="007C6360">
        <w:t xml:space="preserve"> &amp; Exhibit A.</w:t>
      </w:r>
    </w:p>
  </w:footnote>
  <w:footnote w:id="65">
    <w:p w:rsidR="006908DB" w:rsidRPr="00AF42A7" w14:paraId="04961C3C" w14:textId="0D44F99E">
      <w:pPr>
        <w:pStyle w:val="FootnoteText"/>
      </w:pPr>
      <w:r w:rsidRPr="00A70EC8">
        <w:rPr>
          <w:rStyle w:val="FootnoteReference"/>
        </w:rPr>
        <w:footnoteRef/>
      </w:r>
      <w:r w:rsidRPr="00A70EC8">
        <w:t xml:space="preserve"> </w:t>
      </w:r>
      <w:r w:rsidRPr="007C6360">
        <w:rPr>
          <w:i/>
          <w:iCs/>
        </w:rPr>
        <w:t>Id.</w:t>
      </w:r>
      <w:r w:rsidRPr="00AF42A7">
        <w:rPr>
          <w:i/>
        </w:rPr>
        <w:t xml:space="preserve"> </w:t>
      </w:r>
      <w:r w:rsidRPr="00AF42A7">
        <w:t>at 8.</w:t>
      </w:r>
    </w:p>
  </w:footnote>
  <w:footnote w:id="66">
    <w:p w:rsidR="006908DB" w:rsidRPr="00A70EC8" w:rsidP="006A3E11" w14:paraId="43F58271" w14:textId="08E2D52E">
      <w:pPr>
        <w:pStyle w:val="FootnoteText"/>
      </w:pPr>
      <w:r w:rsidRPr="00A70EC8">
        <w:rPr>
          <w:rStyle w:val="FootnoteReference"/>
        </w:rPr>
        <w:footnoteRef/>
      </w:r>
      <w:r w:rsidRPr="00AF42A7">
        <w:t xml:space="preserve"> </w:t>
      </w:r>
      <w:r w:rsidRPr="00AF42A7">
        <w:rPr>
          <w:i/>
          <w:iCs/>
        </w:rPr>
        <w:t>See, e.g.</w:t>
      </w:r>
      <w:r w:rsidRPr="00AF42A7">
        <w:t>, Local Government Comments at 13 (“Local Governments have made clear that the Commission lacks the delegated authority to expand the site and moreover, the proposal further fails to meet the substantiality test of the statute.”); NATOA Reply Comments at 12 (“Whatever superficial appeal there might be to a ‘simple’ expansion up to thirty feet outside the site, the on-the-ground realities are far more complex and not amenable to the streamlined and rigid [s]</w:t>
      </w:r>
      <w:r w:rsidRPr="00AF42A7">
        <w:t>ection</w:t>
      </w:r>
      <w:r w:rsidRPr="00AF42A7">
        <w:t xml:space="preserve"> 6409(a) process.”); Western Communities Coalition Comments at 15 (“[T]he Commission lacks both the statutory authority and a basis in the record to adopt the proposed change to [s]</w:t>
      </w:r>
      <w:r w:rsidRPr="00AF42A7">
        <w:t>ection</w:t>
      </w:r>
      <w:r w:rsidRPr="00AF42A7">
        <w:t xml:space="preserve"> 1.6100(b)(7)(iv).”).</w:t>
      </w:r>
      <w:r w:rsidR="002E265A">
        <w:t xml:space="preserve">  </w:t>
      </w:r>
      <w:r w:rsidRPr="002E265A" w:rsidR="002E265A">
        <w:t>To the extent that the localities</w:t>
      </w:r>
      <w:r w:rsidR="002E265A">
        <w:t>’</w:t>
      </w:r>
      <w:r w:rsidRPr="002E265A" w:rsidR="002E265A">
        <w:t xml:space="preserve"> opposition to our decision rests on the notion that an expansion is only permitted if it involves deployment on the existing tower as opposed to within the site around the tower, we reject that argument.  The 2014 rules already permit streamlined treatment of deployments around the tower as long as such deployments stay within the current boundaries of the leased or owned property surrounding the tower and any access or utility easements currently related to the site.  </w:t>
      </w:r>
      <w:r w:rsidRPr="002E265A" w:rsidR="002E265A">
        <w:rPr>
          <w:i/>
          <w:iCs/>
        </w:rPr>
        <w:t>See, e.g.</w:t>
      </w:r>
      <w:r w:rsidRPr="002E265A" w:rsidR="002E265A">
        <w:t xml:space="preserve">, 2014 Infrastructure Order, 29 FCC </w:t>
      </w:r>
      <w:r w:rsidRPr="002E265A" w:rsidR="002E265A">
        <w:t>Rcd</w:t>
      </w:r>
      <w:r w:rsidRPr="002E265A" w:rsidR="002E265A">
        <w:t xml:space="preserve"> at 12949, para. 198; 47 CFR § 1.6100(b)(6).  As discussed below, the permissible modifications under our new rules would relate only to equipment that “facilitates transmission for any Commission-licensed or authorized wireless communication service” from the existing tower, consistent with the statute and definitions in Section 1.6100. </w:t>
      </w:r>
      <w:r w:rsidR="002E265A">
        <w:t xml:space="preserve"> </w:t>
      </w:r>
      <w:r w:rsidRPr="002E265A" w:rsidR="002E265A">
        <w:rPr>
          <w:i/>
          <w:iCs/>
        </w:rPr>
        <w:t>See</w:t>
      </w:r>
      <w:r w:rsidRPr="002E265A" w:rsidR="002E265A">
        <w:t xml:space="preserve"> 47 CFR § 1.6100(b)(8) (defining “transmission equipment”).  </w:t>
      </w:r>
      <w:r w:rsidRPr="0087774B" w:rsidR="0087774B">
        <w:t xml:space="preserve">Accordingly, the deployment of such equipment would clearly impact the equipment touching that structure. </w:t>
      </w:r>
      <w:r w:rsidR="0087774B">
        <w:t xml:space="preserve"> </w:t>
      </w:r>
      <w:r w:rsidRPr="002E265A" w:rsidR="002E265A">
        <w:t>It is thus more than reasonable for the Commission to rely on its statutory authority to classify such deployment as a modification of that tower and to expand the surrounding area to accommodate such deployment.</w:t>
      </w:r>
    </w:p>
  </w:footnote>
  <w:footnote w:id="67">
    <w:p w:rsidR="006908DB" w:rsidRPr="00AF42A7" w:rsidP="00F428E3" w14:paraId="7E07997E" w14:textId="3AAA6C1E">
      <w:pPr>
        <w:pStyle w:val="FootnoteText"/>
      </w:pPr>
      <w:r w:rsidRPr="00A70EC8">
        <w:rPr>
          <w:rStyle w:val="FootnoteReference"/>
        </w:rPr>
        <w:footnoteRef/>
      </w:r>
      <w:r w:rsidRPr="00A70EC8">
        <w:t xml:space="preserve"> Letter from Nancy Werner, NATOA, to Marlene Dortch, S</w:t>
      </w:r>
      <w:r w:rsidRPr="007C6360">
        <w:t xml:space="preserve">ecretary, FCC, WT Docket No. 19-250, at 2 (filed Oct. 19, 2020) (NATOA Oct. 19 </w:t>
      </w:r>
      <w:r w:rsidRPr="00AF42A7">
        <w:rPr>
          <w:i/>
          <w:iCs/>
        </w:rPr>
        <w:t xml:space="preserve">Ex Parte </w:t>
      </w:r>
      <w:r w:rsidRPr="00AF42A7">
        <w:t>Letter).</w:t>
      </w:r>
    </w:p>
  </w:footnote>
  <w:footnote w:id="68">
    <w:p w:rsidR="006908DB" w:rsidRPr="00AF42A7" w14:paraId="1DAE4E1F" w14:textId="595BBB25">
      <w:pPr>
        <w:pStyle w:val="FootnoteText"/>
      </w:pPr>
      <w:r w:rsidRPr="00A70EC8">
        <w:rPr>
          <w:rStyle w:val="FootnoteReference"/>
        </w:rPr>
        <w:footnoteRef/>
      </w:r>
      <w:r w:rsidRPr="00A70EC8">
        <w:t xml:space="preserve"> </w:t>
      </w:r>
      <w:r w:rsidRPr="007C6360">
        <w:rPr>
          <w:i/>
        </w:rPr>
        <w:t>See</w:t>
      </w:r>
      <w:r w:rsidRPr="00AF42A7">
        <w:t xml:space="preserve"> 47 CFR § 1.6100(b)(3) (defining eligible facilities request); 47 CFR § 1.6100(b)(8) (defining transmission equipment).</w:t>
      </w:r>
    </w:p>
  </w:footnote>
  <w:footnote w:id="69">
    <w:p w:rsidR="006908DB" w:rsidRPr="00AF42A7" w:rsidP="00EC580C" w14:paraId="3D4CD1F3" w14:textId="77777777">
      <w:pPr>
        <w:pStyle w:val="FootnoteText"/>
      </w:pPr>
      <w:r w:rsidRPr="00A70EC8">
        <w:rPr>
          <w:rStyle w:val="FootnoteReference"/>
        </w:rPr>
        <w:footnoteRef/>
      </w:r>
      <w:r w:rsidRPr="00A70EC8">
        <w:t xml:space="preserve"> NATOA Oct. 19 </w:t>
      </w:r>
      <w:r w:rsidRPr="007C6360">
        <w:rPr>
          <w:i/>
          <w:iCs/>
        </w:rPr>
        <w:t xml:space="preserve">Ex Parte </w:t>
      </w:r>
      <w:r w:rsidRPr="00AF42A7">
        <w:t>Letter at 2.</w:t>
      </w:r>
    </w:p>
  </w:footnote>
  <w:footnote w:id="70">
    <w:p w:rsidR="006908DB" w:rsidRPr="00AF42A7" w14:paraId="6FD4946B" w14:textId="0C674097">
      <w:pPr>
        <w:pStyle w:val="FootnoteText"/>
      </w:pPr>
      <w:r w:rsidRPr="00A70EC8">
        <w:rPr>
          <w:rStyle w:val="FootnoteReference"/>
        </w:rPr>
        <w:footnoteRef/>
      </w:r>
      <w:r w:rsidRPr="00A70EC8">
        <w:t xml:space="preserve"> </w:t>
      </w:r>
      <w:r w:rsidRPr="007C6360">
        <w:rPr>
          <w:i/>
          <w:iCs/>
        </w:rPr>
        <w:t>See</w:t>
      </w:r>
      <w:r w:rsidRPr="00AF42A7">
        <w:t xml:space="preserve"> 47 CFR § 1.6100(b)(6).</w:t>
      </w:r>
    </w:p>
  </w:footnote>
  <w:footnote w:id="71">
    <w:p w:rsidR="006908DB" w:rsidRPr="00AF42A7" w14:paraId="13E851D0" w14:textId="5B18959A">
      <w:pPr>
        <w:pStyle w:val="FootnoteText"/>
      </w:pPr>
      <w:r w:rsidRPr="00A70EC8">
        <w:rPr>
          <w:rStyle w:val="FootnoteReference"/>
        </w:rPr>
        <w:footnoteRef/>
      </w:r>
      <w:r w:rsidRPr="00A70EC8">
        <w:t xml:space="preserve"> NATOA Oct. 19 </w:t>
      </w:r>
      <w:r w:rsidRPr="007C6360">
        <w:rPr>
          <w:i/>
          <w:iCs/>
        </w:rPr>
        <w:t xml:space="preserve">Ex Parte </w:t>
      </w:r>
      <w:r w:rsidRPr="00AF42A7">
        <w:t>Letter at 2 (requesting that the transmission equipment in the compound expansion “is no larger in height or volume than the largest ground-mounted transmission equipment and the equipment cabinet in which it is enclosed located on the current site”).</w:t>
      </w:r>
    </w:p>
  </w:footnote>
  <w:footnote w:id="72">
    <w:p w:rsidR="006908DB" w:rsidRPr="007C6360" w14:paraId="26D41756" w14:textId="2632830D">
      <w:pPr>
        <w:pStyle w:val="FootnoteText"/>
      </w:pPr>
      <w:r w:rsidRPr="00A70EC8">
        <w:rPr>
          <w:rStyle w:val="FootnoteReference"/>
        </w:rPr>
        <w:footnoteRef/>
      </w:r>
      <w:r w:rsidRPr="00A70EC8">
        <w:t xml:space="preserve"> 47 CFR § 1.6100(b)(7).</w:t>
      </w:r>
    </w:p>
  </w:footnote>
  <w:footnote w:id="73">
    <w:p w:rsidR="006908DB" w:rsidRPr="00AF42A7" w:rsidP="00E41AD7" w14:paraId="6C7D6E89" w14:textId="5D90A9C4">
      <w:pPr>
        <w:pStyle w:val="FootnoteText"/>
      </w:pPr>
      <w:r w:rsidRPr="00A70EC8">
        <w:rPr>
          <w:rStyle w:val="FootnoteReference"/>
        </w:rPr>
        <w:footnoteRef/>
      </w:r>
      <w:r w:rsidRPr="00A70EC8">
        <w:t xml:space="preserve"> NATOA Oct. 19 </w:t>
      </w:r>
      <w:r w:rsidRPr="007C6360">
        <w:rPr>
          <w:i/>
          <w:iCs/>
        </w:rPr>
        <w:t xml:space="preserve">Ex Parte </w:t>
      </w:r>
      <w:r w:rsidRPr="00AF42A7">
        <w:t>Letter at 1.</w:t>
      </w:r>
    </w:p>
  </w:footnote>
  <w:footnote w:id="74">
    <w:p w:rsidR="006908DB" w:rsidRPr="00AF42A7" w:rsidP="00D06B49" w14:paraId="53E16D74" w14:textId="29C95E75">
      <w:pPr>
        <w:pStyle w:val="FootnoteText"/>
      </w:pPr>
      <w:r w:rsidRPr="00A70EC8">
        <w:rPr>
          <w:rStyle w:val="FootnoteReference"/>
        </w:rPr>
        <w:footnoteRef/>
      </w:r>
      <w:r w:rsidRPr="00A70EC8">
        <w:t xml:space="preserve"> NATOA Oct. 19 </w:t>
      </w:r>
      <w:r w:rsidRPr="007C6360">
        <w:rPr>
          <w:i/>
          <w:iCs/>
        </w:rPr>
        <w:t xml:space="preserve">Ex Parte </w:t>
      </w:r>
      <w:r w:rsidRPr="00AF42A7">
        <w:t>Letter at 2.</w:t>
      </w:r>
    </w:p>
  </w:footnote>
  <w:footnote w:id="75">
    <w:p w:rsidR="006908DB" w:rsidRPr="00AF42A7" w14:paraId="4B040A35" w14:textId="13D807FD">
      <w:pPr>
        <w:pStyle w:val="FootnoteText"/>
      </w:pPr>
      <w:r w:rsidRPr="00A70EC8">
        <w:rPr>
          <w:rStyle w:val="FootnoteReference"/>
        </w:rPr>
        <w:footnoteRef/>
      </w:r>
      <w:r w:rsidRPr="00A70EC8">
        <w:t xml:space="preserve"> </w:t>
      </w:r>
      <w:r w:rsidRPr="007C6360">
        <w:rPr>
          <w:i/>
          <w:iCs/>
        </w:rPr>
        <w:t>See, e.g.</w:t>
      </w:r>
      <w:r w:rsidRPr="00AF42A7">
        <w:t>, Crown Castle Reply Comments, Exhibit A (illustrating that proposed deployments will occupy only a portion of the permitted compound expansion).</w:t>
      </w:r>
    </w:p>
  </w:footnote>
  <w:footnote w:id="76">
    <w:p w:rsidR="006908DB" w:rsidRPr="00AF42A7" w:rsidP="002C351F" w14:paraId="7A351E9F" w14:textId="375197CB">
      <w:pPr>
        <w:pStyle w:val="FootnoteText"/>
      </w:pPr>
      <w:r w:rsidRPr="00A70EC8">
        <w:rPr>
          <w:rStyle w:val="FootnoteReference"/>
        </w:rPr>
        <w:footnoteRef/>
      </w:r>
      <w:r w:rsidRPr="00A70EC8">
        <w:t xml:space="preserve"> Comments of Crown Castle International Corp., WT Docket No. 19-250, RM-11849, WC Docket No. 17-84, at 32</w:t>
      </w:r>
      <w:r w:rsidRPr="00AF42A7">
        <w:t xml:space="preserve">-33 (Oct. 29, 2019) (Crown Castle Oct. 2019 Comments); </w:t>
      </w:r>
      <w:r w:rsidRPr="00AF42A7">
        <w:rPr>
          <w:i/>
          <w:iCs/>
        </w:rPr>
        <w:t>see also</w:t>
      </w:r>
      <w:r w:rsidRPr="00AF42A7">
        <w:t xml:space="preserve"> Crown Castle Comments at 17, n.58 (noting that “eight different states have passed laws exempting minor compound expansions from local zoning and permitting requirements”).</w:t>
      </w:r>
    </w:p>
  </w:footnote>
  <w:footnote w:id="77">
    <w:p w:rsidR="006908DB" w:rsidRPr="00AF42A7" w:rsidP="002C351F" w14:paraId="62E4A1AF" w14:textId="4DF7071F">
      <w:pPr>
        <w:pStyle w:val="FootnoteText"/>
      </w:pPr>
      <w:r w:rsidRPr="00A70EC8">
        <w:rPr>
          <w:rStyle w:val="FootnoteReference"/>
        </w:rPr>
        <w:footnoteRef/>
      </w:r>
      <w:r w:rsidRPr="007C6360">
        <w:t xml:space="preserve"> </w:t>
      </w:r>
      <w:r w:rsidRPr="00AF42A7">
        <w:t xml:space="preserve">Crown Castle Oct. 2019 Comments at 32-33 n.76 (showing that at least six of these eight state laws’ standards exceed 30 feet, with some states exempting compound expansions within an area as large as 2,500 square feet). </w:t>
      </w:r>
    </w:p>
  </w:footnote>
  <w:footnote w:id="78">
    <w:p w:rsidR="006908DB" w:rsidRPr="00AF42A7" w:rsidP="002C351F" w14:paraId="781BB460" w14:textId="18D90250">
      <w:pPr>
        <w:pStyle w:val="FootnoteText"/>
      </w:pPr>
      <w:r w:rsidRPr="00A70EC8">
        <w:rPr>
          <w:rStyle w:val="FootnoteReference"/>
        </w:rPr>
        <w:footnoteRef/>
      </w:r>
      <w:r w:rsidRPr="00AF42A7">
        <w:t xml:space="preserve"> </w:t>
      </w:r>
      <w:r w:rsidRPr="00AF42A7">
        <w:rPr>
          <w:i/>
          <w:iCs/>
        </w:rPr>
        <w:t>Id.</w:t>
      </w:r>
      <w:r w:rsidRPr="00AF42A7">
        <w:t xml:space="preserve"> at 33.</w:t>
      </w:r>
    </w:p>
  </w:footnote>
  <w:footnote w:id="79">
    <w:p w:rsidR="006908DB" w:rsidRPr="00AF42A7" w:rsidP="006C068A" w14:paraId="5B977CAA" w14:textId="77777777">
      <w:pPr>
        <w:pStyle w:val="FootnoteText"/>
      </w:pPr>
      <w:r w:rsidRPr="00A70EC8">
        <w:rPr>
          <w:rStyle w:val="FootnoteReference"/>
        </w:rPr>
        <w:footnoteRef/>
      </w:r>
      <w:r w:rsidRPr="00A70EC8">
        <w:t xml:space="preserve"> </w:t>
      </w:r>
      <w:r w:rsidRPr="007C6360">
        <w:rPr>
          <w:i/>
          <w:iCs/>
        </w:rPr>
        <w:t>2014 Infrastructure Order</w:t>
      </w:r>
      <w:r w:rsidRPr="00AF42A7">
        <w:t xml:space="preserve">, 29 FCC </w:t>
      </w:r>
      <w:r w:rsidRPr="00AF42A7">
        <w:t>Rcd</w:t>
      </w:r>
      <w:r w:rsidRPr="00AF42A7">
        <w:t xml:space="preserve"> at 12946, para. 190.</w:t>
      </w:r>
    </w:p>
  </w:footnote>
  <w:footnote w:id="80">
    <w:p w:rsidR="006908DB" w:rsidRPr="00AF42A7" w:rsidP="00592992" w14:paraId="7A8CABAF" w14:textId="2AAA0AF4">
      <w:pPr>
        <w:pStyle w:val="FootnoteText"/>
      </w:pPr>
      <w:r w:rsidRPr="00A70EC8">
        <w:rPr>
          <w:rStyle w:val="FootnoteReference"/>
        </w:rPr>
        <w:footnoteRef/>
      </w:r>
      <w:r w:rsidRPr="00A70EC8">
        <w:t xml:space="preserve"> </w:t>
      </w:r>
      <w:r w:rsidRPr="007C6360">
        <w:rPr>
          <w:i/>
          <w:iCs/>
        </w:rPr>
        <w:t xml:space="preserve">See </w:t>
      </w:r>
      <w:r w:rsidRPr="00AF42A7">
        <w:t xml:space="preserve">47 C.F.R. </w:t>
      </w:r>
      <w:r w:rsidRPr="00AF42A7">
        <w:rPr>
          <w:rFonts w:cstheme="minorHAnsi"/>
        </w:rPr>
        <w:t>§</w:t>
      </w:r>
      <w:r w:rsidRPr="00AF42A7">
        <w:t xml:space="preserve"> 1.6100(b)(7) (providing that “[a] modification </w:t>
      </w:r>
      <w:r w:rsidRPr="00AF42A7">
        <w:rPr>
          <w:i/>
          <w:iCs/>
        </w:rPr>
        <w:t>substantially changes</w:t>
      </w:r>
      <w:r w:rsidRPr="00AF42A7">
        <w:t xml:space="preserve"> the physical dimensions of an eligible support structure if it meets any of the following criteria”) (emphasis added);</w:t>
      </w:r>
      <w:r w:rsidRPr="00AF42A7">
        <w:rPr>
          <w:i/>
          <w:iCs/>
        </w:rPr>
        <w:t xml:space="preserve"> </w:t>
      </w:r>
      <w:r w:rsidRPr="00AF42A7">
        <w:t>Spectrum Act of 2012 § 6409(a)(1) (providing that a state or local government may not deny certain eligible facility requests that do not “</w:t>
      </w:r>
      <w:r w:rsidRPr="00AF42A7">
        <w:rPr>
          <w:i/>
          <w:iCs/>
        </w:rPr>
        <w:t>substantially change</w:t>
      </w:r>
      <w:r w:rsidRPr="00AF42A7">
        <w:t xml:space="preserve"> the physical dimensions of such tower or base station”) (emphasis added); 47 C.F.R. § 1.6100(b)(6) (defining “site” as “[f]or towers other than towers in the public rights-of-way, the current boundaries of the leased or owned property surrounding the tower and any access or utility easements currently related to the site, and, for other eligible support structures, further restricted to that area in proximity to the structure and to other transmission equipment already deployed on the ground.”)</w:t>
      </w:r>
    </w:p>
  </w:footnote>
  <w:footnote w:id="81">
    <w:p w:rsidR="006908DB" w:rsidRPr="00AF42A7" w:rsidP="00592992" w14:paraId="01A34CDE" w14:textId="26D51BE5">
      <w:pPr>
        <w:pStyle w:val="FootnoteText"/>
      </w:pPr>
      <w:r w:rsidRPr="00A70EC8">
        <w:rPr>
          <w:rStyle w:val="FootnoteReference"/>
        </w:rPr>
        <w:footnoteRef/>
      </w:r>
      <w:r w:rsidRPr="00A70EC8">
        <w:t xml:space="preserve"> </w:t>
      </w:r>
      <w:r w:rsidRPr="007C6360">
        <w:rPr>
          <w:i/>
          <w:iCs/>
        </w:rPr>
        <w:t xml:space="preserve">See </w:t>
      </w:r>
      <w:r w:rsidRPr="00AF42A7">
        <w:t xml:space="preserve">Spectrum Act of 2012 § 6409(a)(1) (providing that a State or local government may not deny certain eligible facility requests that do not “substantially change the physical dimensions of such tower or base station”); 47 C.F.R. </w:t>
      </w:r>
      <w:r w:rsidRPr="00AF42A7">
        <w:rPr>
          <w:rFonts w:cstheme="minorHAnsi"/>
        </w:rPr>
        <w:t>§</w:t>
      </w:r>
      <w:r w:rsidRPr="00AF42A7">
        <w:t xml:space="preserve"> 1.6100(b)(7) (providing that “a modification substantially changes the physical dimensions of an eligible support structure if . . . [</w:t>
      </w:r>
      <w:r w:rsidRPr="00AF42A7">
        <w:t>i</w:t>
      </w:r>
      <w:r w:rsidRPr="00AF42A7">
        <w:t>]t entails any excavation or deployment outside the current site.”).</w:t>
      </w:r>
    </w:p>
  </w:footnote>
  <w:footnote w:id="82">
    <w:p w:rsidR="006908DB" w:rsidRPr="00AF42A7" w14:paraId="0B7B385E" w14:textId="6F52ED18">
      <w:pPr>
        <w:pStyle w:val="FootnoteText"/>
      </w:pPr>
      <w:r w:rsidRPr="00A70EC8">
        <w:rPr>
          <w:rStyle w:val="FootnoteReference"/>
        </w:rPr>
        <w:footnoteRef/>
      </w:r>
      <w:r w:rsidRPr="00A70EC8">
        <w:t xml:space="preserve"> </w:t>
      </w:r>
      <w:r w:rsidRPr="007C6360">
        <w:rPr>
          <w:i/>
          <w:iCs/>
        </w:rPr>
        <w:t>See 2014 Infrastructure Order</w:t>
      </w:r>
      <w:r w:rsidRPr="00AF42A7">
        <w:t xml:space="preserve">, 29 FCC </w:t>
      </w:r>
      <w:r w:rsidRPr="00AF42A7">
        <w:t>Rcd</w:t>
      </w:r>
      <w:r w:rsidRPr="00AF42A7">
        <w:t xml:space="preserve"> at 12949, para. 198.</w:t>
      </w:r>
    </w:p>
  </w:footnote>
  <w:footnote w:id="83">
    <w:p w:rsidR="006908DB" w:rsidRPr="00AF42A7" w14:paraId="5B0A3D46" w14:textId="537DA8A8">
      <w:pPr>
        <w:pStyle w:val="FootnoteText"/>
        <w:rPr>
          <w:i/>
          <w:iCs/>
        </w:rPr>
      </w:pPr>
      <w:r w:rsidRPr="00A70EC8">
        <w:rPr>
          <w:rStyle w:val="FootnoteReference"/>
        </w:rPr>
        <w:footnoteRef/>
      </w:r>
      <w:r w:rsidRPr="00A70EC8">
        <w:t xml:space="preserve"> </w:t>
      </w:r>
      <w:r w:rsidRPr="007C6360">
        <w:rPr>
          <w:i/>
          <w:iCs/>
        </w:rPr>
        <w:t>See</w:t>
      </w:r>
      <w:r w:rsidRPr="00AF42A7">
        <w:rPr>
          <w:i/>
          <w:iCs/>
        </w:rPr>
        <w:t xml:space="preserve"> id.</w:t>
      </w:r>
      <w:r w:rsidRPr="002D3456">
        <w:rPr>
          <w:i/>
        </w:rPr>
        <w:t xml:space="preserve"> </w:t>
      </w:r>
      <w:r w:rsidRPr="00A70EC8">
        <w:t>at 12948-49, paras. 196-197; 47 CFR § 1.6100(b)(7)(</w:t>
      </w:r>
      <w:r w:rsidRPr="00A70EC8">
        <w:t>i</w:t>
      </w:r>
      <w:r w:rsidRPr="00A70EC8">
        <w:t xml:space="preserve">)(A); </w:t>
      </w:r>
      <w:r w:rsidRPr="007C6360">
        <w:rPr>
          <w:i/>
          <w:iCs/>
        </w:rPr>
        <w:t>Notice</w:t>
      </w:r>
      <w:r w:rsidRPr="00AF42A7">
        <w:t xml:space="preserve">, 35 FCC </w:t>
      </w:r>
      <w:r w:rsidRPr="00AF42A7">
        <w:t>Rcd</w:t>
      </w:r>
      <w:r w:rsidRPr="00AF42A7">
        <w:t xml:space="preserve"> at 5995, para. 37.</w:t>
      </w:r>
    </w:p>
  </w:footnote>
  <w:footnote w:id="84">
    <w:p w:rsidR="006908DB" w:rsidRPr="00AF42A7" w:rsidP="00A66C05" w14:paraId="58D3C258" w14:textId="16BC2906">
      <w:pPr>
        <w:pStyle w:val="FootnoteText"/>
      </w:pPr>
      <w:r w:rsidRPr="00A70EC8">
        <w:rPr>
          <w:rStyle w:val="FootnoteReference"/>
        </w:rPr>
        <w:footnoteRef/>
      </w:r>
      <w:r w:rsidRPr="00A70EC8">
        <w:t xml:space="preserve"> </w:t>
      </w:r>
      <w:r w:rsidRPr="007C6360">
        <w:rPr>
          <w:i/>
          <w:iCs/>
        </w:rPr>
        <w:t>Montgomery County, Md. v. FCC</w:t>
      </w:r>
      <w:r w:rsidRPr="00AF42A7">
        <w:t>, 811 F.3d at 130-32.</w:t>
      </w:r>
    </w:p>
  </w:footnote>
  <w:footnote w:id="85">
    <w:p w:rsidR="006908DB" w:rsidRPr="00AF42A7" w14:paraId="55582681" w14:textId="52299E80">
      <w:pPr>
        <w:pStyle w:val="FootnoteText"/>
      </w:pPr>
      <w:r w:rsidRPr="00A70EC8">
        <w:rPr>
          <w:rStyle w:val="FootnoteReference"/>
        </w:rPr>
        <w:footnoteRef/>
      </w:r>
      <w:r w:rsidRPr="00A70EC8">
        <w:t xml:space="preserve"> </w:t>
      </w:r>
      <w:r w:rsidRPr="007C6360">
        <w:rPr>
          <w:i/>
          <w:iCs/>
        </w:rPr>
        <w:t>2014 Infrastructure Order</w:t>
      </w:r>
      <w:r w:rsidRPr="00AF42A7">
        <w:t xml:space="preserve">, 29 FCC </w:t>
      </w:r>
      <w:r w:rsidRPr="00AF42A7">
        <w:t>Rcd</w:t>
      </w:r>
      <w:r w:rsidRPr="00AF42A7">
        <w:t xml:space="preserve"> at 12948, para. 196; </w:t>
      </w:r>
      <w:r w:rsidRPr="00AF42A7">
        <w:rPr>
          <w:i/>
          <w:iCs/>
        </w:rPr>
        <w:t xml:space="preserve">see also </w:t>
      </w:r>
      <w:r w:rsidRPr="00AF42A7">
        <w:t>47 CFR § 1.6100(b)(7)(</w:t>
      </w:r>
      <w:r w:rsidRPr="00AF42A7">
        <w:t>i</w:t>
      </w:r>
      <w:r w:rsidRPr="00AF42A7">
        <w:t xml:space="preserve">)(A) (“Changes in height should be measured from the original support structure in cases where deployments are or will be separated horizontally, such as on buildings’ rooftops; in other circumstances, changes in height should be measured from the dimensions of the tower or base station, inclusive of originally approved appurtenances and any modifications that were approved prior to the passage of the Spectrum Act.”). </w:t>
      </w:r>
    </w:p>
  </w:footnote>
  <w:footnote w:id="86">
    <w:p w:rsidR="006908DB" w:rsidRPr="00AF42A7" w14:paraId="3010D3BE" w14:textId="5A549604">
      <w:pPr>
        <w:pStyle w:val="FootnoteText"/>
      </w:pPr>
      <w:r w:rsidRPr="00A70EC8">
        <w:rPr>
          <w:rStyle w:val="FootnoteReference"/>
        </w:rPr>
        <w:footnoteRef/>
      </w:r>
      <w:r w:rsidRPr="00A70EC8">
        <w:t xml:space="preserve"> </w:t>
      </w:r>
      <w:r w:rsidRPr="007C6360">
        <w:rPr>
          <w:i/>
          <w:iCs/>
        </w:rPr>
        <w:t>2014 Infrastructure O</w:t>
      </w:r>
      <w:r w:rsidRPr="00AF42A7">
        <w:rPr>
          <w:i/>
          <w:iCs/>
        </w:rPr>
        <w:t>rder</w:t>
      </w:r>
      <w:r w:rsidRPr="00AF42A7">
        <w:t xml:space="preserve">, 29 FCC </w:t>
      </w:r>
      <w:r w:rsidRPr="00AF42A7">
        <w:t>Rcd</w:t>
      </w:r>
      <w:r w:rsidRPr="00AF42A7">
        <w:t xml:space="preserve"> at 12948, para. 197.  </w:t>
      </w:r>
    </w:p>
  </w:footnote>
  <w:footnote w:id="87">
    <w:p w:rsidR="006908DB" w:rsidRPr="00AF42A7" w14:paraId="3EEA0030" w14:textId="58730D9A">
      <w:pPr>
        <w:pStyle w:val="FootnoteText"/>
      </w:pPr>
      <w:r w:rsidRPr="00A70EC8">
        <w:rPr>
          <w:rStyle w:val="FootnoteReference"/>
        </w:rPr>
        <w:footnoteRef/>
      </w:r>
      <w:r w:rsidRPr="00A70EC8">
        <w:t xml:space="preserve"> </w:t>
      </w:r>
      <w:r w:rsidRPr="007C6360">
        <w:rPr>
          <w:i/>
          <w:iCs/>
        </w:rPr>
        <w:t>Notice</w:t>
      </w:r>
      <w:r w:rsidRPr="00AF42A7">
        <w:t xml:space="preserve">, 35 FCC </w:t>
      </w:r>
      <w:r w:rsidRPr="00AF42A7">
        <w:t>Rcd</w:t>
      </w:r>
      <w:r w:rsidRPr="00AF42A7">
        <w:t xml:space="preserve"> at 5996, para. 37.</w:t>
      </w:r>
    </w:p>
  </w:footnote>
  <w:footnote w:id="88">
    <w:p w:rsidR="006908DB" w:rsidRPr="00AF42A7" w:rsidP="000E7E2E" w14:paraId="6ABF1CD6" w14:textId="3106450C">
      <w:pPr>
        <w:pStyle w:val="FootnoteText"/>
      </w:pPr>
      <w:r w:rsidRPr="00A70EC8">
        <w:rPr>
          <w:rStyle w:val="FootnoteReference"/>
        </w:rPr>
        <w:footnoteRef/>
      </w:r>
      <w:r w:rsidRPr="00A70EC8">
        <w:t xml:space="preserve"> Local Governments Comments at 15-16; </w:t>
      </w:r>
      <w:r w:rsidRPr="007C6360">
        <w:rPr>
          <w:i/>
          <w:iCs/>
        </w:rPr>
        <w:t>see also</w:t>
      </w:r>
      <w:r w:rsidRPr="00AF42A7">
        <w:t xml:space="preserve"> Western Communities Coalition Comments at 11 (“The proposed definition would also allow the applicant to unilaterally alter the benchmark set by the last discretionary approval.”); NATOA Comments at 3-5 (“[T]o avoid any ambiguity, it should be clear that the phrase ‘last reviewed and approved’ does not apply to an EFR application or other non-discretionary review process.”).</w:t>
      </w:r>
    </w:p>
  </w:footnote>
  <w:footnote w:id="89">
    <w:p w:rsidR="006908DB" w:rsidRPr="00AF42A7" w14:paraId="477220E6" w14:textId="474D3E8B">
      <w:pPr>
        <w:pStyle w:val="FootnoteText"/>
      </w:pPr>
      <w:r w:rsidRPr="00A70EC8">
        <w:rPr>
          <w:rStyle w:val="FootnoteReference"/>
        </w:rPr>
        <w:footnoteRef/>
      </w:r>
      <w:r w:rsidRPr="00A70EC8">
        <w:t xml:space="preserve"> </w:t>
      </w:r>
      <w:r w:rsidRPr="007C6360">
        <w:rPr>
          <w:i/>
          <w:iCs/>
        </w:rPr>
        <w:t>See,</w:t>
      </w:r>
      <w:r w:rsidRPr="00AF42A7">
        <w:rPr>
          <w:i/>
          <w:iCs/>
        </w:rPr>
        <w:t xml:space="preserve"> e.g., </w:t>
      </w:r>
      <w:r w:rsidRPr="00AF42A7">
        <w:t xml:space="preserve">Local Governments Comments at 15-16; Western Communities Coalition Comments at 11;  NATOA Comments at 3-5; Crown Castle Oct. 20 </w:t>
      </w:r>
      <w:r w:rsidRPr="00AF42A7">
        <w:rPr>
          <w:i/>
          <w:iCs/>
        </w:rPr>
        <w:t xml:space="preserve">Ex Parte </w:t>
      </w:r>
      <w:r w:rsidRPr="00AF42A7">
        <w:t>Letter at 3 (requesting clarification to reflect cases for which section 6409(a) treatment is invoked but that “later are resolved through alternative proceedings”).</w:t>
      </w:r>
    </w:p>
  </w:footnote>
  <w:footnote w:id="90">
    <w:p w:rsidR="006908DB" w:rsidRPr="00AF42A7" w:rsidP="007B43B9" w14:paraId="22D77414" w14:textId="58939AA6">
      <w:pPr>
        <w:pStyle w:val="FootnoteText"/>
      </w:pPr>
      <w:r w:rsidRPr="00A70EC8">
        <w:rPr>
          <w:rStyle w:val="FootnoteReference"/>
        </w:rPr>
        <w:footnoteRef/>
      </w:r>
      <w:r w:rsidRPr="00A70EC8">
        <w:t xml:space="preserve"> Crown Castle Comments at 9-10 (“The Commission did not define ‘current’ for purposes of the 2014 Order and for years, the industry, including Crown Castle, has relied upon the definition of ‘current site’ using the plain meaning rule – namely, that ‘curre</w:t>
      </w:r>
      <w:r w:rsidRPr="007C6360">
        <w:t>nt’ should be given its ordinary meaning of ‘occurring in or existing at the present time.’  Accordingly, the industry has relied upon – and in countless jurisdictions has requested and received approval of modifications as eligible fa</w:t>
      </w:r>
      <w:r w:rsidRPr="00AF42A7">
        <w:t xml:space="preserve">cilities requests – with the understanding of the ‘current site’ as the boundaries of the leased or owned property at the time of the submission of the eligible facilities request.”) (citations omitted); </w:t>
      </w:r>
      <w:r w:rsidRPr="00AF42A7">
        <w:rPr>
          <w:i/>
          <w:iCs/>
        </w:rPr>
        <w:t>see also</w:t>
      </w:r>
      <w:r w:rsidRPr="00AF42A7">
        <w:t xml:space="preserve"> WIA Reply Comments at 14, n.56.  </w:t>
      </w:r>
    </w:p>
  </w:footnote>
  <w:footnote w:id="91">
    <w:p w:rsidR="006908DB" w:rsidRPr="00AF42A7" w:rsidP="007B43B9" w14:paraId="3E8CEEDE" w14:textId="7F517292">
      <w:pPr>
        <w:pStyle w:val="FootnoteText"/>
      </w:pPr>
      <w:r w:rsidRPr="00A70EC8">
        <w:rPr>
          <w:rStyle w:val="FootnoteReference"/>
        </w:rPr>
        <w:footnoteRef/>
      </w:r>
      <w:r w:rsidRPr="00A70EC8">
        <w:t xml:space="preserve"> Crown Castle Comments at 2-4</w:t>
      </w:r>
      <w:r w:rsidRPr="007C6360">
        <w:t xml:space="preserve">; </w:t>
      </w:r>
      <w:r w:rsidRPr="00AF42A7">
        <w:rPr>
          <w:i/>
          <w:iCs/>
        </w:rPr>
        <w:t>see also</w:t>
      </w:r>
      <w:r w:rsidRPr="00AF42A7">
        <w:t xml:space="preserve"> CTIA Reply Comments at 3-4; AT&amp;T Reply Comments at 2.  WIA initially suggested their own revisions to the definition of “site,” </w:t>
      </w:r>
      <w:r w:rsidRPr="00AF42A7">
        <w:rPr>
          <w:i/>
          <w:iCs/>
        </w:rPr>
        <w:t>see</w:t>
      </w:r>
      <w:r w:rsidRPr="00AF42A7">
        <w:t xml:space="preserve"> WIA Comments at 9, but it has since aligned with Crown Castle’s proposed revised definitions.  </w:t>
      </w:r>
      <w:r w:rsidRPr="00AF42A7">
        <w:rPr>
          <w:i/>
          <w:iCs/>
        </w:rPr>
        <w:t xml:space="preserve">See </w:t>
      </w:r>
      <w:r w:rsidRPr="00AF42A7">
        <w:t>WIA Reply Comments at 14.</w:t>
      </w:r>
    </w:p>
  </w:footnote>
  <w:footnote w:id="92">
    <w:p w:rsidR="006908DB" w:rsidRPr="00AF42A7" w:rsidP="007B43B9" w14:paraId="3FB49F0D" w14:textId="77777777">
      <w:pPr>
        <w:pStyle w:val="FootnoteText"/>
      </w:pPr>
      <w:r w:rsidRPr="00A70EC8">
        <w:rPr>
          <w:rStyle w:val="FootnoteReference"/>
        </w:rPr>
        <w:footnoteRef/>
      </w:r>
      <w:r w:rsidRPr="00A70EC8">
        <w:t xml:space="preserve"> </w:t>
      </w:r>
      <w:r w:rsidRPr="00A70EC8">
        <w:rPr>
          <w:i/>
          <w:iCs/>
        </w:rPr>
        <w:t>See, e.g.</w:t>
      </w:r>
      <w:r w:rsidRPr="007C6360">
        <w:t>, Western Communities Coalition Reply Comments at 1-2 (“Crown Castle’s proposal would capture all expansions—whether approved or not—that occurred prior to a Commission order from this [</w:t>
      </w:r>
      <w:r w:rsidRPr="00AF42A7">
        <w:rPr>
          <w:i/>
          <w:iCs/>
        </w:rPr>
        <w:t>Notice</w:t>
      </w:r>
      <w:r w:rsidRPr="00AF42A7">
        <w:t>]”); NATOA Reply Comments at 16 (arguing that Crown Castle’s proposed definition “would seem to set establish [sic] multiple site boundaries for the same tower; apparently each lease or other property interest could establish its own site boundary for the tower, provided they did so before the date of the new rule.”); Virginia Localities Reply Comments at 12 (“[Crown Castle’s] proposal merely gives the industry what it wants most:  immediate expansion at every site in the country.  Future expansion would apply the correct, lawful standard, but the immediate effect would be unlawful because Section 6409 does not give the Commission the power to override local zoning and other regulatory concerns at locations that have not been already reviewed by a zoning authority and deemed suitable for the placement of wireless facilities.”).</w:t>
      </w:r>
    </w:p>
  </w:footnote>
  <w:footnote w:id="93">
    <w:p w:rsidR="006908DB" w:rsidRPr="00AF42A7" w:rsidP="001942A0" w14:paraId="1F9F524A" w14:textId="77777777">
      <w:pPr>
        <w:pStyle w:val="FootnoteText"/>
      </w:pPr>
      <w:r w:rsidRPr="00A70EC8">
        <w:rPr>
          <w:rStyle w:val="FootnoteReference"/>
        </w:rPr>
        <w:footnoteRef/>
      </w:r>
      <w:r w:rsidRPr="00A70EC8">
        <w:t xml:space="preserve"> Local Government Comments at 16; </w:t>
      </w:r>
      <w:r w:rsidRPr="00A70EC8">
        <w:rPr>
          <w:i/>
          <w:iCs/>
        </w:rPr>
        <w:t>see also</w:t>
      </w:r>
      <w:r w:rsidRPr="007C6360">
        <w:t xml:space="preserve"> NATOA Reply Comments at 18 (“Allowing the leased or other property area, rather than the reviewed and approved boundaries, to dictate the ‘site’—even if (or per</w:t>
      </w:r>
      <w:r w:rsidRPr="00AF42A7">
        <w:t>haps especially if) it is limited to expansions prior to the new rule—is incompatible with Section 6409(a) and wholly arbitrary.”); Western Communities Coalition Comments at 10 (arguing that the industry’s proposal “would remove any reasonable limit on applications that mandate local approval and likely lead to disputes and delays.”); Virginia Localities Reply Comments at 12 (“Nothing in Section 6409 suggests that Congress anticipated that carriers would be able to use that statute to override local concerns in the event of actual expansion of the boundaries of a site, as opposed to changes in equipment.”).</w:t>
      </w:r>
    </w:p>
  </w:footnote>
  <w:footnote w:id="94">
    <w:p w:rsidR="006908DB" w:rsidRPr="00AF42A7" w:rsidP="003F42B2" w14:paraId="22BCDB85" w14:textId="77777777">
      <w:pPr>
        <w:pStyle w:val="FootnoteText"/>
      </w:pPr>
      <w:r w:rsidRPr="00A70EC8">
        <w:rPr>
          <w:rStyle w:val="FootnoteReference"/>
        </w:rPr>
        <w:footnoteRef/>
      </w:r>
      <w:r w:rsidRPr="00A70EC8">
        <w:t xml:space="preserve"> </w:t>
      </w:r>
      <w:r w:rsidRPr="00A70EC8">
        <w:rPr>
          <w:i/>
          <w:iCs/>
        </w:rPr>
        <w:t xml:space="preserve">See </w:t>
      </w:r>
      <w:r w:rsidRPr="007C6360">
        <w:t>NATE Comments at 2 (arguing that if the site “was previously subject to the appropriate federal and local reviews . . . it is immaterial when the b</w:t>
      </w:r>
      <w:r w:rsidRPr="00AF42A7">
        <w:t>oundary was defined, just as long as it was defined.  There is no need to reinvent the wheel by imposing repetitive reviews; the fact remains that the site by definition was determined by the previous local review and approval regardless of when a modification request is submitted.”).</w:t>
      </w:r>
    </w:p>
  </w:footnote>
  <w:footnote w:id="95">
    <w:p w:rsidR="006908DB" w:rsidRPr="00AF42A7" w:rsidP="007B43B9" w14:paraId="0F469EDA" w14:textId="183A5386">
      <w:pPr>
        <w:pStyle w:val="FootnoteText"/>
      </w:pPr>
      <w:r w:rsidRPr="00A70EC8">
        <w:rPr>
          <w:rStyle w:val="FootnoteReference"/>
        </w:rPr>
        <w:footnoteRef/>
      </w:r>
      <w:r w:rsidRPr="00A70EC8">
        <w:t xml:space="preserve"> </w:t>
      </w:r>
      <w:r w:rsidRPr="007C6360">
        <w:rPr>
          <w:i/>
          <w:iCs/>
        </w:rPr>
        <w:t>2014 Infrastructure Order</w:t>
      </w:r>
      <w:r w:rsidRPr="00AF42A7">
        <w:t xml:space="preserve">, 29 FCC </w:t>
      </w:r>
      <w:r w:rsidRPr="00AF42A7">
        <w:t>Rcd</w:t>
      </w:r>
      <w:r w:rsidRPr="00AF42A7">
        <w:t xml:space="preserve"> at 12937, para. 174.</w:t>
      </w:r>
    </w:p>
  </w:footnote>
  <w:footnote w:id="96">
    <w:p w:rsidR="006908DB" w:rsidRPr="00AF42A7" w:rsidP="007B43B9" w14:paraId="2348BE9B" w14:textId="4F63E19D">
      <w:pPr>
        <w:pStyle w:val="FootnoteText"/>
      </w:pPr>
      <w:r w:rsidRPr="00A70EC8">
        <w:rPr>
          <w:rStyle w:val="FootnoteReference"/>
        </w:rPr>
        <w:footnoteRef/>
      </w:r>
      <w:r w:rsidRPr="00A70EC8">
        <w:t xml:space="preserve"> Letter from Joshua Turner, Counsel to Crown Castle, to Marlene Dortch, Secretary, FCC, WT Docket No. 19-250, at 1 (filed Aug. 27, 2020)</w:t>
      </w:r>
      <w:r w:rsidRPr="00AF42A7">
        <w:t xml:space="preserve"> (Crown Castle Aug. 27 </w:t>
      </w:r>
      <w:r w:rsidRPr="00AF42A7">
        <w:rPr>
          <w:i/>
          <w:iCs/>
        </w:rPr>
        <w:t>Ex Parte</w:t>
      </w:r>
      <w:r w:rsidRPr="00AF42A7">
        <w:t>).</w:t>
      </w:r>
    </w:p>
  </w:footnote>
  <w:footnote w:id="97">
    <w:p w:rsidR="006908DB" w:rsidRPr="00AF42A7" w:rsidP="007B43B9" w14:paraId="38C4F6A2" w14:textId="684E14B8">
      <w:pPr>
        <w:pStyle w:val="FootnoteText"/>
      </w:pPr>
      <w:r w:rsidRPr="00A70EC8">
        <w:rPr>
          <w:rStyle w:val="FootnoteReference"/>
        </w:rPr>
        <w:footnoteRef/>
      </w:r>
      <w:r w:rsidRPr="00AF42A7">
        <w:t xml:space="preserve"> </w:t>
      </w:r>
      <w:r w:rsidRPr="00AF42A7">
        <w:rPr>
          <w:i/>
          <w:iCs/>
        </w:rPr>
        <w:t>Id.</w:t>
      </w:r>
      <w:r w:rsidRPr="002D3456">
        <w:rPr>
          <w:i/>
        </w:rPr>
        <w:t xml:space="preserve"> </w:t>
      </w:r>
      <w:r w:rsidRPr="00A70EC8">
        <w:t xml:space="preserve">at 1-2; </w:t>
      </w:r>
      <w:r w:rsidRPr="007C6360">
        <w:rPr>
          <w:i/>
          <w:iCs/>
        </w:rPr>
        <w:t xml:space="preserve">see also </w:t>
      </w:r>
      <w:r w:rsidRPr="00AF42A7">
        <w:t xml:space="preserve">Letter from John Howes, WIA, to Marlene Dortch, Secretary, FCC, WT Docket No. 19-250, at 2 (filed Sept. 9, 2020) (expressing agreement with Crown Castle’s latest proposal). </w:t>
      </w:r>
    </w:p>
  </w:footnote>
  <w:footnote w:id="98">
    <w:p w:rsidR="006908DB" w:rsidRPr="00AF42A7" w:rsidP="007B43B9" w14:paraId="773672C6" w14:textId="1E4BA9D6">
      <w:pPr>
        <w:pStyle w:val="FootnoteText"/>
      </w:pPr>
      <w:r w:rsidRPr="00A70EC8">
        <w:rPr>
          <w:rStyle w:val="FootnoteReference"/>
        </w:rPr>
        <w:footnoteRef/>
      </w:r>
      <w:r w:rsidRPr="00A70EC8">
        <w:t xml:space="preserve"> Crown Castle’s propos</w:t>
      </w:r>
      <w:r w:rsidRPr="007C6360">
        <w:t>al would also int</w:t>
      </w:r>
      <w:r w:rsidRPr="00AF42A7">
        <w:t xml:space="preserve">roduce more uncertainty than it purports to cure.  A locality may issue building, electrical, or other permits for a site without reviewing the eligible support structure on that site.  A permit may therefore not constitute a “proper review” of a site.  </w:t>
      </w:r>
      <w:r w:rsidRPr="00AF42A7">
        <w:rPr>
          <w:i/>
          <w:iCs/>
        </w:rPr>
        <w:t>See 2014 Infrastructure Order</w:t>
      </w:r>
      <w:r w:rsidRPr="00AF42A7">
        <w:t xml:space="preserve">, 29 FCC </w:t>
      </w:r>
      <w:r w:rsidRPr="00AF42A7">
        <w:t>Rcd</w:t>
      </w:r>
      <w:r w:rsidRPr="00AF42A7">
        <w:t xml:space="preserve"> at 12937, para. 174.  Review and approval of the eligible support structure, on the other hand, provides an opportunity for the locality to take into account an increase in the size of the site. </w:t>
      </w:r>
    </w:p>
  </w:footnote>
  <w:footnote w:id="99">
    <w:p w:rsidR="006908DB" w:rsidRPr="00AF42A7" w:rsidP="009D664D" w14:paraId="06E5B226" w14:textId="691048DB">
      <w:pPr>
        <w:widowControl/>
        <w:autoSpaceDE w:val="0"/>
        <w:autoSpaceDN w:val="0"/>
        <w:adjustRightInd w:val="0"/>
        <w:spacing w:after="120"/>
        <w:rPr>
          <w:sz w:val="20"/>
        </w:rPr>
      </w:pPr>
      <w:r w:rsidRPr="00A70EC8">
        <w:rPr>
          <w:rStyle w:val="FootnoteReference"/>
        </w:rPr>
        <w:footnoteRef/>
      </w:r>
      <w:r w:rsidRPr="00A70EC8">
        <w:rPr>
          <w:sz w:val="20"/>
        </w:rPr>
        <w:t xml:space="preserve"> </w:t>
      </w:r>
      <w:r w:rsidRPr="007C6360">
        <w:rPr>
          <w:i/>
          <w:iCs/>
          <w:sz w:val="20"/>
        </w:rPr>
        <w:t>S</w:t>
      </w:r>
      <w:r w:rsidRPr="00AF42A7">
        <w:rPr>
          <w:i/>
          <w:iCs/>
          <w:sz w:val="20"/>
        </w:rPr>
        <w:t>ee infra</w:t>
      </w:r>
      <w:r w:rsidRPr="00AF42A7">
        <w:rPr>
          <w:sz w:val="20"/>
        </w:rPr>
        <w:t xml:space="preserve">, App. B.  The </w:t>
      </w:r>
      <w:r w:rsidRPr="00AF42A7">
        <w:rPr>
          <w:i/>
          <w:iCs/>
          <w:sz w:val="20"/>
        </w:rPr>
        <w:t xml:space="preserve">2014 Infrastructure Order </w:t>
      </w:r>
      <w:r w:rsidRPr="00AF42A7">
        <w:rPr>
          <w:sz w:val="20"/>
        </w:rPr>
        <w:t xml:space="preserve">defined site as, </w:t>
      </w:r>
      <w:r w:rsidRPr="00AF42A7">
        <w:rPr>
          <w:iCs/>
          <w:sz w:val="20"/>
        </w:rPr>
        <w:t xml:space="preserve">“for towers other than towers in the public rights-of-way, the current boundaries of the leased or owned property surrounding the tower and any access or utility easements currently related to the site, </w:t>
      </w:r>
      <w:r w:rsidRPr="00AF42A7">
        <w:rPr>
          <w:snapToGrid/>
          <w:kern w:val="0"/>
          <w:sz w:val="20"/>
        </w:rPr>
        <w:t xml:space="preserve">and, for other eligible support structures, further restricted to that area in proximity to the structure and to other transmission equipment </w:t>
      </w:r>
      <w:r w:rsidRPr="00AF42A7">
        <w:rPr>
          <w:sz w:val="20"/>
        </w:rPr>
        <w:t>already deployed on the ground.</w:t>
      </w:r>
      <w:r w:rsidRPr="00AF42A7">
        <w:rPr>
          <w:iCs/>
          <w:sz w:val="20"/>
        </w:rPr>
        <w:t xml:space="preserve">”  </w:t>
      </w:r>
      <w:r w:rsidRPr="00AF42A7">
        <w:rPr>
          <w:i/>
          <w:iCs/>
          <w:sz w:val="20"/>
        </w:rPr>
        <w:t>2014 Infrastructure Order</w:t>
      </w:r>
      <w:r w:rsidRPr="00AF42A7">
        <w:rPr>
          <w:sz w:val="20"/>
        </w:rPr>
        <w:t xml:space="preserve">, 29 FCC </w:t>
      </w:r>
      <w:r w:rsidRPr="00AF42A7">
        <w:rPr>
          <w:sz w:val="20"/>
        </w:rPr>
        <w:t>Rcd</w:t>
      </w:r>
      <w:r w:rsidRPr="00AF42A7">
        <w:rPr>
          <w:sz w:val="20"/>
        </w:rPr>
        <w:t xml:space="preserve"> at 12990, App. B; </w:t>
      </w:r>
      <w:r w:rsidRPr="00AF42A7">
        <w:rPr>
          <w:i/>
          <w:iCs/>
          <w:sz w:val="20"/>
        </w:rPr>
        <w:t xml:space="preserve">see also </w:t>
      </w:r>
      <w:r w:rsidRPr="00AF42A7">
        <w:rPr>
          <w:sz w:val="20"/>
        </w:rPr>
        <w:t xml:space="preserve">47 CFR § 1.6100(b)(6).  </w:t>
      </w:r>
    </w:p>
  </w:footnote>
  <w:footnote w:id="100">
    <w:p w:rsidR="006908DB" w:rsidRPr="00AF42A7" w:rsidP="007B43B9" w14:paraId="68B80CC3" w14:textId="7DA99A5A">
      <w:pPr>
        <w:pStyle w:val="FootnoteText"/>
      </w:pPr>
      <w:r w:rsidRPr="00A70EC8">
        <w:rPr>
          <w:rStyle w:val="FootnoteReference"/>
        </w:rPr>
        <w:footnoteRef/>
      </w:r>
      <w:r w:rsidRPr="00A70EC8">
        <w:t xml:space="preserve"> </w:t>
      </w:r>
      <w:r w:rsidRPr="007C6360">
        <w:rPr>
          <w:i/>
          <w:iCs/>
        </w:rPr>
        <w:t>2014 Infrastructure Order</w:t>
      </w:r>
      <w:r w:rsidRPr="00AF42A7">
        <w:t xml:space="preserve">, 29 FCC </w:t>
      </w:r>
      <w:r w:rsidRPr="00AF42A7">
        <w:t>Rcd</w:t>
      </w:r>
      <w:r w:rsidRPr="00AF42A7">
        <w:t xml:space="preserve"> at 12949, para. 198 (“For other towers and all base stations, we further restrict the site to that area in proximity to the structure and to other transmission equipment already deployed on the ground”).</w:t>
      </w:r>
    </w:p>
  </w:footnote>
  <w:footnote w:id="101">
    <w:p w:rsidR="006908DB" w:rsidRPr="007C6360" w:rsidP="007B43B9" w14:paraId="77CE7A4A" w14:textId="725CB3CD">
      <w:pPr>
        <w:pStyle w:val="FootnoteText"/>
      </w:pPr>
      <w:r w:rsidRPr="00A70EC8">
        <w:rPr>
          <w:rStyle w:val="FootnoteReference"/>
        </w:rPr>
        <w:footnoteRef/>
      </w:r>
      <w:r w:rsidRPr="00A70EC8">
        <w:t xml:space="preserve"> </w:t>
      </w:r>
      <w:r w:rsidRPr="00AF42A7">
        <w:rPr>
          <w:i/>
          <w:iCs/>
        </w:rPr>
        <w:t>Id.</w:t>
      </w:r>
      <w:r w:rsidRPr="002D3456">
        <w:rPr>
          <w:i/>
        </w:rPr>
        <w:t xml:space="preserve"> </w:t>
      </w:r>
      <w:r w:rsidRPr="00A70EC8">
        <w:t xml:space="preserve">at 12948, para. 195. </w:t>
      </w:r>
    </w:p>
  </w:footnote>
  <w:footnote w:id="102">
    <w:p w:rsidR="006908DB" w:rsidRPr="00AF42A7" w:rsidP="007B43B9" w14:paraId="473666D6" w14:textId="6E9369BA">
      <w:pPr>
        <w:pStyle w:val="FootnoteText"/>
      </w:pPr>
      <w:r w:rsidRPr="00A70EC8">
        <w:rPr>
          <w:rStyle w:val="FootnoteReference"/>
        </w:rPr>
        <w:footnoteRef/>
      </w:r>
      <w:r w:rsidRPr="00A70EC8">
        <w:t xml:space="preserve"> </w:t>
      </w:r>
      <w:r w:rsidRPr="007C6360">
        <w:rPr>
          <w:i/>
          <w:iCs/>
        </w:rPr>
        <w:t>See</w:t>
      </w:r>
      <w:r w:rsidRPr="00AF42A7">
        <w:t xml:space="preserve"> WIA Comments at 8 (“[T]he [proposed] rule change would not authorize providers to extend into public rights-of-way without local approval.”); American Tower Corp. Reply Comments at 4 (“WIA and other commenters have made it clear that any compound expansion rule adopted by the Commission should only apply outside of the right-of-way.”); NCTA Reply Comments at 2 (“To the extent the Commission moves ahead with this proposal, it should limit this clarification to towers not located in public rights-of-way . . . .”); Local Governments Comments at ii, 12-14 (“Should the Commission choose to move forward with its proposed rule, it should clarify . . . that a site is limited to areas outside the public rights-of-way.”); NATOA Comments at 4 (“[T]he proposal only makes sense if it is applied solely to towers outside the rights of way.”); Western Communities Coalition at 8 (arguing that the Commission’s modifications “should be limited to ‘towers outside the public rights-of-way’ . . . .”).  </w:t>
      </w:r>
    </w:p>
  </w:footnote>
  <w:footnote w:id="103">
    <w:p w:rsidR="006908DB" w:rsidRPr="007C6360" w:rsidP="007B43B9" w14:paraId="0D14069F" w14:textId="77777777">
      <w:pPr>
        <w:pStyle w:val="FootnoteText"/>
      </w:pPr>
      <w:r w:rsidRPr="00A70EC8">
        <w:rPr>
          <w:rStyle w:val="FootnoteReference"/>
        </w:rPr>
        <w:footnoteRef/>
      </w:r>
      <w:r w:rsidRPr="00A70EC8">
        <w:t xml:space="preserve"> Western Communities Coalition Comments at 16.  </w:t>
      </w:r>
    </w:p>
  </w:footnote>
  <w:footnote w:id="104">
    <w:p w:rsidR="006908DB" w:rsidRPr="00AF42A7" w:rsidP="007B43B9" w14:paraId="544EC44C" w14:textId="031BA2D3">
      <w:pPr>
        <w:pStyle w:val="FootnoteText"/>
      </w:pPr>
      <w:r w:rsidRPr="00A70EC8">
        <w:rPr>
          <w:rStyle w:val="FootnoteReference"/>
        </w:rPr>
        <w:footnoteRef/>
      </w:r>
      <w:r w:rsidRPr="00A70EC8">
        <w:t xml:space="preserve"> Both industry and locality commenters urge us to clarify that the action we might</w:t>
      </w:r>
      <w:r w:rsidRPr="007C6360">
        <w:t xml:space="preserve"> take here not affect any setback requirements that apply to a site.</w:t>
      </w:r>
      <w:r w:rsidRPr="00AF42A7">
        <w:t xml:space="preserve">  </w:t>
      </w:r>
      <w:r w:rsidRPr="00AF42A7">
        <w:rPr>
          <w:i/>
          <w:iCs/>
        </w:rPr>
        <w:t>See, e.g.</w:t>
      </w:r>
      <w:r w:rsidRPr="00AF42A7">
        <w:t>, American Tower Corp. Reply Comments at 5 (requesting that any compound expansion should be subject to generally applicable setbacks for an underlying municipal zone for the improvement proposed in the new space); Western Communities Coalition Comments at 17 (requesting that by-right expansions remain subject to generally applicable setback requirements).</w:t>
      </w:r>
    </w:p>
  </w:footnote>
  <w:footnote w:id="105">
    <w:p w:rsidR="006908DB" w:rsidRPr="00AF42A7" w:rsidP="007270D5" w14:paraId="380254B3" w14:textId="25289D76">
      <w:pPr>
        <w:pStyle w:val="FootnoteText"/>
      </w:pPr>
      <w:r w:rsidRPr="00A70EC8">
        <w:rPr>
          <w:rStyle w:val="FootnoteReference"/>
        </w:rPr>
        <w:footnoteRef/>
      </w:r>
      <w:r w:rsidRPr="00A70EC8">
        <w:t xml:space="preserve"> </w:t>
      </w:r>
      <w:r w:rsidRPr="007C6360">
        <w:t>Certain localit</w:t>
      </w:r>
      <w:r w:rsidRPr="00AF42A7">
        <w:t xml:space="preserve">ies have raised concerns regarding easements.  </w:t>
      </w:r>
      <w:r w:rsidRPr="00AF42A7">
        <w:rPr>
          <w:i/>
          <w:iCs/>
        </w:rPr>
        <w:t xml:space="preserve">See </w:t>
      </w:r>
      <w:r w:rsidRPr="00AF42A7">
        <w:t>Local Governments Comments at 7 (requesting that the Commission clarify whether “the right to deploy and make excavations cover the whole area including the utility easement”); NATOA Comments at 5 (“</w:t>
      </w:r>
      <w:r>
        <w:t>[T]</w:t>
      </w:r>
      <w:r w:rsidRPr="00AF42A7">
        <w:t xml:space="preserve">he Commission should make clear that, although the definition includes ‘easements related to the site,’ any limits included in those easements at time of last approval continue to apply and cannot be undermined by an EFR.”). </w:t>
      </w:r>
    </w:p>
  </w:footnote>
  <w:footnote w:id="106">
    <w:p w:rsidR="006908DB" w:rsidRPr="00AF42A7" w14:paraId="2195F7CC" w14:textId="763AE237">
      <w:pPr>
        <w:pStyle w:val="FootnoteText"/>
      </w:pPr>
      <w:r w:rsidRPr="00A70EC8">
        <w:rPr>
          <w:rStyle w:val="FootnoteReference"/>
        </w:rPr>
        <w:footnoteRef/>
      </w:r>
      <w:r w:rsidRPr="00A70EC8">
        <w:t xml:space="preserve"> </w:t>
      </w:r>
      <w:r w:rsidRPr="007C6360">
        <w:rPr>
          <w:i/>
          <w:iCs/>
        </w:rPr>
        <w:t>See 2014 Infrastructure Order</w:t>
      </w:r>
      <w:r w:rsidRPr="00AF42A7">
        <w:t xml:space="preserve">, 29 FCC </w:t>
      </w:r>
      <w:r w:rsidRPr="00AF42A7">
        <w:t>Rcd</w:t>
      </w:r>
      <w:r w:rsidRPr="00AF42A7">
        <w:rPr>
          <w:i/>
        </w:rPr>
        <w:t xml:space="preserve"> </w:t>
      </w:r>
      <w:r w:rsidRPr="00AF42A7">
        <w:t xml:space="preserve">at 12950-51, para. 201 (stating that “legal, non-conforming structures should be available for modification under Section 6409(a), as long as the modification itself does not ‘substantially change’ the physical dimensions of the supporting structure,” and rejecting a proposal that would enable changes to local zoning codes to render existing structures unavailable for collocation); </w:t>
      </w:r>
      <w:r w:rsidRPr="00AF42A7">
        <w:rPr>
          <w:i/>
          <w:iCs/>
        </w:rPr>
        <w:t xml:space="preserve">see also </w:t>
      </w:r>
      <w:r w:rsidRPr="00AF42A7">
        <w:t xml:space="preserve">Crown Castle Oct. 20 </w:t>
      </w:r>
      <w:r w:rsidRPr="00AF42A7">
        <w:rPr>
          <w:i/>
          <w:iCs/>
        </w:rPr>
        <w:t xml:space="preserve">Ex Parte </w:t>
      </w:r>
      <w:r w:rsidRPr="00AF42A7">
        <w:t xml:space="preserve">Letter at 4 (requesting that we affirm this point from the </w:t>
      </w:r>
      <w:r w:rsidRPr="00AF42A7">
        <w:rPr>
          <w:i/>
          <w:iCs/>
        </w:rPr>
        <w:t>2014 Infrastructure Order</w:t>
      </w:r>
      <w:r w:rsidRPr="00AF42A7">
        <w:t xml:space="preserve">). </w:t>
      </w:r>
    </w:p>
  </w:footnote>
  <w:footnote w:id="107">
    <w:p w:rsidR="006908DB" w:rsidRPr="00AF42A7" w:rsidP="00160889" w14:paraId="482512DB" w14:textId="77777777">
      <w:pPr>
        <w:pStyle w:val="FootnoteText"/>
      </w:pPr>
      <w:r w:rsidRPr="00A70EC8">
        <w:rPr>
          <w:rStyle w:val="FootnoteReference"/>
        </w:rPr>
        <w:footnoteRef/>
      </w:r>
      <w:r w:rsidRPr="00A70EC8">
        <w:t xml:space="preserve"> </w:t>
      </w:r>
      <w:r w:rsidRPr="007C6360">
        <w:rPr>
          <w:i/>
          <w:iCs/>
        </w:rPr>
        <w:t>See, e.g.</w:t>
      </w:r>
      <w:r w:rsidRPr="00AF42A7">
        <w:t xml:space="preserve">, Illinois Municipal League Ex Parte at 2 (claiming that narrowing the substantial change definition to exclude activities of up to 30 feet would endanger the public health and welfare of communities, as localities would lose the opportunity to review activities and study their impact).  </w:t>
      </w:r>
    </w:p>
  </w:footnote>
  <w:footnote w:id="108">
    <w:p w:rsidR="006908DB" w:rsidRPr="00AF42A7" w:rsidP="00160889" w14:paraId="51513732" w14:textId="77777777">
      <w:pPr>
        <w:pStyle w:val="FootnoteText"/>
      </w:pPr>
      <w:r w:rsidRPr="00A70EC8">
        <w:rPr>
          <w:rStyle w:val="FootnoteReference"/>
        </w:rPr>
        <w:footnoteRef/>
      </w:r>
      <w:r w:rsidRPr="00A70EC8">
        <w:t xml:space="preserve"> </w:t>
      </w:r>
      <w:r w:rsidRPr="007C6360">
        <w:rPr>
          <w:i/>
          <w:iCs/>
        </w:rPr>
        <w:t>2014 Infrast</w:t>
      </w:r>
      <w:r w:rsidRPr="00AF42A7">
        <w:rPr>
          <w:i/>
          <w:iCs/>
        </w:rPr>
        <w:t>ructure Order</w:t>
      </w:r>
      <w:r w:rsidRPr="00AF42A7">
        <w:t xml:space="preserve">, 29 FCC </w:t>
      </w:r>
      <w:r w:rsidRPr="00AF42A7">
        <w:t>Rcd</w:t>
      </w:r>
      <w:r w:rsidRPr="00AF42A7">
        <w:t xml:space="preserve"> at 12951, 12956, paras. 202, 214 n.595.</w:t>
      </w:r>
    </w:p>
  </w:footnote>
  <w:footnote w:id="109">
    <w:p w:rsidR="006908DB" w:rsidRPr="007C6360" w:rsidP="00160889" w14:paraId="33BF58A0" w14:textId="4A0E4DDB">
      <w:pPr>
        <w:pStyle w:val="FootnoteText"/>
      </w:pPr>
      <w:r w:rsidRPr="00A70EC8">
        <w:rPr>
          <w:rStyle w:val="FootnoteReference"/>
        </w:rPr>
        <w:footnoteRef/>
      </w:r>
      <w:r w:rsidRPr="00A70EC8">
        <w:t xml:space="preserve"> </w:t>
      </w:r>
      <w:r w:rsidRPr="00AF42A7">
        <w:rPr>
          <w:i/>
          <w:iCs/>
        </w:rPr>
        <w:t>Id.</w:t>
      </w:r>
      <w:r w:rsidRPr="002D3456">
        <w:rPr>
          <w:i/>
        </w:rPr>
        <w:t xml:space="preserve"> </w:t>
      </w:r>
      <w:r w:rsidRPr="00A70EC8">
        <w:t>at 12951, para. 202.</w:t>
      </w:r>
    </w:p>
  </w:footnote>
  <w:footnote w:id="110">
    <w:p w:rsidR="006908DB" w:rsidRPr="00AF42A7" w:rsidP="007B43B9" w14:paraId="4D8066B2" w14:textId="77777777">
      <w:pPr>
        <w:pStyle w:val="FootnoteText"/>
      </w:pPr>
      <w:r w:rsidRPr="00A70EC8">
        <w:rPr>
          <w:rStyle w:val="FootnoteReference"/>
        </w:rPr>
        <w:footnoteRef/>
      </w:r>
      <w:r w:rsidRPr="00A70EC8">
        <w:t xml:space="preserve"> Administrative Procedure Act, 5 U.S.C. § 500 </w:t>
      </w:r>
      <w:r w:rsidRPr="007C6360">
        <w:rPr>
          <w:i/>
          <w:iCs/>
        </w:rPr>
        <w:t>et seq.</w:t>
      </w:r>
      <w:r w:rsidRPr="00AF42A7">
        <w:t xml:space="preserve"> (APA).</w:t>
      </w:r>
    </w:p>
  </w:footnote>
  <w:footnote w:id="111">
    <w:p w:rsidR="006908DB" w:rsidRPr="00AF42A7" w:rsidP="007B43B9" w14:paraId="51F0A968" w14:textId="56422BC1">
      <w:pPr>
        <w:pStyle w:val="FootnoteText"/>
      </w:pPr>
      <w:r w:rsidRPr="00A70EC8">
        <w:rPr>
          <w:rStyle w:val="FootnoteReference"/>
        </w:rPr>
        <w:footnoteRef/>
      </w:r>
      <w:r w:rsidRPr="00A70EC8">
        <w:t xml:space="preserve"> Virginia Localities Reply Comments at </w:t>
      </w:r>
      <w:r w:rsidRPr="007C6360">
        <w:t>5-6</w:t>
      </w:r>
      <w:r w:rsidRPr="00AF42A7">
        <w:t xml:space="preserve"> (“The issue is actually whether Congress intended to preempt local authority to review changes to the physical dimensions of the underlying site, as opposed to physical dimensions of a tower or base station . . . Congress clearly limited the scope of the preemption to changes to the dimensions of towers and base stations.”).</w:t>
      </w:r>
    </w:p>
  </w:footnote>
  <w:footnote w:id="112">
    <w:p w:rsidR="006908DB" w:rsidRPr="00AF42A7" w:rsidP="007B43B9" w14:paraId="189FE675" w14:textId="4395604F">
      <w:pPr>
        <w:pStyle w:val="FootnoteText"/>
      </w:pPr>
      <w:r w:rsidRPr="00A70EC8">
        <w:rPr>
          <w:rStyle w:val="FootnoteReference"/>
        </w:rPr>
        <w:footnoteRef/>
      </w:r>
      <w:r w:rsidRPr="00A70EC8">
        <w:t xml:space="preserve"> 47 C.F.R. § 1.6100(b)(9) (defining “tower” as “</w:t>
      </w:r>
      <w:r w:rsidRPr="007C6360">
        <w:t>[</w:t>
      </w:r>
      <w:r w:rsidRPr="00AF42A7">
        <w:t>a]</w:t>
      </w:r>
      <w:r w:rsidRPr="00AF42A7">
        <w:t>ny</w:t>
      </w:r>
      <w:r w:rsidRPr="00AF42A7">
        <w:t xml:space="preserve"> structure built for the sole or primary purpose of supporting any Commission-licensed or authorized antennas and their associated facilities . . . </w:t>
      </w:r>
      <w:r w:rsidRPr="00AF42A7">
        <w:rPr>
          <w:i/>
          <w:iCs/>
        </w:rPr>
        <w:t>and the associated site</w:t>
      </w:r>
      <w:r w:rsidRPr="00AF42A7">
        <w:t>.”) (emphasis added).</w:t>
      </w:r>
    </w:p>
  </w:footnote>
  <w:footnote w:id="113">
    <w:p w:rsidR="006908DB" w:rsidRPr="00AF42A7" w:rsidP="007B43B9" w14:paraId="4958CAA7" w14:textId="7608643A">
      <w:pPr>
        <w:pStyle w:val="FootnoteText"/>
      </w:pPr>
      <w:r w:rsidRPr="00A70EC8">
        <w:rPr>
          <w:rStyle w:val="FootnoteReference"/>
        </w:rPr>
        <w:footnoteRef/>
      </w:r>
      <w:r w:rsidRPr="00A70EC8">
        <w:t xml:space="preserve"> </w:t>
      </w:r>
      <w:r w:rsidRPr="007C6360">
        <w:rPr>
          <w:i/>
          <w:iCs/>
        </w:rPr>
        <w:t>Montgomery County, Md. v. FCC</w:t>
      </w:r>
      <w:r w:rsidRPr="00AF42A7">
        <w:t xml:space="preserve">, 811 F.3d at 129; </w:t>
      </w:r>
      <w:r w:rsidRPr="00AF42A7">
        <w:rPr>
          <w:i/>
          <w:iCs/>
        </w:rPr>
        <w:t>id</w:t>
      </w:r>
      <w:r w:rsidRPr="00AF42A7">
        <w:t>. at 130 (“[W]e review Petitioners’ challenge to the manner in which the FCC has defined the two terms referenced earlier: ‘substantially change’ and ‘base station.’”). </w:t>
      </w:r>
    </w:p>
  </w:footnote>
  <w:footnote w:id="114">
    <w:p w:rsidR="006908DB" w:rsidRPr="00AF42A7" w:rsidP="007B43B9" w14:paraId="6E6352B0" w14:textId="5534610B">
      <w:pPr>
        <w:pStyle w:val="FootnoteText"/>
      </w:pPr>
      <w:r w:rsidRPr="00A70EC8">
        <w:rPr>
          <w:rStyle w:val="FootnoteReference"/>
        </w:rPr>
        <w:footnoteRef/>
      </w:r>
      <w:r w:rsidRPr="00A70EC8">
        <w:rPr>
          <w:i/>
        </w:rPr>
        <w:t xml:space="preserve"> </w:t>
      </w:r>
      <w:r w:rsidRPr="00AF42A7">
        <w:rPr>
          <w:i/>
        </w:rPr>
        <w:t>Id.</w:t>
      </w:r>
      <w:r w:rsidRPr="002D3456">
        <w:rPr>
          <w:i/>
        </w:rPr>
        <w:t xml:space="preserve"> </w:t>
      </w:r>
      <w:r w:rsidRPr="00A70EC8">
        <w:t xml:space="preserve">at 129 n.5 (“Petitioners do not dispute that </w:t>
      </w:r>
      <w:r w:rsidRPr="007C6360">
        <w:t>the term ‘substantial’ is ambiguous.”).</w:t>
      </w:r>
    </w:p>
  </w:footnote>
  <w:footnote w:id="115">
    <w:p w:rsidR="006908DB" w:rsidRPr="00AF42A7" w:rsidP="007B43B9" w14:paraId="73682AF6" w14:textId="301B4456">
      <w:pPr>
        <w:pStyle w:val="FootnoteText"/>
      </w:pPr>
      <w:r w:rsidRPr="00A70EC8">
        <w:rPr>
          <w:rStyle w:val="FootnoteReference"/>
        </w:rPr>
        <w:footnoteRef/>
      </w:r>
      <w:r w:rsidRPr="00AF42A7">
        <w:t xml:space="preserve"> </w:t>
      </w:r>
      <w:r w:rsidRPr="00AF42A7">
        <w:rPr>
          <w:i/>
          <w:iCs/>
        </w:rPr>
        <w:t>Id.</w:t>
      </w:r>
      <w:r w:rsidRPr="002D3456">
        <w:rPr>
          <w:i/>
        </w:rPr>
        <w:t xml:space="preserve"> </w:t>
      </w:r>
      <w:r w:rsidRPr="00A70EC8">
        <w:t xml:space="preserve">at 127; </w:t>
      </w:r>
      <w:r w:rsidRPr="007C6360">
        <w:rPr>
          <w:i/>
          <w:iCs/>
        </w:rPr>
        <w:t xml:space="preserve">see id. </w:t>
      </w:r>
      <w:r w:rsidRPr="00AF42A7">
        <w:t>at 130 (“It was not unreasonable for the FCC to supply a strictly numerical definition of substantiality in this context, because the physical dimensions of objects are, by their very nature, suitable for regulation through quantifiable standards.”).</w:t>
      </w:r>
    </w:p>
  </w:footnote>
  <w:footnote w:id="116">
    <w:p w:rsidR="006908DB" w:rsidRPr="00AF42A7" w14:paraId="70CBF414" w14:textId="0DCFD6C7">
      <w:pPr>
        <w:pStyle w:val="FootnoteText"/>
      </w:pPr>
      <w:r w:rsidRPr="00A70EC8">
        <w:rPr>
          <w:rStyle w:val="FootnoteReference"/>
        </w:rPr>
        <w:footnoteRef/>
      </w:r>
      <w:r w:rsidRPr="00A70EC8">
        <w:t xml:space="preserve"> Virginia Localities Reply Comments at 16; </w:t>
      </w:r>
      <w:r w:rsidRPr="007C6360">
        <w:rPr>
          <w:i/>
          <w:iCs/>
        </w:rPr>
        <w:t>see also</w:t>
      </w:r>
      <w:r w:rsidRPr="00AF42A7">
        <w:t xml:space="preserve"> Local Governments Comments at 4 (claiming that the Commission’s failure to provide either a proposed rule or an unambiguous description of the proposed rule changes fails to pass muster of the APA requirements); NATOA Comments at 3 n.13 (expressing concern with the absence of proposed rule language).</w:t>
      </w:r>
    </w:p>
  </w:footnote>
  <w:footnote w:id="117">
    <w:p w:rsidR="006908DB" w:rsidRPr="007C6360" w14:paraId="5291B9EF" w14:textId="746CE685">
      <w:pPr>
        <w:pStyle w:val="FootnoteText"/>
      </w:pPr>
      <w:r w:rsidRPr="00A70EC8">
        <w:rPr>
          <w:rStyle w:val="FootnoteReference"/>
        </w:rPr>
        <w:footnoteRef/>
      </w:r>
      <w:r w:rsidRPr="00A70EC8">
        <w:t xml:space="preserve"> Local Governments Comments at 5-8.</w:t>
      </w:r>
    </w:p>
  </w:footnote>
  <w:footnote w:id="118">
    <w:p w:rsidR="006908DB" w:rsidRPr="007C6360" w14:paraId="3E7F5335" w14:textId="473928BF">
      <w:pPr>
        <w:pStyle w:val="FootnoteText"/>
      </w:pPr>
      <w:r w:rsidRPr="00A70EC8">
        <w:rPr>
          <w:rStyle w:val="FootnoteReference"/>
        </w:rPr>
        <w:footnoteRef/>
      </w:r>
      <w:r w:rsidRPr="00A70EC8">
        <w:t xml:space="preserve"> Western Communities Coalition Comments at 5. </w:t>
      </w:r>
    </w:p>
  </w:footnote>
  <w:footnote w:id="119">
    <w:p w:rsidR="006908DB" w:rsidRPr="00AF42A7" w14:paraId="73E0AF96" w14:textId="17F8C07F">
      <w:pPr>
        <w:pStyle w:val="FootnoteText"/>
      </w:pPr>
      <w:r w:rsidRPr="00A70EC8">
        <w:rPr>
          <w:rStyle w:val="FootnoteReference"/>
        </w:rPr>
        <w:footnoteRef/>
      </w:r>
      <w:r w:rsidRPr="00A70EC8">
        <w:t xml:space="preserve"> 5 U.S.C. § 553(b)(3) (emphasis added)</w:t>
      </w:r>
      <w:r w:rsidRPr="007C6360">
        <w:t>.</w:t>
      </w:r>
    </w:p>
  </w:footnote>
  <w:footnote w:id="120">
    <w:p w:rsidR="006908DB" w:rsidRPr="00AF42A7" w:rsidP="007B43B9" w14:paraId="3BA283C1" w14:textId="7CD11A75">
      <w:pPr>
        <w:pStyle w:val="FootnoteText"/>
      </w:pPr>
      <w:r w:rsidRPr="00A70EC8">
        <w:rPr>
          <w:rStyle w:val="FootnoteReference"/>
        </w:rPr>
        <w:footnoteRef/>
      </w:r>
      <w:r w:rsidRPr="00A70EC8">
        <w:t xml:space="preserve"> </w:t>
      </w:r>
      <w:r w:rsidRPr="00A70EC8">
        <w:rPr>
          <w:i/>
          <w:iCs/>
        </w:rPr>
        <w:t>Honeywell International, Inc. v. EPA</w:t>
      </w:r>
      <w:r w:rsidRPr="007C6360">
        <w:t>, 372 F.3d 441, 445 (D.C. Cir. 2004) (internal quotati</w:t>
      </w:r>
      <w:r w:rsidRPr="00AF42A7">
        <w:t xml:space="preserve">on marks omitted); </w:t>
      </w:r>
      <w:r w:rsidRPr="00AF42A7">
        <w:rPr>
          <w:i/>
          <w:iCs/>
        </w:rPr>
        <w:t>Agape Church, Inc. v. FCC</w:t>
      </w:r>
      <w:r w:rsidRPr="00AF42A7">
        <w:t xml:space="preserve">, 738 F.3d 397, 411 (D.C. Cir. 2013) (holding that an agency’s final rule “need not be the one proposed in the NPRM,” but rather “‘need only be a logical outgrowth of its notice’”) (quoting </w:t>
      </w:r>
      <w:r w:rsidRPr="00AF42A7">
        <w:rPr>
          <w:i/>
          <w:iCs/>
        </w:rPr>
        <w:t>Covad</w:t>
      </w:r>
      <w:r w:rsidRPr="00AF42A7">
        <w:rPr>
          <w:i/>
          <w:iCs/>
        </w:rPr>
        <w:t xml:space="preserve"> Communications Co. v. FCC</w:t>
      </w:r>
      <w:r w:rsidRPr="00AF42A7">
        <w:t>, 450 F.3d 528, 548 (D.C. Cir. 2006)).</w:t>
      </w:r>
    </w:p>
  </w:footnote>
  <w:footnote w:id="121">
    <w:p w:rsidR="006908DB" w:rsidRPr="00AF42A7" w14:paraId="6CBFF1F7" w14:textId="597BC89D">
      <w:pPr>
        <w:pStyle w:val="FootnoteText"/>
      </w:pPr>
      <w:r w:rsidRPr="00A70EC8">
        <w:rPr>
          <w:rStyle w:val="FootnoteReference"/>
        </w:rPr>
        <w:footnoteRef/>
      </w:r>
      <w:r w:rsidRPr="00A70EC8">
        <w:t xml:space="preserve"> </w:t>
      </w:r>
      <w:r w:rsidRPr="00A70EC8">
        <w:rPr>
          <w:i/>
          <w:iCs/>
        </w:rPr>
        <w:t>Notice</w:t>
      </w:r>
      <w:r w:rsidRPr="007C6360">
        <w:t xml:space="preserve">, 35 FCC </w:t>
      </w:r>
      <w:r w:rsidRPr="007C6360">
        <w:t>Rcd</w:t>
      </w:r>
      <w:r w:rsidRPr="007C6360">
        <w:t xml:space="preserve"> at 600</w:t>
      </w:r>
      <w:r w:rsidRPr="00AF42A7">
        <w:t>3-04, paras. 51-54.</w:t>
      </w:r>
    </w:p>
  </w:footnote>
  <w:footnote w:id="122">
    <w:p w:rsidR="006908DB" w:rsidRPr="00AF42A7" w:rsidP="007B43B9" w14:paraId="176EB123" w14:textId="7B3DE568">
      <w:pPr>
        <w:pStyle w:val="FootnoteText"/>
      </w:pPr>
      <w:r w:rsidRPr="00A70EC8">
        <w:rPr>
          <w:rStyle w:val="FootnoteReference"/>
        </w:rPr>
        <w:footnoteRef/>
      </w:r>
      <w:r w:rsidRPr="00AF42A7">
        <w:t xml:space="preserve"> </w:t>
      </w:r>
      <w:r w:rsidRPr="00AF42A7">
        <w:rPr>
          <w:i/>
          <w:iCs/>
        </w:rPr>
        <w:t>Id.</w:t>
      </w:r>
      <w:r w:rsidRPr="002D3456">
        <w:rPr>
          <w:i/>
        </w:rPr>
        <w:t xml:space="preserve"> </w:t>
      </w:r>
      <w:r w:rsidRPr="00A70EC8">
        <w:t>at 6004, para. 55 (“[W]e propose to revise the definition of ‘site’ in section 1.6100(b)(6) to make clear that ‘site’ refers to the boundary of the leased or owned property surroun</w:t>
      </w:r>
      <w:r w:rsidRPr="007C6360">
        <w:t>ding the tower and any access or utility easements currently related to the site as of the date that the facility was last reviewed and approved by a locality.  We further propose to amend section 1.6100(b)(7)(iv</w:t>
      </w:r>
      <w:r w:rsidRPr="00AF42A7">
        <w:t>) so that modification of an existing facility that entails ground excavation or deployment of up to 30 feet in any direction outside the facility’s site will be eligible for streamlined processing under section 6409(a).”).</w:t>
      </w:r>
    </w:p>
  </w:footnote>
  <w:footnote w:id="123">
    <w:p w:rsidR="006908DB" w:rsidRPr="00AF42A7" w:rsidP="007B43B9" w14:paraId="0C8E54D9" w14:textId="77381E00">
      <w:pPr>
        <w:pStyle w:val="FootnoteText"/>
      </w:pPr>
      <w:r w:rsidRPr="00A70EC8">
        <w:rPr>
          <w:rStyle w:val="FootnoteReference"/>
        </w:rPr>
        <w:footnoteRef/>
      </w:r>
      <w:r w:rsidRPr="00AF42A7">
        <w:t xml:space="preserve"> </w:t>
      </w:r>
      <w:r w:rsidRPr="00AF42A7">
        <w:rPr>
          <w:i/>
          <w:iCs/>
        </w:rPr>
        <w:t>Id.</w:t>
      </w:r>
      <w:r w:rsidRPr="002D3456">
        <w:rPr>
          <w:i/>
        </w:rPr>
        <w:t xml:space="preserve"> </w:t>
      </w:r>
      <w:r w:rsidRPr="00A70EC8">
        <w:t xml:space="preserve">at 6004, para. 56 (“Alternatively, we seek comment </w:t>
      </w:r>
      <w:r w:rsidRPr="007C6360">
        <w:t xml:space="preserve">on whether we should revise the definition of site in section 1.6100(b)(6), as proposed above, without making the proposed change to section 1.6100(b)(7)(iv) for excavation or deployment of up to 30 feet outside </w:t>
      </w:r>
      <w:r w:rsidRPr="00AF42A7">
        <w:t xml:space="preserve">the site. As another option, we seek comment on whether to define site in section 1.6100(b)(6) as the boundary of the leased or owned property surrounding the tower and any access or utility easements related to the site </w:t>
      </w:r>
      <w:r w:rsidRPr="00AF42A7">
        <w:rPr>
          <w:i/>
        </w:rPr>
        <w:t>as of the date an applicant submits a modification request</w:t>
      </w:r>
      <w:r w:rsidRPr="00AF42A7">
        <w:rPr>
          <w:i/>
          <w:iCs/>
        </w:rPr>
        <w:t>.</w:t>
      </w:r>
      <w:r w:rsidRPr="00AF42A7">
        <w:t xml:space="preserve">”); </w:t>
      </w:r>
      <w:r w:rsidRPr="00AF42A7">
        <w:rPr>
          <w:i/>
          <w:iCs/>
        </w:rPr>
        <w:t>see also Horsehead Res. Dev. Co., Inc. v. Browner,</w:t>
      </w:r>
      <w:r w:rsidRPr="00AF42A7">
        <w:t xml:space="preserve"> 16 F.3d 1246, 1268 (D.C.Cir.1994) (holding that a notice “must describe the range of alternatives being considered with reasonable specificity.  Otherwise, interested parties will not know what to comment on, and notice will not lead to better-informed agency decision-making.’”) (internal citations omitted). </w:t>
      </w:r>
    </w:p>
  </w:footnote>
  <w:footnote w:id="124">
    <w:p w:rsidR="006908DB" w:rsidRPr="00AF42A7" w14:paraId="58808247" w14:textId="3E4DD9CE">
      <w:pPr>
        <w:pStyle w:val="FootnoteText"/>
      </w:pPr>
      <w:r w:rsidRPr="00A70EC8">
        <w:rPr>
          <w:rStyle w:val="FootnoteReference"/>
        </w:rPr>
        <w:footnoteRef/>
      </w:r>
      <w:r w:rsidRPr="00A70EC8">
        <w:t xml:space="preserve"> </w:t>
      </w:r>
      <w:r w:rsidRPr="00A70EC8">
        <w:rPr>
          <w:i/>
          <w:iCs/>
        </w:rPr>
        <w:t>Notice</w:t>
      </w:r>
      <w:r w:rsidRPr="007C6360">
        <w:t>, 35 F</w:t>
      </w:r>
      <w:r w:rsidRPr="00AF42A7">
        <w:t xml:space="preserve">CC </w:t>
      </w:r>
      <w:r w:rsidRPr="00AF42A7">
        <w:t>Rcd</w:t>
      </w:r>
      <w:r w:rsidRPr="00AF42A7">
        <w:t xml:space="preserve"> at 6004, paras. 54, 56. </w:t>
      </w:r>
    </w:p>
  </w:footnote>
  <w:footnote w:id="125">
    <w:p w:rsidR="006908DB" w:rsidRPr="00AF42A7" w14:paraId="47C714BE" w14:textId="4BA98E46">
      <w:pPr>
        <w:pStyle w:val="FootnoteText"/>
      </w:pPr>
      <w:r w:rsidRPr="00A70EC8">
        <w:rPr>
          <w:rStyle w:val="FootnoteReference"/>
        </w:rPr>
        <w:footnoteRef/>
      </w:r>
      <w:r w:rsidRPr="00A70EC8">
        <w:t xml:space="preserve"> </w:t>
      </w:r>
      <w:r w:rsidRPr="00A70EC8">
        <w:rPr>
          <w:i/>
          <w:iCs/>
        </w:rPr>
        <w:t>Notice</w:t>
      </w:r>
      <w:r w:rsidRPr="007C6360">
        <w:t>, 35 F</w:t>
      </w:r>
      <w:r w:rsidRPr="00AF42A7">
        <w:t xml:space="preserve">CC </w:t>
      </w:r>
      <w:r w:rsidRPr="00AF42A7">
        <w:t>Rcd</w:t>
      </w:r>
      <w:r w:rsidRPr="00AF42A7">
        <w:t xml:space="preserve"> at 6004, para. 56.</w:t>
      </w:r>
    </w:p>
  </w:footnote>
  <w:footnote w:id="126">
    <w:p w:rsidR="006908DB" w:rsidRPr="00AF42A7" w:rsidP="007B43B9" w14:paraId="4B59C719" w14:textId="42C3F67C">
      <w:pPr>
        <w:pStyle w:val="FootnoteText"/>
        <w:rPr>
          <w:b/>
          <w:bCs/>
        </w:rPr>
      </w:pPr>
      <w:r w:rsidRPr="00A70EC8">
        <w:rPr>
          <w:rStyle w:val="FootnoteReference"/>
        </w:rPr>
        <w:footnoteRef/>
      </w:r>
      <w:r w:rsidRPr="00A70EC8">
        <w:t xml:space="preserve"> </w:t>
      </w:r>
      <w:r w:rsidRPr="00A70EC8">
        <w:rPr>
          <w:i/>
          <w:iCs/>
        </w:rPr>
        <w:t>See, e.g.</w:t>
      </w:r>
      <w:r w:rsidRPr="007C6360">
        <w:t>, Local Governments Comme</w:t>
      </w:r>
      <w:r w:rsidRPr="00AF42A7">
        <w:t>nts at 12-15; NATOA Comments at 3-5; Western Communities Coalition Comments at 8-17; Virginia Localities Reply Comments at 19-22.</w:t>
      </w:r>
    </w:p>
  </w:footnote>
  <w:footnote w:id="127">
    <w:p w:rsidR="006908DB" w:rsidRPr="00AF42A7" w:rsidP="007B43B9" w14:paraId="4E37E1BF" w14:textId="4325A99A">
      <w:pPr>
        <w:pStyle w:val="FootnoteText"/>
      </w:pPr>
      <w:r w:rsidRPr="00A70EC8">
        <w:rPr>
          <w:rStyle w:val="FootnoteReference"/>
        </w:rPr>
        <w:footnoteRef/>
      </w:r>
      <w:r w:rsidRPr="00A70EC8">
        <w:t xml:space="preserve"> </w:t>
      </w:r>
      <w:r w:rsidRPr="00A70EC8">
        <w:rPr>
          <w:i/>
          <w:iCs/>
        </w:rPr>
        <w:t xml:space="preserve">See </w:t>
      </w:r>
      <w:r w:rsidRPr="007C6360">
        <w:t>Local Governments Reply Comments at 3-</w:t>
      </w:r>
      <w:r w:rsidRPr="00AF42A7">
        <w:t xml:space="preserve">5.  </w:t>
      </w:r>
    </w:p>
  </w:footnote>
  <w:footnote w:id="128">
    <w:p w:rsidR="006908DB" w:rsidRPr="007C6360" w:rsidP="007B43B9" w14:paraId="50DC4A28" w14:textId="77777777">
      <w:pPr>
        <w:pStyle w:val="FootnoteText"/>
      </w:pPr>
      <w:r w:rsidRPr="00A70EC8">
        <w:rPr>
          <w:rStyle w:val="FootnoteReference"/>
        </w:rPr>
        <w:footnoteRef/>
      </w:r>
      <w:r w:rsidRPr="00A70EC8">
        <w:t xml:space="preserve"> Preamble, Telecommunications Act of 1996, P.L. 104-104, 100 Stat. 56 (1996).</w:t>
      </w:r>
    </w:p>
  </w:footnote>
  <w:footnote w:id="129">
    <w:p w:rsidR="006908DB" w:rsidRPr="00AF42A7" w:rsidP="007B43B9" w14:paraId="2E15BE58" w14:textId="77777777">
      <w:pPr>
        <w:pStyle w:val="FootnoteText"/>
      </w:pPr>
      <w:r w:rsidRPr="00A70EC8">
        <w:rPr>
          <w:rStyle w:val="FootnoteReference"/>
        </w:rPr>
        <w:footnoteRef/>
      </w:r>
      <w:r w:rsidRPr="00A70EC8">
        <w:t xml:space="preserve"> </w:t>
      </w:r>
      <w:r w:rsidRPr="00A70EC8">
        <w:rPr>
          <w:i/>
          <w:iCs/>
        </w:rPr>
        <w:t>See 2014 Infrastructure Order</w:t>
      </w:r>
      <w:r w:rsidRPr="007C6360">
        <w:t xml:space="preserve">, 29 FCC </w:t>
      </w:r>
      <w:r w:rsidRPr="007C6360">
        <w:t>Rcd</w:t>
      </w:r>
      <w:r w:rsidRPr="007C6360">
        <w:t xml:space="preserve"> at 12872, para. 15 (“We accordingly adopt rules that clarify [section 6409(a)’s] terms and enforce their requirements, thus advancing </w:t>
      </w:r>
      <w:r w:rsidRPr="00AF42A7">
        <w:t xml:space="preserve">Congress’ goal of facilitating rapid deployment.”).  </w:t>
      </w:r>
    </w:p>
  </w:footnote>
  <w:footnote w:id="130">
    <w:p w:rsidR="006908DB" w:rsidRPr="007C6360" w:rsidP="00F15919" w14:paraId="304DFC3A" w14:textId="737C18DB">
      <w:pPr>
        <w:widowControl/>
        <w:autoSpaceDE w:val="0"/>
        <w:autoSpaceDN w:val="0"/>
        <w:adjustRightInd w:val="0"/>
        <w:rPr>
          <w:snapToGrid/>
          <w:kern w:val="0"/>
          <w:sz w:val="20"/>
        </w:rPr>
      </w:pPr>
      <w:r w:rsidRPr="00A70EC8">
        <w:rPr>
          <w:rStyle w:val="FootnoteReference"/>
        </w:rPr>
        <w:footnoteRef/>
      </w:r>
      <w:r w:rsidRPr="00AF42A7">
        <w:rPr>
          <w:sz w:val="20"/>
        </w:rPr>
        <w:t xml:space="preserve"> </w:t>
      </w:r>
      <w:r w:rsidRPr="00AF42A7">
        <w:rPr>
          <w:i/>
          <w:iCs/>
          <w:sz w:val="20"/>
        </w:rPr>
        <w:t>See id.</w:t>
      </w:r>
      <w:r w:rsidRPr="002D3456">
        <w:rPr>
          <w:i/>
          <w:sz w:val="20"/>
        </w:rPr>
        <w:t xml:space="preserve"> </w:t>
      </w:r>
      <w:r w:rsidRPr="00A70EC8">
        <w:rPr>
          <w:sz w:val="20"/>
        </w:rPr>
        <w:t>at 12872, para. 15 (“</w:t>
      </w:r>
      <w:r w:rsidRPr="00A70EC8">
        <w:rPr>
          <w:snapToGrid/>
          <w:kern w:val="0"/>
          <w:sz w:val="20"/>
        </w:rPr>
        <w:t>By requiring timely</w:t>
      </w:r>
    </w:p>
    <w:p w:rsidR="006908DB" w:rsidRPr="00AF42A7" w:rsidP="00F15919" w14:paraId="3AD1FE2F" w14:textId="77777777">
      <w:pPr>
        <w:widowControl/>
        <w:autoSpaceDE w:val="0"/>
        <w:autoSpaceDN w:val="0"/>
        <w:adjustRightInd w:val="0"/>
        <w:rPr>
          <w:snapToGrid/>
          <w:kern w:val="0"/>
          <w:sz w:val="20"/>
        </w:rPr>
      </w:pPr>
      <w:r w:rsidRPr="00AF42A7">
        <w:rPr>
          <w:snapToGrid/>
          <w:kern w:val="0"/>
          <w:sz w:val="20"/>
        </w:rPr>
        <w:t>approval of eligible requests, Congress intended to advance wireless broadband service for both public</w:t>
      </w:r>
    </w:p>
    <w:p w:rsidR="006908DB" w:rsidRPr="00AF42A7" w:rsidP="00F15919" w14:paraId="566FED91" w14:textId="0741E208">
      <w:pPr>
        <w:pStyle w:val="FootnoteText"/>
      </w:pPr>
      <w:r w:rsidRPr="00AF42A7">
        <w:t>safety and commercial users.”).</w:t>
      </w:r>
    </w:p>
  </w:footnote>
  <w:footnote w:id="131">
    <w:p w:rsidR="006908DB" w:rsidRPr="007C6360" w14:paraId="5987508B" w14:textId="7760ED96">
      <w:pPr>
        <w:pStyle w:val="FootnoteText"/>
      </w:pPr>
      <w:r w:rsidRPr="00A70EC8">
        <w:rPr>
          <w:rStyle w:val="FootnoteReference"/>
        </w:rPr>
        <w:footnoteRef/>
      </w:r>
      <w:r w:rsidRPr="00A70EC8">
        <w:t xml:space="preserve"> </w:t>
      </w:r>
      <w:r w:rsidRPr="00AF42A7">
        <w:rPr>
          <w:i/>
          <w:iCs/>
        </w:rPr>
        <w:t>Id.</w:t>
      </w:r>
      <w:r w:rsidRPr="002D3456">
        <w:rPr>
          <w:i/>
        </w:rPr>
        <w:t xml:space="preserve"> </w:t>
      </w:r>
      <w:r w:rsidRPr="00A70EC8">
        <w:t>at 12872, para. 15.</w:t>
      </w:r>
    </w:p>
  </w:footnote>
  <w:footnote w:id="132">
    <w:p w:rsidR="006908DB" w:rsidRPr="00A70EC8" w:rsidP="007B43B9" w14:paraId="1333F955" w14:textId="77777777">
      <w:pPr>
        <w:pStyle w:val="FootnoteText"/>
      </w:pPr>
      <w:r w:rsidRPr="00A70EC8">
        <w:rPr>
          <w:rStyle w:val="FootnoteReference"/>
        </w:rPr>
        <w:footnoteRef/>
      </w:r>
      <w:r w:rsidRPr="00A70EC8">
        <w:t xml:space="preserve"> Western Communities Coalitions Comments at 4. </w:t>
      </w:r>
    </w:p>
  </w:footnote>
  <w:footnote w:id="133">
    <w:p w:rsidR="006908DB" w:rsidRPr="00AF42A7" w:rsidP="00E32CEE" w14:paraId="36CB470C" w14:textId="77777777">
      <w:pPr>
        <w:pStyle w:val="FootnoteText"/>
      </w:pPr>
      <w:r w:rsidRPr="00A70EC8">
        <w:rPr>
          <w:rStyle w:val="FootnoteReference"/>
        </w:rPr>
        <w:footnoteRef/>
      </w:r>
      <w:r w:rsidRPr="00A70EC8">
        <w:t xml:space="preserve"> </w:t>
      </w:r>
      <w:r w:rsidRPr="00A70EC8">
        <w:rPr>
          <w:i/>
          <w:iCs/>
        </w:rPr>
        <w:t>Omnipoint</w:t>
      </w:r>
      <w:r w:rsidRPr="00A70EC8">
        <w:rPr>
          <w:i/>
          <w:iCs/>
        </w:rPr>
        <w:t xml:space="preserve"> Corp. v. FCC, </w:t>
      </w:r>
      <w:r w:rsidRPr="007C6360">
        <w:t xml:space="preserve">78 F.3d 620 (D.C. Cir. 1996); 47 C.F.R. § 1.415(b).  </w:t>
      </w:r>
    </w:p>
  </w:footnote>
  <w:footnote w:id="134">
    <w:p w:rsidR="006908DB" w:rsidRPr="00AF42A7" w:rsidP="007B43B9" w14:paraId="754DB233" w14:textId="002CD015">
      <w:pPr>
        <w:pStyle w:val="FootnoteText"/>
      </w:pPr>
      <w:r w:rsidRPr="00A70EC8">
        <w:rPr>
          <w:rStyle w:val="FootnoteReference"/>
        </w:rPr>
        <w:footnoteRef/>
      </w:r>
      <w:r w:rsidRPr="00A70EC8">
        <w:t xml:space="preserve"> </w:t>
      </w:r>
      <w:r w:rsidRPr="00A70EC8">
        <w:rPr>
          <w:i/>
          <w:iCs/>
        </w:rPr>
        <w:t>See, e.g.</w:t>
      </w:r>
      <w:r w:rsidRPr="007C6360">
        <w:t xml:space="preserve">, Joint Comments of City of San Diego, Cal., </w:t>
      </w:r>
      <w:r w:rsidRPr="00AF42A7">
        <w:rPr>
          <w:i/>
          <w:iCs/>
        </w:rPr>
        <w:t>et al.</w:t>
      </w:r>
      <w:r w:rsidRPr="00AF42A7">
        <w:t xml:space="preserve">, WT Docket Nos. 19-250, 17-79, 17-84, RM-11849, at 48-55 (Oct. 29, 2019) (responding to WIA’s petitions requesting to clarify the definition of “site” and modify the definition of “substantial change”). </w:t>
      </w:r>
    </w:p>
  </w:footnote>
  <w:footnote w:id="135">
    <w:p w:rsidR="006908DB" w:rsidRPr="00AF42A7" w:rsidP="00E7470F" w14:paraId="233254BA" w14:textId="77777777">
      <w:pPr>
        <w:pStyle w:val="FootnoteText"/>
      </w:pPr>
      <w:r w:rsidRPr="00A70EC8">
        <w:rPr>
          <w:rStyle w:val="FootnoteReference"/>
        </w:rPr>
        <w:footnoteRef/>
      </w:r>
      <w:r w:rsidRPr="00A70EC8">
        <w:t xml:space="preserve"> </w:t>
      </w:r>
      <w:r w:rsidRPr="00A70EC8">
        <w:rPr>
          <w:i/>
          <w:iCs/>
        </w:rPr>
        <w:t xml:space="preserve">See </w:t>
      </w:r>
      <w:r w:rsidRPr="007C6360">
        <w:t>5 U.S.C. § 604.  The RFA, 5 U.S.C. §§ 601–612, was amended by the Small Business Regulatory Enfor</w:t>
      </w:r>
      <w:r w:rsidRPr="00AF42A7">
        <w:t>cement Fairness Act of 1996 (SBREFA), Pub. L. No. 104-121, Title II, 110 Stat. 857 (1996).</w:t>
      </w:r>
    </w:p>
  </w:footnote>
  <w:footnote w:id="136">
    <w:p w:rsidR="006908DB" w:rsidRPr="00A70EC8" w:rsidP="00E7470F" w14:paraId="5CE93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A70EC8">
        <w:rPr>
          <w:rStyle w:val="FootnoteReference"/>
        </w:rPr>
        <w:footnoteRef/>
      </w:r>
      <w:r w:rsidRPr="00A70EC8">
        <w:rPr>
          <w:sz w:val="20"/>
        </w:rPr>
        <w:t xml:space="preserve"> 5 U.S.C. § 605(b).</w:t>
      </w:r>
    </w:p>
  </w:footnote>
  <w:footnote w:id="137">
    <w:p w:rsidR="006908DB" w:rsidRPr="00AF42A7" w:rsidP="007A05B0" w14:paraId="4A232FD5" w14:textId="6D6F1857">
      <w:pPr>
        <w:pStyle w:val="FootnoteText"/>
      </w:pPr>
      <w:r w:rsidRPr="00A70EC8">
        <w:rPr>
          <w:rStyle w:val="FootnoteReference"/>
        </w:rPr>
        <w:footnoteRef/>
      </w:r>
      <w:r w:rsidRPr="00A70EC8">
        <w:t xml:space="preserve"> </w:t>
      </w:r>
      <w:r w:rsidRPr="00A70EC8">
        <w:rPr>
          <w:i/>
          <w:iCs/>
        </w:rPr>
        <w:t>See</w:t>
      </w:r>
      <w:r w:rsidRPr="007C6360">
        <w:t xml:space="preserve"> 5 U.S.C. § 603. The RFA, 5 U.S.C. §§ 601 – 612, has been amended by the Small Business Regulatory Enforcement Fairness Act of 1996 (SBREFA</w:t>
      </w:r>
      <w:r w:rsidRPr="00AF42A7">
        <w:t>), Pub. L. No. 104-121, Title II, 110 Stat. 857 (1996).</w:t>
      </w:r>
    </w:p>
  </w:footnote>
  <w:footnote w:id="138">
    <w:p w:rsidR="006908DB" w:rsidRPr="00AF42A7" w:rsidP="007A05B0" w14:paraId="42EECCD4" w14:textId="16E84EE4">
      <w:pPr>
        <w:pStyle w:val="FootnoteText"/>
      </w:pPr>
      <w:r w:rsidRPr="00A70EC8">
        <w:rPr>
          <w:rStyle w:val="FootnoteReference"/>
        </w:rPr>
        <w:footnoteRef/>
      </w:r>
      <w:r w:rsidRPr="00A70EC8">
        <w:t xml:space="preserve"> </w:t>
      </w:r>
      <w:r w:rsidRPr="00A70EC8">
        <w:rPr>
          <w:i/>
          <w:iCs/>
        </w:rPr>
        <w:t>Implementation of State and Local Governments’ Obligation t</w:t>
      </w:r>
      <w:r w:rsidRPr="007C6360">
        <w:rPr>
          <w:i/>
          <w:iCs/>
        </w:rPr>
        <w:t xml:space="preserve">o Approve Certain Wireless Facility Modification </w:t>
      </w:r>
      <w:r w:rsidRPr="00AF42A7">
        <w:rPr>
          <w:i/>
        </w:rPr>
        <w:t>Requests Under Section 6409(a) of the Spectrum Act of 2012</w:t>
      </w:r>
      <w:r w:rsidRPr="00AF42A7">
        <w:t xml:space="preserve">, WT Docket No. 19-250, RM-11849, Declaratory Ruling and Notice of Proposed Rulemaking, 35 FCC </w:t>
      </w:r>
      <w:r w:rsidRPr="00AF42A7">
        <w:t>Rcd</w:t>
      </w:r>
      <w:r w:rsidRPr="00AF42A7">
        <w:t xml:space="preserve"> 5977 (2020) (</w:t>
      </w:r>
      <w:r w:rsidRPr="00AF42A7">
        <w:rPr>
          <w:i/>
        </w:rPr>
        <w:t>Notice</w:t>
      </w:r>
      <w:r w:rsidRPr="00AF42A7">
        <w:t>)</w:t>
      </w:r>
      <w:r w:rsidRPr="00AF42A7">
        <w:rPr>
          <w:iCs/>
        </w:rPr>
        <w:t>.</w:t>
      </w:r>
    </w:p>
  </w:footnote>
  <w:footnote w:id="139">
    <w:p w:rsidR="006908DB" w:rsidRPr="00AF42A7" w:rsidP="007A05B0" w14:paraId="5E34C1AC" w14:textId="77777777">
      <w:pPr>
        <w:pStyle w:val="FootnoteText"/>
      </w:pPr>
      <w:r w:rsidRPr="00A70EC8">
        <w:rPr>
          <w:rStyle w:val="FootnoteReference"/>
        </w:rPr>
        <w:footnoteRef/>
      </w:r>
      <w:r w:rsidRPr="00A70EC8">
        <w:t xml:space="preserve"> </w:t>
      </w:r>
      <w:r w:rsidRPr="00A70EC8">
        <w:rPr>
          <w:i/>
          <w:iCs/>
        </w:rPr>
        <w:t>See</w:t>
      </w:r>
      <w:r w:rsidRPr="007C6360">
        <w:t xml:space="preserve"> 5 U.S.C. § 604.</w:t>
      </w:r>
    </w:p>
  </w:footnote>
  <w:footnote w:id="140">
    <w:p w:rsidR="006908DB" w:rsidRPr="00AF42A7" w:rsidP="007A05B0" w14:paraId="28F6C977" w14:textId="48149DF4">
      <w:pPr>
        <w:pStyle w:val="FootnoteText"/>
      </w:pPr>
      <w:r w:rsidRPr="00A70EC8">
        <w:rPr>
          <w:rStyle w:val="FootnoteReference"/>
        </w:rPr>
        <w:footnoteRef/>
      </w:r>
      <w:r w:rsidRPr="00A70EC8">
        <w:t xml:space="preserve"> Middle Class Tax Relief and Job Creation Act of 2012, Pub. L. No. 112-96, </w:t>
      </w:r>
      <w:r w:rsidRPr="007C6360">
        <w:t>T</w:t>
      </w:r>
      <w:r w:rsidRPr="00AF42A7">
        <w:t>itle VI (Spectrum Act of 2012), § 6409(a), 126 Stat. 156, 232-33 (Feb. 22, 2012) (codified at 47 U.S.C. § 1455(a))</w:t>
      </w:r>
      <w:r w:rsidRPr="00AF42A7">
        <w:rPr>
          <w:snapToGrid w:val="0"/>
        </w:rPr>
        <w:t>.</w:t>
      </w:r>
    </w:p>
  </w:footnote>
  <w:footnote w:id="141">
    <w:p w:rsidR="006908DB" w:rsidRPr="00AF42A7" w:rsidP="0057388E" w14:paraId="43F5E93D" w14:textId="51DFF2CA">
      <w:pPr>
        <w:pStyle w:val="FootnoteText"/>
      </w:pPr>
      <w:r w:rsidRPr="00A70EC8">
        <w:rPr>
          <w:rStyle w:val="FootnoteReference"/>
        </w:rPr>
        <w:footnoteRef/>
      </w:r>
      <w:r w:rsidRPr="00A70EC8">
        <w:t xml:space="preserve"> </w:t>
      </w:r>
      <w:r w:rsidRPr="00A70EC8">
        <w:rPr>
          <w:i/>
          <w:iCs/>
        </w:rPr>
        <w:t xml:space="preserve">See </w:t>
      </w:r>
      <w:r w:rsidRPr="007C6360">
        <w:t xml:space="preserve">47 CFR § 1.6100(b)(7)(iv). </w:t>
      </w:r>
    </w:p>
  </w:footnote>
  <w:footnote w:id="142">
    <w:p w:rsidR="006908DB" w:rsidRPr="00031710" w14:paraId="04990F57" w14:textId="2D2F2F69">
      <w:pPr>
        <w:pStyle w:val="FootnoteText"/>
        <w:rPr>
          <w:i/>
          <w:iCs/>
        </w:rPr>
      </w:pPr>
      <w:r>
        <w:rPr>
          <w:rStyle w:val="FootnoteReference"/>
        </w:rPr>
        <w:footnoteRef/>
      </w:r>
      <w:r>
        <w:t xml:space="preserve"> </w:t>
      </w:r>
      <w:r>
        <w:rPr>
          <w:i/>
          <w:iCs/>
        </w:rPr>
        <w:t>See id.</w:t>
      </w:r>
    </w:p>
  </w:footnote>
  <w:footnote w:id="143">
    <w:p w:rsidR="006908DB" w:rsidRPr="00AF42A7" w:rsidP="007A05B0" w14:paraId="1E9B95E0" w14:textId="77777777">
      <w:pPr>
        <w:pStyle w:val="FootnoteText"/>
        <w:rPr>
          <w:i/>
          <w:iCs/>
        </w:rPr>
      </w:pPr>
      <w:r w:rsidRPr="00A70EC8">
        <w:rPr>
          <w:rStyle w:val="FootnoteReference"/>
        </w:rPr>
        <w:footnoteRef/>
      </w:r>
      <w:r w:rsidRPr="00A70EC8">
        <w:t xml:space="preserve"> </w:t>
      </w:r>
      <w:r w:rsidRPr="00A70EC8">
        <w:rPr>
          <w:i/>
          <w:iCs/>
        </w:rPr>
        <w:t xml:space="preserve">See </w:t>
      </w:r>
      <w:r w:rsidRPr="007C6360">
        <w:t xml:space="preserve">47 CFR § </w:t>
      </w:r>
      <w:r w:rsidRPr="00AF42A7">
        <w:t>1.6100(b)(6).</w:t>
      </w:r>
    </w:p>
  </w:footnote>
  <w:footnote w:id="144">
    <w:p w:rsidR="006908DB" w:rsidRPr="00AF42A7" w:rsidP="0007350C" w14:paraId="3F8BC76E" w14:textId="0CB0A538">
      <w:pPr>
        <w:pStyle w:val="FootnoteText"/>
      </w:pPr>
      <w:r w:rsidRPr="00A70EC8">
        <w:rPr>
          <w:rStyle w:val="FootnoteReference"/>
        </w:rPr>
        <w:footnoteRef/>
      </w:r>
      <w:r w:rsidRPr="00A70EC8">
        <w:t xml:space="preserve"> Comments of Crown Castle International Corp., WT Docket No. 19-250, RM-11849, WC Docket No. 17-84, at 32-33</w:t>
      </w:r>
      <w:r w:rsidRPr="007C6360">
        <w:t xml:space="preserve"> (Oct. 29, 2019).  </w:t>
      </w:r>
    </w:p>
  </w:footnote>
  <w:footnote w:id="145">
    <w:p w:rsidR="006908DB" w:rsidRPr="00AF42A7" w:rsidP="005F1A19" w14:paraId="70F83889" w14:textId="15778305">
      <w:pPr>
        <w:pStyle w:val="FootnoteText"/>
      </w:pPr>
      <w:r w:rsidRPr="00A70EC8">
        <w:rPr>
          <w:rStyle w:val="FootnoteReference"/>
        </w:rPr>
        <w:footnoteRef/>
      </w:r>
      <w:r w:rsidRPr="00A70EC8">
        <w:t xml:space="preserve"> Comments of Crown Castle International Corp., WT Docket No. 19-250, RM-11849, WC Docket No. 17-84, at 32-33 n.7</w:t>
      </w:r>
      <w:r w:rsidRPr="007C6360">
        <w:t xml:space="preserve">6 (Oct. 29, 2019). </w:t>
      </w:r>
    </w:p>
  </w:footnote>
  <w:footnote w:id="146">
    <w:p w:rsidR="006908DB" w:rsidRPr="00A70EC8" w:rsidP="007A05B0" w14:paraId="6C9B8711" w14:textId="77777777">
      <w:pPr>
        <w:pStyle w:val="FootnoteText"/>
      </w:pPr>
      <w:r w:rsidRPr="00A70EC8">
        <w:rPr>
          <w:rStyle w:val="FootnoteReference"/>
        </w:rPr>
        <w:footnoteRef/>
      </w:r>
      <w:r w:rsidRPr="00A70EC8">
        <w:t xml:space="preserve"> 5 U.S.C. § 604(a)(3). </w:t>
      </w:r>
    </w:p>
  </w:footnote>
  <w:footnote w:id="147">
    <w:p w:rsidR="006908DB" w:rsidRPr="00A70EC8" w:rsidP="007A05B0" w14:paraId="25998E3D" w14:textId="5A05A3D6">
      <w:pPr>
        <w:pStyle w:val="FootnoteText"/>
      </w:pPr>
      <w:r w:rsidRPr="00A70EC8">
        <w:rPr>
          <w:rStyle w:val="FootnoteReference"/>
        </w:rPr>
        <w:footnoteRef/>
      </w:r>
      <w:r w:rsidRPr="00A70EC8">
        <w:t xml:space="preserve"> 5 U.S.C. § 604(a)(4).</w:t>
      </w:r>
    </w:p>
  </w:footnote>
  <w:footnote w:id="148">
    <w:p w:rsidR="006908DB" w:rsidRPr="00A70EC8" w:rsidP="007A05B0" w14:paraId="0EF285C4" w14:textId="77777777">
      <w:pPr>
        <w:pStyle w:val="FootnoteText"/>
      </w:pPr>
      <w:r w:rsidRPr="00A70EC8">
        <w:rPr>
          <w:rStyle w:val="FootnoteReference"/>
        </w:rPr>
        <w:footnoteRef/>
      </w:r>
      <w:r w:rsidRPr="00A70EC8">
        <w:t xml:space="preserve"> 5 U.S.C. § 601(6).</w:t>
      </w:r>
    </w:p>
  </w:footnote>
  <w:footnote w:id="149">
    <w:p w:rsidR="006908DB" w:rsidRPr="00AF42A7" w:rsidP="007A05B0" w14:paraId="09026E3F" w14:textId="77777777">
      <w:pPr>
        <w:pStyle w:val="FootnoteText"/>
      </w:pPr>
      <w:r w:rsidRPr="00A70EC8">
        <w:rPr>
          <w:rStyle w:val="FootnoteReference"/>
        </w:rPr>
        <w:footnoteRef/>
      </w:r>
      <w:r w:rsidRPr="00A70EC8">
        <w:t xml:space="preserve"> 5 U.S.C. § 601(3) (incorporating by reference the definition of “small-business concern” in the Small Business Act, 15 U.S.C. § 632).  Pursuant to 5 U.S.C. § 601(3)</w:t>
      </w:r>
      <w:r w:rsidRPr="00AF42A7">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0">
    <w:p w:rsidR="006908DB" w:rsidRPr="00A70EC8" w:rsidP="007A05B0" w14:paraId="3D4C29A6" w14:textId="77777777">
      <w:pPr>
        <w:pStyle w:val="FootnoteText"/>
      </w:pPr>
      <w:r w:rsidRPr="00A70EC8">
        <w:rPr>
          <w:rStyle w:val="FootnoteReference"/>
        </w:rPr>
        <w:footnoteRef/>
      </w:r>
      <w:r w:rsidRPr="00A70EC8">
        <w:t xml:space="preserve"> 15 U.S.C. § 632. </w:t>
      </w:r>
    </w:p>
  </w:footnote>
  <w:footnote w:id="151">
    <w:p w:rsidR="006908DB" w:rsidRPr="00AF42A7" w:rsidP="007A05B0" w14:paraId="2DE69913" w14:textId="77777777">
      <w:pPr>
        <w:pStyle w:val="FootnoteText"/>
      </w:pPr>
      <w:r w:rsidRPr="00A70EC8">
        <w:rPr>
          <w:rStyle w:val="FootnoteReference"/>
          <w:rFonts w:eastAsia="Calibri"/>
        </w:rPr>
        <w:footnoteRef/>
      </w:r>
      <w:r w:rsidRPr="00A70EC8">
        <w:t xml:space="preserve"> </w:t>
      </w:r>
      <w:r w:rsidRPr="00A70EC8">
        <w:rPr>
          <w:i/>
        </w:rPr>
        <w:t>See</w:t>
      </w:r>
      <w:r w:rsidRPr="007C6360">
        <w:t xml:space="preserve"> 5 U.S.C. § 601(3)-(6).</w:t>
      </w:r>
    </w:p>
  </w:footnote>
  <w:footnote w:id="152">
    <w:p w:rsidR="006908DB" w:rsidRPr="00A70EC8" w:rsidP="007A05B0" w14:paraId="028B4A98" w14:textId="77777777">
      <w:pPr>
        <w:pStyle w:val="FootnoteText"/>
      </w:pPr>
      <w:r w:rsidRPr="00A70EC8">
        <w:rPr>
          <w:rStyle w:val="FootnoteReference"/>
          <w:rFonts w:eastAsia="Calibri"/>
        </w:rPr>
        <w:footnoteRef/>
      </w:r>
      <w:r w:rsidRPr="00A70EC8">
        <w:t xml:space="preserve"> </w:t>
      </w:r>
      <w:r w:rsidRPr="00A70EC8">
        <w:rPr>
          <w:i/>
        </w:rPr>
        <w:t>Se</w:t>
      </w:r>
      <w:r w:rsidRPr="007C6360">
        <w:rPr>
          <w:i/>
        </w:rPr>
        <w:t>e</w:t>
      </w:r>
      <w:r w:rsidRPr="00AF42A7">
        <w:t xml:space="preserve"> SBA, Office of Advocacy, “What’s New With Small Business?”, </w:t>
      </w:r>
      <w:hyperlink r:id="rId1" w:history="1">
        <w:r w:rsidRPr="00A70EC8">
          <w:rPr>
            <w:rStyle w:val="Hyperlink"/>
          </w:rPr>
          <w:t>https://cdn.advocacy.sba.gov/wp-content/uploads/2019/09/23172859/Whats-New-</w:t>
        </w:r>
        <w:r w:rsidRPr="007C6360">
          <w:rPr>
            <w:rStyle w:val="Hyperlink"/>
          </w:rPr>
          <w:t>With-Small-Business-2019.pdf</w:t>
        </w:r>
      </w:hyperlink>
      <w:r w:rsidRPr="00A70EC8">
        <w:t xml:space="preserve"> (Sept 2019).</w:t>
      </w:r>
    </w:p>
  </w:footnote>
  <w:footnote w:id="153">
    <w:p w:rsidR="006908DB" w:rsidRPr="00AF42A7" w:rsidP="007A05B0" w14:paraId="34B950C8" w14:textId="77777777">
      <w:pPr>
        <w:pStyle w:val="FootnoteText"/>
      </w:pPr>
      <w:r w:rsidRPr="00A70EC8">
        <w:rPr>
          <w:rStyle w:val="FootnoteReference"/>
          <w:rFonts w:eastAsia="Calibri"/>
        </w:rPr>
        <w:footnoteRef/>
      </w:r>
      <w:r w:rsidRPr="00A70EC8">
        <w:t xml:space="preserve"> </w:t>
      </w:r>
      <w:r w:rsidRPr="00A70EC8">
        <w:rPr>
          <w:i/>
        </w:rPr>
        <w:t>Id</w:t>
      </w:r>
      <w:r w:rsidRPr="007C6360">
        <w:t>.</w:t>
      </w:r>
    </w:p>
  </w:footnote>
  <w:footnote w:id="154">
    <w:p w:rsidR="006908DB" w:rsidRPr="00AF42A7" w:rsidP="007A05B0" w14:paraId="445CDEE7" w14:textId="77777777">
      <w:pPr>
        <w:pStyle w:val="FootnoteText"/>
      </w:pPr>
      <w:r w:rsidRPr="00A70EC8">
        <w:rPr>
          <w:rStyle w:val="FootnoteReference"/>
          <w:rFonts w:eastAsia="Calibri"/>
        </w:rPr>
        <w:footnoteRef/>
      </w:r>
      <w:r w:rsidRPr="00A70EC8">
        <w:t xml:space="preserve"> </w:t>
      </w:r>
      <w:r w:rsidRPr="00A70EC8">
        <w:rPr>
          <w:spacing w:val="-2"/>
        </w:rPr>
        <w:t>5 U.S.C.</w:t>
      </w:r>
      <w:r w:rsidRPr="007C6360">
        <w:t xml:space="preserve"> § 601(4).</w:t>
      </w:r>
    </w:p>
  </w:footnote>
  <w:footnote w:id="155">
    <w:p w:rsidR="006908DB" w:rsidRPr="00AF42A7" w:rsidP="007A05B0" w14:paraId="39E01105" w14:textId="77777777">
      <w:pPr>
        <w:pStyle w:val="FootnoteText"/>
      </w:pPr>
      <w:r w:rsidRPr="00A70EC8">
        <w:rPr>
          <w:rStyle w:val="FootnoteReference"/>
        </w:rPr>
        <w:footnoteRef/>
      </w:r>
      <w:r w:rsidRPr="00A70EC8">
        <w:t xml:space="preserve"> The IRS benchmark is similar to the population of less than 50,000 benchmark in 5 U.S.C § 601(5) that is used to define a small governmental jurisdiction.  Therefore, the IRS benchmark</w:t>
      </w:r>
      <w:r w:rsidRPr="00AF42A7">
        <w:t xml:space="preserve"> has been used to estimate the number small organizations in this small entity description.  S</w:t>
      </w:r>
      <w:r w:rsidRPr="00AF42A7">
        <w:rPr>
          <w:i/>
        </w:rPr>
        <w:t>ee</w:t>
      </w:r>
      <w:r w:rsidRPr="00AF42A7">
        <w:t xml:space="preserve"> Annual Electronic Filing Requirement for Small Exempt Organizations — Form 990-N (e-Postcard), “Who must file,” </w:t>
      </w:r>
      <w:hyperlink r:id="rId2" w:history="1">
        <w:r w:rsidRPr="00A70EC8">
          <w:rPr>
            <w:rStyle w:val="Hyperlink"/>
          </w:rPr>
          <w:t>https://www.irs.gov/charities-non-profits/annual-electronic-filing-requirement-for-small-exempt-organizations-form-990-n-e-postcard</w:t>
        </w:r>
      </w:hyperlink>
      <w:r w:rsidRPr="00A70EC8">
        <w:t>.  We note that the IRS data does not provide information on whether a small exempt organization is independently owned a</w:t>
      </w:r>
      <w:r w:rsidRPr="00AF42A7">
        <w:t>nd operated or dominant in its field.</w:t>
      </w:r>
    </w:p>
  </w:footnote>
  <w:footnote w:id="156">
    <w:p w:rsidR="006908DB" w:rsidRPr="00AF42A7" w:rsidP="007A05B0" w14:paraId="63F9C322" w14:textId="77777777">
      <w:pPr>
        <w:pStyle w:val="FootnoteText"/>
        <w:rPr>
          <w:color w:val="000000"/>
        </w:rPr>
      </w:pPr>
      <w:r w:rsidRPr="00A70EC8">
        <w:rPr>
          <w:rStyle w:val="FootnoteReference"/>
          <w:rFonts w:eastAsia="Calibri"/>
        </w:rPr>
        <w:footnoteRef/>
      </w:r>
      <w:r w:rsidRPr="00A70EC8">
        <w:rPr>
          <w:color w:val="000000"/>
        </w:rPr>
        <w:t xml:space="preserve"> </w:t>
      </w:r>
      <w:r w:rsidRPr="00A70EC8">
        <w:rPr>
          <w:i/>
          <w:color w:val="000000"/>
        </w:rPr>
        <w:t>See</w:t>
      </w:r>
      <w:r w:rsidRPr="007C6360">
        <w:rPr>
          <w:color w:val="000000"/>
        </w:rPr>
        <w:t xml:space="preserve"> Exempt Organizations Business Master File Extract (EO BMF), “CSV Files by Region,” </w:t>
      </w:r>
      <w:hyperlink r:id="rId3" w:history="1">
        <w:r w:rsidRPr="00A70EC8">
          <w:rPr>
            <w:rStyle w:val="Hyperlink"/>
          </w:rPr>
          <w:t>https://www.irs.gov/charities-non-profits/exempt-organizations-business-master-file-extract-eo-bmf</w:t>
        </w:r>
      </w:hyperlink>
      <w:r w:rsidRPr="00A70EC8">
        <w:rPr>
          <w:color w:val="000000"/>
        </w:rPr>
        <w:t>.  The IRS Exempt Organization Business Master File (EO BMF) Extract provid</w:t>
      </w:r>
      <w:r w:rsidRPr="007C6360">
        <w:rPr>
          <w:color w:val="000000"/>
        </w:rPr>
        <w:t>es information on all registered tax-exempt/non-profit organizations.  The data utilized for purposes of this description was extracted from the IRS EO BMF data for Region 1-Northeast Area (76,886), Region 2-Mid-Atlantic and G</w:t>
      </w:r>
      <w:r w:rsidRPr="00AF42A7">
        <w:rPr>
          <w:color w:val="000000"/>
        </w:rPr>
        <w:t xml:space="preserve">reat Lakes Areas (221,121), and Region 3-Gulf Coast and Pacific Coast Areas (273,702) which includes the continental U.S., Alaska, and Hawaii.  This data does not include information for Puerto Rico.  </w:t>
      </w:r>
    </w:p>
  </w:footnote>
  <w:footnote w:id="157">
    <w:p w:rsidR="006908DB" w:rsidRPr="00A70EC8" w:rsidP="007A05B0" w14:paraId="7FBFD2C7" w14:textId="77777777">
      <w:pPr>
        <w:pStyle w:val="FootnoteText"/>
      </w:pPr>
      <w:r w:rsidRPr="00A70EC8">
        <w:rPr>
          <w:rStyle w:val="FootnoteReference"/>
          <w:rFonts w:eastAsia="Calibri"/>
          <w:spacing w:val="-2"/>
        </w:rPr>
        <w:footnoteRef/>
      </w:r>
      <w:r w:rsidRPr="00A70EC8">
        <w:t xml:space="preserve"> 5 U.S.C. § 601(5).</w:t>
      </w:r>
    </w:p>
  </w:footnote>
  <w:footnote w:id="158">
    <w:p w:rsidR="006908DB" w:rsidRPr="00A70EC8" w:rsidP="007A05B0" w14:paraId="7D061DEA" w14:textId="77777777">
      <w:pPr>
        <w:pStyle w:val="FootnoteText"/>
      </w:pPr>
      <w:r w:rsidRPr="00A70EC8">
        <w:rPr>
          <w:rStyle w:val="FootnoteReference"/>
          <w:rFonts w:eastAsia="Calibri"/>
        </w:rPr>
        <w:footnoteRef/>
      </w:r>
      <w:r w:rsidRPr="00A70EC8">
        <w:t xml:space="preserve"> </w:t>
      </w:r>
      <w:r w:rsidRPr="00A70EC8">
        <w:rPr>
          <w:i/>
        </w:rPr>
        <w:t>See</w:t>
      </w:r>
      <w:r w:rsidRPr="007C6360">
        <w:t xml:space="preserve"> 13 U.S.C. § 161.  The Censu</w:t>
      </w:r>
      <w:r w:rsidRPr="00AF42A7">
        <w:t xml:space="preserve">s of Governments survey is conducted every five (5) years compiling data for years ending with “2” and “7.”  </w:t>
      </w:r>
      <w:r w:rsidRPr="00AF42A7">
        <w:rPr>
          <w:i/>
        </w:rPr>
        <w:t xml:space="preserve">See also </w:t>
      </w:r>
      <w:r w:rsidRPr="00AF42A7">
        <w:t xml:space="preserve">Census of Governments, </w:t>
      </w:r>
      <w:hyperlink r:id="rId4" w:history="1">
        <w:r w:rsidRPr="00A70EC8">
          <w:rPr>
            <w:rStyle w:val="Hyperlink"/>
          </w:rPr>
          <w:t>https://www.census.gov/programs-surveys/cog/</w:t>
        </w:r>
        <w:r w:rsidRPr="007C6360">
          <w:rPr>
            <w:rStyle w:val="Hyperlink"/>
          </w:rPr>
          <w:t>about.html</w:t>
        </w:r>
      </w:hyperlink>
      <w:r w:rsidRPr="00A70EC8">
        <w:t xml:space="preserve">. </w:t>
      </w:r>
    </w:p>
  </w:footnote>
  <w:footnote w:id="159">
    <w:p w:rsidR="006908DB" w:rsidRPr="00AF42A7" w:rsidP="007A05B0" w14:paraId="6EB6A380" w14:textId="77777777">
      <w:pPr>
        <w:pStyle w:val="FootnoteText"/>
      </w:pPr>
      <w:r w:rsidRPr="00A70EC8">
        <w:rPr>
          <w:rStyle w:val="FootnoteReference"/>
          <w:rFonts w:eastAsia="Calibri"/>
          <w:spacing w:val="-2"/>
        </w:rPr>
        <w:footnoteRef/>
      </w:r>
      <w:r w:rsidRPr="00A70EC8">
        <w:t xml:space="preserve"> </w:t>
      </w:r>
      <w:r w:rsidRPr="00A70EC8">
        <w:rPr>
          <w:i/>
        </w:rPr>
        <w:t>See</w:t>
      </w:r>
      <w:r w:rsidRPr="007C6360">
        <w:t xml:space="preserve"> U.S. Census</w:t>
      </w:r>
      <w:r w:rsidRPr="00AF42A7">
        <w:t xml:space="preserve"> Bureau, 2017 Census of Governments – Organization Table 2. Local Governments by Type and State: 2017 </w:t>
      </w:r>
      <w:r w:rsidRPr="00AF42A7">
        <w:rPr>
          <w:bCs/>
        </w:rPr>
        <w:t>[CG1700ORG02]</w:t>
      </w:r>
      <w:r w:rsidRPr="00AF42A7">
        <w:t xml:space="preserve">.  </w:t>
      </w:r>
      <w:hyperlink r:id="rId5" w:history="1">
        <w:r w:rsidRPr="00A70EC8">
          <w:rPr>
            <w:rStyle w:val="Hyperlink"/>
          </w:rPr>
          <w:t>https://www.census.go</w:t>
        </w:r>
        <w:r w:rsidRPr="007C6360">
          <w:rPr>
            <w:rStyle w:val="Hyperlink"/>
          </w:rPr>
          <w:t>v/data/tables/2017/econ/gus/201</w:t>
        </w:r>
        <w:r w:rsidRPr="00AF42A7">
          <w:rPr>
            <w:rStyle w:val="Hyperlink"/>
          </w:rPr>
          <w:t>7-governments.html</w:t>
        </w:r>
      </w:hyperlink>
      <w:r w:rsidRPr="00A70EC8">
        <w:t xml:space="preserve">.  Local governmental jurisdictions are made up of general purpose governments (county, municipal and town or township) and special purpose governments (special districts and independent school districts).  </w:t>
      </w:r>
      <w:r w:rsidRPr="00A70EC8">
        <w:rPr>
          <w:i/>
        </w:rPr>
        <w:t xml:space="preserve">See also </w:t>
      </w:r>
      <w:r w:rsidRPr="007C6360">
        <w:t>Table 2.</w:t>
      </w:r>
      <w:r w:rsidRPr="00AF42A7">
        <w:rPr>
          <w:i/>
        </w:rPr>
        <w:t xml:space="preserve"> </w:t>
      </w:r>
      <w:r w:rsidRPr="00AF42A7">
        <w:t xml:space="preserve">CG1700ORG02 Table </w:t>
      </w:r>
      <w:r w:rsidRPr="00AF42A7">
        <w:t>Notes_Local</w:t>
      </w:r>
      <w:r w:rsidRPr="00AF42A7">
        <w:t xml:space="preserve"> Governments by Type and State_2017.</w:t>
      </w:r>
      <w:r w:rsidRPr="00AF42A7">
        <w:rPr>
          <w:i/>
        </w:rPr>
        <w:t xml:space="preserve"> </w:t>
      </w:r>
    </w:p>
  </w:footnote>
  <w:footnote w:id="160">
    <w:p w:rsidR="006908DB" w:rsidRPr="00AF42A7" w:rsidP="007A05B0" w14:paraId="6FAB4B53" w14:textId="77777777">
      <w:pPr>
        <w:pStyle w:val="FootnoteText"/>
      </w:pPr>
      <w:r w:rsidRPr="00A70EC8">
        <w:rPr>
          <w:rStyle w:val="FootnoteReference"/>
          <w:rFonts w:eastAsia="Calibri"/>
        </w:rPr>
        <w:footnoteRef/>
      </w:r>
      <w:r w:rsidRPr="00A70EC8">
        <w:t xml:space="preserve"> </w:t>
      </w:r>
      <w:r w:rsidRPr="00A70EC8">
        <w:rPr>
          <w:i/>
        </w:rPr>
        <w:t>See</w:t>
      </w:r>
      <w:r w:rsidRPr="007C6360">
        <w:t xml:space="preserve"> </w:t>
      </w:r>
      <w:r w:rsidRPr="00AF42A7">
        <w:rPr>
          <w:color w:val="000000"/>
        </w:rPr>
        <w:t xml:space="preserve">U.S. Census Bureau, 2017 Census of Governments </w:t>
      </w:r>
      <w:r w:rsidRPr="00AF42A7">
        <w:t>- Organization, Table 5.</w:t>
      </w:r>
      <w:r w:rsidRPr="00AF42A7">
        <w:rPr>
          <w:color w:val="000000"/>
        </w:rPr>
        <w:t xml:space="preserve"> </w:t>
      </w:r>
      <w:r w:rsidRPr="00AF42A7">
        <w:rPr>
          <w:bCs/>
          <w:color w:val="000000"/>
        </w:rPr>
        <w:t>County Governments by Population-Size Group and State: 2017</w:t>
      </w:r>
      <w:r w:rsidRPr="00AF42A7">
        <w:rPr>
          <w:bCs/>
        </w:rPr>
        <w:t xml:space="preserve"> [CG1700ORG05]</w:t>
      </w:r>
      <w:r w:rsidRPr="00AF42A7">
        <w:t xml:space="preserve">.  </w:t>
      </w:r>
      <w:hyperlink r:id="rId5" w:history="1">
        <w:r w:rsidRPr="00A70EC8">
          <w:rPr>
            <w:rStyle w:val="Hyperlink"/>
          </w:rPr>
          <w:t>https://www.census.gov/data/tables/2017/econ/gus/2017-governments.html</w:t>
        </w:r>
      </w:hyperlink>
      <w:r w:rsidRPr="00A70EC8">
        <w:rPr>
          <w:bCs/>
          <w:color w:val="4E4B47"/>
        </w:rPr>
        <w:t xml:space="preserve">.  </w:t>
      </w:r>
      <w:r w:rsidRPr="00A70EC8">
        <w:t>There were 2,105 county governments with populations less than 50,000.  This category does not inc</w:t>
      </w:r>
      <w:r w:rsidRPr="00AF42A7">
        <w:t xml:space="preserve">lude subcounty (municipal and township) governments.  </w:t>
      </w:r>
    </w:p>
  </w:footnote>
  <w:footnote w:id="161">
    <w:p w:rsidR="006908DB" w:rsidRPr="00AF42A7" w:rsidP="007A05B0" w14:paraId="1975A9AA" w14:textId="77777777">
      <w:pPr>
        <w:pStyle w:val="FootnoteText"/>
      </w:pPr>
      <w:r w:rsidRPr="00A70EC8">
        <w:rPr>
          <w:rStyle w:val="FootnoteReference"/>
          <w:rFonts w:eastAsia="Calibri"/>
        </w:rPr>
        <w:footnoteRef/>
      </w:r>
      <w:r w:rsidRPr="00A70EC8">
        <w:t xml:space="preserve"> </w:t>
      </w:r>
      <w:r w:rsidRPr="00A70EC8">
        <w:rPr>
          <w:i/>
        </w:rPr>
        <w:t>See</w:t>
      </w:r>
      <w:r w:rsidRPr="007C6360">
        <w:t xml:space="preserve"> U.S. Census Bureau, 2017 Census of Governments - Organization, Table 6. </w:t>
      </w:r>
      <w:r w:rsidRPr="00AF42A7">
        <w:rPr>
          <w:bCs/>
        </w:rPr>
        <w:t xml:space="preserve">Subcounty General-Purpose Governments by Population-Size Group and State: 2017 [CG1700ORG06]. </w:t>
      </w:r>
      <w:hyperlink r:id="rId5" w:history="1">
        <w:r w:rsidRPr="00A70EC8">
          <w:rPr>
            <w:rStyle w:val="Hyperlink"/>
            <w:bCs/>
          </w:rPr>
          <w:t>https://www.census.gov/</w:t>
        </w:r>
        <w:r w:rsidRPr="00A70EC8">
          <w:rPr>
            <w:rStyle w:val="Hyperlink"/>
            <w:bCs/>
          </w:rPr>
          <w:br/>
          <w:t>data/tables/2017/econ/</w:t>
        </w:r>
        <w:r w:rsidRPr="00A70EC8">
          <w:rPr>
            <w:rStyle w:val="Hyperlink"/>
            <w:bCs/>
          </w:rPr>
          <w:t>gus</w:t>
        </w:r>
        <w:r w:rsidRPr="00A70EC8">
          <w:rPr>
            <w:rStyle w:val="Hyperlink"/>
            <w:bCs/>
          </w:rPr>
          <w:t>/2017-governments.html</w:t>
        </w:r>
      </w:hyperlink>
      <w:r w:rsidRPr="00A70EC8">
        <w:rPr>
          <w:bCs/>
        </w:rPr>
        <w:t xml:space="preserve">.  </w:t>
      </w:r>
      <w:r w:rsidRPr="00A70EC8">
        <w:t>T</w:t>
      </w:r>
      <w:r w:rsidRPr="007C6360">
        <w:t xml:space="preserve">here were 18,729 municipal and 16,097 town and township governments with populations less than 50,000. </w:t>
      </w:r>
    </w:p>
  </w:footnote>
  <w:footnote w:id="162">
    <w:p w:rsidR="006908DB" w:rsidRPr="00AF42A7" w:rsidP="007A05B0" w14:paraId="51FA91A2" w14:textId="77777777">
      <w:pPr>
        <w:pStyle w:val="FootnoteText"/>
      </w:pPr>
      <w:r w:rsidRPr="00A70EC8">
        <w:rPr>
          <w:rStyle w:val="FootnoteReference"/>
        </w:rPr>
        <w:footnoteRef/>
      </w:r>
      <w:r w:rsidRPr="00A70EC8">
        <w:t xml:space="preserve"> </w:t>
      </w:r>
      <w:r w:rsidRPr="00A70EC8">
        <w:rPr>
          <w:i/>
        </w:rPr>
        <w:t>See</w:t>
      </w:r>
      <w:r w:rsidRPr="007C6360">
        <w:t xml:space="preserve"> U.S. Census Bureau, 2017 Census of Governments - Organizat</w:t>
      </w:r>
      <w:r w:rsidRPr="00AF42A7">
        <w:t xml:space="preserve">ion, Table 10. Elementary and Secondary School Systems by Enrollment-Size Group and State: 2017 [CG1700ORG10]. </w:t>
      </w:r>
      <w:hyperlink r:id="rId5" w:history="1">
        <w:r w:rsidRPr="00A70EC8">
          <w:rPr>
            <w:rStyle w:val="Hyperlink"/>
          </w:rPr>
          <w:t>https://www.census.gov/</w:t>
        </w:r>
        <w:r w:rsidRPr="00A70EC8">
          <w:rPr>
            <w:rStyle w:val="Hyperlink"/>
          </w:rPr>
          <w:br/>
          <w:t>data/tables/2017/econ/</w:t>
        </w:r>
        <w:r w:rsidRPr="00A70EC8">
          <w:rPr>
            <w:rStyle w:val="Hyperlink"/>
          </w:rPr>
          <w:t>gus</w:t>
        </w:r>
        <w:r w:rsidRPr="00A70EC8">
          <w:rPr>
            <w:rStyle w:val="Hyperlink"/>
          </w:rPr>
          <w:t>/2017-gove</w:t>
        </w:r>
        <w:r w:rsidRPr="007C6360">
          <w:rPr>
            <w:rStyle w:val="Hyperlink"/>
          </w:rPr>
          <w:t>rnments.html</w:t>
        </w:r>
      </w:hyperlink>
      <w:r w:rsidRPr="00A70EC8">
        <w:rPr>
          <w:bCs/>
          <w:color w:val="4E4B47"/>
        </w:rPr>
        <w:t xml:space="preserve">.  </w:t>
      </w:r>
      <w:r w:rsidRPr="00A70EC8">
        <w:t>There were 12,040 independent school districts with enrollment populatio</w:t>
      </w:r>
      <w:r w:rsidRPr="00AF42A7">
        <w:t xml:space="preserve">ns less than 50,000.  </w:t>
      </w:r>
      <w:r w:rsidRPr="00AF42A7">
        <w:rPr>
          <w:i/>
        </w:rPr>
        <w:t xml:space="preserve">See also </w:t>
      </w:r>
      <w:r w:rsidRPr="00AF42A7">
        <w:t xml:space="preserve">Table 4. Special-Purpose Local Governments by State Census Years 1942 to 2017 [CG1700ORG04], CG1700ORG04 Table </w:t>
      </w:r>
      <w:r w:rsidRPr="00AF42A7">
        <w:t>Notes_Special</w:t>
      </w:r>
      <w:r w:rsidRPr="00AF42A7">
        <w:t xml:space="preserve"> Purpose Local Governments by </w:t>
      </w:r>
      <w:r w:rsidRPr="00AF42A7">
        <w:t>State_Census</w:t>
      </w:r>
      <w:r w:rsidRPr="00AF42A7">
        <w:t xml:space="preserve"> Years 1942 to 2017.</w:t>
      </w:r>
    </w:p>
  </w:footnote>
  <w:footnote w:id="163">
    <w:p w:rsidR="006908DB" w:rsidRPr="00AF42A7" w:rsidP="007A05B0" w14:paraId="14B1DA82" w14:textId="77777777">
      <w:pPr>
        <w:pStyle w:val="FootnoteText"/>
      </w:pPr>
      <w:r w:rsidRPr="00A70EC8">
        <w:rPr>
          <w:rStyle w:val="FootnoteReference"/>
        </w:rPr>
        <w:footnoteRef/>
      </w:r>
      <w:r w:rsidRPr="00A70EC8">
        <w:t xml:space="preserve"> While the special purpose governments category also includes local special district governments, the 2017 Census of Governments data does not provide data aggregated based on population size for the speci</w:t>
      </w:r>
      <w:r w:rsidRPr="00AF42A7">
        <w:t>al purpose governments category.  Therefore, only data from independent school districts is included in the special purpose governments category.</w:t>
      </w:r>
    </w:p>
  </w:footnote>
  <w:footnote w:id="164">
    <w:p w:rsidR="006908DB" w:rsidRPr="00AF42A7" w:rsidP="007A05B0" w14:paraId="06185ADD" w14:textId="77777777">
      <w:pPr>
        <w:pStyle w:val="FootnoteText"/>
      </w:pPr>
      <w:r w:rsidRPr="00A70EC8">
        <w:rPr>
          <w:rStyle w:val="FootnoteReference"/>
          <w:rFonts w:eastAsia="Calibri"/>
        </w:rPr>
        <w:footnoteRef/>
      </w:r>
      <w:r w:rsidRPr="00A70EC8">
        <w:rPr>
          <w:i/>
        </w:rPr>
        <w:t xml:space="preserve"> </w:t>
      </w:r>
      <w:r w:rsidRPr="00A70EC8">
        <w:t xml:space="preserve">This total is derived from the sum of the number of general purpose governments (county, municipal and town </w:t>
      </w:r>
      <w:r w:rsidRPr="007C6360">
        <w:t xml:space="preserve">or township) with populations of less than 50,000 (36,931) and the number of special purpose governments - independent school districts with enrollment populations of less than 50,000 (12,040), from the 2017 Census of Governments - Organizations Tables 5, </w:t>
      </w:r>
      <w:r w:rsidRPr="00AF42A7">
        <w:t>6, and 10.</w:t>
      </w:r>
    </w:p>
  </w:footnote>
  <w:footnote w:id="165">
    <w:p w:rsidR="006908DB" w:rsidRPr="00A70EC8" w:rsidP="007A05B0" w14:paraId="6F627526" w14:textId="77777777">
      <w:pPr>
        <w:pStyle w:val="FootnoteText"/>
      </w:pPr>
      <w:r w:rsidRPr="00A70EC8">
        <w:rPr>
          <w:rStyle w:val="FootnoteReference"/>
        </w:rPr>
        <w:footnoteRef/>
      </w:r>
      <w:r w:rsidRPr="00A70EC8">
        <w:t xml:space="preserve"> </w:t>
      </w:r>
      <w:r w:rsidRPr="00A70EC8">
        <w:rPr>
          <w:bCs/>
          <w:i/>
          <w:iCs/>
          <w:color w:val="010101"/>
        </w:rPr>
        <w:t>See</w:t>
      </w:r>
      <w:r w:rsidRPr="007C6360">
        <w:t xml:space="preserve"> U.S. Census Bureau, </w:t>
      </w:r>
      <w:r w:rsidRPr="007C6360">
        <w:rPr>
          <w:i/>
          <w:iCs/>
        </w:rPr>
        <w:t>2017 NAICS Definition, “</w:t>
      </w:r>
      <w:r w:rsidRPr="00AF42A7">
        <w:rPr>
          <w:bCs/>
          <w:i/>
          <w:iCs/>
        </w:rPr>
        <w:t>517312 Wireless Telecommunications Carriers</w:t>
      </w:r>
      <w:r w:rsidRPr="00AF42A7">
        <w:rPr>
          <w:bCs/>
        </w:rPr>
        <w:t xml:space="preserve"> </w:t>
      </w:r>
      <w:r w:rsidRPr="00AF42A7">
        <w:rPr>
          <w:bCs/>
          <w:i/>
          <w:iCs/>
        </w:rPr>
        <w:t>(except Satellite)”,</w:t>
      </w:r>
      <w:r w:rsidRPr="00AF42A7">
        <w:t xml:space="preserve"> </w:t>
      </w:r>
      <w:hyperlink r:id="rId6" w:history="1">
        <w:r w:rsidRPr="00A70EC8">
          <w:rPr>
            <w:rStyle w:val="Hyperlink"/>
            <w:iCs/>
          </w:rPr>
          <w:t>https://www.census.gov/</w:t>
        </w:r>
        <w:r w:rsidRPr="007C6360">
          <w:rPr>
            <w:rStyle w:val="Hyperlink"/>
            <w:iCs/>
          </w:rPr>
          <w:t>cgi-bin/sssd/naics/naicsrch?code=517312&amp;search=2017%20NAICS%20Search</w:t>
        </w:r>
      </w:hyperlink>
      <w:r w:rsidRPr="00A70EC8">
        <w:rPr>
          <w:iCs/>
        </w:rPr>
        <w:t xml:space="preserve">. </w:t>
      </w:r>
    </w:p>
  </w:footnote>
  <w:footnote w:id="166">
    <w:p w:rsidR="006908DB" w:rsidRPr="00AF42A7" w:rsidP="007A05B0" w14:paraId="2F351ABB" w14:textId="77777777">
      <w:pPr>
        <w:pStyle w:val="FootnoteText"/>
      </w:pPr>
      <w:r w:rsidRPr="00A70EC8">
        <w:rPr>
          <w:rStyle w:val="FootnoteReference"/>
        </w:rPr>
        <w:footnoteRef/>
      </w:r>
      <w:r w:rsidRPr="00A70EC8">
        <w:t xml:space="preserve"> </w:t>
      </w:r>
      <w:r w:rsidRPr="00A70EC8">
        <w:rPr>
          <w:bCs/>
          <w:i/>
          <w:iCs/>
          <w:color w:val="010101"/>
        </w:rPr>
        <w:t>See</w:t>
      </w:r>
      <w:r w:rsidRPr="007C6360">
        <w:t xml:space="preserve"> 13 CFR § 121.201, </w:t>
      </w:r>
      <w:bookmarkStart w:id="39" w:name="_Hlk31782287"/>
      <w:r w:rsidRPr="007C6360">
        <w:t>NAICS Code 517312 (previously 517210)</w:t>
      </w:r>
      <w:bookmarkEnd w:id="39"/>
      <w:r w:rsidRPr="007C6360">
        <w:t xml:space="preserve">.  </w:t>
      </w:r>
    </w:p>
  </w:footnote>
  <w:footnote w:id="167">
    <w:p w:rsidR="006908DB" w:rsidRPr="00A70EC8" w:rsidP="007A05B0" w14:paraId="234F4F61" w14:textId="77777777">
      <w:pPr>
        <w:pStyle w:val="FootnoteText"/>
      </w:pPr>
      <w:r w:rsidRPr="00A70EC8">
        <w:rPr>
          <w:rStyle w:val="FootnoteReference"/>
        </w:rPr>
        <w:footnoteRef/>
      </w:r>
      <w:r w:rsidRPr="00A70EC8">
        <w:t xml:space="preserve"> </w:t>
      </w:r>
      <w:r w:rsidRPr="00A70EC8">
        <w:rPr>
          <w:bCs/>
          <w:i/>
          <w:iCs/>
          <w:color w:val="010101"/>
        </w:rPr>
        <w:t>See</w:t>
      </w:r>
      <w:r w:rsidRPr="007C6360">
        <w:t xml:space="preserve"> U.S. Census Bureau, </w:t>
      </w:r>
      <w:bookmarkStart w:id="40" w:name="_Hlk38031103"/>
      <w:bookmarkStart w:id="41" w:name="_Hlk31782410"/>
      <w:r w:rsidRPr="007C6360">
        <w:rPr>
          <w:bCs/>
          <w:i/>
        </w:rPr>
        <w:t>2012</w:t>
      </w:r>
      <w:r w:rsidRPr="00AF42A7">
        <w:rPr>
          <w:i/>
        </w:rPr>
        <w:t xml:space="preserve"> Economic Census</w:t>
      </w:r>
      <w:r w:rsidRPr="00AF42A7">
        <w:rPr>
          <w:bCs/>
          <w:i/>
        </w:rPr>
        <w:t xml:space="preserve"> of the United States</w:t>
      </w:r>
      <w:r w:rsidRPr="00AF42A7">
        <w:t>, Table ID: EC1251SSSZ5</w:t>
      </w:r>
      <w:bookmarkEnd w:id="40"/>
      <w:r w:rsidRPr="00AF42A7">
        <w:t xml:space="preserve">, </w:t>
      </w:r>
      <w:r w:rsidRPr="00AF42A7">
        <w:rPr>
          <w:i/>
          <w:iCs/>
        </w:rPr>
        <w:t xml:space="preserve">Information: Subject Series: </w:t>
      </w:r>
      <w:r w:rsidRPr="00AF42A7">
        <w:rPr>
          <w:i/>
          <w:iCs/>
        </w:rPr>
        <w:t>Estab</w:t>
      </w:r>
      <w:r w:rsidRPr="00AF42A7">
        <w:rPr>
          <w:i/>
          <w:iCs/>
        </w:rPr>
        <w:t xml:space="preserve"> and Firm Size: Employment Size of Firms for the U.S.: 2012</w:t>
      </w:r>
      <w:r w:rsidRPr="00AF42A7">
        <w:t xml:space="preserve">, </w:t>
      </w:r>
      <w:bookmarkStart w:id="42" w:name="_Hlk38032068"/>
      <w:r w:rsidRPr="00AF42A7">
        <w:t>NAICS Code 517210</w:t>
      </w:r>
      <w:bookmarkEnd w:id="41"/>
      <w:r w:rsidRPr="00AF42A7">
        <w:t xml:space="preserve">, </w:t>
      </w:r>
      <w:bookmarkEnd w:id="42"/>
      <w:hyperlink r:id="rId7" w:history="1">
        <w:r w:rsidRPr="00A70EC8">
          <w:rPr>
            <w:rStyle w:val="Hyperlink"/>
          </w:rPr>
          <w:t>https://data.census.gov/cedsci/t</w:t>
        </w:r>
        <w:r w:rsidRPr="007C6360">
          <w:rPr>
            <w:rStyle w:val="Hyperlink"/>
          </w:rPr>
          <w:t>able?text=EC1251SSSZ5&amp;n=517210&amp;tid=ECNSIZE2012.EC1251SSSZ5&amp;hidePreview=false&amp;vintage=2012</w:t>
        </w:r>
      </w:hyperlink>
      <w:r w:rsidRPr="00A70EC8">
        <w:t xml:space="preserve">. </w:t>
      </w:r>
    </w:p>
  </w:footnote>
  <w:footnote w:id="168">
    <w:p w:rsidR="006908DB" w:rsidRPr="007C6360" w:rsidP="007A05B0" w14:paraId="34A4EEBE" w14:textId="1ADDF702">
      <w:pPr>
        <w:pStyle w:val="FootnoteText"/>
      </w:pPr>
      <w:r w:rsidRPr="00A70EC8">
        <w:rPr>
          <w:rStyle w:val="FootnoteReference"/>
        </w:rPr>
        <w:footnoteRef/>
      </w:r>
      <w:r w:rsidRPr="00A70EC8">
        <w:t xml:space="preserve"> </w:t>
      </w:r>
      <w:r w:rsidRPr="00A70EC8">
        <w:rPr>
          <w:i/>
        </w:rPr>
        <w:t>Id</w:t>
      </w:r>
      <w:r w:rsidRPr="007C6360">
        <w:t xml:space="preserve">.  The available U.S. Census Bureau data does not provide a more precise estimate of the number of firms that meet the SBA size standard.  </w:t>
      </w:r>
    </w:p>
  </w:footnote>
  <w:footnote w:id="169">
    <w:p w:rsidR="006908DB" w:rsidRPr="00AF42A7" w:rsidP="007A05B0" w14:paraId="3667B2D6" w14:textId="5059D56D">
      <w:pPr>
        <w:pStyle w:val="FootnoteText"/>
        <w:rPr>
          <w:b/>
        </w:rPr>
      </w:pPr>
      <w:r w:rsidRPr="00A70EC8">
        <w:rPr>
          <w:rStyle w:val="FootnoteReference"/>
        </w:rPr>
        <w:footnoteRef/>
      </w:r>
      <w:r w:rsidRPr="00A70EC8">
        <w:t xml:space="preserve"> </w:t>
      </w:r>
      <w:r w:rsidRPr="00A70EC8">
        <w:rPr>
          <w:bCs/>
          <w:i/>
          <w:iCs/>
          <w:color w:val="010101"/>
        </w:rPr>
        <w:t xml:space="preserve">See </w:t>
      </w:r>
      <w:r w:rsidRPr="007C6360">
        <w:rPr>
          <w:color w:val="0101FF"/>
          <w:u w:val="single"/>
        </w:rPr>
        <w:t>http://wireless.fcc.gov/uls</w:t>
      </w:r>
      <w:r w:rsidRPr="00AF42A7">
        <w:rPr>
          <w:bCs/>
          <w:color w:val="010101"/>
        </w:rPr>
        <w:t>.</w:t>
      </w:r>
      <w:r w:rsidRPr="00AF42A7">
        <w:rPr>
          <w:color w:val="010101"/>
        </w:rPr>
        <w:t>  For the purposes of this FRFA, consistent with Commission practice for wireless services, the Commission estimates the number of licensees based on the number of unique FCC Registration Numbers.</w:t>
      </w:r>
      <w:r w:rsidRPr="00AF42A7">
        <w:t xml:space="preserve">  </w:t>
      </w:r>
    </w:p>
  </w:footnote>
  <w:footnote w:id="170">
    <w:p w:rsidR="006908DB" w:rsidRPr="00A70EC8" w:rsidP="007A05B0" w14:paraId="43447DFB" w14:textId="77777777">
      <w:pPr>
        <w:pStyle w:val="FootnoteText"/>
      </w:pPr>
      <w:r w:rsidRPr="00A70EC8">
        <w:rPr>
          <w:rStyle w:val="FootnoteReference"/>
        </w:rPr>
        <w:footnoteRef/>
      </w:r>
      <w:r w:rsidRPr="00A70EC8">
        <w:t xml:space="preserve"> </w:t>
      </w:r>
      <w:r w:rsidRPr="00A70EC8">
        <w:rPr>
          <w:i/>
        </w:rPr>
        <w:t xml:space="preserve">See </w:t>
      </w:r>
      <w:r w:rsidRPr="007C6360">
        <w:t>Federal Communications Commission, Wireline Competition Bureau, Industry Analysis and Technology Division, Trends i</w:t>
      </w:r>
      <w:r w:rsidRPr="00AF42A7">
        <w:t>n Telephone Service at Table 5.3 (Sept. 2010) (</w:t>
      </w:r>
      <w:r w:rsidRPr="00AF42A7">
        <w:rPr>
          <w:i/>
        </w:rPr>
        <w:t>Trends in Telephone Service</w:t>
      </w:r>
      <w:r w:rsidRPr="00AF42A7">
        <w:t xml:space="preserve">), </w:t>
      </w:r>
      <w:hyperlink r:id="rId8" w:history="1">
        <w:r w:rsidRPr="00A70EC8">
          <w:rPr>
            <w:rStyle w:val="Hyperlink"/>
          </w:rPr>
          <w:t>https://apps.fcc.gov/e</w:t>
        </w:r>
        <w:r w:rsidRPr="007C6360">
          <w:rPr>
            <w:rStyle w:val="Hyperlink"/>
          </w:rPr>
          <w:t>docs_public/attachmatch/DOC-301823A1.pdf</w:t>
        </w:r>
      </w:hyperlink>
      <w:r w:rsidRPr="00A70EC8">
        <w:t xml:space="preserve">. </w:t>
      </w:r>
    </w:p>
  </w:footnote>
  <w:footnote w:id="171">
    <w:p w:rsidR="006908DB" w:rsidRPr="007C6360" w:rsidP="007A05B0" w14:paraId="35A1CF8A" w14:textId="77777777">
      <w:pPr>
        <w:pStyle w:val="FootnoteText"/>
      </w:pPr>
      <w:r w:rsidRPr="00A70EC8">
        <w:rPr>
          <w:rStyle w:val="FootnoteReference"/>
        </w:rPr>
        <w:footnoteRef/>
      </w:r>
      <w:r w:rsidRPr="00A70EC8">
        <w:t xml:space="preserve"> </w:t>
      </w:r>
      <w:r w:rsidRPr="00A70EC8">
        <w:rPr>
          <w:i/>
        </w:rPr>
        <w:t>See id</w:t>
      </w:r>
      <w:r w:rsidRPr="007C6360">
        <w:t>.</w:t>
      </w:r>
    </w:p>
  </w:footnote>
  <w:footnote w:id="172">
    <w:p w:rsidR="006908DB" w:rsidRPr="00A70EC8" w:rsidP="007A05B0" w14:paraId="1BA3B44E" w14:textId="77777777">
      <w:pPr>
        <w:pStyle w:val="FootnoteText"/>
      </w:pPr>
      <w:r w:rsidRPr="00A70EC8">
        <w:rPr>
          <w:rStyle w:val="FootnoteReference"/>
        </w:rPr>
        <w:footnoteRef/>
      </w:r>
      <w:r w:rsidRPr="00A70EC8">
        <w:t xml:space="preserve"> </w:t>
      </w:r>
      <w:r w:rsidRPr="00A70EC8">
        <w:rPr>
          <w:i/>
        </w:rPr>
        <w:t>See</w:t>
      </w:r>
      <w:r w:rsidRPr="007C6360">
        <w:t xml:space="preserve"> U.S. Census Bureau, </w:t>
      </w:r>
      <w:r w:rsidRPr="00AF42A7">
        <w:rPr>
          <w:i/>
          <w:iCs/>
        </w:rPr>
        <w:t>2017 NAICS Definition</w:t>
      </w:r>
      <w:r w:rsidRPr="00AF42A7">
        <w:t>, “</w:t>
      </w:r>
      <w:r w:rsidRPr="00AF42A7">
        <w:rPr>
          <w:i/>
          <w:iCs/>
        </w:rPr>
        <w:t>517919 All Other Telecommunications</w:t>
      </w:r>
      <w:r w:rsidRPr="00AF42A7">
        <w:t xml:space="preserve">”, </w:t>
      </w:r>
      <w:hyperlink r:id="rId9" w:history="1">
        <w:r w:rsidRPr="00A70EC8">
          <w:rPr>
            <w:rStyle w:val="Hyperlink"/>
          </w:rPr>
          <w:t>https://www.census.gov/cgi-bin/sssd/naics/naicsrch?input=517919&amp;search=2017+NAICS+Search&amp;search=2017</w:t>
        </w:r>
      </w:hyperlink>
      <w:r w:rsidRPr="00A70EC8">
        <w:rPr>
          <w:rStyle w:val="Hyperlink"/>
        </w:rPr>
        <w:t>.</w:t>
      </w:r>
    </w:p>
  </w:footnote>
  <w:footnote w:id="173">
    <w:p w:rsidR="006908DB" w:rsidRPr="00A70EC8" w:rsidP="007A05B0" w14:paraId="7248DFA3" w14:textId="77777777">
      <w:pPr>
        <w:pStyle w:val="FootnoteText"/>
        <w:rPr>
          <w:i/>
        </w:rPr>
      </w:pPr>
      <w:r w:rsidRPr="00A70EC8">
        <w:rPr>
          <w:rStyle w:val="FootnoteReference"/>
        </w:rPr>
        <w:footnoteRef/>
      </w:r>
      <w:r w:rsidRPr="00A70EC8">
        <w:t xml:space="preserve"> </w:t>
      </w:r>
      <w:r w:rsidRPr="00A70EC8">
        <w:rPr>
          <w:i/>
        </w:rPr>
        <w:t>Id.</w:t>
      </w:r>
    </w:p>
  </w:footnote>
  <w:footnote w:id="174">
    <w:p w:rsidR="006908DB" w:rsidRPr="00A70EC8" w:rsidP="007A05B0" w14:paraId="70B85F1B" w14:textId="77777777">
      <w:pPr>
        <w:pStyle w:val="FootnoteText"/>
      </w:pPr>
      <w:r w:rsidRPr="00A70EC8">
        <w:rPr>
          <w:rStyle w:val="FootnoteReference"/>
        </w:rPr>
        <w:footnoteRef/>
      </w:r>
      <w:r w:rsidRPr="00A70EC8">
        <w:rPr>
          <w:i/>
        </w:rPr>
        <w:t xml:space="preserve"> Id</w:t>
      </w:r>
      <w:r w:rsidRPr="00A70EC8">
        <w:t>.</w:t>
      </w:r>
    </w:p>
  </w:footnote>
  <w:footnote w:id="175">
    <w:p w:rsidR="006908DB" w:rsidRPr="00AF42A7" w:rsidP="007A05B0" w14:paraId="6C25886A" w14:textId="77777777">
      <w:pPr>
        <w:pStyle w:val="FootnoteText"/>
      </w:pPr>
      <w:r w:rsidRPr="00A70EC8">
        <w:rPr>
          <w:rStyle w:val="FootnoteReference"/>
        </w:rPr>
        <w:footnoteRef/>
      </w:r>
      <w:r w:rsidRPr="00A70EC8">
        <w:t xml:space="preserve"> </w:t>
      </w:r>
      <w:r w:rsidRPr="00A70EC8">
        <w:rPr>
          <w:i/>
        </w:rPr>
        <w:t>See</w:t>
      </w:r>
      <w:r w:rsidRPr="00A70EC8">
        <w:t xml:space="preserve"> 13 CFR § 121.201, NAICS Code 517919.</w:t>
      </w:r>
    </w:p>
  </w:footnote>
  <w:footnote w:id="176">
    <w:p w:rsidR="006908DB" w:rsidRPr="00A70EC8" w:rsidP="007A05B0" w14:paraId="76EF4337" w14:textId="77777777">
      <w:pPr>
        <w:pStyle w:val="FootnoteText"/>
      </w:pPr>
      <w:r w:rsidRPr="00A70EC8">
        <w:rPr>
          <w:rStyle w:val="FootnoteReference"/>
        </w:rPr>
        <w:footnoteRef/>
      </w:r>
      <w:r w:rsidRPr="00A70EC8">
        <w:t xml:space="preserve"> </w:t>
      </w:r>
      <w:r w:rsidRPr="00A70EC8">
        <w:rPr>
          <w:bCs/>
          <w:i/>
          <w:iCs/>
          <w:color w:val="010101"/>
        </w:rPr>
        <w:t>See</w:t>
      </w:r>
      <w:r w:rsidRPr="00A70EC8">
        <w:t xml:space="preserve"> U.S. Census Bureau, </w:t>
      </w:r>
      <w:bookmarkStart w:id="44" w:name="_Hlk35602756"/>
      <w:r w:rsidRPr="00AF42A7">
        <w:rPr>
          <w:bCs/>
          <w:i/>
        </w:rPr>
        <w:t>2012</w:t>
      </w:r>
      <w:r w:rsidRPr="00AF42A7">
        <w:rPr>
          <w:i/>
        </w:rPr>
        <w:t xml:space="preserve"> Economic Census</w:t>
      </w:r>
      <w:r w:rsidRPr="00AF42A7">
        <w:rPr>
          <w:bCs/>
          <w:i/>
        </w:rPr>
        <w:t xml:space="preserve"> of the United States</w:t>
      </w:r>
      <w:r w:rsidRPr="00AF42A7">
        <w:t xml:space="preserve">, Table ID: EC1251SSSZ4, </w:t>
      </w:r>
      <w:bookmarkEnd w:id="44"/>
      <w:r w:rsidRPr="00AF42A7">
        <w:rPr>
          <w:i/>
          <w:iCs/>
        </w:rPr>
        <w:t xml:space="preserve">Information: Subject Series - </w:t>
      </w:r>
      <w:r w:rsidRPr="00AF42A7">
        <w:rPr>
          <w:i/>
          <w:iCs/>
        </w:rPr>
        <w:t>Estab</w:t>
      </w:r>
      <w:r w:rsidRPr="00AF42A7">
        <w:rPr>
          <w:i/>
          <w:iCs/>
        </w:rPr>
        <w:t xml:space="preserve"> and Firm Size: </w:t>
      </w:r>
      <w:r w:rsidRPr="00AF42A7">
        <w:rPr>
          <w:bCs/>
          <w:i/>
          <w:iCs/>
        </w:rPr>
        <w:t>Receipts Size of Firms for the U.S.: 2012</w:t>
      </w:r>
      <w:r w:rsidRPr="00AF42A7">
        <w:t xml:space="preserve">, </w:t>
      </w:r>
      <w:bookmarkStart w:id="45" w:name="_Hlk35602821"/>
      <w:r w:rsidRPr="00AF42A7">
        <w:t>NAICS Code 517919</w:t>
      </w:r>
      <w:bookmarkEnd w:id="45"/>
      <w:r w:rsidRPr="00AF42A7">
        <w:t xml:space="preserve">, </w:t>
      </w:r>
      <w:hyperlink r:id="rId10" w:history="1">
        <w:r w:rsidRPr="00A70EC8">
          <w:rPr>
            <w:rStyle w:val="Hyperlink"/>
          </w:rPr>
          <w:t>https://data.census.gov/c</w:t>
        </w:r>
        <w:r w:rsidRPr="00AF42A7">
          <w:rPr>
            <w:rStyle w:val="Hyperlink"/>
          </w:rPr>
          <w:t>edsci/table?text=EC1251SSSZ4&amp;n=517919&amp;tid=ECNSIZE2012.EC1251SSSZ4&amp;hidePreview=false</w:t>
        </w:r>
      </w:hyperlink>
      <w:r w:rsidRPr="00A70EC8">
        <w:t>.</w:t>
      </w:r>
    </w:p>
  </w:footnote>
  <w:footnote w:id="177">
    <w:p w:rsidR="006908DB" w:rsidRPr="00AF42A7" w:rsidP="007A05B0" w14:paraId="53F286CC" w14:textId="1F8EB270">
      <w:pPr>
        <w:pStyle w:val="FootnoteText"/>
      </w:pPr>
      <w:r w:rsidRPr="00A70EC8">
        <w:rPr>
          <w:rStyle w:val="FootnoteReference"/>
        </w:rPr>
        <w:footnoteRef/>
      </w:r>
      <w:r w:rsidRPr="00A70EC8">
        <w:t xml:space="preserve"> </w:t>
      </w:r>
      <w:r w:rsidRPr="00A70EC8">
        <w:rPr>
          <w:i/>
        </w:rPr>
        <w:t xml:space="preserve">Id.  </w:t>
      </w:r>
      <w:r w:rsidRPr="00A70EC8">
        <w:t>The available U.S. Census Bureau data does not provide a more precise estimate of the number of firms that meet the SBA size standard.</w:t>
      </w:r>
    </w:p>
  </w:footnote>
  <w:footnote w:id="178">
    <w:p w:rsidR="006908DB" w:rsidRPr="00AF42A7" w:rsidP="007A05B0" w14:paraId="1A2A16A7" w14:textId="77777777">
      <w:pPr>
        <w:pStyle w:val="FootnoteText"/>
      </w:pPr>
      <w:r w:rsidRPr="00A70EC8">
        <w:rPr>
          <w:rStyle w:val="FootnoteReference"/>
        </w:rPr>
        <w:footnoteRef/>
      </w:r>
      <w:r w:rsidRPr="00A70EC8">
        <w:t xml:space="preserve"> </w:t>
      </w:r>
      <w:r w:rsidRPr="00A70EC8">
        <w:rPr>
          <w:i/>
        </w:rPr>
        <w:t xml:space="preserve">See </w:t>
      </w:r>
      <w:r w:rsidRPr="00A70EC8">
        <w:t>47 CFR Part 101, Sub</w:t>
      </w:r>
      <w:r w:rsidRPr="00AF42A7">
        <w:t xml:space="preserve">parts </w:t>
      </w:r>
      <w:r w:rsidRPr="00AF42A7">
        <w:t>C</w:t>
      </w:r>
      <w:r w:rsidRPr="00AF42A7">
        <w:t xml:space="preserve"> and I.</w:t>
      </w:r>
    </w:p>
  </w:footnote>
  <w:footnote w:id="179">
    <w:p w:rsidR="006908DB" w:rsidRPr="00AF42A7" w:rsidP="007A05B0" w14:paraId="5BB3D6A3" w14:textId="77777777">
      <w:pPr>
        <w:pStyle w:val="FootnoteText"/>
      </w:pPr>
      <w:r w:rsidRPr="00A70EC8">
        <w:rPr>
          <w:rStyle w:val="FootnoteReference"/>
        </w:rPr>
        <w:footnoteRef/>
      </w:r>
      <w:r w:rsidRPr="00A70EC8">
        <w:t xml:space="preserve"> </w:t>
      </w:r>
      <w:r w:rsidRPr="00A70EC8">
        <w:rPr>
          <w:i/>
        </w:rPr>
        <w:t xml:space="preserve">See </w:t>
      </w:r>
      <w:r w:rsidRPr="00A70EC8">
        <w:t>47 CFR Part 101, Subparts C and H.</w:t>
      </w:r>
    </w:p>
  </w:footnote>
  <w:footnote w:id="180">
    <w:p w:rsidR="006908DB" w:rsidRPr="00AF42A7" w:rsidP="007A05B0" w14:paraId="1D3E207B" w14:textId="77777777">
      <w:pPr>
        <w:pStyle w:val="FootnoteText"/>
      </w:pPr>
      <w:r w:rsidRPr="00A70EC8">
        <w:rPr>
          <w:rStyle w:val="FootnoteReference"/>
        </w:rPr>
        <w:footnoteRef/>
      </w:r>
      <w:r w:rsidRPr="00A70EC8">
        <w:t xml:space="preserve"> Auxiliary Microwave Service is governed by Part 74 of Title 47 of the Commission’s Rules.  </w:t>
      </w:r>
      <w:r w:rsidRPr="00A70EC8">
        <w:rPr>
          <w:i/>
        </w:rPr>
        <w:t>See</w:t>
      </w:r>
      <w:r w:rsidRPr="00A70EC8">
        <w:t xml:space="preserve"> 47 CFR Part 74.  Available to licensees of broadcast stations and to broadcast and cable network entiti</w:t>
      </w:r>
      <w:r w:rsidRPr="00AF42A7">
        <w:t>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81">
    <w:p w:rsidR="006908DB" w:rsidRPr="00AF42A7" w:rsidP="007A05B0" w14:paraId="7370CC6C" w14:textId="77777777">
      <w:pPr>
        <w:pStyle w:val="FootnoteText"/>
      </w:pPr>
      <w:r w:rsidRPr="00A70EC8">
        <w:rPr>
          <w:rStyle w:val="FootnoteReference"/>
        </w:rPr>
        <w:footnoteRef/>
      </w:r>
      <w:r w:rsidRPr="00A70EC8">
        <w:t xml:space="preserve"> </w:t>
      </w:r>
      <w:r w:rsidRPr="00A70EC8">
        <w:rPr>
          <w:i/>
        </w:rPr>
        <w:t xml:space="preserve">See </w:t>
      </w:r>
      <w:r w:rsidRPr="00A70EC8">
        <w:t>47 CFR Part 30</w:t>
      </w:r>
      <w:r w:rsidRPr="00AF42A7">
        <w:rPr>
          <w:i/>
        </w:rPr>
        <w:t>.</w:t>
      </w:r>
    </w:p>
  </w:footnote>
  <w:footnote w:id="182">
    <w:p w:rsidR="006908DB" w:rsidRPr="00AF42A7" w:rsidP="007A05B0" w14:paraId="495F3ED9" w14:textId="77777777">
      <w:pPr>
        <w:pStyle w:val="FootnoteText"/>
      </w:pPr>
      <w:r w:rsidRPr="00A70EC8">
        <w:rPr>
          <w:rStyle w:val="FootnoteReference"/>
        </w:rPr>
        <w:footnoteRef/>
      </w:r>
      <w:r w:rsidRPr="00A70EC8">
        <w:t xml:space="preserve"> </w:t>
      </w:r>
      <w:r w:rsidRPr="00A70EC8">
        <w:rPr>
          <w:i/>
        </w:rPr>
        <w:t>See</w:t>
      </w:r>
      <w:r w:rsidRPr="00A70EC8">
        <w:t xml:space="preserve"> 47 CFR Part 101, Subpart Q.</w:t>
      </w:r>
    </w:p>
  </w:footnote>
  <w:footnote w:id="183">
    <w:p w:rsidR="006908DB" w:rsidRPr="00AF42A7" w:rsidP="007A05B0" w14:paraId="65FAEF29" w14:textId="77777777">
      <w:pPr>
        <w:pStyle w:val="FootnoteText"/>
      </w:pPr>
      <w:r w:rsidRPr="00A70EC8">
        <w:rPr>
          <w:rStyle w:val="FootnoteReference"/>
        </w:rPr>
        <w:footnoteRef/>
      </w:r>
      <w:r w:rsidRPr="00A70EC8">
        <w:t xml:space="preserve"> </w:t>
      </w:r>
      <w:r w:rsidRPr="00A70EC8">
        <w:rPr>
          <w:i/>
        </w:rPr>
        <w:t>See</w:t>
      </w:r>
      <w:r w:rsidRPr="00A70EC8">
        <w:t xml:space="preserve"> 47 CFR Part 101, Subpart L.</w:t>
      </w:r>
    </w:p>
  </w:footnote>
  <w:footnote w:id="184">
    <w:p w:rsidR="006908DB" w:rsidRPr="00AF42A7" w:rsidP="007A05B0" w14:paraId="66B5DA0C" w14:textId="77777777">
      <w:pPr>
        <w:pStyle w:val="FootnoteText"/>
      </w:pPr>
      <w:r w:rsidRPr="00A70EC8">
        <w:rPr>
          <w:rStyle w:val="FootnoteReference"/>
        </w:rPr>
        <w:footnoteRef/>
      </w:r>
      <w:r w:rsidRPr="00A70EC8">
        <w:t xml:space="preserve"> </w:t>
      </w:r>
      <w:r w:rsidRPr="00A70EC8">
        <w:rPr>
          <w:i/>
        </w:rPr>
        <w:t>See</w:t>
      </w:r>
      <w:r w:rsidRPr="00A70EC8">
        <w:t xml:space="preserve"> 47 CFR Part 101, Subpart G.</w:t>
      </w:r>
    </w:p>
  </w:footnote>
  <w:footnote w:id="185">
    <w:p w:rsidR="006908DB" w:rsidRPr="00A70EC8" w:rsidP="007A05B0" w14:paraId="697AFC9D" w14:textId="77777777">
      <w:pPr>
        <w:pStyle w:val="FootnoteText"/>
      </w:pPr>
      <w:r w:rsidRPr="00A70EC8">
        <w:rPr>
          <w:rStyle w:val="FootnoteReference"/>
        </w:rPr>
        <w:footnoteRef/>
      </w:r>
      <w:r w:rsidRPr="00A70EC8">
        <w:t xml:space="preserve"> See id.</w:t>
      </w:r>
    </w:p>
  </w:footnote>
  <w:footnote w:id="186">
    <w:p w:rsidR="006908DB" w:rsidRPr="00AF42A7" w:rsidP="007A05B0" w14:paraId="2E39EF59" w14:textId="77777777">
      <w:pPr>
        <w:pStyle w:val="FootnoteText"/>
      </w:pPr>
      <w:r w:rsidRPr="00A70EC8">
        <w:rPr>
          <w:rStyle w:val="FootnoteReference"/>
        </w:rPr>
        <w:footnoteRef/>
      </w:r>
      <w:r w:rsidRPr="00A70EC8">
        <w:t xml:space="preserve"> </w:t>
      </w:r>
      <w:r w:rsidRPr="00A70EC8">
        <w:rPr>
          <w:i/>
        </w:rPr>
        <w:t>See</w:t>
      </w:r>
      <w:r w:rsidRPr="00A70EC8">
        <w:t xml:space="preserve"> 47 CFR §§ 101.533, 101.1017.</w:t>
      </w:r>
    </w:p>
  </w:footnote>
  <w:footnote w:id="187">
    <w:p w:rsidR="006908DB" w:rsidRPr="00A70EC8" w:rsidP="007A05B0" w14:paraId="7F9FFAC7" w14:textId="77777777">
      <w:pPr>
        <w:pStyle w:val="FootnoteText"/>
      </w:pPr>
      <w:r w:rsidRPr="00A70EC8">
        <w:rPr>
          <w:rStyle w:val="FootnoteReference"/>
        </w:rPr>
        <w:footnoteRef/>
      </w:r>
      <w:r w:rsidRPr="00A70EC8">
        <w:t xml:space="preserve"> These statistics are based on a review of the Universal Licensing System on September 22, 2015.</w:t>
      </w:r>
    </w:p>
  </w:footnote>
  <w:footnote w:id="188">
    <w:p w:rsidR="006908DB" w:rsidRPr="00A70EC8" w:rsidP="007A05B0" w14:paraId="37648F24" w14:textId="77777777">
      <w:pPr>
        <w:pStyle w:val="FootnoteText"/>
      </w:pPr>
      <w:bookmarkStart w:id="49" w:name="_Hlk35949399"/>
      <w:r w:rsidRPr="00A70EC8">
        <w:rPr>
          <w:rStyle w:val="FootnoteReference"/>
        </w:rPr>
        <w:footnoteRef/>
      </w:r>
      <w:bookmarkStart w:id="50" w:name="_Hlk12441719"/>
      <w:r w:rsidRPr="00A70EC8">
        <w:t xml:space="preserve"> </w:t>
      </w:r>
      <w:r w:rsidRPr="00A70EC8">
        <w:rPr>
          <w:bCs/>
          <w:i/>
          <w:iCs/>
          <w:color w:val="010101"/>
        </w:rPr>
        <w:t>See</w:t>
      </w:r>
      <w:r w:rsidRPr="00A70EC8">
        <w:t xml:space="preserve"> U.S. Census Bureau, </w:t>
      </w:r>
      <w:r w:rsidRPr="00AF42A7">
        <w:rPr>
          <w:i/>
          <w:iCs/>
        </w:rPr>
        <w:t>2017 NAICS Definition, “</w:t>
      </w:r>
      <w:r w:rsidRPr="00AF42A7">
        <w:rPr>
          <w:bCs/>
          <w:i/>
          <w:iCs/>
        </w:rPr>
        <w:t>517312 Wireless Telecommunications Carriers</w:t>
      </w:r>
      <w:r w:rsidRPr="00AF42A7">
        <w:rPr>
          <w:bCs/>
        </w:rPr>
        <w:t xml:space="preserve"> (</w:t>
      </w:r>
      <w:r w:rsidRPr="00AF42A7">
        <w:rPr>
          <w:bCs/>
          <w:i/>
          <w:iCs/>
        </w:rPr>
        <w:t>except Satellite</w:t>
      </w:r>
      <w:r w:rsidRPr="00AF42A7">
        <w:rPr>
          <w:bCs/>
        </w:rPr>
        <w:t>)”,</w:t>
      </w:r>
      <w:r w:rsidRPr="00AF42A7">
        <w:t xml:space="preserve"> </w:t>
      </w:r>
      <w:hyperlink r:id="rId6" w:history="1">
        <w:r w:rsidRPr="00A70EC8">
          <w:rPr>
            <w:rStyle w:val="Hyperlink"/>
            <w:iCs/>
          </w:rPr>
          <w:t>https://www.census.gov/cgi-bin/sssd/naics/naicsrch?code=517312&amp;search=2017%20NAICS%20Search</w:t>
        </w:r>
      </w:hyperlink>
      <w:r w:rsidRPr="00A70EC8">
        <w:rPr>
          <w:rStyle w:val="Hyperlink"/>
        </w:rPr>
        <w:t>.</w:t>
      </w:r>
      <w:bookmarkEnd w:id="49"/>
      <w:bookmarkEnd w:id="50"/>
    </w:p>
  </w:footnote>
  <w:footnote w:id="189">
    <w:p w:rsidR="006908DB" w:rsidRPr="00AF42A7" w:rsidP="007A05B0" w14:paraId="27D432D1" w14:textId="77777777">
      <w:pPr>
        <w:pStyle w:val="FootnoteText"/>
      </w:pPr>
      <w:r w:rsidRPr="00A70EC8">
        <w:rPr>
          <w:rStyle w:val="FootnoteReference"/>
        </w:rPr>
        <w:footnoteRef/>
      </w:r>
      <w:r w:rsidRPr="00A70EC8">
        <w:t xml:space="preserve"> </w:t>
      </w:r>
      <w:r w:rsidRPr="00A70EC8">
        <w:rPr>
          <w:i/>
        </w:rPr>
        <w:t>See</w:t>
      </w:r>
      <w:r w:rsidRPr="00A70EC8">
        <w:t xml:space="preserve"> 13 CFR § 121.201, NAICS Code 517312 (previously 517210).</w:t>
      </w:r>
    </w:p>
  </w:footnote>
  <w:footnote w:id="190">
    <w:p w:rsidR="006908DB" w:rsidRPr="00A70EC8" w:rsidP="007A05B0" w14:paraId="12AE547E" w14:textId="77777777">
      <w:pPr>
        <w:pStyle w:val="FootnoteText"/>
      </w:pPr>
      <w:r w:rsidRPr="00A70EC8">
        <w:rPr>
          <w:rStyle w:val="FootnoteReference"/>
        </w:rPr>
        <w:footnoteRef/>
      </w:r>
      <w:r w:rsidRPr="00A70EC8">
        <w:t xml:space="preserve"> </w:t>
      </w:r>
      <w:bookmarkStart w:id="51" w:name="_Hlk12441776"/>
      <w:r w:rsidRPr="00A70EC8">
        <w:rPr>
          <w:bCs/>
          <w:i/>
          <w:iCs/>
          <w:color w:val="010101"/>
        </w:rPr>
        <w:t>See</w:t>
      </w:r>
      <w:r w:rsidRPr="00A70EC8">
        <w:t xml:space="preserve"> U.S. Census Bureau, </w:t>
      </w:r>
      <w:r w:rsidRPr="00AF42A7">
        <w:rPr>
          <w:bCs/>
          <w:i/>
        </w:rPr>
        <w:t>2012</w:t>
      </w:r>
      <w:r w:rsidRPr="00AF42A7">
        <w:rPr>
          <w:i/>
        </w:rPr>
        <w:t xml:space="preserve"> Economic Census</w:t>
      </w:r>
      <w:r w:rsidRPr="00AF42A7">
        <w:rPr>
          <w:bCs/>
          <w:i/>
        </w:rPr>
        <w:t xml:space="preserve"> of the United States</w:t>
      </w:r>
      <w:r w:rsidRPr="00AF42A7">
        <w:t>, Table ID: EC1251SSSZ5</w:t>
      </w:r>
      <w:r w:rsidRPr="00AF42A7">
        <w:rPr>
          <w:i/>
          <w:iCs/>
        </w:rPr>
        <w:t xml:space="preserve">, Information: Subject Series, </w:t>
      </w:r>
      <w:r w:rsidRPr="00AF42A7">
        <w:rPr>
          <w:i/>
          <w:iCs/>
        </w:rPr>
        <w:t>Estab</w:t>
      </w:r>
      <w:r w:rsidRPr="00AF42A7">
        <w:rPr>
          <w:i/>
          <w:iCs/>
        </w:rPr>
        <w:t xml:space="preserve"> and Firm Size: Employment Size of Firms for the U.S.: 2012,</w:t>
      </w:r>
      <w:r w:rsidRPr="00AF42A7">
        <w:t xml:space="preserve"> NAICS Code 517210, </w:t>
      </w:r>
      <w:hyperlink r:id="rId7" w:history="1">
        <w:r w:rsidRPr="00A70EC8">
          <w:rPr>
            <w:rStyle w:val="Hyperlink"/>
          </w:rPr>
          <w:t>https://data.census.gov/cedsci/table?text=EC1251SSSZ5&amp;n=517210&amp;tid=ECNSIZE2012.EC1251SSSZ5&amp;hidePreview=false&amp;vintage=2012</w:t>
        </w:r>
      </w:hyperlink>
      <w:r w:rsidRPr="00A70EC8">
        <w:rPr>
          <w:rStyle w:val="Hyperlink"/>
        </w:rPr>
        <w:t>.</w:t>
      </w:r>
    </w:p>
    <w:bookmarkEnd w:id="51"/>
  </w:footnote>
  <w:footnote w:id="191">
    <w:p w:rsidR="006908DB" w:rsidRPr="00AF42A7" w:rsidP="007A05B0" w14:paraId="44EC3413" w14:textId="65134662">
      <w:pPr>
        <w:pStyle w:val="FootnoteText"/>
      </w:pPr>
      <w:r w:rsidRPr="00A70EC8">
        <w:rPr>
          <w:rStyle w:val="FootnoteReference"/>
        </w:rPr>
        <w:footnoteRef/>
      </w:r>
      <w:r w:rsidRPr="00A70EC8">
        <w:t xml:space="preserve"> </w:t>
      </w:r>
      <w:r w:rsidRPr="00A70EC8">
        <w:rPr>
          <w:i/>
        </w:rPr>
        <w:t>Id</w:t>
      </w:r>
      <w:r w:rsidRPr="00A70EC8">
        <w:t>.  The available U.S. Census Bureau data does not provide a more precise estimate of the number of firms that m</w:t>
      </w:r>
      <w:r w:rsidRPr="00AF42A7">
        <w:t xml:space="preserve">eet the SBA size standard.  </w:t>
      </w:r>
    </w:p>
  </w:footnote>
  <w:footnote w:id="192">
    <w:p w:rsidR="006908DB" w:rsidRPr="00A70EC8" w:rsidP="007A05B0" w14:paraId="34968FA0" w14:textId="77777777">
      <w:pPr>
        <w:pStyle w:val="FootnoteText"/>
      </w:pPr>
      <w:r w:rsidRPr="00A70EC8">
        <w:rPr>
          <w:rStyle w:val="FootnoteReference"/>
        </w:rPr>
        <w:footnoteRef/>
      </w:r>
      <w:r w:rsidRPr="00A70EC8">
        <w:t xml:space="preserve"> </w:t>
      </w:r>
      <w:r w:rsidRPr="00A70EC8">
        <w:rPr>
          <w:i/>
        </w:rPr>
        <w:t xml:space="preserve">See </w:t>
      </w:r>
      <w:r w:rsidRPr="00A70EC8">
        <w:t xml:space="preserve">U.S. Census Bureau, </w:t>
      </w:r>
      <w:r w:rsidRPr="00AF42A7">
        <w:rPr>
          <w:i/>
          <w:iCs/>
        </w:rPr>
        <w:t>2017 NAICS Definition, “515112 Radio Stations”,</w:t>
      </w:r>
      <w:r w:rsidRPr="00AF42A7">
        <w:t xml:space="preserve"> </w:t>
      </w:r>
      <w:hyperlink r:id="rId11" w:history="1">
        <w:hyperlink r:id="rId12" w:history="1">
          <w:r w:rsidRPr="00AF42A7">
            <w:rPr>
              <w:rStyle w:val="Hyperlink"/>
            </w:rPr>
            <w:t>https://www.census.gov/cgi-bin/sssd/naics/naicsrch?input=515112&amp;search=2017+NAICS+Search&amp;search=2017</w:t>
          </w:r>
        </w:hyperlink>
      </w:hyperlink>
      <w:r w:rsidRPr="00A70EC8">
        <w:rPr>
          <w:rStyle w:val="Hyperlink"/>
        </w:rPr>
        <w:t>.</w:t>
      </w:r>
    </w:p>
  </w:footnote>
  <w:footnote w:id="193">
    <w:p w:rsidR="006908DB" w:rsidRPr="00A70EC8" w:rsidP="007A05B0" w14:paraId="0F10B4FC" w14:textId="77777777">
      <w:pPr>
        <w:pStyle w:val="FootnoteText"/>
      </w:pPr>
      <w:r w:rsidRPr="00A70EC8">
        <w:rPr>
          <w:rStyle w:val="FootnoteReference"/>
        </w:rPr>
        <w:footnoteRef/>
      </w:r>
      <w:r w:rsidRPr="00A70EC8">
        <w:rPr>
          <w:rStyle w:val="Hyperlink"/>
          <w:color w:val="auto"/>
          <w:u w:val="none"/>
        </w:rPr>
        <w:t xml:space="preserve"> </w:t>
      </w:r>
      <w:r w:rsidRPr="00A70EC8">
        <w:rPr>
          <w:rStyle w:val="Hyperlink"/>
          <w:i/>
          <w:color w:val="auto"/>
          <w:u w:val="none"/>
        </w:rPr>
        <w:t>Id.</w:t>
      </w:r>
    </w:p>
  </w:footnote>
  <w:footnote w:id="194">
    <w:p w:rsidR="006908DB" w:rsidRPr="00A70EC8" w:rsidP="007A05B0" w14:paraId="0EFBE272" w14:textId="77777777">
      <w:pPr>
        <w:pStyle w:val="FootnoteText"/>
      </w:pPr>
      <w:r w:rsidRPr="00A70EC8">
        <w:rPr>
          <w:rStyle w:val="FootnoteReference"/>
        </w:rPr>
        <w:footnoteRef/>
      </w:r>
      <w:r w:rsidRPr="00A70EC8">
        <w:t xml:space="preserve"> </w:t>
      </w:r>
      <w:r w:rsidRPr="00A70EC8">
        <w:rPr>
          <w:i/>
        </w:rPr>
        <w:t>Id.</w:t>
      </w:r>
    </w:p>
  </w:footnote>
  <w:footnote w:id="195">
    <w:p w:rsidR="006908DB" w:rsidRPr="00AF42A7" w:rsidP="007A05B0" w14:paraId="702ADA0C" w14:textId="77777777">
      <w:pPr>
        <w:pStyle w:val="FootnoteText"/>
      </w:pPr>
      <w:r w:rsidRPr="00A70EC8">
        <w:rPr>
          <w:rStyle w:val="FootnoteReference"/>
        </w:rPr>
        <w:footnoteRef/>
      </w:r>
      <w:r w:rsidRPr="00A70EC8">
        <w:t xml:space="preserve"> </w:t>
      </w:r>
      <w:r w:rsidRPr="00A70EC8">
        <w:rPr>
          <w:i/>
          <w:iCs/>
        </w:rPr>
        <w:t>See</w:t>
      </w:r>
      <w:r w:rsidRPr="00A70EC8">
        <w:t xml:space="preserve"> 13 CFR § 121.201, NAICS Code 515112.</w:t>
      </w:r>
    </w:p>
  </w:footnote>
  <w:footnote w:id="196">
    <w:p w:rsidR="006908DB" w:rsidRPr="00A70EC8" w:rsidP="007A05B0" w14:paraId="36FBE5C3" w14:textId="77777777">
      <w:pPr>
        <w:pStyle w:val="FootnoteText"/>
      </w:pPr>
      <w:r w:rsidRPr="00A70EC8">
        <w:rPr>
          <w:rStyle w:val="FootnoteReference"/>
        </w:rPr>
        <w:footnoteRef/>
      </w:r>
      <w:r w:rsidRPr="00A70EC8">
        <w:t xml:space="preserve"> </w:t>
      </w:r>
      <w:r w:rsidRPr="00A70EC8">
        <w:rPr>
          <w:i/>
          <w:iCs/>
        </w:rPr>
        <w:t>See</w:t>
      </w:r>
      <w:r w:rsidRPr="00AF42A7">
        <w:t xml:space="preserve"> 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EC1251SSSZ4, </w:t>
      </w:r>
      <w:r w:rsidRPr="00AF42A7">
        <w:rPr>
          <w:i/>
          <w:iCs/>
        </w:rPr>
        <w:t xml:space="preserve">Information: Subject Series – </w:t>
      </w:r>
      <w:r w:rsidRPr="00AF42A7">
        <w:rPr>
          <w:i/>
          <w:iCs/>
        </w:rPr>
        <w:t>Estab</w:t>
      </w:r>
      <w:r w:rsidRPr="00AF42A7">
        <w:rPr>
          <w:i/>
          <w:iCs/>
        </w:rPr>
        <w:t xml:space="preserve"> and Firm Size: Receipts Size of Firms for the U.S.:2012,</w:t>
      </w:r>
      <w:r w:rsidRPr="00AF42A7">
        <w:t xml:space="preserve"> NAICS Code 515112, </w:t>
      </w:r>
      <w:hyperlink r:id="rId13" w:history="1">
        <w:r w:rsidRPr="00A70EC8">
          <w:rPr>
            <w:rStyle w:val="Hyperlink"/>
          </w:rPr>
          <w:t>https://data.census.gov/cedsci/table?text=EC1251SSSZ4&amp;n=515112&amp;tid=ECNSIZE2012.EC1251SSSZ4&amp;hidePreview=false</w:t>
        </w:r>
      </w:hyperlink>
      <w:r w:rsidRPr="00A70EC8">
        <w:t xml:space="preserve">. </w:t>
      </w:r>
    </w:p>
  </w:footnote>
  <w:footnote w:id="197">
    <w:p w:rsidR="006908DB" w:rsidRPr="00AF42A7" w:rsidP="007A05B0" w14:paraId="78AA36CA" w14:textId="2F7FFFC2">
      <w:pPr>
        <w:pStyle w:val="FootnoteText"/>
      </w:pPr>
      <w:r w:rsidRPr="00A70EC8">
        <w:rPr>
          <w:rStyle w:val="FootnoteReference"/>
        </w:rPr>
        <w:footnoteRef/>
      </w:r>
      <w:r w:rsidRPr="00A70EC8">
        <w:rPr>
          <w:i/>
        </w:rPr>
        <w:t xml:space="preserve"> Id.  </w:t>
      </w:r>
      <w:r w:rsidRPr="00A70EC8">
        <w:t>The available U.S. Census Bureau data does not provide a more precise estimate of the number of firms that meet the SBA size standard.</w:t>
      </w:r>
    </w:p>
  </w:footnote>
  <w:footnote w:id="198">
    <w:p w:rsidR="006908DB" w:rsidRPr="00AF42A7" w:rsidP="007A05B0" w14:paraId="3504D221" w14:textId="77777777">
      <w:pPr>
        <w:pStyle w:val="FootnoteText"/>
      </w:pPr>
      <w:r w:rsidRPr="00A70EC8">
        <w:rPr>
          <w:rStyle w:val="FootnoteReference"/>
        </w:rPr>
        <w:footnoteRef/>
      </w:r>
      <w:r w:rsidRPr="00A70EC8">
        <w:t xml:space="preserve"> Amendment of Part 90 of the Commission’s Rules to Adopt Regulations for Automatic Vehicle Monitoring Systems, PR Docket No. 93-61, </w:t>
      </w:r>
      <w:r w:rsidRPr="00A70EC8">
        <w:rPr>
          <w:i/>
        </w:rPr>
        <w:t>Second Report and Order</w:t>
      </w:r>
      <w:r w:rsidRPr="00AF42A7">
        <w:t xml:space="preserve">, 13 FCC </w:t>
      </w:r>
      <w:r w:rsidRPr="00AF42A7">
        <w:t>Rcd</w:t>
      </w:r>
      <w:r w:rsidRPr="00AF42A7">
        <w:t xml:space="preserve"> 15182, 15192 para. 20 (1998); </w:t>
      </w:r>
      <w:r w:rsidRPr="00AF42A7">
        <w:rPr>
          <w:i/>
        </w:rPr>
        <w:t>see also</w:t>
      </w:r>
      <w:r w:rsidRPr="00AF42A7">
        <w:t xml:space="preserve"> 47 CFR § 90.1103. </w:t>
      </w:r>
    </w:p>
  </w:footnote>
  <w:footnote w:id="199">
    <w:p w:rsidR="006908DB" w:rsidRPr="00AF42A7" w:rsidP="007A05B0" w14:paraId="14FE0173" w14:textId="77777777">
      <w:pPr>
        <w:pStyle w:val="FootnoteText"/>
      </w:pPr>
      <w:r w:rsidRPr="00A70EC8">
        <w:rPr>
          <w:rStyle w:val="FootnoteReference"/>
        </w:rPr>
        <w:footnoteRef/>
      </w:r>
      <w:r w:rsidRPr="00A70EC8">
        <w:t xml:space="preserve"> </w:t>
      </w:r>
      <w:r w:rsidRPr="00A70EC8">
        <w:rPr>
          <w:i/>
        </w:rPr>
        <w:t>Id</w:t>
      </w:r>
      <w:r w:rsidRPr="00A70EC8">
        <w:t>.</w:t>
      </w:r>
    </w:p>
  </w:footnote>
  <w:footnote w:id="200">
    <w:p w:rsidR="006908DB" w:rsidRPr="00AF42A7" w:rsidP="007A05B0" w14:paraId="6F8A5ADD" w14:textId="77777777">
      <w:pPr>
        <w:pStyle w:val="FootnoteText"/>
      </w:pPr>
      <w:r w:rsidRPr="00A70EC8">
        <w:rPr>
          <w:rStyle w:val="FootnoteReference"/>
        </w:rPr>
        <w:footnoteRef/>
      </w:r>
      <w:r w:rsidRPr="00A70EC8">
        <w:t xml:space="preserve"> </w:t>
      </w:r>
      <w:r w:rsidRPr="00A70EC8">
        <w:rPr>
          <w:i/>
        </w:rPr>
        <w:t>See</w:t>
      </w:r>
      <w:r w:rsidRPr="00A70EC8">
        <w:t xml:space="preserve"> Letter from Aida Alvarez, Administrator, Small Business Administratio</w:t>
      </w:r>
      <w:r w:rsidRPr="00AF42A7">
        <w:t xml:space="preserve">n to Thomas J. Sugrue, Chief, Wireless Telecommunications Bureau, FCC (Feb. 22, 1999).  </w:t>
      </w:r>
    </w:p>
  </w:footnote>
  <w:footnote w:id="201">
    <w:p w:rsidR="006908DB" w:rsidRPr="00AF42A7" w:rsidP="007A05B0" w14:paraId="29CCB211" w14:textId="77777777">
      <w:pPr>
        <w:pStyle w:val="FootnoteText"/>
      </w:pPr>
      <w:r w:rsidRPr="00A70EC8">
        <w:rPr>
          <w:rStyle w:val="FootnoteReference"/>
        </w:rPr>
        <w:footnoteRef/>
      </w:r>
      <w:r w:rsidRPr="00A70EC8">
        <w:t xml:space="preserve"> 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w:t>
      </w:r>
      <w:r w:rsidRPr="00AF42A7">
        <w:t xml:space="preserve">e Licensees and their Affiliates; and Applications of </w:t>
      </w:r>
      <w:r w:rsidRPr="00AF42A7">
        <w:t>Broadwave</w:t>
      </w:r>
      <w:r w:rsidRPr="00AF42A7">
        <w:t xml:space="preserve"> USA, PDC Broadband Corporation, and Satellite Receivers, Ltd. to Provide A Fixed Service in the 12.2–12.7 GHz Band, </w:t>
      </w:r>
      <w:r w:rsidRPr="00AF42A7">
        <w:rPr>
          <w:i/>
        </w:rPr>
        <w:t>Memorandum Opinion and Order and Second Report and Order</w:t>
      </w:r>
      <w:r w:rsidRPr="00AF42A7">
        <w:t xml:space="preserve">, 17 FCC </w:t>
      </w:r>
      <w:r w:rsidRPr="00AF42A7">
        <w:t>Rcd</w:t>
      </w:r>
      <w:r w:rsidRPr="00AF42A7">
        <w:t xml:space="preserve"> 9614, 9711, para. 252 (2002).  </w:t>
      </w:r>
    </w:p>
  </w:footnote>
  <w:footnote w:id="202">
    <w:p w:rsidR="006908DB" w:rsidRPr="00AF42A7" w:rsidP="007A05B0" w14:paraId="2CD811AA" w14:textId="77777777">
      <w:pPr>
        <w:pStyle w:val="FootnoteText"/>
      </w:pPr>
      <w:r w:rsidRPr="00A70EC8">
        <w:rPr>
          <w:rStyle w:val="FootnoteReference"/>
        </w:rPr>
        <w:footnoteRef/>
      </w:r>
      <w:r w:rsidRPr="00A70EC8">
        <w:t xml:space="preserve"> </w:t>
      </w:r>
      <w:r w:rsidRPr="00A70EC8">
        <w:rPr>
          <w:i/>
        </w:rPr>
        <w:t xml:space="preserve">See </w:t>
      </w:r>
      <w:r w:rsidRPr="00A70EC8">
        <w:t>Letter from Hector V. Barreto, Administrator, U.S. Small Business Administration, to Mar</w:t>
      </w:r>
      <w:r w:rsidRPr="00AF42A7">
        <w:t>garet W. Wiener, Chief, Auctions and Industry Analysis Division, Wireless Telecommunications Bureau, FCC (Feb. 13, 2002).</w:t>
      </w:r>
    </w:p>
  </w:footnote>
  <w:footnote w:id="203">
    <w:p w:rsidR="006908DB" w:rsidRPr="00AF42A7" w:rsidP="007A05B0" w14:paraId="782A7847" w14:textId="77777777">
      <w:pPr>
        <w:pStyle w:val="FootnoteText"/>
      </w:pPr>
      <w:r w:rsidRPr="00A70EC8">
        <w:rPr>
          <w:rStyle w:val="FootnoteReference"/>
        </w:rPr>
        <w:footnoteRef/>
      </w:r>
      <w:r w:rsidRPr="00A70EC8">
        <w:t xml:space="preserve"> </w:t>
      </w:r>
      <w:r w:rsidRPr="00A70EC8">
        <w:rPr>
          <w:i/>
        </w:rPr>
        <w:t>See</w:t>
      </w:r>
      <w:r w:rsidRPr="00A70EC8">
        <w:t xml:space="preserve"> “</w:t>
      </w:r>
      <w:r w:rsidRPr="00AF42A7">
        <w:rPr>
          <w:i/>
        </w:rPr>
        <w:t>Multichannel Video Distribution and Data Service Spectrum Auction Closes; Winning Bidders Announced</w:t>
      </w:r>
      <w:r w:rsidRPr="00AF42A7">
        <w:t xml:space="preserve">,” Public Notice, 19 FCC </w:t>
      </w:r>
      <w:r w:rsidRPr="00AF42A7">
        <w:t>Rcd</w:t>
      </w:r>
      <w:r w:rsidRPr="00AF42A7">
        <w:t xml:space="preserve"> 1834 (2004).</w:t>
      </w:r>
      <w:r w:rsidRPr="00AF42A7">
        <w:rPr>
          <w:i/>
        </w:rPr>
        <w:t xml:space="preserve"> </w:t>
      </w:r>
    </w:p>
  </w:footnote>
  <w:footnote w:id="204">
    <w:p w:rsidR="006908DB" w:rsidRPr="00AF42A7" w:rsidP="007A05B0" w14:paraId="10552D9D" w14:textId="77777777">
      <w:pPr>
        <w:pStyle w:val="FootnoteText"/>
      </w:pPr>
      <w:r w:rsidRPr="00A70EC8">
        <w:rPr>
          <w:rStyle w:val="FootnoteReference"/>
        </w:rPr>
        <w:footnoteRef/>
      </w:r>
      <w:r w:rsidRPr="00A70EC8">
        <w:t xml:space="preserve"> </w:t>
      </w:r>
      <w:r w:rsidRPr="00A70EC8">
        <w:rPr>
          <w:i/>
        </w:rPr>
        <w:t>See</w:t>
      </w:r>
      <w:r w:rsidRPr="00A70EC8">
        <w:t xml:space="preserve"> “</w:t>
      </w:r>
      <w:r w:rsidRPr="00AF42A7">
        <w:rPr>
          <w:i/>
        </w:rPr>
        <w:t>Auction of Multichannel Video Distribution and Data Service Licenses Closes; Winning Bidders Announced for Auction No. 63</w:t>
      </w:r>
      <w:r w:rsidRPr="00AF42A7">
        <w:t xml:space="preserve">,” Public Notice, 20 FCC </w:t>
      </w:r>
      <w:r w:rsidRPr="00AF42A7">
        <w:t>Rcd</w:t>
      </w:r>
      <w:r w:rsidRPr="00AF42A7">
        <w:t xml:space="preserve"> 19807 (2005).</w:t>
      </w:r>
    </w:p>
  </w:footnote>
  <w:footnote w:id="205">
    <w:p w:rsidR="006908DB" w:rsidRPr="00AF42A7" w:rsidP="007A05B0" w14:paraId="2EC39037" w14:textId="77777777">
      <w:pPr>
        <w:pStyle w:val="FootnoteText"/>
      </w:pPr>
      <w:r w:rsidRPr="00A70EC8">
        <w:rPr>
          <w:rStyle w:val="FootnoteReference"/>
        </w:rPr>
        <w:footnoteRef/>
      </w:r>
      <w:r w:rsidRPr="00A70EC8">
        <w:t xml:space="preserve"> </w:t>
      </w:r>
      <w:r w:rsidRPr="00A70EC8">
        <w:rPr>
          <w:i/>
        </w:rPr>
        <w:t>See</w:t>
      </w:r>
      <w:r w:rsidRPr="00A70EC8">
        <w:t xml:space="preserve"> Amendment of the Commission’s Rules Regarding Multiple Address Systems, </w:t>
      </w:r>
      <w:r w:rsidRPr="00AF42A7">
        <w:rPr>
          <w:i/>
        </w:rPr>
        <w:t>Report and Order</w:t>
      </w:r>
      <w:r w:rsidRPr="00AF42A7">
        <w:t xml:space="preserve">, 15 FCC </w:t>
      </w:r>
      <w:r w:rsidRPr="00AF42A7">
        <w:t>Rcd</w:t>
      </w:r>
      <w:r w:rsidRPr="00AF42A7">
        <w:t xml:space="preserve"> 11956, 12008, para. 123 (2000).</w:t>
      </w:r>
    </w:p>
  </w:footnote>
  <w:footnote w:id="206">
    <w:p w:rsidR="006908DB" w:rsidRPr="00AF42A7" w:rsidP="007A05B0" w14:paraId="1F805FF4" w14:textId="77777777">
      <w:pPr>
        <w:pStyle w:val="FootnoteText"/>
      </w:pPr>
      <w:r w:rsidRPr="00A70EC8">
        <w:rPr>
          <w:rStyle w:val="FootnoteReference"/>
        </w:rPr>
        <w:footnoteRef/>
      </w:r>
      <w:r w:rsidRPr="00A70EC8">
        <w:t xml:space="preserve"> </w:t>
      </w:r>
      <w:r w:rsidRPr="00A70EC8">
        <w:rPr>
          <w:i/>
        </w:rPr>
        <w:t>Id</w:t>
      </w:r>
      <w:r w:rsidRPr="00A70EC8">
        <w:t>.</w:t>
      </w:r>
    </w:p>
  </w:footnote>
  <w:footnote w:id="207">
    <w:p w:rsidR="006908DB" w:rsidRPr="00AF42A7" w:rsidP="007A05B0" w14:paraId="1AEDE28B" w14:textId="77777777">
      <w:pPr>
        <w:pStyle w:val="FootnoteText"/>
      </w:pPr>
      <w:r w:rsidRPr="00A70EC8">
        <w:rPr>
          <w:rStyle w:val="FootnoteReference"/>
        </w:rPr>
        <w:footnoteRef/>
      </w:r>
      <w:r w:rsidRPr="00A70EC8">
        <w:t xml:space="preserve"> </w:t>
      </w:r>
      <w:r w:rsidRPr="007C6360">
        <w:rPr>
          <w:i/>
        </w:rPr>
        <w:t>See</w:t>
      </w:r>
      <w:r w:rsidRPr="007C6360">
        <w:t xml:space="preserve"> Letter from Aida Alvarez, Administrator, Small Business </w:t>
      </w:r>
      <w:r w:rsidRPr="00AF42A7">
        <w:t xml:space="preserve">Administration, to Thomas Sugrue, Chief, Wireless Telecommunications Bureau, FCC (June 4, 1999). </w:t>
      </w:r>
    </w:p>
  </w:footnote>
  <w:footnote w:id="208">
    <w:p w:rsidR="006908DB" w:rsidRPr="00AF42A7" w:rsidP="007A05B0" w14:paraId="3318AC3D" w14:textId="77777777">
      <w:pPr>
        <w:pStyle w:val="FootnoteText"/>
      </w:pPr>
      <w:r w:rsidRPr="00A70EC8">
        <w:rPr>
          <w:rStyle w:val="FootnoteReference"/>
        </w:rPr>
        <w:footnoteRef/>
      </w:r>
      <w:r w:rsidRPr="00A70EC8">
        <w:t xml:space="preserve"> </w:t>
      </w:r>
      <w:r w:rsidRPr="007C6360">
        <w:rPr>
          <w:i/>
          <w:iCs/>
        </w:rPr>
        <w:t>See</w:t>
      </w:r>
      <w:r w:rsidRPr="007C6360">
        <w:t xml:space="preserve"> “Multiple Address Systems Spectrum Auction Closes,” Public Notice, 16 FCC </w:t>
      </w:r>
      <w:r w:rsidRPr="007C6360">
        <w:t>Rcd</w:t>
      </w:r>
      <w:r w:rsidRPr="007C6360">
        <w:t xml:space="preserve"> 21011 (2001).</w:t>
      </w:r>
    </w:p>
  </w:footnote>
  <w:footnote w:id="209">
    <w:p w:rsidR="006908DB" w:rsidRPr="00AF42A7" w:rsidP="007A05B0" w14:paraId="54946D69" w14:textId="77777777">
      <w:pPr>
        <w:pStyle w:val="FootnoteText"/>
      </w:pPr>
      <w:r w:rsidRPr="00A70EC8">
        <w:rPr>
          <w:rStyle w:val="FootnoteReference"/>
        </w:rPr>
        <w:footnoteRef/>
      </w:r>
      <w:r w:rsidRPr="00A70EC8">
        <w:t xml:space="preserve"> </w:t>
      </w:r>
      <w:r w:rsidRPr="007C6360">
        <w:rPr>
          <w:i/>
          <w:iCs/>
        </w:rPr>
        <w:t>See</w:t>
      </w:r>
      <w:r w:rsidRPr="007C6360">
        <w:t xml:space="preserve"> 13 CFR § 121.201, NAICS Code 517312 (formerly 517210).</w:t>
      </w:r>
    </w:p>
  </w:footnote>
  <w:footnote w:id="210">
    <w:p w:rsidR="006908DB" w:rsidRPr="00AF42A7" w:rsidP="007A05B0" w14:paraId="5D363966" w14:textId="77777777">
      <w:pPr>
        <w:pStyle w:val="FootnoteText"/>
      </w:pPr>
      <w:r w:rsidRPr="00A70EC8">
        <w:rPr>
          <w:rStyle w:val="FootnoteReference"/>
        </w:rPr>
        <w:footnoteRef/>
      </w:r>
      <w:r w:rsidRPr="00A70EC8">
        <w:t xml:space="preserve"> </w:t>
      </w:r>
      <w:r w:rsidRPr="007C6360">
        <w:rPr>
          <w:i/>
        </w:rPr>
        <w:t>Id</w:t>
      </w:r>
      <w:r w:rsidRPr="007C6360">
        <w:t>.</w:t>
      </w:r>
    </w:p>
  </w:footnote>
  <w:footnote w:id="211">
    <w:p w:rsidR="006908DB" w:rsidRPr="007C6360" w:rsidP="007A05B0" w14:paraId="0444D93F"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w:t>
      </w:r>
      <w:r w:rsidRPr="00AF42A7">
        <w:rPr>
          <w:bCs/>
          <w:i/>
        </w:rPr>
        <w:t xml:space="preserve"> 2012</w:t>
      </w:r>
      <w:r w:rsidRPr="00AF42A7">
        <w:rPr>
          <w:i/>
        </w:rPr>
        <w:t xml:space="preserve"> Economic Census</w:t>
      </w:r>
      <w:r w:rsidRPr="00AF42A7">
        <w:rPr>
          <w:bCs/>
          <w:i/>
        </w:rPr>
        <w:t xml:space="preserve"> of the United States</w:t>
      </w:r>
      <w:r w:rsidRPr="00AF42A7">
        <w:t xml:space="preserve">, Table ID: EC1251SSSZ5, </w:t>
      </w:r>
      <w:r w:rsidRPr="00AF42A7">
        <w:rPr>
          <w:i/>
          <w:iCs/>
        </w:rPr>
        <w:t xml:space="preserve">Information: Subject Series: </w:t>
      </w:r>
      <w:r w:rsidRPr="00AF42A7">
        <w:rPr>
          <w:i/>
          <w:iCs/>
        </w:rPr>
        <w:t>Estab</w:t>
      </w:r>
      <w:r w:rsidRPr="00AF42A7">
        <w:rPr>
          <w:i/>
          <w:iCs/>
        </w:rPr>
        <w:t xml:space="preserve"> and Firm Size: Employment Size of Firms for the U.S.: 2012,</w:t>
      </w:r>
      <w:r w:rsidRPr="00AF42A7">
        <w:t xml:space="preserve"> NAICS Code 517210,  </w:t>
      </w:r>
      <w:hyperlink r:id="rId7" w:history="1">
        <w:r w:rsidRPr="007C6360">
          <w:rPr>
            <w:rStyle w:val="Hyperlink"/>
          </w:rPr>
          <w:t>https://data.census.gov/cedsci/table?text=EC1251SSSZ5&amp;n=517210&amp;tid=ECNSIZE2012.EC1251SSSZ5&amp;hidePreview=false&amp;vintage=2012</w:t>
        </w:r>
      </w:hyperlink>
      <w:r w:rsidRPr="00A70EC8">
        <w:t xml:space="preserve">. </w:t>
      </w:r>
    </w:p>
  </w:footnote>
  <w:footnote w:id="212">
    <w:p w:rsidR="006908DB" w:rsidRPr="00AF42A7" w:rsidP="007A05B0" w14:paraId="604EFB89" w14:textId="69371F50">
      <w:pPr>
        <w:pStyle w:val="FootnoteText"/>
      </w:pPr>
      <w:r w:rsidRPr="00A70EC8">
        <w:rPr>
          <w:rStyle w:val="FootnoteReference"/>
        </w:rPr>
        <w:footnoteRef/>
      </w:r>
      <w:r w:rsidRPr="00A70EC8">
        <w:t xml:space="preserve"> </w:t>
      </w:r>
      <w:r w:rsidRPr="007C6360">
        <w:rPr>
          <w:i/>
          <w:iCs/>
        </w:rPr>
        <w:t xml:space="preserve">Id. </w:t>
      </w:r>
      <w:r w:rsidRPr="007C6360">
        <w:t xml:space="preserve"> The available U.S. Census Bur</w:t>
      </w:r>
      <w:r w:rsidRPr="00AF42A7">
        <w:t xml:space="preserve">eau data does not provide a more precise estimate of the number of firms that meet the SBA size standard. </w:t>
      </w:r>
    </w:p>
  </w:footnote>
  <w:footnote w:id="213">
    <w:p w:rsidR="006908DB" w:rsidRPr="007C6360" w:rsidP="007A05B0" w14:paraId="511492B5" w14:textId="77777777">
      <w:pPr>
        <w:pStyle w:val="FootnoteText"/>
      </w:pPr>
      <w:r w:rsidRPr="00A70EC8">
        <w:rPr>
          <w:rStyle w:val="FootnoteReference"/>
        </w:rPr>
        <w:footnoteRef/>
      </w:r>
      <w:r w:rsidRPr="00A70EC8">
        <w:t xml:space="preserve"> We note, however, that approximately 13,000 towers are registered to 10 cellular carriers with 1,000 or more employees.</w:t>
      </w:r>
    </w:p>
  </w:footnote>
  <w:footnote w:id="214">
    <w:p w:rsidR="006908DB" w:rsidRPr="007C6360" w:rsidP="007A05B0" w14:paraId="1D4CFEBA" w14:textId="77777777">
      <w:pPr>
        <w:pStyle w:val="FootnoteText"/>
      </w:pPr>
      <w:r w:rsidRPr="00A70EC8">
        <w:rPr>
          <w:rStyle w:val="FootnoteReference"/>
        </w:rPr>
        <w:footnoteRef/>
      </w:r>
      <w:r w:rsidRPr="00A70EC8">
        <w:t xml:space="preserve"> </w:t>
      </w:r>
      <w:r w:rsidRPr="007C6360">
        <w:rPr>
          <w:i/>
        </w:rPr>
        <w:t>See</w:t>
      </w:r>
      <w:r w:rsidRPr="007C6360">
        <w:t xml:space="preserve"> U.S. Census Bureau, </w:t>
      </w:r>
      <w:r w:rsidRPr="00AF42A7">
        <w:rPr>
          <w:i/>
          <w:iCs/>
        </w:rPr>
        <w:t>2017 NAICS Definition</w:t>
      </w:r>
      <w:r w:rsidRPr="00AF42A7">
        <w:t>, “</w:t>
      </w:r>
      <w:r w:rsidRPr="00AF42A7">
        <w:rPr>
          <w:i/>
          <w:iCs/>
        </w:rPr>
        <w:t>517919 All Other Telecommunications</w:t>
      </w:r>
      <w:r w:rsidRPr="00AF42A7">
        <w:t xml:space="preserve">”, </w:t>
      </w:r>
      <w:bookmarkStart w:id="54" w:name="_Hlk35950517"/>
      <w:hyperlink r:id="rId9" w:history="1">
        <w:r w:rsidRPr="007C6360">
          <w:rPr>
            <w:rStyle w:val="Hyperlink"/>
          </w:rPr>
          <w:t>https://www.census.gov/cgi-bin/sssd/naics/naicsrch?input=517919&amp;search=2017+NAICS+Search&amp;search=2017</w:t>
        </w:r>
      </w:hyperlink>
      <w:r w:rsidRPr="00A70EC8">
        <w:rPr>
          <w:rStyle w:val="Hyperlink"/>
        </w:rPr>
        <w:t>.</w:t>
      </w:r>
      <w:bookmarkEnd w:id="54"/>
    </w:p>
  </w:footnote>
  <w:footnote w:id="215">
    <w:p w:rsidR="006908DB" w:rsidRPr="00AF42A7" w:rsidP="007A05B0" w14:paraId="2DD4D84C" w14:textId="77777777">
      <w:pPr>
        <w:pStyle w:val="FootnoteText"/>
      </w:pPr>
      <w:r w:rsidRPr="00A70EC8">
        <w:rPr>
          <w:rStyle w:val="FootnoteReference"/>
        </w:rPr>
        <w:footnoteRef/>
      </w:r>
      <w:r w:rsidRPr="00A70EC8">
        <w:t xml:space="preserve"> </w:t>
      </w:r>
      <w:r w:rsidRPr="007C6360">
        <w:rPr>
          <w:i/>
          <w:iCs/>
        </w:rPr>
        <w:t>See</w:t>
      </w:r>
      <w:r w:rsidRPr="007C6360">
        <w:t xml:space="preserve"> 13 CFR § 121.201, NAICS </w:t>
      </w:r>
      <w:r w:rsidRPr="00AF42A7">
        <w:t>Code 517919.</w:t>
      </w:r>
    </w:p>
  </w:footnote>
  <w:footnote w:id="216">
    <w:p w:rsidR="006908DB" w:rsidRPr="007C6360" w:rsidP="007A05B0" w14:paraId="597AB453"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EC1251SSSZ4, </w:t>
      </w:r>
      <w:r w:rsidRPr="00AF42A7">
        <w:rPr>
          <w:i/>
          <w:iCs/>
        </w:rPr>
        <w:t xml:space="preserve">Information: Subject Series - </w:t>
      </w:r>
      <w:r w:rsidRPr="00AF42A7">
        <w:rPr>
          <w:i/>
          <w:iCs/>
        </w:rPr>
        <w:t>Estab</w:t>
      </w:r>
      <w:r w:rsidRPr="00AF42A7">
        <w:rPr>
          <w:i/>
          <w:iCs/>
        </w:rPr>
        <w:t xml:space="preserve"> and Firm Size: </w:t>
      </w:r>
      <w:r w:rsidRPr="00AF42A7">
        <w:rPr>
          <w:bCs/>
          <w:i/>
          <w:iCs/>
        </w:rPr>
        <w:t>Receipts Size of Firms for the U.S.: 2012</w:t>
      </w:r>
      <w:r w:rsidRPr="00AF42A7">
        <w:t xml:space="preserve">, NAICS Code 517919, </w:t>
      </w:r>
      <w:hyperlink r:id="rId10" w:history="1">
        <w:r w:rsidRPr="007C6360">
          <w:rPr>
            <w:rStyle w:val="Hyperlink"/>
          </w:rPr>
          <w:t>https://data.census.gov/cedsci/table?text=EC1251SSSZ4&amp;n=517919&amp;tid=ECNSIZE2012.EC1251SSSZ4&amp;hidePreview=false</w:t>
        </w:r>
      </w:hyperlink>
      <w:r w:rsidRPr="00A70EC8">
        <w:t>.</w:t>
      </w:r>
    </w:p>
  </w:footnote>
  <w:footnote w:id="217">
    <w:p w:rsidR="006908DB" w:rsidRPr="00AF42A7" w:rsidP="007A05B0" w14:paraId="5364B063" w14:textId="4012536E">
      <w:pPr>
        <w:pStyle w:val="FootnoteText"/>
      </w:pPr>
      <w:r w:rsidRPr="00A70EC8">
        <w:rPr>
          <w:rStyle w:val="FootnoteReference"/>
        </w:rPr>
        <w:footnoteRef/>
      </w:r>
      <w:r w:rsidRPr="00A70EC8">
        <w:rPr>
          <w:rStyle w:val="Hyperlink"/>
          <w:u w:val="none"/>
        </w:rPr>
        <w:t xml:space="preserve"> </w:t>
      </w:r>
      <w:r w:rsidRPr="007C6360">
        <w:rPr>
          <w:rStyle w:val="Hyperlink"/>
          <w:i/>
          <w:color w:val="auto"/>
          <w:u w:val="none"/>
        </w:rPr>
        <w:t>Id</w:t>
      </w:r>
      <w:r w:rsidRPr="007C6360">
        <w:t>.</w:t>
      </w:r>
      <w:r w:rsidRPr="00AF42A7">
        <w:t xml:space="preserve">  The available U.S. Census Bureau data does not provide a more precise estimate of the number of firms that meet the SBA size standard.</w:t>
      </w:r>
    </w:p>
  </w:footnote>
  <w:footnote w:id="218">
    <w:p w:rsidR="006908DB" w:rsidRPr="00AF42A7" w:rsidP="007A05B0" w14:paraId="58CFB6CE" w14:textId="77777777">
      <w:pPr>
        <w:pStyle w:val="FootnoteText"/>
      </w:pPr>
      <w:r w:rsidRPr="00A70EC8">
        <w:rPr>
          <w:rStyle w:val="FootnoteReference"/>
        </w:rPr>
        <w:footnoteRef/>
      </w:r>
      <w:r w:rsidRPr="00A70EC8">
        <w:t xml:space="preserve"> </w:t>
      </w:r>
      <w:r w:rsidRPr="007C6360">
        <w:rPr>
          <w:rFonts w:eastAsia="Calibri"/>
        </w:rPr>
        <w:t>47 CFR Part </w:t>
      </w:r>
      <w:r w:rsidRPr="007C6360">
        <w:t>90.</w:t>
      </w:r>
    </w:p>
  </w:footnote>
  <w:footnote w:id="219">
    <w:p w:rsidR="006908DB" w:rsidRPr="00A70EC8" w:rsidP="007A05B0" w14:paraId="33A4EBCE" w14:textId="77777777">
      <w:pPr>
        <w:pStyle w:val="FootnoteText"/>
      </w:pPr>
      <w:r w:rsidRPr="00A70EC8">
        <w:rPr>
          <w:rStyle w:val="FootnoteReference"/>
        </w:rPr>
        <w:footnoteRef/>
      </w:r>
      <w:r w:rsidRPr="00A70EC8">
        <w:t xml:space="preserve"> The Citizens Band Radio Service, General Mobile Radio Service, Radio Control Radio Service, Family </w:t>
      </w:r>
      <w:r w:rsidRPr="007C6360">
        <w:t>Radio Service, Wireless Medical Telemetry Service, Medical Implant Communications Service, Low Power Radio Service, and Multi-Use Radio Service are governed</w:t>
      </w:r>
      <w:r w:rsidRPr="00AF42A7">
        <w:t xml:space="preserve"> by subpart D, subpart A, subpart C, subpart B, subpart H, subpart I, subpart G, and subpart J, respectively, of Part 95 of the Commission’s rules.  See generally </w:t>
      </w:r>
      <w:hyperlink r:id="rId14" w:history="1">
        <w:r w:rsidRPr="007C6360">
          <w:t>47 CFR Part 95.</w:t>
        </w:r>
      </w:hyperlink>
    </w:p>
  </w:footnote>
  <w:footnote w:id="220">
    <w:p w:rsidR="006908DB" w:rsidRPr="007C6360" w:rsidP="007A05B0" w14:paraId="58F7180C"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i/>
          <w:iCs/>
        </w:rPr>
        <w:t>2017 NAICS Definition, “</w:t>
      </w:r>
      <w:r w:rsidRPr="00AF42A7">
        <w:rPr>
          <w:bCs/>
          <w:i/>
          <w:iCs/>
        </w:rPr>
        <w:t>517312 Wireless Telecommunications Carriers</w:t>
      </w:r>
      <w:r w:rsidRPr="00AF42A7">
        <w:rPr>
          <w:bCs/>
        </w:rPr>
        <w:t xml:space="preserve"> (</w:t>
      </w:r>
      <w:r w:rsidRPr="00AF42A7">
        <w:rPr>
          <w:bCs/>
          <w:i/>
          <w:iCs/>
        </w:rPr>
        <w:t>except Satellite)”,</w:t>
      </w:r>
      <w:r w:rsidRPr="00AF42A7">
        <w:t xml:space="preserve"> </w:t>
      </w:r>
      <w:hyperlink r:id="rId6" w:history="1">
        <w:r w:rsidRPr="007C6360">
          <w:rPr>
            <w:rStyle w:val="Hyperlink"/>
            <w:iCs/>
          </w:rPr>
          <w:t>https://www.census.gov/cgi-bin/sssd/naics/naicsrch?code=517312&amp;search=2017%20NAICS%20Search</w:t>
        </w:r>
      </w:hyperlink>
      <w:r w:rsidRPr="00A70EC8">
        <w:rPr>
          <w:rStyle w:val="Hyperlink"/>
          <w:iCs/>
        </w:rPr>
        <w:t>.</w:t>
      </w:r>
    </w:p>
  </w:footnote>
  <w:footnote w:id="221">
    <w:p w:rsidR="006908DB" w:rsidRPr="00AF42A7" w:rsidP="007A05B0" w14:paraId="1A6278E0" w14:textId="77777777">
      <w:pPr>
        <w:pStyle w:val="FootnoteText"/>
      </w:pPr>
      <w:r w:rsidRPr="00A70EC8">
        <w:rPr>
          <w:rStyle w:val="FootnoteReference"/>
        </w:rPr>
        <w:footnoteRef/>
      </w:r>
      <w:r w:rsidRPr="00A70EC8">
        <w:t xml:space="preserve"> </w:t>
      </w:r>
      <w:r w:rsidRPr="007C6360">
        <w:rPr>
          <w:i/>
          <w:iCs/>
        </w:rPr>
        <w:t>See</w:t>
      </w:r>
      <w:r w:rsidRPr="007C6360">
        <w:t xml:space="preserve"> 13 CFR § 121.201, NAICS Code 517312 (previously 517210).</w:t>
      </w:r>
    </w:p>
  </w:footnote>
  <w:footnote w:id="222">
    <w:p w:rsidR="006908DB" w:rsidRPr="007C6360" w:rsidP="007A05B0" w14:paraId="4EC3EE29"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EC1251SSSZ5, </w:t>
      </w:r>
      <w:r w:rsidRPr="00AF42A7">
        <w:rPr>
          <w:i/>
          <w:iCs/>
        </w:rPr>
        <w:t xml:space="preserve">Information: Subject Series: </w:t>
      </w:r>
      <w:r w:rsidRPr="00AF42A7">
        <w:rPr>
          <w:i/>
          <w:iCs/>
        </w:rPr>
        <w:t>Estab</w:t>
      </w:r>
      <w:r w:rsidRPr="00AF42A7">
        <w:rPr>
          <w:i/>
          <w:iCs/>
        </w:rPr>
        <w:t xml:space="preserve"> and Firm Size: Employment Size of Firms for the U.S.: 2012,</w:t>
      </w:r>
      <w:r w:rsidRPr="00AF42A7">
        <w:t xml:space="preserve"> NAICS Code 517210, </w:t>
      </w:r>
      <w:hyperlink r:id="rId7" w:history="1">
        <w:r w:rsidRPr="007C6360">
          <w:rPr>
            <w:rStyle w:val="Hyperlink"/>
          </w:rPr>
          <w:t>https://data.census.gov/cedsci/table?text=EC1251SSSZ5&amp;n=517210&amp;tid=ECNSIZE2012.EC1251SSSZ5&amp;hidePreview=false&amp;vintage=2012</w:t>
        </w:r>
      </w:hyperlink>
      <w:r w:rsidRPr="00A70EC8">
        <w:t>.</w:t>
      </w:r>
    </w:p>
  </w:footnote>
  <w:footnote w:id="223">
    <w:p w:rsidR="006908DB" w:rsidRPr="00AF42A7" w:rsidP="007A05B0" w14:paraId="4D946AFE" w14:textId="04DEE40F">
      <w:pPr>
        <w:pStyle w:val="FootnoteText"/>
      </w:pPr>
      <w:r w:rsidRPr="00A70EC8">
        <w:rPr>
          <w:rStyle w:val="FootnoteReference"/>
        </w:rPr>
        <w:footnoteRef/>
      </w:r>
      <w:r w:rsidRPr="00A70EC8">
        <w:t xml:space="preserve"> </w:t>
      </w:r>
      <w:r w:rsidRPr="007C6360">
        <w:rPr>
          <w:i/>
        </w:rPr>
        <w:t>Id</w:t>
      </w:r>
      <w:r w:rsidRPr="007C6360">
        <w:t>.  The available U.S. Census Bureau data does not provide a more precise estimate of the number of firms that meet the SBA size s</w:t>
      </w:r>
      <w:r w:rsidRPr="00AF42A7">
        <w:t xml:space="preserve">tandard.  </w:t>
      </w:r>
    </w:p>
  </w:footnote>
  <w:footnote w:id="224">
    <w:p w:rsidR="006908DB" w:rsidRPr="007C6360" w:rsidP="007A05B0" w14:paraId="51D972C8" w14:textId="77777777">
      <w:pPr>
        <w:pStyle w:val="FootnoteText"/>
      </w:pPr>
      <w:r w:rsidRPr="00A70EC8">
        <w:rPr>
          <w:rStyle w:val="FootnoteReference"/>
        </w:rPr>
        <w:footnoteRef/>
      </w:r>
      <w:r w:rsidRPr="00A70EC8">
        <w:t xml:space="preserve"> </w:t>
      </w:r>
      <w:r w:rsidRPr="007C6360">
        <w:rPr>
          <w:bCs/>
          <w:i/>
          <w:iCs/>
          <w:color w:val="010101"/>
        </w:rPr>
        <w:t>See</w:t>
      </w:r>
      <w:r w:rsidRPr="007C6360">
        <w:t xml:space="preserve"> U.S. Census Bureau, </w:t>
      </w:r>
      <w:r w:rsidRPr="00AF42A7">
        <w:rPr>
          <w:i/>
          <w:iCs/>
        </w:rPr>
        <w:t>2017 NAICS Definition, “</w:t>
      </w:r>
      <w:r w:rsidRPr="00AF42A7">
        <w:rPr>
          <w:bCs/>
          <w:i/>
          <w:iCs/>
        </w:rPr>
        <w:t>517312 Wireless Telecommunications Carriers</w:t>
      </w:r>
      <w:r w:rsidRPr="00AF42A7">
        <w:rPr>
          <w:bCs/>
        </w:rPr>
        <w:t xml:space="preserve"> </w:t>
      </w:r>
      <w:r w:rsidRPr="00AF42A7">
        <w:rPr>
          <w:bCs/>
          <w:i/>
          <w:iCs/>
        </w:rPr>
        <w:t>(except Satellite)”,</w:t>
      </w:r>
      <w:r w:rsidRPr="00AF42A7">
        <w:t xml:space="preserve"> </w:t>
      </w:r>
      <w:hyperlink r:id="rId6" w:history="1">
        <w:r w:rsidRPr="007C6360">
          <w:rPr>
            <w:rStyle w:val="Hyperlink"/>
            <w:iCs/>
          </w:rPr>
          <w:t>https://www.census.gov/cgi-bin/sssd/naics/naicsrch?code=517312&amp;search=2017%20NAICS%20Search</w:t>
        </w:r>
      </w:hyperlink>
      <w:r w:rsidRPr="00A70EC8">
        <w:rPr>
          <w:iCs/>
        </w:rPr>
        <w:t>.</w:t>
      </w:r>
    </w:p>
  </w:footnote>
  <w:footnote w:id="225">
    <w:p w:rsidR="006908DB" w:rsidRPr="00AF42A7" w:rsidP="007A05B0" w14:paraId="1E153AB3" w14:textId="77777777">
      <w:pPr>
        <w:pStyle w:val="FootnoteText"/>
      </w:pPr>
      <w:r w:rsidRPr="00A70EC8">
        <w:rPr>
          <w:rStyle w:val="FootnoteReference"/>
        </w:rPr>
        <w:footnoteRef/>
      </w:r>
      <w:r w:rsidRPr="00A70EC8">
        <w:rPr>
          <w:color w:val="000000"/>
        </w:rPr>
        <w:t xml:space="preserve"> </w:t>
      </w:r>
      <w:r w:rsidRPr="007C6360">
        <w:rPr>
          <w:i/>
          <w:color w:val="000000"/>
        </w:rPr>
        <w:t>See</w:t>
      </w:r>
      <w:r w:rsidRPr="007C6360">
        <w:rPr>
          <w:color w:val="000000"/>
        </w:rPr>
        <w:t xml:space="preserve"> 13 </w:t>
      </w:r>
      <w:r w:rsidRPr="00AF42A7">
        <w:t>CFR</w:t>
      </w:r>
      <w:r w:rsidRPr="00AF42A7">
        <w:rPr>
          <w:color w:val="000000"/>
        </w:rPr>
        <w:t xml:space="preserve"> § 121.201, NAICS Code 517312 (formerly 517210).</w:t>
      </w:r>
    </w:p>
  </w:footnote>
  <w:footnote w:id="226">
    <w:p w:rsidR="006908DB" w:rsidRPr="007C6360" w:rsidP="007A05B0" w14:paraId="2F79A8EA"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EC1251SSSZ5, </w:t>
      </w:r>
      <w:r w:rsidRPr="00AF42A7">
        <w:rPr>
          <w:i/>
          <w:iCs/>
        </w:rPr>
        <w:t xml:space="preserve">Information: Subject Series: </w:t>
      </w:r>
      <w:r w:rsidRPr="00AF42A7">
        <w:rPr>
          <w:i/>
          <w:iCs/>
        </w:rPr>
        <w:t>Estab</w:t>
      </w:r>
      <w:r w:rsidRPr="00AF42A7">
        <w:rPr>
          <w:i/>
          <w:iCs/>
        </w:rPr>
        <w:t xml:space="preserve"> and Firm Size: Employment Size of Firms for the U.S.: 2012, </w:t>
      </w:r>
      <w:r w:rsidRPr="00AF42A7">
        <w:t xml:space="preserve">NAICS Code 517210, </w:t>
      </w:r>
      <w:hyperlink r:id="rId7" w:history="1">
        <w:r w:rsidRPr="007C6360">
          <w:rPr>
            <w:rStyle w:val="Hyperlink"/>
          </w:rPr>
          <w:t>https://data.census.gov/cedsci/table?text=EC1251SSSZ5&amp;n=517210&amp;tid=ECNSIZE2012.EC1251SSSZ5&amp;hidePreview=false</w:t>
        </w:r>
        <w:r w:rsidRPr="00AF42A7">
          <w:rPr>
            <w:rStyle w:val="Hyperlink"/>
          </w:rPr>
          <w:t>&amp;vintage=2012</w:t>
        </w:r>
      </w:hyperlink>
      <w:r w:rsidRPr="00A70EC8">
        <w:t xml:space="preserve">. </w:t>
      </w:r>
    </w:p>
  </w:footnote>
  <w:footnote w:id="227">
    <w:p w:rsidR="006908DB" w:rsidRPr="00AF42A7" w:rsidP="007A05B0" w14:paraId="6951E236" w14:textId="399FF73D">
      <w:pPr>
        <w:pStyle w:val="FootnoteText"/>
      </w:pPr>
      <w:r w:rsidRPr="00A70EC8">
        <w:rPr>
          <w:rStyle w:val="FootnoteReference"/>
        </w:rPr>
        <w:footnoteRef/>
      </w:r>
      <w:r w:rsidRPr="00A70EC8">
        <w:t xml:space="preserve"> </w:t>
      </w:r>
      <w:r w:rsidRPr="007C6360">
        <w:rPr>
          <w:i/>
        </w:rPr>
        <w:t>Id</w:t>
      </w:r>
      <w:r w:rsidRPr="007C6360">
        <w:t xml:space="preserve">.  The available U.S. Census Bureau data does not provide a more precise estimate of the number of firms that meet the SBA size standard.  </w:t>
      </w:r>
    </w:p>
  </w:footnote>
  <w:footnote w:id="228">
    <w:p w:rsidR="006908DB" w:rsidRPr="00AF42A7" w:rsidP="007A05B0" w14:paraId="05601D38" w14:textId="77777777">
      <w:pPr>
        <w:pStyle w:val="FootnoteText"/>
      </w:pPr>
      <w:r w:rsidRPr="00A70EC8">
        <w:rPr>
          <w:rStyle w:val="FootnoteReference"/>
        </w:rPr>
        <w:footnoteRef/>
      </w:r>
      <w:r w:rsidRPr="00A70EC8">
        <w:t xml:space="preserve"> This figure was derived from Commission licensing records as of September 19, 2016.  Licensin</w:t>
      </w:r>
      <w:r w:rsidRPr="007C6360">
        <w:t>g numbers change on a</w:t>
      </w:r>
      <w:r w:rsidRPr="00AF42A7">
        <w:t xml:space="preserve"> daily basis.  This does not indicate the number of licensees, as licensees may hold multiple licenses. There is no information currently available about the number of PLMR licensees that have fewer than 1,500 employees.</w:t>
      </w:r>
    </w:p>
  </w:footnote>
  <w:footnote w:id="229">
    <w:p w:rsidR="006908DB" w:rsidRPr="00AF42A7" w:rsidP="007A05B0" w14:paraId="534D9A86" w14:textId="48DCA18C">
      <w:pPr>
        <w:pStyle w:val="FootnoteText"/>
      </w:pPr>
      <w:r w:rsidRPr="00A70EC8">
        <w:rPr>
          <w:rStyle w:val="FootnoteReference"/>
        </w:rPr>
        <w:footnoteRef/>
      </w:r>
      <w:r w:rsidRPr="00A70EC8">
        <w:t xml:space="preserve"> Based on an </w:t>
      </w:r>
      <w:r w:rsidRPr="007C6360">
        <w:t>FCC Universal Licensing System search of September 18, 2020.  Search parameters: Radio Service = PA – Public Safety 4940-4990 MHz Band; Authorization Type = Regular; Status = Active.</w:t>
      </w:r>
    </w:p>
  </w:footnote>
  <w:footnote w:id="230">
    <w:p w:rsidR="006908DB" w:rsidRPr="00AF42A7" w:rsidP="007A05B0" w14:paraId="632DF4D3" w14:textId="532E4F26">
      <w:pPr>
        <w:pStyle w:val="FootnoteText"/>
      </w:pPr>
      <w:r w:rsidRPr="00A70EC8">
        <w:rPr>
          <w:rStyle w:val="FootnoteReference"/>
        </w:rPr>
        <w:footnoteRef/>
      </w:r>
      <w:r w:rsidRPr="00A70EC8">
        <w:t xml:space="preserve"> Based on an FCC Universal Licensing System search of September 18, 2020.  Search parameters:</w:t>
      </w:r>
      <w:r w:rsidRPr="007C6360">
        <w:t xml:space="preserve"> Radio Service = GB, GE, GF, GJ, GM, GO, GP, YB, YE, YF, YJ, YM, YO, YP, YX; Authorization Type = Regular; Status = Active.</w:t>
      </w:r>
    </w:p>
  </w:footnote>
  <w:footnote w:id="231">
    <w:p w:rsidR="006908DB" w:rsidRPr="00AF42A7" w:rsidP="007A05B0" w14:paraId="75161CF0" w14:textId="77777777">
      <w:pPr>
        <w:pStyle w:val="FootnoteText"/>
      </w:pPr>
      <w:r w:rsidRPr="00A70EC8">
        <w:rPr>
          <w:rStyle w:val="FootnoteReference"/>
        </w:rPr>
        <w:footnoteRef/>
      </w:r>
      <w:r w:rsidRPr="00A70EC8">
        <w:t xml:space="preserve"> This figure was derived from Commission licensing records as of August 16, 2013.  Licensing numbers change da</w:t>
      </w:r>
      <w:r w:rsidRPr="007C6360">
        <w:t xml:space="preserve">ily.  We do not expect this number to be significantly smaller today.  This does not indicate the number of licensees, as licensees may hold multiple licenses.  There is no information currently available about the number of licensees that have fewer than </w:t>
      </w:r>
      <w:r w:rsidRPr="00AF42A7">
        <w:t>1,500 employees.</w:t>
      </w:r>
    </w:p>
  </w:footnote>
  <w:footnote w:id="232">
    <w:p w:rsidR="006908DB" w:rsidRPr="00AF42A7" w:rsidP="007A05B0" w14:paraId="6C611EAB" w14:textId="77777777">
      <w:pPr>
        <w:pStyle w:val="FootnoteText"/>
      </w:pPr>
      <w:r w:rsidRPr="00A70EC8">
        <w:rPr>
          <w:rStyle w:val="FootnoteReference"/>
          <w:rFonts w:eastAsia="MS Mincho"/>
        </w:rPr>
        <w:footnoteRef/>
      </w:r>
      <w:r w:rsidRPr="00A70EC8">
        <w:t xml:space="preserve"> </w:t>
      </w:r>
      <w:r w:rsidRPr="00A70EC8">
        <w:rPr>
          <w:i/>
        </w:rPr>
        <w:t>Se</w:t>
      </w:r>
      <w:r w:rsidRPr="007C6360">
        <w:rPr>
          <w:i/>
        </w:rPr>
        <w:t>e</w:t>
      </w:r>
      <w:r w:rsidRPr="007C6360">
        <w:t xml:space="preserve"> subparts A and B of Part 90 of the Commission’s Rules, 47 CFR §§ 90.1-90.22.  Police licensees serve state, county, and municipal enforcement through telephony (voice), telegraphy (code), and teletype and facsimile (printed material)</w:t>
      </w:r>
      <w:r w:rsidRPr="00AF42A7">
        <w:t>.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233">
    <w:p w:rsidR="006908DB" w:rsidRPr="00A70EC8" w:rsidP="007A05B0" w14:paraId="64E26D25" w14:textId="77777777">
      <w:pPr>
        <w:pStyle w:val="FootnoteText"/>
      </w:pPr>
      <w:r w:rsidRPr="00A70EC8">
        <w:rPr>
          <w:rStyle w:val="FootnoteReference"/>
        </w:rPr>
        <w:footnoteRef/>
      </w:r>
      <w:r w:rsidRPr="00A70EC8">
        <w:t xml:space="preserve"> </w:t>
      </w:r>
      <w:r w:rsidRPr="00A70EC8">
        <w:rPr>
          <w:bCs/>
          <w:i/>
          <w:iCs/>
          <w:color w:val="010101"/>
        </w:rPr>
        <w:t>See</w:t>
      </w:r>
      <w:r w:rsidRPr="007C6360">
        <w:t xml:space="preserve"> U.S. Census Bureau, </w:t>
      </w:r>
      <w:r w:rsidRPr="007C6360">
        <w:rPr>
          <w:i/>
          <w:iCs/>
        </w:rPr>
        <w:t xml:space="preserve">2017 NAICS Definition, </w:t>
      </w:r>
      <w:bookmarkStart w:id="55" w:name="_Hlk38031331"/>
      <w:r w:rsidRPr="007C6360">
        <w:rPr>
          <w:i/>
          <w:iCs/>
        </w:rPr>
        <w:t>“</w:t>
      </w:r>
      <w:r w:rsidRPr="00AF42A7">
        <w:rPr>
          <w:bCs/>
          <w:i/>
          <w:iCs/>
        </w:rPr>
        <w:t xml:space="preserve">517312 </w:t>
      </w:r>
      <w:bookmarkEnd w:id="55"/>
      <w:r w:rsidRPr="00AF42A7">
        <w:rPr>
          <w:bCs/>
          <w:i/>
          <w:iCs/>
        </w:rPr>
        <w:t>Wireless Telecommunications Carriers</w:t>
      </w:r>
      <w:r w:rsidRPr="00AF42A7">
        <w:rPr>
          <w:bCs/>
        </w:rPr>
        <w:t xml:space="preserve"> </w:t>
      </w:r>
      <w:r w:rsidRPr="00AF42A7">
        <w:rPr>
          <w:bCs/>
          <w:i/>
          <w:iCs/>
        </w:rPr>
        <w:t>(except Satellite)”</w:t>
      </w:r>
      <w:r w:rsidRPr="00AF42A7">
        <w:rPr>
          <w:bCs/>
        </w:rPr>
        <w:t>,</w:t>
      </w:r>
      <w:r w:rsidRPr="00AF42A7">
        <w:t xml:space="preserve"> </w:t>
      </w:r>
      <w:bookmarkStart w:id="56" w:name="_Hlk38031927"/>
      <w:hyperlink r:id="rId6" w:history="1">
        <w:r w:rsidRPr="00A70EC8">
          <w:rPr>
            <w:rStyle w:val="Hyperlink"/>
            <w:iCs/>
          </w:rPr>
          <w:t>https://www.census.gov/cgi-bin/sssd/naics/naicsrch?code=517312&amp;search=2017%20NAICS%20Search</w:t>
        </w:r>
      </w:hyperlink>
      <w:bookmarkEnd w:id="56"/>
      <w:r w:rsidRPr="00A70EC8">
        <w:rPr>
          <w:iCs/>
        </w:rPr>
        <w:t>.</w:t>
      </w:r>
    </w:p>
  </w:footnote>
  <w:footnote w:id="234">
    <w:p w:rsidR="006908DB" w:rsidRPr="00AF42A7" w:rsidP="007A05B0" w14:paraId="5D821B5A" w14:textId="77777777">
      <w:pPr>
        <w:pStyle w:val="FootnoteText"/>
      </w:pPr>
      <w:r w:rsidRPr="00A70EC8">
        <w:rPr>
          <w:rStyle w:val="FootnoteReference"/>
        </w:rPr>
        <w:footnoteRef/>
      </w:r>
      <w:r w:rsidRPr="00A70EC8">
        <w:t xml:space="preserve"> </w:t>
      </w:r>
      <w:r w:rsidRPr="00A70EC8">
        <w:rPr>
          <w:i/>
          <w:color w:val="000000"/>
        </w:rPr>
        <w:t>See</w:t>
      </w:r>
      <w:r w:rsidRPr="007C6360">
        <w:rPr>
          <w:color w:val="000000"/>
        </w:rPr>
        <w:t xml:space="preserve"> 13 </w:t>
      </w:r>
      <w:r w:rsidRPr="007C6360">
        <w:t>CFR</w:t>
      </w:r>
      <w:r w:rsidRPr="00AF42A7">
        <w:rPr>
          <w:color w:val="000000"/>
        </w:rPr>
        <w:t xml:space="preserve"> § 121.201, NAICS Code 517312 (formerly 517210).</w:t>
      </w:r>
    </w:p>
  </w:footnote>
  <w:footnote w:id="235">
    <w:p w:rsidR="006908DB" w:rsidRPr="00A70EC8" w:rsidP="007A05B0" w14:paraId="63602FA6" w14:textId="77777777">
      <w:pPr>
        <w:pStyle w:val="FootnoteText"/>
      </w:pPr>
      <w:r w:rsidRPr="00A70EC8">
        <w:rPr>
          <w:rStyle w:val="FootnoteReference"/>
        </w:rPr>
        <w:footnoteRef/>
      </w:r>
      <w:r w:rsidRPr="00A70EC8">
        <w:t xml:space="preserve"> </w:t>
      </w:r>
      <w:r w:rsidRPr="00A70EC8">
        <w:rPr>
          <w:i/>
          <w:iCs/>
        </w:rPr>
        <w:t>See</w:t>
      </w:r>
      <w:r w:rsidRPr="007C6360">
        <w:t xml:space="preserve"> U.S. Census Bureau,</w:t>
      </w:r>
      <w:r w:rsidRPr="007C6360">
        <w:rPr>
          <w:bCs/>
          <w:i/>
        </w:rPr>
        <w:t xml:space="preserve"> 2012</w:t>
      </w:r>
      <w:r w:rsidRPr="00AF42A7">
        <w:rPr>
          <w:i/>
        </w:rPr>
        <w:t xml:space="preserve"> Economic Census</w:t>
      </w:r>
      <w:r w:rsidRPr="00AF42A7">
        <w:rPr>
          <w:bCs/>
          <w:i/>
        </w:rPr>
        <w:t xml:space="preserve"> of the United States</w:t>
      </w:r>
      <w:r w:rsidRPr="00AF42A7">
        <w:t xml:space="preserve">, Table ID: EC1251SSSZ5, </w:t>
      </w:r>
      <w:r w:rsidRPr="00AF42A7">
        <w:rPr>
          <w:i/>
          <w:iCs/>
        </w:rPr>
        <w:t xml:space="preserve">Information: Subject Series: </w:t>
      </w:r>
      <w:r w:rsidRPr="00AF42A7">
        <w:rPr>
          <w:i/>
          <w:iCs/>
        </w:rPr>
        <w:t>Estab</w:t>
      </w:r>
      <w:r w:rsidRPr="00AF42A7">
        <w:rPr>
          <w:i/>
          <w:iCs/>
        </w:rPr>
        <w:t xml:space="preserve"> and Firm Size: Employment Size of Firms for the U.S.: 2012,</w:t>
      </w:r>
      <w:r w:rsidRPr="00AF42A7">
        <w:t xml:space="preserve"> NAICS Code 517210,  </w:t>
      </w:r>
      <w:hyperlink r:id="rId7" w:history="1">
        <w:r w:rsidRPr="00A70EC8">
          <w:rPr>
            <w:rStyle w:val="Hyperlink"/>
          </w:rPr>
          <w:t>https://data.census.gov/cedsci/table?text=EC1251SSSZ5&amp;n=517210&amp;tid=ECNSIZE2012.EC1251SSSZ5&amp;hidePreview=false&amp;vintage=2012</w:t>
        </w:r>
      </w:hyperlink>
      <w:r w:rsidRPr="00A70EC8">
        <w:t>.</w:t>
      </w:r>
    </w:p>
  </w:footnote>
  <w:footnote w:id="236">
    <w:p w:rsidR="006908DB" w:rsidRPr="00AF42A7" w:rsidP="007A05B0" w14:paraId="7C10D8FB" w14:textId="34BB5D02">
      <w:pPr>
        <w:pStyle w:val="FootnoteText"/>
      </w:pPr>
      <w:r w:rsidRPr="00A70EC8">
        <w:rPr>
          <w:rStyle w:val="FootnoteReference"/>
        </w:rPr>
        <w:footnoteRef/>
      </w:r>
      <w:r w:rsidRPr="00A70EC8">
        <w:t xml:space="preserve"> </w:t>
      </w:r>
      <w:r w:rsidRPr="00A70EC8">
        <w:rPr>
          <w:i/>
        </w:rPr>
        <w:t>Id</w:t>
      </w:r>
      <w:r w:rsidRPr="007C6360">
        <w:t>.  The available U.S. Census Bureau data does not provide a more precise estimate of the number of firms that meet th</w:t>
      </w:r>
      <w:r w:rsidRPr="00AF42A7">
        <w:t>e SBA size standard.</w:t>
      </w:r>
    </w:p>
  </w:footnote>
  <w:footnote w:id="237">
    <w:p w:rsidR="006908DB" w:rsidRPr="00AF42A7" w:rsidP="007A05B0" w14:paraId="2D6101AE" w14:textId="77777777">
      <w:pPr>
        <w:pStyle w:val="FootnoteText"/>
      </w:pPr>
      <w:r w:rsidRPr="00A70EC8">
        <w:rPr>
          <w:rStyle w:val="FootnoteReference"/>
          <w:rFonts w:eastAsia="MS Mincho"/>
        </w:rPr>
        <w:footnoteRef/>
      </w:r>
      <w:r w:rsidRPr="00A70EC8">
        <w:t xml:space="preserve"> This figure was derived from Commission licensing records as of June 27, 2008.  Licensing numbers change on a daily basis.  We do not expect this number to be significantly smaller today.  This does not indicate the number </w:t>
      </w:r>
      <w:r w:rsidRPr="007C6360">
        <w:t>of license</w:t>
      </w:r>
      <w:r w:rsidRPr="00AF42A7">
        <w:t>es, as licensees may hold multiple licenses.  There is no information currently available about the number of public safety licensees that have less than 1,500 employees.</w:t>
      </w:r>
    </w:p>
  </w:footnote>
  <w:footnote w:id="238">
    <w:p w:rsidR="006908DB" w:rsidRPr="00AF42A7" w:rsidP="007A05B0" w14:paraId="7D8A4AA5" w14:textId="22876C4A">
      <w:pPr>
        <w:pStyle w:val="FootnoteText"/>
      </w:pPr>
      <w:r w:rsidRPr="00A70EC8">
        <w:rPr>
          <w:rStyle w:val="FootnoteReference"/>
        </w:rPr>
        <w:footnoteRef/>
      </w:r>
      <w:r w:rsidRPr="00A70EC8">
        <w:t>Based on an FCC Universal Licensing System search of September 18, 2020.  Search par</w:t>
      </w:r>
      <w:r w:rsidRPr="007C6360">
        <w:t>ameters: Radio Service = PA – Public Safety 4940-4990 MHz Band; Authorization Type = Regular; Status = Active.</w:t>
      </w:r>
    </w:p>
  </w:footnote>
  <w:footnote w:id="239">
    <w:p w:rsidR="006908DB" w:rsidRPr="00A70EC8" w:rsidP="007A05B0" w14:paraId="3D5EA55C" w14:textId="24EA1562">
      <w:pPr>
        <w:pStyle w:val="FootnoteText"/>
      </w:pPr>
      <w:r w:rsidRPr="00A70EC8">
        <w:rPr>
          <w:rStyle w:val="FootnoteReference"/>
        </w:rPr>
        <w:footnoteRef/>
      </w:r>
      <w:r w:rsidRPr="00A70EC8">
        <w:t xml:space="preserve"> </w:t>
      </w:r>
      <w:r w:rsidRPr="00A70EC8">
        <w:rPr>
          <w:i/>
          <w:iCs/>
        </w:rPr>
        <w:t>See</w:t>
      </w:r>
      <w:r w:rsidRPr="007C6360">
        <w:t xml:space="preserve"> U.S. Census Bureau, </w:t>
      </w:r>
      <w:r w:rsidRPr="007C6360">
        <w:rPr>
          <w:i/>
          <w:iCs/>
        </w:rPr>
        <w:t>2017 NAICS Definition, “515112 Radio Stations</w:t>
      </w:r>
      <w:r w:rsidRPr="00AF42A7">
        <w:rPr>
          <w:i/>
          <w:iCs/>
        </w:rPr>
        <w:t>”</w:t>
      </w:r>
      <w:r w:rsidRPr="00AF42A7">
        <w:t xml:space="preserve">, </w:t>
      </w:r>
      <w:hyperlink r:id="rId11" w:history="1">
        <w:hyperlink r:id="rId12" w:history="1">
          <w:r w:rsidRPr="00AF42A7">
            <w:rPr>
              <w:rStyle w:val="Hyperlink"/>
            </w:rPr>
            <w:t>https://www.census.gov/cgi-bin/sssd/naics/naicsrch?input=515112&amp;search=2017+NAICS+Search&amp;search=2017</w:t>
          </w:r>
        </w:hyperlink>
      </w:hyperlink>
      <w:r w:rsidRPr="00A70EC8">
        <w:t xml:space="preserve">.  </w:t>
      </w:r>
    </w:p>
  </w:footnote>
  <w:footnote w:id="240">
    <w:p w:rsidR="006908DB" w:rsidRPr="00AF42A7" w:rsidP="007A05B0" w14:paraId="72FA995A" w14:textId="77777777">
      <w:pPr>
        <w:pStyle w:val="FootnoteText"/>
      </w:pPr>
      <w:r w:rsidRPr="00A70EC8">
        <w:rPr>
          <w:rStyle w:val="FootnoteReference"/>
        </w:rPr>
        <w:footnoteRef/>
      </w:r>
      <w:r w:rsidRPr="00A70EC8">
        <w:t xml:space="preserve"> </w:t>
      </w:r>
      <w:r w:rsidRPr="00A70EC8">
        <w:rPr>
          <w:i/>
          <w:iCs/>
        </w:rPr>
        <w:t>See</w:t>
      </w:r>
      <w:r w:rsidRPr="007C6360">
        <w:t xml:space="preserve"> 13 CFR § 121.201, NAICS Code </w:t>
      </w:r>
      <w:r w:rsidRPr="007C6360">
        <w:rPr>
          <w:bCs/>
        </w:rPr>
        <w:t>515112</w:t>
      </w:r>
      <w:r w:rsidRPr="00AF42A7">
        <w:t>.</w:t>
      </w:r>
    </w:p>
  </w:footnote>
  <w:footnote w:id="241">
    <w:p w:rsidR="006908DB" w:rsidRPr="00A70EC8" w:rsidP="007A05B0" w14:paraId="12DA1738" w14:textId="77777777">
      <w:pPr>
        <w:pStyle w:val="FootnoteText"/>
      </w:pPr>
      <w:r w:rsidRPr="00A70EC8">
        <w:rPr>
          <w:rStyle w:val="FootnoteReference"/>
        </w:rPr>
        <w:footnoteRef/>
      </w:r>
      <w:r w:rsidRPr="00A70EC8">
        <w:t xml:space="preserve"> </w:t>
      </w:r>
      <w:r w:rsidRPr="00A70EC8">
        <w:rPr>
          <w:i/>
          <w:iCs/>
        </w:rPr>
        <w:t>See</w:t>
      </w:r>
      <w:r w:rsidRPr="007C6360">
        <w:t xml:space="preserve"> U.S. Census Bureau, </w:t>
      </w:r>
      <w:r w:rsidRPr="007C6360">
        <w:rPr>
          <w:bCs/>
          <w:i/>
        </w:rPr>
        <w:t>2012</w:t>
      </w:r>
      <w:r w:rsidRPr="00AF42A7">
        <w:rPr>
          <w:i/>
        </w:rPr>
        <w:t xml:space="preserve"> Economic Census</w:t>
      </w:r>
      <w:r w:rsidRPr="00AF42A7">
        <w:rPr>
          <w:bCs/>
          <w:i/>
        </w:rPr>
        <w:t xml:space="preserve"> of the United States</w:t>
      </w:r>
      <w:r w:rsidRPr="00AF42A7">
        <w:t xml:space="preserve">, Table ID: EC1251SSSZ4, </w:t>
      </w:r>
      <w:r w:rsidRPr="00AF42A7">
        <w:rPr>
          <w:i/>
        </w:rPr>
        <w:t xml:space="preserve">Information: Subject Series – </w:t>
      </w:r>
      <w:r w:rsidRPr="00AF42A7">
        <w:rPr>
          <w:i/>
        </w:rPr>
        <w:t>Estab</w:t>
      </w:r>
      <w:r w:rsidRPr="00AF42A7">
        <w:rPr>
          <w:i/>
        </w:rPr>
        <w:t xml:space="preserve"> and Firm Size: Receipts Size of Firms for the U.S.: 2012,</w:t>
      </w:r>
      <w:r w:rsidRPr="00AF42A7">
        <w:t xml:space="preserve"> NAICS Code 515112, </w:t>
      </w:r>
      <w:hyperlink r:id="rId13" w:history="1">
        <w:r w:rsidRPr="00A70EC8">
          <w:rPr>
            <w:rStyle w:val="Hyperlink"/>
          </w:rPr>
          <w:t>https://data.census.gov/cedsci/table?text=EC1251SSSZ4&amp;n=515112&amp;tid=ECNSIZE2012.EC1251SSSZ4&amp;hidePreview=</w:t>
        </w:r>
        <w:r w:rsidRPr="007C6360">
          <w:rPr>
            <w:rStyle w:val="Hyperlink"/>
          </w:rPr>
          <w:t>false</w:t>
        </w:r>
      </w:hyperlink>
      <w:r w:rsidRPr="00A70EC8">
        <w:t xml:space="preserve">. </w:t>
      </w:r>
    </w:p>
  </w:footnote>
  <w:footnote w:id="242">
    <w:p w:rsidR="006908DB" w:rsidRPr="00AF42A7" w:rsidP="007A05B0" w14:paraId="53B98D32" w14:textId="2AFACD59">
      <w:pPr>
        <w:pStyle w:val="FootnoteText"/>
      </w:pPr>
      <w:r w:rsidRPr="00A70EC8">
        <w:rPr>
          <w:rStyle w:val="FootnoteReference"/>
        </w:rPr>
        <w:footnoteRef/>
      </w:r>
      <w:r w:rsidRPr="00A70EC8">
        <w:t xml:space="preserve"> </w:t>
      </w:r>
      <w:r w:rsidRPr="00A70EC8">
        <w:rPr>
          <w:i/>
        </w:rPr>
        <w:t xml:space="preserve">Id.  </w:t>
      </w:r>
      <w:r w:rsidRPr="007C6360">
        <w:rPr>
          <w:iCs/>
        </w:rPr>
        <w:t>The available U.S. Census Bureau data does not provide a more precise estimate of the number of firms that meet the SBA size standard.</w:t>
      </w:r>
      <w:r w:rsidRPr="00AF42A7">
        <w:rPr>
          <w:i/>
        </w:rPr>
        <w:t xml:space="preserve">  </w:t>
      </w:r>
    </w:p>
  </w:footnote>
  <w:footnote w:id="243">
    <w:p w:rsidR="006908DB" w:rsidRPr="00A70EC8" w:rsidP="007A05B0" w14:paraId="106A8671" w14:textId="77777777">
      <w:pPr>
        <w:pStyle w:val="FootnoteText"/>
      </w:pPr>
      <w:r w:rsidRPr="00A70EC8">
        <w:rPr>
          <w:rStyle w:val="FootnoteReference"/>
        </w:rPr>
        <w:footnoteRef/>
      </w:r>
      <w:r w:rsidRPr="00A70EC8">
        <w:t xml:space="preserve"> BIA/Kelsey, MEDIA Access Pro Database (viewed Jan. 26, 2018).</w:t>
      </w:r>
    </w:p>
  </w:footnote>
  <w:footnote w:id="244">
    <w:p w:rsidR="006908DB" w:rsidRPr="00A70EC8" w:rsidP="007A05B0" w14:paraId="61B45745" w14:textId="77777777">
      <w:pPr>
        <w:pStyle w:val="FootnoteText"/>
      </w:pPr>
      <w:r w:rsidRPr="00A70EC8">
        <w:rPr>
          <w:rStyle w:val="FootnoteReference"/>
        </w:rPr>
        <w:footnoteRef/>
      </w:r>
      <w:r w:rsidRPr="00A70EC8">
        <w:t xml:space="preserve"> Broadcast Station Totals as of March 31, 2020, Press Release (MB April 6, 2020) (March 31, 2020 Broadcast Station Totals), </w:t>
      </w:r>
      <w:hyperlink r:id="rId15" w:history="1">
        <w:r w:rsidRPr="00A70EC8">
          <w:rPr>
            <w:rStyle w:val="Hyperlink"/>
          </w:rPr>
          <w:t>https://docs.fcc.gov/public/attachments/DOC-363515A1.pdf</w:t>
        </w:r>
      </w:hyperlink>
      <w:r w:rsidRPr="00A70EC8">
        <w:t xml:space="preserve">.  </w:t>
      </w:r>
    </w:p>
  </w:footnote>
  <w:footnote w:id="245">
    <w:p w:rsidR="006908DB" w:rsidRPr="007C6360" w:rsidP="007A05B0" w14:paraId="5E84D113" w14:textId="77777777">
      <w:pPr>
        <w:pStyle w:val="FootnoteText"/>
      </w:pPr>
      <w:r w:rsidRPr="00A70EC8">
        <w:rPr>
          <w:rStyle w:val="FootnoteReference"/>
        </w:rPr>
        <w:footnoteRef/>
      </w:r>
      <w:r w:rsidRPr="00A70EC8">
        <w:t xml:space="preserve"> </w:t>
      </w:r>
      <w:r w:rsidRPr="00A70EC8">
        <w:rPr>
          <w:i/>
        </w:rPr>
        <w:t>Id.</w:t>
      </w:r>
    </w:p>
  </w:footnote>
  <w:footnote w:id="246">
    <w:p w:rsidR="006908DB" w:rsidRPr="007C6360" w:rsidP="007A05B0" w14:paraId="2855AC08" w14:textId="77777777">
      <w:pPr>
        <w:pStyle w:val="FootnoteText"/>
      </w:pPr>
      <w:r w:rsidRPr="00A70EC8">
        <w:rPr>
          <w:rStyle w:val="FootnoteReference"/>
        </w:rPr>
        <w:footnoteRef/>
      </w:r>
      <w:r w:rsidRPr="00A70EC8">
        <w:t xml:space="preserve"> “[Business concerns] are affiliates of each other when one concern controls or has the power to control the other, or a third party or </w:t>
      </w:r>
      <w:r w:rsidRPr="00A70EC8">
        <w:t>parties</w:t>
      </w:r>
      <w:r w:rsidRPr="00A70EC8">
        <w:t xml:space="preserve"> controls or has power to control both.”  13 CFR § 121.103(a)(1).</w:t>
      </w:r>
    </w:p>
  </w:footnote>
  <w:footnote w:id="247">
    <w:p w:rsidR="006908DB" w:rsidRPr="00A70EC8" w:rsidP="007A05B0" w14:paraId="79B5787C" w14:textId="77777777">
      <w:pPr>
        <w:pStyle w:val="FootnoteText"/>
      </w:pPr>
      <w:r w:rsidRPr="00A70EC8">
        <w:rPr>
          <w:rStyle w:val="FootnoteReference"/>
        </w:rPr>
        <w:footnoteRef/>
      </w:r>
      <w:r w:rsidRPr="00A70EC8">
        <w:t xml:space="preserve"> 13 CFR § 121.102(b).</w:t>
      </w:r>
    </w:p>
  </w:footnote>
  <w:footnote w:id="248">
    <w:p w:rsidR="006908DB" w:rsidRPr="007C6360" w:rsidP="007A05B0" w14:paraId="41DC151F"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i/>
          <w:iCs/>
        </w:rPr>
        <w:t xml:space="preserve">2017 NAICS Definition, “517410 Satellite Telecommunications”, </w:t>
      </w:r>
      <w:bookmarkStart w:id="58" w:name="_Hlk31797228"/>
      <w:bookmarkStart w:id="59" w:name="_Hlk31797223"/>
      <w:hyperlink r:id="rId16" w:history="1">
        <w:r w:rsidRPr="007C6360">
          <w:rPr>
            <w:rStyle w:val="Hyperlink"/>
          </w:rPr>
          <w:t>https://www.census.gov/cgi-bin/sssd/naics/naicsrch?input=517410&amp;search=2017+NAICS+Search&amp;search=2017</w:t>
        </w:r>
      </w:hyperlink>
      <w:r w:rsidRPr="00A70EC8">
        <w:t>.</w:t>
      </w:r>
      <w:bookmarkEnd w:id="58"/>
      <w:r w:rsidRPr="00A70EC8">
        <w:t xml:space="preserve"> </w:t>
      </w:r>
      <w:bookmarkEnd w:id="59"/>
    </w:p>
  </w:footnote>
  <w:footnote w:id="249">
    <w:p w:rsidR="006908DB" w:rsidRPr="00AF42A7" w:rsidP="007A05B0" w14:paraId="33232BA4" w14:textId="77777777">
      <w:pPr>
        <w:pStyle w:val="FootnoteText"/>
      </w:pPr>
      <w:r w:rsidRPr="00A70EC8">
        <w:rPr>
          <w:rStyle w:val="FootnoteReference"/>
        </w:rPr>
        <w:footnoteRef/>
      </w:r>
      <w:r w:rsidRPr="00A70EC8">
        <w:t xml:space="preserve"> </w:t>
      </w:r>
      <w:r w:rsidRPr="007C6360">
        <w:rPr>
          <w:i/>
          <w:iCs/>
        </w:rPr>
        <w:t xml:space="preserve">See </w:t>
      </w:r>
      <w:r w:rsidRPr="007C6360">
        <w:t xml:space="preserve">13 CFR </w:t>
      </w:r>
      <w:r w:rsidRPr="00AF42A7">
        <w:t>§ 121.201, NAICS Code 517410.</w:t>
      </w:r>
    </w:p>
  </w:footnote>
  <w:footnote w:id="250">
    <w:p w:rsidR="006908DB" w:rsidRPr="007C6360" w:rsidP="007A05B0" w14:paraId="674E0333" w14:textId="77777777">
      <w:pPr>
        <w:pStyle w:val="FootnoteText"/>
      </w:pPr>
      <w:r w:rsidRPr="00A70EC8">
        <w:rPr>
          <w:rStyle w:val="FootnoteReference"/>
        </w:rPr>
        <w:footnoteRef/>
      </w:r>
      <w:r w:rsidRPr="00A70EC8">
        <w:t xml:space="preserve"> </w:t>
      </w:r>
      <w:r w:rsidRPr="007C6360">
        <w:rPr>
          <w:i/>
          <w:iCs/>
        </w:rPr>
        <w:t xml:space="preserve">See </w:t>
      </w:r>
      <w:r w:rsidRPr="007C6360">
        <w:t xml:space="preserve">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EC1251SSSZ4, </w:t>
      </w:r>
      <w:r w:rsidRPr="00AF42A7">
        <w:rPr>
          <w:i/>
          <w:iCs/>
        </w:rPr>
        <w:t xml:space="preserve">Information: Subject Series - </w:t>
      </w:r>
      <w:r w:rsidRPr="00AF42A7">
        <w:rPr>
          <w:i/>
          <w:iCs/>
        </w:rPr>
        <w:t>Estab</w:t>
      </w:r>
      <w:r w:rsidRPr="00AF42A7">
        <w:rPr>
          <w:i/>
          <w:iCs/>
        </w:rPr>
        <w:t xml:space="preserve"> and Firm Size: </w:t>
      </w:r>
      <w:r w:rsidRPr="00AF42A7">
        <w:rPr>
          <w:bCs/>
          <w:i/>
          <w:iCs/>
        </w:rPr>
        <w:t>Receipts Size of Firms for the U.S.: 2012</w:t>
      </w:r>
      <w:r w:rsidRPr="00AF42A7">
        <w:t xml:space="preserve">, NAICS Code 517410, </w:t>
      </w:r>
      <w:hyperlink r:id="rId17" w:history="1">
        <w:r w:rsidRPr="007C6360">
          <w:rPr>
            <w:rStyle w:val="Hyperlink"/>
          </w:rPr>
          <w:t>https://data.census.gov/cedsci/table?text=EC1251SSSZ4&amp;n=517410&amp;tid=ECNSIZE2012.EC1251SSSZ4&amp;hidePreview=false&amp;vintage=2012</w:t>
        </w:r>
      </w:hyperlink>
      <w:r w:rsidRPr="00A70EC8">
        <w:t xml:space="preserve">. </w:t>
      </w:r>
    </w:p>
  </w:footnote>
  <w:footnote w:id="251">
    <w:p w:rsidR="006908DB" w:rsidRPr="00AF42A7" w:rsidP="007A05B0" w14:paraId="36DDA673" w14:textId="72A49098">
      <w:pPr>
        <w:pStyle w:val="FootnoteText"/>
      </w:pPr>
      <w:r w:rsidRPr="00A70EC8">
        <w:rPr>
          <w:rStyle w:val="FootnoteReference"/>
        </w:rPr>
        <w:footnoteRef/>
      </w:r>
      <w:r w:rsidRPr="00A70EC8">
        <w:t xml:space="preserve"> </w:t>
      </w:r>
      <w:r w:rsidRPr="007C6360">
        <w:rPr>
          <w:i/>
        </w:rPr>
        <w:t>Id</w:t>
      </w:r>
      <w:r w:rsidRPr="007C6360">
        <w:t xml:space="preserve">.  </w:t>
      </w:r>
      <w:bookmarkStart w:id="60" w:name="_Hlk22822293"/>
      <w:bookmarkStart w:id="61" w:name="_Hlk31797305"/>
      <w:bookmarkStart w:id="62" w:name="_Hlk31797306"/>
      <w:r w:rsidRPr="007C6360">
        <w:t>The avai</w:t>
      </w:r>
      <w:r w:rsidRPr="00AF42A7">
        <w:t>lable U.S. Census Bureau data does not provide a more precise estimate of the number of firms that meet the SBA size standard</w:t>
      </w:r>
      <w:bookmarkEnd w:id="60"/>
      <w:r w:rsidRPr="00AF42A7">
        <w:t>.</w:t>
      </w:r>
      <w:bookmarkEnd w:id="61"/>
      <w:bookmarkEnd w:id="62"/>
    </w:p>
  </w:footnote>
  <w:footnote w:id="252">
    <w:p w:rsidR="006908DB" w:rsidRPr="007C6360" w:rsidP="007A05B0" w14:paraId="70476B55"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i/>
          <w:iCs/>
        </w:rPr>
        <w:t>2017 NAICS Definition, “515120 Television Broadcasting</w:t>
      </w:r>
      <w:r w:rsidRPr="00AF42A7">
        <w:t xml:space="preserve">”, </w:t>
      </w:r>
      <w:hyperlink r:id="rId18" w:history="1">
        <w:r w:rsidRPr="007C6360">
          <w:rPr>
            <w:rStyle w:val="Hyperlink"/>
          </w:rPr>
          <w:t>https://www.census.gov/cgi-bin/sssd/naics/naicsrch?input=515120&amp;search=2017+NAICS+Search&amp;search=2017</w:t>
        </w:r>
      </w:hyperlink>
      <w:r w:rsidRPr="00A70EC8">
        <w:t xml:space="preserve">. </w:t>
      </w:r>
    </w:p>
  </w:footnote>
  <w:footnote w:id="253">
    <w:p w:rsidR="006908DB" w:rsidRPr="007C6360" w:rsidP="007A05B0" w14:paraId="7EED88BF" w14:textId="77777777">
      <w:pPr>
        <w:pStyle w:val="FootnoteText"/>
      </w:pPr>
      <w:r w:rsidRPr="00A70EC8">
        <w:rPr>
          <w:rStyle w:val="FootnoteReference"/>
        </w:rPr>
        <w:footnoteRef/>
      </w:r>
      <w:r w:rsidRPr="00A70EC8">
        <w:t xml:space="preserve"> </w:t>
      </w:r>
      <w:r w:rsidRPr="007C6360">
        <w:rPr>
          <w:i/>
        </w:rPr>
        <w:t>Id.</w:t>
      </w:r>
    </w:p>
  </w:footnote>
  <w:footnote w:id="254">
    <w:p w:rsidR="006908DB" w:rsidRPr="00AF42A7" w:rsidP="007A05B0" w14:paraId="79A404BD" w14:textId="77777777">
      <w:pPr>
        <w:pStyle w:val="FootnoteText"/>
      </w:pPr>
      <w:r w:rsidRPr="00A70EC8">
        <w:rPr>
          <w:rStyle w:val="FootnoteReference"/>
        </w:rPr>
        <w:footnoteRef/>
      </w:r>
      <w:r w:rsidRPr="00A70EC8">
        <w:t xml:space="preserve"> </w:t>
      </w:r>
      <w:r w:rsidRPr="007C6360">
        <w:rPr>
          <w:i/>
          <w:iCs/>
        </w:rPr>
        <w:t>See</w:t>
      </w:r>
      <w:r w:rsidRPr="007C6360">
        <w:t xml:space="preserve"> 13 CFR § 121.201,</w:t>
      </w:r>
      <w:r w:rsidRPr="00AF42A7">
        <w:rPr>
          <w:snapToGrid w:val="0"/>
          <w:color w:val="212121"/>
          <w:kern w:val="28"/>
        </w:rPr>
        <w:t xml:space="preserve"> N</w:t>
      </w:r>
      <w:r w:rsidRPr="00AF42A7">
        <w:t xml:space="preserve">AICS Code 515120. </w:t>
      </w:r>
    </w:p>
  </w:footnote>
  <w:footnote w:id="255">
    <w:p w:rsidR="006908DB" w:rsidRPr="007C6360" w:rsidP="007A05B0" w14:paraId="2456C285" w14:textId="77777777">
      <w:pPr>
        <w:pStyle w:val="FootnoteText"/>
      </w:pPr>
      <w:r w:rsidRPr="00A70EC8">
        <w:rPr>
          <w:rStyle w:val="FootnoteReference"/>
        </w:rPr>
        <w:footnoteRef/>
      </w:r>
      <w:r w:rsidRPr="00A70EC8">
        <w:t xml:space="preserve"> </w:t>
      </w:r>
      <w:r w:rsidRPr="007C6360">
        <w:rPr>
          <w:i/>
          <w:iCs/>
        </w:rPr>
        <w:t>See</w:t>
      </w:r>
      <w:r w:rsidRPr="007C6360">
        <w:t xml:space="preserve"> 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EC1251SSSZ4, </w:t>
      </w:r>
      <w:r w:rsidRPr="00AF42A7">
        <w:rPr>
          <w:i/>
          <w:iCs/>
        </w:rPr>
        <w:t xml:space="preserve">Information: Subject Series – </w:t>
      </w:r>
      <w:r w:rsidRPr="00AF42A7">
        <w:rPr>
          <w:i/>
          <w:iCs/>
        </w:rPr>
        <w:t>Estab</w:t>
      </w:r>
      <w:r w:rsidRPr="00AF42A7">
        <w:rPr>
          <w:i/>
          <w:iCs/>
        </w:rPr>
        <w:t xml:space="preserve"> and Firm Size: Receipts Size of Firms for the U.S.: 2012,</w:t>
      </w:r>
      <w:r w:rsidRPr="00AF42A7">
        <w:t xml:space="preserve"> NAICS Code 515120, </w:t>
      </w:r>
      <w:hyperlink r:id="rId19" w:history="1">
        <w:r w:rsidRPr="007C6360">
          <w:rPr>
            <w:rStyle w:val="Hyperlink"/>
          </w:rPr>
          <w:t>https://data.census.gov/cedsci/table?text=EC1251SSSZ4&amp;n=515120&amp;tid=ECNSIZE2012.EC1251SSSZ4&amp;hidePreview=false</w:t>
        </w:r>
      </w:hyperlink>
      <w:r w:rsidRPr="00A70EC8">
        <w:rPr>
          <w:rStyle w:val="Hyperlink"/>
        </w:rPr>
        <w:t>.</w:t>
      </w:r>
    </w:p>
  </w:footnote>
  <w:footnote w:id="256">
    <w:p w:rsidR="006908DB" w:rsidRPr="00AF42A7" w:rsidP="007A05B0" w14:paraId="2F712589" w14:textId="7D11E6B1">
      <w:pPr>
        <w:pStyle w:val="FootnoteText"/>
      </w:pPr>
      <w:r w:rsidRPr="00A70EC8">
        <w:rPr>
          <w:rStyle w:val="FootnoteReference"/>
        </w:rPr>
        <w:footnoteRef/>
      </w:r>
      <w:r w:rsidRPr="00A70EC8">
        <w:t xml:space="preserve"> </w:t>
      </w:r>
      <w:r w:rsidRPr="007C6360">
        <w:rPr>
          <w:i/>
        </w:rPr>
        <w:t>Id</w:t>
      </w:r>
      <w:r w:rsidRPr="007C6360">
        <w:t>.  The available U.S. Census Bureau data does not provide a more precise estimate of the number of f</w:t>
      </w:r>
      <w:r w:rsidRPr="00AF42A7">
        <w:t xml:space="preserve">irms that meet the SBA size standard.  </w:t>
      </w:r>
    </w:p>
  </w:footnote>
  <w:footnote w:id="257">
    <w:p w:rsidR="006908DB" w:rsidRPr="007C6360" w:rsidP="007A05B0" w14:paraId="22B9BB9C" w14:textId="77777777">
      <w:pPr>
        <w:pStyle w:val="FootnoteText"/>
      </w:pPr>
      <w:r w:rsidRPr="00A70EC8">
        <w:rPr>
          <w:rStyle w:val="FootnoteReference"/>
        </w:rPr>
        <w:footnoteRef/>
      </w:r>
      <w:r w:rsidRPr="00A70EC8">
        <w:t xml:space="preserve"> </w:t>
      </w:r>
      <w:r w:rsidRPr="007C6360">
        <w:rPr>
          <w:i/>
        </w:rPr>
        <w:t>Broadcast Station Totals</w:t>
      </w:r>
      <w:r w:rsidRPr="007C6360">
        <w:t xml:space="preserve"> as of June 30, 2018, Press Release (MB, rel. Jul. 3, 2018) (June 30, 2018 Broadcast St</w:t>
      </w:r>
      <w:r w:rsidRPr="00AF42A7">
        <w:t xml:space="preserve">ation Totals Press Release), </w:t>
      </w:r>
      <w:hyperlink r:id="rId20" w:history="1">
        <w:r w:rsidRPr="007C6360">
          <w:rPr>
            <w:rStyle w:val="Hyperlink"/>
          </w:rPr>
          <w:t>https://docs.fcc.gov/public/attachments/DOC-352168A1.pdf</w:t>
        </w:r>
      </w:hyperlink>
      <w:r w:rsidRPr="00A70EC8">
        <w:t>.</w:t>
      </w:r>
    </w:p>
  </w:footnote>
  <w:footnote w:id="258">
    <w:p w:rsidR="006908DB" w:rsidRPr="007C6360" w:rsidP="007A05B0" w14:paraId="4A5F040C" w14:textId="77777777">
      <w:pPr>
        <w:pStyle w:val="FootnoteText"/>
      </w:pPr>
      <w:r w:rsidRPr="00A70EC8">
        <w:rPr>
          <w:rStyle w:val="FootnoteReference"/>
        </w:rPr>
        <w:footnoteRef/>
      </w:r>
      <w:r w:rsidRPr="00A70EC8">
        <w:t xml:space="preserve"> </w:t>
      </w:r>
      <w:r w:rsidRPr="007C6360">
        <w:rPr>
          <w:i/>
        </w:rPr>
        <w:t>Id.</w:t>
      </w:r>
    </w:p>
  </w:footnote>
  <w:footnote w:id="259">
    <w:p w:rsidR="006908DB" w:rsidRPr="007C6360" w:rsidP="007A05B0" w14:paraId="3A2B18ED" w14:textId="77777777">
      <w:pPr>
        <w:pStyle w:val="FootnoteText"/>
      </w:pPr>
      <w:r w:rsidRPr="00A70EC8">
        <w:rPr>
          <w:rStyle w:val="FootnoteReference"/>
        </w:rPr>
        <w:footnoteRef/>
      </w:r>
      <w:r w:rsidRPr="00A70EC8">
        <w:t xml:space="preserve"> </w:t>
      </w:r>
      <w:r w:rsidRPr="007C6360">
        <w:rPr>
          <w:i/>
        </w:rPr>
        <w:t>Id.</w:t>
      </w:r>
    </w:p>
  </w:footnote>
  <w:footnote w:id="260">
    <w:p w:rsidR="006908DB" w:rsidRPr="00AF42A7" w:rsidP="007A05B0" w14:paraId="22680A66" w14:textId="77777777">
      <w:pPr>
        <w:pStyle w:val="FootnoteText"/>
      </w:pPr>
      <w:r w:rsidRPr="00A70EC8">
        <w:rPr>
          <w:rStyle w:val="FootnoteReference"/>
        </w:rPr>
        <w:footnoteRef/>
      </w:r>
      <w:r w:rsidRPr="00A70EC8">
        <w:t xml:space="preserve"> “[Business concerns] are affiliates of each other when one concern controls or has</w:t>
      </w:r>
      <w:r w:rsidRPr="007C6360">
        <w:t xml:space="preserve"> the power to control the other or a third party or </w:t>
      </w:r>
      <w:r w:rsidRPr="007C6360">
        <w:t>parties</w:t>
      </w:r>
      <w:r w:rsidRPr="007C6360">
        <w:t xml:space="preserve"> controls or has the power to control both.”</w:t>
      </w:r>
      <w:r w:rsidRPr="00AF42A7">
        <w:t xml:space="preserve"> 13 CFR § 21.103(a)(1).</w:t>
      </w:r>
    </w:p>
  </w:footnote>
  <w:footnote w:id="261">
    <w:p w:rsidR="006908DB" w:rsidRPr="00AF42A7" w:rsidP="007A05B0" w14:paraId="0C63BDC7" w14:textId="77777777">
      <w:pPr>
        <w:pStyle w:val="FootnoteText"/>
      </w:pPr>
      <w:r w:rsidRPr="00A70EC8">
        <w:rPr>
          <w:rStyle w:val="FootnoteReference"/>
        </w:rPr>
        <w:footnoteRef/>
      </w:r>
      <w:r w:rsidRPr="00A70EC8">
        <w:t xml:space="preserve"> </w:t>
      </w:r>
      <w:r w:rsidRPr="007C6360">
        <w:rPr>
          <w:i/>
        </w:rPr>
        <w:t xml:space="preserve">Amendment of Parts 21 and 74 of the Commission’s Rules with Regard to Filing Procedures in the Multipoint Distribution Service </w:t>
      </w:r>
      <w:r w:rsidRPr="00AF42A7">
        <w:rPr>
          <w:i/>
        </w:rPr>
        <w:t>and in the Instructional Television Fixed Service and Implementation of Section 309(j) of the Communications Act—Competitive Bidding</w:t>
      </w:r>
      <w:r w:rsidRPr="00AF42A7">
        <w:t xml:space="preserve">, Report and Order, 10 FCC </w:t>
      </w:r>
      <w:r w:rsidRPr="00AF42A7">
        <w:t>Rcd</w:t>
      </w:r>
      <w:r w:rsidRPr="00AF42A7">
        <w:t xml:space="preserve"> 9589, 9593, para. 7 (1995).</w:t>
      </w:r>
    </w:p>
  </w:footnote>
  <w:footnote w:id="262">
    <w:p w:rsidR="006908DB" w:rsidRPr="007C6360" w:rsidP="007A05B0" w14:paraId="69744326" w14:textId="77777777">
      <w:pPr>
        <w:pStyle w:val="FootnoteText"/>
      </w:pPr>
      <w:r w:rsidRPr="00A70EC8">
        <w:rPr>
          <w:rStyle w:val="FootnoteReference"/>
        </w:rPr>
        <w:footnoteRef/>
      </w:r>
      <w:r w:rsidRPr="00A70EC8">
        <w:t xml:space="preserve"> 47 CFR § 21.961(b)(1).</w:t>
      </w:r>
    </w:p>
  </w:footnote>
  <w:footnote w:id="263">
    <w:p w:rsidR="006908DB" w:rsidRPr="00AF42A7" w:rsidP="007A05B0" w14:paraId="2C40EA10" w14:textId="77777777">
      <w:pPr>
        <w:pStyle w:val="FootnoteText"/>
      </w:pPr>
      <w:r w:rsidRPr="007C6360">
        <w:rPr>
          <w:rStyle w:val="FootnoteReference"/>
          <w:rFonts w:eastAsia="Calibri"/>
        </w:rPr>
        <w:footnoteRef/>
      </w:r>
      <w:r w:rsidRPr="007C6360">
        <w:t xml:space="preserve"> 47 U.S.C. § 309(j).  Hundreds of stati</w:t>
      </w:r>
      <w:r w:rsidRPr="00AF42A7">
        <w:t>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64">
    <w:p w:rsidR="006908DB" w:rsidRPr="00AF42A7" w:rsidP="007A05B0" w14:paraId="516038CF" w14:textId="77777777">
      <w:pPr>
        <w:pStyle w:val="FootnoteText"/>
      </w:pPr>
      <w:r w:rsidRPr="007C6360">
        <w:rPr>
          <w:rStyle w:val="FootnoteReference"/>
        </w:rPr>
        <w:footnoteRef/>
      </w:r>
      <w:r w:rsidRPr="007C6360">
        <w:t xml:space="preserve"> </w:t>
      </w:r>
      <w:r w:rsidRPr="00AF42A7">
        <w:rPr>
          <w:i/>
        </w:rPr>
        <w:t>Auction of Broadband Radio Service (BRS) Licenses</w:t>
      </w:r>
      <w:r w:rsidRPr="00AF42A7">
        <w:t>,</w:t>
      </w:r>
      <w:r w:rsidRPr="00AF42A7">
        <w:rPr>
          <w:i/>
        </w:rPr>
        <w:t xml:space="preserve"> Scheduled for October 27</w:t>
      </w:r>
      <w:r w:rsidRPr="00AF42A7">
        <w:t>,</w:t>
      </w:r>
      <w:r w:rsidRPr="00AF42A7">
        <w:rPr>
          <w:i/>
        </w:rPr>
        <w:t xml:space="preserve"> 2009</w:t>
      </w:r>
      <w:r w:rsidRPr="00AF42A7">
        <w:t>,</w:t>
      </w:r>
      <w:r w:rsidRPr="00AF42A7">
        <w:rPr>
          <w:i/>
        </w:rPr>
        <w:t xml:space="preserve"> Notice and Filing Requirements</w:t>
      </w:r>
      <w:r w:rsidRPr="00AF42A7">
        <w:t>,</w:t>
      </w:r>
      <w:r w:rsidRPr="00AF42A7">
        <w:rPr>
          <w:i/>
        </w:rPr>
        <w:t xml:space="preserve"> Minimum Opening Bids</w:t>
      </w:r>
      <w:r w:rsidRPr="00AF42A7">
        <w:t>,</w:t>
      </w:r>
      <w:r w:rsidRPr="00AF42A7">
        <w:rPr>
          <w:i/>
        </w:rPr>
        <w:t xml:space="preserve"> Upfront Payments</w:t>
      </w:r>
      <w:r w:rsidRPr="00AF42A7">
        <w:t>,</w:t>
      </w:r>
      <w:r w:rsidRPr="00AF42A7">
        <w:rPr>
          <w:i/>
        </w:rPr>
        <w:t xml:space="preserve"> and Other Procedures for Auction 86</w:t>
      </w:r>
      <w:r w:rsidRPr="00AF42A7">
        <w:t xml:space="preserve">, Public Notice, 24 FCC </w:t>
      </w:r>
      <w:r w:rsidRPr="00AF42A7">
        <w:t>Rcd</w:t>
      </w:r>
      <w:r w:rsidRPr="00AF42A7">
        <w:t xml:space="preserve"> 8277 (2009).</w:t>
      </w:r>
    </w:p>
  </w:footnote>
  <w:footnote w:id="265">
    <w:p w:rsidR="006908DB" w:rsidRPr="00AF42A7" w:rsidP="007A05B0" w14:paraId="73704499" w14:textId="77777777">
      <w:pPr>
        <w:pStyle w:val="FootnoteText"/>
      </w:pPr>
      <w:r w:rsidRPr="007C6360">
        <w:rPr>
          <w:rStyle w:val="FootnoteReference"/>
        </w:rPr>
        <w:footnoteRef/>
      </w:r>
      <w:r w:rsidRPr="007C6360">
        <w:t xml:space="preserve"> </w:t>
      </w:r>
      <w:r w:rsidRPr="00AF42A7">
        <w:rPr>
          <w:i/>
        </w:rPr>
        <w:t>Id</w:t>
      </w:r>
      <w:r w:rsidRPr="00AF42A7">
        <w:t>. at 8296 para. 73.</w:t>
      </w:r>
    </w:p>
  </w:footnote>
  <w:footnote w:id="266">
    <w:p w:rsidR="006908DB" w:rsidRPr="00AF42A7" w:rsidP="007A05B0" w14:paraId="350494E6" w14:textId="77777777">
      <w:pPr>
        <w:pStyle w:val="FootnoteText"/>
      </w:pPr>
      <w:r w:rsidRPr="007C6360">
        <w:rPr>
          <w:rStyle w:val="FootnoteReference"/>
        </w:rPr>
        <w:footnoteRef/>
      </w:r>
      <w:r w:rsidRPr="007C6360">
        <w:t xml:space="preserve"> </w:t>
      </w:r>
      <w:r w:rsidRPr="00AF42A7">
        <w:rPr>
          <w:i/>
        </w:rPr>
        <w:t>Auction of Broadband Radio Service Licenses Closes</w:t>
      </w:r>
      <w:r w:rsidRPr="00AF42A7">
        <w:t>,</w:t>
      </w:r>
      <w:r w:rsidRPr="00AF42A7">
        <w:rPr>
          <w:i/>
        </w:rPr>
        <w:t xml:space="preserve"> Winning Bidders Announced for Auction 86</w:t>
      </w:r>
      <w:r w:rsidRPr="00AF42A7">
        <w:t>,</w:t>
      </w:r>
      <w:r w:rsidRPr="00AF42A7">
        <w:rPr>
          <w:i/>
        </w:rPr>
        <w:t xml:space="preserve"> Down Payments Due November 23</w:t>
      </w:r>
      <w:r w:rsidRPr="00AF42A7">
        <w:t>,</w:t>
      </w:r>
      <w:r w:rsidRPr="00AF42A7">
        <w:rPr>
          <w:i/>
        </w:rPr>
        <w:t xml:space="preserve"> 2009</w:t>
      </w:r>
      <w:r w:rsidRPr="00AF42A7">
        <w:t>,</w:t>
      </w:r>
      <w:r w:rsidRPr="00AF42A7">
        <w:rPr>
          <w:i/>
        </w:rPr>
        <w:t xml:space="preserve"> Final Payments Due December 8</w:t>
      </w:r>
      <w:r w:rsidRPr="00AF42A7">
        <w:t>,</w:t>
      </w:r>
      <w:r w:rsidRPr="00AF42A7">
        <w:rPr>
          <w:i/>
        </w:rPr>
        <w:t xml:space="preserve"> 2009</w:t>
      </w:r>
      <w:r w:rsidRPr="00AF42A7">
        <w:t>,</w:t>
      </w:r>
      <w:r w:rsidRPr="00AF42A7">
        <w:rPr>
          <w:i/>
        </w:rPr>
        <w:t xml:space="preserve"> Ten-Day Petition to Deny Period</w:t>
      </w:r>
      <w:r w:rsidRPr="00AF42A7">
        <w:t xml:space="preserve">, Public Notice, 24 FCC </w:t>
      </w:r>
      <w:r w:rsidRPr="00AF42A7">
        <w:t>Rcd</w:t>
      </w:r>
      <w:r w:rsidRPr="00AF42A7">
        <w:t xml:space="preserve"> 13572 (2009).</w:t>
      </w:r>
    </w:p>
  </w:footnote>
  <w:footnote w:id="267">
    <w:p w:rsidR="006908DB" w:rsidRPr="00AF42A7" w:rsidP="007A05B0" w14:paraId="0BD10404" w14:textId="77777777">
      <w:pPr>
        <w:pStyle w:val="FootnoteText"/>
      </w:pPr>
      <w:r w:rsidRPr="007C6360">
        <w:rPr>
          <w:rStyle w:val="FootnoteReference"/>
        </w:rPr>
        <w:footnoteRef/>
      </w:r>
      <w:r w:rsidRPr="007C6360">
        <w:t xml:space="preserve"> </w:t>
      </w:r>
      <w:r w:rsidRPr="00AF42A7">
        <w:rPr>
          <w:i/>
          <w:iCs/>
        </w:rPr>
        <w:t>See</w:t>
      </w:r>
      <w:r w:rsidRPr="00AF42A7">
        <w:t xml:space="preserve"> U.S. Census Bureau, </w:t>
      </w:r>
      <w:r w:rsidRPr="00AF42A7">
        <w:rPr>
          <w:i/>
          <w:iCs/>
        </w:rPr>
        <w:t>2017 NAICS Definition, “</w:t>
      </w:r>
      <w:r w:rsidRPr="00AF42A7">
        <w:rPr>
          <w:bCs/>
          <w:i/>
          <w:iCs/>
        </w:rPr>
        <w:t>517311 Wired Telecommunications Carriers”</w:t>
      </w:r>
      <w:r w:rsidRPr="00AF42A7">
        <w:rPr>
          <w:bCs/>
        </w:rPr>
        <w:t xml:space="preserve"> (partial definition),</w:t>
      </w:r>
      <w:r w:rsidRPr="00AF42A7">
        <w:t xml:space="preserve"> </w:t>
      </w:r>
      <w:hyperlink r:id="rId21" w:history="1">
        <w:r w:rsidRPr="00AF42A7">
          <w:rPr>
            <w:rStyle w:val="Hyperlink"/>
          </w:rPr>
          <w:t>http://www.census.gov/cgi-bin/sssd/naics/naicsrch?code=517311&amp;search=201</w:t>
        </w:r>
      </w:hyperlink>
      <w:r w:rsidRPr="007C6360">
        <w:rPr>
          <w:rStyle w:val="Hyperlink"/>
        </w:rPr>
        <w:t>7</w:t>
      </w:r>
      <w:r w:rsidRPr="00AF42A7">
        <w:t>.</w:t>
      </w:r>
    </w:p>
  </w:footnote>
  <w:footnote w:id="268">
    <w:p w:rsidR="006908DB" w:rsidRPr="00AF42A7" w:rsidP="007A05B0" w14:paraId="6C93B35D" w14:textId="77777777">
      <w:pPr>
        <w:pStyle w:val="FootnoteText"/>
      </w:pPr>
      <w:r w:rsidRPr="007C6360">
        <w:rPr>
          <w:rStyle w:val="FootnoteReference"/>
        </w:rPr>
        <w:footnoteRef/>
      </w:r>
      <w:r w:rsidRPr="007C6360">
        <w:t xml:space="preserve"> </w:t>
      </w:r>
      <w:r w:rsidRPr="00AF42A7">
        <w:rPr>
          <w:i/>
        </w:rPr>
        <w:t>See</w:t>
      </w:r>
      <w:r w:rsidRPr="00AF42A7">
        <w:t xml:space="preserve"> </w:t>
      </w:r>
      <w:r w:rsidRPr="00AF42A7">
        <w:rPr>
          <w:color w:val="000000"/>
        </w:rPr>
        <w:t>13 CFR § 121.201, NAICS Code 517311 (previously 517110)</w:t>
      </w:r>
      <w:r w:rsidRPr="00AF42A7">
        <w:t xml:space="preserve">. </w:t>
      </w:r>
    </w:p>
  </w:footnote>
  <w:footnote w:id="269">
    <w:p w:rsidR="006908DB" w:rsidRPr="00AF42A7" w:rsidP="007A05B0" w14:paraId="7954F38A" w14:textId="47839CB1">
      <w:pPr>
        <w:pStyle w:val="FootnoteText"/>
      </w:pPr>
      <w:r w:rsidRPr="007C6360">
        <w:rPr>
          <w:rStyle w:val="FootnoteReference"/>
        </w:rPr>
        <w:footnoteRef/>
      </w:r>
      <w:r w:rsidRPr="007C6360">
        <w:t xml:space="preserve"> </w:t>
      </w:r>
      <w:r w:rsidRPr="00AF42A7">
        <w:rPr>
          <w:i/>
        </w:rPr>
        <w:t>See</w:t>
      </w:r>
      <w:r w:rsidRPr="00AF42A7">
        <w:t xml:space="preserve"> U.S. Census Bureau, </w:t>
      </w:r>
      <w:r w:rsidRPr="00AF42A7">
        <w:rPr>
          <w:bCs/>
          <w:i/>
        </w:rPr>
        <w:t>2012</w:t>
      </w:r>
      <w:r w:rsidRPr="00AF42A7">
        <w:rPr>
          <w:i/>
        </w:rPr>
        <w:t xml:space="preserve"> Economic Census</w:t>
      </w:r>
      <w:r w:rsidRPr="00AF42A7">
        <w:rPr>
          <w:bCs/>
          <w:i/>
        </w:rPr>
        <w:t xml:space="preserve"> of the United States,</w:t>
      </w:r>
      <w:r w:rsidRPr="00AF42A7">
        <w:t xml:space="preserve"> Table ID: EC1251SSSZ5, </w:t>
      </w:r>
      <w:r w:rsidRPr="00AF42A7">
        <w:rPr>
          <w:i/>
          <w:iCs/>
        </w:rPr>
        <w:t xml:space="preserve">Information: Subject Series - </w:t>
      </w:r>
      <w:r w:rsidRPr="00AF42A7">
        <w:rPr>
          <w:i/>
          <w:iCs/>
        </w:rPr>
        <w:t>Estab</w:t>
      </w:r>
      <w:r w:rsidRPr="00AF42A7">
        <w:rPr>
          <w:i/>
          <w:iCs/>
        </w:rPr>
        <w:t xml:space="preserve"> &amp; Firm Size: Employment Size of Firms for the U.S.: 2012,</w:t>
      </w:r>
      <w:r w:rsidRPr="00AF42A7">
        <w:t xml:space="preserve"> NAICS Code 517110, </w:t>
      </w:r>
      <w:r w:rsidRPr="00AF42A7">
        <w:rPr>
          <w:rStyle w:val="Hyperlink"/>
        </w:rPr>
        <w:t xml:space="preserve"> </w:t>
      </w:r>
      <w:hyperlink r:id="rId22" w:history="1">
        <w:r w:rsidRPr="00AF42A7">
          <w:rPr>
            <w:rStyle w:val="Hyperlink"/>
          </w:rPr>
          <w:t>https://data.census.gov/cedsci/table?text=EC1251SSSZ5&amp;n=517110&amp;tid=ECNSIZE2012.EC1251SSSZ5&amp;hidePreview=false</w:t>
        </w:r>
      </w:hyperlink>
      <w:r w:rsidRPr="007C6360">
        <w:t>.</w:t>
      </w:r>
    </w:p>
  </w:footnote>
  <w:footnote w:id="270">
    <w:p w:rsidR="006908DB" w:rsidRPr="00AF42A7" w:rsidP="007A05B0" w14:paraId="4B0FDF9B" w14:textId="5783C9E8">
      <w:pPr>
        <w:pStyle w:val="FootnoteText"/>
        <w:rPr>
          <w:iCs/>
        </w:rPr>
      </w:pPr>
      <w:r w:rsidRPr="007C6360">
        <w:rPr>
          <w:rStyle w:val="FootnoteReference"/>
        </w:rPr>
        <w:footnoteRef/>
      </w:r>
      <w:r w:rsidRPr="007C6360">
        <w:t xml:space="preserve"> </w:t>
      </w:r>
      <w:r w:rsidRPr="00AF42A7">
        <w:rPr>
          <w:i/>
        </w:rPr>
        <w:t xml:space="preserve">Id.  </w:t>
      </w:r>
      <w:r w:rsidRPr="00AF42A7">
        <w:rPr>
          <w:iCs/>
        </w:rPr>
        <w:t>The available U.S. Census Bureau data does not provide a more precise estimate of the number of firms that meet the SBA size standard.</w:t>
      </w:r>
    </w:p>
  </w:footnote>
  <w:footnote w:id="271">
    <w:p w:rsidR="006908DB" w:rsidRPr="00AF42A7" w:rsidP="007A05B0" w14:paraId="3B021B7E" w14:textId="77777777">
      <w:pPr>
        <w:pStyle w:val="FootnoteText"/>
      </w:pPr>
      <w:r w:rsidRPr="007C6360">
        <w:rPr>
          <w:rStyle w:val="FootnoteReference"/>
          <w:rFonts w:eastAsia="Calibri"/>
        </w:rPr>
        <w:footnoteRef/>
      </w:r>
      <w:r w:rsidRPr="007C6360">
        <w:t xml:space="preserve"> The term “small entity” within SBREFA applies to small organizations (non-profits) and to small governmental jurisdictions (cities, counties, towns, townships, villages, school districts, and special dis</w:t>
      </w:r>
      <w:r w:rsidRPr="00AF42A7">
        <w:t>tricts with populations of less than 50,000).  5 U.S.C. §§ 601(4)-(6).</w:t>
      </w:r>
    </w:p>
  </w:footnote>
  <w:footnote w:id="272">
    <w:p w:rsidR="006908DB" w:rsidRPr="00AF42A7" w:rsidP="007A05B0" w14:paraId="5AE596F9" w14:textId="77777777">
      <w:pPr>
        <w:pStyle w:val="FootnoteText"/>
      </w:pPr>
      <w:r w:rsidRPr="007C6360">
        <w:rPr>
          <w:rStyle w:val="FootnoteReference"/>
        </w:rPr>
        <w:footnoteRef/>
      </w:r>
      <w:r w:rsidRPr="007C6360">
        <w:t xml:space="preserve"> </w:t>
      </w:r>
      <w:r w:rsidRPr="00AF42A7">
        <w:rPr>
          <w:snapToGrid w:val="0"/>
        </w:rPr>
        <w:t>Spectrum Act of 2012 § 6409(a).</w:t>
      </w:r>
    </w:p>
  </w:footnote>
  <w:footnote w:id="273">
    <w:p w:rsidR="006908DB" w:rsidRPr="00AF42A7" w:rsidP="007A05B0" w14:paraId="34DDC55F" w14:textId="75E5A97C">
      <w:pPr>
        <w:pStyle w:val="FootnoteText"/>
      </w:pPr>
      <w:r w:rsidRPr="007C6360">
        <w:rPr>
          <w:rStyle w:val="FootnoteReference"/>
        </w:rPr>
        <w:footnoteRef/>
      </w:r>
      <w:r w:rsidRPr="007C6360">
        <w:t xml:space="preserve"> </w:t>
      </w:r>
      <w:r w:rsidRPr="00AF42A7">
        <w:rPr>
          <w:i/>
        </w:rPr>
        <w:t>See</w:t>
      </w:r>
      <w:r w:rsidRPr="00AF42A7">
        <w:t xml:space="preserve"> 5 U.S.C. § 604(a)(6).</w:t>
      </w:r>
    </w:p>
  </w:footnote>
  <w:footnote w:id="274">
    <w:p w:rsidR="006908DB" w:rsidRPr="00AF42A7" w14:paraId="734FA7E5" w14:textId="53209DEF">
      <w:pPr>
        <w:pStyle w:val="FootnoteText"/>
      </w:pPr>
      <w:r w:rsidRPr="007C6360">
        <w:rPr>
          <w:rStyle w:val="FootnoteReference"/>
        </w:rPr>
        <w:footnoteRef/>
      </w:r>
      <w:r w:rsidRPr="007C6360">
        <w:t xml:space="preserve"> </w:t>
      </w:r>
      <w:r w:rsidRPr="00AF42A7">
        <w:rPr>
          <w:i/>
          <w:iCs/>
        </w:rPr>
        <w:t xml:space="preserve">See </w:t>
      </w:r>
      <w:r w:rsidRPr="00AF42A7">
        <w:t xml:space="preserve">Crown Castle Comments at 2-4; </w:t>
      </w:r>
      <w:r w:rsidRPr="00AF42A7">
        <w:rPr>
          <w:i/>
          <w:iCs/>
        </w:rPr>
        <w:t>see also</w:t>
      </w:r>
      <w:r w:rsidRPr="00AF42A7">
        <w:t xml:space="preserve"> CTIA Reply Comments at 3-4; AT&amp;T Reply Comments at 2.  WIA initially suggested their own revisions to the definition of “site,” </w:t>
      </w:r>
      <w:r w:rsidRPr="00AF42A7">
        <w:rPr>
          <w:i/>
          <w:iCs/>
        </w:rPr>
        <w:t>see</w:t>
      </w:r>
      <w:r w:rsidRPr="00AF42A7">
        <w:t xml:space="preserve"> WIA Comments at 9, but it has since aligned with Crown Castle’s proposed revised definitions.  </w:t>
      </w:r>
      <w:r w:rsidRPr="00AF42A7">
        <w:rPr>
          <w:i/>
          <w:iCs/>
        </w:rPr>
        <w:t xml:space="preserve">See </w:t>
      </w:r>
      <w:r w:rsidRPr="00AF42A7">
        <w:t>WIA Reply Comments at 14</w:t>
      </w:r>
    </w:p>
  </w:footnote>
  <w:footnote w:id="275">
    <w:p w:rsidR="006908DB" w:rsidRPr="00AF42A7" w:rsidP="007A05B0" w14:paraId="504A73C2" w14:textId="62800BA8">
      <w:pPr>
        <w:pStyle w:val="FootnoteText"/>
      </w:pPr>
      <w:r w:rsidRPr="007C6360">
        <w:rPr>
          <w:rStyle w:val="FootnoteReference"/>
        </w:rPr>
        <w:footnoteRef/>
      </w:r>
      <w:r w:rsidRPr="007C6360">
        <w:t xml:space="preserve"> </w:t>
      </w:r>
      <w:r w:rsidRPr="00AF42A7">
        <w:rPr>
          <w:i/>
          <w:iCs/>
        </w:rPr>
        <w:t xml:space="preserve">See </w:t>
      </w:r>
      <w:r w:rsidRPr="00AF42A7">
        <w:t xml:space="preserve">Letter from Joshua Turner, Counsel to Crown Castle, to Marlene Dortch, Secretary, FCC, WT Docket No. 19-250, at 1 (filed Aug. 27, 2020).  Crown Castle’s proposal would also introduce more uncertainty than it purports to cure.  A locality may issue building, electrical, or other permits for a site without reviewing the eligible support structure on that site.  A permit may therefore not constitute a “proper review” of a site.  </w:t>
      </w:r>
      <w:r w:rsidRPr="00AF42A7">
        <w:rPr>
          <w:i/>
          <w:iCs/>
        </w:rPr>
        <w:t>See 2014 Infrastructure Order</w:t>
      </w:r>
      <w:r w:rsidRPr="00AF42A7">
        <w:t xml:space="preserve">, 29 FCC </w:t>
      </w:r>
      <w:r w:rsidRPr="00AF42A7">
        <w:t>Rcd</w:t>
      </w:r>
      <w:r w:rsidRPr="00AF42A7">
        <w:t xml:space="preserve"> at 12937, para. 174.  Review and approval of the eligible support structure, on the other hand, provides an opportunity for the locality to take into account an increase in the size of the site.</w:t>
      </w:r>
    </w:p>
  </w:footnote>
  <w:footnote w:id="276">
    <w:p w:rsidR="006908DB" w:rsidRPr="00AF42A7" w:rsidP="00B87E18" w14:paraId="76DA42E9" w14:textId="11017A50">
      <w:pPr>
        <w:pStyle w:val="FootnoteText"/>
      </w:pPr>
      <w:r w:rsidRPr="007C6360">
        <w:rPr>
          <w:rStyle w:val="FootnoteReference"/>
        </w:rPr>
        <w:footnoteRef/>
      </w:r>
      <w:r w:rsidRPr="007C6360">
        <w:t xml:space="preserve"> Letter from Nancy Werner, NATOA, to Marlene Dortch, Secretary, FCC, WT Docket No. 19-250, at 2 (filed Oct. 19, 2020).</w:t>
      </w:r>
    </w:p>
  </w:footnote>
  <w:footnote w:id="277">
    <w:p w:rsidR="006908DB" w:rsidRPr="00AF42A7" w:rsidP="00B87E18" w14:paraId="2E45D7E3" w14:textId="77777777">
      <w:pPr>
        <w:pStyle w:val="FootnoteText"/>
      </w:pPr>
      <w:r w:rsidRPr="007C6360">
        <w:rPr>
          <w:rStyle w:val="FootnoteReference"/>
        </w:rPr>
        <w:footnoteRef/>
      </w:r>
      <w:r w:rsidRPr="007C6360">
        <w:t xml:space="preserve"> </w:t>
      </w:r>
      <w:r w:rsidRPr="00AF42A7">
        <w:rPr>
          <w:i/>
          <w:iCs/>
        </w:rPr>
        <w:t>See, e.g.</w:t>
      </w:r>
      <w:r w:rsidRPr="00AF42A7">
        <w:t>, Crown Castle Reply Comments, Exhibit A (illustrating that proposed deployments will occupy only a portion of the permitted compound expansion).</w:t>
      </w:r>
    </w:p>
  </w:footnote>
  <w:footnote w:id="278">
    <w:p w:rsidR="006908DB" w:rsidRPr="00AF42A7" w:rsidP="007A05B0" w14:paraId="5347B3EA" w14:textId="77777777">
      <w:pPr>
        <w:pStyle w:val="FootnoteText"/>
      </w:pPr>
      <w:r w:rsidRPr="007C6360">
        <w:rPr>
          <w:rStyle w:val="FootnoteReference"/>
        </w:rPr>
        <w:footnoteRef/>
      </w:r>
      <w:r w:rsidRPr="007C6360">
        <w:t xml:space="preserve"> </w:t>
      </w:r>
      <w:r w:rsidRPr="00AF42A7">
        <w:rPr>
          <w:i/>
          <w:iCs/>
        </w:rPr>
        <w:t>See</w:t>
      </w:r>
      <w:r w:rsidRPr="00AF42A7">
        <w:t xml:space="preserve"> 5 U.S.C. § 801(a)(1)(A). </w:t>
      </w:r>
    </w:p>
  </w:footnote>
  <w:footnote w:id="279">
    <w:p w:rsidR="006908DB" w:rsidRPr="005713AE" w:rsidP="007A05B0" w14:paraId="00CDFB11" w14:textId="77777777">
      <w:pPr>
        <w:pStyle w:val="FootnoteText"/>
      </w:pPr>
      <w:r w:rsidRPr="007C6360">
        <w:rPr>
          <w:rStyle w:val="FootnoteReference"/>
        </w:rPr>
        <w:footnoteRef/>
      </w:r>
      <w:r w:rsidRPr="007C6360">
        <w:t xml:space="preserve"> </w:t>
      </w:r>
      <w:r w:rsidRPr="00AF42A7">
        <w:rPr>
          <w:i/>
          <w:iCs/>
        </w:rPr>
        <w:t xml:space="preserve">See </w:t>
      </w:r>
      <w:r w:rsidRPr="00AF42A7">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9F0428" w14:paraId="3D1E686C" w14:textId="5F1A199D">
    <w:pPr>
      <w:pStyle w:val="Header"/>
    </w:pPr>
    <w:r>
      <w:tab/>
      <w:t>Federal Communications Commission</w:t>
    </w:r>
    <w:r>
      <w:tab/>
      <w:t>FCC 20-153</w:t>
    </w:r>
  </w:p>
  <w:p w:rsidR="006908DB" w14:paraId="5298D8CB" w14:textId="65E4B51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o:lock v:ext="edit" aspectratio="t"/>
          <w10:wrap anchorx="margin"/>
        </v:rect>
      </w:pict>
    </w:r>
  </w:p>
  <w:p w:rsidR="006908DB" w:rsidRPr="00FF6322" w:rsidP="009F0428" w14:paraId="4CC1B5B8" w14:textId="4253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9F0428" w14:paraId="76E817C8" w14:textId="770C1651">
    <w:pPr>
      <w:pStyle w:val="Header"/>
    </w:pPr>
    <w:r>
      <w:rPr>
        <w:noProof/>
      </w:rPr>
      <w:pict>
        <v:rect id="_x0000_s2050" style="width:468pt;height:0.95pt;margin-top:12.65pt;margin-left:0.6pt;mso-position-horizontal-relative:margin;position:absolute;visibility:visible;z-index:-251655168" o:allowincell="f" fillcolor="black" stroked="f" strokeweight="0.05pt">
          <o:lock v:ext="edit" aspectratio="t"/>
          <w10:wrap anchorx="margin"/>
        </v:rect>
      </w:pict>
    </w:r>
    <w:r>
      <w:tab/>
      <w:t>Federal Communications Commission</w:t>
    </w:r>
    <w:r>
      <w:tab/>
      <w:t>FCC 20-153</w:t>
    </w:r>
  </w:p>
  <w:p w:rsidR="006908DB" w:rsidP="009F0428" w14:paraId="40E54EFD" w14:textId="6572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9F0428" w14:paraId="418D3ACE" w14:textId="5FF90DCA">
    <w:pPr>
      <w:pStyle w:val="Header"/>
    </w:pPr>
    <w:r>
      <w:tab/>
      <w:t>Federal Communications Commission</w:t>
    </w:r>
    <w:r>
      <w:tab/>
      <w:t>FCC 20-153</w:t>
    </w:r>
  </w:p>
  <w:p w:rsidR="006908DB" w:rsidRPr="00A2581E" w:rsidP="009F0428" w14:paraId="6215B95D" w14:textId="40EADE05">
    <w:pPr>
      <w:pStyle w:val="Header"/>
    </w:pPr>
    <w:r>
      <w:pict>
        <v:rect id="_x0000_s2051" style="width:468pt;height:0.95pt;margin-top:0;margin-left:0;mso-position-horizontal-relative:margin;position:absolute;visibility:visible;z-index:-251657216"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DB" w:rsidP="009F0428" w14:paraId="0577FE26" w14:textId="2C63042A">
    <w:pPr>
      <w:pStyle w:val="Header"/>
    </w:pPr>
    <w:r>
      <w:rPr>
        <w:noProof/>
      </w:rPr>
      <w:pict>
        <v:rect id="Rectangle 3" o:spid="_x0000_s2052"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p w:rsidR="006908DB" w:rsidP="009F0428" w14:paraId="675DB060" w14:textId="3321E036">
    <w:pPr>
      <w:pStyle w:val="Header"/>
    </w:pPr>
    <w:r>
      <w:t>DRAFT—INTERNAL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6F5944"/>
    <w:multiLevelType w:val="hybridMultilevel"/>
    <w:tmpl w:val="63C4E4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243206"/>
    <w:multiLevelType w:val="hybridMultilevel"/>
    <w:tmpl w:val="16BEE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FBA00BD"/>
    <w:multiLevelType w:val="hybridMultilevel"/>
    <w:tmpl w:val="13C01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8"/>
  </w:num>
  <w:num w:numId="9">
    <w:abstractNumId w:val="1"/>
  </w:num>
  <w:num w:numId="10">
    <w:abstractNumId w:val="4"/>
  </w:num>
  <w:num w:numId="11">
    <w:abstractNumId w:val="4"/>
  </w:num>
  <w:num w:numId="12">
    <w:abstractNumId w:val="7"/>
    <w:lvlOverride w:ilvl="0">
      <w:startOverride w:val="1"/>
    </w:lvlOverride>
  </w:num>
  <w:num w:numId="13">
    <w:abstractNumId w:val="7"/>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B9"/>
    <w:rsid w:val="000005B0"/>
    <w:rsid w:val="00000750"/>
    <w:rsid w:val="00000AB9"/>
    <w:rsid w:val="00000D67"/>
    <w:rsid w:val="000010B6"/>
    <w:rsid w:val="0000134E"/>
    <w:rsid w:val="00001384"/>
    <w:rsid w:val="0000145F"/>
    <w:rsid w:val="000017A9"/>
    <w:rsid w:val="00001871"/>
    <w:rsid w:val="000019CF"/>
    <w:rsid w:val="00001D45"/>
    <w:rsid w:val="00002362"/>
    <w:rsid w:val="0000247D"/>
    <w:rsid w:val="00002820"/>
    <w:rsid w:val="00002865"/>
    <w:rsid w:val="00002934"/>
    <w:rsid w:val="00002AFF"/>
    <w:rsid w:val="00002F0E"/>
    <w:rsid w:val="0000340F"/>
    <w:rsid w:val="00003814"/>
    <w:rsid w:val="00003A80"/>
    <w:rsid w:val="000040A7"/>
    <w:rsid w:val="000041B3"/>
    <w:rsid w:val="000041D4"/>
    <w:rsid w:val="000043B7"/>
    <w:rsid w:val="00004572"/>
    <w:rsid w:val="00004835"/>
    <w:rsid w:val="00004A4F"/>
    <w:rsid w:val="00004C0E"/>
    <w:rsid w:val="00004E84"/>
    <w:rsid w:val="00004FD8"/>
    <w:rsid w:val="00005019"/>
    <w:rsid w:val="0000513D"/>
    <w:rsid w:val="000051B2"/>
    <w:rsid w:val="00005300"/>
    <w:rsid w:val="0000537C"/>
    <w:rsid w:val="0000557E"/>
    <w:rsid w:val="0000583A"/>
    <w:rsid w:val="00005A27"/>
    <w:rsid w:val="00006091"/>
    <w:rsid w:val="000063DD"/>
    <w:rsid w:val="00006663"/>
    <w:rsid w:val="000068F9"/>
    <w:rsid w:val="00006DD1"/>
    <w:rsid w:val="00007558"/>
    <w:rsid w:val="0000759B"/>
    <w:rsid w:val="0000765D"/>
    <w:rsid w:val="00007675"/>
    <w:rsid w:val="000078B7"/>
    <w:rsid w:val="0000792A"/>
    <w:rsid w:val="00007D4F"/>
    <w:rsid w:val="000100A4"/>
    <w:rsid w:val="00010482"/>
    <w:rsid w:val="00010C07"/>
    <w:rsid w:val="00010C08"/>
    <w:rsid w:val="00010D89"/>
    <w:rsid w:val="00010DE0"/>
    <w:rsid w:val="000113D9"/>
    <w:rsid w:val="00011400"/>
    <w:rsid w:val="0001149C"/>
    <w:rsid w:val="000114D3"/>
    <w:rsid w:val="000116BF"/>
    <w:rsid w:val="00011782"/>
    <w:rsid w:val="000117AD"/>
    <w:rsid w:val="000117CB"/>
    <w:rsid w:val="00011888"/>
    <w:rsid w:val="000119A0"/>
    <w:rsid w:val="000119FF"/>
    <w:rsid w:val="00011DBF"/>
    <w:rsid w:val="00011FF5"/>
    <w:rsid w:val="00012025"/>
    <w:rsid w:val="000120C3"/>
    <w:rsid w:val="000121C8"/>
    <w:rsid w:val="00012BB2"/>
    <w:rsid w:val="00012C8B"/>
    <w:rsid w:val="00012CE8"/>
    <w:rsid w:val="00012E6C"/>
    <w:rsid w:val="00012FDB"/>
    <w:rsid w:val="00013330"/>
    <w:rsid w:val="00013CB6"/>
    <w:rsid w:val="00014004"/>
    <w:rsid w:val="00014009"/>
    <w:rsid w:val="000141A8"/>
    <w:rsid w:val="000141FF"/>
    <w:rsid w:val="000142AF"/>
    <w:rsid w:val="000143B0"/>
    <w:rsid w:val="000145B5"/>
    <w:rsid w:val="000149FA"/>
    <w:rsid w:val="00014FF7"/>
    <w:rsid w:val="000150F6"/>
    <w:rsid w:val="000152A1"/>
    <w:rsid w:val="00015389"/>
    <w:rsid w:val="0001551F"/>
    <w:rsid w:val="0001583E"/>
    <w:rsid w:val="0001597A"/>
    <w:rsid w:val="00015BA9"/>
    <w:rsid w:val="00015CBD"/>
    <w:rsid w:val="0001614C"/>
    <w:rsid w:val="000162AE"/>
    <w:rsid w:val="000164A0"/>
    <w:rsid w:val="0001661A"/>
    <w:rsid w:val="0001662E"/>
    <w:rsid w:val="00016648"/>
    <w:rsid w:val="00016797"/>
    <w:rsid w:val="0001680F"/>
    <w:rsid w:val="00016A27"/>
    <w:rsid w:val="0001742E"/>
    <w:rsid w:val="000174C2"/>
    <w:rsid w:val="000174F4"/>
    <w:rsid w:val="00017507"/>
    <w:rsid w:val="000175BA"/>
    <w:rsid w:val="00017AD2"/>
    <w:rsid w:val="00017C65"/>
    <w:rsid w:val="00017D44"/>
    <w:rsid w:val="00017F58"/>
    <w:rsid w:val="00017F7E"/>
    <w:rsid w:val="00020242"/>
    <w:rsid w:val="00020423"/>
    <w:rsid w:val="0002067C"/>
    <w:rsid w:val="0002070A"/>
    <w:rsid w:val="00020CCC"/>
    <w:rsid w:val="00020F98"/>
    <w:rsid w:val="0002117E"/>
    <w:rsid w:val="000213A1"/>
    <w:rsid w:val="000214FF"/>
    <w:rsid w:val="000215FC"/>
    <w:rsid w:val="000218F0"/>
    <w:rsid w:val="00021AA8"/>
    <w:rsid w:val="00021CE9"/>
    <w:rsid w:val="00021E55"/>
    <w:rsid w:val="00021EB1"/>
    <w:rsid w:val="00022178"/>
    <w:rsid w:val="0002229E"/>
    <w:rsid w:val="00022374"/>
    <w:rsid w:val="00022569"/>
    <w:rsid w:val="0002262A"/>
    <w:rsid w:val="00022690"/>
    <w:rsid w:val="00022C1D"/>
    <w:rsid w:val="00022D15"/>
    <w:rsid w:val="00022FAB"/>
    <w:rsid w:val="00023170"/>
    <w:rsid w:val="000234DC"/>
    <w:rsid w:val="0002370F"/>
    <w:rsid w:val="0002374F"/>
    <w:rsid w:val="0002382F"/>
    <w:rsid w:val="000238C1"/>
    <w:rsid w:val="000238E8"/>
    <w:rsid w:val="00023DCE"/>
    <w:rsid w:val="00023F32"/>
    <w:rsid w:val="00024340"/>
    <w:rsid w:val="000244DE"/>
    <w:rsid w:val="00024C75"/>
    <w:rsid w:val="00024D50"/>
    <w:rsid w:val="00024FB4"/>
    <w:rsid w:val="00025113"/>
    <w:rsid w:val="0002552F"/>
    <w:rsid w:val="00025565"/>
    <w:rsid w:val="00025730"/>
    <w:rsid w:val="00025ABF"/>
    <w:rsid w:val="00025E8D"/>
    <w:rsid w:val="00026028"/>
    <w:rsid w:val="00026104"/>
    <w:rsid w:val="0002621E"/>
    <w:rsid w:val="0002696D"/>
    <w:rsid w:val="00026A42"/>
    <w:rsid w:val="00026C2C"/>
    <w:rsid w:val="00026C2D"/>
    <w:rsid w:val="000271FB"/>
    <w:rsid w:val="000272B5"/>
    <w:rsid w:val="0002743A"/>
    <w:rsid w:val="00027B66"/>
    <w:rsid w:val="00027D58"/>
    <w:rsid w:val="000300CA"/>
    <w:rsid w:val="0003042D"/>
    <w:rsid w:val="000304CD"/>
    <w:rsid w:val="00030C13"/>
    <w:rsid w:val="00030CBC"/>
    <w:rsid w:val="00030EDA"/>
    <w:rsid w:val="00031710"/>
    <w:rsid w:val="000318C1"/>
    <w:rsid w:val="00032080"/>
    <w:rsid w:val="000320D7"/>
    <w:rsid w:val="00032105"/>
    <w:rsid w:val="000322DD"/>
    <w:rsid w:val="0003237F"/>
    <w:rsid w:val="00032502"/>
    <w:rsid w:val="00032590"/>
    <w:rsid w:val="000325B9"/>
    <w:rsid w:val="00032699"/>
    <w:rsid w:val="00032942"/>
    <w:rsid w:val="00032E4E"/>
    <w:rsid w:val="00032FDC"/>
    <w:rsid w:val="00033112"/>
    <w:rsid w:val="00033147"/>
    <w:rsid w:val="000332C7"/>
    <w:rsid w:val="00033BF1"/>
    <w:rsid w:val="00033C26"/>
    <w:rsid w:val="00033DB9"/>
    <w:rsid w:val="00033F9A"/>
    <w:rsid w:val="0003431D"/>
    <w:rsid w:val="00034428"/>
    <w:rsid w:val="000344C2"/>
    <w:rsid w:val="000344CF"/>
    <w:rsid w:val="0003466F"/>
    <w:rsid w:val="0003478F"/>
    <w:rsid w:val="0003498F"/>
    <w:rsid w:val="000349C3"/>
    <w:rsid w:val="00034A0F"/>
    <w:rsid w:val="00034BA5"/>
    <w:rsid w:val="00034E29"/>
    <w:rsid w:val="00034FBF"/>
    <w:rsid w:val="0003544D"/>
    <w:rsid w:val="00035583"/>
    <w:rsid w:val="000355F4"/>
    <w:rsid w:val="0003593C"/>
    <w:rsid w:val="00035992"/>
    <w:rsid w:val="00035AD7"/>
    <w:rsid w:val="00035DD4"/>
    <w:rsid w:val="00035F1C"/>
    <w:rsid w:val="00036039"/>
    <w:rsid w:val="00036252"/>
    <w:rsid w:val="00036A22"/>
    <w:rsid w:val="00036ADE"/>
    <w:rsid w:val="00036B3A"/>
    <w:rsid w:val="00036CB2"/>
    <w:rsid w:val="00036CD9"/>
    <w:rsid w:val="00036D96"/>
    <w:rsid w:val="00036EA2"/>
    <w:rsid w:val="00037072"/>
    <w:rsid w:val="000374BC"/>
    <w:rsid w:val="00037670"/>
    <w:rsid w:val="000377B1"/>
    <w:rsid w:val="00037A23"/>
    <w:rsid w:val="00037CEE"/>
    <w:rsid w:val="00037F90"/>
    <w:rsid w:val="00037FB8"/>
    <w:rsid w:val="0004014C"/>
    <w:rsid w:val="0004036C"/>
    <w:rsid w:val="000407A0"/>
    <w:rsid w:val="000407AA"/>
    <w:rsid w:val="000408AE"/>
    <w:rsid w:val="00040A4C"/>
    <w:rsid w:val="00040CA9"/>
    <w:rsid w:val="00040D2C"/>
    <w:rsid w:val="00040EDF"/>
    <w:rsid w:val="00041013"/>
    <w:rsid w:val="00041184"/>
    <w:rsid w:val="00041261"/>
    <w:rsid w:val="000413BA"/>
    <w:rsid w:val="000415E2"/>
    <w:rsid w:val="000418FD"/>
    <w:rsid w:val="000419BA"/>
    <w:rsid w:val="00041A05"/>
    <w:rsid w:val="00041DCF"/>
    <w:rsid w:val="00041DD5"/>
    <w:rsid w:val="00041FD1"/>
    <w:rsid w:val="000423BB"/>
    <w:rsid w:val="0004244E"/>
    <w:rsid w:val="000426DD"/>
    <w:rsid w:val="00042DDE"/>
    <w:rsid w:val="00043014"/>
    <w:rsid w:val="0004301B"/>
    <w:rsid w:val="00043167"/>
    <w:rsid w:val="00043231"/>
    <w:rsid w:val="000432BF"/>
    <w:rsid w:val="00043771"/>
    <w:rsid w:val="00043778"/>
    <w:rsid w:val="00043A3B"/>
    <w:rsid w:val="00043A9A"/>
    <w:rsid w:val="0004406B"/>
    <w:rsid w:val="000441FD"/>
    <w:rsid w:val="00044353"/>
    <w:rsid w:val="00044A20"/>
    <w:rsid w:val="00044BF3"/>
    <w:rsid w:val="00044D76"/>
    <w:rsid w:val="00044E00"/>
    <w:rsid w:val="00044EC8"/>
    <w:rsid w:val="00044F0E"/>
    <w:rsid w:val="00045131"/>
    <w:rsid w:val="0004516E"/>
    <w:rsid w:val="000454EC"/>
    <w:rsid w:val="000456E3"/>
    <w:rsid w:val="00045D24"/>
    <w:rsid w:val="00045DFB"/>
    <w:rsid w:val="000461A3"/>
    <w:rsid w:val="00046391"/>
    <w:rsid w:val="000464F0"/>
    <w:rsid w:val="000466D6"/>
    <w:rsid w:val="0004692C"/>
    <w:rsid w:val="00046B61"/>
    <w:rsid w:val="00046DC1"/>
    <w:rsid w:val="00046DD5"/>
    <w:rsid w:val="0004730B"/>
    <w:rsid w:val="00047406"/>
    <w:rsid w:val="000475BA"/>
    <w:rsid w:val="00047828"/>
    <w:rsid w:val="00047AED"/>
    <w:rsid w:val="00047C15"/>
    <w:rsid w:val="00047D6D"/>
    <w:rsid w:val="000503E9"/>
    <w:rsid w:val="00050A7E"/>
    <w:rsid w:val="00050D26"/>
    <w:rsid w:val="00050DEE"/>
    <w:rsid w:val="00050F81"/>
    <w:rsid w:val="00051382"/>
    <w:rsid w:val="00051674"/>
    <w:rsid w:val="000517AE"/>
    <w:rsid w:val="0005188C"/>
    <w:rsid w:val="00051893"/>
    <w:rsid w:val="00051D22"/>
    <w:rsid w:val="00051D95"/>
    <w:rsid w:val="00051DA9"/>
    <w:rsid w:val="000520CD"/>
    <w:rsid w:val="000520EA"/>
    <w:rsid w:val="00052184"/>
    <w:rsid w:val="000523CC"/>
    <w:rsid w:val="0005243D"/>
    <w:rsid w:val="00052718"/>
    <w:rsid w:val="00052781"/>
    <w:rsid w:val="00052C15"/>
    <w:rsid w:val="00052CCE"/>
    <w:rsid w:val="00053186"/>
    <w:rsid w:val="00053395"/>
    <w:rsid w:val="0005377C"/>
    <w:rsid w:val="0005380F"/>
    <w:rsid w:val="00053977"/>
    <w:rsid w:val="00054844"/>
    <w:rsid w:val="00054F6A"/>
    <w:rsid w:val="00054FA6"/>
    <w:rsid w:val="0005506E"/>
    <w:rsid w:val="000551E7"/>
    <w:rsid w:val="000553C2"/>
    <w:rsid w:val="00055585"/>
    <w:rsid w:val="000555C6"/>
    <w:rsid w:val="000555CF"/>
    <w:rsid w:val="00055B88"/>
    <w:rsid w:val="0005600D"/>
    <w:rsid w:val="000561BB"/>
    <w:rsid w:val="000562C4"/>
    <w:rsid w:val="00056306"/>
    <w:rsid w:val="0005649E"/>
    <w:rsid w:val="00056807"/>
    <w:rsid w:val="00056F0C"/>
    <w:rsid w:val="00056F77"/>
    <w:rsid w:val="00057082"/>
    <w:rsid w:val="000574B1"/>
    <w:rsid w:val="000577BD"/>
    <w:rsid w:val="00057A91"/>
    <w:rsid w:val="00057B2F"/>
    <w:rsid w:val="00057B89"/>
    <w:rsid w:val="00057C2D"/>
    <w:rsid w:val="00057E8C"/>
    <w:rsid w:val="00057EA9"/>
    <w:rsid w:val="00057EAA"/>
    <w:rsid w:val="00057EFF"/>
    <w:rsid w:val="00057F4F"/>
    <w:rsid w:val="00060127"/>
    <w:rsid w:val="000601CA"/>
    <w:rsid w:val="000604AA"/>
    <w:rsid w:val="000608CF"/>
    <w:rsid w:val="00060DEE"/>
    <w:rsid w:val="00060F4C"/>
    <w:rsid w:val="0006102A"/>
    <w:rsid w:val="000610F4"/>
    <w:rsid w:val="000613D5"/>
    <w:rsid w:val="000615BD"/>
    <w:rsid w:val="00061610"/>
    <w:rsid w:val="000617EB"/>
    <w:rsid w:val="000618D5"/>
    <w:rsid w:val="00061AE9"/>
    <w:rsid w:val="00061AF2"/>
    <w:rsid w:val="000622B3"/>
    <w:rsid w:val="0006234F"/>
    <w:rsid w:val="00062420"/>
    <w:rsid w:val="00062E43"/>
    <w:rsid w:val="00062E79"/>
    <w:rsid w:val="00062F0D"/>
    <w:rsid w:val="000630FB"/>
    <w:rsid w:val="00063105"/>
    <w:rsid w:val="000633FB"/>
    <w:rsid w:val="00063B16"/>
    <w:rsid w:val="00063F36"/>
    <w:rsid w:val="00064362"/>
    <w:rsid w:val="000645A2"/>
    <w:rsid w:val="000645F2"/>
    <w:rsid w:val="00064629"/>
    <w:rsid w:val="000650EA"/>
    <w:rsid w:val="00065133"/>
    <w:rsid w:val="00065250"/>
    <w:rsid w:val="00065279"/>
    <w:rsid w:val="0006561F"/>
    <w:rsid w:val="0006582C"/>
    <w:rsid w:val="000658D7"/>
    <w:rsid w:val="000658F0"/>
    <w:rsid w:val="00065BCD"/>
    <w:rsid w:val="00065C73"/>
    <w:rsid w:val="00065DCD"/>
    <w:rsid w:val="0006608E"/>
    <w:rsid w:val="00066647"/>
    <w:rsid w:val="00066730"/>
    <w:rsid w:val="00066ADE"/>
    <w:rsid w:val="00066DCF"/>
    <w:rsid w:val="00066E60"/>
    <w:rsid w:val="000670C1"/>
    <w:rsid w:val="000672B5"/>
    <w:rsid w:val="00067393"/>
    <w:rsid w:val="00067528"/>
    <w:rsid w:val="000675AA"/>
    <w:rsid w:val="00067746"/>
    <w:rsid w:val="0006793C"/>
    <w:rsid w:val="00067BC2"/>
    <w:rsid w:val="00067C6A"/>
    <w:rsid w:val="000703E2"/>
    <w:rsid w:val="00070781"/>
    <w:rsid w:val="00070828"/>
    <w:rsid w:val="00070832"/>
    <w:rsid w:val="00070A92"/>
    <w:rsid w:val="00070B3F"/>
    <w:rsid w:val="00070D2D"/>
    <w:rsid w:val="00070D7B"/>
    <w:rsid w:val="00070DA4"/>
    <w:rsid w:val="00070E26"/>
    <w:rsid w:val="00070E93"/>
    <w:rsid w:val="00070F0F"/>
    <w:rsid w:val="00071467"/>
    <w:rsid w:val="00071724"/>
    <w:rsid w:val="000717D2"/>
    <w:rsid w:val="00071878"/>
    <w:rsid w:val="00071968"/>
    <w:rsid w:val="00071CE6"/>
    <w:rsid w:val="00071DDC"/>
    <w:rsid w:val="00071F07"/>
    <w:rsid w:val="00071F18"/>
    <w:rsid w:val="00071F60"/>
    <w:rsid w:val="0007200B"/>
    <w:rsid w:val="000723AE"/>
    <w:rsid w:val="0007251F"/>
    <w:rsid w:val="00072814"/>
    <w:rsid w:val="00072A99"/>
    <w:rsid w:val="00072D3E"/>
    <w:rsid w:val="00072F4D"/>
    <w:rsid w:val="00072FC4"/>
    <w:rsid w:val="0007302D"/>
    <w:rsid w:val="000731F3"/>
    <w:rsid w:val="0007350C"/>
    <w:rsid w:val="0007362F"/>
    <w:rsid w:val="000737CA"/>
    <w:rsid w:val="000737D1"/>
    <w:rsid w:val="0007425D"/>
    <w:rsid w:val="0007480B"/>
    <w:rsid w:val="000749B2"/>
    <w:rsid w:val="00074C43"/>
    <w:rsid w:val="00074D86"/>
    <w:rsid w:val="00074E6F"/>
    <w:rsid w:val="00075180"/>
    <w:rsid w:val="00075215"/>
    <w:rsid w:val="00075CEE"/>
    <w:rsid w:val="00076D9B"/>
    <w:rsid w:val="00076EE8"/>
    <w:rsid w:val="00076FE9"/>
    <w:rsid w:val="00077015"/>
    <w:rsid w:val="000773D1"/>
    <w:rsid w:val="000774FE"/>
    <w:rsid w:val="000777EC"/>
    <w:rsid w:val="000804EF"/>
    <w:rsid w:val="000807B7"/>
    <w:rsid w:val="00080C07"/>
    <w:rsid w:val="00080F10"/>
    <w:rsid w:val="00081021"/>
    <w:rsid w:val="00081467"/>
    <w:rsid w:val="000816E5"/>
    <w:rsid w:val="0008171C"/>
    <w:rsid w:val="0008175E"/>
    <w:rsid w:val="00081928"/>
    <w:rsid w:val="00081E45"/>
    <w:rsid w:val="00081F45"/>
    <w:rsid w:val="00082277"/>
    <w:rsid w:val="00082294"/>
    <w:rsid w:val="000823EB"/>
    <w:rsid w:val="000827FD"/>
    <w:rsid w:val="00082991"/>
    <w:rsid w:val="00082FE9"/>
    <w:rsid w:val="000834B7"/>
    <w:rsid w:val="00083524"/>
    <w:rsid w:val="00083553"/>
    <w:rsid w:val="0008363D"/>
    <w:rsid w:val="00083F45"/>
    <w:rsid w:val="000840F7"/>
    <w:rsid w:val="0008413E"/>
    <w:rsid w:val="00084224"/>
    <w:rsid w:val="00084429"/>
    <w:rsid w:val="00084595"/>
    <w:rsid w:val="000847A1"/>
    <w:rsid w:val="000847CD"/>
    <w:rsid w:val="0008485F"/>
    <w:rsid w:val="00084B10"/>
    <w:rsid w:val="00084BF7"/>
    <w:rsid w:val="00084D55"/>
    <w:rsid w:val="00084EAC"/>
    <w:rsid w:val="000850BE"/>
    <w:rsid w:val="000850DB"/>
    <w:rsid w:val="0008535F"/>
    <w:rsid w:val="000853C0"/>
    <w:rsid w:val="0008595E"/>
    <w:rsid w:val="000859AA"/>
    <w:rsid w:val="00085E62"/>
    <w:rsid w:val="00086042"/>
    <w:rsid w:val="000860C4"/>
    <w:rsid w:val="000861E3"/>
    <w:rsid w:val="000865EA"/>
    <w:rsid w:val="00086640"/>
    <w:rsid w:val="0008687A"/>
    <w:rsid w:val="00086891"/>
    <w:rsid w:val="0008691B"/>
    <w:rsid w:val="00086AE4"/>
    <w:rsid w:val="00086C2F"/>
    <w:rsid w:val="00086CD6"/>
    <w:rsid w:val="00086E50"/>
    <w:rsid w:val="000871A0"/>
    <w:rsid w:val="000875BF"/>
    <w:rsid w:val="00087921"/>
    <w:rsid w:val="00087CF6"/>
    <w:rsid w:val="000901B2"/>
    <w:rsid w:val="000901E1"/>
    <w:rsid w:val="00090283"/>
    <w:rsid w:val="000903CE"/>
    <w:rsid w:val="0009040A"/>
    <w:rsid w:val="000904E4"/>
    <w:rsid w:val="0009061B"/>
    <w:rsid w:val="000908C3"/>
    <w:rsid w:val="00090A2A"/>
    <w:rsid w:val="00090EB4"/>
    <w:rsid w:val="00090F4C"/>
    <w:rsid w:val="00091497"/>
    <w:rsid w:val="00091710"/>
    <w:rsid w:val="00091AA9"/>
    <w:rsid w:val="00091BE1"/>
    <w:rsid w:val="00091F1B"/>
    <w:rsid w:val="000924EC"/>
    <w:rsid w:val="000926DF"/>
    <w:rsid w:val="000926E0"/>
    <w:rsid w:val="00092710"/>
    <w:rsid w:val="00092770"/>
    <w:rsid w:val="00092B2B"/>
    <w:rsid w:val="00092C86"/>
    <w:rsid w:val="00092E0B"/>
    <w:rsid w:val="0009343A"/>
    <w:rsid w:val="0009366C"/>
    <w:rsid w:val="00094151"/>
    <w:rsid w:val="000945B4"/>
    <w:rsid w:val="000945F7"/>
    <w:rsid w:val="00094EB4"/>
    <w:rsid w:val="00094FC3"/>
    <w:rsid w:val="000954E4"/>
    <w:rsid w:val="00095817"/>
    <w:rsid w:val="00095A48"/>
    <w:rsid w:val="00095A88"/>
    <w:rsid w:val="00095CCE"/>
    <w:rsid w:val="00096025"/>
    <w:rsid w:val="0009629C"/>
    <w:rsid w:val="00096373"/>
    <w:rsid w:val="00096454"/>
    <w:rsid w:val="00096C0F"/>
    <w:rsid w:val="00096D8C"/>
    <w:rsid w:val="000971E5"/>
    <w:rsid w:val="0009727C"/>
    <w:rsid w:val="000976D4"/>
    <w:rsid w:val="000978B8"/>
    <w:rsid w:val="00097CB5"/>
    <w:rsid w:val="00097CCF"/>
    <w:rsid w:val="00097E18"/>
    <w:rsid w:val="000A0B49"/>
    <w:rsid w:val="000A0CEF"/>
    <w:rsid w:val="000A10D3"/>
    <w:rsid w:val="000A126F"/>
    <w:rsid w:val="000A12B1"/>
    <w:rsid w:val="000A1575"/>
    <w:rsid w:val="000A1603"/>
    <w:rsid w:val="000A161B"/>
    <w:rsid w:val="000A1C24"/>
    <w:rsid w:val="000A1D8F"/>
    <w:rsid w:val="000A1EE3"/>
    <w:rsid w:val="000A234E"/>
    <w:rsid w:val="000A29FD"/>
    <w:rsid w:val="000A2A4A"/>
    <w:rsid w:val="000A2B05"/>
    <w:rsid w:val="000A3208"/>
    <w:rsid w:val="000A3330"/>
    <w:rsid w:val="000A3946"/>
    <w:rsid w:val="000A3A1D"/>
    <w:rsid w:val="000A3D88"/>
    <w:rsid w:val="000A3FA9"/>
    <w:rsid w:val="000A40C2"/>
    <w:rsid w:val="000A40DD"/>
    <w:rsid w:val="000A40ED"/>
    <w:rsid w:val="000A443A"/>
    <w:rsid w:val="000A45F1"/>
    <w:rsid w:val="000A498E"/>
    <w:rsid w:val="000A4A2B"/>
    <w:rsid w:val="000A4A52"/>
    <w:rsid w:val="000A4ACF"/>
    <w:rsid w:val="000A4D7B"/>
    <w:rsid w:val="000A51A5"/>
    <w:rsid w:val="000A524F"/>
    <w:rsid w:val="000A531C"/>
    <w:rsid w:val="000A5451"/>
    <w:rsid w:val="000A546A"/>
    <w:rsid w:val="000A548E"/>
    <w:rsid w:val="000A5871"/>
    <w:rsid w:val="000A58AD"/>
    <w:rsid w:val="000A6043"/>
    <w:rsid w:val="000A6489"/>
    <w:rsid w:val="000A664B"/>
    <w:rsid w:val="000A6749"/>
    <w:rsid w:val="000A6BB8"/>
    <w:rsid w:val="000A6E9A"/>
    <w:rsid w:val="000A7040"/>
    <w:rsid w:val="000A7106"/>
    <w:rsid w:val="000A722E"/>
    <w:rsid w:val="000A74D7"/>
    <w:rsid w:val="000A758B"/>
    <w:rsid w:val="000A799F"/>
    <w:rsid w:val="000A7C39"/>
    <w:rsid w:val="000A7E03"/>
    <w:rsid w:val="000B05D4"/>
    <w:rsid w:val="000B08DA"/>
    <w:rsid w:val="000B0B20"/>
    <w:rsid w:val="000B0BD9"/>
    <w:rsid w:val="000B0D8E"/>
    <w:rsid w:val="000B107D"/>
    <w:rsid w:val="000B1634"/>
    <w:rsid w:val="000B1B7D"/>
    <w:rsid w:val="000B1DB1"/>
    <w:rsid w:val="000B1F59"/>
    <w:rsid w:val="000B2051"/>
    <w:rsid w:val="000B23C6"/>
    <w:rsid w:val="000B25B8"/>
    <w:rsid w:val="000B2643"/>
    <w:rsid w:val="000B2738"/>
    <w:rsid w:val="000B278C"/>
    <w:rsid w:val="000B284F"/>
    <w:rsid w:val="000B2879"/>
    <w:rsid w:val="000B2AFF"/>
    <w:rsid w:val="000B2B3C"/>
    <w:rsid w:val="000B2D2F"/>
    <w:rsid w:val="000B2E50"/>
    <w:rsid w:val="000B2E8F"/>
    <w:rsid w:val="000B3557"/>
    <w:rsid w:val="000B36E5"/>
    <w:rsid w:val="000B3887"/>
    <w:rsid w:val="000B391F"/>
    <w:rsid w:val="000B3CA8"/>
    <w:rsid w:val="000B4870"/>
    <w:rsid w:val="000B4975"/>
    <w:rsid w:val="000B49A1"/>
    <w:rsid w:val="000B4AFC"/>
    <w:rsid w:val="000B4EFB"/>
    <w:rsid w:val="000B4F17"/>
    <w:rsid w:val="000B4F54"/>
    <w:rsid w:val="000B4F98"/>
    <w:rsid w:val="000B51FF"/>
    <w:rsid w:val="000B523A"/>
    <w:rsid w:val="000B527E"/>
    <w:rsid w:val="000B5562"/>
    <w:rsid w:val="000B556C"/>
    <w:rsid w:val="000B55AE"/>
    <w:rsid w:val="000B5D01"/>
    <w:rsid w:val="000B5F15"/>
    <w:rsid w:val="000B60CC"/>
    <w:rsid w:val="000B6185"/>
    <w:rsid w:val="000B65B0"/>
    <w:rsid w:val="000B65B4"/>
    <w:rsid w:val="000B675B"/>
    <w:rsid w:val="000B682D"/>
    <w:rsid w:val="000B6863"/>
    <w:rsid w:val="000B6B15"/>
    <w:rsid w:val="000B6BF3"/>
    <w:rsid w:val="000B7137"/>
    <w:rsid w:val="000B7593"/>
    <w:rsid w:val="000B7855"/>
    <w:rsid w:val="000B7AF5"/>
    <w:rsid w:val="000B7B6E"/>
    <w:rsid w:val="000B7B95"/>
    <w:rsid w:val="000B7D60"/>
    <w:rsid w:val="000C0125"/>
    <w:rsid w:val="000C0239"/>
    <w:rsid w:val="000C02C0"/>
    <w:rsid w:val="000C030E"/>
    <w:rsid w:val="000C0443"/>
    <w:rsid w:val="000C0478"/>
    <w:rsid w:val="000C0692"/>
    <w:rsid w:val="000C0969"/>
    <w:rsid w:val="000C0B65"/>
    <w:rsid w:val="000C0CA3"/>
    <w:rsid w:val="000C0DDE"/>
    <w:rsid w:val="000C0E0A"/>
    <w:rsid w:val="000C0EA4"/>
    <w:rsid w:val="000C1040"/>
    <w:rsid w:val="000C10BB"/>
    <w:rsid w:val="000C1223"/>
    <w:rsid w:val="000C1330"/>
    <w:rsid w:val="000C14D0"/>
    <w:rsid w:val="000C14D4"/>
    <w:rsid w:val="000C1C1E"/>
    <w:rsid w:val="000C1ED2"/>
    <w:rsid w:val="000C208B"/>
    <w:rsid w:val="000C21B6"/>
    <w:rsid w:val="000C25C9"/>
    <w:rsid w:val="000C262E"/>
    <w:rsid w:val="000C275B"/>
    <w:rsid w:val="000C2D32"/>
    <w:rsid w:val="000C2D7C"/>
    <w:rsid w:val="000C2E0F"/>
    <w:rsid w:val="000C304B"/>
    <w:rsid w:val="000C30BC"/>
    <w:rsid w:val="000C37D5"/>
    <w:rsid w:val="000C39A6"/>
    <w:rsid w:val="000C3F9A"/>
    <w:rsid w:val="000C3FAB"/>
    <w:rsid w:val="000C41A0"/>
    <w:rsid w:val="000C43ED"/>
    <w:rsid w:val="000C443D"/>
    <w:rsid w:val="000C4508"/>
    <w:rsid w:val="000C467C"/>
    <w:rsid w:val="000C4744"/>
    <w:rsid w:val="000C4927"/>
    <w:rsid w:val="000C5026"/>
    <w:rsid w:val="000C51DD"/>
    <w:rsid w:val="000C5974"/>
    <w:rsid w:val="000C5B97"/>
    <w:rsid w:val="000C5DC9"/>
    <w:rsid w:val="000C5E01"/>
    <w:rsid w:val="000C67C3"/>
    <w:rsid w:val="000C6B16"/>
    <w:rsid w:val="000C6C77"/>
    <w:rsid w:val="000C6CD5"/>
    <w:rsid w:val="000C6E0F"/>
    <w:rsid w:val="000C6FCF"/>
    <w:rsid w:val="000C796A"/>
    <w:rsid w:val="000C79C7"/>
    <w:rsid w:val="000C7C90"/>
    <w:rsid w:val="000C7CE4"/>
    <w:rsid w:val="000C7E58"/>
    <w:rsid w:val="000C7EA6"/>
    <w:rsid w:val="000C7EC0"/>
    <w:rsid w:val="000D01C1"/>
    <w:rsid w:val="000D02EE"/>
    <w:rsid w:val="000D034B"/>
    <w:rsid w:val="000D045C"/>
    <w:rsid w:val="000D098D"/>
    <w:rsid w:val="000D0C09"/>
    <w:rsid w:val="000D0CBC"/>
    <w:rsid w:val="000D0EBE"/>
    <w:rsid w:val="000D0FE1"/>
    <w:rsid w:val="000D100C"/>
    <w:rsid w:val="000D13FD"/>
    <w:rsid w:val="000D14F0"/>
    <w:rsid w:val="000D15AE"/>
    <w:rsid w:val="000D2741"/>
    <w:rsid w:val="000D27E8"/>
    <w:rsid w:val="000D2BE6"/>
    <w:rsid w:val="000D2C57"/>
    <w:rsid w:val="000D2C94"/>
    <w:rsid w:val="000D3A4E"/>
    <w:rsid w:val="000D3A8E"/>
    <w:rsid w:val="000D3AA8"/>
    <w:rsid w:val="000D3C11"/>
    <w:rsid w:val="000D3C7D"/>
    <w:rsid w:val="000D3EB5"/>
    <w:rsid w:val="000D4204"/>
    <w:rsid w:val="000D425F"/>
    <w:rsid w:val="000D4361"/>
    <w:rsid w:val="000D45BD"/>
    <w:rsid w:val="000D473F"/>
    <w:rsid w:val="000D4813"/>
    <w:rsid w:val="000D48D7"/>
    <w:rsid w:val="000D48E5"/>
    <w:rsid w:val="000D4C27"/>
    <w:rsid w:val="000D4D1A"/>
    <w:rsid w:val="000D4D4F"/>
    <w:rsid w:val="000D4FA6"/>
    <w:rsid w:val="000D5122"/>
    <w:rsid w:val="000D54B2"/>
    <w:rsid w:val="000D5745"/>
    <w:rsid w:val="000D5842"/>
    <w:rsid w:val="000D598E"/>
    <w:rsid w:val="000D5AB1"/>
    <w:rsid w:val="000D5FD1"/>
    <w:rsid w:val="000D6033"/>
    <w:rsid w:val="000D63F8"/>
    <w:rsid w:val="000D6874"/>
    <w:rsid w:val="000D6B6F"/>
    <w:rsid w:val="000D6CE3"/>
    <w:rsid w:val="000D712F"/>
    <w:rsid w:val="000D74AB"/>
    <w:rsid w:val="000D7B58"/>
    <w:rsid w:val="000D7BE8"/>
    <w:rsid w:val="000D7E9F"/>
    <w:rsid w:val="000E0117"/>
    <w:rsid w:val="000E0276"/>
    <w:rsid w:val="000E0310"/>
    <w:rsid w:val="000E05FE"/>
    <w:rsid w:val="000E0652"/>
    <w:rsid w:val="000E068F"/>
    <w:rsid w:val="000E06C2"/>
    <w:rsid w:val="000E0C73"/>
    <w:rsid w:val="000E0DA0"/>
    <w:rsid w:val="000E0F52"/>
    <w:rsid w:val="000E10A0"/>
    <w:rsid w:val="000E151E"/>
    <w:rsid w:val="000E227A"/>
    <w:rsid w:val="000E2326"/>
    <w:rsid w:val="000E2547"/>
    <w:rsid w:val="000E26CB"/>
    <w:rsid w:val="000E2DC6"/>
    <w:rsid w:val="000E2DDB"/>
    <w:rsid w:val="000E2E3D"/>
    <w:rsid w:val="000E33F5"/>
    <w:rsid w:val="000E386C"/>
    <w:rsid w:val="000E38D1"/>
    <w:rsid w:val="000E3948"/>
    <w:rsid w:val="000E3A4E"/>
    <w:rsid w:val="000E3C2C"/>
    <w:rsid w:val="000E3C94"/>
    <w:rsid w:val="000E3D42"/>
    <w:rsid w:val="000E3EBC"/>
    <w:rsid w:val="000E4253"/>
    <w:rsid w:val="000E434B"/>
    <w:rsid w:val="000E4467"/>
    <w:rsid w:val="000E44C4"/>
    <w:rsid w:val="000E460B"/>
    <w:rsid w:val="000E48E0"/>
    <w:rsid w:val="000E4CB1"/>
    <w:rsid w:val="000E4CD0"/>
    <w:rsid w:val="000E4DBA"/>
    <w:rsid w:val="000E4EBC"/>
    <w:rsid w:val="000E507C"/>
    <w:rsid w:val="000E5171"/>
    <w:rsid w:val="000E5549"/>
    <w:rsid w:val="000E574A"/>
    <w:rsid w:val="000E57C4"/>
    <w:rsid w:val="000E5A5A"/>
    <w:rsid w:val="000E5CD8"/>
    <w:rsid w:val="000E6009"/>
    <w:rsid w:val="000E60EB"/>
    <w:rsid w:val="000E6197"/>
    <w:rsid w:val="000E6785"/>
    <w:rsid w:val="000E67F8"/>
    <w:rsid w:val="000E6866"/>
    <w:rsid w:val="000E6956"/>
    <w:rsid w:val="000E6B56"/>
    <w:rsid w:val="000E6B94"/>
    <w:rsid w:val="000E6D20"/>
    <w:rsid w:val="000E6E1A"/>
    <w:rsid w:val="000E7B15"/>
    <w:rsid w:val="000E7BAA"/>
    <w:rsid w:val="000E7D9D"/>
    <w:rsid w:val="000E7E2E"/>
    <w:rsid w:val="000E7E94"/>
    <w:rsid w:val="000F01B2"/>
    <w:rsid w:val="000F0374"/>
    <w:rsid w:val="000F05C6"/>
    <w:rsid w:val="000F07F9"/>
    <w:rsid w:val="000F0E6D"/>
    <w:rsid w:val="000F15FD"/>
    <w:rsid w:val="000F166E"/>
    <w:rsid w:val="000F1907"/>
    <w:rsid w:val="000F1CE6"/>
    <w:rsid w:val="000F212B"/>
    <w:rsid w:val="000F23D1"/>
    <w:rsid w:val="000F278B"/>
    <w:rsid w:val="000F28C8"/>
    <w:rsid w:val="000F2B7F"/>
    <w:rsid w:val="000F2E17"/>
    <w:rsid w:val="000F3092"/>
    <w:rsid w:val="000F3297"/>
    <w:rsid w:val="000F33FB"/>
    <w:rsid w:val="000F3656"/>
    <w:rsid w:val="000F367F"/>
    <w:rsid w:val="000F3BD9"/>
    <w:rsid w:val="000F4126"/>
    <w:rsid w:val="000F4151"/>
    <w:rsid w:val="000F42B9"/>
    <w:rsid w:val="000F4345"/>
    <w:rsid w:val="000F4441"/>
    <w:rsid w:val="000F44DC"/>
    <w:rsid w:val="000F4668"/>
    <w:rsid w:val="000F466B"/>
    <w:rsid w:val="000F49AC"/>
    <w:rsid w:val="000F4D7D"/>
    <w:rsid w:val="000F5084"/>
    <w:rsid w:val="000F5678"/>
    <w:rsid w:val="000F567D"/>
    <w:rsid w:val="000F573F"/>
    <w:rsid w:val="000F57AF"/>
    <w:rsid w:val="000F5A97"/>
    <w:rsid w:val="000F5CA6"/>
    <w:rsid w:val="000F5CF0"/>
    <w:rsid w:val="000F5D35"/>
    <w:rsid w:val="000F5E00"/>
    <w:rsid w:val="000F5E03"/>
    <w:rsid w:val="000F603A"/>
    <w:rsid w:val="000F6463"/>
    <w:rsid w:val="000F6574"/>
    <w:rsid w:val="000F67F2"/>
    <w:rsid w:val="000F6D32"/>
    <w:rsid w:val="000F720A"/>
    <w:rsid w:val="000F72D0"/>
    <w:rsid w:val="000F77B1"/>
    <w:rsid w:val="000F7A0B"/>
    <w:rsid w:val="000F7A22"/>
    <w:rsid w:val="000F7A84"/>
    <w:rsid w:val="000F7ACF"/>
    <w:rsid w:val="000F7AED"/>
    <w:rsid w:val="000F7B08"/>
    <w:rsid w:val="000F7E91"/>
    <w:rsid w:val="000F7E97"/>
    <w:rsid w:val="000F7EC0"/>
    <w:rsid w:val="0010026F"/>
    <w:rsid w:val="00100626"/>
    <w:rsid w:val="0010096F"/>
    <w:rsid w:val="00100BC5"/>
    <w:rsid w:val="00101066"/>
    <w:rsid w:val="0010119E"/>
    <w:rsid w:val="0010134B"/>
    <w:rsid w:val="00101711"/>
    <w:rsid w:val="00101EA5"/>
    <w:rsid w:val="001023E1"/>
    <w:rsid w:val="0010242F"/>
    <w:rsid w:val="001027D6"/>
    <w:rsid w:val="00102AB2"/>
    <w:rsid w:val="00102B14"/>
    <w:rsid w:val="00102F53"/>
    <w:rsid w:val="001030B4"/>
    <w:rsid w:val="001030C4"/>
    <w:rsid w:val="0010322E"/>
    <w:rsid w:val="00103547"/>
    <w:rsid w:val="00103809"/>
    <w:rsid w:val="00103A8E"/>
    <w:rsid w:val="00103BA3"/>
    <w:rsid w:val="00103CCF"/>
    <w:rsid w:val="0010422B"/>
    <w:rsid w:val="00104478"/>
    <w:rsid w:val="0010453C"/>
    <w:rsid w:val="001049C3"/>
    <w:rsid w:val="00104D42"/>
    <w:rsid w:val="00104D89"/>
    <w:rsid w:val="00104E30"/>
    <w:rsid w:val="00104FFE"/>
    <w:rsid w:val="0010501A"/>
    <w:rsid w:val="00105121"/>
    <w:rsid w:val="00105386"/>
    <w:rsid w:val="00105478"/>
    <w:rsid w:val="00105680"/>
    <w:rsid w:val="00105AA2"/>
    <w:rsid w:val="00105E9A"/>
    <w:rsid w:val="00106171"/>
    <w:rsid w:val="001063A5"/>
    <w:rsid w:val="00106412"/>
    <w:rsid w:val="00106718"/>
    <w:rsid w:val="00106CA6"/>
    <w:rsid w:val="00106E32"/>
    <w:rsid w:val="00106EBB"/>
    <w:rsid w:val="0010716A"/>
    <w:rsid w:val="001073EE"/>
    <w:rsid w:val="001073FA"/>
    <w:rsid w:val="001075FB"/>
    <w:rsid w:val="00107755"/>
    <w:rsid w:val="00107774"/>
    <w:rsid w:val="00107961"/>
    <w:rsid w:val="00110322"/>
    <w:rsid w:val="00110538"/>
    <w:rsid w:val="00110C8B"/>
    <w:rsid w:val="00110FF9"/>
    <w:rsid w:val="00111375"/>
    <w:rsid w:val="001117C8"/>
    <w:rsid w:val="001117DA"/>
    <w:rsid w:val="00111A32"/>
    <w:rsid w:val="00111B60"/>
    <w:rsid w:val="00111F52"/>
    <w:rsid w:val="00112005"/>
    <w:rsid w:val="00112142"/>
    <w:rsid w:val="0011274C"/>
    <w:rsid w:val="00112985"/>
    <w:rsid w:val="00112C5A"/>
    <w:rsid w:val="00112F19"/>
    <w:rsid w:val="0011353D"/>
    <w:rsid w:val="00114481"/>
    <w:rsid w:val="00114B16"/>
    <w:rsid w:val="0011505E"/>
    <w:rsid w:val="00115114"/>
    <w:rsid w:val="001153A2"/>
    <w:rsid w:val="001153B5"/>
    <w:rsid w:val="00115709"/>
    <w:rsid w:val="0011590C"/>
    <w:rsid w:val="001159EA"/>
    <w:rsid w:val="00115A3D"/>
    <w:rsid w:val="00116738"/>
    <w:rsid w:val="00116B03"/>
    <w:rsid w:val="00116B13"/>
    <w:rsid w:val="001171EC"/>
    <w:rsid w:val="00117442"/>
    <w:rsid w:val="00117443"/>
    <w:rsid w:val="001176BE"/>
    <w:rsid w:val="00117D04"/>
    <w:rsid w:val="00120113"/>
    <w:rsid w:val="00120139"/>
    <w:rsid w:val="001203F0"/>
    <w:rsid w:val="001204B8"/>
    <w:rsid w:val="001204C1"/>
    <w:rsid w:val="001209D0"/>
    <w:rsid w:val="00120ABF"/>
    <w:rsid w:val="00120D3C"/>
    <w:rsid w:val="00121190"/>
    <w:rsid w:val="0012133E"/>
    <w:rsid w:val="00121537"/>
    <w:rsid w:val="0012178F"/>
    <w:rsid w:val="001217E8"/>
    <w:rsid w:val="001217F5"/>
    <w:rsid w:val="001219BD"/>
    <w:rsid w:val="00121CA3"/>
    <w:rsid w:val="00121CDB"/>
    <w:rsid w:val="00121EB1"/>
    <w:rsid w:val="00121F99"/>
    <w:rsid w:val="0012204C"/>
    <w:rsid w:val="00122120"/>
    <w:rsid w:val="00122321"/>
    <w:rsid w:val="0012240A"/>
    <w:rsid w:val="00122740"/>
    <w:rsid w:val="001228A8"/>
    <w:rsid w:val="00122B4B"/>
    <w:rsid w:val="00122BD5"/>
    <w:rsid w:val="00122F61"/>
    <w:rsid w:val="001230B8"/>
    <w:rsid w:val="00123449"/>
    <w:rsid w:val="001237B3"/>
    <w:rsid w:val="00123B4D"/>
    <w:rsid w:val="00123DDC"/>
    <w:rsid w:val="00123F8D"/>
    <w:rsid w:val="00123FD5"/>
    <w:rsid w:val="00124496"/>
    <w:rsid w:val="00124527"/>
    <w:rsid w:val="00124703"/>
    <w:rsid w:val="0012526A"/>
    <w:rsid w:val="001252F9"/>
    <w:rsid w:val="001253B0"/>
    <w:rsid w:val="001253B9"/>
    <w:rsid w:val="00125419"/>
    <w:rsid w:val="0012548D"/>
    <w:rsid w:val="00125632"/>
    <w:rsid w:val="00125720"/>
    <w:rsid w:val="0012573C"/>
    <w:rsid w:val="0012588F"/>
    <w:rsid w:val="001259CF"/>
    <w:rsid w:val="00125A43"/>
    <w:rsid w:val="00125A7C"/>
    <w:rsid w:val="00125D68"/>
    <w:rsid w:val="00125E4C"/>
    <w:rsid w:val="00125EBC"/>
    <w:rsid w:val="00125F9E"/>
    <w:rsid w:val="001263B5"/>
    <w:rsid w:val="001265B7"/>
    <w:rsid w:val="00126707"/>
    <w:rsid w:val="0012680F"/>
    <w:rsid w:val="00126D87"/>
    <w:rsid w:val="00126F17"/>
    <w:rsid w:val="001270EE"/>
    <w:rsid w:val="00127299"/>
    <w:rsid w:val="001275FD"/>
    <w:rsid w:val="001276FB"/>
    <w:rsid w:val="00127A65"/>
    <w:rsid w:val="00127D2A"/>
    <w:rsid w:val="00127D41"/>
    <w:rsid w:val="00127E2D"/>
    <w:rsid w:val="00127F71"/>
    <w:rsid w:val="00130258"/>
    <w:rsid w:val="001302F5"/>
    <w:rsid w:val="0013035C"/>
    <w:rsid w:val="0013055F"/>
    <w:rsid w:val="0013060F"/>
    <w:rsid w:val="00130639"/>
    <w:rsid w:val="00130919"/>
    <w:rsid w:val="00130AFB"/>
    <w:rsid w:val="00130EF1"/>
    <w:rsid w:val="001310F4"/>
    <w:rsid w:val="00131343"/>
    <w:rsid w:val="0013291E"/>
    <w:rsid w:val="00132969"/>
    <w:rsid w:val="00132C18"/>
    <w:rsid w:val="00132D7A"/>
    <w:rsid w:val="00132F30"/>
    <w:rsid w:val="00132F93"/>
    <w:rsid w:val="00133207"/>
    <w:rsid w:val="00133469"/>
    <w:rsid w:val="0013383A"/>
    <w:rsid w:val="00133BF8"/>
    <w:rsid w:val="00133D0B"/>
    <w:rsid w:val="00133F79"/>
    <w:rsid w:val="0013426C"/>
    <w:rsid w:val="0013433C"/>
    <w:rsid w:val="0013459B"/>
    <w:rsid w:val="00134E3F"/>
    <w:rsid w:val="0013573C"/>
    <w:rsid w:val="0013580D"/>
    <w:rsid w:val="00135846"/>
    <w:rsid w:val="00135A69"/>
    <w:rsid w:val="00135E32"/>
    <w:rsid w:val="00136143"/>
    <w:rsid w:val="0013629A"/>
    <w:rsid w:val="00136430"/>
    <w:rsid w:val="001367F9"/>
    <w:rsid w:val="00136876"/>
    <w:rsid w:val="00136D1C"/>
    <w:rsid w:val="00136FEF"/>
    <w:rsid w:val="00137274"/>
    <w:rsid w:val="001374EB"/>
    <w:rsid w:val="001375BD"/>
    <w:rsid w:val="00137666"/>
    <w:rsid w:val="001377A8"/>
    <w:rsid w:val="00137875"/>
    <w:rsid w:val="00137A56"/>
    <w:rsid w:val="00137ABD"/>
    <w:rsid w:val="00137AFB"/>
    <w:rsid w:val="00137BBA"/>
    <w:rsid w:val="00137CBD"/>
    <w:rsid w:val="00137CED"/>
    <w:rsid w:val="00137E8E"/>
    <w:rsid w:val="00140021"/>
    <w:rsid w:val="00140138"/>
    <w:rsid w:val="0014025C"/>
    <w:rsid w:val="00140306"/>
    <w:rsid w:val="001403FF"/>
    <w:rsid w:val="00140AE4"/>
    <w:rsid w:val="00140B0C"/>
    <w:rsid w:val="00140CE1"/>
    <w:rsid w:val="00141260"/>
    <w:rsid w:val="001413BC"/>
    <w:rsid w:val="0014183D"/>
    <w:rsid w:val="0014190A"/>
    <w:rsid w:val="00142028"/>
    <w:rsid w:val="00142147"/>
    <w:rsid w:val="0014216B"/>
    <w:rsid w:val="0014239F"/>
    <w:rsid w:val="0014243E"/>
    <w:rsid w:val="0014254E"/>
    <w:rsid w:val="00142611"/>
    <w:rsid w:val="0014261B"/>
    <w:rsid w:val="001426EF"/>
    <w:rsid w:val="00142773"/>
    <w:rsid w:val="00142DD7"/>
    <w:rsid w:val="00142E46"/>
    <w:rsid w:val="00142EEE"/>
    <w:rsid w:val="00142F04"/>
    <w:rsid w:val="00142FBE"/>
    <w:rsid w:val="00142FDE"/>
    <w:rsid w:val="0014300C"/>
    <w:rsid w:val="001430C4"/>
    <w:rsid w:val="001431C5"/>
    <w:rsid w:val="001433FC"/>
    <w:rsid w:val="001435F8"/>
    <w:rsid w:val="00143917"/>
    <w:rsid w:val="00143AC2"/>
    <w:rsid w:val="00143AD1"/>
    <w:rsid w:val="00143B26"/>
    <w:rsid w:val="00143C61"/>
    <w:rsid w:val="00143D5B"/>
    <w:rsid w:val="00143D5F"/>
    <w:rsid w:val="001443D9"/>
    <w:rsid w:val="00144532"/>
    <w:rsid w:val="001447BE"/>
    <w:rsid w:val="001448F6"/>
    <w:rsid w:val="0014509E"/>
    <w:rsid w:val="001450D2"/>
    <w:rsid w:val="00145108"/>
    <w:rsid w:val="001452D6"/>
    <w:rsid w:val="001453A0"/>
    <w:rsid w:val="001453C8"/>
    <w:rsid w:val="00145D6B"/>
    <w:rsid w:val="0014604C"/>
    <w:rsid w:val="0014624F"/>
    <w:rsid w:val="001463BC"/>
    <w:rsid w:val="001467B0"/>
    <w:rsid w:val="001467E1"/>
    <w:rsid w:val="00146CC0"/>
    <w:rsid w:val="00146D30"/>
    <w:rsid w:val="00146E06"/>
    <w:rsid w:val="00146F49"/>
    <w:rsid w:val="00146F8B"/>
    <w:rsid w:val="001470B2"/>
    <w:rsid w:val="00147647"/>
    <w:rsid w:val="001476F4"/>
    <w:rsid w:val="00147C4B"/>
    <w:rsid w:val="001502BE"/>
    <w:rsid w:val="00150403"/>
    <w:rsid w:val="0015045B"/>
    <w:rsid w:val="001505CD"/>
    <w:rsid w:val="00150B93"/>
    <w:rsid w:val="00150D71"/>
    <w:rsid w:val="00151133"/>
    <w:rsid w:val="00151338"/>
    <w:rsid w:val="0015133A"/>
    <w:rsid w:val="0015136F"/>
    <w:rsid w:val="001513C4"/>
    <w:rsid w:val="00151414"/>
    <w:rsid w:val="00151517"/>
    <w:rsid w:val="001517DE"/>
    <w:rsid w:val="00151DA8"/>
    <w:rsid w:val="00151E5D"/>
    <w:rsid w:val="0015219B"/>
    <w:rsid w:val="001522D8"/>
    <w:rsid w:val="00152829"/>
    <w:rsid w:val="00152B69"/>
    <w:rsid w:val="00152D63"/>
    <w:rsid w:val="0015318A"/>
    <w:rsid w:val="00153222"/>
    <w:rsid w:val="00153A4D"/>
    <w:rsid w:val="0015414C"/>
    <w:rsid w:val="00154202"/>
    <w:rsid w:val="001542A7"/>
    <w:rsid w:val="001542D8"/>
    <w:rsid w:val="00154757"/>
    <w:rsid w:val="001547AF"/>
    <w:rsid w:val="001547D1"/>
    <w:rsid w:val="00155251"/>
    <w:rsid w:val="00155346"/>
    <w:rsid w:val="00155644"/>
    <w:rsid w:val="001558DC"/>
    <w:rsid w:val="00155B28"/>
    <w:rsid w:val="00155B53"/>
    <w:rsid w:val="00155CB3"/>
    <w:rsid w:val="00155DD9"/>
    <w:rsid w:val="00155DF1"/>
    <w:rsid w:val="00155FF9"/>
    <w:rsid w:val="0015618E"/>
    <w:rsid w:val="00156221"/>
    <w:rsid w:val="001565EE"/>
    <w:rsid w:val="001567D2"/>
    <w:rsid w:val="00156AA8"/>
    <w:rsid w:val="00156C7A"/>
    <w:rsid w:val="00156C9A"/>
    <w:rsid w:val="00157042"/>
    <w:rsid w:val="00157097"/>
    <w:rsid w:val="001572CE"/>
    <w:rsid w:val="0015738C"/>
    <w:rsid w:val="00157738"/>
    <w:rsid w:val="00157789"/>
    <w:rsid w:val="001577DE"/>
    <w:rsid w:val="00157D11"/>
    <w:rsid w:val="00157F06"/>
    <w:rsid w:val="001604CD"/>
    <w:rsid w:val="00160750"/>
    <w:rsid w:val="001607AB"/>
    <w:rsid w:val="00160889"/>
    <w:rsid w:val="00160F21"/>
    <w:rsid w:val="001612D5"/>
    <w:rsid w:val="00161445"/>
    <w:rsid w:val="001615CE"/>
    <w:rsid w:val="0016167B"/>
    <w:rsid w:val="001621DC"/>
    <w:rsid w:val="001625BC"/>
    <w:rsid w:val="001625DE"/>
    <w:rsid w:val="00162682"/>
    <w:rsid w:val="0016268E"/>
    <w:rsid w:val="001626C3"/>
    <w:rsid w:val="00162966"/>
    <w:rsid w:val="00162A9E"/>
    <w:rsid w:val="00162C5E"/>
    <w:rsid w:val="00162C90"/>
    <w:rsid w:val="00162E5F"/>
    <w:rsid w:val="0016325A"/>
    <w:rsid w:val="001635AF"/>
    <w:rsid w:val="001635D9"/>
    <w:rsid w:val="001636EB"/>
    <w:rsid w:val="00163889"/>
    <w:rsid w:val="00163B58"/>
    <w:rsid w:val="00163B61"/>
    <w:rsid w:val="00163C90"/>
    <w:rsid w:val="00163FEA"/>
    <w:rsid w:val="0016413A"/>
    <w:rsid w:val="0016431A"/>
    <w:rsid w:val="00164467"/>
    <w:rsid w:val="00164559"/>
    <w:rsid w:val="0016467E"/>
    <w:rsid w:val="001646E4"/>
    <w:rsid w:val="0016474F"/>
    <w:rsid w:val="00164848"/>
    <w:rsid w:val="00164905"/>
    <w:rsid w:val="001649CF"/>
    <w:rsid w:val="00164DB0"/>
    <w:rsid w:val="00165159"/>
    <w:rsid w:val="00165483"/>
    <w:rsid w:val="001655F3"/>
    <w:rsid w:val="0016576E"/>
    <w:rsid w:val="001658A2"/>
    <w:rsid w:val="00165B1C"/>
    <w:rsid w:val="00165B96"/>
    <w:rsid w:val="00165C76"/>
    <w:rsid w:val="00165E1A"/>
    <w:rsid w:val="001660D5"/>
    <w:rsid w:val="0016610B"/>
    <w:rsid w:val="001664A7"/>
    <w:rsid w:val="0016688E"/>
    <w:rsid w:val="001674E2"/>
    <w:rsid w:val="001676B9"/>
    <w:rsid w:val="001676C2"/>
    <w:rsid w:val="001677C1"/>
    <w:rsid w:val="00167BF8"/>
    <w:rsid w:val="00167C64"/>
    <w:rsid w:val="00167E6F"/>
    <w:rsid w:val="00167F03"/>
    <w:rsid w:val="00167F47"/>
    <w:rsid w:val="00167F59"/>
    <w:rsid w:val="00170003"/>
    <w:rsid w:val="0017019E"/>
    <w:rsid w:val="001701F8"/>
    <w:rsid w:val="00170239"/>
    <w:rsid w:val="0017028E"/>
    <w:rsid w:val="00170338"/>
    <w:rsid w:val="00170488"/>
    <w:rsid w:val="001707BF"/>
    <w:rsid w:val="00170A62"/>
    <w:rsid w:val="00170A88"/>
    <w:rsid w:val="00170CC9"/>
    <w:rsid w:val="00170D67"/>
    <w:rsid w:val="001710F7"/>
    <w:rsid w:val="00171BFC"/>
    <w:rsid w:val="00171CEB"/>
    <w:rsid w:val="00171D4F"/>
    <w:rsid w:val="00171FA3"/>
    <w:rsid w:val="00171FBA"/>
    <w:rsid w:val="00172104"/>
    <w:rsid w:val="001722D6"/>
    <w:rsid w:val="00172492"/>
    <w:rsid w:val="0017264D"/>
    <w:rsid w:val="001728A0"/>
    <w:rsid w:val="001728DB"/>
    <w:rsid w:val="00172BF6"/>
    <w:rsid w:val="00172DBC"/>
    <w:rsid w:val="00172EBB"/>
    <w:rsid w:val="0017346E"/>
    <w:rsid w:val="001735CC"/>
    <w:rsid w:val="001736B9"/>
    <w:rsid w:val="00173CF8"/>
    <w:rsid w:val="00173D85"/>
    <w:rsid w:val="00173DEC"/>
    <w:rsid w:val="00173FA6"/>
    <w:rsid w:val="00173FA7"/>
    <w:rsid w:val="00174336"/>
    <w:rsid w:val="001745D2"/>
    <w:rsid w:val="001747BE"/>
    <w:rsid w:val="00174B05"/>
    <w:rsid w:val="00174D79"/>
    <w:rsid w:val="00174FA6"/>
    <w:rsid w:val="001751DA"/>
    <w:rsid w:val="001753B2"/>
    <w:rsid w:val="00175740"/>
    <w:rsid w:val="001759C2"/>
    <w:rsid w:val="00175B9A"/>
    <w:rsid w:val="00175BB1"/>
    <w:rsid w:val="00175DF1"/>
    <w:rsid w:val="00175F62"/>
    <w:rsid w:val="00176553"/>
    <w:rsid w:val="00176562"/>
    <w:rsid w:val="00176712"/>
    <w:rsid w:val="00176749"/>
    <w:rsid w:val="00176751"/>
    <w:rsid w:val="001768E6"/>
    <w:rsid w:val="00176C06"/>
    <w:rsid w:val="00176FE6"/>
    <w:rsid w:val="001773DC"/>
    <w:rsid w:val="001776C3"/>
    <w:rsid w:val="00177779"/>
    <w:rsid w:val="00177AD4"/>
    <w:rsid w:val="00177C1A"/>
    <w:rsid w:val="0018018D"/>
    <w:rsid w:val="00180305"/>
    <w:rsid w:val="001803E6"/>
    <w:rsid w:val="00180786"/>
    <w:rsid w:val="00180BB0"/>
    <w:rsid w:val="00180FA1"/>
    <w:rsid w:val="0018104F"/>
    <w:rsid w:val="00181117"/>
    <w:rsid w:val="001813CD"/>
    <w:rsid w:val="0018161E"/>
    <w:rsid w:val="00181CB3"/>
    <w:rsid w:val="00181CD8"/>
    <w:rsid w:val="00181DAE"/>
    <w:rsid w:val="00182579"/>
    <w:rsid w:val="0018259B"/>
    <w:rsid w:val="00182F48"/>
    <w:rsid w:val="00183112"/>
    <w:rsid w:val="001831D7"/>
    <w:rsid w:val="0018363A"/>
    <w:rsid w:val="0018371A"/>
    <w:rsid w:val="0018373D"/>
    <w:rsid w:val="001837DB"/>
    <w:rsid w:val="00183848"/>
    <w:rsid w:val="00183906"/>
    <w:rsid w:val="0018391C"/>
    <w:rsid w:val="001839E5"/>
    <w:rsid w:val="001841DC"/>
    <w:rsid w:val="00184345"/>
    <w:rsid w:val="00184462"/>
    <w:rsid w:val="0018464C"/>
    <w:rsid w:val="0018490C"/>
    <w:rsid w:val="00184AAA"/>
    <w:rsid w:val="00184B94"/>
    <w:rsid w:val="00184C63"/>
    <w:rsid w:val="00184E13"/>
    <w:rsid w:val="00185461"/>
    <w:rsid w:val="00185792"/>
    <w:rsid w:val="00185863"/>
    <w:rsid w:val="0018597B"/>
    <w:rsid w:val="00185FA7"/>
    <w:rsid w:val="00186176"/>
    <w:rsid w:val="001861AD"/>
    <w:rsid w:val="0018632C"/>
    <w:rsid w:val="0018638D"/>
    <w:rsid w:val="001863FC"/>
    <w:rsid w:val="00186590"/>
    <w:rsid w:val="00186B37"/>
    <w:rsid w:val="00186BD3"/>
    <w:rsid w:val="00187043"/>
    <w:rsid w:val="001874BF"/>
    <w:rsid w:val="00187504"/>
    <w:rsid w:val="001875D8"/>
    <w:rsid w:val="0018788F"/>
    <w:rsid w:val="00187A8E"/>
    <w:rsid w:val="00187CA7"/>
    <w:rsid w:val="00187D67"/>
    <w:rsid w:val="00187EB5"/>
    <w:rsid w:val="00187F93"/>
    <w:rsid w:val="0019103F"/>
    <w:rsid w:val="001910C3"/>
    <w:rsid w:val="001913D3"/>
    <w:rsid w:val="001918AE"/>
    <w:rsid w:val="0019199F"/>
    <w:rsid w:val="001919BE"/>
    <w:rsid w:val="00191B99"/>
    <w:rsid w:val="00191BA5"/>
    <w:rsid w:val="00191BB8"/>
    <w:rsid w:val="00191BD7"/>
    <w:rsid w:val="001920C4"/>
    <w:rsid w:val="001926B4"/>
    <w:rsid w:val="001927E2"/>
    <w:rsid w:val="00192856"/>
    <w:rsid w:val="00192BBE"/>
    <w:rsid w:val="00192FFD"/>
    <w:rsid w:val="0019321C"/>
    <w:rsid w:val="001933D8"/>
    <w:rsid w:val="001936C2"/>
    <w:rsid w:val="00193829"/>
    <w:rsid w:val="00193BC1"/>
    <w:rsid w:val="001940BC"/>
    <w:rsid w:val="001942A0"/>
    <w:rsid w:val="00194597"/>
    <w:rsid w:val="001945E7"/>
    <w:rsid w:val="001946BA"/>
    <w:rsid w:val="001947EE"/>
    <w:rsid w:val="00194A66"/>
    <w:rsid w:val="00194DFA"/>
    <w:rsid w:val="0019529E"/>
    <w:rsid w:val="00195640"/>
    <w:rsid w:val="001958EC"/>
    <w:rsid w:val="00195D85"/>
    <w:rsid w:val="001966F3"/>
    <w:rsid w:val="00196BAF"/>
    <w:rsid w:val="00197114"/>
    <w:rsid w:val="00197643"/>
    <w:rsid w:val="00197A4D"/>
    <w:rsid w:val="00197B56"/>
    <w:rsid w:val="00197D62"/>
    <w:rsid w:val="00197F18"/>
    <w:rsid w:val="00197F52"/>
    <w:rsid w:val="001A0237"/>
    <w:rsid w:val="001A036F"/>
    <w:rsid w:val="001A083A"/>
    <w:rsid w:val="001A08D3"/>
    <w:rsid w:val="001A0908"/>
    <w:rsid w:val="001A0B2B"/>
    <w:rsid w:val="001A0BA8"/>
    <w:rsid w:val="001A132E"/>
    <w:rsid w:val="001A13BE"/>
    <w:rsid w:val="001A19BD"/>
    <w:rsid w:val="001A1A36"/>
    <w:rsid w:val="001A1AB7"/>
    <w:rsid w:val="001A1C52"/>
    <w:rsid w:val="001A1CFE"/>
    <w:rsid w:val="001A1D2E"/>
    <w:rsid w:val="001A1D9A"/>
    <w:rsid w:val="001A2024"/>
    <w:rsid w:val="001A2133"/>
    <w:rsid w:val="001A21C9"/>
    <w:rsid w:val="001A2A0A"/>
    <w:rsid w:val="001A2D75"/>
    <w:rsid w:val="001A31B1"/>
    <w:rsid w:val="001A34F0"/>
    <w:rsid w:val="001A357E"/>
    <w:rsid w:val="001A3768"/>
    <w:rsid w:val="001A3EFD"/>
    <w:rsid w:val="001A40DD"/>
    <w:rsid w:val="001A4378"/>
    <w:rsid w:val="001A4494"/>
    <w:rsid w:val="001A44E4"/>
    <w:rsid w:val="001A4657"/>
    <w:rsid w:val="001A46C3"/>
    <w:rsid w:val="001A47A5"/>
    <w:rsid w:val="001A4858"/>
    <w:rsid w:val="001A4998"/>
    <w:rsid w:val="001A5252"/>
    <w:rsid w:val="001A54DA"/>
    <w:rsid w:val="001A55B7"/>
    <w:rsid w:val="001A5668"/>
    <w:rsid w:val="001A5938"/>
    <w:rsid w:val="001A5B16"/>
    <w:rsid w:val="001A5F3C"/>
    <w:rsid w:val="001A6004"/>
    <w:rsid w:val="001A6117"/>
    <w:rsid w:val="001A67DF"/>
    <w:rsid w:val="001A68FA"/>
    <w:rsid w:val="001A6999"/>
    <w:rsid w:val="001A6D6C"/>
    <w:rsid w:val="001A715E"/>
    <w:rsid w:val="001A7648"/>
    <w:rsid w:val="001A7A4B"/>
    <w:rsid w:val="001A7C3E"/>
    <w:rsid w:val="001A7D7F"/>
    <w:rsid w:val="001B00B7"/>
    <w:rsid w:val="001B01E4"/>
    <w:rsid w:val="001B0449"/>
    <w:rsid w:val="001B0584"/>
    <w:rsid w:val="001B0700"/>
    <w:rsid w:val="001B09EB"/>
    <w:rsid w:val="001B0A5A"/>
    <w:rsid w:val="001B0A74"/>
    <w:rsid w:val="001B0BA7"/>
    <w:rsid w:val="001B0EBE"/>
    <w:rsid w:val="001B0F71"/>
    <w:rsid w:val="001B12C6"/>
    <w:rsid w:val="001B12D5"/>
    <w:rsid w:val="001B1354"/>
    <w:rsid w:val="001B13E6"/>
    <w:rsid w:val="001B16FE"/>
    <w:rsid w:val="001B1942"/>
    <w:rsid w:val="001B19AD"/>
    <w:rsid w:val="001B1C8C"/>
    <w:rsid w:val="001B1FEE"/>
    <w:rsid w:val="001B1FF3"/>
    <w:rsid w:val="001B2196"/>
    <w:rsid w:val="001B21B4"/>
    <w:rsid w:val="001B238F"/>
    <w:rsid w:val="001B28D1"/>
    <w:rsid w:val="001B28D8"/>
    <w:rsid w:val="001B2A31"/>
    <w:rsid w:val="001B2BF0"/>
    <w:rsid w:val="001B2FDD"/>
    <w:rsid w:val="001B2FE0"/>
    <w:rsid w:val="001B3007"/>
    <w:rsid w:val="001B3230"/>
    <w:rsid w:val="001B32EA"/>
    <w:rsid w:val="001B338F"/>
    <w:rsid w:val="001B3790"/>
    <w:rsid w:val="001B39D8"/>
    <w:rsid w:val="001B3B69"/>
    <w:rsid w:val="001B3BC2"/>
    <w:rsid w:val="001B3BFE"/>
    <w:rsid w:val="001B3CBD"/>
    <w:rsid w:val="001B3F09"/>
    <w:rsid w:val="001B4AC9"/>
    <w:rsid w:val="001B4AF0"/>
    <w:rsid w:val="001B4B39"/>
    <w:rsid w:val="001B51D8"/>
    <w:rsid w:val="001B55FE"/>
    <w:rsid w:val="001B5621"/>
    <w:rsid w:val="001B5821"/>
    <w:rsid w:val="001B5A6A"/>
    <w:rsid w:val="001B5B36"/>
    <w:rsid w:val="001B5B86"/>
    <w:rsid w:val="001B60E5"/>
    <w:rsid w:val="001B6C07"/>
    <w:rsid w:val="001B7278"/>
    <w:rsid w:val="001B7700"/>
    <w:rsid w:val="001B79BD"/>
    <w:rsid w:val="001B7CB1"/>
    <w:rsid w:val="001B7FE8"/>
    <w:rsid w:val="001C00CB"/>
    <w:rsid w:val="001C0587"/>
    <w:rsid w:val="001C06D2"/>
    <w:rsid w:val="001C0745"/>
    <w:rsid w:val="001C0A88"/>
    <w:rsid w:val="001C0F11"/>
    <w:rsid w:val="001C1A45"/>
    <w:rsid w:val="001C1D14"/>
    <w:rsid w:val="001C1DA9"/>
    <w:rsid w:val="001C1ECB"/>
    <w:rsid w:val="001C22A2"/>
    <w:rsid w:val="001C250F"/>
    <w:rsid w:val="001C2823"/>
    <w:rsid w:val="001C2A4D"/>
    <w:rsid w:val="001C2F1B"/>
    <w:rsid w:val="001C312D"/>
    <w:rsid w:val="001C31D5"/>
    <w:rsid w:val="001C3491"/>
    <w:rsid w:val="001C38C9"/>
    <w:rsid w:val="001C39C6"/>
    <w:rsid w:val="001C3DD7"/>
    <w:rsid w:val="001C3E2E"/>
    <w:rsid w:val="001C3F20"/>
    <w:rsid w:val="001C4032"/>
    <w:rsid w:val="001C490E"/>
    <w:rsid w:val="001C510D"/>
    <w:rsid w:val="001C53FB"/>
    <w:rsid w:val="001C5BA5"/>
    <w:rsid w:val="001C5DBC"/>
    <w:rsid w:val="001C5ED8"/>
    <w:rsid w:val="001C5F5A"/>
    <w:rsid w:val="001C624B"/>
    <w:rsid w:val="001C62A3"/>
    <w:rsid w:val="001C62E5"/>
    <w:rsid w:val="001C644D"/>
    <w:rsid w:val="001C64F7"/>
    <w:rsid w:val="001C67B7"/>
    <w:rsid w:val="001C683C"/>
    <w:rsid w:val="001C6848"/>
    <w:rsid w:val="001C6B59"/>
    <w:rsid w:val="001C6DB5"/>
    <w:rsid w:val="001C6E00"/>
    <w:rsid w:val="001C706E"/>
    <w:rsid w:val="001C7523"/>
    <w:rsid w:val="001C757C"/>
    <w:rsid w:val="001C76E4"/>
    <w:rsid w:val="001C7785"/>
    <w:rsid w:val="001C7A63"/>
    <w:rsid w:val="001C7C90"/>
    <w:rsid w:val="001D0152"/>
    <w:rsid w:val="001D035B"/>
    <w:rsid w:val="001D037E"/>
    <w:rsid w:val="001D0471"/>
    <w:rsid w:val="001D053F"/>
    <w:rsid w:val="001D0889"/>
    <w:rsid w:val="001D0AD3"/>
    <w:rsid w:val="001D0B1B"/>
    <w:rsid w:val="001D0B6D"/>
    <w:rsid w:val="001D0E3E"/>
    <w:rsid w:val="001D11B1"/>
    <w:rsid w:val="001D11CD"/>
    <w:rsid w:val="001D145F"/>
    <w:rsid w:val="001D14C2"/>
    <w:rsid w:val="001D15E7"/>
    <w:rsid w:val="001D168D"/>
    <w:rsid w:val="001D1702"/>
    <w:rsid w:val="001D1C00"/>
    <w:rsid w:val="001D1E1E"/>
    <w:rsid w:val="001D1ED3"/>
    <w:rsid w:val="001D217B"/>
    <w:rsid w:val="001D2712"/>
    <w:rsid w:val="001D2B58"/>
    <w:rsid w:val="001D2D3C"/>
    <w:rsid w:val="001D2EBD"/>
    <w:rsid w:val="001D2EE0"/>
    <w:rsid w:val="001D308F"/>
    <w:rsid w:val="001D3326"/>
    <w:rsid w:val="001D33F9"/>
    <w:rsid w:val="001D35D8"/>
    <w:rsid w:val="001D3726"/>
    <w:rsid w:val="001D3B88"/>
    <w:rsid w:val="001D3C65"/>
    <w:rsid w:val="001D3EA0"/>
    <w:rsid w:val="001D41EE"/>
    <w:rsid w:val="001D47C6"/>
    <w:rsid w:val="001D487F"/>
    <w:rsid w:val="001D4D41"/>
    <w:rsid w:val="001D509B"/>
    <w:rsid w:val="001D5117"/>
    <w:rsid w:val="001D54F2"/>
    <w:rsid w:val="001D5968"/>
    <w:rsid w:val="001D59DF"/>
    <w:rsid w:val="001D5DB3"/>
    <w:rsid w:val="001D5E91"/>
    <w:rsid w:val="001D65D8"/>
    <w:rsid w:val="001D6683"/>
    <w:rsid w:val="001D6961"/>
    <w:rsid w:val="001D6B05"/>
    <w:rsid w:val="001D6BCF"/>
    <w:rsid w:val="001D6E9E"/>
    <w:rsid w:val="001D712E"/>
    <w:rsid w:val="001D7167"/>
    <w:rsid w:val="001D7276"/>
    <w:rsid w:val="001D74AA"/>
    <w:rsid w:val="001D79CE"/>
    <w:rsid w:val="001D7A33"/>
    <w:rsid w:val="001D7AB7"/>
    <w:rsid w:val="001D7AD6"/>
    <w:rsid w:val="001D7BE6"/>
    <w:rsid w:val="001D7C36"/>
    <w:rsid w:val="001E01CA"/>
    <w:rsid w:val="001E0293"/>
    <w:rsid w:val="001E051C"/>
    <w:rsid w:val="001E0733"/>
    <w:rsid w:val="001E09FB"/>
    <w:rsid w:val="001E0AAE"/>
    <w:rsid w:val="001E0B9D"/>
    <w:rsid w:val="001E0C70"/>
    <w:rsid w:val="001E0F10"/>
    <w:rsid w:val="001E1239"/>
    <w:rsid w:val="001E126B"/>
    <w:rsid w:val="001E17A8"/>
    <w:rsid w:val="001E1A33"/>
    <w:rsid w:val="001E1B4B"/>
    <w:rsid w:val="001E1E85"/>
    <w:rsid w:val="001E2371"/>
    <w:rsid w:val="001E23A6"/>
    <w:rsid w:val="001E2434"/>
    <w:rsid w:val="001E259C"/>
    <w:rsid w:val="001E2C07"/>
    <w:rsid w:val="001E2C15"/>
    <w:rsid w:val="001E2FE4"/>
    <w:rsid w:val="001E338A"/>
    <w:rsid w:val="001E34AF"/>
    <w:rsid w:val="001E34E2"/>
    <w:rsid w:val="001E3726"/>
    <w:rsid w:val="001E3A39"/>
    <w:rsid w:val="001E3C1E"/>
    <w:rsid w:val="001E3D88"/>
    <w:rsid w:val="001E41C1"/>
    <w:rsid w:val="001E4884"/>
    <w:rsid w:val="001E489C"/>
    <w:rsid w:val="001E4BE5"/>
    <w:rsid w:val="001E4C0E"/>
    <w:rsid w:val="001E4D81"/>
    <w:rsid w:val="001E4F4F"/>
    <w:rsid w:val="001E50AE"/>
    <w:rsid w:val="001E50F0"/>
    <w:rsid w:val="001E5266"/>
    <w:rsid w:val="001E5307"/>
    <w:rsid w:val="001E550D"/>
    <w:rsid w:val="001E57F2"/>
    <w:rsid w:val="001E5F6D"/>
    <w:rsid w:val="001E6171"/>
    <w:rsid w:val="001E61FE"/>
    <w:rsid w:val="001E6205"/>
    <w:rsid w:val="001E63DD"/>
    <w:rsid w:val="001E64F6"/>
    <w:rsid w:val="001E6A93"/>
    <w:rsid w:val="001E6BD4"/>
    <w:rsid w:val="001E6DB8"/>
    <w:rsid w:val="001E6F03"/>
    <w:rsid w:val="001E6F2B"/>
    <w:rsid w:val="001E70AD"/>
    <w:rsid w:val="001E7335"/>
    <w:rsid w:val="001E74DC"/>
    <w:rsid w:val="001E767D"/>
    <w:rsid w:val="001E7712"/>
    <w:rsid w:val="001E77D4"/>
    <w:rsid w:val="001E781B"/>
    <w:rsid w:val="001E795F"/>
    <w:rsid w:val="001E79EC"/>
    <w:rsid w:val="001E7ABB"/>
    <w:rsid w:val="001E7B23"/>
    <w:rsid w:val="001E7CED"/>
    <w:rsid w:val="001E7E33"/>
    <w:rsid w:val="001E7FB3"/>
    <w:rsid w:val="001F03C0"/>
    <w:rsid w:val="001F043D"/>
    <w:rsid w:val="001F07CD"/>
    <w:rsid w:val="001F08A5"/>
    <w:rsid w:val="001F09F0"/>
    <w:rsid w:val="001F1197"/>
    <w:rsid w:val="001F11D1"/>
    <w:rsid w:val="001F13AB"/>
    <w:rsid w:val="001F1475"/>
    <w:rsid w:val="001F17FD"/>
    <w:rsid w:val="001F1B59"/>
    <w:rsid w:val="001F1CD4"/>
    <w:rsid w:val="001F1D3E"/>
    <w:rsid w:val="001F23AA"/>
    <w:rsid w:val="001F2A9D"/>
    <w:rsid w:val="001F2C98"/>
    <w:rsid w:val="001F2CF5"/>
    <w:rsid w:val="001F2D5D"/>
    <w:rsid w:val="001F31E2"/>
    <w:rsid w:val="001F37A1"/>
    <w:rsid w:val="001F3898"/>
    <w:rsid w:val="001F3B7A"/>
    <w:rsid w:val="001F3C90"/>
    <w:rsid w:val="001F3FE3"/>
    <w:rsid w:val="001F4039"/>
    <w:rsid w:val="001F412F"/>
    <w:rsid w:val="001F448D"/>
    <w:rsid w:val="001F5910"/>
    <w:rsid w:val="001F5A0E"/>
    <w:rsid w:val="001F5B56"/>
    <w:rsid w:val="001F6050"/>
    <w:rsid w:val="001F6229"/>
    <w:rsid w:val="001F6231"/>
    <w:rsid w:val="001F677D"/>
    <w:rsid w:val="001F68CB"/>
    <w:rsid w:val="001F69EC"/>
    <w:rsid w:val="001F6C5E"/>
    <w:rsid w:val="001F6CF9"/>
    <w:rsid w:val="001F6D41"/>
    <w:rsid w:val="001F741F"/>
    <w:rsid w:val="001F756B"/>
    <w:rsid w:val="001F7668"/>
    <w:rsid w:val="001F7948"/>
    <w:rsid w:val="001F79CB"/>
    <w:rsid w:val="001F7DEE"/>
    <w:rsid w:val="001F7E4F"/>
    <w:rsid w:val="00200098"/>
    <w:rsid w:val="002001EB"/>
    <w:rsid w:val="002001F7"/>
    <w:rsid w:val="002003B7"/>
    <w:rsid w:val="002008B3"/>
    <w:rsid w:val="00200BF0"/>
    <w:rsid w:val="00200C79"/>
    <w:rsid w:val="00200DDD"/>
    <w:rsid w:val="002015DD"/>
    <w:rsid w:val="002016BE"/>
    <w:rsid w:val="0020180B"/>
    <w:rsid w:val="00201969"/>
    <w:rsid w:val="00201F03"/>
    <w:rsid w:val="00201F58"/>
    <w:rsid w:val="00202199"/>
    <w:rsid w:val="0020228B"/>
    <w:rsid w:val="002024E2"/>
    <w:rsid w:val="002026CA"/>
    <w:rsid w:val="002029A2"/>
    <w:rsid w:val="00202C3B"/>
    <w:rsid w:val="00202DE7"/>
    <w:rsid w:val="00202EF9"/>
    <w:rsid w:val="002032BE"/>
    <w:rsid w:val="002039BE"/>
    <w:rsid w:val="00203BE8"/>
    <w:rsid w:val="00204075"/>
    <w:rsid w:val="002040CE"/>
    <w:rsid w:val="00204AF4"/>
    <w:rsid w:val="00204DF2"/>
    <w:rsid w:val="00204F2D"/>
    <w:rsid w:val="0020536F"/>
    <w:rsid w:val="00205388"/>
    <w:rsid w:val="002057AE"/>
    <w:rsid w:val="00205A25"/>
    <w:rsid w:val="00206079"/>
    <w:rsid w:val="00206180"/>
    <w:rsid w:val="002062DF"/>
    <w:rsid w:val="00206511"/>
    <w:rsid w:val="00206843"/>
    <w:rsid w:val="0020693B"/>
    <w:rsid w:val="002069FE"/>
    <w:rsid w:val="00206B18"/>
    <w:rsid w:val="00206B2D"/>
    <w:rsid w:val="00206E3F"/>
    <w:rsid w:val="00207100"/>
    <w:rsid w:val="002071C2"/>
    <w:rsid w:val="00207513"/>
    <w:rsid w:val="0020755F"/>
    <w:rsid w:val="0020759A"/>
    <w:rsid w:val="002078F1"/>
    <w:rsid w:val="00207E0C"/>
    <w:rsid w:val="00207FD5"/>
    <w:rsid w:val="00210019"/>
    <w:rsid w:val="002101C5"/>
    <w:rsid w:val="002102FC"/>
    <w:rsid w:val="0021038C"/>
    <w:rsid w:val="0021040C"/>
    <w:rsid w:val="0021044F"/>
    <w:rsid w:val="00210639"/>
    <w:rsid w:val="00210AA6"/>
    <w:rsid w:val="00210B95"/>
    <w:rsid w:val="00210CE7"/>
    <w:rsid w:val="00210E4B"/>
    <w:rsid w:val="00210F8F"/>
    <w:rsid w:val="0021112C"/>
    <w:rsid w:val="002112AC"/>
    <w:rsid w:val="002114EE"/>
    <w:rsid w:val="00211619"/>
    <w:rsid w:val="00211711"/>
    <w:rsid w:val="0021186C"/>
    <w:rsid w:val="002119A7"/>
    <w:rsid w:val="00211A6F"/>
    <w:rsid w:val="00211A7D"/>
    <w:rsid w:val="00211DD8"/>
    <w:rsid w:val="00211E23"/>
    <w:rsid w:val="0021201F"/>
    <w:rsid w:val="0021202E"/>
    <w:rsid w:val="0021210C"/>
    <w:rsid w:val="00212C26"/>
    <w:rsid w:val="00212D22"/>
    <w:rsid w:val="00212FA4"/>
    <w:rsid w:val="00212FF5"/>
    <w:rsid w:val="002130A1"/>
    <w:rsid w:val="0021323C"/>
    <w:rsid w:val="002135B9"/>
    <w:rsid w:val="00213904"/>
    <w:rsid w:val="00213C2C"/>
    <w:rsid w:val="00213C40"/>
    <w:rsid w:val="00213F06"/>
    <w:rsid w:val="0021400A"/>
    <w:rsid w:val="00214587"/>
    <w:rsid w:val="00214CE5"/>
    <w:rsid w:val="00214F94"/>
    <w:rsid w:val="00215108"/>
    <w:rsid w:val="0021530E"/>
    <w:rsid w:val="002153BF"/>
    <w:rsid w:val="00215460"/>
    <w:rsid w:val="00215468"/>
    <w:rsid w:val="00215732"/>
    <w:rsid w:val="002158D9"/>
    <w:rsid w:val="00215E0D"/>
    <w:rsid w:val="00216249"/>
    <w:rsid w:val="002166C7"/>
    <w:rsid w:val="0021687C"/>
    <w:rsid w:val="002168B2"/>
    <w:rsid w:val="00216AE3"/>
    <w:rsid w:val="00216E15"/>
    <w:rsid w:val="00216FC7"/>
    <w:rsid w:val="00217366"/>
    <w:rsid w:val="00217492"/>
    <w:rsid w:val="002175BD"/>
    <w:rsid w:val="002176AB"/>
    <w:rsid w:val="002178BA"/>
    <w:rsid w:val="002179CA"/>
    <w:rsid w:val="00217A81"/>
    <w:rsid w:val="00217BC2"/>
    <w:rsid w:val="00217BC8"/>
    <w:rsid w:val="00217C66"/>
    <w:rsid w:val="00217CF7"/>
    <w:rsid w:val="00220102"/>
    <w:rsid w:val="00220139"/>
    <w:rsid w:val="00220706"/>
    <w:rsid w:val="0022070A"/>
    <w:rsid w:val="00220723"/>
    <w:rsid w:val="00220947"/>
    <w:rsid w:val="00220AAE"/>
    <w:rsid w:val="00220DDA"/>
    <w:rsid w:val="00220EF4"/>
    <w:rsid w:val="00220F80"/>
    <w:rsid w:val="00221241"/>
    <w:rsid w:val="0022143F"/>
    <w:rsid w:val="0022166B"/>
    <w:rsid w:val="00221768"/>
    <w:rsid w:val="00221AAA"/>
    <w:rsid w:val="00221F14"/>
    <w:rsid w:val="0022208D"/>
    <w:rsid w:val="00222133"/>
    <w:rsid w:val="0022223A"/>
    <w:rsid w:val="00222379"/>
    <w:rsid w:val="00222449"/>
    <w:rsid w:val="002227D0"/>
    <w:rsid w:val="002228A9"/>
    <w:rsid w:val="00222B32"/>
    <w:rsid w:val="0022305D"/>
    <w:rsid w:val="002230AF"/>
    <w:rsid w:val="00223606"/>
    <w:rsid w:val="0022363C"/>
    <w:rsid w:val="002239A1"/>
    <w:rsid w:val="00223A54"/>
    <w:rsid w:val="00223AA3"/>
    <w:rsid w:val="00223CCE"/>
    <w:rsid w:val="00223E45"/>
    <w:rsid w:val="00223F19"/>
    <w:rsid w:val="0022403E"/>
    <w:rsid w:val="002240B5"/>
    <w:rsid w:val="002243DF"/>
    <w:rsid w:val="00224712"/>
    <w:rsid w:val="0022472E"/>
    <w:rsid w:val="002247DD"/>
    <w:rsid w:val="00224D40"/>
    <w:rsid w:val="00224DEB"/>
    <w:rsid w:val="00224E3A"/>
    <w:rsid w:val="0022513E"/>
    <w:rsid w:val="002251E9"/>
    <w:rsid w:val="00225276"/>
    <w:rsid w:val="0022577F"/>
    <w:rsid w:val="00225BE4"/>
    <w:rsid w:val="00225CCC"/>
    <w:rsid w:val="00225D3C"/>
    <w:rsid w:val="00225DCE"/>
    <w:rsid w:val="00225F59"/>
    <w:rsid w:val="002261A8"/>
    <w:rsid w:val="00226932"/>
    <w:rsid w:val="00226A56"/>
    <w:rsid w:val="00226B15"/>
    <w:rsid w:val="002270BD"/>
    <w:rsid w:val="002271B2"/>
    <w:rsid w:val="002272B7"/>
    <w:rsid w:val="002276C0"/>
    <w:rsid w:val="0022782B"/>
    <w:rsid w:val="00227959"/>
    <w:rsid w:val="00227DA4"/>
    <w:rsid w:val="00227DE2"/>
    <w:rsid w:val="00227F86"/>
    <w:rsid w:val="00230087"/>
    <w:rsid w:val="0023010F"/>
    <w:rsid w:val="002301AD"/>
    <w:rsid w:val="00230435"/>
    <w:rsid w:val="00230571"/>
    <w:rsid w:val="00230823"/>
    <w:rsid w:val="00230A87"/>
    <w:rsid w:val="00230B14"/>
    <w:rsid w:val="00230CD5"/>
    <w:rsid w:val="00230DAC"/>
    <w:rsid w:val="00230DEB"/>
    <w:rsid w:val="00230E37"/>
    <w:rsid w:val="00231148"/>
    <w:rsid w:val="002313FE"/>
    <w:rsid w:val="002315C7"/>
    <w:rsid w:val="002316AD"/>
    <w:rsid w:val="00231917"/>
    <w:rsid w:val="00231989"/>
    <w:rsid w:val="002319E3"/>
    <w:rsid w:val="00231A81"/>
    <w:rsid w:val="00232000"/>
    <w:rsid w:val="00232162"/>
    <w:rsid w:val="002321E3"/>
    <w:rsid w:val="002325DE"/>
    <w:rsid w:val="002328BD"/>
    <w:rsid w:val="00232D5F"/>
    <w:rsid w:val="00232DD0"/>
    <w:rsid w:val="00232F58"/>
    <w:rsid w:val="00233001"/>
    <w:rsid w:val="002331C1"/>
    <w:rsid w:val="002332D7"/>
    <w:rsid w:val="00233328"/>
    <w:rsid w:val="00233612"/>
    <w:rsid w:val="00233618"/>
    <w:rsid w:val="00233A55"/>
    <w:rsid w:val="00233BFC"/>
    <w:rsid w:val="00233E62"/>
    <w:rsid w:val="00233FB6"/>
    <w:rsid w:val="002349A1"/>
    <w:rsid w:val="00234B14"/>
    <w:rsid w:val="00234B36"/>
    <w:rsid w:val="00234DC2"/>
    <w:rsid w:val="002352A3"/>
    <w:rsid w:val="00235521"/>
    <w:rsid w:val="00235526"/>
    <w:rsid w:val="00235582"/>
    <w:rsid w:val="00235A32"/>
    <w:rsid w:val="00235C72"/>
    <w:rsid w:val="00235E53"/>
    <w:rsid w:val="00236025"/>
    <w:rsid w:val="002360E8"/>
    <w:rsid w:val="00236230"/>
    <w:rsid w:val="002362C3"/>
    <w:rsid w:val="00236363"/>
    <w:rsid w:val="0023650F"/>
    <w:rsid w:val="00236663"/>
    <w:rsid w:val="0023666A"/>
    <w:rsid w:val="00236813"/>
    <w:rsid w:val="0023696C"/>
    <w:rsid w:val="00236970"/>
    <w:rsid w:val="00236AE9"/>
    <w:rsid w:val="00236BE3"/>
    <w:rsid w:val="00236F1C"/>
    <w:rsid w:val="00237324"/>
    <w:rsid w:val="0023771C"/>
    <w:rsid w:val="002378FF"/>
    <w:rsid w:val="00237B7C"/>
    <w:rsid w:val="00237C77"/>
    <w:rsid w:val="00237DAB"/>
    <w:rsid w:val="0024007D"/>
    <w:rsid w:val="00240103"/>
    <w:rsid w:val="00240604"/>
    <w:rsid w:val="002408BC"/>
    <w:rsid w:val="00240AFE"/>
    <w:rsid w:val="00240D3E"/>
    <w:rsid w:val="00240F05"/>
    <w:rsid w:val="0024109A"/>
    <w:rsid w:val="002415E3"/>
    <w:rsid w:val="002416E5"/>
    <w:rsid w:val="00241A1B"/>
    <w:rsid w:val="00241AAA"/>
    <w:rsid w:val="00241BB3"/>
    <w:rsid w:val="00241BCA"/>
    <w:rsid w:val="00241F4A"/>
    <w:rsid w:val="00241F95"/>
    <w:rsid w:val="002421D5"/>
    <w:rsid w:val="002424B4"/>
    <w:rsid w:val="002425A7"/>
    <w:rsid w:val="00242835"/>
    <w:rsid w:val="00242916"/>
    <w:rsid w:val="00242982"/>
    <w:rsid w:val="00242ADE"/>
    <w:rsid w:val="00242E21"/>
    <w:rsid w:val="00242F2F"/>
    <w:rsid w:val="002431AA"/>
    <w:rsid w:val="002435C9"/>
    <w:rsid w:val="002437DB"/>
    <w:rsid w:val="002438A1"/>
    <w:rsid w:val="0024397B"/>
    <w:rsid w:val="00243C2E"/>
    <w:rsid w:val="00243CC7"/>
    <w:rsid w:val="00244114"/>
    <w:rsid w:val="002442E8"/>
    <w:rsid w:val="00244BB9"/>
    <w:rsid w:val="00244E13"/>
    <w:rsid w:val="0024522D"/>
    <w:rsid w:val="00245418"/>
    <w:rsid w:val="00245515"/>
    <w:rsid w:val="00245527"/>
    <w:rsid w:val="002459A3"/>
    <w:rsid w:val="00245FDB"/>
    <w:rsid w:val="00246193"/>
    <w:rsid w:val="002463D3"/>
    <w:rsid w:val="00246734"/>
    <w:rsid w:val="00246964"/>
    <w:rsid w:val="00246A33"/>
    <w:rsid w:val="00246B92"/>
    <w:rsid w:val="00246DDA"/>
    <w:rsid w:val="00247406"/>
    <w:rsid w:val="00247854"/>
    <w:rsid w:val="00247ED7"/>
    <w:rsid w:val="00250254"/>
    <w:rsid w:val="0025028C"/>
    <w:rsid w:val="002504DE"/>
    <w:rsid w:val="00250904"/>
    <w:rsid w:val="00250A65"/>
    <w:rsid w:val="00250A7E"/>
    <w:rsid w:val="00250BDE"/>
    <w:rsid w:val="00250C8F"/>
    <w:rsid w:val="00251068"/>
    <w:rsid w:val="0025126B"/>
    <w:rsid w:val="00251355"/>
    <w:rsid w:val="002513B4"/>
    <w:rsid w:val="0025162A"/>
    <w:rsid w:val="00251691"/>
    <w:rsid w:val="002516AF"/>
    <w:rsid w:val="00251721"/>
    <w:rsid w:val="002519BC"/>
    <w:rsid w:val="00251DEA"/>
    <w:rsid w:val="00251E7C"/>
    <w:rsid w:val="0025275C"/>
    <w:rsid w:val="00252C8E"/>
    <w:rsid w:val="00253145"/>
    <w:rsid w:val="002535DA"/>
    <w:rsid w:val="002538E9"/>
    <w:rsid w:val="002540DC"/>
    <w:rsid w:val="002542EE"/>
    <w:rsid w:val="002543F4"/>
    <w:rsid w:val="002547AE"/>
    <w:rsid w:val="00254B48"/>
    <w:rsid w:val="00255251"/>
    <w:rsid w:val="00255328"/>
    <w:rsid w:val="0025547F"/>
    <w:rsid w:val="002554AD"/>
    <w:rsid w:val="0025567B"/>
    <w:rsid w:val="002556A9"/>
    <w:rsid w:val="00255740"/>
    <w:rsid w:val="00255BB5"/>
    <w:rsid w:val="0025601D"/>
    <w:rsid w:val="002561E8"/>
    <w:rsid w:val="00256BFF"/>
    <w:rsid w:val="00256CC6"/>
    <w:rsid w:val="00256FBF"/>
    <w:rsid w:val="00256FC9"/>
    <w:rsid w:val="002571A7"/>
    <w:rsid w:val="00257818"/>
    <w:rsid w:val="00257AAC"/>
    <w:rsid w:val="00260570"/>
    <w:rsid w:val="00260B3A"/>
    <w:rsid w:val="00260CC8"/>
    <w:rsid w:val="00260DD0"/>
    <w:rsid w:val="0026111A"/>
    <w:rsid w:val="0026112A"/>
    <w:rsid w:val="002612A0"/>
    <w:rsid w:val="002616C5"/>
    <w:rsid w:val="00261E9C"/>
    <w:rsid w:val="002623F0"/>
    <w:rsid w:val="0026242D"/>
    <w:rsid w:val="0026261E"/>
    <w:rsid w:val="00262B0C"/>
    <w:rsid w:val="00263044"/>
    <w:rsid w:val="00263415"/>
    <w:rsid w:val="0026374B"/>
    <w:rsid w:val="0026390A"/>
    <w:rsid w:val="00263A4E"/>
    <w:rsid w:val="00263B8E"/>
    <w:rsid w:val="00263CCA"/>
    <w:rsid w:val="00264261"/>
    <w:rsid w:val="00264494"/>
    <w:rsid w:val="002649B6"/>
    <w:rsid w:val="00264BD4"/>
    <w:rsid w:val="002650C5"/>
    <w:rsid w:val="002656E0"/>
    <w:rsid w:val="002659FD"/>
    <w:rsid w:val="00265BB6"/>
    <w:rsid w:val="00265C95"/>
    <w:rsid w:val="00266004"/>
    <w:rsid w:val="00266371"/>
    <w:rsid w:val="002663BA"/>
    <w:rsid w:val="0026641C"/>
    <w:rsid w:val="00266815"/>
    <w:rsid w:val="00266893"/>
    <w:rsid w:val="00266958"/>
    <w:rsid w:val="00266A6D"/>
    <w:rsid w:val="00266B9B"/>
    <w:rsid w:val="00266EC0"/>
    <w:rsid w:val="00266F81"/>
    <w:rsid w:val="00267005"/>
    <w:rsid w:val="00267202"/>
    <w:rsid w:val="002676C9"/>
    <w:rsid w:val="00267A58"/>
    <w:rsid w:val="002700F4"/>
    <w:rsid w:val="002701C1"/>
    <w:rsid w:val="00270216"/>
    <w:rsid w:val="00270312"/>
    <w:rsid w:val="002703B5"/>
    <w:rsid w:val="00270D11"/>
    <w:rsid w:val="00270D36"/>
    <w:rsid w:val="00270DA9"/>
    <w:rsid w:val="00270E66"/>
    <w:rsid w:val="00270ECA"/>
    <w:rsid w:val="00270EEC"/>
    <w:rsid w:val="00270FBB"/>
    <w:rsid w:val="002711FA"/>
    <w:rsid w:val="00271678"/>
    <w:rsid w:val="00271ACE"/>
    <w:rsid w:val="00271C62"/>
    <w:rsid w:val="00271C74"/>
    <w:rsid w:val="00271D01"/>
    <w:rsid w:val="0027201A"/>
    <w:rsid w:val="002720B1"/>
    <w:rsid w:val="002730B0"/>
    <w:rsid w:val="002731B9"/>
    <w:rsid w:val="00273347"/>
    <w:rsid w:val="002734BA"/>
    <w:rsid w:val="002736AB"/>
    <w:rsid w:val="002737F1"/>
    <w:rsid w:val="00274219"/>
    <w:rsid w:val="002742F8"/>
    <w:rsid w:val="0027440D"/>
    <w:rsid w:val="00274557"/>
    <w:rsid w:val="00274756"/>
    <w:rsid w:val="0027495F"/>
    <w:rsid w:val="002753A0"/>
    <w:rsid w:val="00275509"/>
    <w:rsid w:val="0027571E"/>
    <w:rsid w:val="00275771"/>
    <w:rsid w:val="002759E8"/>
    <w:rsid w:val="00275CF5"/>
    <w:rsid w:val="00275DBF"/>
    <w:rsid w:val="00276285"/>
    <w:rsid w:val="0027633C"/>
    <w:rsid w:val="00276C1B"/>
    <w:rsid w:val="00276C45"/>
    <w:rsid w:val="00276C66"/>
    <w:rsid w:val="00276DB6"/>
    <w:rsid w:val="00276ED0"/>
    <w:rsid w:val="0027748F"/>
    <w:rsid w:val="00277923"/>
    <w:rsid w:val="00277B84"/>
    <w:rsid w:val="00277C4A"/>
    <w:rsid w:val="00277C5D"/>
    <w:rsid w:val="00277C78"/>
    <w:rsid w:val="00277C9B"/>
    <w:rsid w:val="00277E07"/>
    <w:rsid w:val="00277F4C"/>
    <w:rsid w:val="002802DD"/>
    <w:rsid w:val="0028032F"/>
    <w:rsid w:val="002805A1"/>
    <w:rsid w:val="00280D52"/>
    <w:rsid w:val="00281482"/>
    <w:rsid w:val="0028190F"/>
    <w:rsid w:val="002819A6"/>
    <w:rsid w:val="00281F14"/>
    <w:rsid w:val="00281F66"/>
    <w:rsid w:val="002824F0"/>
    <w:rsid w:val="00282527"/>
    <w:rsid w:val="00282751"/>
    <w:rsid w:val="00282799"/>
    <w:rsid w:val="00282AE1"/>
    <w:rsid w:val="0028301F"/>
    <w:rsid w:val="002832BD"/>
    <w:rsid w:val="0028351A"/>
    <w:rsid w:val="002836BB"/>
    <w:rsid w:val="002836E8"/>
    <w:rsid w:val="002838C0"/>
    <w:rsid w:val="00283E82"/>
    <w:rsid w:val="002843E1"/>
    <w:rsid w:val="0028453C"/>
    <w:rsid w:val="002846BE"/>
    <w:rsid w:val="00284A85"/>
    <w:rsid w:val="00284CA5"/>
    <w:rsid w:val="00285017"/>
    <w:rsid w:val="00285352"/>
    <w:rsid w:val="00285417"/>
    <w:rsid w:val="00285884"/>
    <w:rsid w:val="00285B98"/>
    <w:rsid w:val="002863F7"/>
    <w:rsid w:val="002868BE"/>
    <w:rsid w:val="002868FD"/>
    <w:rsid w:val="00286BF7"/>
    <w:rsid w:val="00286C36"/>
    <w:rsid w:val="00286F3E"/>
    <w:rsid w:val="0028703F"/>
    <w:rsid w:val="0028710C"/>
    <w:rsid w:val="0028730F"/>
    <w:rsid w:val="00287819"/>
    <w:rsid w:val="00287903"/>
    <w:rsid w:val="00287AA3"/>
    <w:rsid w:val="00287B61"/>
    <w:rsid w:val="00287E2A"/>
    <w:rsid w:val="00290033"/>
    <w:rsid w:val="002900A2"/>
    <w:rsid w:val="002901DD"/>
    <w:rsid w:val="002905AC"/>
    <w:rsid w:val="00290922"/>
    <w:rsid w:val="00290B2A"/>
    <w:rsid w:val="00290B55"/>
    <w:rsid w:val="00290CD5"/>
    <w:rsid w:val="00290D8A"/>
    <w:rsid w:val="00290DA0"/>
    <w:rsid w:val="00290F94"/>
    <w:rsid w:val="00290FF7"/>
    <w:rsid w:val="002911BB"/>
    <w:rsid w:val="002911C2"/>
    <w:rsid w:val="002912A6"/>
    <w:rsid w:val="0029166C"/>
    <w:rsid w:val="0029197D"/>
    <w:rsid w:val="00291BE6"/>
    <w:rsid w:val="00291C6A"/>
    <w:rsid w:val="00291D13"/>
    <w:rsid w:val="002921C4"/>
    <w:rsid w:val="0029233F"/>
    <w:rsid w:val="002923D1"/>
    <w:rsid w:val="00292679"/>
    <w:rsid w:val="00292979"/>
    <w:rsid w:val="00292DAC"/>
    <w:rsid w:val="00292EC6"/>
    <w:rsid w:val="0029329C"/>
    <w:rsid w:val="002932DF"/>
    <w:rsid w:val="002936F3"/>
    <w:rsid w:val="0029376A"/>
    <w:rsid w:val="00293A00"/>
    <w:rsid w:val="00293AA4"/>
    <w:rsid w:val="00293BBA"/>
    <w:rsid w:val="00293C31"/>
    <w:rsid w:val="00293CBB"/>
    <w:rsid w:val="00294149"/>
    <w:rsid w:val="00294208"/>
    <w:rsid w:val="00294B96"/>
    <w:rsid w:val="00294CCB"/>
    <w:rsid w:val="00294E92"/>
    <w:rsid w:val="00294FDE"/>
    <w:rsid w:val="00295418"/>
    <w:rsid w:val="002954CC"/>
    <w:rsid w:val="002955E3"/>
    <w:rsid w:val="00295662"/>
    <w:rsid w:val="002956FC"/>
    <w:rsid w:val="00295728"/>
    <w:rsid w:val="002957EA"/>
    <w:rsid w:val="0029585E"/>
    <w:rsid w:val="00295939"/>
    <w:rsid w:val="00295B70"/>
    <w:rsid w:val="002964C2"/>
    <w:rsid w:val="002966C9"/>
    <w:rsid w:val="002966E3"/>
    <w:rsid w:val="00296B77"/>
    <w:rsid w:val="00296B9E"/>
    <w:rsid w:val="00296CDF"/>
    <w:rsid w:val="0029713A"/>
    <w:rsid w:val="00297160"/>
    <w:rsid w:val="002971B6"/>
    <w:rsid w:val="002975CD"/>
    <w:rsid w:val="002979BC"/>
    <w:rsid w:val="00297A1E"/>
    <w:rsid w:val="00297D53"/>
    <w:rsid w:val="002A02DD"/>
    <w:rsid w:val="002A0308"/>
    <w:rsid w:val="002A04EB"/>
    <w:rsid w:val="002A0589"/>
    <w:rsid w:val="002A07E2"/>
    <w:rsid w:val="002A0D14"/>
    <w:rsid w:val="002A11CC"/>
    <w:rsid w:val="002A1253"/>
    <w:rsid w:val="002A1428"/>
    <w:rsid w:val="002A1571"/>
    <w:rsid w:val="002A1638"/>
    <w:rsid w:val="002A1776"/>
    <w:rsid w:val="002A18A9"/>
    <w:rsid w:val="002A1C7A"/>
    <w:rsid w:val="002A1E81"/>
    <w:rsid w:val="002A2037"/>
    <w:rsid w:val="002A2209"/>
    <w:rsid w:val="002A22AA"/>
    <w:rsid w:val="002A26E9"/>
    <w:rsid w:val="002A27D9"/>
    <w:rsid w:val="002A28DE"/>
    <w:rsid w:val="002A297F"/>
    <w:rsid w:val="002A2D2E"/>
    <w:rsid w:val="002A2D9D"/>
    <w:rsid w:val="002A378E"/>
    <w:rsid w:val="002A382A"/>
    <w:rsid w:val="002A3A6C"/>
    <w:rsid w:val="002A4142"/>
    <w:rsid w:val="002A42E4"/>
    <w:rsid w:val="002A42F9"/>
    <w:rsid w:val="002A4546"/>
    <w:rsid w:val="002A4877"/>
    <w:rsid w:val="002A4968"/>
    <w:rsid w:val="002A49E4"/>
    <w:rsid w:val="002A4BE0"/>
    <w:rsid w:val="002A4D68"/>
    <w:rsid w:val="002A4F5F"/>
    <w:rsid w:val="002A50FB"/>
    <w:rsid w:val="002A5192"/>
    <w:rsid w:val="002A5346"/>
    <w:rsid w:val="002A56FB"/>
    <w:rsid w:val="002A5AC9"/>
    <w:rsid w:val="002A5CDE"/>
    <w:rsid w:val="002A5DCF"/>
    <w:rsid w:val="002A6909"/>
    <w:rsid w:val="002A6933"/>
    <w:rsid w:val="002A6A32"/>
    <w:rsid w:val="002A6C94"/>
    <w:rsid w:val="002A6DA9"/>
    <w:rsid w:val="002A6E83"/>
    <w:rsid w:val="002A775D"/>
    <w:rsid w:val="002A79B5"/>
    <w:rsid w:val="002A7A13"/>
    <w:rsid w:val="002A7A86"/>
    <w:rsid w:val="002B01DA"/>
    <w:rsid w:val="002B02EA"/>
    <w:rsid w:val="002B088C"/>
    <w:rsid w:val="002B0A2C"/>
    <w:rsid w:val="002B0A4C"/>
    <w:rsid w:val="002B0B2A"/>
    <w:rsid w:val="002B0BD1"/>
    <w:rsid w:val="002B1483"/>
    <w:rsid w:val="002B1517"/>
    <w:rsid w:val="002B15C0"/>
    <w:rsid w:val="002B1B21"/>
    <w:rsid w:val="002B1B96"/>
    <w:rsid w:val="002B1BBA"/>
    <w:rsid w:val="002B1C1A"/>
    <w:rsid w:val="002B1C5F"/>
    <w:rsid w:val="002B1D4A"/>
    <w:rsid w:val="002B1D65"/>
    <w:rsid w:val="002B1F74"/>
    <w:rsid w:val="002B20C0"/>
    <w:rsid w:val="002B2543"/>
    <w:rsid w:val="002B25CC"/>
    <w:rsid w:val="002B2B27"/>
    <w:rsid w:val="002B2C2F"/>
    <w:rsid w:val="002B2D3B"/>
    <w:rsid w:val="002B2EF3"/>
    <w:rsid w:val="002B3434"/>
    <w:rsid w:val="002B3489"/>
    <w:rsid w:val="002B3727"/>
    <w:rsid w:val="002B37B5"/>
    <w:rsid w:val="002B37D4"/>
    <w:rsid w:val="002B3822"/>
    <w:rsid w:val="002B383E"/>
    <w:rsid w:val="002B3C87"/>
    <w:rsid w:val="002B4129"/>
    <w:rsid w:val="002B4646"/>
    <w:rsid w:val="002B475E"/>
    <w:rsid w:val="002B4D24"/>
    <w:rsid w:val="002B4EC1"/>
    <w:rsid w:val="002B4EE9"/>
    <w:rsid w:val="002B5035"/>
    <w:rsid w:val="002B5260"/>
    <w:rsid w:val="002B5268"/>
    <w:rsid w:val="002B5924"/>
    <w:rsid w:val="002B5C7D"/>
    <w:rsid w:val="002B5D43"/>
    <w:rsid w:val="002B5E2E"/>
    <w:rsid w:val="002B6051"/>
    <w:rsid w:val="002B62C0"/>
    <w:rsid w:val="002B63B2"/>
    <w:rsid w:val="002B65F9"/>
    <w:rsid w:val="002B6AFE"/>
    <w:rsid w:val="002B6D2A"/>
    <w:rsid w:val="002B6E30"/>
    <w:rsid w:val="002B6EE2"/>
    <w:rsid w:val="002B6F73"/>
    <w:rsid w:val="002B730D"/>
    <w:rsid w:val="002B74C3"/>
    <w:rsid w:val="002B778B"/>
    <w:rsid w:val="002B7829"/>
    <w:rsid w:val="002B785C"/>
    <w:rsid w:val="002B789E"/>
    <w:rsid w:val="002B7C61"/>
    <w:rsid w:val="002B7C9E"/>
    <w:rsid w:val="002B7EC4"/>
    <w:rsid w:val="002C00E8"/>
    <w:rsid w:val="002C0117"/>
    <w:rsid w:val="002C0677"/>
    <w:rsid w:val="002C0A3E"/>
    <w:rsid w:val="002C0AC2"/>
    <w:rsid w:val="002C0AE8"/>
    <w:rsid w:val="002C0C16"/>
    <w:rsid w:val="002C0D3C"/>
    <w:rsid w:val="002C0E16"/>
    <w:rsid w:val="002C0F14"/>
    <w:rsid w:val="002C105B"/>
    <w:rsid w:val="002C10EF"/>
    <w:rsid w:val="002C1113"/>
    <w:rsid w:val="002C1266"/>
    <w:rsid w:val="002C12AF"/>
    <w:rsid w:val="002C1745"/>
    <w:rsid w:val="002C184E"/>
    <w:rsid w:val="002C1D00"/>
    <w:rsid w:val="002C1D3A"/>
    <w:rsid w:val="002C2388"/>
    <w:rsid w:val="002C25A2"/>
    <w:rsid w:val="002C27E5"/>
    <w:rsid w:val="002C280F"/>
    <w:rsid w:val="002C289E"/>
    <w:rsid w:val="002C2B21"/>
    <w:rsid w:val="002C2B98"/>
    <w:rsid w:val="002C2D4E"/>
    <w:rsid w:val="002C30FA"/>
    <w:rsid w:val="002C3371"/>
    <w:rsid w:val="002C351F"/>
    <w:rsid w:val="002C3597"/>
    <w:rsid w:val="002C35D8"/>
    <w:rsid w:val="002C35F8"/>
    <w:rsid w:val="002C366E"/>
    <w:rsid w:val="002C368B"/>
    <w:rsid w:val="002C39E5"/>
    <w:rsid w:val="002C3A5C"/>
    <w:rsid w:val="002C3CFD"/>
    <w:rsid w:val="002C3FA3"/>
    <w:rsid w:val="002C3FAD"/>
    <w:rsid w:val="002C4203"/>
    <w:rsid w:val="002C459A"/>
    <w:rsid w:val="002C4880"/>
    <w:rsid w:val="002C4985"/>
    <w:rsid w:val="002C4B5D"/>
    <w:rsid w:val="002C4F45"/>
    <w:rsid w:val="002C511B"/>
    <w:rsid w:val="002C52E1"/>
    <w:rsid w:val="002C5398"/>
    <w:rsid w:val="002C56AC"/>
    <w:rsid w:val="002C5A61"/>
    <w:rsid w:val="002C5C7D"/>
    <w:rsid w:val="002C5CB9"/>
    <w:rsid w:val="002C5D0E"/>
    <w:rsid w:val="002C61E3"/>
    <w:rsid w:val="002C61EC"/>
    <w:rsid w:val="002C6414"/>
    <w:rsid w:val="002C6851"/>
    <w:rsid w:val="002C6A4E"/>
    <w:rsid w:val="002C70EE"/>
    <w:rsid w:val="002C71B0"/>
    <w:rsid w:val="002C75FC"/>
    <w:rsid w:val="002C7A8E"/>
    <w:rsid w:val="002C7B10"/>
    <w:rsid w:val="002C7CF9"/>
    <w:rsid w:val="002C7DD8"/>
    <w:rsid w:val="002C7F3B"/>
    <w:rsid w:val="002D03D9"/>
    <w:rsid w:val="002D0636"/>
    <w:rsid w:val="002D0734"/>
    <w:rsid w:val="002D12BC"/>
    <w:rsid w:val="002D162A"/>
    <w:rsid w:val="002D1A11"/>
    <w:rsid w:val="002D1A75"/>
    <w:rsid w:val="002D1E2C"/>
    <w:rsid w:val="002D2392"/>
    <w:rsid w:val="002D25AF"/>
    <w:rsid w:val="002D26F0"/>
    <w:rsid w:val="002D2E97"/>
    <w:rsid w:val="002D2FCF"/>
    <w:rsid w:val="002D324B"/>
    <w:rsid w:val="002D32AF"/>
    <w:rsid w:val="002D33B1"/>
    <w:rsid w:val="002D3456"/>
    <w:rsid w:val="002D3623"/>
    <w:rsid w:val="002D37DC"/>
    <w:rsid w:val="002D37FE"/>
    <w:rsid w:val="002D3ADE"/>
    <w:rsid w:val="002D3E2E"/>
    <w:rsid w:val="002D3F8E"/>
    <w:rsid w:val="002D403A"/>
    <w:rsid w:val="002D41E9"/>
    <w:rsid w:val="002D4352"/>
    <w:rsid w:val="002D4505"/>
    <w:rsid w:val="002D459E"/>
    <w:rsid w:val="002D475C"/>
    <w:rsid w:val="002D4855"/>
    <w:rsid w:val="002D4929"/>
    <w:rsid w:val="002D4A04"/>
    <w:rsid w:val="002D50AE"/>
    <w:rsid w:val="002D5427"/>
    <w:rsid w:val="002D5598"/>
    <w:rsid w:val="002D56B5"/>
    <w:rsid w:val="002D56D5"/>
    <w:rsid w:val="002D5AFE"/>
    <w:rsid w:val="002D5F2E"/>
    <w:rsid w:val="002D60CC"/>
    <w:rsid w:val="002D6169"/>
    <w:rsid w:val="002D6643"/>
    <w:rsid w:val="002D684A"/>
    <w:rsid w:val="002D68FF"/>
    <w:rsid w:val="002D6934"/>
    <w:rsid w:val="002D6936"/>
    <w:rsid w:val="002D6A38"/>
    <w:rsid w:val="002D743D"/>
    <w:rsid w:val="002D7534"/>
    <w:rsid w:val="002D76FD"/>
    <w:rsid w:val="002D770A"/>
    <w:rsid w:val="002D7735"/>
    <w:rsid w:val="002D788F"/>
    <w:rsid w:val="002D7963"/>
    <w:rsid w:val="002D79F2"/>
    <w:rsid w:val="002D7B14"/>
    <w:rsid w:val="002D7FCE"/>
    <w:rsid w:val="002E0224"/>
    <w:rsid w:val="002E084E"/>
    <w:rsid w:val="002E085B"/>
    <w:rsid w:val="002E092F"/>
    <w:rsid w:val="002E0A65"/>
    <w:rsid w:val="002E12DA"/>
    <w:rsid w:val="002E1618"/>
    <w:rsid w:val="002E1E97"/>
    <w:rsid w:val="002E20E4"/>
    <w:rsid w:val="002E24CE"/>
    <w:rsid w:val="002E24D3"/>
    <w:rsid w:val="002E265A"/>
    <w:rsid w:val="002E2783"/>
    <w:rsid w:val="002E2A37"/>
    <w:rsid w:val="002E2BE9"/>
    <w:rsid w:val="002E2EF9"/>
    <w:rsid w:val="002E30FD"/>
    <w:rsid w:val="002E35F2"/>
    <w:rsid w:val="002E37C8"/>
    <w:rsid w:val="002E37CC"/>
    <w:rsid w:val="002E3950"/>
    <w:rsid w:val="002E3A98"/>
    <w:rsid w:val="002E3C0E"/>
    <w:rsid w:val="002E3C2F"/>
    <w:rsid w:val="002E3C33"/>
    <w:rsid w:val="002E3C34"/>
    <w:rsid w:val="002E3CDD"/>
    <w:rsid w:val="002E40BE"/>
    <w:rsid w:val="002E418A"/>
    <w:rsid w:val="002E41EF"/>
    <w:rsid w:val="002E4409"/>
    <w:rsid w:val="002E447A"/>
    <w:rsid w:val="002E4592"/>
    <w:rsid w:val="002E4758"/>
    <w:rsid w:val="002E4BE2"/>
    <w:rsid w:val="002E4C23"/>
    <w:rsid w:val="002E506A"/>
    <w:rsid w:val="002E5086"/>
    <w:rsid w:val="002E5205"/>
    <w:rsid w:val="002E5206"/>
    <w:rsid w:val="002E5228"/>
    <w:rsid w:val="002E52F0"/>
    <w:rsid w:val="002E53E2"/>
    <w:rsid w:val="002E5772"/>
    <w:rsid w:val="002E58BB"/>
    <w:rsid w:val="002E5956"/>
    <w:rsid w:val="002E5AAE"/>
    <w:rsid w:val="002E5D1B"/>
    <w:rsid w:val="002E5FF7"/>
    <w:rsid w:val="002E60A7"/>
    <w:rsid w:val="002E6239"/>
    <w:rsid w:val="002E6666"/>
    <w:rsid w:val="002E6671"/>
    <w:rsid w:val="002E66AB"/>
    <w:rsid w:val="002E67C2"/>
    <w:rsid w:val="002E69DE"/>
    <w:rsid w:val="002E6E35"/>
    <w:rsid w:val="002E704F"/>
    <w:rsid w:val="002E70EA"/>
    <w:rsid w:val="002E73F3"/>
    <w:rsid w:val="002E749F"/>
    <w:rsid w:val="002E7549"/>
    <w:rsid w:val="002E78E1"/>
    <w:rsid w:val="002E79FD"/>
    <w:rsid w:val="002E7B86"/>
    <w:rsid w:val="002E7B87"/>
    <w:rsid w:val="002E7BFB"/>
    <w:rsid w:val="002E7D8F"/>
    <w:rsid w:val="002E7D9E"/>
    <w:rsid w:val="002F0365"/>
    <w:rsid w:val="002F05A9"/>
    <w:rsid w:val="002F086C"/>
    <w:rsid w:val="002F0A55"/>
    <w:rsid w:val="002F0AE8"/>
    <w:rsid w:val="002F0BF9"/>
    <w:rsid w:val="002F1157"/>
    <w:rsid w:val="002F19AE"/>
    <w:rsid w:val="002F1A62"/>
    <w:rsid w:val="002F1AB7"/>
    <w:rsid w:val="002F203E"/>
    <w:rsid w:val="002F2109"/>
    <w:rsid w:val="002F2624"/>
    <w:rsid w:val="002F2628"/>
    <w:rsid w:val="002F2B82"/>
    <w:rsid w:val="002F2DFD"/>
    <w:rsid w:val="002F33DD"/>
    <w:rsid w:val="002F3410"/>
    <w:rsid w:val="002F36B1"/>
    <w:rsid w:val="002F3986"/>
    <w:rsid w:val="002F39A7"/>
    <w:rsid w:val="002F3AA5"/>
    <w:rsid w:val="002F3E16"/>
    <w:rsid w:val="002F3E94"/>
    <w:rsid w:val="002F3EAF"/>
    <w:rsid w:val="002F40C7"/>
    <w:rsid w:val="002F4328"/>
    <w:rsid w:val="002F43CF"/>
    <w:rsid w:val="002F45DE"/>
    <w:rsid w:val="002F4612"/>
    <w:rsid w:val="002F48B4"/>
    <w:rsid w:val="002F49DE"/>
    <w:rsid w:val="002F4BAE"/>
    <w:rsid w:val="002F4C1B"/>
    <w:rsid w:val="002F4E09"/>
    <w:rsid w:val="002F539C"/>
    <w:rsid w:val="002F5471"/>
    <w:rsid w:val="002F56B7"/>
    <w:rsid w:val="002F57E0"/>
    <w:rsid w:val="002F58B2"/>
    <w:rsid w:val="002F5BC2"/>
    <w:rsid w:val="002F5E35"/>
    <w:rsid w:val="002F5E5D"/>
    <w:rsid w:val="002F63A3"/>
    <w:rsid w:val="002F6816"/>
    <w:rsid w:val="002F6832"/>
    <w:rsid w:val="002F6A67"/>
    <w:rsid w:val="002F6CAB"/>
    <w:rsid w:val="002F70FF"/>
    <w:rsid w:val="002F7187"/>
    <w:rsid w:val="002F7579"/>
    <w:rsid w:val="002F7650"/>
    <w:rsid w:val="002F7AEF"/>
    <w:rsid w:val="002F7C0F"/>
    <w:rsid w:val="00300468"/>
    <w:rsid w:val="0030053A"/>
    <w:rsid w:val="00300614"/>
    <w:rsid w:val="0030071F"/>
    <w:rsid w:val="00300E2A"/>
    <w:rsid w:val="00300E3F"/>
    <w:rsid w:val="00300EB9"/>
    <w:rsid w:val="00300F29"/>
    <w:rsid w:val="00301331"/>
    <w:rsid w:val="003013D7"/>
    <w:rsid w:val="0030194D"/>
    <w:rsid w:val="00301B25"/>
    <w:rsid w:val="00301E50"/>
    <w:rsid w:val="00302030"/>
    <w:rsid w:val="00302141"/>
    <w:rsid w:val="003023E1"/>
    <w:rsid w:val="003026D6"/>
    <w:rsid w:val="00302873"/>
    <w:rsid w:val="00302C2F"/>
    <w:rsid w:val="00302C42"/>
    <w:rsid w:val="00302FD8"/>
    <w:rsid w:val="0030352C"/>
    <w:rsid w:val="0030392E"/>
    <w:rsid w:val="00303D46"/>
    <w:rsid w:val="00304201"/>
    <w:rsid w:val="00304393"/>
    <w:rsid w:val="00304720"/>
    <w:rsid w:val="003047A8"/>
    <w:rsid w:val="00304EC6"/>
    <w:rsid w:val="00305860"/>
    <w:rsid w:val="003059CC"/>
    <w:rsid w:val="00305C09"/>
    <w:rsid w:val="0030633F"/>
    <w:rsid w:val="00306446"/>
    <w:rsid w:val="0030648D"/>
    <w:rsid w:val="003065A8"/>
    <w:rsid w:val="00306877"/>
    <w:rsid w:val="003068C2"/>
    <w:rsid w:val="00306973"/>
    <w:rsid w:val="00306D11"/>
    <w:rsid w:val="00306F53"/>
    <w:rsid w:val="003072E2"/>
    <w:rsid w:val="00307314"/>
    <w:rsid w:val="00307647"/>
    <w:rsid w:val="00307875"/>
    <w:rsid w:val="00307AE5"/>
    <w:rsid w:val="00307B83"/>
    <w:rsid w:val="00307BE3"/>
    <w:rsid w:val="00307EBB"/>
    <w:rsid w:val="00310425"/>
    <w:rsid w:val="0031068C"/>
    <w:rsid w:val="00310747"/>
    <w:rsid w:val="003107D2"/>
    <w:rsid w:val="003108B7"/>
    <w:rsid w:val="003108ED"/>
    <w:rsid w:val="00310CFB"/>
    <w:rsid w:val="00311118"/>
    <w:rsid w:val="00311319"/>
    <w:rsid w:val="003113C7"/>
    <w:rsid w:val="00312243"/>
    <w:rsid w:val="00312564"/>
    <w:rsid w:val="00312865"/>
    <w:rsid w:val="0031294D"/>
    <w:rsid w:val="003129AF"/>
    <w:rsid w:val="003129F5"/>
    <w:rsid w:val="00312ABF"/>
    <w:rsid w:val="00312C89"/>
    <w:rsid w:val="00313C00"/>
    <w:rsid w:val="00313C40"/>
    <w:rsid w:val="00313C96"/>
    <w:rsid w:val="00313D7B"/>
    <w:rsid w:val="00313DFA"/>
    <w:rsid w:val="003142AD"/>
    <w:rsid w:val="003142CD"/>
    <w:rsid w:val="00314682"/>
    <w:rsid w:val="00314825"/>
    <w:rsid w:val="00314C42"/>
    <w:rsid w:val="00314D0C"/>
    <w:rsid w:val="00314EB1"/>
    <w:rsid w:val="00314F0A"/>
    <w:rsid w:val="00315001"/>
    <w:rsid w:val="00315071"/>
    <w:rsid w:val="00315217"/>
    <w:rsid w:val="00315277"/>
    <w:rsid w:val="003152BA"/>
    <w:rsid w:val="0031546A"/>
    <w:rsid w:val="0031560F"/>
    <w:rsid w:val="00315626"/>
    <w:rsid w:val="00315729"/>
    <w:rsid w:val="00315925"/>
    <w:rsid w:val="00315B21"/>
    <w:rsid w:val="00315BDF"/>
    <w:rsid w:val="00316165"/>
    <w:rsid w:val="003164CC"/>
    <w:rsid w:val="00316574"/>
    <w:rsid w:val="0031676A"/>
    <w:rsid w:val="003168A4"/>
    <w:rsid w:val="00316971"/>
    <w:rsid w:val="00317084"/>
    <w:rsid w:val="003175DD"/>
    <w:rsid w:val="00317810"/>
    <w:rsid w:val="00317991"/>
    <w:rsid w:val="003179F5"/>
    <w:rsid w:val="003204CF"/>
    <w:rsid w:val="00320686"/>
    <w:rsid w:val="003207AE"/>
    <w:rsid w:val="0032094E"/>
    <w:rsid w:val="003209F8"/>
    <w:rsid w:val="00321513"/>
    <w:rsid w:val="00321680"/>
    <w:rsid w:val="00321E77"/>
    <w:rsid w:val="00322268"/>
    <w:rsid w:val="003222EC"/>
    <w:rsid w:val="00322791"/>
    <w:rsid w:val="003228FC"/>
    <w:rsid w:val="003229F2"/>
    <w:rsid w:val="00322A08"/>
    <w:rsid w:val="00322BCA"/>
    <w:rsid w:val="00322D63"/>
    <w:rsid w:val="00323C18"/>
    <w:rsid w:val="00323C95"/>
    <w:rsid w:val="00323DF2"/>
    <w:rsid w:val="003241FC"/>
    <w:rsid w:val="00324502"/>
    <w:rsid w:val="003248BB"/>
    <w:rsid w:val="003249B5"/>
    <w:rsid w:val="00324AAB"/>
    <w:rsid w:val="00324B9C"/>
    <w:rsid w:val="00324BC3"/>
    <w:rsid w:val="00324BD0"/>
    <w:rsid w:val="00324C7C"/>
    <w:rsid w:val="00325265"/>
    <w:rsid w:val="003253BF"/>
    <w:rsid w:val="003255DF"/>
    <w:rsid w:val="00325681"/>
    <w:rsid w:val="0032591A"/>
    <w:rsid w:val="00325A79"/>
    <w:rsid w:val="00325BCD"/>
    <w:rsid w:val="00325C33"/>
    <w:rsid w:val="00325F5F"/>
    <w:rsid w:val="00325FEA"/>
    <w:rsid w:val="003261D2"/>
    <w:rsid w:val="003261F0"/>
    <w:rsid w:val="003262D8"/>
    <w:rsid w:val="0032632C"/>
    <w:rsid w:val="003268D9"/>
    <w:rsid w:val="00326A25"/>
    <w:rsid w:val="00326DD4"/>
    <w:rsid w:val="003270A1"/>
    <w:rsid w:val="003274FA"/>
    <w:rsid w:val="00327881"/>
    <w:rsid w:val="00327915"/>
    <w:rsid w:val="00327A7C"/>
    <w:rsid w:val="00327B00"/>
    <w:rsid w:val="00327C24"/>
    <w:rsid w:val="00327CD7"/>
    <w:rsid w:val="00327DCD"/>
    <w:rsid w:val="003300F9"/>
    <w:rsid w:val="003304C3"/>
    <w:rsid w:val="003306CE"/>
    <w:rsid w:val="00330864"/>
    <w:rsid w:val="003310BF"/>
    <w:rsid w:val="003313A6"/>
    <w:rsid w:val="003313DA"/>
    <w:rsid w:val="00331566"/>
    <w:rsid w:val="003316F0"/>
    <w:rsid w:val="003317B3"/>
    <w:rsid w:val="00331F73"/>
    <w:rsid w:val="00332223"/>
    <w:rsid w:val="003326EA"/>
    <w:rsid w:val="00332A06"/>
    <w:rsid w:val="00332A63"/>
    <w:rsid w:val="003332D2"/>
    <w:rsid w:val="00333464"/>
    <w:rsid w:val="00333535"/>
    <w:rsid w:val="0033362E"/>
    <w:rsid w:val="003338C2"/>
    <w:rsid w:val="00333A3D"/>
    <w:rsid w:val="0033407B"/>
    <w:rsid w:val="0033416D"/>
    <w:rsid w:val="0033421A"/>
    <w:rsid w:val="0033433C"/>
    <w:rsid w:val="00334340"/>
    <w:rsid w:val="003344EC"/>
    <w:rsid w:val="003345CB"/>
    <w:rsid w:val="003346D1"/>
    <w:rsid w:val="00334922"/>
    <w:rsid w:val="00334CA8"/>
    <w:rsid w:val="0033515D"/>
    <w:rsid w:val="003354D8"/>
    <w:rsid w:val="00335716"/>
    <w:rsid w:val="00335842"/>
    <w:rsid w:val="00335BF1"/>
    <w:rsid w:val="00335F82"/>
    <w:rsid w:val="003361A5"/>
    <w:rsid w:val="00336211"/>
    <w:rsid w:val="0033696D"/>
    <w:rsid w:val="003369CC"/>
    <w:rsid w:val="00336BAD"/>
    <w:rsid w:val="00336C71"/>
    <w:rsid w:val="00336D3C"/>
    <w:rsid w:val="003370BC"/>
    <w:rsid w:val="003373D5"/>
    <w:rsid w:val="003379FA"/>
    <w:rsid w:val="00337CAA"/>
    <w:rsid w:val="00337E08"/>
    <w:rsid w:val="00337EAF"/>
    <w:rsid w:val="00337EC6"/>
    <w:rsid w:val="00337F48"/>
    <w:rsid w:val="00340291"/>
    <w:rsid w:val="00340703"/>
    <w:rsid w:val="0034072F"/>
    <w:rsid w:val="003409DB"/>
    <w:rsid w:val="00340A2A"/>
    <w:rsid w:val="00340B80"/>
    <w:rsid w:val="00340E1D"/>
    <w:rsid w:val="00341274"/>
    <w:rsid w:val="00341479"/>
    <w:rsid w:val="0034157B"/>
    <w:rsid w:val="0034165E"/>
    <w:rsid w:val="00341766"/>
    <w:rsid w:val="00341867"/>
    <w:rsid w:val="003418A2"/>
    <w:rsid w:val="00341E07"/>
    <w:rsid w:val="003423BB"/>
    <w:rsid w:val="00342436"/>
    <w:rsid w:val="00342DC5"/>
    <w:rsid w:val="00342E06"/>
    <w:rsid w:val="00342F42"/>
    <w:rsid w:val="00342F6F"/>
    <w:rsid w:val="00342F7D"/>
    <w:rsid w:val="00342F8A"/>
    <w:rsid w:val="00343514"/>
    <w:rsid w:val="0034353E"/>
    <w:rsid w:val="00343584"/>
    <w:rsid w:val="003436FC"/>
    <w:rsid w:val="00343749"/>
    <w:rsid w:val="00344166"/>
    <w:rsid w:val="00344197"/>
    <w:rsid w:val="00344284"/>
    <w:rsid w:val="00344299"/>
    <w:rsid w:val="003442A6"/>
    <w:rsid w:val="00344306"/>
    <w:rsid w:val="00344321"/>
    <w:rsid w:val="00344364"/>
    <w:rsid w:val="00344CF5"/>
    <w:rsid w:val="00344D4B"/>
    <w:rsid w:val="00344DFB"/>
    <w:rsid w:val="00345197"/>
    <w:rsid w:val="00345252"/>
    <w:rsid w:val="00345300"/>
    <w:rsid w:val="003454C8"/>
    <w:rsid w:val="003455DA"/>
    <w:rsid w:val="00345650"/>
    <w:rsid w:val="00345BC1"/>
    <w:rsid w:val="00345D5C"/>
    <w:rsid w:val="003460C9"/>
    <w:rsid w:val="003463F2"/>
    <w:rsid w:val="00346712"/>
    <w:rsid w:val="003467C3"/>
    <w:rsid w:val="003468AA"/>
    <w:rsid w:val="0034694E"/>
    <w:rsid w:val="00346C34"/>
    <w:rsid w:val="00346C46"/>
    <w:rsid w:val="00346F49"/>
    <w:rsid w:val="003474B6"/>
    <w:rsid w:val="00347560"/>
    <w:rsid w:val="00347798"/>
    <w:rsid w:val="00347853"/>
    <w:rsid w:val="003479F6"/>
    <w:rsid w:val="00347F44"/>
    <w:rsid w:val="00350165"/>
    <w:rsid w:val="0035029B"/>
    <w:rsid w:val="003505D6"/>
    <w:rsid w:val="003509D2"/>
    <w:rsid w:val="00350ABC"/>
    <w:rsid w:val="00350BD7"/>
    <w:rsid w:val="00350C8D"/>
    <w:rsid w:val="00350CB3"/>
    <w:rsid w:val="00350D08"/>
    <w:rsid w:val="00350F81"/>
    <w:rsid w:val="00351100"/>
    <w:rsid w:val="003511E2"/>
    <w:rsid w:val="00351317"/>
    <w:rsid w:val="0035146C"/>
    <w:rsid w:val="00351486"/>
    <w:rsid w:val="00351FF6"/>
    <w:rsid w:val="0035214F"/>
    <w:rsid w:val="003521F5"/>
    <w:rsid w:val="00352264"/>
    <w:rsid w:val="003526C1"/>
    <w:rsid w:val="00352748"/>
    <w:rsid w:val="00352C4E"/>
    <w:rsid w:val="00352D69"/>
    <w:rsid w:val="00352F3D"/>
    <w:rsid w:val="00352FA9"/>
    <w:rsid w:val="00353590"/>
    <w:rsid w:val="00354018"/>
    <w:rsid w:val="0035405F"/>
    <w:rsid w:val="00354210"/>
    <w:rsid w:val="00354563"/>
    <w:rsid w:val="0035489D"/>
    <w:rsid w:val="00354DA0"/>
    <w:rsid w:val="003552E5"/>
    <w:rsid w:val="0035537D"/>
    <w:rsid w:val="003553B7"/>
    <w:rsid w:val="003558F7"/>
    <w:rsid w:val="00355935"/>
    <w:rsid w:val="003559B6"/>
    <w:rsid w:val="00355C22"/>
    <w:rsid w:val="00355DAE"/>
    <w:rsid w:val="00356221"/>
    <w:rsid w:val="00356307"/>
    <w:rsid w:val="00356741"/>
    <w:rsid w:val="0035682C"/>
    <w:rsid w:val="003569C3"/>
    <w:rsid w:val="00357470"/>
    <w:rsid w:val="00357595"/>
    <w:rsid w:val="003600AD"/>
    <w:rsid w:val="00360125"/>
    <w:rsid w:val="0036015E"/>
    <w:rsid w:val="003608D1"/>
    <w:rsid w:val="003608DE"/>
    <w:rsid w:val="00360C37"/>
    <w:rsid w:val="003610A4"/>
    <w:rsid w:val="00361393"/>
    <w:rsid w:val="003613AE"/>
    <w:rsid w:val="0036166D"/>
    <w:rsid w:val="003618E9"/>
    <w:rsid w:val="00361924"/>
    <w:rsid w:val="00361A73"/>
    <w:rsid w:val="00361B20"/>
    <w:rsid w:val="00361DAA"/>
    <w:rsid w:val="00361EA1"/>
    <w:rsid w:val="00361FA8"/>
    <w:rsid w:val="003622E1"/>
    <w:rsid w:val="003626FD"/>
    <w:rsid w:val="00362882"/>
    <w:rsid w:val="00362931"/>
    <w:rsid w:val="003629AD"/>
    <w:rsid w:val="00362F4E"/>
    <w:rsid w:val="003634E6"/>
    <w:rsid w:val="003635E8"/>
    <w:rsid w:val="003636AC"/>
    <w:rsid w:val="003638AD"/>
    <w:rsid w:val="00363C1A"/>
    <w:rsid w:val="00363FB6"/>
    <w:rsid w:val="0036402C"/>
    <w:rsid w:val="003641A5"/>
    <w:rsid w:val="003644B4"/>
    <w:rsid w:val="003644DD"/>
    <w:rsid w:val="003645DC"/>
    <w:rsid w:val="0036467E"/>
    <w:rsid w:val="0036491C"/>
    <w:rsid w:val="003649F4"/>
    <w:rsid w:val="00364FE1"/>
    <w:rsid w:val="0036550A"/>
    <w:rsid w:val="003655D5"/>
    <w:rsid w:val="003658FF"/>
    <w:rsid w:val="003659B1"/>
    <w:rsid w:val="00365D61"/>
    <w:rsid w:val="00365E1F"/>
    <w:rsid w:val="00365F57"/>
    <w:rsid w:val="003660ED"/>
    <w:rsid w:val="00366111"/>
    <w:rsid w:val="003661CE"/>
    <w:rsid w:val="003664D4"/>
    <w:rsid w:val="00366793"/>
    <w:rsid w:val="00366B4D"/>
    <w:rsid w:val="00366D01"/>
    <w:rsid w:val="00366F54"/>
    <w:rsid w:val="00367078"/>
    <w:rsid w:val="00367293"/>
    <w:rsid w:val="003673DE"/>
    <w:rsid w:val="0036744E"/>
    <w:rsid w:val="003679AE"/>
    <w:rsid w:val="00367AC5"/>
    <w:rsid w:val="0037011F"/>
    <w:rsid w:val="00370254"/>
    <w:rsid w:val="00370332"/>
    <w:rsid w:val="00370394"/>
    <w:rsid w:val="003708D8"/>
    <w:rsid w:val="00370B3B"/>
    <w:rsid w:val="00370B3E"/>
    <w:rsid w:val="00370B44"/>
    <w:rsid w:val="003710CD"/>
    <w:rsid w:val="0037142A"/>
    <w:rsid w:val="0037168B"/>
    <w:rsid w:val="00371694"/>
    <w:rsid w:val="00371CBA"/>
    <w:rsid w:val="00371E89"/>
    <w:rsid w:val="00371F1C"/>
    <w:rsid w:val="003723AE"/>
    <w:rsid w:val="00372536"/>
    <w:rsid w:val="0037260F"/>
    <w:rsid w:val="00372660"/>
    <w:rsid w:val="003729D0"/>
    <w:rsid w:val="00372E0B"/>
    <w:rsid w:val="00372E62"/>
    <w:rsid w:val="00372F05"/>
    <w:rsid w:val="00372F8A"/>
    <w:rsid w:val="003731E3"/>
    <w:rsid w:val="0037355E"/>
    <w:rsid w:val="0037356A"/>
    <w:rsid w:val="0037357C"/>
    <w:rsid w:val="00373BDB"/>
    <w:rsid w:val="00374231"/>
    <w:rsid w:val="00374263"/>
    <w:rsid w:val="003743A3"/>
    <w:rsid w:val="00374481"/>
    <w:rsid w:val="003746BB"/>
    <w:rsid w:val="003746D0"/>
    <w:rsid w:val="003746D3"/>
    <w:rsid w:val="00374765"/>
    <w:rsid w:val="003748C3"/>
    <w:rsid w:val="00374989"/>
    <w:rsid w:val="003749DD"/>
    <w:rsid w:val="00374AE0"/>
    <w:rsid w:val="00374BB1"/>
    <w:rsid w:val="00374C56"/>
    <w:rsid w:val="00374DAF"/>
    <w:rsid w:val="00374E59"/>
    <w:rsid w:val="00374E78"/>
    <w:rsid w:val="00374FF4"/>
    <w:rsid w:val="0037509B"/>
    <w:rsid w:val="00375CEA"/>
    <w:rsid w:val="003760C3"/>
    <w:rsid w:val="00376472"/>
    <w:rsid w:val="00376586"/>
    <w:rsid w:val="00376687"/>
    <w:rsid w:val="00376940"/>
    <w:rsid w:val="00376A6A"/>
    <w:rsid w:val="00376D16"/>
    <w:rsid w:val="00376D38"/>
    <w:rsid w:val="00377BE3"/>
    <w:rsid w:val="003800F2"/>
    <w:rsid w:val="00380979"/>
    <w:rsid w:val="00380AFA"/>
    <w:rsid w:val="00380B45"/>
    <w:rsid w:val="00380D47"/>
    <w:rsid w:val="00380F21"/>
    <w:rsid w:val="00380F5B"/>
    <w:rsid w:val="003812BC"/>
    <w:rsid w:val="003818E3"/>
    <w:rsid w:val="00381A4B"/>
    <w:rsid w:val="00381A61"/>
    <w:rsid w:val="00381B42"/>
    <w:rsid w:val="00381E1E"/>
    <w:rsid w:val="00381E76"/>
    <w:rsid w:val="003820BA"/>
    <w:rsid w:val="00382134"/>
    <w:rsid w:val="00382ABC"/>
    <w:rsid w:val="00382B0F"/>
    <w:rsid w:val="00382C37"/>
    <w:rsid w:val="00382DC0"/>
    <w:rsid w:val="003830CF"/>
    <w:rsid w:val="0038317F"/>
    <w:rsid w:val="00383190"/>
    <w:rsid w:val="00383312"/>
    <w:rsid w:val="003839C7"/>
    <w:rsid w:val="00383A5E"/>
    <w:rsid w:val="00383B60"/>
    <w:rsid w:val="00383C22"/>
    <w:rsid w:val="003841D3"/>
    <w:rsid w:val="00384540"/>
    <w:rsid w:val="00384649"/>
    <w:rsid w:val="00384D92"/>
    <w:rsid w:val="00384DB5"/>
    <w:rsid w:val="00384E37"/>
    <w:rsid w:val="00385125"/>
    <w:rsid w:val="0038551B"/>
    <w:rsid w:val="003855A0"/>
    <w:rsid w:val="003855A2"/>
    <w:rsid w:val="003856B0"/>
    <w:rsid w:val="003856B8"/>
    <w:rsid w:val="00385878"/>
    <w:rsid w:val="00385885"/>
    <w:rsid w:val="003858E9"/>
    <w:rsid w:val="00385D34"/>
    <w:rsid w:val="00385F94"/>
    <w:rsid w:val="00386325"/>
    <w:rsid w:val="00386332"/>
    <w:rsid w:val="0038667B"/>
    <w:rsid w:val="00386B76"/>
    <w:rsid w:val="00386D5E"/>
    <w:rsid w:val="00386F48"/>
    <w:rsid w:val="00387403"/>
    <w:rsid w:val="00387825"/>
    <w:rsid w:val="003878FD"/>
    <w:rsid w:val="00387C07"/>
    <w:rsid w:val="00387CBE"/>
    <w:rsid w:val="0039026F"/>
    <w:rsid w:val="003902E0"/>
    <w:rsid w:val="003903A6"/>
    <w:rsid w:val="003906C6"/>
    <w:rsid w:val="00390804"/>
    <w:rsid w:val="00390898"/>
    <w:rsid w:val="003909F0"/>
    <w:rsid w:val="00390D80"/>
    <w:rsid w:val="00391068"/>
    <w:rsid w:val="003910E1"/>
    <w:rsid w:val="0039132D"/>
    <w:rsid w:val="00391608"/>
    <w:rsid w:val="0039174A"/>
    <w:rsid w:val="00391789"/>
    <w:rsid w:val="003919B5"/>
    <w:rsid w:val="00391A8B"/>
    <w:rsid w:val="00391B5B"/>
    <w:rsid w:val="00392370"/>
    <w:rsid w:val="00392810"/>
    <w:rsid w:val="0039290F"/>
    <w:rsid w:val="00392E64"/>
    <w:rsid w:val="00393237"/>
    <w:rsid w:val="003938CA"/>
    <w:rsid w:val="003938E0"/>
    <w:rsid w:val="00393931"/>
    <w:rsid w:val="0039423B"/>
    <w:rsid w:val="003942F8"/>
    <w:rsid w:val="0039453B"/>
    <w:rsid w:val="00394574"/>
    <w:rsid w:val="00394673"/>
    <w:rsid w:val="0039479F"/>
    <w:rsid w:val="00394B2B"/>
    <w:rsid w:val="00394B82"/>
    <w:rsid w:val="00394BDC"/>
    <w:rsid w:val="00394D22"/>
    <w:rsid w:val="00394EC4"/>
    <w:rsid w:val="00395099"/>
    <w:rsid w:val="0039550B"/>
    <w:rsid w:val="00395588"/>
    <w:rsid w:val="003958C3"/>
    <w:rsid w:val="00395A08"/>
    <w:rsid w:val="00395A67"/>
    <w:rsid w:val="00395EF5"/>
    <w:rsid w:val="00396144"/>
    <w:rsid w:val="0039629D"/>
    <w:rsid w:val="00396871"/>
    <w:rsid w:val="00396E38"/>
    <w:rsid w:val="00396E3A"/>
    <w:rsid w:val="0039711E"/>
    <w:rsid w:val="00397D82"/>
    <w:rsid w:val="00397F85"/>
    <w:rsid w:val="00397FF2"/>
    <w:rsid w:val="003A0169"/>
    <w:rsid w:val="003A0231"/>
    <w:rsid w:val="003A0302"/>
    <w:rsid w:val="003A0326"/>
    <w:rsid w:val="003A0956"/>
    <w:rsid w:val="003A0BD7"/>
    <w:rsid w:val="003A0DE8"/>
    <w:rsid w:val="003A0ECE"/>
    <w:rsid w:val="003A12D7"/>
    <w:rsid w:val="003A1642"/>
    <w:rsid w:val="003A16BC"/>
    <w:rsid w:val="003A18C1"/>
    <w:rsid w:val="003A20B8"/>
    <w:rsid w:val="003A22A6"/>
    <w:rsid w:val="003A2453"/>
    <w:rsid w:val="003A24F1"/>
    <w:rsid w:val="003A26D1"/>
    <w:rsid w:val="003A2777"/>
    <w:rsid w:val="003A2953"/>
    <w:rsid w:val="003A31BE"/>
    <w:rsid w:val="003A35BC"/>
    <w:rsid w:val="003A369B"/>
    <w:rsid w:val="003A38E5"/>
    <w:rsid w:val="003A3905"/>
    <w:rsid w:val="003A3944"/>
    <w:rsid w:val="003A3CFA"/>
    <w:rsid w:val="003A4105"/>
    <w:rsid w:val="003A415D"/>
    <w:rsid w:val="003A4535"/>
    <w:rsid w:val="003A45B3"/>
    <w:rsid w:val="003A49C3"/>
    <w:rsid w:val="003A4D70"/>
    <w:rsid w:val="003A4E52"/>
    <w:rsid w:val="003A5173"/>
    <w:rsid w:val="003A51A3"/>
    <w:rsid w:val="003A5252"/>
    <w:rsid w:val="003A58B2"/>
    <w:rsid w:val="003A5CFB"/>
    <w:rsid w:val="003A5D3E"/>
    <w:rsid w:val="003A5E1C"/>
    <w:rsid w:val="003A68A0"/>
    <w:rsid w:val="003A6902"/>
    <w:rsid w:val="003A692B"/>
    <w:rsid w:val="003A69F2"/>
    <w:rsid w:val="003A6B90"/>
    <w:rsid w:val="003A6CAC"/>
    <w:rsid w:val="003A6D87"/>
    <w:rsid w:val="003A6FA5"/>
    <w:rsid w:val="003A748B"/>
    <w:rsid w:val="003A74EA"/>
    <w:rsid w:val="003A7627"/>
    <w:rsid w:val="003A77F2"/>
    <w:rsid w:val="003A7AB2"/>
    <w:rsid w:val="003A7C7F"/>
    <w:rsid w:val="003A7E66"/>
    <w:rsid w:val="003B01AB"/>
    <w:rsid w:val="003B023A"/>
    <w:rsid w:val="003B045F"/>
    <w:rsid w:val="003B0550"/>
    <w:rsid w:val="003B06F0"/>
    <w:rsid w:val="003B070A"/>
    <w:rsid w:val="003B0A17"/>
    <w:rsid w:val="003B0A32"/>
    <w:rsid w:val="003B0A40"/>
    <w:rsid w:val="003B0ABA"/>
    <w:rsid w:val="003B0B78"/>
    <w:rsid w:val="003B0FF2"/>
    <w:rsid w:val="003B133C"/>
    <w:rsid w:val="003B1535"/>
    <w:rsid w:val="003B167F"/>
    <w:rsid w:val="003B19FF"/>
    <w:rsid w:val="003B1B6E"/>
    <w:rsid w:val="003B1D2B"/>
    <w:rsid w:val="003B1E65"/>
    <w:rsid w:val="003B1F05"/>
    <w:rsid w:val="003B2152"/>
    <w:rsid w:val="003B22AE"/>
    <w:rsid w:val="003B2551"/>
    <w:rsid w:val="003B2814"/>
    <w:rsid w:val="003B2AF7"/>
    <w:rsid w:val="003B2EAC"/>
    <w:rsid w:val="003B310E"/>
    <w:rsid w:val="003B3248"/>
    <w:rsid w:val="003B35F4"/>
    <w:rsid w:val="003B3A20"/>
    <w:rsid w:val="003B3EB2"/>
    <w:rsid w:val="003B3F5B"/>
    <w:rsid w:val="003B4174"/>
    <w:rsid w:val="003B42C4"/>
    <w:rsid w:val="003B4549"/>
    <w:rsid w:val="003B4708"/>
    <w:rsid w:val="003B4851"/>
    <w:rsid w:val="003B4857"/>
    <w:rsid w:val="003B4A30"/>
    <w:rsid w:val="003B4D49"/>
    <w:rsid w:val="003B4E42"/>
    <w:rsid w:val="003B4F3C"/>
    <w:rsid w:val="003B501E"/>
    <w:rsid w:val="003B50C0"/>
    <w:rsid w:val="003B51E2"/>
    <w:rsid w:val="003B520E"/>
    <w:rsid w:val="003B53FB"/>
    <w:rsid w:val="003B54C1"/>
    <w:rsid w:val="003B5B92"/>
    <w:rsid w:val="003B5BB3"/>
    <w:rsid w:val="003B5C14"/>
    <w:rsid w:val="003B5DFA"/>
    <w:rsid w:val="003B60E5"/>
    <w:rsid w:val="003B64A6"/>
    <w:rsid w:val="003B66DA"/>
    <w:rsid w:val="003B6755"/>
    <w:rsid w:val="003B6908"/>
    <w:rsid w:val="003B691C"/>
    <w:rsid w:val="003B694F"/>
    <w:rsid w:val="003B6B06"/>
    <w:rsid w:val="003B6E11"/>
    <w:rsid w:val="003B7090"/>
    <w:rsid w:val="003B7100"/>
    <w:rsid w:val="003B7515"/>
    <w:rsid w:val="003B7520"/>
    <w:rsid w:val="003B759C"/>
    <w:rsid w:val="003B782B"/>
    <w:rsid w:val="003B7833"/>
    <w:rsid w:val="003B7984"/>
    <w:rsid w:val="003B79A0"/>
    <w:rsid w:val="003B7AA9"/>
    <w:rsid w:val="003B7DBA"/>
    <w:rsid w:val="003B7E3C"/>
    <w:rsid w:val="003B7E7C"/>
    <w:rsid w:val="003B7FF3"/>
    <w:rsid w:val="003B7FFD"/>
    <w:rsid w:val="003C0750"/>
    <w:rsid w:val="003C0848"/>
    <w:rsid w:val="003C0877"/>
    <w:rsid w:val="003C0A0B"/>
    <w:rsid w:val="003C0C10"/>
    <w:rsid w:val="003C0DD6"/>
    <w:rsid w:val="003C0DF1"/>
    <w:rsid w:val="003C0E6E"/>
    <w:rsid w:val="003C10D8"/>
    <w:rsid w:val="003C1441"/>
    <w:rsid w:val="003C152F"/>
    <w:rsid w:val="003C1710"/>
    <w:rsid w:val="003C18E5"/>
    <w:rsid w:val="003C196F"/>
    <w:rsid w:val="003C19B9"/>
    <w:rsid w:val="003C1C30"/>
    <w:rsid w:val="003C2036"/>
    <w:rsid w:val="003C20FA"/>
    <w:rsid w:val="003C2176"/>
    <w:rsid w:val="003C234E"/>
    <w:rsid w:val="003C238E"/>
    <w:rsid w:val="003C2998"/>
    <w:rsid w:val="003C2B5B"/>
    <w:rsid w:val="003C3170"/>
    <w:rsid w:val="003C35AE"/>
    <w:rsid w:val="003C3BFC"/>
    <w:rsid w:val="003C3ED2"/>
    <w:rsid w:val="003C43A7"/>
    <w:rsid w:val="003C4446"/>
    <w:rsid w:val="003C469E"/>
    <w:rsid w:val="003C48C0"/>
    <w:rsid w:val="003C493F"/>
    <w:rsid w:val="003C4A30"/>
    <w:rsid w:val="003C4AC2"/>
    <w:rsid w:val="003C4B0C"/>
    <w:rsid w:val="003C4B2E"/>
    <w:rsid w:val="003C53E7"/>
    <w:rsid w:val="003C56DF"/>
    <w:rsid w:val="003C5721"/>
    <w:rsid w:val="003C6152"/>
    <w:rsid w:val="003C6296"/>
    <w:rsid w:val="003C6414"/>
    <w:rsid w:val="003C6978"/>
    <w:rsid w:val="003C6CCA"/>
    <w:rsid w:val="003C6DFF"/>
    <w:rsid w:val="003C6E0E"/>
    <w:rsid w:val="003C6F22"/>
    <w:rsid w:val="003C70BC"/>
    <w:rsid w:val="003C71F7"/>
    <w:rsid w:val="003C7390"/>
    <w:rsid w:val="003C7484"/>
    <w:rsid w:val="003C75A6"/>
    <w:rsid w:val="003C76A5"/>
    <w:rsid w:val="003C7A0A"/>
    <w:rsid w:val="003C7A80"/>
    <w:rsid w:val="003C7E43"/>
    <w:rsid w:val="003C7E91"/>
    <w:rsid w:val="003D0127"/>
    <w:rsid w:val="003D01B6"/>
    <w:rsid w:val="003D056E"/>
    <w:rsid w:val="003D0693"/>
    <w:rsid w:val="003D0FF2"/>
    <w:rsid w:val="003D115A"/>
    <w:rsid w:val="003D11D2"/>
    <w:rsid w:val="003D1239"/>
    <w:rsid w:val="003D154C"/>
    <w:rsid w:val="003D1941"/>
    <w:rsid w:val="003D1F75"/>
    <w:rsid w:val="003D226D"/>
    <w:rsid w:val="003D23DA"/>
    <w:rsid w:val="003D24F3"/>
    <w:rsid w:val="003D2635"/>
    <w:rsid w:val="003D2797"/>
    <w:rsid w:val="003D27F6"/>
    <w:rsid w:val="003D2D2C"/>
    <w:rsid w:val="003D3394"/>
    <w:rsid w:val="003D3422"/>
    <w:rsid w:val="003D349E"/>
    <w:rsid w:val="003D35A8"/>
    <w:rsid w:val="003D3B4C"/>
    <w:rsid w:val="003D3B61"/>
    <w:rsid w:val="003D3D37"/>
    <w:rsid w:val="003D3ECB"/>
    <w:rsid w:val="003D3F17"/>
    <w:rsid w:val="003D4256"/>
    <w:rsid w:val="003D4278"/>
    <w:rsid w:val="003D4371"/>
    <w:rsid w:val="003D4534"/>
    <w:rsid w:val="003D498F"/>
    <w:rsid w:val="003D49B4"/>
    <w:rsid w:val="003D4A3A"/>
    <w:rsid w:val="003D4CCE"/>
    <w:rsid w:val="003D4D86"/>
    <w:rsid w:val="003D4DDB"/>
    <w:rsid w:val="003D5054"/>
    <w:rsid w:val="003D50E9"/>
    <w:rsid w:val="003D5139"/>
    <w:rsid w:val="003D5165"/>
    <w:rsid w:val="003D54CC"/>
    <w:rsid w:val="003D56B8"/>
    <w:rsid w:val="003D59FF"/>
    <w:rsid w:val="003D5D1A"/>
    <w:rsid w:val="003D5D77"/>
    <w:rsid w:val="003D5EE4"/>
    <w:rsid w:val="003D600E"/>
    <w:rsid w:val="003D614F"/>
    <w:rsid w:val="003D6297"/>
    <w:rsid w:val="003D67A1"/>
    <w:rsid w:val="003D67D3"/>
    <w:rsid w:val="003D690F"/>
    <w:rsid w:val="003D69D6"/>
    <w:rsid w:val="003D6D92"/>
    <w:rsid w:val="003D6F82"/>
    <w:rsid w:val="003D7130"/>
    <w:rsid w:val="003D7170"/>
    <w:rsid w:val="003D7219"/>
    <w:rsid w:val="003D749C"/>
    <w:rsid w:val="003D77EC"/>
    <w:rsid w:val="003D7855"/>
    <w:rsid w:val="003D78E4"/>
    <w:rsid w:val="003D7B62"/>
    <w:rsid w:val="003D7D7C"/>
    <w:rsid w:val="003E0168"/>
    <w:rsid w:val="003E03B9"/>
    <w:rsid w:val="003E0501"/>
    <w:rsid w:val="003E066F"/>
    <w:rsid w:val="003E072F"/>
    <w:rsid w:val="003E09CF"/>
    <w:rsid w:val="003E0D39"/>
    <w:rsid w:val="003E1021"/>
    <w:rsid w:val="003E156E"/>
    <w:rsid w:val="003E19DC"/>
    <w:rsid w:val="003E1D96"/>
    <w:rsid w:val="003E1E5A"/>
    <w:rsid w:val="003E1E6A"/>
    <w:rsid w:val="003E1E6B"/>
    <w:rsid w:val="003E222C"/>
    <w:rsid w:val="003E240A"/>
    <w:rsid w:val="003E257D"/>
    <w:rsid w:val="003E283B"/>
    <w:rsid w:val="003E2A21"/>
    <w:rsid w:val="003E2A59"/>
    <w:rsid w:val="003E2E5F"/>
    <w:rsid w:val="003E2FDF"/>
    <w:rsid w:val="003E31BF"/>
    <w:rsid w:val="003E32E5"/>
    <w:rsid w:val="003E3437"/>
    <w:rsid w:val="003E3637"/>
    <w:rsid w:val="003E374A"/>
    <w:rsid w:val="003E37A8"/>
    <w:rsid w:val="003E4446"/>
    <w:rsid w:val="003E44CD"/>
    <w:rsid w:val="003E4BCC"/>
    <w:rsid w:val="003E5708"/>
    <w:rsid w:val="003E5CC2"/>
    <w:rsid w:val="003E5D69"/>
    <w:rsid w:val="003E600E"/>
    <w:rsid w:val="003E6123"/>
    <w:rsid w:val="003E638D"/>
    <w:rsid w:val="003E63DF"/>
    <w:rsid w:val="003E652F"/>
    <w:rsid w:val="003E6619"/>
    <w:rsid w:val="003E6699"/>
    <w:rsid w:val="003E6B10"/>
    <w:rsid w:val="003E6BA0"/>
    <w:rsid w:val="003E6DD3"/>
    <w:rsid w:val="003E729C"/>
    <w:rsid w:val="003E7526"/>
    <w:rsid w:val="003E79F6"/>
    <w:rsid w:val="003E7BB0"/>
    <w:rsid w:val="003E7C6B"/>
    <w:rsid w:val="003E7CA6"/>
    <w:rsid w:val="003E7DBE"/>
    <w:rsid w:val="003E7FD0"/>
    <w:rsid w:val="003F0011"/>
    <w:rsid w:val="003F0541"/>
    <w:rsid w:val="003F0720"/>
    <w:rsid w:val="003F07E4"/>
    <w:rsid w:val="003F0935"/>
    <w:rsid w:val="003F0BA7"/>
    <w:rsid w:val="003F0D33"/>
    <w:rsid w:val="003F0ED3"/>
    <w:rsid w:val="003F0FCE"/>
    <w:rsid w:val="003F10F8"/>
    <w:rsid w:val="003F12A7"/>
    <w:rsid w:val="003F16B7"/>
    <w:rsid w:val="003F16D9"/>
    <w:rsid w:val="003F171C"/>
    <w:rsid w:val="003F1D9A"/>
    <w:rsid w:val="003F267E"/>
    <w:rsid w:val="003F26B3"/>
    <w:rsid w:val="003F294F"/>
    <w:rsid w:val="003F2E8B"/>
    <w:rsid w:val="003F3519"/>
    <w:rsid w:val="003F3520"/>
    <w:rsid w:val="003F395A"/>
    <w:rsid w:val="003F3A6A"/>
    <w:rsid w:val="003F3C6B"/>
    <w:rsid w:val="003F3E7B"/>
    <w:rsid w:val="003F3F56"/>
    <w:rsid w:val="003F4040"/>
    <w:rsid w:val="003F4147"/>
    <w:rsid w:val="003F42B2"/>
    <w:rsid w:val="003F43CE"/>
    <w:rsid w:val="003F4498"/>
    <w:rsid w:val="003F44C3"/>
    <w:rsid w:val="003F483F"/>
    <w:rsid w:val="003F49C9"/>
    <w:rsid w:val="003F4E7B"/>
    <w:rsid w:val="003F52A3"/>
    <w:rsid w:val="003F52B1"/>
    <w:rsid w:val="003F55A5"/>
    <w:rsid w:val="003F5857"/>
    <w:rsid w:val="003F5CD0"/>
    <w:rsid w:val="003F600E"/>
    <w:rsid w:val="003F6051"/>
    <w:rsid w:val="003F6082"/>
    <w:rsid w:val="003F608B"/>
    <w:rsid w:val="003F6124"/>
    <w:rsid w:val="003F643B"/>
    <w:rsid w:val="003F6921"/>
    <w:rsid w:val="003F6E79"/>
    <w:rsid w:val="003F7177"/>
    <w:rsid w:val="003F738E"/>
    <w:rsid w:val="003F75EE"/>
    <w:rsid w:val="003F75FD"/>
    <w:rsid w:val="003F76A0"/>
    <w:rsid w:val="003F789C"/>
    <w:rsid w:val="003F7CCD"/>
    <w:rsid w:val="003F7D0A"/>
    <w:rsid w:val="003F7F24"/>
    <w:rsid w:val="004006F2"/>
    <w:rsid w:val="00400770"/>
    <w:rsid w:val="00400A42"/>
    <w:rsid w:val="00400CAB"/>
    <w:rsid w:val="00401057"/>
    <w:rsid w:val="0040108D"/>
    <w:rsid w:val="00401477"/>
    <w:rsid w:val="0040149F"/>
    <w:rsid w:val="00401ADC"/>
    <w:rsid w:val="00401E0D"/>
    <w:rsid w:val="00401FE6"/>
    <w:rsid w:val="00402559"/>
    <w:rsid w:val="004026D8"/>
    <w:rsid w:val="00402B17"/>
    <w:rsid w:val="00402E76"/>
    <w:rsid w:val="004032A1"/>
    <w:rsid w:val="004036AE"/>
    <w:rsid w:val="0040376D"/>
    <w:rsid w:val="00403775"/>
    <w:rsid w:val="004039CC"/>
    <w:rsid w:val="00404399"/>
    <w:rsid w:val="0040440B"/>
    <w:rsid w:val="00404E13"/>
    <w:rsid w:val="0040523E"/>
    <w:rsid w:val="0040525C"/>
    <w:rsid w:val="00405564"/>
    <w:rsid w:val="004059A0"/>
    <w:rsid w:val="00405C19"/>
    <w:rsid w:val="004060DA"/>
    <w:rsid w:val="00406601"/>
    <w:rsid w:val="0040663E"/>
    <w:rsid w:val="00406D1D"/>
    <w:rsid w:val="0040780C"/>
    <w:rsid w:val="00407C2D"/>
    <w:rsid w:val="004105ED"/>
    <w:rsid w:val="0041095D"/>
    <w:rsid w:val="00410979"/>
    <w:rsid w:val="004109B4"/>
    <w:rsid w:val="00410A34"/>
    <w:rsid w:val="00410D05"/>
    <w:rsid w:val="00410D34"/>
    <w:rsid w:val="004111F9"/>
    <w:rsid w:val="004113DC"/>
    <w:rsid w:val="004114EC"/>
    <w:rsid w:val="004116F6"/>
    <w:rsid w:val="004119A2"/>
    <w:rsid w:val="00411A15"/>
    <w:rsid w:val="00411A87"/>
    <w:rsid w:val="0041258A"/>
    <w:rsid w:val="004125DC"/>
    <w:rsid w:val="00412D17"/>
    <w:rsid w:val="00412FC5"/>
    <w:rsid w:val="004131B1"/>
    <w:rsid w:val="004133CC"/>
    <w:rsid w:val="00413455"/>
    <w:rsid w:val="0041356B"/>
    <w:rsid w:val="004139BA"/>
    <w:rsid w:val="004139DF"/>
    <w:rsid w:val="00413AB0"/>
    <w:rsid w:val="00413CEF"/>
    <w:rsid w:val="00413EA7"/>
    <w:rsid w:val="004140A4"/>
    <w:rsid w:val="004140FA"/>
    <w:rsid w:val="004146D6"/>
    <w:rsid w:val="00414B00"/>
    <w:rsid w:val="00414C2B"/>
    <w:rsid w:val="0041535C"/>
    <w:rsid w:val="004153AF"/>
    <w:rsid w:val="004156F1"/>
    <w:rsid w:val="004157BA"/>
    <w:rsid w:val="00415986"/>
    <w:rsid w:val="00415C0A"/>
    <w:rsid w:val="00415C3B"/>
    <w:rsid w:val="00415C5A"/>
    <w:rsid w:val="00415D58"/>
    <w:rsid w:val="00415D8B"/>
    <w:rsid w:val="00416095"/>
    <w:rsid w:val="004160A2"/>
    <w:rsid w:val="004160AB"/>
    <w:rsid w:val="0041623C"/>
    <w:rsid w:val="004162CD"/>
    <w:rsid w:val="0041662C"/>
    <w:rsid w:val="00416730"/>
    <w:rsid w:val="004168E3"/>
    <w:rsid w:val="00416D14"/>
    <w:rsid w:val="00416D6F"/>
    <w:rsid w:val="00416E63"/>
    <w:rsid w:val="00417154"/>
    <w:rsid w:val="004171B6"/>
    <w:rsid w:val="004171BE"/>
    <w:rsid w:val="00417B3C"/>
    <w:rsid w:val="00417C0A"/>
    <w:rsid w:val="0042007B"/>
    <w:rsid w:val="00420405"/>
    <w:rsid w:val="0042082F"/>
    <w:rsid w:val="00420DB7"/>
    <w:rsid w:val="00420EA3"/>
    <w:rsid w:val="00420F56"/>
    <w:rsid w:val="004211B9"/>
    <w:rsid w:val="00421220"/>
    <w:rsid w:val="00421264"/>
    <w:rsid w:val="00421363"/>
    <w:rsid w:val="004214B8"/>
    <w:rsid w:val="004214BA"/>
    <w:rsid w:val="00421594"/>
    <w:rsid w:val="004216A6"/>
    <w:rsid w:val="00421736"/>
    <w:rsid w:val="00421988"/>
    <w:rsid w:val="00421AD1"/>
    <w:rsid w:val="00421BF7"/>
    <w:rsid w:val="00421C05"/>
    <w:rsid w:val="00421CA4"/>
    <w:rsid w:val="00421D0D"/>
    <w:rsid w:val="00421D91"/>
    <w:rsid w:val="00422080"/>
    <w:rsid w:val="00422276"/>
    <w:rsid w:val="00422599"/>
    <w:rsid w:val="004229CA"/>
    <w:rsid w:val="00422A10"/>
    <w:rsid w:val="00422AC9"/>
    <w:rsid w:val="00422E78"/>
    <w:rsid w:val="00422F0B"/>
    <w:rsid w:val="00423236"/>
    <w:rsid w:val="0042366A"/>
    <w:rsid w:val="0042368B"/>
    <w:rsid w:val="00423AD7"/>
    <w:rsid w:val="00423B7E"/>
    <w:rsid w:val="00423B8A"/>
    <w:rsid w:val="00423BBE"/>
    <w:rsid w:val="00423C05"/>
    <w:rsid w:val="00423C11"/>
    <w:rsid w:val="00423D14"/>
    <w:rsid w:val="0042409C"/>
    <w:rsid w:val="004241CE"/>
    <w:rsid w:val="004242F1"/>
    <w:rsid w:val="00424551"/>
    <w:rsid w:val="004246F4"/>
    <w:rsid w:val="00424791"/>
    <w:rsid w:val="004248C1"/>
    <w:rsid w:val="00424DC6"/>
    <w:rsid w:val="00424EED"/>
    <w:rsid w:val="00424F7E"/>
    <w:rsid w:val="004252BD"/>
    <w:rsid w:val="00425572"/>
    <w:rsid w:val="00425589"/>
    <w:rsid w:val="004257B1"/>
    <w:rsid w:val="004258FB"/>
    <w:rsid w:val="00425A9D"/>
    <w:rsid w:val="00425CC1"/>
    <w:rsid w:val="00425CC4"/>
    <w:rsid w:val="00425F21"/>
    <w:rsid w:val="0042673D"/>
    <w:rsid w:val="004267ED"/>
    <w:rsid w:val="004269CB"/>
    <w:rsid w:val="00426E5E"/>
    <w:rsid w:val="0042700D"/>
    <w:rsid w:val="004273D0"/>
    <w:rsid w:val="0042745A"/>
    <w:rsid w:val="00427480"/>
    <w:rsid w:val="004275E5"/>
    <w:rsid w:val="00427659"/>
    <w:rsid w:val="00427788"/>
    <w:rsid w:val="0042780F"/>
    <w:rsid w:val="00427AFB"/>
    <w:rsid w:val="00427CA4"/>
    <w:rsid w:val="00430450"/>
    <w:rsid w:val="00430A0E"/>
    <w:rsid w:val="00430BC5"/>
    <w:rsid w:val="00430E55"/>
    <w:rsid w:val="00430F62"/>
    <w:rsid w:val="00430FDC"/>
    <w:rsid w:val="004313A2"/>
    <w:rsid w:val="004316E1"/>
    <w:rsid w:val="00431861"/>
    <w:rsid w:val="00431ACA"/>
    <w:rsid w:val="00431E7A"/>
    <w:rsid w:val="004326B4"/>
    <w:rsid w:val="004326D7"/>
    <w:rsid w:val="00432916"/>
    <w:rsid w:val="00432C1E"/>
    <w:rsid w:val="00433288"/>
    <w:rsid w:val="00433415"/>
    <w:rsid w:val="00433478"/>
    <w:rsid w:val="00433595"/>
    <w:rsid w:val="0043389A"/>
    <w:rsid w:val="00433A71"/>
    <w:rsid w:val="00433A98"/>
    <w:rsid w:val="00433B44"/>
    <w:rsid w:val="00433BD2"/>
    <w:rsid w:val="00433C13"/>
    <w:rsid w:val="00433DA1"/>
    <w:rsid w:val="0043418B"/>
    <w:rsid w:val="004343BD"/>
    <w:rsid w:val="0043455F"/>
    <w:rsid w:val="004348FC"/>
    <w:rsid w:val="00434E7D"/>
    <w:rsid w:val="00435058"/>
    <w:rsid w:val="00435309"/>
    <w:rsid w:val="004353E2"/>
    <w:rsid w:val="00435D15"/>
    <w:rsid w:val="00435DF9"/>
    <w:rsid w:val="00435F1C"/>
    <w:rsid w:val="00435F56"/>
    <w:rsid w:val="004362E6"/>
    <w:rsid w:val="00436425"/>
    <w:rsid w:val="004367D9"/>
    <w:rsid w:val="00436C79"/>
    <w:rsid w:val="00436D30"/>
    <w:rsid w:val="00436D59"/>
    <w:rsid w:val="00436DD3"/>
    <w:rsid w:val="00436E0A"/>
    <w:rsid w:val="00436ED2"/>
    <w:rsid w:val="004370F1"/>
    <w:rsid w:val="00437659"/>
    <w:rsid w:val="00437683"/>
    <w:rsid w:val="004377DD"/>
    <w:rsid w:val="00437AE3"/>
    <w:rsid w:val="00437B68"/>
    <w:rsid w:val="00437C46"/>
    <w:rsid w:val="00437C87"/>
    <w:rsid w:val="004405AE"/>
    <w:rsid w:val="004405FB"/>
    <w:rsid w:val="00440635"/>
    <w:rsid w:val="00440639"/>
    <w:rsid w:val="00440954"/>
    <w:rsid w:val="00441014"/>
    <w:rsid w:val="004412CC"/>
    <w:rsid w:val="00441DF9"/>
    <w:rsid w:val="00441E5A"/>
    <w:rsid w:val="0044243A"/>
    <w:rsid w:val="0044249D"/>
    <w:rsid w:val="00442A36"/>
    <w:rsid w:val="00442B2E"/>
    <w:rsid w:val="00442D51"/>
    <w:rsid w:val="00442D7D"/>
    <w:rsid w:val="00442EA9"/>
    <w:rsid w:val="00443038"/>
    <w:rsid w:val="00443629"/>
    <w:rsid w:val="0044372A"/>
    <w:rsid w:val="00443775"/>
    <w:rsid w:val="004439AE"/>
    <w:rsid w:val="00443CBE"/>
    <w:rsid w:val="0044409F"/>
    <w:rsid w:val="0044443B"/>
    <w:rsid w:val="004447A3"/>
    <w:rsid w:val="0044496C"/>
    <w:rsid w:val="00444CD2"/>
    <w:rsid w:val="00445746"/>
    <w:rsid w:val="00445834"/>
    <w:rsid w:val="0044596D"/>
    <w:rsid w:val="00445A00"/>
    <w:rsid w:val="00445B0F"/>
    <w:rsid w:val="004460E5"/>
    <w:rsid w:val="0044613B"/>
    <w:rsid w:val="00446161"/>
    <w:rsid w:val="0044639C"/>
    <w:rsid w:val="00446913"/>
    <w:rsid w:val="00446970"/>
    <w:rsid w:val="00446CFA"/>
    <w:rsid w:val="00446E7D"/>
    <w:rsid w:val="00446FC9"/>
    <w:rsid w:val="00447440"/>
    <w:rsid w:val="0044760C"/>
    <w:rsid w:val="004478CF"/>
    <w:rsid w:val="00447E2A"/>
    <w:rsid w:val="00447EE8"/>
    <w:rsid w:val="00447FBF"/>
    <w:rsid w:val="00450323"/>
    <w:rsid w:val="004503E8"/>
    <w:rsid w:val="00450704"/>
    <w:rsid w:val="00450739"/>
    <w:rsid w:val="0045096E"/>
    <w:rsid w:val="00450BC5"/>
    <w:rsid w:val="00450D20"/>
    <w:rsid w:val="00450E7E"/>
    <w:rsid w:val="00450E9B"/>
    <w:rsid w:val="00450F42"/>
    <w:rsid w:val="00451687"/>
    <w:rsid w:val="00451829"/>
    <w:rsid w:val="0045182D"/>
    <w:rsid w:val="00451A9D"/>
    <w:rsid w:val="00451B0F"/>
    <w:rsid w:val="004520C3"/>
    <w:rsid w:val="00452259"/>
    <w:rsid w:val="0045242E"/>
    <w:rsid w:val="0045256D"/>
    <w:rsid w:val="004526BE"/>
    <w:rsid w:val="004529E0"/>
    <w:rsid w:val="00452C40"/>
    <w:rsid w:val="00452D0D"/>
    <w:rsid w:val="00452D5D"/>
    <w:rsid w:val="00452D75"/>
    <w:rsid w:val="004530F5"/>
    <w:rsid w:val="00453167"/>
    <w:rsid w:val="004538C4"/>
    <w:rsid w:val="00453C3B"/>
    <w:rsid w:val="00453C8B"/>
    <w:rsid w:val="00453CD4"/>
    <w:rsid w:val="00453F05"/>
    <w:rsid w:val="00454276"/>
    <w:rsid w:val="004542C3"/>
    <w:rsid w:val="0045450F"/>
    <w:rsid w:val="00454634"/>
    <w:rsid w:val="0045472D"/>
    <w:rsid w:val="004549AF"/>
    <w:rsid w:val="00454AA7"/>
    <w:rsid w:val="00454C7A"/>
    <w:rsid w:val="00454E4D"/>
    <w:rsid w:val="00454F7E"/>
    <w:rsid w:val="004552A8"/>
    <w:rsid w:val="0045565D"/>
    <w:rsid w:val="004556A0"/>
    <w:rsid w:val="004558D6"/>
    <w:rsid w:val="00455B10"/>
    <w:rsid w:val="00455DC1"/>
    <w:rsid w:val="00455E9C"/>
    <w:rsid w:val="00456474"/>
    <w:rsid w:val="004568A3"/>
    <w:rsid w:val="00456AAE"/>
    <w:rsid w:val="00456B1A"/>
    <w:rsid w:val="00457008"/>
    <w:rsid w:val="0045728B"/>
    <w:rsid w:val="00457372"/>
    <w:rsid w:val="0045741B"/>
    <w:rsid w:val="004576B6"/>
    <w:rsid w:val="00457A4C"/>
    <w:rsid w:val="00457AB0"/>
    <w:rsid w:val="00457B5D"/>
    <w:rsid w:val="00457C1B"/>
    <w:rsid w:val="00457C34"/>
    <w:rsid w:val="00457DA0"/>
    <w:rsid w:val="0046002A"/>
    <w:rsid w:val="004601CD"/>
    <w:rsid w:val="00460371"/>
    <w:rsid w:val="00460689"/>
    <w:rsid w:val="00460AAB"/>
    <w:rsid w:val="00460F5E"/>
    <w:rsid w:val="00461092"/>
    <w:rsid w:val="0046131A"/>
    <w:rsid w:val="004614E6"/>
    <w:rsid w:val="0046151D"/>
    <w:rsid w:val="004617FC"/>
    <w:rsid w:val="00461D0D"/>
    <w:rsid w:val="00461D20"/>
    <w:rsid w:val="00461D3F"/>
    <w:rsid w:val="0046207B"/>
    <w:rsid w:val="0046218D"/>
    <w:rsid w:val="00462473"/>
    <w:rsid w:val="00462732"/>
    <w:rsid w:val="00462741"/>
    <w:rsid w:val="004627AC"/>
    <w:rsid w:val="004627BB"/>
    <w:rsid w:val="0046283C"/>
    <w:rsid w:val="00462D1F"/>
    <w:rsid w:val="004632C3"/>
    <w:rsid w:val="0046332A"/>
    <w:rsid w:val="00463476"/>
    <w:rsid w:val="0046350F"/>
    <w:rsid w:val="004636D7"/>
    <w:rsid w:val="00463701"/>
    <w:rsid w:val="004637E3"/>
    <w:rsid w:val="00463B12"/>
    <w:rsid w:val="00463EB8"/>
    <w:rsid w:val="00463F7A"/>
    <w:rsid w:val="00463F9B"/>
    <w:rsid w:val="004640E3"/>
    <w:rsid w:val="00464200"/>
    <w:rsid w:val="0046421A"/>
    <w:rsid w:val="00464275"/>
    <w:rsid w:val="00464793"/>
    <w:rsid w:val="004648E2"/>
    <w:rsid w:val="00464969"/>
    <w:rsid w:val="00464FCD"/>
    <w:rsid w:val="0046505E"/>
    <w:rsid w:val="004658E9"/>
    <w:rsid w:val="00465D73"/>
    <w:rsid w:val="00466082"/>
    <w:rsid w:val="004660AA"/>
    <w:rsid w:val="00466165"/>
    <w:rsid w:val="004663B5"/>
    <w:rsid w:val="00466745"/>
    <w:rsid w:val="00466A5A"/>
    <w:rsid w:val="00466A89"/>
    <w:rsid w:val="00466E3E"/>
    <w:rsid w:val="00466F2C"/>
    <w:rsid w:val="00467297"/>
    <w:rsid w:val="00467431"/>
    <w:rsid w:val="0046786C"/>
    <w:rsid w:val="004678C9"/>
    <w:rsid w:val="00467F0D"/>
    <w:rsid w:val="00470092"/>
    <w:rsid w:val="0047009E"/>
    <w:rsid w:val="00470180"/>
    <w:rsid w:val="00470390"/>
    <w:rsid w:val="004707C3"/>
    <w:rsid w:val="00470939"/>
    <w:rsid w:val="00470AD3"/>
    <w:rsid w:val="00470B41"/>
    <w:rsid w:val="00470DB5"/>
    <w:rsid w:val="00471355"/>
    <w:rsid w:val="00471B5A"/>
    <w:rsid w:val="00471EC8"/>
    <w:rsid w:val="00472086"/>
    <w:rsid w:val="004723A5"/>
    <w:rsid w:val="0047243D"/>
    <w:rsid w:val="004724B7"/>
    <w:rsid w:val="00472502"/>
    <w:rsid w:val="004726DC"/>
    <w:rsid w:val="0047277C"/>
    <w:rsid w:val="00472904"/>
    <w:rsid w:val="004729D1"/>
    <w:rsid w:val="00472A04"/>
    <w:rsid w:val="00472A0A"/>
    <w:rsid w:val="00472A80"/>
    <w:rsid w:val="00472C0E"/>
    <w:rsid w:val="00472CA6"/>
    <w:rsid w:val="00472DC5"/>
    <w:rsid w:val="00472E0B"/>
    <w:rsid w:val="0047303E"/>
    <w:rsid w:val="00473073"/>
    <w:rsid w:val="0047307D"/>
    <w:rsid w:val="004730D4"/>
    <w:rsid w:val="00473230"/>
    <w:rsid w:val="0047344E"/>
    <w:rsid w:val="00473474"/>
    <w:rsid w:val="004735CD"/>
    <w:rsid w:val="004737AA"/>
    <w:rsid w:val="00473C72"/>
    <w:rsid w:val="00473C7B"/>
    <w:rsid w:val="00473D12"/>
    <w:rsid w:val="00473FAF"/>
    <w:rsid w:val="00474051"/>
    <w:rsid w:val="00474601"/>
    <w:rsid w:val="00474655"/>
    <w:rsid w:val="00475667"/>
    <w:rsid w:val="00475D40"/>
    <w:rsid w:val="004760D5"/>
    <w:rsid w:val="00476170"/>
    <w:rsid w:val="004762C0"/>
    <w:rsid w:val="0047647B"/>
    <w:rsid w:val="00476741"/>
    <w:rsid w:val="004768C7"/>
    <w:rsid w:val="004768D1"/>
    <w:rsid w:val="004769BE"/>
    <w:rsid w:val="00476EC1"/>
    <w:rsid w:val="0047710F"/>
    <w:rsid w:val="00477138"/>
    <w:rsid w:val="004772A7"/>
    <w:rsid w:val="004772E2"/>
    <w:rsid w:val="00477321"/>
    <w:rsid w:val="004774F6"/>
    <w:rsid w:val="00477704"/>
    <w:rsid w:val="0047780E"/>
    <w:rsid w:val="00477826"/>
    <w:rsid w:val="004778D7"/>
    <w:rsid w:val="00477BDA"/>
    <w:rsid w:val="00477BE9"/>
    <w:rsid w:val="00477E57"/>
    <w:rsid w:val="00477EF3"/>
    <w:rsid w:val="0048019C"/>
    <w:rsid w:val="004803DE"/>
    <w:rsid w:val="00480424"/>
    <w:rsid w:val="0048067A"/>
    <w:rsid w:val="004807C7"/>
    <w:rsid w:val="004809C2"/>
    <w:rsid w:val="00480EB4"/>
    <w:rsid w:val="00481000"/>
    <w:rsid w:val="00481005"/>
    <w:rsid w:val="00481219"/>
    <w:rsid w:val="00481886"/>
    <w:rsid w:val="00481C7C"/>
    <w:rsid w:val="00481E86"/>
    <w:rsid w:val="004820B6"/>
    <w:rsid w:val="0048236D"/>
    <w:rsid w:val="00482499"/>
    <w:rsid w:val="00482E01"/>
    <w:rsid w:val="004833F5"/>
    <w:rsid w:val="00483677"/>
    <w:rsid w:val="004837FC"/>
    <w:rsid w:val="00483BBA"/>
    <w:rsid w:val="00483E1F"/>
    <w:rsid w:val="004842D7"/>
    <w:rsid w:val="00484475"/>
    <w:rsid w:val="0048451E"/>
    <w:rsid w:val="004847B9"/>
    <w:rsid w:val="00484DC3"/>
    <w:rsid w:val="00484F05"/>
    <w:rsid w:val="0048504B"/>
    <w:rsid w:val="0048504E"/>
    <w:rsid w:val="004850EE"/>
    <w:rsid w:val="0048516B"/>
    <w:rsid w:val="0048521D"/>
    <w:rsid w:val="0048556A"/>
    <w:rsid w:val="0048559A"/>
    <w:rsid w:val="0048575A"/>
    <w:rsid w:val="004858A9"/>
    <w:rsid w:val="00485E14"/>
    <w:rsid w:val="00486035"/>
    <w:rsid w:val="00486102"/>
    <w:rsid w:val="00486114"/>
    <w:rsid w:val="004861B2"/>
    <w:rsid w:val="004862DF"/>
    <w:rsid w:val="004864A2"/>
    <w:rsid w:val="0048654C"/>
    <w:rsid w:val="00486698"/>
    <w:rsid w:val="0048686D"/>
    <w:rsid w:val="00486C9D"/>
    <w:rsid w:val="00486E05"/>
    <w:rsid w:val="0048727F"/>
    <w:rsid w:val="004879C9"/>
    <w:rsid w:val="00487B9D"/>
    <w:rsid w:val="00487CE0"/>
    <w:rsid w:val="00487D9C"/>
    <w:rsid w:val="00487E06"/>
    <w:rsid w:val="0049011B"/>
    <w:rsid w:val="00490223"/>
    <w:rsid w:val="00490229"/>
    <w:rsid w:val="0049065C"/>
    <w:rsid w:val="004908FA"/>
    <w:rsid w:val="004909B7"/>
    <w:rsid w:val="00490C80"/>
    <w:rsid w:val="00490D0F"/>
    <w:rsid w:val="00490E90"/>
    <w:rsid w:val="00490F0C"/>
    <w:rsid w:val="00491062"/>
    <w:rsid w:val="004911CB"/>
    <w:rsid w:val="0049132B"/>
    <w:rsid w:val="00491581"/>
    <w:rsid w:val="00491720"/>
    <w:rsid w:val="00491725"/>
    <w:rsid w:val="00491DE9"/>
    <w:rsid w:val="00492C09"/>
    <w:rsid w:val="00492EC1"/>
    <w:rsid w:val="004930C2"/>
    <w:rsid w:val="004931C1"/>
    <w:rsid w:val="00493220"/>
    <w:rsid w:val="004933AC"/>
    <w:rsid w:val="00493438"/>
    <w:rsid w:val="00493597"/>
    <w:rsid w:val="00493598"/>
    <w:rsid w:val="00493724"/>
    <w:rsid w:val="004937B5"/>
    <w:rsid w:val="00493DDD"/>
    <w:rsid w:val="00493FD1"/>
    <w:rsid w:val="00493FFE"/>
    <w:rsid w:val="00494016"/>
    <w:rsid w:val="00494340"/>
    <w:rsid w:val="004945CD"/>
    <w:rsid w:val="004949EB"/>
    <w:rsid w:val="00494BD1"/>
    <w:rsid w:val="00494D9A"/>
    <w:rsid w:val="004950B1"/>
    <w:rsid w:val="00495407"/>
    <w:rsid w:val="00495474"/>
    <w:rsid w:val="00495775"/>
    <w:rsid w:val="004957E4"/>
    <w:rsid w:val="00495C67"/>
    <w:rsid w:val="00495C74"/>
    <w:rsid w:val="00495D26"/>
    <w:rsid w:val="00495D49"/>
    <w:rsid w:val="00495F9D"/>
    <w:rsid w:val="00496044"/>
    <w:rsid w:val="004961F3"/>
    <w:rsid w:val="004964BC"/>
    <w:rsid w:val="004964BF"/>
    <w:rsid w:val="0049651F"/>
    <w:rsid w:val="004966C2"/>
    <w:rsid w:val="004966F5"/>
    <w:rsid w:val="00496B8E"/>
    <w:rsid w:val="00496F94"/>
    <w:rsid w:val="004974BF"/>
    <w:rsid w:val="004974E8"/>
    <w:rsid w:val="00497886"/>
    <w:rsid w:val="004A00AF"/>
    <w:rsid w:val="004A0271"/>
    <w:rsid w:val="004A09F8"/>
    <w:rsid w:val="004A0DA0"/>
    <w:rsid w:val="004A1005"/>
    <w:rsid w:val="004A120E"/>
    <w:rsid w:val="004A13C7"/>
    <w:rsid w:val="004A13E0"/>
    <w:rsid w:val="004A1445"/>
    <w:rsid w:val="004A1540"/>
    <w:rsid w:val="004A18A2"/>
    <w:rsid w:val="004A1911"/>
    <w:rsid w:val="004A1F37"/>
    <w:rsid w:val="004A2358"/>
    <w:rsid w:val="004A27F4"/>
    <w:rsid w:val="004A2A5D"/>
    <w:rsid w:val="004A317E"/>
    <w:rsid w:val="004A33A9"/>
    <w:rsid w:val="004A3449"/>
    <w:rsid w:val="004A3530"/>
    <w:rsid w:val="004A3554"/>
    <w:rsid w:val="004A36F5"/>
    <w:rsid w:val="004A381C"/>
    <w:rsid w:val="004A393D"/>
    <w:rsid w:val="004A3D70"/>
    <w:rsid w:val="004A404C"/>
    <w:rsid w:val="004A4089"/>
    <w:rsid w:val="004A43EF"/>
    <w:rsid w:val="004A46D3"/>
    <w:rsid w:val="004A4833"/>
    <w:rsid w:val="004A4845"/>
    <w:rsid w:val="004A4881"/>
    <w:rsid w:val="004A4C84"/>
    <w:rsid w:val="004A4D96"/>
    <w:rsid w:val="004A5156"/>
    <w:rsid w:val="004A52CD"/>
    <w:rsid w:val="004A52D3"/>
    <w:rsid w:val="004A52F3"/>
    <w:rsid w:val="004A551F"/>
    <w:rsid w:val="004A57A6"/>
    <w:rsid w:val="004A57C9"/>
    <w:rsid w:val="004A5AA3"/>
    <w:rsid w:val="004A5C88"/>
    <w:rsid w:val="004A5F2B"/>
    <w:rsid w:val="004A5F65"/>
    <w:rsid w:val="004A6082"/>
    <w:rsid w:val="004A60E9"/>
    <w:rsid w:val="004A61A1"/>
    <w:rsid w:val="004A61AD"/>
    <w:rsid w:val="004A632C"/>
    <w:rsid w:val="004A6475"/>
    <w:rsid w:val="004A64DB"/>
    <w:rsid w:val="004A662B"/>
    <w:rsid w:val="004A6CE0"/>
    <w:rsid w:val="004A6EE4"/>
    <w:rsid w:val="004A741B"/>
    <w:rsid w:val="004A74BA"/>
    <w:rsid w:val="004A76F3"/>
    <w:rsid w:val="004A770D"/>
    <w:rsid w:val="004A7868"/>
    <w:rsid w:val="004A797E"/>
    <w:rsid w:val="004A79A5"/>
    <w:rsid w:val="004A7C3D"/>
    <w:rsid w:val="004B0ACB"/>
    <w:rsid w:val="004B0AD2"/>
    <w:rsid w:val="004B0CDB"/>
    <w:rsid w:val="004B1388"/>
    <w:rsid w:val="004B15C7"/>
    <w:rsid w:val="004B1992"/>
    <w:rsid w:val="004B1C55"/>
    <w:rsid w:val="004B212C"/>
    <w:rsid w:val="004B2198"/>
    <w:rsid w:val="004B225B"/>
    <w:rsid w:val="004B228E"/>
    <w:rsid w:val="004B23CE"/>
    <w:rsid w:val="004B2569"/>
    <w:rsid w:val="004B274C"/>
    <w:rsid w:val="004B28CD"/>
    <w:rsid w:val="004B2963"/>
    <w:rsid w:val="004B2BAF"/>
    <w:rsid w:val="004B2E88"/>
    <w:rsid w:val="004B3007"/>
    <w:rsid w:val="004B3027"/>
    <w:rsid w:val="004B35CA"/>
    <w:rsid w:val="004B3A7D"/>
    <w:rsid w:val="004B418D"/>
    <w:rsid w:val="004B4296"/>
    <w:rsid w:val="004B42CB"/>
    <w:rsid w:val="004B44D5"/>
    <w:rsid w:val="004B45EC"/>
    <w:rsid w:val="004B486E"/>
    <w:rsid w:val="004B4A82"/>
    <w:rsid w:val="004B4AFF"/>
    <w:rsid w:val="004B4B09"/>
    <w:rsid w:val="004B4CE8"/>
    <w:rsid w:val="004B4DE1"/>
    <w:rsid w:val="004B4E2C"/>
    <w:rsid w:val="004B4E6F"/>
    <w:rsid w:val="004B5030"/>
    <w:rsid w:val="004B5107"/>
    <w:rsid w:val="004B522A"/>
    <w:rsid w:val="004B55A7"/>
    <w:rsid w:val="004B55AC"/>
    <w:rsid w:val="004B5818"/>
    <w:rsid w:val="004B58F4"/>
    <w:rsid w:val="004B5AE4"/>
    <w:rsid w:val="004B5BAF"/>
    <w:rsid w:val="004B5BEA"/>
    <w:rsid w:val="004B6B63"/>
    <w:rsid w:val="004B6B95"/>
    <w:rsid w:val="004B6F6F"/>
    <w:rsid w:val="004B71B0"/>
    <w:rsid w:val="004B726C"/>
    <w:rsid w:val="004B7285"/>
    <w:rsid w:val="004B73AF"/>
    <w:rsid w:val="004B74C2"/>
    <w:rsid w:val="004B7C38"/>
    <w:rsid w:val="004C00F4"/>
    <w:rsid w:val="004C013E"/>
    <w:rsid w:val="004C01ED"/>
    <w:rsid w:val="004C0920"/>
    <w:rsid w:val="004C0A50"/>
    <w:rsid w:val="004C0C09"/>
    <w:rsid w:val="004C108E"/>
    <w:rsid w:val="004C140F"/>
    <w:rsid w:val="004C1AA1"/>
    <w:rsid w:val="004C1C62"/>
    <w:rsid w:val="004C1DED"/>
    <w:rsid w:val="004C2057"/>
    <w:rsid w:val="004C24B4"/>
    <w:rsid w:val="004C250D"/>
    <w:rsid w:val="004C260A"/>
    <w:rsid w:val="004C26FA"/>
    <w:rsid w:val="004C2779"/>
    <w:rsid w:val="004C2C32"/>
    <w:rsid w:val="004C2EE3"/>
    <w:rsid w:val="004C3296"/>
    <w:rsid w:val="004C3AEC"/>
    <w:rsid w:val="004C3BBE"/>
    <w:rsid w:val="004C410D"/>
    <w:rsid w:val="004C41D0"/>
    <w:rsid w:val="004C4A6B"/>
    <w:rsid w:val="004C4D7F"/>
    <w:rsid w:val="004C524E"/>
    <w:rsid w:val="004C5294"/>
    <w:rsid w:val="004C531F"/>
    <w:rsid w:val="004C5355"/>
    <w:rsid w:val="004C54D2"/>
    <w:rsid w:val="004C5BE5"/>
    <w:rsid w:val="004C5D78"/>
    <w:rsid w:val="004C5D79"/>
    <w:rsid w:val="004C5F91"/>
    <w:rsid w:val="004C5FA5"/>
    <w:rsid w:val="004C5FEC"/>
    <w:rsid w:val="004C6861"/>
    <w:rsid w:val="004C698A"/>
    <w:rsid w:val="004C69FA"/>
    <w:rsid w:val="004C6B55"/>
    <w:rsid w:val="004C6D30"/>
    <w:rsid w:val="004C6E34"/>
    <w:rsid w:val="004C745C"/>
    <w:rsid w:val="004C7A3A"/>
    <w:rsid w:val="004C7A8A"/>
    <w:rsid w:val="004C7CD6"/>
    <w:rsid w:val="004C7DF5"/>
    <w:rsid w:val="004D00DC"/>
    <w:rsid w:val="004D01D9"/>
    <w:rsid w:val="004D0559"/>
    <w:rsid w:val="004D0768"/>
    <w:rsid w:val="004D078D"/>
    <w:rsid w:val="004D0825"/>
    <w:rsid w:val="004D0A35"/>
    <w:rsid w:val="004D0BD3"/>
    <w:rsid w:val="004D114F"/>
    <w:rsid w:val="004D11ED"/>
    <w:rsid w:val="004D12FD"/>
    <w:rsid w:val="004D17F2"/>
    <w:rsid w:val="004D18DC"/>
    <w:rsid w:val="004D197B"/>
    <w:rsid w:val="004D19E9"/>
    <w:rsid w:val="004D1D7A"/>
    <w:rsid w:val="004D1F56"/>
    <w:rsid w:val="004D1FA6"/>
    <w:rsid w:val="004D1FEC"/>
    <w:rsid w:val="004D2053"/>
    <w:rsid w:val="004D2CCB"/>
    <w:rsid w:val="004D2CED"/>
    <w:rsid w:val="004D2DC8"/>
    <w:rsid w:val="004D33C1"/>
    <w:rsid w:val="004D3665"/>
    <w:rsid w:val="004D3733"/>
    <w:rsid w:val="004D3B0D"/>
    <w:rsid w:val="004D3BBC"/>
    <w:rsid w:val="004D3BC6"/>
    <w:rsid w:val="004D3DBA"/>
    <w:rsid w:val="004D3F3A"/>
    <w:rsid w:val="004D3F67"/>
    <w:rsid w:val="004D45C0"/>
    <w:rsid w:val="004D45D5"/>
    <w:rsid w:val="004D495D"/>
    <w:rsid w:val="004D4A16"/>
    <w:rsid w:val="004D4C22"/>
    <w:rsid w:val="004D4C82"/>
    <w:rsid w:val="004D4D0A"/>
    <w:rsid w:val="004D52B0"/>
    <w:rsid w:val="004D57EA"/>
    <w:rsid w:val="004D58C2"/>
    <w:rsid w:val="004D5909"/>
    <w:rsid w:val="004D5998"/>
    <w:rsid w:val="004D5C94"/>
    <w:rsid w:val="004D6002"/>
    <w:rsid w:val="004D6064"/>
    <w:rsid w:val="004D64D3"/>
    <w:rsid w:val="004D6736"/>
    <w:rsid w:val="004D70B9"/>
    <w:rsid w:val="004D70DC"/>
    <w:rsid w:val="004D77FB"/>
    <w:rsid w:val="004D7B5D"/>
    <w:rsid w:val="004D7BB0"/>
    <w:rsid w:val="004D7CBF"/>
    <w:rsid w:val="004D7D5E"/>
    <w:rsid w:val="004E05F5"/>
    <w:rsid w:val="004E07D5"/>
    <w:rsid w:val="004E0B3B"/>
    <w:rsid w:val="004E0DAC"/>
    <w:rsid w:val="004E10E4"/>
    <w:rsid w:val="004E125D"/>
    <w:rsid w:val="004E176C"/>
    <w:rsid w:val="004E1866"/>
    <w:rsid w:val="004E207F"/>
    <w:rsid w:val="004E2719"/>
    <w:rsid w:val="004E2808"/>
    <w:rsid w:val="004E2A0F"/>
    <w:rsid w:val="004E2A2B"/>
    <w:rsid w:val="004E2ACB"/>
    <w:rsid w:val="004E2D49"/>
    <w:rsid w:val="004E2D54"/>
    <w:rsid w:val="004E323D"/>
    <w:rsid w:val="004E325F"/>
    <w:rsid w:val="004E352B"/>
    <w:rsid w:val="004E3622"/>
    <w:rsid w:val="004E36FD"/>
    <w:rsid w:val="004E3794"/>
    <w:rsid w:val="004E397A"/>
    <w:rsid w:val="004E3B73"/>
    <w:rsid w:val="004E3C2A"/>
    <w:rsid w:val="004E3FE6"/>
    <w:rsid w:val="004E4A22"/>
    <w:rsid w:val="004E4A34"/>
    <w:rsid w:val="004E4C1B"/>
    <w:rsid w:val="004E4D47"/>
    <w:rsid w:val="004E4E56"/>
    <w:rsid w:val="004E4EA2"/>
    <w:rsid w:val="004E4ED3"/>
    <w:rsid w:val="004E5010"/>
    <w:rsid w:val="004E527F"/>
    <w:rsid w:val="004E53CC"/>
    <w:rsid w:val="004E57AB"/>
    <w:rsid w:val="004E5847"/>
    <w:rsid w:val="004E5B60"/>
    <w:rsid w:val="004E5BA0"/>
    <w:rsid w:val="004E5C65"/>
    <w:rsid w:val="004E5CEA"/>
    <w:rsid w:val="004E6653"/>
    <w:rsid w:val="004E6709"/>
    <w:rsid w:val="004E6B8D"/>
    <w:rsid w:val="004E6CC6"/>
    <w:rsid w:val="004E6DD3"/>
    <w:rsid w:val="004E72BD"/>
    <w:rsid w:val="004E775C"/>
    <w:rsid w:val="004E77B1"/>
    <w:rsid w:val="004E7C48"/>
    <w:rsid w:val="004F00CC"/>
    <w:rsid w:val="004F0156"/>
    <w:rsid w:val="004F0241"/>
    <w:rsid w:val="004F0285"/>
    <w:rsid w:val="004F0518"/>
    <w:rsid w:val="004F077F"/>
    <w:rsid w:val="004F07C8"/>
    <w:rsid w:val="004F0A68"/>
    <w:rsid w:val="004F0B02"/>
    <w:rsid w:val="004F0B4E"/>
    <w:rsid w:val="004F0D3B"/>
    <w:rsid w:val="004F11EA"/>
    <w:rsid w:val="004F1262"/>
    <w:rsid w:val="004F1280"/>
    <w:rsid w:val="004F14EB"/>
    <w:rsid w:val="004F195D"/>
    <w:rsid w:val="004F1B08"/>
    <w:rsid w:val="004F229C"/>
    <w:rsid w:val="004F23E5"/>
    <w:rsid w:val="004F25A9"/>
    <w:rsid w:val="004F2760"/>
    <w:rsid w:val="004F2921"/>
    <w:rsid w:val="004F2BBE"/>
    <w:rsid w:val="004F2D6B"/>
    <w:rsid w:val="004F2EC0"/>
    <w:rsid w:val="004F2EF3"/>
    <w:rsid w:val="004F30EE"/>
    <w:rsid w:val="004F313B"/>
    <w:rsid w:val="004F3406"/>
    <w:rsid w:val="004F3417"/>
    <w:rsid w:val="004F3637"/>
    <w:rsid w:val="004F364C"/>
    <w:rsid w:val="004F3F48"/>
    <w:rsid w:val="004F3F65"/>
    <w:rsid w:val="004F4439"/>
    <w:rsid w:val="004F4525"/>
    <w:rsid w:val="004F4748"/>
    <w:rsid w:val="004F4921"/>
    <w:rsid w:val="004F4D60"/>
    <w:rsid w:val="004F4F99"/>
    <w:rsid w:val="004F4FC8"/>
    <w:rsid w:val="004F5397"/>
    <w:rsid w:val="004F5719"/>
    <w:rsid w:val="004F575F"/>
    <w:rsid w:val="004F580B"/>
    <w:rsid w:val="004F58CD"/>
    <w:rsid w:val="004F5B9B"/>
    <w:rsid w:val="004F5C23"/>
    <w:rsid w:val="004F5DE2"/>
    <w:rsid w:val="004F64FE"/>
    <w:rsid w:val="004F6594"/>
    <w:rsid w:val="004F6708"/>
    <w:rsid w:val="004F697E"/>
    <w:rsid w:val="004F69AA"/>
    <w:rsid w:val="004F6D20"/>
    <w:rsid w:val="004F7274"/>
    <w:rsid w:val="004F728D"/>
    <w:rsid w:val="004F73A2"/>
    <w:rsid w:val="004F7802"/>
    <w:rsid w:val="004F7AE2"/>
    <w:rsid w:val="004F7F38"/>
    <w:rsid w:val="00500471"/>
    <w:rsid w:val="00500588"/>
    <w:rsid w:val="0050061F"/>
    <w:rsid w:val="0050090E"/>
    <w:rsid w:val="00500A12"/>
    <w:rsid w:val="00500AB7"/>
    <w:rsid w:val="00500D0B"/>
    <w:rsid w:val="00500E80"/>
    <w:rsid w:val="00500F12"/>
    <w:rsid w:val="00501346"/>
    <w:rsid w:val="00501358"/>
    <w:rsid w:val="005016A0"/>
    <w:rsid w:val="005018D2"/>
    <w:rsid w:val="00501A08"/>
    <w:rsid w:val="00501B67"/>
    <w:rsid w:val="00501C2F"/>
    <w:rsid w:val="00501EEB"/>
    <w:rsid w:val="00502274"/>
    <w:rsid w:val="005023A6"/>
    <w:rsid w:val="0050296A"/>
    <w:rsid w:val="00502B7E"/>
    <w:rsid w:val="00502C4A"/>
    <w:rsid w:val="00503537"/>
    <w:rsid w:val="00503863"/>
    <w:rsid w:val="005039E9"/>
    <w:rsid w:val="00503A3F"/>
    <w:rsid w:val="00503D71"/>
    <w:rsid w:val="005041DA"/>
    <w:rsid w:val="0050426D"/>
    <w:rsid w:val="00504349"/>
    <w:rsid w:val="00504655"/>
    <w:rsid w:val="00504C70"/>
    <w:rsid w:val="00504CDD"/>
    <w:rsid w:val="00504D80"/>
    <w:rsid w:val="00504D8D"/>
    <w:rsid w:val="00504F58"/>
    <w:rsid w:val="00504F9D"/>
    <w:rsid w:val="0050504F"/>
    <w:rsid w:val="00505334"/>
    <w:rsid w:val="005057A7"/>
    <w:rsid w:val="00505C9C"/>
    <w:rsid w:val="00505D5C"/>
    <w:rsid w:val="00506314"/>
    <w:rsid w:val="0050675C"/>
    <w:rsid w:val="005067DE"/>
    <w:rsid w:val="005069AF"/>
    <w:rsid w:val="00506A12"/>
    <w:rsid w:val="00506BAB"/>
    <w:rsid w:val="00506C02"/>
    <w:rsid w:val="00506D95"/>
    <w:rsid w:val="00507096"/>
    <w:rsid w:val="005072E0"/>
    <w:rsid w:val="00507722"/>
    <w:rsid w:val="00507B9C"/>
    <w:rsid w:val="00507C81"/>
    <w:rsid w:val="00507CE8"/>
    <w:rsid w:val="00507D55"/>
    <w:rsid w:val="00507EDE"/>
    <w:rsid w:val="0051011B"/>
    <w:rsid w:val="00510802"/>
    <w:rsid w:val="005109DC"/>
    <w:rsid w:val="00510B20"/>
    <w:rsid w:val="00510C18"/>
    <w:rsid w:val="00511066"/>
    <w:rsid w:val="005112C9"/>
    <w:rsid w:val="00511353"/>
    <w:rsid w:val="00511952"/>
    <w:rsid w:val="00511968"/>
    <w:rsid w:val="00511A6F"/>
    <w:rsid w:val="00511CEB"/>
    <w:rsid w:val="00511D2E"/>
    <w:rsid w:val="00512093"/>
    <w:rsid w:val="00512173"/>
    <w:rsid w:val="005123C6"/>
    <w:rsid w:val="00512554"/>
    <w:rsid w:val="00512A37"/>
    <w:rsid w:val="00512EEB"/>
    <w:rsid w:val="00513379"/>
    <w:rsid w:val="005139FC"/>
    <w:rsid w:val="00513AB2"/>
    <w:rsid w:val="00513B79"/>
    <w:rsid w:val="00513C95"/>
    <w:rsid w:val="00513DA0"/>
    <w:rsid w:val="00513EC9"/>
    <w:rsid w:val="00514011"/>
    <w:rsid w:val="005141B8"/>
    <w:rsid w:val="00514520"/>
    <w:rsid w:val="00514570"/>
    <w:rsid w:val="00514A94"/>
    <w:rsid w:val="00514D64"/>
    <w:rsid w:val="00514D9B"/>
    <w:rsid w:val="00515086"/>
    <w:rsid w:val="0051532E"/>
    <w:rsid w:val="0051538E"/>
    <w:rsid w:val="005156E0"/>
    <w:rsid w:val="00515779"/>
    <w:rsid w:val="005157F9"/>
    <w:rsid w:val="005158BD"/>
    <w:rsid w:val="0051594E"/>
    <w:rsid w:val="00515CD6"/>
    <w:rsid w:val="00515CDA"/>
    <w:rsid w:val="00516092"/>
    <w:rsid w:val="00516104"/>
    <w:rsid w:val="005163A5"/>
    <w:rsid w:val="0051652B"/>
    <w:rsid w:val="0051652D"/>
    <w:rsid w:val="00516695"/>
    <w:rsid w:val="0051670B"/>
    <w:rsid w:val="00516BCC"/>
    <w:rsid w:val="00516CD6"/>
    <w:rsid w:val="005179F6"/>
    <w:rsid w:val="00517C7F"/>
    <w:rsid w:val="005202AB"/>
    <w:rsid w:val="005207A9"/>
    <w:rsid w:val="00520E2C"/>
    <w:rsid w:val="00520E9F"/>
    <w:rsid w:val="00520F41"/>
    <w:rsid w:val="00520F5B"/>
    <w:rsid w:val="00521020"/>
    <w:rsid w:val="005213D4"/>
    <w:rsid w:val="005216E3"/>
    <w:rsid w:val="0052187D"/>
    <w:rsid w:val="0052191F"/>
    <w:rsid w:val="005219C5"/>
    <w:rsid w:val="00521B8D"/>
    <w:rsid w:val="00521C3D"/>
    <w:rsid w:val="005220EE"/>
    <w:rsid w:val="0052214A"/>
    <w:rsid w:val="005221B9"/>
    <w:rsid w:val="0052240D"/>
    <w:rsid w:val="00522580"/>
    <w:rsid w:val="00522884"/>
    <w:rsid w:val="00522B4E"/>
    <w:rsid w:val="00522B7E"/>
    <w:rsid w:val="00522DBC"/>
    <w:rsid w:val="005231DC"/>
    <w:rsid w:val="0052335E"/>
    <w:rsid w:val="005233B9"/>
    <w:rsid w:val="005239D4"/>
    <w:rsid w:val="00523C1B"/>
    <w:rsid w:val="00523FAF"/>
    <w:rsid w:val="00524220"/>
    <w:rsid w:val="0052444A"/>
    <w:rsid w:val="005246D0"/>
    <w:rsid w:val="005248D9"/>
    <w:rsid w:val="00524B08"/>
    <w:rsid w:val="00524B8E"/>
    <w:rsid w:val="00524E35"/>
    <w:rsid w:val="00524E74"/>
    <w:rsid w:val="00525058"/>
    <w:rsid w:val="005252F4"/>
    <w:rsid w:val="0052550C"/>
    <w:rsid w:val="005258B6"/>
    <w:rsid w:val="0052596E"/>
    <w:rsid w:val="00525BB9"/>
    <w:rsid w:val="00525BCE"/>
    <w:rsid w:val="00525F3E"/>
    <w:rsid w:val="00526380"/>
    <w:rsid w:val="005263C9"/>
    <w:rsid w:val="005264AC"/>
    <w:rsid w:val="00526551"/>
    <w:rsid w:val="00526B31"/>
    <w:rsid w:val="00526B5E"/>
    <w:rsid w:val="00526D24"/>
    <w:rsid w:val="00526E48"/>
    <w:rsid w:val="00526ED2"/>
    <w:rsid w:val="005270F2"/>
    <w:rsid w:val="00527444"/>
    <w:rsid w:val="0052760F"/>
    <w:rsid w:val="00527AAE"/>
    <w:rsid w:val="00527D86"/>
    <w:rsid w:val="00527FD8"/>
    <w:rsid w:val="0053051D"/>
    <w:rsid w:val="00530883"/>
    <w:rsid w:val="00530AF4"/>
    <w:rsid w:val="00530AF7"/>
    <w:rsid w:val="00530CD1"/>
    <w:rsid w:val="00530DE4"/>
    <w:rsid w:val="00530F5A"/>
    <w:rsid w:val="00530F94"/>
    <w:rsid w:val="00531424"/>
    <w:rsid w:val="0053167B"/>
    <w:rsid w:val="0053181E"/>
    <w:rsid w:val="0053182F"/>
    <w:rsid w:val="005319D3"/>
    <w:rsid w:val="00531A6C"/>
    <w:rsid w:val="00531C4E"/>
    <w:rsid w:val="00531D63"/>
    <w:rsid w:val="00531E00"/>
    <w:rsid w:val="00531EB7"/>
    <w:rsid w:val="005321DC"/>
    <w:rsid w:val="00532250"/>
    <w:rsid w:val="005327AD"/>
    <w:rsid w:val="00532F7B"/>
    <w:rsid w:val="00533076"/>
    <w:rsid w:val="0053327B"/>
    <w:rsid w:val="00533516"/>
    <w:rsid w:val="0053354F"/>
    <w:rsid w:val="005337D2"/>
    <w:rsid w:val="005339E4"/>
    <w:rsid w:val="00534474"/>
    <w:rsid w:val="00534750"/>
    <w:rsid w:val="00534972"/>
    <w:rsid w:val="00534C4F"/>
    <w:rsid w:val="00534DBF"/>
    <w:rsid w:val="0053515C"/>
    <w:rsid w:val="00535268"/>
    <w:rsid w:val="00535353"/>
    <w:rsid w:val="005353E7"/>
    <w:rsid w:val="00535500"/>
    <w:rsid w:val="005355AE"/>
    <w:rsid w:val="00535666"/>
    <w:rsid w:val="0053568B"/>
    <w:rsid w:val="005357A1"/>
    <w:rsid w:val="005358AF"/>
    <w:rsid w:val="00535951"/>
    <w:rsid w:val="00535AC6"/>
    <w:rsid w:val="00535DAD"/>
    <w:rsid w:val="00535E3E"/>
    <w:rsid w:val="005360DA"/>
    <w:rsid w:val="005363AC"/>
    <w:rsid w:val="0053643F"/>
    <w:rsid w:val="0053684E"/>
    <w:rsid w:val="00536A71"/>
    <w:rsid w:val="00536ABB"/>
    <w:rsid w:val="00536B15"/>
    <w:rsid w:val="00536D19"/>
    <w:rsid w:val="00536D6D"/>
    <w:rsid w:val="00536DFB"/>
    <w:rsid w:val="00536FF6"/>
    <w:rsid w:val="0053730A"/>
    <w:rsid w:val="005376B7"/>
    <w:rsid w:val="005376E3"/>
    <w:rsid w:val="00537885"/>
    <w:rsid w:val="00537C65"/>
    <w:rsid w:val="00537CDB"/>
    <w:rsid w:val="00537DAF"/>
    <w:rsid w:val="00537FBE"/>
    <w:rsid w:val="00540089"/>
    <w:rsid w:val="005401A4"/>
    <w:rsid w:val="005402A6"/>
    <w:rsid w:val="0054078C"/>
    <w:rsid w:val="0054079F"/>
    <w:rsid w:val="005408D5"/>
    <w:rsid w:val="00540937"/>
    <w:rsid w:val="00540B4E"/>
    <w:rsid w:val="00540FA6"/>
    <w:rsid w:val="005410BA"/>
    <w:rsid w:val="0054124B"/>
    <w:rsid w:val="005412BA"/>
    <w:rsid w:val="005413F9"/>
    <w:rsid w:val="00541430"/>
    <w:rsid w:val="0054205B"/>
    <w:rsid w:val="00542086"/>
    <w:rsid w:val="00542621"/>
    <w:rsid w:val="005426CC"/>
    <w:rsid w:val="00542707"/>
    <w:rsid w:val="005428BF"/>
    <w:rsid w:val="00542927"/>
    <w:rsid w:val="00542994"/>
    <w:rsid w:val="00542995"/>
    <w:rsid w:val="00542AF3"/>
    <w:rsid w:val="00542BD7"/>
    <w:rsid w:val="00542EDC"/>
    <w:rsid w:val="00542F59"/>
    <w:rsid w:val="00542FDE"/>
    <w:rsid w:val="0054324C"/>
    <w:rsid w:val="00543522"/>
    <w:rsid w:val="005438CD"/>
    <w:rsid w:val="00543F92"/>
    <w:rsid w:val="00543FCC"/>
    <w:rsid w:val="005441E3"/>
    <w:rsid w:val="00544660"/>
    <w:rsid w:val="00544B1B"/>
    <w:rsid w:val="00545039"/>
    <w:rsid w:val="0054512A"/>
    <w:rsid w:val="00545B96"/>
    <w:rsid w:val="00545D3C"/>
    <w:rsid w:val="00545DED"/>
    <w:rsid w:val="00545EF4"/>
    <w:rsid w:val="005460EC"/>
    <w:rsid w:val="00546284"/>
    <w:rsid w:val="0054667F"/>
    <w:rsid w:val="005466F7"/>
    <w:rsid w:val="00546D72"/>
    <w:rsid w:val="00546DDC"/>
    <w:rsid w:val="00546EAA"/>
    <w:rsid w:val="00546FA1"/>
    <w:rsid w:val="00546FC9"/>
    <w:rsid w:val="005471AD"/>
    <w:rsid w:val="00547577"/>
    <w:rsid w:val="00547671"/>
    <w:rsid w:val="00547DD4"/>
    <w:rsid w:val="00547E36"/>
    <w:rsid w:val="005507A1"/>
    <w:rsid w:val="005507B6"/>
    <w:rsid w:val="00550931"/>
    <w:rsid w:val="00550972"/>
    <w:rsid w:val="00550E46"/>
    <w:rsid w:val="005513FB"/>
    <w:rsid w:val="0055152E"/>
    <w:rsid w:val="00551742"/>
    <w:rsid w:val="0055196E"/>
    <w:rsid w:val="00551DB7"/>
    <w:rsid w:val="00552489"/>
    <w:rsid w:val="005526A0"/>
    <w:rsid w:val="00552726"/>
    <w:rsid w:val="005534F7"/>
    <w:rsid w:val="005535C4"/>
    <w:rsid w:val="00553CFB"/>
    <w:rsid w:val="00553D7C"/>
    <w:rsid w:val="00553FE1"/>
    <w:rsid w:val="00553FF3"/>
    <w:rsid w:val="005543DF"/>
    <w:rsid w:val="005544B8"/>
    <w:rsid w:val="00554849"/>
    <w:rsid w:val="0055517A"/>
    <w:rsid w:val="005551A3"/>
    <w:rsid w:val="00555220"/>
    <w:rsid w:val="00555249"/>
    <w:rsid w:val="0055527B"/>
    <w:rsid w:val="00555331"/>
    <w:rsid w:val="00555420"/>
    <w:rsid w:val="00555758"/>
    <w:rsid w:val="00555B9D"/>
    <w:rsid w:val="00555F56"/>
    <w:rsid w:val="0055614C"/>
    <w:rsid w:val="00556216"/>
    <w:rsid w:val="005562F6"/>
    <w:rsid w:val="005563C1"/>
    <w:rsid w:val="00556681"/>
    <w:rsid w:val="0055674E"/>
    <w:rsid w:val="0055678D"/>
    <w:rsid w:val="00556825"/>
    <w:rsid w:val="00556D60"/>
    <w:rsid w:val="00556D64"/>
    <w:rsid w:val="005573FB"/>
    <w:rsid w:val="0055752B"/>
    <w:rsid w:val="005575B1"/>
    <w:rsid w:val="00557D4C"/>
    <w:rsid w:val="0056000D"/>
    <w:rsid w:val="00560A29"/>
    <w:rsid w:val="00560A56"/>
    <w:rsid w:val="00560B84"/>
    <w:rsid w:val="00560C3C"/>
    <w:rsid w:val="00560D3F"/>
    <w:rsid w:val="00560D8D"/>
    <w:rsid w:val="00561088"/>
    <w:rsid w:val="0056119D"/>
    <w:rsid w:val="0056142D"/>
    <w:rsid w:val="0056174A"/>
    <w:rsid w:val="005617C4"/>
    <w:rsid w:val="00561847"/>
    <w:rsid w:val="005618E3"/>
    <w:rsid w:val="00561A09"/>
    <w:rsid w:val="00561E03"/>
    <w:rsid w:val="005620F8"/>
    <w:rsid w:val="00562407"/>
    <w:rsid w:val="00562438"/>
    <w:rsid w:val="00562467"/>
    <w:rsid w:val="0056294E"/>
    <w:rsid w:val="0056297E"/>
    <w:rsid w:val="00562B15"/>
    <w:rsid w:val="00562C36"/>
    <w:rsid w:val="00563006"/>
    <w:rsid w:val="0056308C"/>
    <w:rsid w:val="0056315B"/>
    <w:rsid w:val="005635A9"/>
    <w:rsid w:val="00563643"/>
    <w:rsid w:val="00563B0E"/>
    <w:rsid w:val="00563DCD"/>
    <w:rsid w:val="00563DE5"/>
    <w:rsid w:val="00563E0A"/>
    <w:rsid w:val="00564086"/>
    <w:rsid w:val="0056427D"/>
    <w:rsid w:val="005645FB"/>
    <w:rsid w:val="005647EB"/>
    <w:rsid w:val="005648D1"/>
    <w:rsid w:val="00564C62"/>
    <w:rsid w:val="00564C72"/>
    <w:rsid w:val="00564CA6"/>
    <w:rsid w:val="00564E03"/>
    <w:rsid w:val="00564FCB"/>
    <w:rsid w:val="00565217"/>
    <w:rsid w:val="005652B3"/>
    <w:rsid w:val="005655DB"/>
    <w:rsid w:val="00565808"/>
    <w:rsid w:val="005658CD"/>
    <w:rsid w:val="00565908"/>
    <w:rsid w:val="00565928"/>
    <w:rsid w:val="00565B9C"/>
    <w:rsid w:val="00565C35"/>
    <w:rsid w:val="00565E74"/>
    <w:rsid w:val="005661E2"/>
    <w:rsid w:val="00566781"/>
    <w:rsid w:val="0056694E"/>
    <w:rsid w:val="00566960"/>
    <w:rsid w:val="00566C1F"/>
    <w:rsid w:val="00566D06"/>
    <w:rsid w:val="00566DDE"/>
    <w:rsid w:val="00566E97"/>
    <w:rsid w:val="00567057"/>
    <w:rsid w:val="0056723A"/>
    <w:rsid w:val="00567386"/>
    <w:rsid w:val="005673A6"/>
    <w:rsid w:val="00567781"/>
    <w:rsid w:val="0056781A"/>
    <w:rsid w:val="00567971"/>
    <w:rsid w:val="00567A2B"/>
    <w:rsid w:val="00567C1F"/>
    <w:rsid w:val="00567D78"/>
    <w:rsid w:val="005704B4"/>
    <w:rsid w:val="0057066A"/>
    <w:rsid w:val="0057076E"/>
    <w:rsid w:val="0057106D"/>
    <w:rsid w:val="005713AE"/>
    <w:rsid w:val="00571EDF"/>
    <w:rsid w:val="00571F2B"/>
    <w:rsid w:val="005724AE"/>
    <w:rsid w:val="005727F1"/>
    <w:rsid w:val="00572890"/>
    <w:rsid w:val="00572CD2"/>
    <w:rsid w:val="0057312B"/>
    <w:rsid w:val="00573472"/>
    <w:rsid w:val="0057388E"/>
    <w:rsid w:val="005738E8"/>
    <w:rsid w:val="00574211"/>
    <w:rsid w:val="005744BE"/>
    <w:rsid w:val="00574682"/>
    <w:rsid w:val="00574807"/>
    <w:rsid w:val="00574E44"/>
    <w:rsid w:val="00574F15"/>
    <w:rsid w:val="00575157"/>
    <w:rsid w:val="005754C7"/>
    <w:rsid w:val="0057575D"/>
    <w:rsid w:val="005757AF"/>
    <w:rsid w:val="00575836"/>
    <w:rsid w:val="00575A97"/>
    <w:rsid w:val="00575E6B"/>
    <w:rsid w:val="00575F94"/>
    <w:rsid w:val="00575FAC"/>
    <w:rsid w:val="00576215"/>
    <w:rsid w:val="00576414"/>
    <w:rsid w:val="005765F5"/>
    <w:rsid w:val="0057664A"/>
    <w:rsid w:val="00576A29"/>
    <w:rsid w:val="00577075"/>
    <w:rsid w:val="0057747D"/>
    <w:rsid w:val="0057750D"/>
    <w:rsid w:val="0057750E"/>
    <w:rsid w:val="005775F9"/>
    <w:rsid w:val="00577688"/>
    <w:rsid w:val="00577E81"/>
    <w:rsid w:val="00580515"/>
    <w:rsid w:val="00580739"/>
    <w:rsid w:val="00580826"/>
    <w:rsid w:val="005808FF"/>
    <w:rsid w:val="00580CED"/>
    <w:rsid w:val="0058127F"/>
    <w:rsid w:val="00581404"/>
    <w:rsid w:val="005814F3"/>
    <w:rsid w:val="005815FF"/>
    <w:rsid w:val="00581C68"/>
    <w:rsid w:val="00581E1C"/>
    <w:rsid w:val="0058204D"/>
    <w:rsid w:val="005821B5"/>
    <w:rsid w:val="0058241F"/>
    <w:rsid w:val="005827F3"/>
    <w:rsid w:val="00582CA6"/>
    <w:rsid w:val="00582DE9"/>
    <w:rsid w:val="00582F7D"/>
    <w:rsid w:val="005831FC"/>
    <w:rsid w:val="005835E8"/>
    <w:rsid w:val="00583709"/>
    <w:rsid w:val="00583767"/>
    <w:rsid w:val="0058382F"/>
    <w:rsid w:val="0058386F"/>
    <w:rsid w:val="00583BA0"/>
    <w:rsid w:val="0058408B"/>
    <w:rsid w:val="00584173"/>
    <w:rsid w:val="005842DD"/>
    <w:rsid w:val="005843BC"/>
    <w:rsid w:val="00584534"/>
    <w:rsid w:val="00584A66"/>
    <w:rsid w:val="00584BF1"/>
    <w:rsid w:val="00584D27"/>
    <w:rsid w:val="00584E2E"/>
    <w:rsid w:val="00584F2A"/>
    <w:rsid w:val="00585035"/>
    <w:rsid w:val="00585602"/>
    <w:rsid w:val="005859A2"/>
    <w:rsid w:val="005859CB"/>
    <w:rsid w:val="00585BA8"/>
    <w:rsid w:val="00585D77"/>
    <w:rsid w:val="0058608D"/>
    <w:rsid w:val="00586285"/>
    <w:rsid w:val="005863E2"/>
    <w:rsid w:val="00586724"/>
    <w:rsid w:val="005867CC"/>
    <w:rsid w:val="0058693F"/>
    <w:rsid w:val="0058695D"/>
    <w:rsid w:val="00586C84"/>
    <w:rsid w:val="00586E3B"/>
    <w:rsid w:val="00587080"/>
    <w:rsid w:val="005872A2"/>
    <w:rsid w:val="00587352"/>
    <w:rsid w:val="005874FC"/>
    <w:rsid w:val="00587657"/>
    <w:rsid w:val="0058795B"/>
    <w:rsid w:val="00587A29"/>
    <w:rsid w:val="00587F59"/>
    <w:rsid w:val="00590163"/>
    <w:rsid w:val="00590502"/>
    <w:rsid w:val="005906CD"/>
    <w:rsid w:val="00590723"/>
    <w:rsid w:val="00590AB2"/>
    <w:rsid w:val="00590FB0"/>
    <w:rsid w:val="00590FC7"/>
    <w:rsid w:val="00591229"/>
    <w:rsid w:val="005914A6"/>
    <w:rsid w:val="005919B6"/>
    <w:rsid w:val="00591A56"/>
    <w:rsid w:val="00591C2C"/>
    <w:rsid w:val="00591EDA"/>
    <w:rsid w:val="00591F59"/>
    <w:rsid w:val="0059236D"/>
    <w:rsid w:val="0059247B"/>
    <w:rsid w:val="005924B8"/>
    <w:rsid w:val="0059253A"/>
    <w:rsid w:val="005925D3"/>
    <w:rsid w:val="00592992"/>
    <w:rsid w:val="00592C45"/>
    <w:rsid w:val="00592DE5"/>
    <w:rsid w:val="0059387F"/>
    <w:rsid w:val="005939A1"/>
    <w:rsid w:val="00593DBE"/>
    <w:rsid w:val="00594138"/>
    <w:rsid w:val="005942BB"/>
    <w:rsid w:val="005942D8"/>
    <w:rsid w:val="00594578"/>
    <w:rsid w:val="005945E8"/>
    <w:rsid w:val="00594ACD"/>
    <w:rsid w:val="00594B92"/>
    <w:rsid w:val="00594BAD"/>
    <w:rsid w:val="00594C87"/>
    <w:rsid w:val="00594DC5"/>
    <w:rsid w:val="00594E00"/>
    <w:rsid w:val="005952B5"/>
    <w:rsid w:val="0059554B"/>
    <w:rsid w:val="0059555D"/>
    <w:rsid w:val="00595660"/>
    <w:rsid w:val="00595F82"/>
    <w:rsid w:val="00595FC8"/>
    <w:rsid w:val="0059600E"/>
    <w:rsid w:val="00596160"/>
    <w:rsid w:val="00596592"/>
    <w:rsid w:val="00596AB3"/>
    <w:rsid w:val="00596F6D"/>
    <w:rsid w:val="0059701F"/>
    <w:rsid w:val="00597465"/>
    <w:rsid w:val="00597681"/>
    <w:rsid w:val="00597FA2"/>
    <w:rsid w:val="005A0396"/>
    <w:rsid w:val="005A0BB5"/>
    <w:rsid w:val="005A0E78"/>
    <w:rsid w:val="005A0F4F"/>
    <w:rsid w:val="005A116C"/>
    <w:rsid w:val="005A1384"/>
    <w:rsid w:val="005A15DC"/>
    <w:rsid w:val="005A1733"/>
    <w:rsid w:val="005A1734"/>
    <w:rsid w:val="005A189C"/>
    <w:rsid w:val="005A1970"/>
    <w:rsid w:val="005A198E"/>
    <w:rsid w:val="005A1C14"/>
    <w:rsid w:val="005A1CC3"/>
    <w:rsid w:val="005A1F26"/>
    <w:rsid w:val="005A231E"/>
    <w:rsid w:val="005A25E3"/>
    <w:rsid w:val="005A26F6"/>
    <w:rsid w:val="005A27EA"/>
    <w:rsid w:val="005A28A8"/>
    <w:rsid w:val="005A2A89"/>
    <w:rsid w:val="005A2BC4"/>
    <w:rsid w:val="005A2C64"/>
    <w:rsid w:val="005A2D4F"/>
    <w:rsid w:val="005A3445"/>
    <w:rsid w:val="005A38F1"/>
    <w:rsid w:val="005A3BBD"/>
    <w:rsid w:val="005A3C87"/>
    <w:rsid w:val="005A3D5D"/>
    <w:rsid w:val="005A3EDB"/>
    <w:rsid w:val="005A42AE"/>
    <w:rsid w:val="005A4647"/>
    <w:rsid w:val="005A47B8"/>
    <w:rsid w:val="005A4807"/>
    <w:rsid w:val="005A4C4C"/>
    <w:rsid w:val="005A4E21"/>
    <w:rsid w:val="005A4F03"/>
    <w:rsid w:val="005A542F"/>
    <w:rsid w:val="005A556E"/>
    <w:rsid w:val="005A5803"/>
    <w:rsid w:val="005A58E7"/>
    <w:rsid w:val="005A5912"/>
    <w:rsid w:val="005A5A08"/>
    <w:rsid w:val="005A5A70"/>
    <w:rsid w:val="005A5D1B"/>
    <w:rsid w:val="005A61F2"/>
    <w:rsid w:val="005A61F7"/>
    <w:rsid w:val="005A6440"/>
    <w:rsid w:val="005A645D"/>
    <w:rsid w:val="005A6728"/>
    <w:rsid w:val="005A681B"/>
    <w:rsid w:val="005A6899"/>
    <w:rsid w:val="005A6AF4"/>
    <w:rsid w:val="005A6EE8"/>
    <w:rsid w:val="005A6F31"/>
    <w:rsid w:val="005A70A9"/>
    <w:rsid w:val="005A73B7"/>
    <w:rsid w:val="005A767D"/>
    <w:rsid w:val="005A7A54"/>
    <w:rsid w:val="005A7B8F"/>
    <w:rsid w:val="005A7C25"/>
    <w:rsid w:val="005A7C55"/>
    <w:rsid w:val="005A7CC9"/>
    <w:rsid w:val="005B00B7"/>
    <w:rsid w:val="005B01D5"/>
    <w:rsid w:val="005B08C0"/>
    <w:rsid w:val="005B08F1"/>
    <w:rsid w:val="005B09DF"/>
    <w:rsid w:val="005B1099"/>
    <w:rsid w:val="005B1110"/>
    <w:rsid w:val="005B128F"/>
    <w:rsid w:val="005B133D"/>
    <w:rsid w:val="005B1451"/>
    <w:rsid w:val="005B152B"/>
    <w:rsid w:val="005B1933"/>
    <w:rsid w:val="005B19B8"/>
    <w:rsid w:val="005B1B15"/>
    <w:rsid w:val="005B1C8F"/>
    <w:rsid w:val="005B21A8"/>
    <w:rsid w:val="005B228B"/>
    <w:rsid w:val="005B22FA"/>
    <w:rsid w:val="005B249F"/>
    <w:rsid w:val="005B25A8"/>
    <w:rsid w:val="005B261B"/>
    <w:rsid w:val="005B297E"/>
    <w:rsid w:val="005B30BD"/>
    <w:rsid w:val="005B350A"/>
    <w:rsid w:val="005B365E"/>
    <w:rsid w:val="005B37D7"/>
    <w:rsid w:val="005B3E9D"/>
    <w:rsid w:val="005B45D1"/>
    <w:rsid w:val="005B4AB6"/>
    <w:rsid w:val="005B4AC9"/>
    <w:rsid w:val="005B4BA5"/>
    <w:rsid w:val="005B582D"/>
    <w:rsid w:val="005B5A27"/>
    <w:rsid w:val="005B5F6E"/>
    <w:rsid w:val="005B60AA"/>
    <w:rsid w:val="005B6141"/>
    <w:rsid w:val="005B6631"/>
    <w:rsid w:val="005B6815"/>
    <w:rsid w:val="005B68B1"/>
    <w:rsid w:val="005B6D5B"/>
    <w:rsid w:val="005B6D77"/>
    <w:rsid w:val="005B6F89"/>
    <w:rsid w:val="005B7102"/>
    <w:rsid w:val="005B71B9"/>
    <w:rsid w:val="005B7340"/>
    <w:rsid w:val="005B7557"/>
    <w:rsid w:val="005B7722"/>
    <w:rsid w:val="005B796E"/>
    <w:rsid w:val="005B7D69"/>
    <w:rsid w:val="005B7E17"/>
    <w:rsid w:val="005C01B8"/>
    <w:rsid w:val="005C02DF"/>
    <w:rsid w:val="005C053C"/>
    <w:rsid w:val="005C0C1A"/>
    <w:rsid w:val="005C0CD9"/>
    <w:rsid w:val="005C114C"/>
    <w:rsid w:val="005C13B3"/>
    <w:rsid w:val="005C162A"/>
    <w:rsid w:val="005C1B7A"/>
    <w:rsid w:val="005C1C4E"/>
    <w:rsid w:val="005C20F2"/>
    <w:rsid w:val="005C330E"/>
    <w:rsid w:val="005C33E2"/>
    <w:rsid w:val="005C3918"/>
    <w:rsid w:val="005C4061"/>
    <w:rsid w:val="005C430A"/>
    <w:rsid w:val="005C4325"/>
    <w:rsid w:val="005C45E1"/>
    <w:rsid w:val="005C4649"/>
    <w:rsid w:val="005C4A19"/>
    <w:rsid w:val="005C4A2D"/>
    <w:rsid w:val="005C4B4E"/>
    <w:rsid w:val="005C518C"/>
    <w:rsid w:val="005C5225"/>
    <w:rsid w:val="005C52BF"/>
    <w:rsid w:val="005C5390"/>
    <w:rsid w:val="005C5534"/>
    <w:rsid w:val="005C5722"/>
    <w:rsid w:val="005C5D1F"/>
    <w:rsid w:val="005C69B3"/>
    <w:rsid w:val="005C6D08"/>
    <w:rsid w:val="005C6EB3"/>
    <w:rsid w:val="005C75A2"/>
    <w:rsid w:val="005C778A"/>
    <w:rsid w:val="005C7872"/>
    <w:rsid w:val="005C7A14"/>
    <w:rsid w:val="005C7BF3"/>
    <w:rsid w:val="005C7DE1"/>
    <w:rsid w:val="005C7ECF"/>
    <w:rsid w:val="005D0256"/>
    <w:rsid w:val="005D02D0"/>
    <w:rsid w:val="005D0329"/>
    <w:rsid w:val="005D0568"/>
    <w:rsid w:val="005D058E"/>
    <w:rsid w:val="005D0665"/>
    <w:rsid w:val="005D0730"/>
    <w:rsid w:val="005D0927"/>
    <w:rsid w:val="005D0E0E"/>
    <w:rsid w:val="005D0E2B"/>
    <w:rsid w:val="005D0EEB"/>
    <w:rsid w:val="005D0FEF"/>
    <w:rsid w:val="005D12EF"/>
    <w:rsid w:val="005D16B6"/>
    <w:rsid w:val="005D19F2"/>
    <w:rsid w:val="005D1B6D"/>
    <w:rsid w:val="005D1DC9"/>
    <w:rsid w:val="005D232F"/>
    <w:rsid w:val="005D25E7"/>
    <w:rsid w:val="005D2775"/>
    <w:rsid w:val="005D297A"/>
    <w:rsid w:val="005D2980"/>
    <w:rsid w:val="005D299F"/>
    <w:rsid w:val="005D2C8B"/>
    <w:rsid w:val="005D30BF"/>
    <w:rsid w:val="005D3115"/>
    <w:rsid w:val="005D389F"/>
    <w:rsid w:val="005D3957"/>
    <w:rsid w:val="005D401C"/>
    <w:rsid w:val="005D40DA"/>
    <w:rsid w:val="005D4192"/>
    <w:rsid w:val="005D422B"/>
    <w:rsid w:val="005D42A1"/>
    <w:rsid w:val="005D4389"/>
    <w:rsid w:val="005D43F2"/>
    <w:rsid w:val="005D46B4"/>
    <w:rsid w:val="005D46BD"/>
    <w:rsid w:val="005D4780"/>
    <w:rsid w:val="005D4DF7"/>
    <w:rsid w:val="005D5041"/>
    <w:rsid w:val="005D5154"/>
    <w:rsid w:val="005D5199"/>
    <w:rsid w:val="005D531B"/>
    <w:rsid w:val="005D5C4B"/>
    <w:rsid w:val="005D5F1E"/>
    <w:rsid w:val="005D658E"/>
    <w:rsid w:val="005D668B"/>
    <w:rsid w:val="005D67C0"/>
    <w:rsid w:val="005D6AFF"/>
    <w:rsid w:val="005D6C61"/>
    <w:rsid w:val="005D6C65"/>
    <w:rsid w:val="005D6DE4"/>
    <w:rsid w:val="005D6E36"/>
    <w:rsid w:val="005D6F26"/>
    <w:rsid w:val="005D6FC7"/>
    <w:rsid w:val="005D7577"/>
    <w:rsid w:val="005D7A0B"/>
    <w:rsid w:val="005D7A67"/>
    <w:rsid w:val="005D7B23"/>
    <w:rsid w:val="005D7B6A"/>
    <w:rsid w:val="005D7D66"/>
    <w:rsid w:val="005D7E8C"/>
    <w:rsid w:val="005E013D"/>
    <w:rsid w:val="005E0192"/>
    <w:rsid w:val="005E0209"/>
    <w:rsid w:val="005E0371"/>
    <w:rsid w:val="005E056C"/>
    <w:rsid w:val="005E065B"/>
    <w:rsid w:val="005E0CCB"/>
    <w:rsid w:val="005E0D7D"/>
    <w:rsid w:val="005E0DC8"/>
    <w:rsid w:val="005E0DE9"/>
    <w:rsid w:val="005E0FE6"/>
    <w:rsid w:val="005E13B8"/>
    <w:rsid w:val="005E140C"/>
    <w:rsid w:val="005E14C2"/>
    <w:rsid w:val="005E17D6"/>
    <w:rsid w:val="005E1B1A"/>
    <w:rsid w:val="005E1C9B"/>
    <w:rsid w:val="005E1CCE"/>
    <w:rsid w:val="005E1FE2"/>
    <w:rsid w:val="005E2398"/>
    <w:rsid w:val="005E2485"/>
    <w:rsid w:val="005E27B9"/>
    <w:rsid w:val="005E2AB8"/>
    <w:rsid w:val="005E2B42"/>
    <w:rsid w:val="005E2F42"/>
    <w:rsid w:val="005E34D2"/>
    <w:rsid w:val="005E364D"/>
    <w:rsid w:val="005E3751"/>
    <w:rsid w:val="005E380D"/>
    <w:rsid w:val="005E39CD"/>
    <w:rsid w:val="005E3AA0"/>
    <w:rsid w:val="005E3C1C"/>
    <w:rsid w:val="005E3D4D"/>
    <w:rsid w:val="005E3E05"/>
    <w:rsid w:val="005E4008"/>
    <w:rsid w:val="005E40E1"/>
    <w:rsid w:val="005E4492"/>
    <w:rsid w:val="005E44B4"/>
    <w:rsid w:val="005E4866"/>
    <w:rsid w:val="005E4AB9"/>
    <w:rsid w:val="005E517D"/>
    <w:rsid w:val="005E52BE"/>
    <w:rsid w:val="005E5363"/>
    <w:rsid w:val="005E555B"/>
    <w:rsid w:val="005E589C"/>
    <w:rsid w:val="005E58CD"/>
    <w:rsid w:val="005E58DA"/>
    <w:rsid w:val="005E59CC"/>
    <w:rsid w:val="005E5C7A"/>
    <w:rsid w:val="005E5EAD"/>
    <w:rsid w:val="005E627E"/>
    <w:rsid w:val="005E63CB"/>
    <w:rsid w:val="005E64C1"/>
    <w:rsid w:val="005E7142"/>
    <w:rsid w:val="005E71D4"/>
    <w:rsid w:val="005E73B5"/>
    <w:rsid w:val="005E745A"/>
    <w:rsid w:val="005E7510"/>
    <w:rsid w:val="005E760F"/>
    <w:rsid w:val="005E7672"/>
    <w:rsid w:val="005F014A"/>
    <w:rsid w:val="005F041C"/>
    <w:rsid w:val="005F0C41"/>
    <w:rsid w:val="005F0C91"/>
    <w:rsid w:val="005F0E21"/>
    <w:rsid w:val="005F1136"/>
    <w:rsid w:val="005F1363"/>
    <w:rsid w:val="005F13BB"/>
    <w:rsid w:val="005F1A19"/>
    <w:rsid w:val="005F1AD4"/>
    <w:rsid w:val="005F1BC9"/>
    <w:rsid w:val="005F1E1F"/>
    <w:rsid w:val="005F1F8D"/>
    <w:rsid w:val="005F20AC"/>
    <w:rsid w:val="005F27DE"/>
    <w:rsid w:val="005F2F43"/>
    <w:rsid w:val="005F37B5"/>
    <w:rsid w:val="005F383C"/>
    <w:rsid w:val="005F38FB"/>
    <w:rsid w:val="005F3DA4"/>
    <w:rsid w:val="005F4252"/>
    <w:rsid w:val="005F4265"/>
    <w:rsid w:val="005F4553"/>
    <w:rsid w:val="005F4571"/>
    <w:rsid w:val="005F472E"/>
    <w:rsid w:val="005F47BD"/>
    <w:rsid w:val="005F481E"/>
    <w:rsid w:val="005F48F5"/>
    <w:rsid w:val="005F491D"/>
    <w:rsid w:val="005F4CEE"/>
    <w:rsid w:val="005F4DE8"/>
    <w:rsid w:val="005F50B6"/>
    <w:rsid w:val="005F5448"/>
    <w:rsid w:val="005F571A"/>
    <w:rsid w:val="005F579F"/>
    <w:rsid w:val="005F597D"/>
    <w:rsid w:val="005F5B45"/>
    <w:rsid w:val="005F5B69"/>
    <w:rsid w:val="005F5D97"/>
    <w:rsid w:val="005F5DDF"/>
    <w:rsid w:val="005F6498"/>
    <w:rsid w:val="005F67B1"/>
    <w:rsid w:val="005F6E79"/>
    <w:rsid w:val="005F718B"/>
    <w:rsid w:val="005F73D7"/>
    <w:rsid w:val="005F7404"/>
    <w:rsid w:val="005F78AA"/>
    <w:rsid w:val="005F7AB8"/>
    <w:rsid w:val="005F7E79"/>
    <w:rsid w:val="00600678"/>
    <w:rsid w:val="00600C0F"/>
    <w:rsid w:val="00600D7B"/>
    <w:rsid w:val="0060129D"/>
    <w:rsid w:val="006012E6"/>
    <w:rsid w:val="00601F31"/>
    <w:rsid w:val="006029EF"/>
    <w:rsid w:val="00602CB6"/>
    <w:rsid w:val="00602FE9"/>
    <w:rsid w:val="00603086"/>
    <w:rsid w:val="006032AB"/>
    <w:rsid w:val="00603859"/>
    <w:rsid w:val="00603B14"/>
    <w:rsid w:val="00603B44"/>
    <w:rsid w:val="00603D28"/>
    <w:rsid w:val="006041CD"/>
    <w:rsid w:val="0060460E"/>
    <w:rsid w:val="00604669"/>
    <w:rsid w:val="006046CA"/>
    <w:rsid w:val="0060478F"/>
    <w:rsid w:val="00604D51"/>
    <w:rsid w:val="00605122"/>
    <w:rsid w:val="00605F00"/>
    <w:rsid w:val="00606114"/>
    <w:rsid w:val="00606209"/>
    <w:rsid w:val="00606273"/>
    <w:rsid w:val="006064E7"/>
    <w:rsid w:val="00606606"/>
    <w:rsid w:val="00606740"/>
    <w:rsid w:val="0060696B"/>
    <w:rsid w:val="006069B9"/>
    <w:rsid w:val="00606B3E"/>
    <w:rsid w:val="00606CCC"/>
    <w:rsid w:val="00606CCD"/>
    <w:rsid w:val="00606D6D"/>
    <w:rsid w:val="00606FE1"/>
    <w:rsid w:val="006071BD"/>
    <w:rsid w:val="00607599"/>
    <w:rsid w:val="006078FE"/>
    <w:rsid w:val="006079AC"/>
    <w:rsid w:val="00607A8D"/>
    <w:rsid w:val="00607BA5"/>
    <w:rsid w:val="00607DB7"/>
    <w:rsid w:val="00607E5A"/>
    <w:rsid w:val="006100DB"/>
    <w:rsid w:val="00610173"/>
    <w:rsid w:val="006102FE"/>
    <w:rsid w:val="006106EF"/>
    <w:rsid w:val="006109B1"/>
    <w:rsid w:val="00610AD1"/>
    <w:rsid w:val="00610B49"/>
    <w:rsid w:val="00610B8C"/>
    <w:rsid w:val="00610FD6"/>
    <w:rsid w:val="00611529"/>
    <w:rsid w:val="00611705"/>
    <w:rsid w:val="006117D2"/>
    <w:rsid w:val="0061180A"/>
    <w:rsid w:val="00611887"/>
    <w:rsid w:val="006119A5"/>
    <w:rsid w:val="00611B3E"/>
    <w:rsid w:val="00611B5A"/>
    <w:rsid w:val="00611C62"/>
    <w:rsid w:val="00611DB7"/>
    <w:rsid w:val="0061203D"/>
    <w:rsid w:val="006121D4"/>
    <w:rsid w:val="00612285"/>
    <w:rsid w:val="00612365"/>
    <w:rsid w:val="006123FA"/>
    <w:rsid w:val="00612CB9"/>
    <w:rsid w:val="00612D23"/>
    <w:rsid w:val="00612E0C"/>
    <w:rsid w:val="00612E32"/>
    <w:rsid w:val="00612EB5"/>
    <w:rsid w:val="00612F2B"/>
    <w:rsid w:val="00612FB6"/>
    <w:rsid w:val="0061314B"/>
    <w:rsid w:val="006133BB"/>
    <w:rsid w:val="00613A8A"/>
    <w:rsid w:val="00613E9D"/>
    <w:rsid w:val="006142FC"/>
    <w:rsid w:val="0061444F"/>
    <w:rsid w:val="006146D3"/>
    <w:rsid w:val="006147D4"/>
    <w:rsid w:val="00614B62"/>
    <w:rsid w:val="00614C23"/>
    <w:rsid w:val="00614DC1"/>
    <w:rsid w:val="00615015"/>
    <w:rsid w:val="0061522E"/>
    <w:rsid w:val="006156F6"/>
    <w:rsid w:val="00615DF2"/>
    <w:rsid w:val="00615E70"/>
    <w:rsid w:val="006161E8"/>
    <w:rsid w:val="00616642"/>
    <w:rsid w:val="0061688C"/>
    <w:rsid w:val="00616B49"/>
    <w:rsid w:val="00617239"/>
    <w:rsid w:val="0061728D"/>
    <w:rsid w:val="0061749B"/>
    <w:rsid w:val="00617767"/>
    <w:rsid w:val="0061783C"/>
    <w:rsid w:val="00617881"/>
    <w:rsid w:val="00617BCC"/>
    <w:rsid w:val="00617FCB"/>
    <w:rsid w:val="006206F2"/>
    <w:rsid w:val="0062091E"/>
    <w:rsid w:val="00620A3B"/>
    <w:rsid w:val="00620CBD"/>
    <w:rsid w:val="00620CCD"/>
    <w:rsid w:val="00620DC4"/>
    <w:rsid w:val="00620FA2"/>
    <w:rsid w:val="0062104E"/>
    <w:rsid w:val="00621240"/>
    <w:rsid w:val="00621824"/>
    <w:rsid w:val="0062199F"/>
    <w:rsid w:val="00621C17"/>
    <w:rsid w:val="00621D85"/>
    <w:rsid w:val="00621E10"/>
    <w:rsid w:val="00621EB2"/>
    <w:rsid w:val="006225F6"/>
    <w:rsid w:val="0062264C"/>
    <w:rsid w:val="00622949"/>
    <w:rsid w:val="00622985"/>
    <w:rsid w:val="00622C70"/>
    <w:rsid w:val="00622D1D"/>
    <w:rsid w:val="00622DFD"/>
    <w:rsid w:val="00622F36"/>
    <w:rsid w:val="0062302A"/>
    <w:rsid w:val="00623355"/>
    <w:rsid w:val="00623453"/>
    <w:rsid w:val="00623752"/>
    <w:rsid w:val="0062378C"/>
    <w:rsid w:val="00623931"/>
    <w:rsid w:val="0062393E"/>
    <w:rsid w:val="00623FC8"/>
    <w:rsid w:val="006240EA"/>
    <w:rsid w:val="00624342"/>
    <w:rsid w:val="00624722"/>
    <w:rsid w:val="00624AE1"/>
    <w:rsid w:val="00624B42"/>
    <w:rsid w:val="00624B4C"/>
    <w:rsid w:val="00624B6C"/>
    <w:rsid w:val="00624B9A"/>
    <w:rsid w:val="00624C7A"/>
    <w:rsid w:val="00624F4A"/>
    <w:rsid w:val="00624FF1"/>
    <w:rsid w:val="0062520D"/>
    <w:rsid w:val="0062525F"/>
    <w:rsid w:val="006253B0"/>
    <w:rsid w:val="00625795"/>
    <w:rsid w:val="00625AD3"/>
    <w:rsid w:val="00625B8A"/>
    <w:rsid w:val="00625C41"/>
    <w:rsid w:val="00625D1B"/>
    <w:rsid w:val="00625D90"/>
    <w:rsid w:val="00625ED9"/>
    <w:rsid w:val="00626051"/>
    <w:rsid w:val="006263C4"/>
    <w:rsid w:val="0062658B"/>
    <w:rsid w:val="00626993"/>
    <w:rsid w:val="00626CFD"/>
    <w:rsid w:val="00626D4E"/>
    <w:rsid w:val="00626E32"/>
    <w:rsid w:val="00626EB6"/>
    <w:rsid w:val="0062735E"/>
    <w:rsid w:val="0062749B"/>
    <w:rsid w:val="0062776D"/>
    <w:rsid w:val="00627843"/>
    <w:rsid w:val="00627ABD"/>
    <w:rsid w:val="00627AEB"/>
    <w:rsid w:val="00627B0B"/>
    <w:rsid w:val="00627CCE"/>
    <w:rsid w:val="00627F4E"/>
    <w:rsid w:val="00630261"/>
    <w:rsid w:val="00630726"/>
    <w:rsid w:val="00630B8A"/>
    <w:rsid w:val="00630D98"/>
    <w:rsid w:val="00631031"/>
    <w:rsid w:val="0063109F"/>
    <w:rsid w:val="00631106"/>
    <w:rsid w:val="00631227"/>
    <w:rsid w:val="0063141F"/>
    <w:rsid w:val="006315AC"/>
    <w:rsid w:val="006316A7"/>
    <w:rsid w:val="006317C9"/>
    <w:rsid w:val="006318B3"/>
    <w:rsid w:val="00631973"/>
    <w:rsid w:val="006319C1"/>
    <w:rsid w:val="00631ACE"/>
    <w:rsid w:val="00631B6F"/>
    <w:rsid w:val="00631D9A"/>
    <w:rsid w:val="00631E58"/>
    <w:rsid w:val="00632029"/>
    <w:rsid w:val="00632114"/>
    <w:rsid w:val="00632250"/>
    <w:rsid w:val="00632306"/>
    <w:rsid w:val="0063250F"/>
    <w:rsid w:val="00632906"/>
    <w:rsid w:val="00632EC5"/>
    <w:rsid w:val="00632FF1"/>
    <w:rsid w:val="006333FB"/>
    <w:rsid w:val="00633509"/>
    <w:rsid w:val="00633C75"/>
    <w:rsid w:val="00633D02"/>
    <w:rsid w:val="00633D4C"/>
    <w:rsid w:val="00633EA7"/>
    <w:rsid w:val="00634053"/>
    <w:rsid w:val="006340DD"/>
    <w:rsid w:val="00634366"/>
    <w:rsid w:val="00634934"/>
    <w:rsid w:val="00634C80"/>
    <w:rsid w:val="00634D23"/>
    <w:rsid w:val="00634E99"/>
    <w:rsid w:val="006355DD"/>
    <w:rsid w:val="006356C7"/>
    <w:rsid w:val="00635707"/>
    <w:rsid w:val="00635919"/>
    <w:rsid w:val="00635C54"/>
    <w:rsid w:val="00635D32"/>
    <w:rsid w:val="0063612B"/>
    <w:rsid w:val="00636240"/>
    <w:rsid w:val="00636627"/>
    <w:rsid w:val="0063697C"/>
    <w:rsid w:val="00637019"/>
    <w:rsid w:val="00637187"/>
    <w:rsid w:val="006371B8"/>
    <w:rsid w:val="006372ED"/>
    <w:rsid w:val="006373D7"/>
    <w:rsid w:val="00637581"/>
    <w:rsid w:val="006375A4"/>
    <w:rsid w:val="006376C0"/>
    <w:rsid w:val="00637B96"/>
    <w:rsid w:val="00637C02"/>
    <w:rsid w:val="0064017E"/>
    <w:rsid w:val="006401C4"/>
    <w:rsid w:val="006402DC"/>
    <w:rsid w:val="00640576"/>
    <w:rsid w:val="006408A5"/>
    <w:rsid w:val="006408D2"/>
    <w:rsid w:val="00640BD2"/>
    <w:rsid w:val="00640C3D"/>
    <w:rsid w:val="00640C4E"/>
    <w:rsid w:val="00640CEA"/>
    <w:rsid w:val="0064159D"/>
    <w:rsid w:val="006418F3"/>
    <w:rsid w:val="00641908"/>
    <w:rsid w:val="00641912"/>
    <w:rsid w:val="00641CA0"/>
    <w:rsid w:val="00641F77"/>
    <w:rsid w:val="00642319"/>
    <w:rsid w:val="0064235F"/>
    <w:rsid w:val="006423C3"/>
    <w:rsid w:val="00643040"/>
    <w:rsid w:val="00643300"/>
    <w:rsid w:val="00643500"/>
    <w:rsid w:val="006437E3"/>
    <w:rsid w:val="00643965"/>
    <w:rsid w:val="00643A9A"/>
    <w:rsid w:val="00643C7D"/>
    <w:rsid w:val="00643E01"/>
    <w:rsid w:val="006440D5"/>
    <w:rsid w:val="0064421E"/>
    <w:rsid w:val="0064426C"/>
    <w:rsid w:val="006444C9"/>
    <w:rsid w:val="006444F0"/>
    <w:rsid w:val="006448DD"/>
    <w:rsid w:val="00644B4D"/>
    <w:rsid w:val="00644CED"/>
    <w:rsid w:val="00644F0F"/>
    <w:rsid w:val="0064501B"/>
    <w:rsid w:val="0064522C"/>
    <w:rsid w:val="0064527C"/>
    <w:rsid w:val="00645289"/>
    <w:rsid w:val="00645D36"/>
    <w:rsid w:val="00645E51"/>
    <w:rsid w:val="00645F9A"/>
    <w:rsid w:val="00645F9C"/>
    <w:rsid w:val="00646060"/>
    <w:rsid w:val="006460ED"/>
    <w:rsid w:val="0064612E"/>
    <w:rsid w:val="00646173"/>
    <w:rsid w:val="00646478"/>
    <w:rsid w:val="00646545"/>
    <w:rsid w:val="0064695C"/>
    <w:rsid w:val="006469CB"/>
    <w:rsid w:val="00646E01"/>
    <w:rsid w:val="00646F95"/>
    <w:rsid w:val="00647473"/>
    <w:rsid w:val="006474AA"/>
    <w:rsid w:val="00647559"/>
    <w:rsid w:val="006475C8"/>
    <w:rsid w:val="006478FC"/>
    <w:rsid w:val="00647A3A"/>
    <w:rsid w:val="00647A87"/>
    <w:rsid w:val="00647AE9"/>
    <w:rsid w:val="00647B9A"/>
    <w:rsid w:val="00647C13"/>
    <w:rsid w:val="00650461"/>
    <w:rsid w:val="00650D1D"/>
    <w:rsid w:val="006511E2"/>
    <w:rsid w:val="0065126C"/>
    <w:rsid w:val="006513F4"/>
    <w:rsid w:val="00651A7C"/>
    <w:rsid w:val="00651AD3"/>
    <w:rsid w:val="00651D6B"/>
    <w:rsid w:val="00651F84"/>
    <w:rsid w:val="00651FBF"/>
    <w:rsid w:val="00651FEA"/>
    <w:rsid w:val="00652305"/>
    <w:rsid w:val="0065256E"/>
    <w:rsid w:val="006528BF"/>
    <w:rsid w:val="006528F4"/>
    <w:rsid w:val="00652DC5"/>
    <w:rsid w:val="0065381B"/>
    <w:rsid w:val="006539D1"/>
    <w:rsid w:val="00653A53"/>
    <w:rsid w:val="00653A82"/>
    <w:rsid w:val="00653C4E"/>
    <w:rsid w:val="00653CB7"/>
    <w:rsid w:val="00653D73"/>
    <w:rsid w:val="00653DC6"/>
    <w:rsid w:val="00653DEF"/>
    <w:rsid w:val="006541B2"/>
    <w:rsid w:val="006546DE"/>
    <w:rsid w:val="0065480E"/>
    <w:rsid w:val="00654FF6"/>
    <w:rsid w:val="00655180"/>
    <w:rsid w:val="0065566B"/>
    <w:rsid w:val="006558FF"/>
    <w:rsid w:val="0065590A"/>
    <w:rsid w:val="00655B23"/>
    <w:rsid w:val="00655D03"/>
    <w:rsid w:val="00655E1E"/>
    <w:rsid w:val="00655E3C"/>
    <w:rsid w:val="00656495"/>
    <w:rsid w:val="006568E9"/>
    <w:rsid w:val="00656A78"/>
    <w:rsid w:val="00656CCD"/>
    <w:rsid w:val="00656F8E"/>
    <w:rsid w:val="00657644"/>
    <w:rsid w:val="00657651"/>
    <w:rsid w:val="0065787E"/>
    <w:rsid w:val="00657A08"/>
    <w:rsid w:val="00657C6B"/>
    <w:rsid w:val="00660206"/>
    <w:rsid w:val="006606D3"/>
    <w:rsid w:val="006608B9"/>
    <w:rsid w:val="00660BDE"/>
    <w:rsid w:val="00661203"/>
    <w:rsid w:val="00661207"/>
    <w:rsid w:val="00661462"/>
    <w:rsid w:val="0066157B"/>
    <w:rsid w:val="006615B0"/>
    <w:rsid w:val="00661767"/>
    <w:rsid w:val="006618E2"/>
    <w:rsid w:val="00661953"/>
    <w:rsid w:val="00661BDF"/>
    <w:rsid w:val="00661C10"/>
    <w:rsid w:val="006622F6"/>
    <w:rsid w:val="00662546"/>
    <w:rsid w:val="00662560"/>
    <w:rsid w:val="006627B9"/>
    <w:rsid w:val="00662808"/>
    <w:rsid w:val="0066292D"/>
    <w:rsid w:val="00662D46"/>
    <w:rsid w:val="00663558"/>
    <w:rsid w:val="00663713"/>
    <w:rsid w:val="006639C4"/>
    <w:rsid w:val="00663C32"/>
    <w:rsid w:val="00663EDC"/>
    <w:rsid w:val="00663F3F"/>
    <w:rsid w:val="0066427B"/>
    <w:rsid w:val="006644E3"/>
    <w:rsid w:val="00664551"/>
    <w:rsid w:val="00664931"/>
    <w:rsid w:val="00664C15"/>
    <w:rsid w:val="00664D87"/>
    <w:rsid w:val="00664E68"/>
    <w:rsid w:val="00665151"/>
    <w:rsid w:val="006652E2"/>
    <w:rsid w:val="0066542A"/>
    <w:rsid w:val="00665661"/>
    <w:rsid w:val="0066576A"/>
    <w:rsid w:val="006657EB"/>
    <w:rsid w:val="006658E2"/>
    <w:rsid w:val="006659CE"/>
    <w:rsid w:val="00665B8B"/>
    <w:rsid w:val="00665C4D"/>
    <w:rsid w:val="00665EF6"/>
    <w:rsid w:val="00666149"/>
    <w:rsid w:val="00666462"/>
    <w:rsid w:val="006664E4"/>
    <w:rsid w:val="006665D5"/>
    <w:rsid w:val="00666719"/>
    <w:rsid w:val="00666828"/>
    <w:rsid w:val="00666979"/>
    <w:rsid w:val="006669AB"/>
    <w:rsid w:val="0066708D"/>
    <w:rsid w:val="00667149"/>
    <w:rsid w:val="0066760F"/>
    <w:rsid w:val="006677BF"/>
    <w:rsid w:val="00667EA2"/>
    <w:rsid w:val="00670149"/>
    <w:rsid w:val="0067068A"/>
    <w:rsid w:val="00670A0B"/>
    <w:rsid w:val="00670B3A"/>
    <w:rsid w:val="00670B9C"/>
    <w:rsid w:val="00670BB5"/>
    <w:rsid w:val="00670CCF"/>
    <w:rsid w:val="00670D79"/>
    <w:rsid w:val="00670DEB"/>
    <w:rsid w:val="006712B8"/>
    <w:rsid w:val="00671306"/>
    <w:rsid w:val="00671455"/>
    <w:rsid w:val="00671554"/>
    <w:rsid w:val="00671573"/>
    <w:rsid w:val="00671584"/>
    <w:rsid w:val="00671670"/>
    <w:rsid w:val="00671A97"/>
    <w:rsid w:val="00671B07"/>
    <w:rsid w:val="00671E43"/>
    <w:rsid w:val="00671EFF"/>
    <w:rsid w:val="00671F0C"/>
    <w:rsid w:val="00672252"/>
    <w:rsid w:val="0067230F"/>
    <w:rsid w:val="006727F7"/>
    <w:rsid w:val="0067286F"/>
    <w:rsid w:val="006728C3"/>
    <w:rsid w:val="00672932"/>
    <w:rsid w:val="00672FAA"/>
    <w:rsid w:val="006731CB"/>
    <w:rsid w:val="00673B5A"/>
    <w:rsid w:val="00673B73"/>
    <w:rsid w:val="00673BAC"/>
    <w:rsid w:val="006748D9"/>
    <w:rsid w:val="00674C5E"/>
    <w:rsid w:val="00674C5F"/>
    <w:rsid w:val="00674D8B"/>
    <w:rsid w:val="006750E3"/>
    <w:rsid w:val="00675AF7"/>
    <w:rsid w:val="00675B40"/>
    <w:rsid w:val="00675E42"/>
    <w:rsid w:val="00675E76"/>
    <w:rsid w:val="00675F46"/>
    <w:rsid w:val="00676090"/>
    <w:rsid w:val="006764A5"/>
    <w:rsid w:val="006765F0"/>
    <w:rsid w:val="0067667F"/>
    <w:rsid w:val="00676721"/>
    <w:rsid w:val="00676861"/>
    <w:rsid w:val="00676DBA"/>
    <w:rsid w:val="00676E84"/>
    <w:rsid w:val="00676EAF"/>
    <w:rsid w:val="006773BD"/>
    <w:rsid w:val="00677411"/>
    <w:rsid w:val="00677843"/>
    <w:rsid w:val="006779C4"/>
    <w:rsid w:val="00677E6D"/>
    <w:rsid w:val="00677F1A"/>
    <w:rsid w:val="00680491"/>
    <w:rsid w:val="00680542"/>
    <w:rsid w:val="0068056D"/>
    <w:rsid w:val="00680589"/>
    <w:rsid w:val="00680759"/>
    <w:rsid w:val="006808CA"/>
    <w:rsid w:val="0068097D"/>
    <w:rsid w:val="0068127A"/>
    <w:rsid w:val="00681335"/>
    <w:rsid w:val="00681736"/>
    <w:rsid w:val="00681965"/>
    <w:rsid w:val="0068203A"/>
    <w:rsid w:val="006823DB"/>
    <w:rsid w:val="00682480"/>
    <w:rsid w:val="006826A7"/>
    <w:rsid w:val="00682863"/>
    <w:rsid w:val="0068293E"/>
    <w:rsid w:val="00683227"/>
    <w:rsid w:val="0068332F"/>
    <w:rsid w:val="0068337E"/>
    <w:rsid w:val="00683388"/>
    <w:rsid w:val="00683624"/>
    <w:rsid w:val="00683695"/>
    <w:rsid w:val="00683706"/>
    <w:rsid w:val="00683F84"/>
    <w:rsid w:val="00684000"/>
    <w:rsid w:val="0068437E"/>
    <w:rsid w:val="00684625"/>
    <w:rsid w:val="00684B50"/>
    <w:rsid w:val="00684DF4"/>
    <w:rsid w:val="00684EE9"/>
    <w:rsid w:val="00685071"/>
    <w:rsid w:val="006850FB"/>
    <w:rsid w:val="006853C1"/>
    <w:rsid w:val="00685527"/>
    <w:rsid w:val="0068627F"/>
    <w:rsid w:val="006864C3"/>
    <w:rsid w:val="00686863"/>
    <w:rsid w:val="00686E5C"/>
    <w:rsid w:val="00686F5B"/>
    <w:rsid w:val="006870D9"/>
    <w:rsid w:val="0068741D"/>
    <w:rsid w:val="00687C7C"/>
    <w:rsid w:val="00687CBE"/>
    <w:rsid w:val="00687F8C"/>
    <w:rsid w:val="006900DC"/>
    <w:rsid w:val="006908DB"/>
    <w:rsid w:val="00690961"/>
    <w:rsid w:val="00690D20"/>
    <w:rsid w:val="00690F7F"/>
    <w:rsid w:val="00691183"/>
    <w:rsid w:val="00691A71"/>
    <w:rsid w:val="00691E8E"/>
    <w:rsid w:val="006921EB"/>
    <w:rsid w:val="006924B6"/>
    <w:rsid w:val="0069288E"/>
    <w:rsid w:val="00692E29"/>
    <w:rsid w:val="00692F4E"/>
    <w:rsid w:val="00693235"/>
    <w:rsid w:val="00693250"/>
    <w:rsid w:val="006932B0"/>
    <w:rsid w:val="0069351A"/>
    <w:rsid w:val="00693741"/>
    <w:rsid w:val="00693927"/>
    <w:rsid w:val="00693A72"/>
    <w:rsid w:val="00693C27"/>
    <w:rsid w:val="00693DB8"/>
    <w:rsid w:val="0069413D"/>
    <w:rsid w:val="0069431A"/>
    <w:rsid w:val="00694606"/>
    <w:rsid w:val="006949A8"/>
    <w:rsid w:val="00694B45"/>
    <w:rsid w:val="00695074"/>
    <w:rsid w:val="006951FC"/>
    <w:rsid w:val="006955E3"/>
    <w:rsid w:val="00695E2F"/>
    <w:rsid w:val="00696490"/>
    <w:rsid w:val="00696DBD"/>
    <w:rsid w:val="00696FBF"/>
    <w:rsid w:val="00697164"/>
    <w:rsid w:val="00697217"/>
    <w:rsid w:val="006973B3"/>
    <w:rsid w:val="006977C0"/>
    <w:rsid w:val="006A00B0"/>
    <w:rsid w:val="006A00F8"/>
    <w:rsid w:val="006A01E0"/>
    <w:rsid w:val="006A073E"/>
    <w:rsid w:val="006A0971"/>
    <w:rsid w:val="006A0A1A"/>
    <w:rsid w:val="006A0B2A"/>
    <w:rsid w:val="006A0E0F"/>
    <w:rsid w:val="006A0F2D"/>
    <w:rsid w:val="006A11BD"/>
    <w:rsid w:val="006A13D0"/>
    <w:rsid w:val="006A1454"/>
    <w:rsid w:val="006A16DF"/>
    <w:rsid w:val="006A17EB"/>
    <w:rsid w:val="006A1876"/>
    <w:rsid w:val="006A1D32"/>
    <w:rsid w:val="006A1E4B"/>
    <w:rsid w:val="006A2141"/>
    <w:rsid w:val="006A252F"/>
    <w:rsid w:val="006A274E"/>
    <w:rsid w:val="006A2964"/>
    <w:rsid w:val="006A2A33"/>
    <w:rsid w:val="006A2D93"/>
    <w:rsid w:val="006A34D5"/>
    <w:rsid w:val="006A3708"/>
    <w:rsid w:val="006A3A64"/>
    <w:rsid w:val="006A3ACD"/>
    <w:rsid w:val="006A3B0D"/>
    <w:rsid w:val="006A3BBA"/>
    <w:rsid w:val="006A3E11"/>
    <w:rsid w:val="006A407D"/>
    <w:rsid w:val="006A418C"/>
    <w:rsid w:val="006A4572"/>
    <w:rsid w:val="006A4681"/>
    <w:rsid w:val="006A48B4"/>
    <w:rsid w:val="006A4CFA"/>
    <w:rsid w:val="006A4F2F"/>
    <w:rsid w:val="006A4F35"/>
    <w:rsid w:val="006A50F5"/>
    <w:rsid w:val="006A5476"/>
    <w:rsid w:val="006A560B"/>
    <w:rsid w:val="006A5643"/>
    <w:rsid w:val="006A58E1"/>
    <w:rsid w:val="006A5998"/>
    <w:rsid w:val="006A59CB"/>
    <w:rsid w:val="006A5A06"/>
    <w:rsid w:val="006A5D85"/>
    <w:rsid w:val="006A62C2"/>
    <w:rsid w:val="006A637D"/>
    <w:rsid w:val="006A648F"/>
    <w:rsid w:val="006A6570"/>
    <w:rsid w:val="006A662F"/>
    <w:rsid w:val="006A6A71"/>
    <w:rsid w:val="006A6A81"/>
    <w:rsid w:val="006A6DD0"/>
    <w:rsid w:val="006A6E6F"/>
    <w:rsid w:val="006A6E84"/>
    <w:rsid w:val="006A6FBA"/>
    <w:rsid w:val="006A7056"/>
    <w:rsid w:val="006A70B0"/>
    <w:rsid w:val="006A7159"/>
    <w:rsid w:val="006A7385"/>
    <w:rsid w:val="006A73D6"/>
    <w:rsid w:val="006A753A"/>
    <w:rsid w:val="006A75F7"/>
    <w:rsid w:val="006A77EB"/>
    <w:rsid w:val="006A7960"/>
    <w:rsid w:val="006A7A6D"/>
    <w:rsid w:val="006A7AA3"/>
    <w:rsid w:val="006A7B3F"/>
    <w:rsid w:val="006A7C76"/>
    <w:rsid w:val="006A7FA4"/>
    <w:rsid w:val="006A7FA5"/>
    <w:rsid w:val="006B0457"/>
    <w:rsid w:val="006B0713"/>
    <w:rsid w:val="006B0EC1"/>
    <w:rsid w:val="006B0FD1"/>
    <w:rsid w:val="006B1062"/>
    <w:rsid w:val="006B11DD"/>
    <w:rsid w:val="006B12D2"/>
    <w:rsid w:val="006B15DC"/>
    <w:rsid w:val="006B17B4"/>
    <w:rsid w:val="006B19E7"/>
    <w:rsid w:val="006B1C64"/>
    <w:rsid w:val="006B1D35"/>
    <w:rsid w:val="006B2091"/>
    <w:rsid w:val="006B21C1"/>
    <w:rsid w:val="006B2383"/>
    <w:rsid w:val="006B246B"/>
    <w:rsid w:val="006B263F"/>
    <w:rsid w:val="006B2A95"/>
    <w:rsid w:val="006B2AB3"/>
    <w:rsid w:val="006B2D71"/>
    <w:rsid w:val="006B3067"/>
    <w:rsid w:val="006B30C2"/>
    <w:rsid w:val="006B310F"/>
    <w:rsid w:val="006B33BD"/>
    <w:rsid w:val="006B35B8"/>
    <w:rsid w:val="006B3799"/>
    <w:rsid w:val="006B393A"/>
    <w:rsid w:val="006B3CF0"/>
    <w:rsid w:val="006B4059"/>
    <w:rsid w:val="006B4093"/>
    <w:rsid w:val="006B4740"/>
    <w:rsid w:val="006B5120"/>
    <w:rsid w:val="006B5159"/>
    <w:rsid w:val="006B533E"/>
    <w:rsid w:val="006B57F1"/>
    <w:rsid w:val="006B5C38"/>
    <w:rsid w:val="006B5EDD"/>
    <w:rsid w:val="006B5EDF"/>
    <w:rsid w:val="006B5F97"/>
    <w:rsid w:val="006B6208"/>
    <w:rsid w:val="006B629E"/>
    <w:rsid w:val="006B6407"/>
    <w:rsid w:val="006B6409"/>
    <w:rsid w:val="006B65A7"/>
    <w:rsid w:val="006B662B"/>
    <w:rsid w:val="006B66CD"/>
    <w:rsid w:val="006B6847"/>
    <w:rsid w:val="006B6848"/>
    <w:rsid w:val="006B6887"/>
    <w:rsid w:val="006B693F"/>
    <w:rsid w:val="006B6A84"/>
    <w:rsid w:val="006B6ECA"/>
    <w:rsid w:val="006B6FB5"/>
    <w:rsid w:val="006B711A"/>
    <w:rsid w:val="006B71DE"/>
    <w:rsid w:val="006B760C"/>
    <w:rsid w:val="006B7676"/>
    <w:rsid w:val="006B7F0A"/>
    <w:rsid w:val="006B7F9A"/>
    <w:rsid w:val="006C00FA"/>
    <w:rsid w:val="006C0179"/>
    <w:rsid w:val="006C0335"/>
    <w:rsid w:val="006C060B"/>
    <w:rsid w:val="006C068A"/>
    <w:rsid w:val="006C091A"/>
    <w:rsid w:val="006C0E52"/>
    <w:rsid w:val="006C0E69"/>
    <w:rsid w:val="006C0E7D"/>
    <w:rsid w:val="006C0E9F"/>
    <w:rsid w:val="006C0F61"/>
    <w:rsid w:val="006C14B4"/>
    <w:rsid w:val="006C1667"/>
    <w:rsid w:val="006C1D1A"/>
    <w:rsid w:val="006C2066"/>
    <w:rsid w:val="006C21E8"/>
    <w:rsid w:val="006C27B6"/>
    <w:rsid w:val="006C2AF3"/>
    <w:rsid w:val="006C2B76"/>
    <w:rsid w:val="006C2BA4"/>
    <w:rsid w:val="006C2EFB"/>
    <w:rsid w:val="006C311B"/>
    <w:rsid w:val="006C3172"/>
    <w:rsid w:val="006C3254"/>
    <w:rsid w:val="006C33A9"/>
    <w:rsid w:val="006C353D"/>
    <w:rsid w:val="006C39E2"/>
    <w:rsid w:val="006C3A36"/>
    <w:rsid w:val="006C3B94"/>
    <w:rsid w:val="006C3BCB"/>
    <w:rsid w:val="006C3EF6"/>
    <w:rsid w:val="006C41A4"/>
    <w:rsid w:val="006C4223"/>
    <w:rsid w:val="006C428F"/>
    <w:rsid w:val="006C45A2"/>
    <w:rsid w:val="006C4BA9"/>
    <w:rsid w:val="006C4E21"/>
    <w:rsid w:val="006C5684"/>
    <w:rsid w:val="006C5895"/>
    <w:rsid w:val="006C58F9"/>
    <w:rsid w:val="006C591B"/>
    <w:rsid w:val="006C5C0A"/>
    <w:rsid w:val="006C5D98"/>
    <w:rsid w:val="006C609A"/>
    <w:rsid w:val="006C61C6"/>
    <w:rsid w:val="006C6270"/>
    <w:rsid w:val="006C62AF"/>
    <w:rsid w:val="006C62B0"/>
    <w:rsid w:val="006C631C"/>
    <w:rsid w:val="006C64DD"/>
    <w:rsid w:val="006C659B"/>
    <w:rsid w:val="006C6C12"/>
    <w:rsid w:val="006C6C7D"/>
    <w:rsid w:val="006C6EA0"/>
    <w:rsid w:val="006C6F99"/>
    <w:rsid w:val="006C734A"/>
    <w:rsid w:val="006C7A5A"/>
    <w:rsid w:val="006C7BE9"/>
    <w:rsid w:val="006C7C34"/>
    <w:rsid w:val="006C7FBE"/>
    <w:rsid w:val="006D0305"/>
    <w:rsid w:val="006D0360"/>
    <w:rsid w:val="006D0367"/>
    <w:rsid w:val="006D07DC"/>
    <w:rsid w:val="006D08E1"/>
    <w:rsid w:val="006D09BC"/>
    <w:rsid w:val="006D104C"/>
    <w:rsid w:val="006D1116"/>
    <w:rsid w:val="006D128E"/>
    <w:rsid w:val="006D1448"/>
    <w:rsid w:val="006D16FB"/>
    <w:rsid w:val="006D1876"/>
    <w:rsid w:val="006D1A6A"/>
    <w:rsid w:val="006D1ACE"/>
    <w:rsid w:val="006D1EFA"/>
    <w:rsid w:val="006D25F8"/>
    <w:rsid w:val="006D2888"/>
    <w:rsid w:val="006D2C2B"/>
    <w:rsid w:val="006D2C5C"/>
    <w:rsid w:val="006D2CAD"/>
    <w:rsid w:val="006D2CEA"/>
    <w:rsid w:val="006D2D4F"/>
    <w:rsid w:val="006D344F"/>
    <w:rsid w:val="006D4546"/>
    <w:rsid w:val="006D4660"/>
    <w:rsid w:val="006D4D88"/>
    <w:rsid w:val="006D4F23"/>
    <w:rsid w:val="006D5141"/>
    <w:rsid w:val="006D524F"/>
    <w:rsid w:val="006D53C2"/>
    <w:rsid w:val="006D55E8"/>
    <w:rsid w:val="006D5629"/>
    <w:rsid w:val="006D5B16"/>
    <w:rsid w:val="006D5CD0"/>
    <w:rsid w:val="006D5FA0"/>
    <w:rsid w:val="006D61B1"/>
    <w:rsid w:val="006D63B0"/>
    <w:rsid w:val="006D6A7A"/>
    <w:rsid w:val="006D72D5"/>
    <w:rsid w:val="006D72E9"/>
    <w:rsid w:val="006D754C"/>
    <w:rsid w:val="006D7894"/>
    <w:rsid w:val="006D78D3"/>
    <w:rsid w:val="006D798D"/>
    <w:rsid w:val="006D7B71"/>
    <w:rsid w:val="006D7D16"/>
    <w:rsid w:val="006E0398"/>
    <w:rsid w:val="006E0A88"/>
    <w:rsid w:val="006E0C5B"/>
    <w:rsid w:val="006E1288"/>
    <w:rsid w:val="006E1344"/>
    <w:rsid w:val="006E13BC"/>
    <w:rsid w:val="006E144A"/>
    <w:rsid w:val="006E1487"/>
    <w:rsid w:val="006E14B7"/>
    <w:rsid w:val="006E15F1"/>
    <w:rsid w:val="006E1661"/>
    <w:rsid w:val="006E16F4"/>
    <w:rsid w:val="006E17A7"/>
    <w:rsid w:val="006E1AD9"/>
    <w:rsid w:val="006E2048"/>
    <w:rsid w:val="006E2287"/>
    <w:rsid w:val="006E22B2"/>
    <w:rsid w:val="006E234A"/>
    <w:rsid w:val="006E2360"/>
    <w:rsid w:val="006E2A2F"/>
    <w:rsid w:val="006E2BCB"/>
    <w:rsid w:val="006E310F"/>
    <w:rsid w:val="006E3398"/>
    <w:rsid w:val="006E354C"/>
    <w:rsid w:val="006E36EC"/>
    <w:rsid w:val="006E3B06"/>
    <w:rsid w:val="006E3C7E"/>
    <w:rsid w:val="006E3E76"/>
    <w:rsid w:val="006E3ECF"/>
    <w:rsid w:val="006E43E2"/>
    <w:rsid w:val="006E47D2"/>
    <w:rsid w:val="006E4B67"/>
    <w:rsid w:val="006E4FC4"/>
    <w:rsid w:val="006E516E"/>
    <w:rsid w:val="006E5282"/>
    <w:rsid w:val="006E5673"/>
    <w:rsid w:val="006E5938"/>
    <w:rsid w:val="006E5BC0"/>
    <w:rsid w:val="006E5BD8"/>
    <w:rsid w:val="006E5C36"/>
    <w:rsid w:val="006E62EF"/>
    <w:rsid w:val="006E6330"/>
    <w:rsid w:val="006E666C"/>
    <w:rsid w:val="006E6830"/>
    <w:rsid w:val="006E6D38"/>
    <w:rsid w:val="006E6FA9"/>
    <w:rsid w:val="006E7281"/>
    <w:rsid w:val="006E745B"/>
    <w:rsid w:val="006E74D2"/>
    <w:rsid w:val="006E766B"/>
    <w:rsid w:val="006E7CF2"/>
    <w:rsid w:val="006E7D7F"/>
    <w:rsid w:val="006E7F39"/>
    <w:rsid w:val="006F0519"/>
    <w:rsid w:val="006F09C3"/>
    <w:rsid w:val="006F0A4C"/>
    <w:rsid w:val="006F0CAD"/>
    <w:rsid w:val="006F0D9A"/>
    <w:rsid w:val="006F10A2"/>
    <w:rsid w:val="006F1361"/>
    <w:rsid w:val="006F15B5"/>
    <w:rsid w:val="006F15D4"/>
    <w:rsid w:val="006F1741"/>
    <w:rsid w:val="006F17AB"/>
    <w:rsid w:val="006F18CC"/>
    <w:rsid w:val="006F1BEF"/>
    <w:rsid w:val="006F1E03"/>
    <w:rsid w:val="006F1FF1"/>
    <w:rsid w:val="006F20A0"/>
    <w:rsid w:val="006F2150"/>
    <w:rsid w:val="006F26A4"/>
    <w:rsid w:val="006F26A5"/>
    <w:rsid w:val="006F2926"/>
    <w:rsid w:val="006F2AEE"/>
    <w:rsid w:val="006F2CF0"/>
    <w:rsid w:val="006F2E4F"/>
    <w:rsid w:val="006F2EAA"/>
    <w:rsid w:val="006F2F5F"/>
    <w:rsid w:val="006F32B7"/>
    <w:rsid w:val="006F3303"/>
    <w:rsid w:val="006F3313"/>
    <w:rsid w:val="006F363B"/>
    <w:rsid w:val="006F36A1"/>
    <w:rsid w:val="006F3BBD"/>
    <w:rsid w:val="006F3DB9"/>
    <w:rsid w:val="006F4168"/>
    <w:rsid w:val="006F45CB"/>
    <w:rsid w:val="006F498D"/>
    <w:rsid w:val="006F4EF0"/>
    <w:rsid w:val="006F4FC1"/>
    <w:rsid w:val="006F4FEF"/>
    <w:rsid w:val="006F506D"/>
    <w:rsid w:val="006F507E"/>
    <w:rsid w:val="006F508B"/>
    <w:rsid w:val="006F508C"/>
    <w:rsid w:val="006F51C4"/>
    <w:rsid w:val="006F5219"/>
    <w:rsid w:val="006F54CA"/>
    <w:rsid w:val="006F56FD"/>
    <w:rsid w:val="006F58CA"/>
    <w:rsid w:val="006F5B7A"/>
    <w:rsid w:val="006F5F3B"/>
    <w:rsid w:val="006F5F5D"/>
    <w:rsid w:val="006F652E"/>
    <w:rsid w:val="006F69EC"/>
    <w:rsid w:val="006F6CD6"/>
    <w:rsid w:val="006F7393"/>
    <w:rsid w:val="006F7457"/>
    <w:rsid w:val="006F78D8"/>
    <w:rsid w:val="006F7901"/>
    <w:rsid w:val="006F7D94"/>
    <w:rsid w:val="0070043E"/>
    <w:rsid w:val="007005E9"/>
    <w:rsid w:val="007006D3"/>
    <w:rsid w:val="007007EE"/>
    <w:rsid w:val="007007F6"/>
    <w:rsid w:val="0070082F"/>
    <w:rsid w:val="00700875"/>
    <w:rsid w:val="007008E8"/>
    <w:rsid w:val="00700977"/>
    <w:rsid w:val="007009A1"/>
    <w:rsid w:val="007009E9"/>
    <w:rsid w:val="00700BEC"/>
    <w:rsid w:val="00700C24"/>
    <w:rsid w:val="00700CD7"/>
    <w:rsid w:val="00700F03"/>
    <w:rsid w:val="00700FC8"/>
    <w:rsid w:val="00701072"/>
    <w:rsid w:val="00701130"/>
    <w:rsid w:val="007015CA"/>
    <w:rsid w:val="00701818"/>
    <w:rsid w:val="00701A1A"/>
    <w:rsid w:val="00701C82"/>
    <w:rsid w:val="00701D8B"/>
    <w:rsid w:val="00701E52"/>
    <w:rsid w:val="00701E93"/>
    <w:rsid w:val="00701FF1"/>
    <w:rsid w:val="0070222E"/>
    <w:rsid w:val="0070224F"/>
    <w:rsid w:val="007026FC"/>
    <w:rsid w:val="00702754"/>
    <w:rsid w:val="0070283E"/>
    <w:rsid w:val="00702976"/>
    <w:rsid w:val="00702A3A"/>
    <w:rsid w:val="00702D3C"/>
    <w:rsid w:val="00703624"/>
    <w:rsid w:val="007036E7"/>
    <w:rsid w:val="00703784"/>
    <w:rsid w:val="00703BEC"/>
    <w:rsid w:val="00703C0C"/>
    <w:rsid w:val="00703E2C"/>
    <w:rsid w:val="00704038"/>
    <w:rsid w:val="00704140"/>
    <w:rsid w:val="00704299"/>
    <w:rsid w:val="007042A2"/>
    <w:rsid w:val="00704544"/>
    <w:rsid w:val="00704653"/>
    <w:rsid w:val="00704985"/>
    <w:rsid w:val="007049D8"/>
    <w:rsid w:val="007049FD"/>
    <w:rsid w:val="007052C2"/>
    <w:rsid w:val="007053C5"/>
    <w:rsid w:val="0070542D"/>
    <w:rsid w:val="007056BC"/>
    <w:rsid w:val="007056F9"/>
    <w:rsid w:val="00705709"/>
    <w:rsid w:val="00705818"/>
    <w:rsid w:val="00705B0B"/>
    <w:rsid w:val="00705B46"/>
    <w:rsid w:val="00705FD5"/>
    <w:rsid w:val="007060ED"/>
    <w:rsid w:val="007061AF"/>
    <w:rsid w:val="007061B4"/>
    <w:rsid w:val="00706436"/>
    <w:rsid w:val="00706782"/>
    <w:rsid w:val="00706851"/>
    <w:rsid w:val="007069EE"/>
    <w:rsid w:val="00706B3B"/>
    <w:rsid w:val="00706C72"/>
    <w:rsid w:val="00706FE9"/>
    <w:rsid w:val="00707039"/>
    <w:rsid w:val="007071B8"/>
    <w:rsid w:val="007071C2"/>
    <w:rsid w:val="0070724B"/>
    <w:rsid w:val="0070733C"/>
    <w:rsid w:val="0070762A"/>
    <w:rsid w:val="00707684"/>
    <w:rsid w:val="007076CF"/>
    <w:rsid w:val="0070794E"/>
    <w:rsid w:val="00707B53"/>
    <w:rsid w:val="00707B74"/>
    <w:rsid w:val="00707C12"/>
    <w:rsid w:val="00707F47"/>
    <w:rsid w:val="0071030E"/>
    <w:rsid w:val="0071054A"/>
    <w:rsid w:val="00710AF3"/>
    <w:rsid w:val="00710B26"/>
    <w:rsid w:val="00710DF4"/>
    <w:rsid w:val="00710F1B"/>
    <w:rsid w:val="007110CA"/>
    <w:rsid w:val="0071134C"/>
    <w:rsid w:val="00711378"/>
    <w:rsid w:val="007115F7"/>
    <w:rsid w:val="0071164E"/>
    <w:rsid w:val="00711946"/>
    <w:rsid w:val="00711E7A"/>
    <w:rsid w:val="00711EA6"/>
    <w:rsid w:val="00711FFA"/>
    <w:rsid w:val="0071213E"/>
    <w:rsid w:val="0071238D"/>
    <w:rsid w:val="00712502"/>
    <w:rsid w:val="0071277A"/>
    <w:rsid w:val="00712838"/>
    <w:rsid w:val="007129A4"/>
    <w:rsid w:val="0071301F"/>
    <w:rsid w:val="0071302C"/>
    <w:rsid w:val="007131EE"/>
    <w:rsid w:val="00713399"/>
    <w:rsid w:val="0071339E"/>
    <w:rsid w:val="0071370F"/>
    <w:rsid w:val="007138B2"/>
    <w:rsid w:val="0071399E"/>
    <w:rsid w:val="00713B9D"/>
    <w:rsid w:val="00713C3E"/>
    <w:rsid w:val="00713E55"/>
    <w:rsid w:val="00713F90"/>
    <w:rsid w:val="007144A0"/>
    <w:rsid w:val="007144FC"/>
    <w:rsid w:val="007147B5"/>
    <w:rsid w:val="007147F4"/>
    <w:rsid w:val="0071492D"/>
    <w:rsid w:val="00714E88"/>
    <w:rsid w:val="007151B0"/>
    <w:rsid w:val="00715351"/>
    <w:rsid w:val="007153B6"/>
    <w:rsid w:val="007156BB"/>
    <w:rsid w:val="00715769"/>
    <w:rsid w:val="00715780"/>
    <w:rsid w:val="0071587F"/>
    <w:rsid w:val="007158B1"/>
    <w:rsid w:val="007158E6"/>
    <w:rsid w:val="00715A17"/>
    <w:rsid w:val="00715E40"/>
    <w:rsid w:val="0071630F"/>
    <w:rsid w:val="00716313"/>
    <w:rsid w:val="00716922"/>
    <w:rsid w:val="00716AF4"/>
    <w:rsid w:val="00716D92"/>
    <w:rsid w:val="00716E0A"/>
    <w:rsid w:val="00716F95"/>
    <w:rsid w:val="0071707E"/>
    <w:rsid w:val="0071752B"/>
    <w:rsid w:val="0071789A"/>
    <w:rsid w:val="007178F1"/>
    <w:rsid w:val="00717D6F"/>
    <w:rsid w:val="00717F54"/>
    <w:rsid w:val="00717FCB"/>
    <w:rsid w:val="00717FD2"/>
    <w:rsid w:val="00720110"/>
    <w:rsid w:val="00720112"/>
    <w:rsid w:val="00720152"/>
    <w:rsid w:val="0072037F"/>
    <w:rsid w:val="007203A4"/>
    <w:rsid w:val="007204BC"/>
    <w:rsid w:val="007205D2"/>
    <w:rsid w:val="007205E6"/>
    <w:rsid w:val="0072068A"/>
    <w:rsid w:val="00720A79"/>
    <w:rsid w:val="00720B02"/>
    <w:rsid w:val="00720BBD"/>
    <w:rsid w:val="00720D55"/>
    <w:rsid w:val="00720DD8"/>
    <w:rsid w:val="007214BD"/>
    <w:rsid w:val="00721580"/>
    <w:rsid w:val="00721792"/>
    <w:rsid w:val="00721799"/>
    <w:rsid w:val="007219B8"/>
    <w:rsid w:val="00721AD2"/>
    <w:rsid w:val="00721F76"/>
    <w:rsid w:val="00722086"/>
    <w:rsid w:val="00722142"/>
    <w:rsid w:val="00722152"/>
    <w:rsid w:val="007222DB"/>
    <w:rsid w:val="00722358"/>
    <w:rsid w:val="00722913"/>
    <w:rsid w:val="00722A28"/>
    <w:rsid w:val="00722A4B"/>
    <w:rsid w:val="00722AA2"/>
    <w:rsid w:val="00722B99"/>
    <w:rsid w:val="007230E1"/>
    <w:rsid w:val="007232CC"/>
    <w:rsid w:val="0072389A"/>
    <w:rsid w:val="00723C61"/>
    <w:rsid w:val="00723CCC"/>
    <w:rsid w:val="00723F5A"/>
    <w:rsid w:val="00724797"/>
    <w:rsid w:val="007248B1"/>
    <w:rsid w:val="00724CED"/>
    <w:rsid w:val="00725096"/>
    <w:rsid w:val="007255B5"/>
    <w:rsid w:val="007257EE"/>
    <w:rsid w:val="007259C1"/>
    <w:rsid w:val="00725C1F"/>
    <w:rsid w:val="00725D50"/>
    <w:rsid w:val="00725DF8"/>
    <w:rsid w:val="00725E2F"/>
    <w:rsid w:val="00726175"/>
    <w:rsid w:val="0072668D"/>
    <w:rsid w:val="007268D4"/>
    <w:rsid w:val="007269AD"/>
    <w:rsid w:val="00726CA5"/>
    <w:rsid w:val="00726DC4"/>
    <w:rsid w:val="00726F1D"/>
    <w:rsid w:val="007270C7"/>
    <w:rsid w:val="007270D5"/>
    <w:rsid w:val="0072758D"/>
    <w:rsid w:val="00727676"/>
    <w:rsid w:val="0072790A"/>
    <w:rsid w:val="00727A1E"/>
    <w:rsid w:val="0073020D"/>
    <w:rsid w:val="0073044E"/>
    <w:rsid w:val="00730EB3"/>
    <w:rsid w:val="00731231"/>
    <w:rsid w:val="007315C2"/>
    <w:rsid w:val="0073166F"/>
    <w:rsid w:val="0073179D"/>
    <w:rsid w:val="00731A6A"/>
    <w:rsid w:val="00731A87"/>
    <w:rsid w:val="0073214F"/>
    <w:rsid w:val="0073219F"/>
    <w:rsid w:val="007321C4"/>
    <w:rsid w:val="00732240"/>
    <w:rsid w:val="00732823"/>
    <w:rsid w:val="00732A03"/>
    <w:rsid w:val="00732BD6"/>
    <w:rsid w:val="00732CA7"/>
    <w:rsid w:val="00733119"/>
    <w:rsid w:val="0073340B"/>
    <w:rsid w:val="00733518"/>
    <w:rsid w:val="00733648"/>
    <w:rsid w:val="00733740"/>
    <w:rsid w:val="0073381D"/>
    <w:rsid w:val="00733941"/>
    <w:rsid w:val="00733A66"/>
    <w:rsid w:val="00733AC8"/>
    <w:rsid w:val="00733DCF"/>
    <w:rsid w:val="0073437E"/>
    <w:rsid w:val="0073463C"/>
    <w:rsid w:val="00734798"/>
    <w:rsid w:val="007347DA"/>
    <w:rsid w:val="007347F4"/>
    <w:rsid w:val="00734AE6"/>
    <w:rsid w:val="00734BE0"/>
    <w:rsid w:val="00734C4C"/>
    <w:rsid w:val="00734C6A"/>
    <w:rsid w:val="00734CA5"/>
    <w:rsid w:val="0073527A"/>
    <w:rsid w:val="00735429"/>
    <w:rsid w:val="0073553D"/>
    <w:rsid w:val="007355CC"/>
    <w:rsid w:val="007356A1"/>
    <w:rsid w:val="0073580D"/>
    <w:rsid w:val="007358AA"/>
    <w:rsid w:val="007358D0"/>
    <w:rsid w:val="00735961"/>
    <w:rsid w:val="00735C24"/>
    <w:rsid w:val="00735D4E"/>
    <w:rsid w:val="00735D93"/>
    <w:rsid w:val="00735EA7"/>
    <w:rsid w:val="00736554"/>
    <w:rsid w:val="00736614"/>
    <w:rsid w:val="007366B9"/>
    <w:rsid w:val="00736713"/>
    <w:rsid w:val="00736C80"/>
    <w:rsid w:val="00736C85"/>
    <w:rsid w:val="00736CB6"/>
    <w:rsid w:val="00736DEA"/>
    <w:rsid w:val="00736E15"/>
    <w:rsid w:val="00737116"/>
    <w:rsid w:val="00737131"/>
    <w:rsid w:val="007371A8"/>
    <w:rsid w:val="00737396"/>
    <w:rsid w:val="007375B2"/>
    <w:rsid w:val="0073788E"/>
    <w:rsid w:val="00737B47"/>
    <w:rsid w:val="00737BFB"/>
    <w:rsid w:val="00737D49"/>
    <w:rsid w:val="00737DC6"/>
    <w:rsid w:val="00740096"/>
    <w:rsid w:val="0074015D"/>
    <w:rsid w:val="007401FB"/>
    <w:rsid w:val="0074043E"/>
    <w:rsid w:val="007415DD"/>
    <w:rsid w:val="0074169D"/>
    <w:rsid w:val="00741F9A"/>
    <w:rsid w:val="0074203A"/>
    <w:rsid w:val="00742192"/>
    <w:rsid w:val="00742328"/>
    <w:rsid w:val="0074235C"/>
    <w:rsid w:val="00742A8A"/>
    <w:rsid w:val="00743107"/>
    <w:rsid w:val="00743221"/>
    <w:rsid w:val="00743440"/>
    <w:rsid w:val="00743531"/>
    <w:rsid w:val="00743728"/>
    <w:rsid w:val="00743777"/>
    <w:rsid w:val="007437FD"/>
    <w:rsid w:val="00743A7E"/>
    <w:rsid w:val="007443A0"/>
    <w:rsid w:val="00744CDA"/>
    <w:rsid w:val="00744DAE"/>
    <w:rsid w:val="00745321"/>
    <w:rsid w:val="00745A5D"/>
    <w:rsid w:val="00745B5A"/>
    <w:rsid w:val="00745D84"/>
    <w:rsid w:val="00745E59"/>
    <w:rsid w:val="00745E82"/>
    <w:rsid w:val="00745EF0"/>
    <w:rsid w:val="00746060"/>
    <w:rsid w:val="0074632F"/>
    <w:rsid w:val="007463BD"/>
    <w:rsid w:val="007467B3"/>
    <w:rsid w:val="00746865"/>
    <w:rsid w:val="007468A5"/>
    <w:rsid w:val="00746932"/>
    <w:rsid w:val="00746AB2"/>
    <w:rsid w:val="00746ABE"/>
    <w:rsid w:val="00746D87"/>
    <w:rsid w:val="00746EAA"/>
    <w:rsid w:val="007472C9"/>
    <w:rsid w:val="00747384"/>
    <w:rsid w:val="007473B2"/>
    <w:rsid w:val="0074754A"/>
    <w:rsid w:val="0074773C"/>
    <w:rsid w:val="007477A9"/>
    <w:rsid w:val="00747B0C"/>
    <w:rsid w:val="00747B42"/>
    <w:rsid w:val="00747BEB"/>
    <w:rsid w:val="00747EB0"/>
    <w:rsid w:val="00747EDB"/>
    <w:rsid w:val="00750929"/>
    <w:rsid w:val="007509E1"/>
    <w:rsid w:val="00750C7A"/>
    <w:rsid w:val="00750D61"/>
    <w:rsid w:val="00750FB7"/>
    <w:rsid w:val="007515BA"/>
    <w:rsid w:val="00751631"/>
    <w:rsid w:val="00751C43"/>
    <w:rsid w:val="00751C63"/>
    <w:rsid w:val="00751F10"/>
    <w:rsid w:val="007520C4"/>
    <w:rsid w:val="007522ED"/>
    <w:rsid w:val="007525DA"/>
    <w:rsid w:val="00752BA5"/>
    <w:rsid w:val="00752D81"/>
    <w:rsid w:val="00752E93"/>
    <w:rsid w:val="0075309F"/>
    <w:rsid w:val="0075336B"/>
    <w:rsid w:val="007533ED"/>
    <w:rsid w:val="00753466"/>
    <w:rsid w:val="00753496"/>
    <w:rsid w:val="00753A52"/>
    <w:rsid w:val="00753C07"/>
    <w:rsid w:val="00753C84"/>
    <w:rsid w:val="007545C8"/>
    <w:rsid w:val="00754661"/>
    <w:rsid w:val="007547BE"/>
    <w:rsid w:val="007547EF"/>
    <w:rsid w:val="00754859"/>
    <w:rsid w:val="00754B0E"/>
    <w:rsid w:val="00754C8B"/>
    <w:rsid w:val="00754D62"/>
    <w:rsid w:val="00754DD7"/>
    <w:rsid w:val="007550FA"/>
    <w:rsid w:val="00755100"/>
    <w:rsid w:val="0075543B"/>
    <w:rsid w:val="00755543"/>
    <w:rsid w:val="007556DF"/>
    <w:rsid w:val="0075594B"/>
    <w:rsid w:val="00755B90"/>
    <w:rsid w:val="00755C39"/>
    <w:rsid w:val="007560B1"/>
    <w:rsid w:val="00756235"/>
    <w:rsid w:val="00756431"/>
    <w:rsid w:val="00756740"/>
    <w:rsid w:val="00756F56"/>
    <w:rsid w:val="00757154"/>
    <w:rsid w:val="007572DE"/>
    <w:rsid w:val="0075733B"/>
    <w:rsid w:val="007573FF"/>
    <w:rsid w:val="00757FF6"/>
    <w:rsid w:val="007606E7"/>
    <w:rsid w:val="00760B33"/>
    <w:rsid w:val="00760B66"/>
    <w:rsid w:val="00760E43"/>
    <w:rsid w:val="00761026"/>
    <w:rsid w:val="007610EC"/>
    <w:rsid w:val="0076117D"/>
    <w:rsid w:val="0076123F"/>
    <w:rsid w:val="007614F5"/>
    <w:rsid w:val="00761706"/>
    <w:rsid w:val="0076177A"/>
    <w:rsid w:val="00761831"/>
    <w:rsid w:val="00761A2F"/>
    <w:rsid w:val="00761AD9"/>
    <w:rsid w:val="00761AED"/>
    <w:rsid w:val="00762198"/>
    <w:rsid w:val="00762263"/>
    <w:rsid w:val="0076234A"/>
    <w:rsid w:val="00762521"/>
    <w:rsid w:val="00762605"/>
    <w:rsid w:val="0076263D"/>
    <w:rsid w:val="0076268E"/>
    <w:rsid w:val="007626D7"/>
    <w:rsid w:val="00762799"/>
    <w:rsid w:val="007627A9"/>
    <w:rsid w:val="00762849"/>
    <w:rsid w:val="00762892"/>
    <w:rsid w:val="00762960"/>
    <w:rsid w:val="007629D3"/>
    <w:rsid w:val="00762BB9"/>
    <w:rsid w:val="00762C66"/>
    <w:rsid w:val="00762E9A"/>
    <w:rsid w:val="00763039"/>
    <w:rsid w:val="007634B4"/>
    <w:rsid w:val="00763504"/>
    <w:rsid w:val="0076379D"/>
    <w:rsid w:val="00763881"/>
    <w:rsid w:val="007638D0"/>
    <w:rsid w:val="00763A30"/>
    <w:rsid w:val="00763D8D"/>
    <w:rsid w:val="00763F69"/>
    <w:rsid w:val="00763F9C"/>
    <w:rsid w:val="0076440B"/>
    <w:rsid w:val="007644AB"/>
    <w:rsid w:val="007646CF"/>
    <w:rsid w:val="00764A15"/>
    <w:rsid w:val="00764A56"/>
    <w:rsid w:val="00764DA6"/>
    <w:rsid w:val="00764FBB"/>
    <w:rsid w:val="007652CE"/>
    <w:rsid w:val="0076537C"/>
    <w:rsid w:val="00765539"/>
    <w:rsid w:val="007659B7"/>
    <w:rsid w:val="00765AA8"/>
    <w:rsid w:val="00765D5B"/>
    <w:rsid w:val="00765FB7"/>
    <w:rsid w:val="00766108"/>
    <w:rsid w:val="0076672A"/>
    <w:rsid w:val="0076686B"/>
    <w:rsid w:val="00766898"/>
    <w:rsid w:val="00766AD7"/>
    <w:rsid w:val="00766BF1"/>
    <w:rsid w:val="00766FD3"/>
    <w:rsid w:val="00766FD9"/>
    <w:rsid w:val="00767221"/>
    <w:rsid w:val="00767437"/>
    <w:rsid w:val="00767766"/>
    <w:rsid w:val="007679E6"/>
    <w:rsid w:val="00767B2C"/>
    <w:rsid w:val="00767BFF"/>
    <w:rsid w:val="00767C07"/>
    <w:rsid w:val="00767D44"/>
    <w:rsid w:val="00767D8D"/>
    <w:rsid w:val="00767EB7"/>
    <w:rsid w:val="00767EBE"/>
    <w:rsid w:val="00767FB8"/>
    <w:rsid w:val="00770157"/>
    <w:rsid w:val="007702AF"/>
    <w:rsid w:val="00770418"/>
    <w:rsid w:val="007706BA"/>
    <w:rsid w:val="00770B24"/>
    <w:rsid w:val="00770B35"/>
    <w:rsid w:val="00770B67"/>
    <w:rsid w:val="00770CD7"/>
    <w:rsid w:val="00770E57"/>
    <w:rsid w:val="00770E58"/>
    <w:rsid w:val="00770EB1"/>
    <w:rsid w:val="00771011"/>
    <w:rsid w:val="00771073"/>
    <w:rsid w:val="0077156E"/>
    <w:rsid w:val="007715D1"/>
    <w:rsid w:val="00771E36"/>
    <w:rsid w:val="00771FE3"/>
    <w:rsid w:val="0077215C"/>
    <w:rsid w:val="007721CD"/>
    <w:rsid w:val="00772269"/>
    <w:rsid w:val="007722D9"/>
    <w:rsid w:val="007722EE"/>
    <w:rsid w:val="00772E75"/>
    <w:rsid w:val="007730BA"/>
    <w:rsid w:val="00773414"/>
    <w:rsid w:val="00773566"/>
    <w:rsid w:val="007735A7"/>
    <w:rsid w:val="00773700"/>
    <w:rsid w:val="00773869"/>
    <w:rsid w:val="00773A80"/>
    <w:rsid w:val="00773E83"/>
    <w:rsid w:val="007742BA"/>
    <w:rsid w:val="00774351"/>
    <w:rsid w:val="007746D9"/>
    <w:rsid w:val="007747D1"/>
    <w:rsid w:val="007749F8"/>
    <w:rsid w:val="0077517D"/>
    <w:rsid w:val="00775366"/>
    <w:rsid w:val="007756C5"/>
    <w:rsid w:val="00775752"/>
    <w:rsid w:val="0077579C"/>
    <w:rsid w:val="00775910"/>
    <w:rsid w:val="007759B1"/>
    <w:rsid w:val="00775A40"/>
    <w:rsid w:val="00775B9B"/>
    <w:rsid w:val="00775BDD"/>
    <w:rsid w:val="00775FCF"/>
    <w:rsid w:val="00776261"/>
    <w:rsid w:val="007764AC"/>
    <w:rsid w:val="00776B3A"/>
    <w:rsid w:val="007772FE"/>
    <w:rsid w:val="007775DD"/>
    <w:rsid w:val="00777747"/>
    <w:rsid w:val="00777AF9"/>
    <w:rsid w:val="00777BBD"/>
    <w:rsid w:val="00777E4F"/>
    <w:rsid w:val="00777F49"/>
    <w:rsid w:val="00777F97"/>
    <w:rsid w:val="007801E1"/>
    <w:rsid w:val="0078099E"/>
    <w:rsid w:val="0078114C"/>
    <w:rsid w:val="00781210"/>
    <w:rsid w:val="00781617"/>
    <w:rsid w:val="007816D5"/>
    <w:rsid w:val="007819E8"/>
    <w:rsid w:val="00781CA6"/>
    <w:rsid w:val="0078235C"/>
    <w:rsid w:val="007823AA"/>
    <w:rsid w:val="00782F29"/>
    <w:rsid w:val="007837A9"/>
    <w:rsid w:val="00784056"/>
    <w:rsid w:val="007841DA"/>
    <w:rsid w:val="0078471C"/>
    <w:rsid w:val="00784C9E"/>
    <w:rsid w:val="00784D40"/>
    <w:rsid w:val="00784DAA"/>
    <w:rsid w:val="007853FB"/>
    <w:rsid w:val="00785689"/>
    <w:rsid w:val="007856D4"/>
    <w:rsid w:val="0078588A"/>
    <w:rsid w:val="00785AD6"/>
    <w:rsid w:val="00785E61"/>
    <w:rsid w:val="00785F80"/>
    <w:rsid w:val="007865BC"/>
    <w:rsid w:val="007866B9"/>
    <w:rsid w:val="00786925"/>
    <w:rsid w:val="00786EA4"/>
    <w:rsid w:val="00786FA0"/>
    <w:rsid w:val="0078726F"/>
    <w:rsid w:val="00787904"/>
    <w:rsid w:val="00787B9D"/>
    <w:rsid w:val="00787C42"/>
    <w:rsid w:val="00787F07"/>
    <w:rsid w:val="00790012"/>
    <w:rsid w:val="007901C1"/>
    <w:rsid w:val="0079044D"/>
    <w:rsid w:val="00790732"/>
    <w:rsid w:val="00790A6C"/>
    <w:rsid w:val="00790ABB"/>
    <w:rsid w:val="00790D11"/>
    <w:rsid w:val="00790F2B"/>
    <w:rsid w:val="00791017"/>
    <w:rsid w:val="007911EB"/>
    <w:rsid w:val="007917E9"/>
    <w:rsid w:val="007917F7"/>
    <w:rsid w:val="007918A7"/>
    <w:rsid w:val="00791A9D"/>
    <w:rsid w:val="00791AD0"/>
    <w:rsid w:val="00791ED8"/>
    <w:rsid w:val="007922A6"/>
    <w:rsid w:val="00792757"/>
    <w:rsid w:val="0079283D"/>
    <w:rsid w:val="007928B4"/>
    <w:rsid w:val="00792BEC"/>
    <w:rsid w:val="00792CFE"/>
    <w:rsid w:val="00793215"/>
    <w:rsid w:val="00793273"/>
    <w:rsid w:val="007935C0"/>
    <w:rsid w:val="00793749"/>
    <w:rsid w:val="0079396E"/>
    <w:rsid w:val="007939E3"/>
    <w:rsid w:val="00793A34"/>
    <w:rsid w:val="00793B89"/>
    <w:rsid w:val="00793ED2"/>
    <w:rsid w:val="00793F9B"/>
    <w:rsid w:val="007941CA"/>
    <w:rsid w:val="00794329"/>
    <w:rsid w:val="0079449C"/>
    <w:rsid w:val="00794D41"/>
    <w:rsid w:val="00794D5C"/>
    <w:rsid w:val="007950A2"/>
    <w:rsid w:val="0079538E"/>
    <w:rsid w:val="007953F1"/>
    <w:rsid w:val="007954C1"/>
    <w:rsid w:val="00795599"/>
    <w:rsid w:val="0079587E"/>
    <w:rsid w:val="0079599D"/>
    <w:rsid w:val="00795CF7"/>
    <w:rsid w:val="00795DD3"/>
    <w:rsid w:val="00795F3D"/>
    <w:rsid w:val="0079604E"/>
    <w:rsid w:val="00796136"/>
    <w:rsid w:val="00796402"/>
    <w:rsid w:val="00796B98"/>
    <w:rsid w:val="00796BED"/>
    <w:rsid w:val="00796D29"/>
    <w:rsid w:val="0079703C"/>
    <w:rsid w:val="007971E9"/>
    <w:rsid w:val="00797233"/>
    <w:rsid w:val="007972F1"/>
    <w:rsid w:val="007973B6"/>
    <w:rsid w:val="0079754B"/>
    <w:rsid w:val="0079763F"/>
    <w:rsid w:val="007976DA"/>
    <w:rsid w:val="0079798F"/>
    <w:rsid w:val="00797B14"/>
    <w:rsid w:val="00797CAE"/>
    <w:rsid w:val="007A05B0"/>
    <w:rsid w:val="007A084E"/>
    <w:rsid w:val="007A0B50"/>
    <w:rsid w:val="007A0B63"/>
    <w:rsid w:val="007A1132"/>
    <w:rsid w:val="007A17BD"/>
    <w:rsid w:val="007A19B1"/>
    <w:rsid w:val="007A1E6D"/>
    <w:rsid w:val="007A1F0A"/>
    <w:rsid w:val="007A204F"/>
    <w:rsid w:val="007A2063"/>
    <w:rsid w:val="007A2121"/>
    <w:rsid w:val="007A2185"/>
    <w:rsid w:val="007A22DC"/>
    <w:rsid w:val="007A2417"/>
    <w:rsid w:val="007A2B0F"/>
    <w:rsid w:val="007A312A"/>
    <w:rsid w:val="007A3269"/>
    <w:rsid w:val="007A32D5"/>
    <w:rsid w:val="007A370D"/>
    <w:rsid w:val="007A3B08"/>
    <w:rsid w:val="007A3BF3"/>
    <w:rsid w:val="007A3D23"/>
    <w:rsid w:val="007A3E58"/>
    <w:rsid w:val="007A44D9"/>
    <w:rsid w:val="007A44F3"/>
    <w:rsid w:val="007A47EB"/>
    <w:rsid w:val="007A4B73"/>
    <w:rsid w:val="007A4B8D"/>
    <w:rsid w:val="007A4BA5"/>
    <w:rsid w:val="007A4CDB"/>
    <w:rsid w:val="007A4CFE"/>
    <w:rsid w:val="007A4F15"/>
    <w:rsid w:val="007A553E"/>
    <w:rsid w:val="007A5960"/>
    <w:rsid w:val="007A5BE0"/>
    <w:rsid w:val="007A5E36"/>
    <w:rsid w:val="007A5E4B"/>
    <w:rsid w:val="007A610C"/>
    <w:rsid w:val="007A61B0"/>
    <w:rsid w:val="007A62C0"/>
    <w:rsid w:val="007A6378"/>
    <w:rsid w:val="007A64D3"/>
    <w:rsid w:val="007A6540"/>
    <w:rsid w:val="007A6656"/>
    <w:rsid w:val="007A6861"/>
    <w:rsid w:val="007A6A3D"/>
    <w:rsid w:val="007A6A64"/>
    <w:rsid w:val="007A6E86"/>
    <w:rsid w:val="007A72F4"/>
    <w:rsid w:val="007A73E3"/>
    <w:rsid w:val="007A7720"/>
    <w:rsid w:val="007A777E"/>
    <w:rsid w:val="007A79F4"/>
    <w:rsid w:val="007A7E0A"/>
    <w:rsid w:val="007A7ECD"/>
    <w:rsid w:val="007B00B0"/>
    <w:rsid w:val="007B012E"/>
    <w:rsid w:val="007B0276"/>
    <w:rsid w:val="007B032B"/>
    <w:rsid w:val="007B03CF"/>
    <w:rsid w:val="007B046D"/>
    <w:rsid w:val="007B0675"/>
    <w:rsid w:val="007B07CD"/>
    <w:rsid w:val="007B0A9A"/>
    <w:rsid w:val="007B0B77"/>
    <w:rsid w:val="007B0E7E"/>
    <w:rsid w:val="007B0EB2"/>
    <w:rsid w:val="007B0FB4"/>
    <w:rsid w:val="007B146B"/>
    <w:rsid w:val="007B1BE0"/>
    <w:rsid w:val="007B21B1"/>
    <w:rsid w:val="007B220E"/>
    <w:rsid w:val="007B2232"/>
    <w:rsid w:val="007B24E3"/>
    <w:rsid w:val="007B2623"/>
    <w:rsid w:val="007B2659"/>
    <w:rsid w:val="007B2B80"/>
    <w:rsid w:val="007B2C04"/>
    <w:rsid w:val="007B2E38"/>
    <w:rsid w:val="007B2F39"/>
    <w:rsid w:val="007B30F4"/>
    <w:rsid w:val="007B34EF"/>
    <w:rsid w:val="007B3553"/>
    <w:rsid w:val="007B384E"/>
    <w:rsid w:val="007B3B3E"/>
    <w:rsid w:val="007B40C9"/>
    <w:rsid w:val="007B41FB"/>
    <w:rsid w:val="007B4217"/>
    <w:rsid w:val="007B43B9"/>
    <w:rsid w:val="007B4428"/>
    <w:rsid w:val="007B457A"/>
    <w:rsid w:val="007B4679"/>
    <w:rsid w:val="007B4922"/>
    <w:rsid w:val="007B4C11"/>
    <w:rsid w:val="007B4D61"/>
    <w:rsid w:val="007B4F54"/>
    <w:rsid w:val="007B50C6"/>
    <w:rsid w:val="007B525F"/>
    <w:rsid w:val="007B5459"/>
    <w:rsid w:val="007B54BF"/>
    <w:rsid w:val="007B56DE"/>
    <w:rsid w:val="007B57A6"/>
    <w:rsid w:val="007B5877"/>
    <w:rsid w:val="007B593F"/>
    <w:rsid w:val="007B5956"/>
    <w:rsid w:val="007B59C1"/>
    <w:rsid w:val="007B59DC"/>
    <w:rsid w:val="007B5A83"/>
    <w:rsid w:val="007B5C19"/>
    <w:rsid w:val="007B5C20"/>
    <w:rsid w:val="007B5D50"/>
    <w:rsid w:val="007B5F82"/>
    <w:rsid w:val="007B6016"/>
    <w:rsid w:val="007B61FF"/>
    <w:rsid w:val="007B6257"/>
    <w:rsid w:val="007B62C8"/>
    <w:rsid w:val="007B66A3"/>
    <w:rsid w:val="007B6C4B"/>
    <w:rsid w:val="007B6E78"/>
    <w:rsid w:val="007B6EE1"/>
    <w:rsid w:val="007B6FC2"/>
    <w:rsid w:val="007B74C3"/>
    <w:rsid w:val="007B7678"/>
    <w:rsid w:val="007B778C"/>
    <w:rsid w:val="007B7D56"/>
    <w:rsid w:val="007C08FE"/>
    <w:rsid w:val="007C0907"/>
    <w:rsid w:val="007C096E"/>
    <w:rsid w:val="007C0A22"/>
    <w:rsid w:val="007C0CA4"/>
    <w:rsid w:val="007C0E9E"/>
    <w:rsid w:val="007C0FDC"/>
    <w:rsid w:val="007C1045"/>
    <w:rsid w:val="007C10C8"/>
    <w:rsid w:val="007C148F"/>
    <w:rsid w:val="007C19ED"/>
    <w:rsid w:val="007C1A1A"/>
    <w:rsid w:val="007C1BD0"/>
    <w:rsid w:val="007C1D51"/>
    <w:rsid w:val="007C1DC2"/>
    <w:rsid w:val="007C1DCC"/>
    <w:rsid w:val="007C1F13"/>
    <w:rsid w:val="007C217F"/>
    <w:rsid w:val="007C2283"/>
    <w:rsid w:val="007C2453"/>
    <w:rsid w:val="007C260A"/>
    <w:rsid w:val="007C2978"/>
    <w:rsid w:val="007C29BA"/>
    <w:rsid w:val="007C2A06"/>
    <w:rsid w:val="007C2AB8"/>
    <w:rsid w:val="007C2CEB"/>
    <w:rsid w:val="007C2F19"/>
    <w:rsid w:val="007C3407"/>
    <w:rsid w:val="007C3795"/>
    <w:rsid w:val="007C37AF"/>
    <w:rsid w:val="007C3840"/>
    <w:rsid w:val="007C3A71"/>
    <w:rsid w:val="007C3D6E"/>
    <w:rsid w:val="007C3D6F"/>
    <w:rsid w:val="007C3F25"/>
    <w:rsid w:val="007C45C5"/>
    <w:rsid w:val="007C4731"/>
    <w:rsid w:val="007C4B67"/>
    <w:rsid w:val="007C4BF6"/>
    <w:rsid w:val="007C4E3E"/>
    <w:rsid w:val="007C4FA7"/>
    <w:rsid w:val="007C4FA8"/>
    <w:rsid w:val="007C53FF"/>
    <w:rsid w:val="007C5627"/>
    <w:rsid w:val="007C59A0"/>
    <w:rsid w:val="007C5FA6"/>
    <w:rsid w:val="007C6351"/>
    <w:rsid w:val="007C6360"/>
    <w:rsid w:val="007C6802"/>
    <w:rsid w:val="007C6DAF"/>
    <w:rsid w:val="007C6DE7"/>
    <w:rsid w:val="007C6F12"/>
    <w:rsid w:val="007C741F"/>
    <w:rsid w:val="007C7675"/>
    <w:rsid w:val="007C76F6"/>
    <w:rsid w:val="007C7CB5"/>
    <w:rsid w:val="007C7F20"/>
    <w:rsid w:val="007D018A"/>
    <w:rsid w:val="007D0496"/>
    <w:rsid w:val="007D08AF"/>
    <w:rsid w:val="007D0E54"/>
    <w:rsid w:val="007D0E6B"/>
    <w:rsid w:val="007D18CF"/>
    <w:rsid w:val="007D19D4"/>
    <w:rsid w:val="007D19E5"/>
    <w:rsid w:val="007D1ADA"/>
    <w:rsid w:val="007D1B02"/>
    <w:rsid w:val="007D1C49"/>
    <w:rsid w:val="007D1D65"/>
    <w:rsid w:val="007D1DB2"/>
    <w:rsid w:val="007D24AB"/>
    <w:rsid w:val="007D2624"/>
    <w:rsid w:val="007D262C"/>
    <w:rsid w:val="007D2AB0"/>
    <w:rsid w:val="007D2BAA"/>
    <w:rsid w:val="007D2D5F"/>
    <w:rsid w:val="007D2DF9"/>
    <w:rsid w:val="007D2F58"/>
    <w:rsid w:val="007D332C"/>
    <w:rsid w:val="007D38AE"/>
    <w:rsid w:val="007D39AB"/>
    <w:rsid w:val="007D3D7E"/>
    <w:rsid w:val="007D4080"/>
    <w:rsid w:val="007D40CA"/>
    <w:rsid w:val="007D4399"/>
    <w:rsid w:val="007D4612"/>
    <w:rsid w:val="007D49DF"/>
    <w:rsid w:val="007D5153"/>
    <w:rsid w:val="007D5159"/>
    <w:rsid w:val="007D5312"/>
    <w:rsid w:val="007D532C"/>
    <w:rsid w:val="007D55FE"/>
    <w:rsid w:val="007D5C42"/>
    <w:rsid w:val="007D5D3C"/>
    <w:rsid w:val="007D5EFC"/>
    <w:rsid w:val="007D6189"/>
    <w:rsid w:val="007D638A"/>
    <w:rsid w:val="007D6A2D"/>
    <w:rsid w:val="007D6B2E"/>
    <w:rsid w:val="007D6C13"/>
    <w:rsid w:val="007D7586"/>
    <w:rsid w:val="007D76E2"/>
    <w:rsid w:val="007D7BDD"/>
    <w:rsid w:val="007E00DC"/>
    <w:rsid w:val="007E0197"/>
    <w:rsid w:val="007E06EE"/>
    <w:rsid w:val="007E0731"/>
    <w:rsid w:val="007E073B"/>
    <w:rsid w:val="007E079A"/>
    <w:rsid w:val="007E0AE9"/>
    <w:rsid w:val="007E0AFB"/>
    <w:rsid w:val="007E0E54"/>
    <w:rsid w:val="007E0EB0"/>
    <w:rsid w:val="007E121D"/>
    <w:rsid w:val="007E12C5"/>
    <w:rsid w:val="007E1703"/>
    <w:rsid w:val="007E199B"/>
    <w:rsid w:val="007E1B64"/>
    <w:rsid w:val="007E1CD2"/>
    <w:rsid w:val="007E200B"/>
    <w:rsid w:val="007E21A8"/>
    <w:rsid w:val="007E2431"/>
    <w:rsid w:val="007E2791"/>
    <w:rsid w:val="007E2897"/>
    <w:rsid w:val="007E33A9"/>
    <w:rsid w:val="007E3433"/>
    <w:rsid w:val="007E3529"/>
    <w:rsid w:val="007E363D"/>
    <w:rsid w:val="007E3730"/>
    <w:rsid w:val="007E385E"/>
    <w:rsid w:val="007E39D2"/>
    <w:rsid w:val="007E3B86"/>
    <w:rsid w:val="007E3BFE"/>
    <w:rsid w:val="007E3D82"/>
    <w:rsid w:val="007E3F69"/>
    <w:rsid w:val="007E3FE1"/>
    <w:rsid w:val="007E4037"/>
    <w:rsid w:val="007E41D9"/>
    <w:rsid w:val="007E4379"/>
    <w:rsid w:val="007E45B7"/>
    <w:rsid w:val="007E4D87"/>
    <w:rsid w:val="007E4EAA"/>
    <w:rsid w:val="007E4F84"/>
    <w:rsid w:val="007E5096"/>
    <w:rsid w:val="007E562C"/>
    <w:rsid w:val="007E5827"/>
    <w:rsid w:val="007E5E0B"/>
    <w:rsid w:val="007E6398"/>
    <w:rsid w:val="007E6BF4"/>
    <w:rsid w:val="007E6EF6"/>
    <w:rsid w:val="007E6F76"/>
    <w:rsid w:val="007E7233"/>
    <w:rsid w:val="007E731F"/>
    <w:rsid w:val="007E73A4"/>
    <w:rsid w:val="007E7408"/>
    <w:rsid w:val="007E7468"/>
    <w:rsid w:val="007E7475"/>
    <w:rsid w:val="007E75A7"/>
    <w:rsid w:val="007E7AC9"/>
    <w:rsid w:val="007E7AF7"/>
    <w:rsid w:val="007F00EA"/>
    <w:rsid w:val="007F0128"/>
    <w:rsid w:val="007F0270"/>
    <w:rsid w:val="007F03F1"/>
    <w:rsid w:val="007F05B1"/>
    <w:rsid w:val="007F06DD"/>
    <w:rsid w:val="007F08A9"/>
    <w:rsid w:val="007F08E3"/>
    <w:rsid w:val="007F0971"/>
    <w:rsid w:val="007F0AEA"/>
    <w:rsid w:val="007F0B08"/>
    <w:rsid w:val="007F0FB6"/>
    <w:rsid w:val="007F10B1"/>
    <w:rsid w:val="007F120C"/>
    <w:rsid w:val="007F1384"/>
    <w:rsid w:val="007F1871"/>
    <w:rsid w:val="007F1990"/>
    <w:rsid w:val="007F19B0"/>
    <w:rsid w:val="007F1DBA"/>
    <w:rsid w:val="007F217A"/>
    <w:rsid w:val="007F280E"/>
    <w:rsid w:val="007F2DA3"/>
    <w:rsid w:val="007F3490"/>
    <w:rsid w:val="007F36D6"/>
    <w:rsid w:val="007F377F"/>
    <w:rsid w:val="007F38FE"/>
    <w:rsid w:val="007F3AE0"/>
    <w:rsid w:val="007F3B1D"/>
    <w:rsid w:val="007F3B9C"/>
    <w:rsid w:val="007F3F52"/>
    <w:rsid w:val="007F4249"/>
    <w:rsid w:val="007F42E5"/>
    <w:rsid w:val="007F463B"/>
    <w:rsid w:val="007F4807"/>
    <w:rsid w:val="007F4982"/>
    <w:rsid w:val="007F49A6"/>
    <w:rsid w:val="007F4A8D"/>
    <w:rsid w:val="007F4EF4"/>
    <w:rsid w:val="007F5216"/>
    <w:rsid w:val="007F56A7"/>
    <w:rsid w:val="007F58D4"/>
    <w:rsid w:val="007F59AA"/>
    <w:rsid w:val="007F5EFF"/>
    <w:rsid w:val="007F6065"/>
    <w:rsid w:val="007F634E"/>
    <w:rsid w:val="007F66D8"/>
    <w:rsid w:val="007F68CD"/>
    <w:rsid w:val="007F6A58"/>
    <w:rsid w:val="007F6AA2"/>
    <w:rsid w:val="007F6B25"/>
    <w:rsid w:val="007F6BFC"/>
    <w:rsid w:val="007F7160"/>
    <w:rsid w:val="007F74DB"/>
    <w:rsid w:val="007F76FC"/>
    <w:rsid w:val="007F776B"/>
    <w:rsid w:val="007F7ABA"/>
    <w:rsid w:val="007F7D8C"/>
    <w:rsid w:val="007F7DDA"/>
    <w:rsid w:val="007F7DE1"/>
    <w:rsid w:val="007F7EC8"/>
    <w:rsid w:val="0080005C"/>
    <w:rsid w:val="00800127"/>
    <w:rsid w:val="0080046E"/>
    <w:rsid w:val="008005E8"/>
    <w:rsid w:val="00800761"/>
    <w:rsid w:val="00800B8A"/>
    <w:rsid w:val="00800CE8"/>
    <w:rsid w:val="00800D7A"/>
    <w:rsid w:val="00800EBC"/>
    <w:rsid w:val="00800F74"/>
    <w:rsid w:val="00800FB5"/>
    <w:rsid w:val="008010BD"/>
    <w:rsid w:val="00801309"/>
    <w:rsid w:val="008016F9"/>
    <w:rsid w:val="00801B3B"/>
    <w:rsid w:val="00801BC6"/>
    <w:rsid w:val="00801D9F"/>
    <w:rsid w:val="00801ED6"/>
    <w:rsid w:val="0080204E"/>
    <w:rsid w:val="0080228A"/>
    <w:rsid w:val="0080239B"/>
    <w:rsid w:val="00802505"/>
    <w:rsid w:val="0080263B"/>
    <w:rsid w:val="0080282A"/>
    <w:rsid w:val="0080297B"/>
    <w:rsid w:val="00802C29"/>
    <w:rsid w:val="00802C4A"/>
    <w:rsid w:val="00802C90"/>
    <w:rsid w:val="00802E8A"/>
    <w:rsid w:val="00802EDC"/>
    <w:rsid w:val="008032C0"/>
    <w:rsid w:val="008033FE"/>
    <w:rsid w:val="008034C3"/>
    <w:rsid w:val="00803669"/>
    <w:rsid w:val="008044E8"/>
    <w:rsid w:val="008045D4"/>
    <w:rsid w:val="008048B0"/>
    <w:rsid w:val="008048C0"/>
    <w:rsid w:val="00804997"/>
    <w:rsid w:val="00804E0E"/>
    <w:rsid w:val="00804E10"/>
    <w:rsid w:val="008051AE"/>
    <w:rsid w:val="00805263"/>
    <w:rsid w:val="008054AC"/>
    <w:rsid w:val="00805668"/>
    <w:rsid w:val="00805784"/>
    <w:rsid w:val="0080587A"/>
    <w:rsid w:val="00805948"/>
    <w:rsid w:val="008059B0"/>
    <w:rsid w:val="00805B16"/>
    <w:rsid w:val="00805ED6"/>
    <w:rsid w:val="00806430"/>
    <w:rsid w:val="00806635"/>
    <w:rsid w:val="008066DA"/>
    <w:rsid w:val="0080686D"/>
    <w:rsid w:val="00806AA5"/>
    <w:rsid w:val="00806D1B"/>
    <w:rsid w:val="00806EC8"/>
    <w:rsid w:val="00806F72"/>
    <w:rsid w:val="00806FB6"/>
    <w:rsid w:val="00807054"/>
    <w:rsid w:val="008071DC"/>
    <w:rsid w:val="0080722B"/>
    <w:rsid w:val="00807A31"/>
    <w:rsid w:val="00807A37"/>
    <w:rsid w:val="00810044"/>
    <w:rsid w:val="00810071"/>
    <w:rsid w:val="00810372"/>
    <w:rsid w:val="008103D5"/>
    <w:rsid w:val="0081057F"/>
    <w:rsid w:val="00810AED"/>
    <w:rsid w:val="00810B6F"/>
    <w:rsid w:val="00811076"/>
    <w:rsid w:val="008110C0"/>
    <w:rsid w:val="008111D3"/>
    <w:rsid w:val="00811633"/>
    <w:rsid w:val="008119BF"/>
    <w:rsid w:val="008119FA"/>
    <w:rsid w:val="00811B83"/>
    <w:rsid w:val="00811C38"/>
    <w:rsid w:val="00811CE3"/>
    <w:rsid w:val="00811D3E"/>
    <w:rsid w:val="00811E22"/>
    <w:rsid w:val="00811E2F"/>
    <w:rsid w:val="00811ECC"/>
    <w:rsid w:val="0081215F"/>
    <w:rsid w:val="00812206"/>
    <w:rsid w:val="008124D7"/>
    <w:rsid w:val="008130CA"/>
    <w:rsid w:val="00813147"/>
    <w:rsid w:val="0081317D"/>
    <w:rsid w:val="00813197"/>
    <w:rsid w:val="008131DC"/>
    <w:rsid w:val="00813994"/>
    <w:rsid w:val="00813B95"/>
    <w:rsid w:val="0081421C"/>
    <w:rsid w:val="0081424A"/>
    <w:rsid w:val="008143A6"/>
    <w:rsid w:val="008143A7"/>
    <w:rsid w:val="00814898"/>
    <w:rsid w:val="00814AFC"/>
    <w:rsid w:val="00814B22"/>
    <w:rsid w:val="00814FD8"/>
    <w:rsid w:val="00815348"/>
    <w:rsid w:val="00815496"/>
    <w:rsid w:val="00815A90"/>
    <w:rsid w:val="00815B16"/>
    <w:rsid w:val="00815C3B"/>
    <w:rsid w:val="00815D15"/>
    <w:rsid w:val="00815D40"/>
    <w:rsid w:val="00815FCE"/>
    <w:rsid w:val="008160CE"/>
    <w:rsid w:val="008163C4"/>
    <w:rsid w:val="00816B9A"/>
    <w:rsid w:val="00817167"/>
    <w:rsid w:val="008179AB"/>
    <w:rsid w:val="00817D7E"/>
    <w:rsid w:val="00817F9B"/>
    <w:rsid w:val="0082016B"/>
    <w:rsid w:val="008201C8"/>
    <w:rsid w:val="0082023A"/>
    <w:rsid w:val="0082041A"/>
    <w:rsid w:val="00820B4B"/>
    <w:rsid w:val="00820CD9"/>
    <w:rsid w:val="00820D94"/>
    <w:rsid w:val="008210C6"/>
    <w:rsid w:val="0082128D"/>
    <w:rsid w:val="008213F3"/>
    <w:rsid w:val="0082157A"/>
    <w:rsid w:val="008216F3"/>
    <w:rsid w:val="0082194F"/>
    <w:rsid w:val="00821BD0"/>
    <w:rsid w:val="00821C59"/>
    <w:rsid w:val="00821FC5"/>
    <w:rsid w:val="00822038"/>
    <w:rsid w:val="00822256"/>
    <w:rsid w:val="008224FE"/>
    <w:rsid w:val="008227C6"/>
    <w:rsid w:val="00822887"/>
    <w:rsid w:val="00822A74"/>
    <w:rsid w:val="00822AA1"/>
    <w:rsid w:val="00822CE0"/>
    <w:rsid w:val="00822D63"/>
    <w:rsid w:val="00822F0A"/>
    <w:rsid w:val="0082322D"/>
    <w:rsid w:val="008236B0"/>
    <w:rsid w:val="008237AF"/>
    <w:rsid w:val="008237ED"/>
    <w:rsid w:val="008239C9"/>
    <w:rsid w:val="00823B8A"/>
    <w:rsid w:val="00823F7C"/>
    <w:rsid w:val="0082419A"/>
    <w:rsid w:val="008242C7"/>
    <w:rsid w:val="00824517"/>
    <w:rsid w:val="00824B41"/>
    <w:rsid w:val="00824BBA"/>
    <w:rsid w:val="00824C7B"/>
    <w:rsid w:val="00824C8A"/>
    <w:rsid w:val="008254D5"/>
    <w:rsid w:val="0082552D"/>
    <w:rsid w:val="00825634"/>
    <w:rsid w:val="008256B6"/>
    <w:rsid w:val="00825B4D"/>
    <w:rsid w:val="00825B51"/>
    <w:rsid w:val="00825BA3"/>
    <w:rsid w:val="00825BC5"/>
    <w:rsid w:val="00825FAE"/>
    <w:rsid w:val="0082617A"/>
    <w:rsid w:val="00826AB2"/>
    <w:rsid w:val="00826C41"/>
    <w:rsid w:val="00826DC4"/>
    <w:rsid w:val="00826DEF"/>
    <w:rsid w:val="0082714C"/>
    <w:rsid w:val="008271DA"/>
    <w:rsid w:val="008272BF"/>
    <w:rsid w:val="00827491"/>
    <w:rsid w:val="0082769E"/>
    <w:rsid w:val="008276B7"/>
    <w:rsid w:val="00827851"/>
    <w:rsid w:val="0082794A"/>
    <w:rsid w:val="00827B09"/>
    <w:rsid w:val="00827EFA"/>
    <w:rsid w:val="00830130"/>
    <w:rsid w:val="00830198"/>
    <w:rsid w:val="0083070B"/>
    <w:rsid w:val="0083077D"/>
    <w:rsid w:val="00830903"/>
    <w:rsid w:val="00830A58"/>
    <w:rsid w:val="00830B32"/>
    <w:rsid w:val="00830B38"/>
    <w:rsid w:val="00830B77"/>
    <w:rsid w:val="00830BB0"/>
    <w:rsid w:val="00830E1A"/>
    <w:rsid w:val="008311B5"/>
    <w:rsid w:val="008316B3"/>
    <w:rsid w:val="00832066"/>
    <w:rsid w:val="00832725"/>
    <w:rsid w:val="008329C0"/>
    <w:rsid w:val="00832F80"/>
    <w:rsid w:val="00832FE0"/>
    <w:rsid w:val="008330E8"/>
    <w:rsid w:val="008332AD"/>
    <w:rsid w:val="00833309"/>
    <w:rsid w:val="008334AF"/>
    <w:rsid w:val="008339F2"/>
    <w:rsid w:val="00833F36"/>
    <w:rsid w:val="00834213"/>
    <w:rsid w:val="008343BA"/>
    <w:rsid w:val="00834698"/>
    <w:rsid w:val="00834F27"/>
    <w:rsid w:val="008352D9"/>
    <w:rsid w:val="0083539E"/>
    <w:rsid w:val="008355A3"/>
    <w:rsid w:val="0083562F"/>
    <w:rsid w:val="00835663"/>
    <w:rsid w:val="008356D0"/>
    <w:rsid w:val="008357FC"/>
    <w:rsid w:val="00835A9E"/>
    <w:rsid w:val="00835EE2"/>
    <w:rsid w:val="00835F3A"/>
    <w:rsid w:val="008365B3"/>
    <w:rsid w:val="00836802"/>
    <w:rsid w:val="00836BC5"/>
    <w:rsid w:val="00836C68"/>
    <w:rsid w:val="00836E40"/>
    <w:rsid w:val="00836F9B"/>
    <w:rsid w:val="008373AA"/>
    <w:rsid w:val="008373F7"/>
    <w:rsid w:val="00837477"/>
    <w:rsid w:val="008375CA"/>
    <w:rsid w:val="00837794"/>
    <w:rsid w:val="008401DB"/>
    <w:rsid w:val="008402EA"/>
    <w:rsid w:val="008405BE"/>
    <w:rsid w:val="0084079B"/>
    <w:rsid w:val="00840813"/>
    <w:rsid w:val="008408A1"/>
    <w:rsid w:val="00840A6C"/>
    <w:rsid w:val="00840B58"/>
    <w:rsid w:val="00840B81"/>
    <w:rsid w:val="008412FC"/>
    <w:rsid w:val="008413D0"/>
    <w:rsid w:val="00841514"/>
    <w:rsid w:val="0084172F"/>
    <w:rsid w:val="00841AB1"/>
    <w:rsid w:val="00841E50"/>
    <w:rsid w:val="00842424"/>
    <w:rsid w:val="008427F9"/>
    <w:rsid w:val="0084280E"/>
    <w:rsid w:val="00842822"/>
    <w:rsid w:val="00842C0A"/>
    <w:rsid w:val="00842DF8"/>
    <w:rsid w:val="00842F01"/>
    <w:rsid w:val="0084324D"/>
    <w:rsid w:val="00843D26"/>
    <w:rsid w:val="00843E7A"/>
    <w:rsid w:val="00843EF2"/>
    <w:rsid w:val="00843F42"/>
    <w:rsid w:val="008442D2"/>
    <w:rsid w:val="00844E1B"/>
    <w:rsid w:val="00844FCD"/>
    <w:rsid w:val="00844FD4"/>
    <w:rsid w:val="00845078"/>
    <w:rsid w:val="008450A3"/>
    <w:rsid w:val="008452D9"/>
    <w:rsid w:val="008452DC"/>
    <w:rsid w:val="00845355"/>
    <w:rsid w:val="00845791"/>
    <w:rsid w:val="008459A5"/>
    <w:rsid w:val="00845CF6"/>
    <w:rsid w:val="00846128"/>
    <w:rsid w:val="00846196"/>
    <w:rsid w:val="00846286"/>
    <w:rsid w:val="0084644B"/>
    <w:rsid w:val="00846540"/>
    <w:rsid w:val="008466BA"/>
    <w:rsid w:val="00846742"/>
    <w:rsid w:val="0084694D"/>
    <w:rsid w:val="00846957"/>
    <w:rsid w:val="00846B53"/>
    <w:rsid w:val="00846CC3"/>
    <w:rsid w:val="0084770E"/>
    <w:rsid w:val="00847AA4"/>
    <w:rsid w:val="00847DA5"/>
    <w:rsid w:val="00847DCA"/>
    <w:rsid w:val="00847F77"/>
    <w:rsid w:val="00850110"/>
    <w:rsid w:val="008506C7"/>
    <w:rsid w:val="00850767"/>
    <w:rsid w:val="00850972"/>
    <w:rsid w:val="00850A69"/>
    <w:rsid w:val="00850C39"/>
    <w:rsid w:val="00850FC3"/>
    <w:rsid w:val="008514B6"/>
    <w:rsid w:val="008517F3"/>
    <w:rsid w:val="00851963"/>
    <w:rsid w:val="00851B8D"/>
    <w:rsid w:val="00851BF5"/>
    <w:rsid w:val="00851DD6"/>
    <w:rsid w:val="00851DD8"/>
    <w:rsid w:val="00851F0B"/>
    <w:rsid w:val="008525E3"/>
    <w:rsid w:val="00852970"/>
    <w:rsid w:val="00852AAA"/>
    <w:rsid w:val="00852F21"/>
    <w:rsid w:val="00853212"/>
    <w:rsid w:val="00853323"/>
    <w:rsid w:val="008534F6"/>
    <w:rsid w:val="0085366C"/>
    <w:rsid w:val="008536FF"/>
    <w:rsid w:val="0085389F"/>
    <w:rsid w:val="0085394D"/>
    <w:rsid w:val="00853B6E"/>
    <w:rsid w:val="008541CD"/>
    <w:rsid w:val="00854284"/>
    <w:rsid w:val="0085450F"/>
    <w:rsid w:val="0085454B"/>
    <w:rsid w:val="008547F1"/>
    <w:rsid w:val="00854CDF"/>
    <w:rsid w:val="00854D18"/>
    <w:rsid w:val="008550DD"/>
    <w:rsid w:val="00855352"/>
    <w:rsid w:val="0085561C"/>
    <w:rsid w:val="00855EC6"/>
    <w:rsid w:val="00855EEB"/>
    <w:rsid w:val="00856607"/>
    <w:rsid w:val="0085698F"/>
    <w:rsid w:val="00856A07"/>
    <w:rsid w:val="00856AFD"/>
    <w:rsid w:val="00856C31"/>
    <w:rsid w:val="00856D45"/>
    <w:rsid w:val="00857030"/>
    <w:rsid w:val="0085766E"/>
    <w:rsid w:val="00857671"/>
    <w:rsid w:val="008579B2"/>
    <w:rsid w:val="00857A68"/>
    <w:rsid w:val="00857BE8"/>
    <w:rsid w:val="00857E59"/>
    <w:rsid w:val="0086002B"/>
    <w:rsid w:val="008602F0"/>
    <w:rsid w:val="008609E6"/>
    <w:rsid w:val="00860CB0"/>
    <w:rsid w:val="00860CDC"/>
    <w:rsid w:val="00860DB1"/>
    <w:rsid w:val="00861289"/>
    <w:rsid w:val="00861371"/>
    <w:rsid w:val="00861593"/>
    <w:rsid w:val="0086236F"/>
    <w:rsid w:val="00862D0B"/>
    <w:rsid w:val="00862E29"/>
    <w:rsid w:val="00863464"/>
    <w:rsid w:val="0086351A"/>
    <w:rsid w:val="008635FD"/>
    <w:rsid w:val="00863D9B"/>
    <w:rsid w:val="00863F5D"/>
    <w:rsid w:val="00863FC3"/>
    <w:rsid w:val="00863FED"/>
    <w:rsid w:val="0086402E"/>
    <w:rsid w:val="00864121"/>
    <w:rsid w:val="00864326"/>
    <w:rsid w:val="00864838"/>
    <w:rsid w:val="00864B7B"/>
    <w:rsid w:val="00864C51"/>
    <w:rsid w:val="00865082"/>
    <w:rsid w:val="0086511E"/>
    <w:rsid w:val="0086531A"/>
    <w:rsid w:val="008655FB"/>
    <w:rsid w:val="008656B2"/>
    <w:rsid w:val="008659BD"/>
    <w:rsid w:val="00865A97"/>
    <w:rsid w:val="00865FA9"/>
    <w:rsid w:val="0086617D"/>
    <w:rsid w:val="008666B9"/>
    <w:rsid w:val="00866F21"/>
    <w:rsid w:val="00866F30"/>
    <w:rsid w:val="008671E8"/>
    <w:rsid w:val="00867202"/>
    <w:rsid w:val="00867513"/>
    <w:rsid w:val="008678F9"/>
    <w:rsid w:val="008679A4"/>
    <w:rsid w:val="00867BC7"/>
    <w:rsid w:val="00867F7C"/>
    <w:rsid w:val="00870023"/>
    <w:rsid w:val="008700F2"/>
    <w:rsid w:val="008702FD"/>
    <w:rsid w:val="00870715"/>
    <w:rsid w:val="0087078F"/>
    <w:rsid w:val="008708E3"/>
    <w:rsid w:val="00870AF4"/>
    <w:rsid w:val="00870F2C"/>
    <w:rsid w:val="00870F8C"/>
    <w:rsid w:val="008713EF"/>
    <w:rsid w:val="008718C6"/>
    <w:rsid w:val="00871C6F"/>
    <w:rsid w:val="00871D6D"/>
    <w:rsid w:val="00871DC9"/>
    <w:rsid w:val="008724C3"/>
    <w:rsid w:val="00872835"/>
    <w:rsid w:val="008729A2"/>
    <w:rsid w:val="0087321A"/>
    <w:rsid w:val="008733D4"/>
    <w:rsid w:val="00873643"/>
    <w:rsid w:val="00873799"/>
    <w:rsid w:val="00873B0F"/>
    <w:rsid w:val="00874065"/>
    <w:rsid w:val="0087406E"/>
    <w:rsid w:val="00874572"/>
    <w:rsid w:val="00874D30"/>
    <w:rsid w:val="00874D49"/>
    <w:rsid w:val="00874D90"/>
    <w:rsid w:val="008754E9"/>
    <w:rsid w:val="00875563"/>
    <w:rsid w:val="00876340"/>
    <w:rsid w:val="008764CF"/>
    <w:rsid w:val="0087658B"/>
    <w:rsid w:val="00876A4C"/>
    <w:rsid w:val="00876D01"/>
    <w:rsid w:val="00876D33"/>
    <w:rsid w:val="00876E01"/>
    <w:rsid w:val="0087708C"/>
    <w:rsid w:val="008770DA"/>
    <w:rsid w:val="008771AE"/>
    <w:rsid w:val="00877685"/>
    <w:rsid w:val="0087774B"/>
    <w:rsid w:val="008777D1"/>
    <w:rsid w:val="0087782A"/>
    <w:rsid w:val="00877B53"/>
    <w:rsid w:val="00877C20"/>
    <w:rsid w:val="00877CF3"/>
    <w:rsid w:val="008802FE"/>
    <w:rsid w:val="0088053C"/>
    <w:rsid w:val="00880B3A"/>
    <w:rsid w:val="00880C6C"/>
    <w:rsid w:val="00880F12"/>
    <w:rsid w:val="0088108B"/>
    <w:rsid w:val="00881268"/>
    <w:rsid w:val="0088127F"/>
    <w:rsid w:val="00881495"/>
    <w:rsid w:val="0088150A"/>
    <w:rsid w:val="00881689"/>
    <w:rsid w:val="00881851"/>
    <w:rsid w:val="00881A4A"/>
    <w:rsid w:val="00881C1E"/>
    <w:rsid w:val="00881E12"/>
    <w:rsid w:val="00881E30"/>
    <w:rsid w:val="008820D2"/>
    <w:rsid w:val="008821D5"/>
    <w:rsid w:val="00882437"/>
    <w:rsid w:val="00882602"/>
    <w:rsid w:val="00882610"/>
    <w:rsid w:val="00882972"/>
    <w:rsid w:val="00882B7C"/>
    <w:rsid w:val="008839E5"/>
    <w:rsid w:val="008839F4"/>
    <w:rsid w:val="00883A43"/>
    <w:rsid w:val="00883C66"/>
    <w:rsid w:val="00883F92"/>
    <w:rsid w:val="008840FE"/>
    <w:rsid w:val="00884513"/>
    <w:rsid w:val="00884746"/>
    <w:rsid w:val="0088477C"/>
    <w:rsid w:val="008848F2"/>
    <w:rsid w:val="008849B2"/>
    <w:rsid w:val="00884B6F"/>
    <w:rsid w:val="008853EB"/>
    <w:rsid w:val="00885636"/>
    <w:rsid w:val="008856A5"/>
    <w:rsid w:val="008857A4"/>
    <w:rsid w:val="00885F0F"/>
    <w:rsid w:val="0088602B"/>
    <w:rsid w:val="0088613F"/>
    <w:rsid w:val="008863AA"/>
    <w:rsid w:val="008864A1"/>
    <w:rsid w:val="00886549"/>
    <w:rsid w:val="00886A37"/>
    <w:rsid w:val="00886B67"/>
    <w:rsid w:val="00886E79"/>
    <w:rsid w:val="00887162"/>
    <w:rsid w:val="0088763B"/>
    <w:rsid w:val="008876ED"/>
    <w:rsid w:val="008877CD"/>
    <w:rsid w:val="008878B4"/>
    <w:rsid w:val="008879C2"/>
    <w:rsid w:val="00887BFE"/>
    <w:rsid w:val="00887EDA"/>
    <w:rsid w:val="00887FD7"/>
    <w:rsid w:val="00890419"/>
    <w:rsid w:val="008905B5"/>
    <w:rsid w:val="00890DFB"/>
    <w:rsid w:val="00890E7F"/>
    <w:rsid w:val="00890EEB"/>
    <w:rsid w:val="0089171E"/>
    <w:rsid w:val="00892104"/>
    <w:rsid w:val="0089219D"/>
    <w:rsid w:val="0089230E"/>
    <w:rsid w:val="00892359"/>
    <w:rsid w:val="00892433"/>
    <w:rsid w:val="0089278C"/>
    <w:rsid w:val="008928BD"/>
    <w:rsid w:val="00892AC3"/>
    <w:rsid w:val="00892E19"/>
    <w:rsid w:val="00892F62"/>
    <w:rsid w:val="0089358F"/>
    <w:rsid w:val="00893726"/>
    <w:rsid w:val="00893CB5"/>
    <w:rsid w:val="00893EAC"/>
    <w:rsid w:val="008941F4"/>
    <w:rsid w:val="0089420C"/>
    <w:rsid w:val="008944D3"/>
    <w:rsid w:val="00894A8E"/>
    <w:rsid w:val="00894B7C"/>
    <w:rsid w:val="0089537F"/>
    <w:rsid w:val="00895619"/>
    <w:rsid w:val="0089576B"/>
    <w:rsid w:val="0089592C"/>
    <w:rsid w:val="008960D1"/>
    <w:rsid w:val="008962FC"/>
    <w:rsid w:val="00896534"/>
    <w:rsid w:val="008968FE"/>
    <w:rsid w:val="00896942"/>
    <w:rsid w:val="00896AC9"/>
    <w:rsid w:val="00896D9A"/>
    <w:rsid w:val="00896DC2"/>
    <w:rsid w:val="00897030"/>
    <w:rsid w:val="008971BB"/>
    <w:rsid w:val="0089726E"/>
    <w:rsid w:val="008977A2"/>
    <w:rsid w:val="008977C9"/>
    <w:rsid w:val="00897A7B"/>
    <w:rsid w:val="00897C8C"/>
    <w:rsid w:val="00897F41"/>
    <w:rsid w:val="008A0756"/>
    <w:rsid w:val="008A077A"/>
    <w:rsid w:val="008A07F9"/>
    <w:rsid w:val="008A08CE"/>
    <w:rsid w:val="008A0A2B"/>
    <w:rsid w:val="008A0C76"/>
    <w:rsid w:val="008A0D03"/>
    <w:rsid w:val="008A0DE6"/>
    <w:rsid w:val="008A11CF"/>
    <w:rsid w:val="008A11F9"/>
    <w:rsid w:val="008A12E1"/>
    <w:rsid w:val="008A136B"/>
    <w:rsid w:val="008A16B3"/>
    <w:rsid w:val="008A1838"/>
    <w:rsid w:val="008A2114"/>
    <w:rsid w:val="008A2223"/>
    <w:rsid w:val="008A2576"/>
    <w:rsid w:val="008A267A"/>
    <w:rsid w:val="008A272D"/>
    <w:rsid w:val="008A290A"/>
    <w:rsid w:val="008A29B6"/>
    <w:rsid w:val="008A2B00"/>
    <w:rsid w:val="008A2DCD"/>
    <w:rsid w:val="008A327D"/>
    <w:rsid w:val="008A33A8"/>
    <w:rsid w:val="008A35DF"/>
    <w:rsid w:val="008A35FC"/>
    <w:rsid w:val="008A3653"/>
    <w:rsid w:val="008A3707"/>
    <w:rsid w:val="008A3A0F"/>
    <w:rsid w:val="008A3A36"/>
    <w:rsid w:val="008A4043"/>
    <w:rsid w:val="008A4511"/>
    <w:rsid w:val="008A4A57"/>
    <w:rsid w:val="008A512B"/>
    <w:rsid w:val="008A58B4"/>
    <w:rsid w:val="008A5961"/>
    <w:rsid w:val="008A5965"/>
    <w:rsid w:val="008A5A42"/>
    <w:rsid w:val="008A6041"/>
    <w:rsid w:val="008A660F"/>
    <w:rsid w:val="008A6AAF"/>
    <w:rsid w:val="008A6B34"/>
    <w:rsid w:val="008A6EF3"/>
    <w:rsid w:val="008A7073"/>
    <w:rsid w:val="008A70C6"/>
    <w:rsid w:val="008A7131"/>
    <w:rsid w:val="008A76E3"/>
    <w:rsid w:val="008A794F"/>
    <w:rsid w:val="008A7B47"/>
    <w:rsid w:val="008A7FA5"/>
    <w:rsid w:val="008B012C"/>
    <w:rsid w:val="008B02AC"/>
    <w:rsid w:val="008B0340"/>
    <w:rsid w:val="008B0544"/>
    <w:rsid w:val="008B0913"/>
    <w:rsid w:val="008B0A21"/>
    <w:rsid w:val="008B0B27"/>
    <w:rsid w:val="008B0BBC"/>
    <w:rsid w:val="008B0DC0"/>
    <w:rsid w:val="008B0E82"/>
    <w:rsid w:val="008B11BC"/>
    <w:rsid w:val="008B1307"/>
    <w:rsid w:val="008B1896"/>
    <w:rsid w:val="008B1CFB"/>
    <w:rsid w:val="008B1DBA"/>
    <w:rsid w:val="008B2162"/>
    <w:rsid w:val="008B21ED"/>
    <w:rsid w:val="008B24A4"/>
    <w:rsid w:val="008B2969"/>
    <w:rsid w:val="008B2A1F"/>
    <w:rsid w:val="008B2AB2"/>
    <w:rsid w:val="008B343E"/>
    <w:rsid w:val="008B361A"/>
    <w:rsid w:val="008B37D4"/>
    <w:rsid w:val="008B3CC1"/>
    <w:rsid w:val="008B42A4"/>
    <w:rsid w:val="008B439A"/>
    <w:rsid w:val="008B480C"/>
    <w:rsid w:val="008B49CB"/>
    <w:rsid w:val="008B4AA7"/>
    <w:rsid w:val="008B4E6F"/>
    <w:rsid w:val="008B530A"/>
    <w:rsid w:val="008B5386"/>
    <w:rsid w:val="008B56F5"/>
    <w:rsid w:val="008B59E6"/>
    <w:rsid w:val="008B5BDB"/>
    <w:rsid w:val="008B5DAC"/>
    <w:rsid w:val="008B5F17"/>
    <w:rsid w:val="008B606C"/>
    <w:rsid w:val="008B682F"/>
    <w:rsid w:val="008B6A82"/>
    <w:rsid w:val="008B6BA2"/>
    <w:rsid w:val="008B6D97"/>
    <w:rsid w:val="008B74AC"/>
    <w:rsid w:val="008B7601"/>
    <w:rsid w:val="008B77C1"/>
    <w:rsid w:val="008B7861"/>
    <w:rsid w:val="008B7924"/>
    <w:rsid w:val="008B799D"/>
    <w:rsid w:val="008B79D0"/>
    <w:rsid w:val="008B7A2F"/>
    <w:rsid w:val="008B7EDB"/>
    <w:rsid w:val="008B7FBE"/>
    <w:rsid w:val="008C023B"/>
    <w:rsid w:val="008C0257"/>
    <w:rsid w:val="008C03BD"/>
    <w:rsid w:val="008C06CA"/>
    <w:rsid w:val="008C0DF8"/>
    <w:rsid w:val="008C0EE8"/>
    <w:rsid w:val="008C0F05"/>
    <w:rsid w:val="008C0F92"/>
    <w:rsid w:val="008C13C5"/>
    <w:rsid w:val="008C1751"/>
    <w:rsid w:val="008C1FB0"/>
    <w:rsid w:val="008C2300"/>
    <w:rsid w:val="008C2494"/>
    <w:rsid w:val="008C26F5"/>
    <w:rsid w:val="008C2AC3"/>
    <w:rsid w:val="008C2D72"/>
    <w:rsid w:val="008C2F6F"/>
    <w:rsid w:val="008C3071"/>
    <w:rsid w:val="008C3601"/>
    <w:rsid w:val="008C376E"/>
    <w:rsid w:val="008C3B08"/>
    <w:rsid w:val="008C3D5B"/>
    <w:rsid w:val="008C3FC3"/>
    <w:rsid w:val="008C40C8"/>
    <w:rsid w:val="008C458E"/>
    <w:rsid w:val="008C4D88"/>
    <w:rsid w:val="008C50FA"/>
    <w:rsid w:val="008C5287"/>
    <w:rsid w:val="008C52B2"/>
    <w:rsid w:val="008C59FA"/>
    <w:rsid w:val="008C5AFD"/>
    <w:rsid w:val="008C5B38"/>
    <w:rsid w:val="008C6345"/>
    <w:rsid w:val="008C640F"/>
    <w:rsid w:val="008C657F"/>
    <w:rsid w:val="008C68F1"/>
    <w:rsid w:val="008C6A38"/>
    <w:rsid w:val="008C6B1C"/>
    <w:rsid w:val="008C6B6A"/>
    <w:rsid w:val="008C6DA6"/>
    <w:rsid w:val="008C6E1E"/>
    <w:rsid w:val="008C6FB5"/>
    <w:rsid w:val="008C721D"/>
    <w:rsid w:val="008C748B"/>
    <w:rsid w:val="008C75C8"/>
    <w:rsid w:val="008C777F"/>
    <w:rsid w:val="008C78D0"/>
    <w:rsid w:val="008C7948"/>
    <w:rsid w:val="008C7B43"/>
    <w:rsid w:val="008C7BEF"/>
    <w:rsid w:val="008C7D65"/>
    <w:rsid w:val="008D01AA"/>
    <w:rsid w:val="008D0605"/>
    <w:rsid w:val="008D0B34"/>
    <w:rsid w:val="008D0D8B"/>
    <w:rsid w:val="008D139D"/>
    <w:rsid w:val="008D166D"/>
    <w:rsid w:val="008D17F0"/>
    <w:rsid w:val="008D1C4F"/>
    <w:rsid w:val="008D1C7C"/>
    <w:rsid w:val="008D1CFD"/>
    <w:rsid w:val="008D1EC8"/>
    <w:rsid w:val="008D1FF4"/>
    <w:rsid w:val="008D2318"/>
    <w:rsid w:val="008D2A10"/>
    <w:rsid w:val="008D2E17"/>
    <w:rsid w:val="008D3054"/>
    <w:rsid w:val="008D3204"/>
    <w:rsid w:val="008D3984"/>
    <w:rsid w:val="008D3C31"/>
    <w:rsid w:val="008D40C3"/>
    <w:rsid w:val="008D435C"/>
    <w:rsid w:val="008D470F"/>
    <w:rsid w:val="008D4797"/>
    <w:rsid w:val="008D47AA"/>
    <w:rsid w:val="008D4978"/>
    <w:rsid w:val="008D4A3A"/>
    <w:rsid w:val="008D4C5F"/>
    <w:rsid w:val="008D4C95"/>
    <w:rsid w:val="008D521B"/>
    <w:rsid w:val="008D531D"/>
    <w:rsid w:val="008D569C"/>
    <w:rsid w:val="008D5D44"/>
    <w:rsid w:val="008D5FDC"/>
    <w:rsid w:val="008D63B3"/>
    <w:rsid w:val="008D65E7"/>
    <w:rsid w:val="008D66CC"/>
    <w:rsid w:val="008D6766"/>
    <w:rsid w:val="008D6BA3"/>
    <w:rsid w:val="008D6C97"/>
    <w:rsid w:val="008D6F1F"/>
    <w:rsid w:val="008D7068"/>
    <w:rsid w:val="008D7252"/>
    <w:rsid w:val="008D7435"/>
    <w:rsid w:val="008D7626"/>
    <w:rsid w:val="008D7958"/>
    <w:rsid w:val="008D799A"/>
    <w:rsid w:val="008D7DDF"/>
    <w:rsid w:val="008D7E08"/>
    <w:rsid w:val="008E063C"/>
    <w:rsid w:val="008E065E"/>
    <w:rsid w:val="008E06D3"/>
    <w:rsid w:val="008E07B9"/>
    <w:rsid w:val="008E0D81"/>
    <w:rsid w:val="008E0E46"/>
    <w:rsid w:val="008E0E58"/>
    <w:rsid w:val="008E129B"/>
    <w:rsid w:val="008E1339"/>
    <w:rsid w:val="008E14E2"/>
    <w:rsid w:val="008E1694"/>
    <w:rsid w:val="008E1CAB"/>
    <w:rsid w:val="008E206C"/>
    <w:rsid w:val="008E20D1"/>
    <w:rsid w:val="008E2353"/>
    <w:rsid w:val="008E2373"/>
    <w:rsid w:val="008E28AC"/>
    <w:rsid w:val="008E2D7F"/>
    <w:rsid w:val="008E2E9F"/>
    <w:rsid w:val="008E2F9E"/>
    <w:rsid w:val="008E3024"/>
    <w:rsid w:val="008E30CA"/>
    <w:rsid w:val="008E33D1"/>
    <w:rsid w:val="008E352C"/>
    <w:rsid w:val="008E3639"/>
    <w:rsid w:val="008E36DA"/>
    <w:rsid w:val="008E3818"/>
    <w:rsid w:val="008E3823"/>
    <w:rsid w:val="008E39C0"/>
    <w:rsid w:val="008E3C16"/>
    <w:rsid w:val="008E3C33"/>
    <w:rsid w:val="008E3DE1"/>
    <w:rsid w:val="008E3E61"/>
    <w:rsid w:val="008E407F"/>
    <w:rsid w:val="008E43DE"/>
    <w:rsid w:val="008E43EE"/>
    <w:rsid w:val="008E4475"/>
    <w:rsid w:val="008E4989"/>
    <w:rsid w:val="008E4A9C"/>
    <w:rsid w:val="008E4C98"/>
    <w:rsid w:val="008E4DB1"/>
    <w:rsid w:val="008E5280"/>
    <w:rsid w:val="008E5306"/>
    <w:rsid w:val="008E5511"/>
    <w:rsid w:val="008E5D0B"/>
    <w:rsid w:val="008E5FF7"/>
    <w:rsid w:val="008E64B2"/>
    <w:rsid w:val="008E66B6"/>
    <w:rsid w:val="008E66FA"/>
    <w:rsid w:val="008E6823"/>
    <w:rsid w:val="008E691A"/>
    <w:rsid w:val="008E6973"/>
    <w:rsid w:val="008E6BF7"/>
    <w:rsid w:val="008E6D11"/>
    <w:rsid w:val="008E6F6E"/>
    <w:rsid w:val="008E7005"/>
    <w:rsid w:val="008E7540"/>
    <w:rsid w:val="008E784E"/>
    <w:rsid w:val="008E7A33"/>
    <w:rsid w:val="008E7B0F"/>
    <w:rsid w:val="008E7B25"/>
    <w:rsid w:val="008E7D17"/>
    <w:rsid w:val="008F0193"/>
    <w:rsid w:val="008F0476"/>
    <w:rsid w:val="008F04CE"/>
    <w:rsid w:val="008F07FF"/>
    <w:rsid w:val="008F0BE9"/>
    <w:rsid w:val="008F172C"/>
    <w:rsid w:val="008F1ACE"/>
    <w:rsid w:val="008F1BA1"/>
    <w:rsid w:val="008F2A6A"/>
    <w:rsid w:val="008F2B51"/>
    <w:rsid w:val="008F2C30"/>
    <w:rsid w:val="008F2F57"/>
    <w:rsid w:val="008F2FE0"/>
    <w:rsid w:val="008F2FE8"/>
    <w:rsid w:val="008F302A"/>
    <w:rsid w:val="008F30A0"/>
    <w:rsid w:val="008F3338"/>
    <w:rsid w:val="008F335D"/>
    <w:rsid w:val="008F3B53"/>
    <w:rsid w:val="008F3B8B"/>
    <w:rsid w:val="008F3EDF"/>
    <w:rsid w:val="008F400E"/>
    <w:rsid w:val="008F405B"/>
    <w:rsid w:val="008F4111"/>
    <w:rsid w:val="008F416B"/>
    <w:rsid w:val="008F4215"/>
    <w:rsid w:val="008F44C9"/>
    <w:rsid w:val="008F48FA"/>
    <w:rsid w:val="008F4A42"/>
    <w:rsid w:val="008F4C08"/>
    <w:rsid w:val="008F4C28"/>
    <w:rsid w:val="008F50BF"/>
    <w:rsid w:val="008F50E3"/>
    <w:rsid w:val="008F520B"/>
    <w:rsid w:val="008F56E8"/>
    <w:rsid w:val="008F597B"/>
    <w:rsid w:val="008F5B24"/>
    <w:rsid w:val="008F5C5B"/>
    <w:rsid w:val="008F5CAA"/>
    <w:rsid w:val="008F65BE"/>
    <w:rsid w:val="008F65CD"/>
    <w:rsid w:val="008F6D98"/>
    <w:rsid w:val="008F6DD3"/>
    <w:rsid w:val="008F6E26"/>
    <w:rsid w:val="008F70C5"/>
    <w:rsid w:val="008F7475"/>
    <w:rsid w:val="008F7493"/>
    <w:rsid w:val="008F7891"/>
    <w:rsid w:val="008F7EE6"/>
    <w:rsid w:val="008F7F9E"/>
    <w:rsid w:val="00900057"/>
    <w:rsid w:val="00900093"/>
    <w:rsid w:val="00900167"/>
    <w:rsid w:val="0090018C"/>
    <w:rsid w:val="0090022A"/>
    <w:rsid w:val="00900331"/>
    <w:rsid w:val="00900526"/>
    <w:rsid w:val="0090064F"/>
    <w:rsid w:val="0090073C"/>
    <w:rsid w:val="0090078B"/>
    <w:rsid w:val="0090084D"/>
    <w:rsid w:val="00900DC5"/>
    <w:rsid w:val="00900F67"/>
    <w:rsid w:val="009011D7"/>
    <w:rsid w:val="009019AB"/>
    <w:rsid w:val="00901D36"/>
    <w:rsid w:val="00902672"/>
    <w:rsid w:val="009029AB"/>
    <w:rsid w:val="00902B92"/>
    <w:rsid w:val="00902CBC"/>
    <w:rsid w:val="00902DDE"/>
    <w:rsid w:val="00902E00"/>
    <w:rsid w:val="00903E85"/>
    <w:rsid w:val="00903F89"/>
    <w:rsid w:val="0090423C"/>
    <w:rsid w:val="009042DA"/>
    <w:rsid w:val="009044AD"/>
    <w:rsid w:val="009045A8"/>
    <w:rsid w:val="00904604"/>
    <w:rsid w:val="00904676"/>
    <w:rsid w:val="00904765"/>
    <w:rsid w:val="009047A7"/>
    <w:rsid w:val="0090484F"/>
    <w:rsid w:val="009049F9"/>
    <w:rsid w:val="00904AF9"/>
    <w:rsid w:val="00904BE9"/>
    <w:rsid w:val="00905576"/>
    <w:rsid w:val="009055D0"/>
    <w:rsid w:val="009056B1"/>
    <w:rsid w:val="009056EB"/>
    <w:rsid w:val="009058C0"/>
    <w:rsid w:val="00905BF0"/>
    <w:rsid w:val="00905CD2"/>
    <w:rsid w:val="00906262"/>
    <w:rsid w:val="00906586"/>
    <w:rsid w:val="009065BF"/>
    <w:rsid w:val="00906783"/>
    <w:rsid w:val="00907057"/>
    <w:rsid w:val="00907215"/>
    <w:rsid w:val="00907378"/>
    <w:rsid w:val="0090737C"/>
    <w:rsid w:val="0090750E"/>
    <w:rsid w:val="0090768A"/>
    <w:rsid w:val="009076B4"/>
    <w:rsid w:val="00907A48"/>
    <w:rsid w:val="00907F01"/>
    <w:rsid w:val="00910030"/>
    <w:rsid w:val="009103C3"/>
    <w:rsid w:val="009105B8"/>
    <w:rsid w:val="00910859"/>
    <w:rsid w:val="00910B82"/>
    <w:rsid w:val="00910D99"/>
    <w:rsid w:val="00910F9B"/>
    <w:rsid w:val="00911499"/>
    <w:rsid w:val="009114B5"/>
    <w:rsid w:val="00911967"/>
    <w:rsid w:val="00911AE3"/>
    <w:rsid w:val="00911B27"/>
    <w:rsid w:val="00911DF2"/>
    <w:rsid w:val="00911F95"/>
    <w:rsid w:val="00911F9C"/>
    <w:rsid w:val="009121D7"/>
    <w:rsid w:val="009126B1"/>
    <w:rsid w:val="00912FA0"/>
    <w:rsid w:val="009131F8"/>
    <w:rsid w:val="0091331D"/>
    <w:rsid w:val="009135B8"/>
    <w:rsid w:val="009136A6"/>
    <w:rsid w:val="00913C9D"/>
    <w:rsid w:val="00913E7F"/>
    <w:rsid w:val="009140C3"/>
    <w:rsid w:val="00914502"/>
    <w:rsid w:val="00914536"/>
    <w:rsid w:val="00914551"/>
    <w:rsid w:val="00914696"/>
    <w:rsid w:val="00914706"/>
    <w:rsid w:val="00914A4B"/>
    <w:rsid w:val="00914B65"/>
    <w:rsid w:val="00914C10"/>
    <w:rsid w:val="00914CBB"/>
    <w:rsid w:val="00914CE1"/>
    <w:rsid w:val="00914D39"/>
    <w:rsid w:val="00914E39"/>
    <w:rsid w:val="00914E7B"/>
    <w:rsid w:val="00914F37"/>
    <w:rsid w:val="0091542A"/>
    <w:rsid w:val="00915723"/>
    <w:rsid w:val="009157D2"/>
    <w:rsid w:val="009157F7"/>
    <w:rsid w:val="00915AC2"/>
    <w:rsid w:val="00915D3E"/>
    <w:rsid w:val="00915D64"/>
    <w:rsid w:val="00915FEF"/>
    <w:rsid w:val="0091619D"/>
    <w:rsid w:val="0091632D"/>
    <w:rsid w:val="009166E3"/>
    <w:rsid w:val="00916D08"/>
    <w:rsid w:val="0091714D"/>
    <w:rsid w:val="00917203"/>
    <w:rsid w:val="00917321"/>
    <w:rsid w:val="009174D2"/>
    <w:rsid w:val="00917D62"/>
    <w:rsid w:val="00917DCC"/>
    <w:rsid w:val="00917DD2"/>
    <w:rsid w:val="009200DB"/>
    <w:rsid w:val="0092052F"/>
    <w:rsid w:val="00920847"/>
    <w:rsid w:val="00920860"/>
    <w:rsid w:val="009209F5"/>
    <w:rsid w:val="00920B78"/>
    <w:rsid w:val="00920BEE"/>
    <w:rsid w:val="00920BF1"/>
    <w:rsid w:val="00920F78"/>
    <w:rsid w:val="0092119A"/>
    <w:rsid w:val="0092127B"/>
    <w:rsid w:val="00921695"/>
    <w:rsid w:val="00921803"/>
    <w:rsid w:val="00921898"/>
    <w:rsid w:val="00921DB3"/>
    <w:rsid w:val="00921E08"/>
    <w:rsid w:val="00922373"/>
    <w:rsid w:val="009226B2"/>
    <w:rsid w:val="009226D1"/>
    <w:rsid w:val="00922828"/>
    <w:rsid w:val="00922A58"/>
    <w:rsid w:val="00922A92"/>
    <w:rsid w:val="00922F38"/>
    <w:rsid w:val="00922F6C"/>
    <w:rsid w:val="00923107"/>
    <w:rsid w:val="00923B9F"/>
    <w:rsid w:val="00923C19"/>
    <w:rsid w:val="00923C6B"/>
    <w:rsid w:val="009243A8"/>
    <w:rsid w:val="00924769"/>
    <w:rsid w:val="009247C1"/>
    <w:rsid w:val="00924859"/>
    <w:rsid w:val="009249B8"/>
    <w:rsid w:val="009249FE"/>
    <w:rsid w:val="00924C47"/>
    <w:rsid w:val="00924C6A"/>
    <w:rsid w:val="00924D35"/>
    <w:rsid w:val="00924D91"/>
    <w:rsid w:val="00924DE8"/>
    <w:rsid w:val="00924E9D"/>
    <w:rsid w:val="00925050"/>
    <w:rsid w:val="00925216"/>
    <w:rsid w:val="00925688"/>
    <w:rsid w:val="00925A06"/>
    <w:rsid w:val="00925AD9"/>
    <w:rsid w:val="00925B96"/>
    <w:rsid w:val="00925D54"/>
    <w:rsid w:val="00925D7C"/>
    <w:rsid w:val="00925F5A"/>
    <w:rsid w:val="0092616D"/>
    <w:rsid w:val="00926503"/>
    <w:rsid w:val="00926603"/>
    <w:rsid w:val="009267BB"/>
    <w:rsid w:val="009267EF"/>
    <w:rsid w:val="00926BE9"/>
    <w:rsid w:val="00926C63"/>
    <w:rsid w:val="009273FB"/>
    <w:rsid w:val="00927567"/>
    <w:rsid w:val="009276FB"/>
    <w:rsid w:val="0092782D"/>
    <w:rsid w:val="00927A57"/>
    <w:rsid w:val="00927C1C"/>
    <w:rsid w:val="00927D65"/>
    <w:rsid w:val="009305D4"/>
    <w:rsid w:val="00930B16"/>
    <w:rsid w:val="00930F7E"/>
    <w:rsid w:val="009312D8"/>
    <w:rsid w:val="00931398"/>
    <w:rsid w:val="00931916"/>
    <w:rsid w:val="009319BB"/>
    <w:rsid w:val="00931C31"/>
    <w:rsid w:val="00931FCA"/>
    <w:rsid w:val="0093262C"/>
    <w:rsid w:val="00932808"/>
    <w:rsid w:val="0093286A"/>
    <w:rsid w:val="00932F06"/>
    <w:rsid w:val="0093327C"/>
    <w:rsid w:val="009333E9"/>
    <w:rsid w:val="00933588"/>
    <w:rsid w:val="0093365F"/>
    <w:rsid w:val="009336DE"/>
    <w:rsid w:val="009337F2"/>
    <w:rsid w:val="00933D35"/>
    <w:rsid w:val="00934088"/>
    <w:rsid w:val="00934141"/>
    <w:rsid w:val="00934208"/>
    <w:rsid w:val="009344F5"/>
    <w:rsid w:val="00934604"/>
    <w:rsid w:val="009348EE"/>
    <w:rsid w:val="00934A87"/>
    <w:rsid w:val="00934B6E"/>
    <w:rsid w:val="00934C2E"/>
    <w:rsid w:val="00934DFA"/>
    <w:rsid w:val="0093509A"/>
    <w:rsid w:val="009352D3"/>
    <w:rsid w:val="0093541D"/>
    <w:rsid w:val="0093543F"/>
    <w:rsid w:val="0093558A"/>
    <w:rsid w:val="00935A64"/>
    <w:rsid w:val="00935BC8"/>
    <w:rsid w:val="00935D64"/>
    <w:rsid w:val="00936073"/>
    <w:rsid w:val="00936349"/>
    <w:rsid w:val="00936473"/>
    <w:rsid w:val="009365C0"/>
    <w:rsid w:val="00936747"/>
    <w:rsid w:val="00936879"/>
    <w:rsid w:val="00936AC1"/>
    <w:rsid w:val="00936C54"/>
    <w:rsid w:val="00936CDB"/>
    <w:rsid w:val="0093739C"/>
    <w:rsid w:val="00937AB3"/>
    <w:rsid w:val="00937B84"/>
    <w:rsid w:val="00940202"/>
    <w:rsid w:val="009409BA"/>
    <w:rsid w:val="00940BD8"/>
    <w:rsid w:val="00940CC5"/>
    <w:rsid w:val="00940EE5"/>
    <w:rsid w:val="00940FBD"/>
    <w:rsid w:val="0094125F"/>
    <w:rsid w:val="00941328"/>
    <w:rsid w:val="00941426"/>
    <w:rsid w:val="009414C3"/>
    <w:rsid w:val="00941AF4"/>
    <w:rsid w:val="00942398"/>
    <w:rsid w:val="0094263B"/>
    <w:rsid w:val="00942918"/>
    <w:rsid w:val="00942A96"/>
    <w:rsid w:val="00942B2C"/>
    <w:rsid w:val="00942BBD"/>
    <w:rsid w:val="00942CED"/>
    <w:rsid w:val="00942D52"/>
    <w:rsid w:val="009430AF"/>
    <w:rsid w:val="009433C9"/>
    <w:rsid w:val="00943501"/>
    <w:rsid w:val="0094354A"/>
    <w:rsid w:val="00943CE6"/>
    <w:rsid w:val="00943D1B"/>
    <w:rsid w:val="00943D47"/>
    <w:rsid w:val="00944300"/>
    <w:rsid w:val="00944357"/>
    <w:rsid w:val="00944375"/>
    <w:rsid w:val="009445AC"/>
    <w:rsid w:val="009446AE"/>
    <w:rsid w:val="00945087"/>
    <w:rsid w:val="00945217"/>
    <w:rsid w:val="009455F7"/>
    <w:rsid w:val="0094563D"/>
    <w:rsid w:val="00945A41"/>
    <w:rsid w:val="00945BCE"/>
    <w:rsid w:val="00945C6E"/>
    <w:rsid w:val="00945F70"/>
    <w:rsid w:val="0094623B"/>
    <w:rsid w:val="00946983"/>
    <w:rsid w:val="00946B41"/>
    <w:rsid w:val="00946BA2"/>
    <w:rsid w:val="00946D70"/>
    <w:rsid w:val="00946E73"/>
    <w:rsid w:val="00946FE0"/>
    <w:rsid w:val="00947007"/>
    <w:rsid w:val="00947052"/>
    <w:rsid w:val="0094718F"/>
    <w:rsid w:val="009471EB"/>
    <w:rsid w:val="009472D8"/>
    <w:rsid w:val="0094778B"/>
    <w:rsid w:val="00947AD1"/>
    <w:rsid w:val="00947B2A"/>
    <w:rsid w:val="00947F00"/>
    <w:rsid w:val="009500F0"/>
    <w:rsid w:val="009503B6"/>
    <w:rsid w:val="0095099E"/>
    <w:rsid w:val="00950A1B"/>
    <w:rsid w:val="00950E87"/>
    <w:rsid w:val="00951420"/>
    <w:rsid w:val="0095154B"/>
    <w:rsid w:val="009516DC"/>
    <w:rsid w:val="009517B4"/>
    <w:rsid w:val="00951C33"/>
    <w:rsid w:val="00952145"/>
    <w:rsid w:val="00952342"/>
    <w:rsid w:val="00952391"/>
    <w:rsid w:val="009523F7"/>
    <w:rsid w:val="009523FE"/>
    <w:rsid w:val="0095293A"/>
    <w:rsid w:val="00952CB3"/>
    <w:rsid w:val="00952CC1"/>
    <w:rsid w:val="00952E97"/>
    <w:rsid w:val="00952F2B"/>
    <w:rsid w:val="00953163"/>
    <w:rsid w:val="00953194"/>
    <w:rsid w:val="0095319D"/>
    <w:rsid w:val="009531E0"/>
    <w:rsid w:val="0095355D"/>
    <w:rsid w:val="0095383B"/>
    <w:rsid w:val="009538A6"/>
    <w:rsid w:val="00953A43"/>
    <w:rsid w:val="009540ED"/>
    <w:rsid w:val="0095412C"/>
    <w:rsid w:val="0095420C"/>
    <w:rsid w:val="009543BA"/>
    <w:rsid w:val="00954422"/>
    <w:rsid w:val="00954BA9"/>
    <w:rsid w:val="00954E6D"/>
    <w:rsid w:val="00954EFA"/>
    <w:rsid w:val="00954F05"/>
    <w:rsid w:val="009551E7"/>
    <w:rsid w:val="0095532B"/>
    <w:rsid w:val="009554E5"/>
    <w:rsid w:val="0095585A"/>
    <w:rsid w:val="00955945"/>
    <w:rsid w:val="009559EF"/>
    <w:rsid w:val="00956224"/>
    <w:rsid w:val="0095648E"/>
    <w:rsid w:val="00956AFB"/>
    <w:rsid w:val="00956D53"/>
    <w:rsid w:val="00956D59"/>
    <w:rsid w:val="0095722E"/>
    <w:rsid w:val="00957275"/>
    <w:rsid w:val="0095761F"/>
    <w:rsid w:val="00957723"/>
    <w:rsid w:val="0095774E"/>
    <w:rsid w:val="00957931"/>
    <w:rsid w:val="00957B2A"/>
    <w:rsid w:val="00957B78"/>
    <w:rsid w:val="00957C76"/>
    <w:rsid w:val="00957DBF"/>
    <w:rsid w:val="00957E11"/>
    <w:rsid w:val="00957F35"/>
    <w:rsid w:val="00957F79"/>
    <w:rsid w:val="0096023B"/>
    <w:rsid w:val="009604D2"/>
    <w:rsid w:val="00960517"/>
    <w:rsid w:val="00960551"/>
    <w:rsid w:val="00960A2B"/>
    <w:rsid w:val="00960A3E"/>
    <w:rsid w:val="00960A83"/>
    <w:rsid w:val="00961572"/>
    <w:rsid w:val="00961613"/>
    <w:rsid w:val="009618EF"/>
    <w:rsid w:val="00961936"/>
    <w:rsid w:val="009619E1"/>
    <w:rsid w:val="00961CC8"/>
    <w:rsid w:val="00961EEC"/>
    <w:rsid w:val="00962214"/>
    <w:rsid w:val="0096235C"/>
    <w:rsid w:val="0096241A"/>
    <w:rsid w:val="009624F6"/>
    <w:rsid w:val="009629BA"/>
    <w:rsid w:val="00962CB5"/>
    <w:rsid w:val="00962FFD"/>
    <w:rsid w:val="009630AB"/>
    <w:rsid w:val="009639CA"/>
    <w:rsid w:val="00963B9C"/>
    <w:rsid w:val="00963BF4"/>
    <w:rsid w:val="00963CBC"/>
    <w:rsid w:val="00963D07"/>
    <w:rsid w:val="00963EA6"/>
    <w:rsid w:val="00964328"/>
    <w:rsid w:val="0096498A"/>
    <w:rsid w:val="00964CF2"/>
    <w:rsid w:val="00964D2B"/>
    <w:rsid w:val="00964F43"/>
    <w:rsid w:val="00964F63"/>
    <w:rsid w:val="009652D5"/>
    <w:rsid w:val="009654E7"/>
    <w:rsid w:val="00965504"/>
    <w:rsid w:val="0096567E"/>
    <w:rsid w:val="0096574B"/>
    <w:rsid w:val="009657D9"/>
    <w:rsid w:val="00965B5E"/>
    <w:rsid w:val="00965BF9"/>
    <w:rsid w:val="00965DD2"/>
    <w:rsid w:val="00966086"/>
    <w:rsid w:val="00966246"/>
    <w:rsid w:val="00966491"/>
    <w:rsid w:val="00966724"/>
    <w:rsid w:val="00966753"/>
    <w:rsid w:val="00966808"/>
    <w:rsid w:val="0096689D"/>
    <w:rsid w:val="00966AFE"/>
    <w:rsid w:val="00966C77"/>
    <w:rsid w:val="00966DF9"/>
    <w:rsid w:val="00966E37"/>
    <w:rsid w:val="00966F78"/>
    <w:rsid w:val="00966F96"/>
    <w:rsid w:val="00966F9C"/>
    <w:rsid w:val="00967161"/>
    <w:rsid w:val="009672F5"/>
    <w:rsid w:val="00967676"/>
    <w:rsid w:val="00967CF2"/>
    <w:rsid w:val="00967E69"/>
    <w:rsid w:val="00967FE1"/>
    <w:rsid w:val="00970838"/>
    <w:rsid w:val="00970966"/>
    <w:rsid w:val="00970C8A"/>
    <w:rsid w:val="00970C98"/>
    <w:rsid w:val="00970FF4"/>
    <w:rsid w:val="00971120"/>
    <w:rsid w:val="0097144B"/>
    <w:rsid w:val="009716E2"/>
    <w:rsid w:val="00971E63"/>
    <w:rsid w:val="00971F37"/>
    <w:rsid w:val="0097208C"/>
    <w:rsid w:val="0097227F"/>
    <w:rsid w:val="00972354"/>
    <w:rsid w:val="009726D8"/>
    <w:rsid w:val="0097289F"/>
    <w:rsid w:val="00972917"/>
    <w:rsid w:val="00972BAB"/>
    <w:rsid w:val="00972C98"/>
    <w:rsid w:val="00972E7A"/>
    <w:rsid w:val="00973114"/>
    <w:rsid w:val="00973324"/>
    <w:rsid w:val="009734EC"/>
    <w:rsid w:val="00973595"/>
    <w:rsid w:val="009736DC"/>
    <w:rsid w:val="00973810"/>
    <w:rsid w:val="00973B81"/>
    <w:rsid w:val="009741A2"/>
    <w:rsid w:val="00974587"/>
    <w:rsid w:val="00974726"/>
    <w:rsid w:val="00974B5A"/>
    <w:rsid w:val="00974F5B"/>
    <w:rsid w:val="00975134"/>
    <w:rsid w:val="00975379"/>
    <w:rsid w:val="00975657"/>
    <w:rsid w:val="00975A1B"/>
    <w:rsid w:val="00975AA8"/>
    <w:rsid w:val="00975B7E"/>
    <w:rsid w:val="00975F23"/>
    <w:rsid w:val="00975F43"/>
    <w:rsid w:val="00976090"/>
    <w:rsid w:val="009761F6"/>
    <w:rsid w:val="00976275"/>
    <w:rsid w:val="0097635A"/>
    <w:rsid w:val="009763AE"/>
    <w:rsid w:val="009765E1"/>
    <w:rsid w:val="0097661A"/>
    <w:rsid w:val="009766C4"/>
    <w:rsid w:val="009768BE"/>
    <w:rsid w:val="00976BB6"/>
    <w:rsid w:val="00976BF0"/>
    <w:rsid w:val="00976F34"/>
    <w:rsid w:val="00976FDA"/>
    <w:rsid w:val="009770C8"/>
    <w:rsid w:val="009771D6"/>
    <w:rsid w:val="00977666"/>
    <w:rsid w:val="009777F0"/>
    <w:rsid w:val="00977902"/>
    <w:rsid w:val="009800A4"/>
    <w:rsid w:val="009800F9"/>
    <w:rsid w:val="009806E4"/>
    <w:rsid w:val="00980720"/>
    <w:rsid w:val="009807FE"/>
    <w:rsid w:val="009807FF"/>
    <w:rsid w:val="0098099C"/>
    <w:rsid w:val="009809EF"/>
    <w:rsid w:val="00980A67"/>
    <w:rsid w:val="009810DD"/>
    <w:rsid w:val="009814D9"/>
    <w:rsid w:val="00981571"/>
    <w:rsid w:val="00981696"/>
    <w:rsid w:val="009819EE"/>
    <w:rsid w:val="00981A3D"/>
    <w:rsid w:val="00981D58"/>
    <w:rsid w:val="009821E6"/>
    <w:rsid w:val="00982266"/>
    <w:rsid w:val="009822CA"/>
    <w:rsid w:val="00982546"/>
    <w:rsid w:val="009827D3"/>
    <w:rsid w:val="00982809"/>
    <w:rsid w:val="0098292F"/>
    <w:rsid w:val="009829F6"/>
    <w:rsid w:val="00982D20"/>
    <w:rsid w:val="00982F2F"/>
    <w:rsid w:val="00982FA3"/>
    <w:rsid w:val="00983048"/>
    <w:rsid w:val="0098313F"/>
    <w:rsid w:val="00983543"/>
    <w:rsid w:val="009835BE"/>
    <w:rsid w:val="00983B64"/>
    <w:rsid w:val="00983B66"/>
    <w:rsid w:val="00984255"/>
    <w:rsid w:val="009842E0"/>
    <w:rsid w:val="009842F5"/>
    <w:rsid w:val="00984668"/>
    <w:rsid w:val="009846A1"/>
    <w:rsid w:val="009846D9"/>
    <w:rsid w:val="0098486F"/>
    <w:rsid w:val="0098495B"/>
    <w:rsid w:val="00984ADD"/>
    <w:rsid w:val="00984B0F"/>
    <w:rsid w:val="00984EE4"/>
    <w:rsid w:val="00984F36"/>
    <w:rsid w:val="00985445"/>
    <w:rsid w:val="009858BE"/>
    <w:rsid w:val="00985A69"/>
    <w:rsid w:val="00985C6F"/>
    <w:rsid w:val="00985DB6"/>
    <w:rsid w:val="00986199"/>
    <w:rsid w:val="009863A9"/>
    <w:rsid w:val="009863F4"/>
    <w:rsid w:val="0098654C"/>
    <w:rsid w:val="00986A61"/>
    <w:rsid w:val="00986CBD"/>
    <w:rsid w:val="0098772D"/>
    <w:rsid w:val="00987859"/>
    <w:rsid w:val="00987BD2"/>
    <w:rsid w:val="00987DA8"/>
    <w:rsid w:val="00987F2E"/>
    <w:rsid w:val="00987F47"/>
    <w:rsid w:val="00990745"/>
    <w:rsid w:val="00990793"/>
    <w:rsid w:val="00990B5A"/>
    <w:rsid w:val="00990EAB"/>
    <w:rsid w:val="00991605"/>
    <w:rsid w:val="00991BC0"/>
    <w:rsid w:val="00991D9E"/>
    <w:rsid w:val="00991E58"/>
    <w:rsid w:val="00992016"/>
    <w:rsid w:val="00992298"/>
    <w:rsid w:val="009922A5"/>
    <w:rsid w:val="009923E8"/>
    <w:rsid w:val="00992467"/>
    <w:rsid w:val="0099265A"/>
    <w:rsid w:val="00992828"/>
    <w:rsid w:val="00992B10"/>
    <w:rsid w:val="00992BB7"/>
    <w:rsid w:val="00992C84"/>
    <w:rsid w:val="00992E93"/>
    <w:rsid w:val="00992EA3"/>
    <w:rsid w:val="0099337D"/>
    <w:rsid w:val="00993BE3"/>
    <w:rsid w:val="00993DDD"/>
    <w:rsid w:val="00993EC4"/>
    <w:rsid w:val="00994253"/>
    <w:rsid w:val="009947BD"/>
    <w:rsid w:val="009947F6"/>
    <w:rsid w:val="00994C5B"/>
    <w:rsid w:val="00995139"/>
    <w:rsid w:val="0099571F"/>
    <w:rsid w:val="0099592B"/>
    <w:rsid w:val="00995A81"/>
    <w:rsid w:val="00995C6D"/>
    <w:rsid w:val="00995D69"/>
    <w:rsid w:val="00995E5A"/>
    <w:rsid w:val="00995FC0"/>
    <w:rsid w:val="0099612B"/>
    <w:rsid w:val="0099649C"/>
    <w:rsid w:val="00996725"/>
    <w:rsid w:val="00996788"/>
    <w:rsid w:val="00996884"/>
    <w:rsid w:val="0099691A"/>
    <w:rsid w:val="00997039"/>
    <w:rsid w:val="0099721F"/>
    <w:rsid w:val="009972BC"/>
    <w:rsid w:val="009973B5"/>
    <w:rsid w:val="00997611"/>
    <w:rsid w:val="00997A83"/>
    <w:rsid w:val="00997C05"/>
    <w:rsid w:val="00997C5B"/>
    <w:rsid w:val="00997D2B"/>
    <w:rsid w:val="009A0177"/>
    <w:rsid w:val="009A01C3"/>
    <w:rsid w:val="009A0510"/>
    <w:rsid w:val="009A07BA"/>
    <w:rsid w:val="009A0852"/>
    <w:rsid w:val="009A087B"/>
    <w:rsid w:val="009A0927"/>
    <w:rsid w:val="009A0F5B"/>
    <w:rsid w:val="009A1343"/>
    <w:rsid w:val="009A1477"/>
    <w:rsid w:val="009A23A2"/>
    <w:rsid w:val="009A23C6"/>
    <w:rsid w:val="009A24E4"/>
    <w:rsid w:val="009A263B"/>
    <w:rsid w:val="009A26DB"/>
    <w:rsid w:val="009A2B5C"/>
    <w:rsid w:val="009A2CEB"/>
    <w:rsid w:val="009A2DE8"/>
    <w:rsid w:val="009A2ED8"/>
    <w:rsid w:val="009A2F07"/>
    <w:rsid w:val="009A2F10"/>
    <w:rsid w:val="009A3032"/>
    <w:rsid w:val="009A32CB"/>
    <w:rsid w:val="009A3370"/>
    <w:rsid w:val="009A38B0"/>
    <w:rsid w:val="009A3969"/>
    <w:rsid w:val="009A39DF"/>
    <w:rsid w:val="009A3A1F"/>
    <w:rsid w:val="009A3AE7"/>
    <w:rsid w:val="009A3D55"/>
    <w:rsid w:val="009A4068"/>
    <w:rsid w:val="009A493B"/>
    <w:rsid w:val="009A4AEB"/>
    <w:rsid w:val="009A5260"/>
    <w:rsid w:val="009A5C24"/>
    <w:rsid w:val="009A5D6B"/>
    <w:rsid w:val="009A5DFF"/>
    <w:rsid w:val="009A5E1D"/>
    <w:rsid w:val="009A5E74"/>
    <w:rsid w:val="009A61A0"/>
    <w:rsid w:val="009A6548"/>
    <w:rsid w:val="009A6711"/>
    <w:rsid w:val="009A687C"/>
    <w:rsid w:val="009A6B2B"/>
    <w:rsid w:val="009A6DAE"/>
    <w:rsid w:val="009A6E0D"/>
    <w:rsid w:val="009A7772"/>
    <w:rsid w:val="009A78C4"/>
    <w:rsid w:val="009A7BEC"/>
    <w:rsid w:val="009A7CAE"/>
    <w:rsid w:val="009A7FC3"/>
    <w:rsid w:val="009B01AB"/>
    <w:rsid w:val="009B085A"/>
    <w:rsid w:val="009B08C2"/>
    <w:rsid w:val="009B093C"/>
    <w:rsid w:val="009B0AFE"/>
    <w:rsid w:val="009B0B5C"/>
    <w:rsid w:val="009B0DA7"/>
    <w:rsid w:val="009B1403"/>
    <w:rsid w:val="009B1648"/>
    <w:rsid w:val="009B18BD"/>
    <w:rsid w:val="009B1964"/>
    <w:rsid w:val="009B1E18"/>
    <w:rsid w:val="009B1ED4"/>
    <w:rsid w:val="009B203D"/>
    <w:rsid w:val="009B22AB"/>
    <w:rsid w:val="009B22DD"/>
    <w:rsid w:val="009B26BE"/>
    <w:rsid w:val="009B2841"/>
    <w:rsid w:val="009B28A1"/>
    <w:rsid w:val="009B2C04"/>
    <w:rsid w:val="009B2E6F"/>
    <w:rsid w:val="009B34CC"/>
    <w:rsid w:val="009B3735"/>
    <w:rsid w:val="009B38F0"/>
    <w:rsid w:val="009B39EF"/>
    <w:rsid w:val="009B3A54"/>
    <w:rsid w:val="009B3A62"/>
    <w:rsid w:val="009B3E86"/>
    <w:rsid w:val="009B43D9"/>
    <w:rsid w:val="009B4615"/>
    <w:rsid w:val="009B4BE6"/>
    <w:rsid w:val="009B4EB8"/>
    <w:rsid w:val="009B53B5"/>
    <w:rsid w:val="009B55BA"/>
    <w:rsid w:val="009B55D2"/>
    <w:rsid w:val="009B56A6"/>
    <w:rsid w:val="009B5A50"/>
    <w:rsid w:val="009B5BE0"/>
    <w:rsid w:val="009B5F13"/>
    <w:rsid w:val="009B6324"/>
    <w:rsid w:val="009B687F"/>
    <w:rsid w:val="009B690C"/>
    <w:rsid w:val="009B6D1F"/>
    <w:rsid w:val="009B6DBA"/>
    <w:rsid w:val="009B6FC4"/>
    <w:rsid w:val="009B738C"/>
    <w:rsid w:val="009B7399"/>
    <w:rsid w:val="009B77E8"/>
    <w:rsid w:val="009B7B83"/>
    <w:rsid w:val="009B7D28"/>
    <w:rsid w:val="009B7DD2"/>
    <w:rsid w:val="009C0708"/>
    <w:rsid w:val="009C0A61"/>
    <w:rsid w:val="009C0B8B"/>
    <w:rsid w:val="009C0C1A"/>
    <w:rsid w:val="009C0DEF"/>
    <w:rsid w:val="009C108D"/>
    <w:rsid w:val="009C11CB"/>
    <w:rsid w:val="009C13E6"/>
    <w:rsid w:val="009C16C1"/>
    <w:rsid w:val="009C16C8"/>
    <w:rsid w:val="009C19B3"/>
    <w:rsid w:val="009C1A0E"/>
    <w:rsid w:val="009C1BDA"/>
    <w:rsid w:val="009C1D6C"/>
    <w:rsid w:val="009C1DCF"/>
    <w:rsid w:val="009C1F85"/>
    <w:rsid w:val="009C1FE6"/>
    <w:rsid w:val="009C2D30"/>
    <w:rsid w:val="009C2D66"/>
    <w:rsid w:val="009C2D6C"/>
    <w:rsid w:val="009C3189"/>
    <w:rsid w:val="009C33D8"/>
    <w:rsid w:val="009C36FC"/>
    <w:rsid w:val="009C388E"/>
    <w:rsid w:val="009C3956"/>
    <w:rsid w:val="009C3BA2"/>
    <w:rsid w:val="009C3C54"/>
    <w:rsid w:val="009C3CC4"/>
    <w:rsid w:val="009C3D65"/>
    <w:rsid w:val="009C3DE7"/>
    <w:rsid w:val="009C402E"/>
    <w:rsid w:val="009C453E"/>
    <w:rsid w:val="009C4CCE"/>
    <w:rsid w:val="009C4E34"/>
    <w:rsid w:val="009C508F"/>
    <w:rsid w:val="009C50E1"/>
    <w:rsid w:val="009C5438"/>
    <w:rsid w:val="009C557C"/>
    <w:rsid w:val="009C55C1"/>
    <w:rsid w:val="009C5B49"/>
    <w:rsid w:val="009C5B90"/>
    <w:rsid w:val="009C5D52"/>
    <w:rsid w:val="009C60BA"/>
    <w:rsid w:val="009C62D4"/>
    <w:rsid w:val="009C66F7"/>
    <w:rsid w:val="009C6D27"/>
    <w:rsid w:val="009C7142"/>
    <w:rsid w:val="009C7628"/>
    <w:rsid w:val="009C7893"/>
    <w:rsid w:val="009C7CBC"/>
    <w:rsid w:val="009C7EE5"/>
    <w:rsid w:val="009C7F76"/>
    <w:rsid w:val="009D0525"/>
    <w:rsid w:val="009D0747"/>
    <w:rsid w:val="009D0840"/>
    <w:rsid w:val="009D09CA"/>
    <w:rsid w:val="009D0BD3"/>
    <w:rsid w:val="009D1082"/>
    <w:rsid w:val="009D1362"/>
    <w:rsid w:val="009D1683"/>
    <w:rsid w:val="009D17E4"/>
    <w:rsid w:val="009D194F"/>
    <w:rsid w:val="009D1B51"/>
    <w:rsid w:val="009D1C37"/>
    <w:rsid w:val="009D21E7"/>
    <w:rsid w:val="009D231E"/>
    <w:rsid w:val="009D23B4"/>
    <w:rsid w:val="009D264F"/>
    <w:rsid w:val="009D26AA"/>
    <w:rsid w:val="009D277D"/>
    <w:rsid w:val="009D3151"/>
    <w:rsid w:val="009D3418"/>
    <w:rsid w:val="009D362F"/>
    <w:rsid w:val="009D3C4A"/>
    <w:rsid w:val="009D3C70"/>
    <w:rsid w:val="009D3D43"/>
    <w:rsid w:val="009D3DBE"/>
    <w:rsid w:val="009D44DA"/>
    <w:rsid w:val="009D4525"/>
    <w:rsid w:val="009D460D"/>
    <w:rsid w:val="009D46E0"/>
    <w:rsid w:val="009D488E"/>
    <w:rsid w:val="009D4DE5"/>
    <w:rsid w:val="009D4E8F"/>
    <w:rsid w:val="009D4EA4"/>
    <w:rsid w:val="009D4F00"/>
    <w:rsid w:val="009D5203"/>
    <w:rsid w:val="009D527E"/>
    <w:rsid w:val="009D5444"/>
    <w:rsid w:val="009D554E"/>
    <w:rsid w:val="009D5BAB"/>
    <w:rsid w:val="009D5D6E"/>
    <w:rsid w:val="009D5EE9"/>
    <w:rsid w:val="009D63D8"/>
    <w:rsid w:val="009D664D"/>
    <w:rsid w:val="009D6CDF"/>
    <w:rsid w:val="009D6FBE"/>
    <w:rsid w:val="009D71F8"/>
    <w:rsid w:val="009D722F"/>
    <w:rsid w:val="009D7308"/>
    <w:rsid w:val="009D7324"/>
    <w:rsid w:val="009D7695"/>
    <w:rsid w:val="009D786C"/>
    <w:rsid w:val="009D7871"/>
    <w:rsid w:val="009D7AEB"/>
    <w:rsid w:val="009D7C8E"/>
    <w:rsid w:val="009E005B"/>
    <w:rsid w:val="009E00EF"/>
    <w:rsid w:val="009E02E2"/>
    <w:rsid w:val="009E0520"/>
    <w:rsid w:val="009E05B0"/>
    <w:rsid w:val="009E08C3"/>
    <w:rsid w:val="009E0905"/>
    <w:rsid w:val="009E093D"/>
    <w:rsid w:val="009E0AB9"/>
    <w:rsid w:val="009E0B16"/>
    <w:rsid w:val="009E0B1A"/>
    <w:rsid w:val="009E0E63"/>
    <w:rsid w:val="009E0E7C"/>
    <w:rsid w:val="009E0F2E"/>
    <w:rsid w:val="009E13BC"/>
    <w:rsid w:val="009E174C"/>
    <w:rsid w:val="009E192B"/>
    <w:rsid w:val="009E19CD"/>
    <w:rsid w:val="009E1ACF"/>
    <w:rsid w:val="009E1CC0"/>
    <w:rsid w:val="009E1EE9"/>
    <w:rsid w:val="009E216E"/>
    <w:rsid w:val="009E2B75"/>
    <w:rsid w:val="009E2BC1"/>
    <w:rsid w:val="009E2D09"/>
    <w:rsid w:val="009E2EDA"/>
    <w:rsid w:val="009E3034"/>
    <w:rsid w:val="009E3559"/>
    <w:rsid w:val="009E3662"/>
    <w:rsid w:val="009E386D"/>
    <w:rsid w:val="009E3D47"/>
    <w:rsid w:val="009E3E1E"/>
    <w:rsid w:val="009E3EAF"/>
    <w:rsid w:val="009E416A"/>
    <w:rsid w:val="009E41A4"/>
    <w:rsid w:val="009E43EB"/>
    <w:rsid w:val="009E45D9"/>
    <w:rsid w:val="009E475B"/>
    <w:rsid w:val="009E47A1"/>
    <w:rsid w:val="009E4BD8"/>
    <w:rsid w:val="009E4D9A"/>
    <w:rsid w:val="009E4DB0"/>
    <w:rsid w:val="009E4F84"/>
    <w:rsid w:val="009E5308"/>
    <w:rsid w:val="009E547D"/>
    <w:rsid w:val="009E54AA"/>
    <w:rsid w:val="009E54B5"/>
    <w:rsid w:val="009E55E6"/>
    <w:rsid w:val="009E5617"/>
    <w:rsid w:val="009E57C8"/>
    <w:rsid w:val="009E5A44"/>
    <w:rsid w:val="009E5DB9"/>
    <w:rsid w:val="009E5DC8"/>
    <w:rsid w:val="009E5E0F"/>
    <w:rsid w:val="009E5F03"/>
    <w:rsid w:val="009E5F25"/>
    <w:rsid w:val="009E5F80"/>
    <w:rsid w:val="009E620C"/>
    <w:rsid w:val="009E62B1"/>
    <w:rsid w:val="009E64B6"/>
    <w:rsid w:val="009E677C"/>
    <w:rsid w:val="009E68B4"/>
    <w:rsid w:val="009E6BF5"/>
    <w:rsid w:val="009E7240"/>
    <w:rsid w:val="009E7349"/>
    <w:rsid w:val="009E77B1"/>
    <w:rsid w:val="009F0428"/>
    <w:rsid w:val="009F05FC"/>
    <w:rsid w:val="009F0643"/>
    <w:rsid w:val="009F06CE"/>
    <w:rsid w:val="009F071F"/>
    <w:rsid w:val="009F09CD"/>
    <w:rsid w:val="009F0B8F"/>
    <w:rsid w:val="009F0C91"/>
    <w:rsid w:val="009F0D94"/>
    <w:rsid w:val="009F0EEB"/>
    <w:rsid w:val="009F103D"/>
    <w:rsid w:val="009F118A"/>
    <w:rsid w:val="009F14BE"/>
    <w:rsid w:val="009F1519"/>
    <w:rsid w:val="009F1B09"/>
    <w:rsid w:val="009F1B2B"/>
    <w:rsid w:val="009F1BC2"/>
    <w:rsid w:val="009F1CB1"/>
    <w:rsid w:val="009F1D54"/>
    <w:rsid w:val="009F1D87"/>
    <w:rsid w:val="009F2107"/>
    <w:rsid w:val="009F26ED"/>
    <w:rsid w:val="009F26FC"/>
    <w:rsid w:val="009F29AE"/>
    <w:rsid w:val="009F2C81"/>
    <w:rsid w:val="009F2DD8"/>
    <w:rsid w:val="009F3045"/>
    <w:rsid w:val="009F30DD"/>
    <w:rsid w:val="009F3101"/>
    <w:rsid w:val="009F38F2"/>
    <w:rsid w:val="009F397C"/>
    <w:rsid w:val="009F3BC0"/>
    <w:rsid w:val="009F3C35"/>
    <w:rsid w:val="009F3EC7"/>
    <w:rsid w:val="009F4340"/>
    <w:rsid w:val="009F43C5"/>
    <w:rsid w:val="009F4445"/>
    <w:rsid w:val="009F4A01"/>
    <w:rsid w:val="009F4A2A"/>
    <w:rsid w:val="009F51EB"/>
    <w:rsid w:val="009F51F5"/>
    <w:rsid w:val="009F5211"/>
    <w:rsid w:val="009F529B"/>
    <w:rsid w:val="009F54E4"/>
    <w:rsid w:val="009F566E"/>
    <w:rsid w:val="009F588E"/>
    <w:rsid w:val="009F5947"/>
    <w:rsid w:val="009F5ABF"/>
    <w:rsid w:val="009F5BD5"/>
    <w:rsid w:val="009F5E82"/>
    <w:rsid w:val="009F614E"/>
    <w:rsid w:val="009F62A4"/>
    <w:rsid w:val="009F62ED"/>
    <w:rsid w:val="009F66C0"/>
    <w:rsid w:val="009F6852"/>
    <w:rsid w:val="009F6887"/>
    <w:rsid w:val="009F7490"/>
    <w:rsid w:val="009F76DB"/>
    <w:rsid w:val="009F78EE"/>
    <w:rsid w:val="009F7EBC"/>
    <w:rsid w:val="009F7F98"/>
    <w:rsid w:val="009F7FFD"/>
    <w:rsid w:val="00A00028"/>
    <w:rsid w:val="00A00084"/>
    <w:rsid w:val="00A00175"/>
    <w:rsid w:val="00A002A9"/>
    <w:rsid w:val="00A004C0"/>
    <w:rsid w:val="00A004D3"/>
    <w:rsid w:val="00A007A9"/>
    <w:rsid w:val="00A00822"/>
    <w:rsid w:val="00A00AA5"/>
    <w:rsid w:val="00A00F09"/>
    <w:rsid w:val="00A00F5F"/>
    <w:rsid w:val="00A0153D"/>
    <w:rsid w:val="00A01789"/>
    <w:rsid w:val="00A01B62"/>
    <w:rsid w:val="00A02092"/>
    <w:rsid w:val="00A02135"/>
    <w:rsid w:val="00A022AD"/>
    <w:rsid w:val="00A02421"/>
    <w:rsid w:val="00A02908"/>
    <w:rsid w:val="00A02B31"/>
    <w:rsid w:val="00A02C18"/>
    <w:rsid w:val="00A02F4A"/>
    <w:rsid w:val="00A0301F"/>
    <w:rsid w:val="00A0303F"/>
    <w:rsid w:val="00A031BC"/>
    <w:rsid w:val="00A03374"/>
    <w:rsid w:val="00A03531"/>
    <w:rsid w:val="00A037CD"/>
    <w:rsid w:val="00A03DE8"/>
    <w:rsid w:val="00A043C6"/>
    <w:rsid w:val="00A04775"/>
    <w:rsid w:val="00A0477B"/>
    <w:rsid w:val="00A048CD"/>
    <w:rsid w:val="00A04A01"/>
    <w:rsid w:val="00A04BEF"/>
    <w:rsid w:val="00A04F83"/>
    <w:rsid w:val="00A05031"/>
    <w:rsid w:val="00A0516E"/>
    <w:rsid w:val="00A05327"/>
    <w:rsid w:val="00A05345"/>
    <w:rsid w:val="00A056BC"/>
    <w:rsid w:val="00A056FB"/>
    <w:rsid w:val="00A063F6"/>
    <w:rsid w:val="00A06883"/>
    <w:rsid w:val="00A06D48"/>
    <w:rsid w:val="00A06D70"/>
    <w:rsid w:val="00A06E78"/>
    <w:rsid w:val="00A06EBC"/>
    <w:rsid w:val="00A0702D"/>
    <w:rsid w:val="00A07600"/>
    <w:rsid w:val="00A07D4C"/>
    <w:rsid w:val="00A07E88"/>
    <w:rsid w:val="00A10214"/>
    <w:rsid w:val="00A104E8"/>
    <w:rsid w:val="00A105BB"/>
    <w:rsid w:val="00A10683"/>
    <w:rsid w:val="00A106D7"/>
    <w:rsid w:val="00A109B4"/>
    <w:rsid w:val="00A10E96"/>
    <w:rsid w:val="00A10F0F"/>
    <w:rsid w:val="00A10FE3"/>
    <w:rsid w:val="00A11182"/>
    <w:rsid w:val="00A115E3"/>
    <w:rsid w:val="00A117D4"/>
    <w:rsid w:val="00A117E5"/>
    <w:rsid w:val="00A1217C"/>
    <w:rsid w:val="00A12209"/>
    <w:rsid w:val="00A122A0"/>
    <w:rsid w:val="00A123AA"/>
    <w:rsid w:val="00A1253E"/>
    <w:rsid w:val="00A12616"/>
    <w:rsid w:val="00A127A0"/>
    <w:rsid w:val="00A12968"/>
    <w:rsid w:val="00A12AD9"/>
    <w:rsid w:val="00A12D90"/>
    <w:rsid w:val="00A13127"/>
    <w:rsid w:val="00A13462"/>
    <w:rsid w:val="00A135FD"/>
    <w:rsid w:val="00A13C1A"/>
    <w:rsid w:val="00A13C8E"/>
    <w:rsid w:val="00A14018"/>
    <w:rsid w:val="00A1411F"/>
    <w:rsid w:val="00A14182"/>
    <w:rsid w:val="00A141FA"/>
    <w:rsid w:val="00A14230"/>
    <w:rsid w:val="00A1455F"/>
    <w:rsid w:val="00A145E2"/>
    <w:rsid w:val="00A14BD9"/>
    <w:rsid w:val="00A14E4F"/>
    <w:rsid w:val="00A15267"/>
    <w:rsid w:val="00A1532D"/>
    <w:rsid w:val="00A15885"/>
    <w:rsid w:val="00A15B51"/>
    <w:rsid w:val="00A15C8E"/>
    <w:rsid w:val="00A15E74"/>
    <w:rsid w:val="00A15EFB"/>
    <w:rsid w:val="00A15F59"/>
    <w:rsid w:val="00A16077"/>
    <w:rsid w:val="00A16272"/>
    <w:rsid w:val="00A162F1"/>
    <w:rsid w:val="00A1633F"/>
    <w:rsid w:val="00A16397"/>
    <w:rsid w:val="00A1667F"/>
    <w:rsid w:val="00A167AC"/>
    <w:rsid w:val="00A1682F"/>
    <w:rsid w:val="00A16A01"/>
    <w:rsid w:val="00A16A57"/>
    <w:rsid w:val="00A16B55"/>
    <w:rsid w:val="00A16BE6"/>
    <w:rsid w:val="00A16CD6"/>
    <w:rsid w:val="00A16E5B"/>
    <w:rsid w:val="00A16E9A"/>
    <w:rsid w:val="00A17175"/>
    <w:rsid w:val="00A172B1"/>
    <w:rsid w:val="00A1779D"/>
    <w:rsid w:val="00A178A6"/>
    <w:rsid w:val="00A178D8"/>
    <w:rsid w:val="00A17959"/>
    <w:rsid w:val="00A17AA4"/>
    <w:rsid w:val="00A20139"/>
    <w:rsid w:val="00A20451"/>
    <w:rsid w:val="00A20932"/>
    <w:rsid w:val="00A20BD3"/>
    <w:rsid w:val="00A20DBE"/>
    <w:rsid w:val="00A20DF7"/>
    <w:rsid w:val="00A21414"/>
    <w:rsid w:val="00A2152A"/>
    <w:rsid w:val="00A21633"/>
    <w:rsid w:val="00A21998"/>
    <w:rsid w:val="00A21A5C"/>
    <w:rsid w:val="00A21A88"/>
    <w:rsid w:val="00A21BC1"/>
    <w:rsid w:val="00A22486"/>
    <w:rsid w:val="00A22B1A"/>
    <w:rsid w:val="00A22DFB"/>
    <w:rsid w:val="00A22F41"/>
    <w:rsid w:val="00A230BB"/>
    <w:rsid w:val="00A23195"/>
    <w:rsid w:val="00A2322C"/>
    <w:rsid w:val="00A233AB"/>
    <w:rsid w:val="00A2361C"/>
    <w:rsid w:val="00A23F90"/>
    <w:rsid w:val="00A24148"/>
    <w:rsid w:val="00A24183"/>
    <w:rsid w:val="00A2471E"/>
    <w:rsid w:val="00A248A0"/>
    <w:rsid w:val="00A24BA4"/>
    <w:rsid w:val="00A24BDC"/>
    <w:rsid w:val="00A24D1B"/>
    <w:rsid w:val="00A24D72"/>
    <w:rsid w:val="00A24E1D"/>
    <w:rsid w:val="00A24E7A"/>
    <w:rsid w:val="00A24F8E"/>
    <w:rsid w:val="00A25367"/>
    <w:rsid w:val="00A255AC"/>
    <w:rsid w:val="00A2581E"/>
    <w:rsid w:val="00A25A40"/>
    <w:rsid w:val="00A25B2E"/>
    <w:rsid w:val="00A25FE9"/>
    <w:rsid w:val="00A26095"/>
    <w:rsid w:val="00A262FB"/>
    <w:rsid w:val="00A264AE"/>
    <w:rsid w:val="00A264DF"/>
    <w:rsid w:val="00A265BC"/>
    <w:rsid w:val="00A268EB"/>
    <w:rsid w:val="00A26929"/>
    <w:rsid w:val="00A26BD8"/>
    <w:rsid w:val="00A26F14"/>
    <w:rsid w:val="00A27726"/>
    <w:rsid w:val="00A278CA"/>
    <w:rsid w:val="00A279B0"/>
    <w:rsid w:val="00A27FAA"/>
    <w:rsid w:val="00A300E9"/>
    <w:rsid w:val="00A3033D"/>
    <w:rsid w:val="00A30697"/>
    <w:rsid w:val="00A308B4"/>
    <w:rsid w:val="00A3095E"/>
    <w:rsid w:val="00A309F3"/>
    <w:rsid w:val="00A3115B"/>
    <w:rsid w:val="00A31166"/>
    <w:rsid w:val="00A3127A"/>
    <w:rsid w:val="00A313DB"/>
    <w:rsid w:val="00A31547"/>
    <w:rsid w:val="00A3181E"/>
    <w:rsid w:val="00A31B37"/>
    <w:rsid w:val="00A31B57"/>
    <w:rsid w:val="00A3208A"/>
    <w:rsid w:val="00A32152"/>
    <w:rsid w:val="00A324FD"/>
    <w:rsid w:val="00A326EA"/>
    <w:rsid w:val="00A329CD"/>
    <w:rsid w:val="00A32C3B"/>
    <w:rsid w:val="00A32FFC"/>
    <w:rsid w:val="00A33348"/>
    <w:rsid w:val="00A3337F"/>
    <w:rsid w:val="00A335B7"/>
    <w:rsid w:val="00A33738"/>
    <w:rsid w:val="00A33878"/>
    <w:rsid w:val="00A3394A"/>
    <w:rsid w:val="00A339AF"/>
    <w:rsid w:val="00A33B82"/>
    <w:rsid w:val="00A33D5F"/>
    <w:rsid w:val="00A3434E"/>
    <w:rsid w:val="00A343CB"/>
    <w:rsid w:val="00A344E6"/>
    <w:rsid w:val="00A34606"/>
    <w:rsid w:val="00A34741"/>
    <w:rsid w:val="00A34771"/>
    <w:rsid w:val="00A3489B"/>
    <w:rsid w:val="00A348C8"/>
    <w:rsid w:val="00A34C83"/>
    <w:rsid w:val="00A34DD0"/>
    <w:rsid w:val="00A34F5E"/>
    <w:rsid w:val="00A34FCD"/>
    <w:rsid w:val="00A35381"/>
    <w:rsid w:val="00A3540C"/>
    <w:rsid w:val="00A35463"/>
    <w:rsid w:val="00A35956"/>
    <w:rsid w:val="00A35A65"/>
    <w:rsid w:val="00A35C6D"/>
    <w:rsid w:val="00A35D6F"/>
    <w:rsid w:val="00A35FA7"/>
    <w:rsid w:val="00A35FC4"/>
    <w:rsid w:val="00A361B2"/>
    <w:rsid w:val="00A36214"/>
    <w:rsid w:val="00A362D4"/>
    <w:rsid w:val="00A36584"/>
    <w:rsid w:val="00A36650"/>
    <w:rsid w:val="00A36812"/>
    <w:rsid w:val="00A37135"/>
    <w:rsid w:val="00A373BE"/>
    <w:rsid w:val="00A3747C"/>
    <w:rsid w:val="00A37A11"/>
    <w:rsid w:val="00A37A69"/>
    <w:rsid w:val="00A37CB0"/>
    <w:rsid w:val="00A37D54"/>
    <w:rsid w:val="00A40419"/>
    <w:rsid w:val="00A40637"/>
    <w:rsid w:val="00A40793"/>
    <w:rsid w:val="00A4097D"/>
    <w:rsid w:val="00A40C0D"/>
    <w:rsid w:val="00A40EC4"/>
    <w:rsid w:val="00A40EE7"/>
    <w:rsid w:val="00A40EF9"/>
    <w:rsid w:val="00A41131"/>
    <w:rsid w:val="00A414E6"/>
    <w:rsid w:val="00A4152C"/>
    <w:rsid w:val="00A41726"/>
    <w:rsid w:val="00A418C7"/>
    <w:rsid w:val="00A41AA5"/>
    <w:rsid w:val="00A41F76"/>
    <w:rsid w:val="00A42275"/>
    <w:rsid w:val="00A423EA"/>
    <w:rsid w:val="00A427F1"/>
    <w:rsid w:val="00A42E75"/>
    <w:rsid w:val="00A43129"/>
    <w:rsid w:val="00A43432"/>
    <w:rsid w:val="00A437F5"/>
    <w:rsid w:val="00A43ED2"/>
    <w:rsid w:val="00A44137"/>
    <w:rsid w:val="00A4415F"/>
    <w:rsid w:val="00A44248"/>
    <w:rsid w:val="00A4424C"/>
    <w:rsid w:val="00A4441C"/>
    <w:rsid w:val="00A4442B"/>
    <w:rsid w:val="00A44582"/>
    <w:rsid w:val="00A44594"/>
    <w:rsid w:val="00A44680"/>
    <w:rsid w:val="00A449AA"/>
    <w:rsid w:val="00A44C2D"/>
    <w:rsid w:val="00A44D6E"/>
    <w:rsid w:val="00A44D72"/>
    <w:rsid w:val="00A44EF4"/>
    <w:rsid w:val="00A450E6"/>
    <w:rsid w:val="00A45102"/>
    <w:rsid w:val="00A451C9"/>
    <w:rsid w:val="00A45306"/>
    <w:rsid w:val="00A45636"/>
    <w:rsid w:val="00A45869"/>
    <w:rsid w:val="00A458C6"/>
    <w:rsid w:val="00A459A2"/>
    <w:rsid w:val="00A45ADE"/>
    <w:rsid w:val="00A45B72"/>
    <w:rsid w:val="00A45B81"/>
    <w:rsid w:val="00A45C19"/>
    <w:rsid w:val="00A45F4F"/>
    <w:rsid w:val="00A46007"/>
    <w:rsid w:val="00A460A6"/>
    <w:rsid w:val="00A46139"/>
    <w:rsid w:val="00A466F9"/>
    <w:rsid w:val="00A46A9C"/>
    <w:rsid w:val="00A46DBF"/>
    <w:rsid w:val="00A477CF"/>
    <w:rsid w:val="00A47813"/>
    <w:rsid w:val="00A4789D"/>
    <w:rsid w:val="00A47924"/>
    <w:rsid w:val="00A47AE9"/>
    <w:rsid w:val="00A47C06"/>
    <w:rsid w:val="00A47E3D"/>
    <w:rsid w:val="00A47E91"/>
    <w:rsid w:val="00A50107"/>
    <w:rsid w:val="00A5027B"/>
    <w:rsid w:val="00A50437"/>
    <w:rsid w:val="00A508D6"/>
    <w:rsid w:val="00A50A55"/>
    <w:rsid w:val="00A51217"/>
    <w:rsid w:val="00A5134A"/>
    <w:rsid w:val="00A517D0"/>
    <w:rsid w:val="00A52048"/>
    <w:rsid w:val="00A5252D"/>
    <w:rsid w:val="00A52957"/>
    <w:rsid w:val="00A529D5"/>
    <w:rsid w:val="00A529DD"/>
    <w:rsid w:val="00A52AC0"/>
    <w:rsid w:val="00A52BBC"/>
    <w:rsid w:val="00A52CCE"/>
    <w:rsid w:val="00A52E5A"/>
    <w:rsid w:val="00A530F0"/>
    <w:rsid w:val="00A53582"/>
    <w:rsid w:val="00A5361E"/>
    <w:rsid w:val="00A5395A"/>
    <w:rsid w:val="00A53C3A"/>
    <w:rsid w:val="00A53C74"/>
    <w:rsid w:val="00A53DC9"/>
    <w:rsid w:val="00A53F05"/>
    <w:rsid w:val="00A54140"/>
    <w:rsid w:val="00A545BD"/>
    <w:rsid w:val="00A55006"/>
    <w:rsid w:val="00A55852"/>
    <w:rsid w:val="00A5585D"/>
    <w:rsid w:val="00A55C41"/>
    <w:rsid w:val="00A55EE1"/>
    <w:rsid w:val="00A56027"/>
    <w:rsid w:val="00A56098"/>
    <w:rsid w:val="00A563FA"/>
    <w:rsid w:val="00A564B3"/>
    <w:rsid w:val="00A5650A"/>
    <w:rsid w:val="00A56602"/>
    <w:rsid w:val="00A56B85"/>
    <w:rsid w:val="00A56BC2"/>
    <w:rsid w:val="00A56DB7"/>
    <w:rsid w:val="00A56E19"/>
    <w:rsid w:val="00A5762B"/>
    <w:rsid w:val="00A57C97"/>
    <w:rsid w:val="00A57E93"/>
    <w:rsid w:val="00A600A9"/>
    <w:rsid w:val="00A601AC"/>
    <w:rsid w:val="00A601D0"/>
    <w:rsid w:val="00A604B5"/>
    <w:rsid w:val="00A604D3"/>
    <w:rsid w:val="00A60601"/>
    <w:rsid w:val="00A607A0"/>
    <w:rsid w:val="00A60B1E"/>
    <w:rsid w:val="00A60D11"/>
    <w:rsid w:val="00A610CE"/>
    <w:rsid w:val="00A6113C"/>
    <w:rsid w:val="00A618E1"/>
    <w:rsid w:val="00A61A6C"/>
    <w:rsid w:val="00A61B84"/>
    <w:rsid w:val="00A622FB"/>
    <w:rsid w:val="00A62605"/>
    <w:rsid w:val="00A62A0D"/>
    <w:rsid w:val="00A63186"/>
    <w:rsid w:val="00A63620"/>
    <w:rsid w:val="00A6371E"/>
    <w:rsid w:val="00A638E1"/>
    <w:rsid w:val="00A63E07"/>
    <w:rsid w:val="00A6412F"/>
    <w:rsid w:val="00A64481"/>
    <w:rsid w:val="00A646FC"/>
    <w:rsid w:val="00A64973"/>
    <w:rsid w:val="00A64D99"/>
    <w:rsid w:val="00A64F17"/>
    <w:rsid w:val="00A64F98"/>
    <w:rsid w:val="00A64FD2"/>
    <w:rsid w:val="00A6535C"/>
    <w:rsid w:val="00A65535"/>
    <w:rsid w:val="00A655AA"/>
    <w:rsid w:val="00A65764"/>
    <w:rsid w:val="00A65848"/>
    <w:rsid w:val="00A659BE"/>
    <w:rsid w:val="00A65D48"/>
    <w:rsid w:val="00A660E8"/>
    <w:rsid w:val="00A6626B"/>
    <w:rsid w:val="00A66350"/>
    <w:rsid w:val="00A6647C"/>
    <w:rsid w:val="00A66809"/>
    <w:rsid w:val="00A66C05"/>
    <w:rsid w:val="00A67077"/>
    <w:rsid w:val="00A67194"/>
    <w:rsid w:val="00A6722C"/>
    <w:rsid w:val="00A67270"/>
    <w:rsid w:val="00A67514"/>
    <w:rsid w:val="00A6763E"/>
    <w:rsid w:val="00A67A42"/>
    <w:rsid w:val="00A67AF0"/>
    <w:rsid w:val="00A67B41"/>
    <w:rsid w:val="00A67C93"/>
    <w:rsid w:val="00A70471"/>
    <w:rsid w:val="00A7058A"/>
    <w:rsid w:val="00A707B1"/>
    <w:rsid w:val="00A708A3"/>
    <w:rsid w:val="00A709CE"/>
    <w:rsid w:val="00A70B4E"/>
    <w:rsid w:val="00A70DFD"/>
    <w:rsid w:val="00A70EC8"/>
    <w:rsid w:val="00A7134D"/>
    <w:rsid w:val="00A71435"/>
    <w:rsid w:val="00A71D11"/>
    <w:rsid w:val="00A71E6C"/>
    <w:rsid w:val="00A725EC"/>
    <w:rsid w:val="00A7270E"/>
    <w:rsid w:val="00A727F5"/>
    <w:rsid w:val="00A72925"/>
    <w:rsid w:val="00A72A05"/>
    <w:rsid w:val="00A72E1E"/>
    <w:rsid w:val="00A72E29"/>
    <w:rsid w:val="00A72F3A"/>
    <w:rsid w:val="00A733E2"/>
    <w:rsid w:val="00A7359D"/>
    <w:rsid w:val="00A735A8"/>
    <w:rsid w:val="00A7385A"/>
    <w:rsid w:val="00A73D92"/>
    <w:rsid w:val="00A742ED"/>
    <w:rsid w:val="00A744A0"/>
    <w:rsid w:val="00A74758"/>
    <w:rsid w:val="00A7485C"/>
    <w:rsid w:val="00A74974"/>
    <w:rsid w:val="00A74B80"/>
    <w:rsid w:val="00A751BE"/>
    <w:rsid w:val="00A7532F"/>
    <w:rsid w:val="00A75375"/>
    <w:rsid w:val="00A7550B"/>
    <w:rsid w:val="00A75527"/>
    <w:rsid w:val="00A75670"/>
    <w:rsid w:val="00A75693"/>
    <w:rsid w:val="00A75863"/>
    <w:rsid w:val="00A75B64"/>
    <w:rsid w:val="00A75C4B"/>
    <w:rsid w:val="00A75E10"/>
    <w:rsid w:val="00A75F45"/>
    <w:rsid w:val="00A7676F"/>
    <w:rsid w:val="00A76B45"/>
    <w:rsid w:val="00A772BC"/>
    <w:rsid w:val="00A7748C"/>
    <w:rsid w:val="00A775C0"/>
    <w:rsid w:val="00A777B4"/>
    <w:rsid w:val="00A77D63"/>
    <w:rsid w:val="00A77DC1"/>
    <w:rsid w:val="00A80262"/>
    <w:rsid w:val="00A803F7"/>
    <w:rsid w:val="00A807EB"/>
    <w:rsid w:val="00A8092C"/>
    <w:rsid w:val="00A80B95"/>
    <w:rsid w:val="00A81257"/>
    <w:rsid w:val="00A813E1"/>
    <w:rsid w:val="00A81418"/>
    <w:rsid w:val="00A81964"/>
    <w:rsid w:val="00A81FB6"/>
    <w:rsid w:val="00A82073"/>
    <w:rsid w:val="00A822E5"/>
    <w:rsid w:val="00A8254D"/>
    <w:rsid w:val="00A82931"/>
    <w:rsid w:val="00A82E54"/>
    <w:rsid w:val="00A82FEA"/>
    <w:rsid w:val="00A833CC"/>
    <w:rsid w:val="00A838CA"/>
    <w:rsid w:val="00A83C46"/>
    <w:rsid w:val="00A84A29"/>
    <w:rsid w:val="00A84C23"/>
    <w:rsid w:val="00A84D3A"/>
    <w:rsid w:val="00A84D67"/>
    <w:rsid w:val="00A84FCA"/>
    <w:rsid w:val="00A85082"/>
    <w:rsid w:val="00A850D5"/>
    <w:rsid w:val="00A8511F"/>
    <w:rsid w:val="00A8531F"/>
    <w:rsid w:val="00A8545B"/>
    <w:rsid w:val="00A85625"/>
    <w:rsid w:val="00A85672"/>
    <w:rsid w:val="00A8580A"/>
    <w:rsid w:val="00A85B82"/>
    <w:rsid w:val="00A85C59"/>
    <w:rsid w:val="00A85E2B"/>
    <w:rsid w:val="00A861E5"/>
    <w:rsid w:val="00A86409"/>
    <w:rsid w:val="00A86820"/>
    <w:rsid w:val="00A8693C"/>
    <w:rsid w:val="00A869B3"/>
    <w:rsid w:val="00A86A21"/>
    <w:rsid w:val="00A87062"/>
    <w:rsid w:val="00A8740C"/>
    <w:rsid w:val="00A87434"/>
    <w:rsid w:val="00A8749E"/>
    <w:rsid w:val="00A87923"/>
    <w:rsid w:val="00A87946"/>
    <w:rsid w:val="00A879C3"/>
    <w:rsid w:val="00A879FE"/>
    <w:rsid w:val="00A90140"/>
    <w:rsid w:val="00A908C2"/>
    <w:rsid w:val="00A90C2F"/>
    <w:rsid w:val="00A90D8B"/>
    <w:rsid w:val="00A91299"/>
    <w:rsid w:val="00A91A6E"/>
    <w:rsid w:val="00A91B7E"/>
    <w:rsid w:val="00A91F8D"/>
    <w:rsid w:val="00A92441"/>
    <w:rsid w:val="00A925E9"/>
    <w:rsid w:val="00A9269A"/>
    <w:rsid w:val="00A928A7"/>
    <w:rsid w:val="00A92954"/>
    <w:rsid w:val="00A92A2D"/>
    <w:rsid w:val="00A92ABD"/>
    <w:rsid w:val="00A93603"/>
    <w:rsid w:val="00A938BC"/>
    <w:rsid w:val="00A938BE"/>
    <w:rsid w:val="00A93C37"/>
    <w:rsid w:val="00A93F6F"/>
    <w:rsid w:val="00A94656"/>
    <w:rsid w:val="00A94665"/>
    <w:rsid w:val="00A946B0"/>
    <w:rsid w:val="00A9495B"/>
    <w:rsid w:val="00A94A6D"/>
    <w:rsid w:val="00A94A6E"/>
    <w:rsid w:val="00A94E44"/>
    <w:rsid w:val="00A95008"/>
    <w:rsid w:val="00A95041"/>
    <w:rsid w:val="00A9510D"/>
    <w:rsid w:val="00A95251"/>
    <w:rsid w:val="00A956A7"/>
    <w:rsid w:val="00A957FB"/>
    <w:rsid w:val="00A95B26"/>
    <w:rsid w:val="00A95DAA"/>
    <w:rsid w:val="00A95ECD"/>
    <w:rsid w:val="00A96909"/>
    <w:rsid w:val="00A96B39"/>
    <w:rsid w:val="00A96D01"/>
    <w:rsid w:val="00A96D4D"/>
    <w:rsid w:val="00A970EF"/>
    <w:rsid w:val="00A971AF"/>
    <w:rsid w:val="00A971C8"/>
    <w:rsid w:val="00A97314"/>
    <w:rsid w:val="00A97C92"/>
    <w:rsid w:val="00A97CF3"/>
    <w:rsid w:val="00A97FD7"/>
    <w:rsid w:val="00AA0178"/>
    <w:rsid w:val="00AA05F6"/>
    <w:rsid w:val="00AA0742"/>
    <w:rsid w:val="00AA0850"/>
    <w:rsid w:val="00AA0AC8"/>
    <w:rsid w:val="00AA0BAB"/>
    <w:rsid w:val="00AA1040"/>
    <w:rsid w:val="00AA10DE"/>
    <w:rsid w:val="00AA1281"/>
    <w:rsid w:val="00AA1A77"/>
    <w:rsid w:val="00AA1EBF"/>
    <w:rsid w:val="00AA1F48"/>
    <w:rsid w:val="00AA1FCE"/>
    <w:rsid w:val="00AA2219"/>
    <w:rsid w:val="00AA25D5"/>
    <w:rsid w:val="00AA26AA"/>
    <w:rsid w:val="00AA2776"/>
    <w:rsid w:val="00AA2A90"/>
    <w:rsid w:val="00AA2B33"/>
    <w:rsid w:val="00AA2BB5"/>
    <w:rsid w:val="00AA3258"/>
    <w:rsid w:val="00AA33E2"/>
    <w:rsid w:val="00AA353B"/>
    <w:rsid w:val="00AA36B2"/>
    <w:rsid w:val="00AA38DE"/>
    <w:rsid w:val="00AA39F3"/>
    <w:rsid w:val="00AA3A0E"/>
    <w:rsid w:val="00AA4220"/>
    <w:rsid w:val="00AA452C"/>
    <w:rsid w:val="00AA4646"/>
    <w:rsid w:val="00AA47A3"/>
    <w:rsid w:val="00AA4B7E"/>
    <w:rsid w:val="00AA4E6D"/>
    <w:rsid w:val="00AA52EA"/>
    <w:rsid w:val="00AA55B7"/>
    <w:rsid w:val="00AA599C"/>
    <w:rsid w:val="00AA5A0E"/>
    <w:rsid w:val="00AA5B9E"/>
    <w:rsid w:val="00AA5CFC"/>
    <w:rsid w:val="00AA5E51"/>
    <w:rsid w:val="00AA5EFA"/>
    <w:rsid w:val="00AA5F8D"/>
    <w:rsid w:val="00AA602C"/>
    <w:rsid w:val="00AA665E"/>
    <w:rsid w:val="00AA6A7C"/>
    <w:rsid w:val="00AA6CC0"/>
    <w:rsid w:val="00AA6EA3"/>
    <w:rsid w:val="00AA6F2D"/>
    <w:rsid w:val="00AA70F4"/>
    <w:rsid w:val="00AA7187"/>
    <w:rsid w:val="00AA720F"/>
    <w:rsid w:val="00AA78AC"/>
    <w:rsid w:val="00AA78F6"/>
    <w:rsid w:val="00AB0035"/>
    <w:rsid w:val="00AB00F9"/>
    <w:rsid w:val="00AB0504"/>
    <w:rsid w:val="00AB0728"/>
    <w:rsid w:val="00AB072A"/>
    <w:rsid w:val="00AB07B4"/>
    <w:rsid w:val="00AB0839"/>
    <w:rsid w:val="00AB08E3"/>
    <w:rsid w:val="00AB0908"/>
    <w:rsid w:val="00AB096C"/>
    <w:rsid w:val="00AB0D55"/>
    <w:rsid w:val="00AB0D85"/>
    <w:rsid w:val="00AB0E31"/>
    <w:rsid w:val="00AB1341"/>
    <w:rsid w:val="00AB1A83"/>
    <w:rsid w:val="00AB2042"/>
    <w:rsid w:val="00AB2390"/>
    <w:rsid w:val="00AB23EB"/>
    <w:rsid w:val="00AB2407"/>
    <w:rsid w:val="00AB2430"/>
    <w:rsid w:val="00AB28D0"/>
    <w:rsid w:val="00AB2C5E"/>
    <w:rsid w:val="00AB2EBF"/>
    <w:rsid w:val="00AB3164"/>
    <w:rsid w:val="00AB3289"/>
    <w:rsid w:val="00AB3546"/>
    <w:rsid w:val="00AB367F"/>
    <w:rsid w:val="00AB39B0"/>
    <w:rsid w:val="00AB3CA8"/>
    <w:rsid w:val="00AB3D86"/>
    <w:rsid w:val="00AB407E"/>
    <w:rsid w:val="00AB4093"/>
    <w:rsid w:val="00AB41C2"/>
    <w:rsid w:val="00AB41CC"/>
    <w:rsid w:val="00AB42A6"/>
    <w:rsid w:val="00AB4618"/>
    <w:rsid w:val="00AB47DD"/>
    <w:rsid w:val="00AB4AB3"/>
    <w:rsid w:val="00AB4BC2"/>
    <w:rsid w:val="00AB4D49"/>
    <w:rsid w:val="00AB4DF1"/>
    <w:rsid w:val="00AB4E4F"/>
    <w:rsid w:val="00AB52D3"/>
    <w:rsid w:val="00AB53DF"/>
    <w:rsid w:val="00AB5439"/>
    <w:rsid w:val="00AB5688"/>
    <w:rsid w:val="00AB5FEA"/>
    <w:rsid w:val="00AB61D8"/>
    <w:rsid w:val="00AB65E1"/>
    <w:rsid w:val="00AB675D"/>
    <w:rsid w:val="00AB69E4"/>
    <w:rsid w:val="00AB6AC0"/>
    <w:rsid w:val="00AB6B21"/>
    <w:rsid w:val="00AB6CF2"/>
    <w:rsid w:val="00AB6DC5"/>
    <w:rsid w:val="00AB6EDD"/>
    <w:rsid w:val="00AB709A"/>
    <w:rsid w:val="00AB73C0"/>
    <w:rsid w:val="00AB768F"/>
    <w:rsid w:val="00AB777C"/>
    <w:rsid w:val="00AB7C2C"/>
    <w:rsid w:val="00AC00C5"/>
    <w:rsid w:val="00AC00CA"/>
    <w:rsid w:val="00AC049F"/>
    <w:rsid w:val="00AC0B4C"/>
    <w:rsid w:val="00AC0F60"/>
    <w:rsid w:val="00AC0F94"/>
    <w:rsid w:val="00AC1041"/>
    <w:rsid w:val="00AC1195"/>
    <w:rsid w:val="00AC1351"/>
    <w:rsid w:val="00AC1713"/>
    <w:rsid w:val="00AC1952"/>
    <w:rsid w:val="00AC1BEC"/>
    <w:rsid w:val="00AC1C65"/>
    <w:rsid w:val="00AC1D35"/>
    <w:rsid w:val="00AC1EF1"/>
    <w:rsid w:val="00AC21B3"/>
    <w:rsid w:val="00AC287A"/>
    <w:rsid w:val="00AC2909"/>
    <w:rsid w:val="00AC290F"/>
    <w:rsid w:val="00AC2D8B"/>
    <w:rsid w:val="00AC2D8E"/>
    <w:rsid w:val="00AC334A"/>
    <w:rsid w:val="00AC3BD0"/>
    <w:rsid w:val="00AC3D4E"/>
    <w:rsid w:val="00AC3D7C"/>
    <w:rsid w:val="00AC3FB2"/>
    <w:rsid w:val="00AC4577"/>
    <w:rsid w:val="00AC46C5"/>
    <w:rsid w:val="00AC51E4"/>
    <w:rsid w:val="00AC5334"/>
    <w:rsid w:val="00AC5532"/>
    <w:rsid w:val="00AC5939"/>
    <w:rsid w:val="00AC5BF3"/>
    <w:rsid w:val="00AC5C04"/>
    <w:rsid w:val="00AC5C67"/>
    <w:rsid w:val="00AC5CE2"/>
    <w:rsid w:val="00AC5CE4"/>
    <w:rsid w:val="00AC6014"/>
    <w:rsid w:val="00AC607E"/>
    <w:rsid w:val="00AC6381"/>
    <w:rsid w:val="00AC6970"/>
    <w:rsid w:val="00AC69A4"/>
    <w:rsid w:val="00AC6ADA"/>
    <w:rsid w:val="00AC6D12"/>
    <w:rsid w:val="00AC70E5"/>
    <w:rsid w:val="00AC71DA"/>
    <w:rsid w:val="00AC7255"/>
    <w:rsid w:val="00AC7442"/>
    <w:rsid w:val="00AC74E8"/>
    <w:rsid w:val="00AC7B20"/>
    <w:rsid w:val="00AC7B64"/>
    <w:rsid w:val="00AC7BF5"/>
    <w:rsid w:val="00AC7EA5"/>
    <w:rsid w:val="00AD0065"/>
    <w:rsid w:val="00AD0194"/>
    <w:rsid w:val="00AD02E4"/>
    <w:rsid w:val="00AD0356"/>
    <w:rsid w:val="00AD036E"/>
    <w:rsid w:val="00AD07D7"/>
    <w:rsid w:val="00AD092A"/>
    <w:rsid w:val="00AD0FBD"/>
    <w:rsid w:val="00AD1136"/>
    <w:rsid w:val="00AD11B1"/>
    <w:rsid w:val="00AD17E8"/>
    <w:rsid w:val="00AD18DD"/>
    <w:rsid w:val="00AD1B1B"/>
    <w:rsid w:val="00AD1BB2"/>
    <w:rsid w:val="00AD1BFE"/>
    <w:rsid w:val="00AD210E"/>
    <w:rsid w:val="00AD21EF"/>
    <w:rsid w:val="00AD22EB"/>
    <w:rsid w:val="00AD25A6"/>
    <w:rsid w:val="00AD28FD"/>
    <w:rsid w:val="00AD2B59"/>
    <w:rsid w:val="00AD2BB3"/>
    <w:rsid w:val="00AD2BC2"/>
    <w:rsid w:val="00AD2D55"/>
    <w:rsid w:val="00AD2DD8"/>
    <w:rsid w:val="00AD330D"/>
    <w:rsid w:val="00AD3783"/>
    <w:rsid w:val="00AD37C4"/>
    <w:rsid w:val="00AD3B4E"/>
    <w:rsid w:val="00AD3BE6"/>
    <w:rsid w:val="00AD4134"/>
    <w:rsid w:val="00AD42DE"/>
    <w:rsid w:val="00AD4549"/>
    <w:rsid w:val="00AD468C"/>
    <w:rsid w:val="00AD4D0E"/>
    <w:rsid w:val="00AD4F6F"/>
    <w:rsid w:val="00AD50D6"/>
    <w:rsid w:val="00AD5305"/>
    <w:rsid w:val="00AD585D"/>
    <w:rsid w:val="00AD5A7F"/>
    <w:rsid w:val="00AD5AA2"/>
    <w:rsid w:val="00AD5C47"/>
    <w:rsid w:val="00AD5CDF"/>
    <w:rsid w:val="00AD5DC7"/>
    <w:rsid w:val="00AD5F58"/>
    <w:rsid w:val="00AD605B"/>
    <w:rsid w:val="00AD60FE"/>
    <w:rsid w:val="00AD65A4"/>
    <w:rsid w:val="00AD65BF"/>
    <w:rsid w:val="00AD69BD"/>
    <w:rsid w:val="00AD69C8"/>
    <w:rsid w:val="00AD6A37"/>
    <w:rsid w:val="00AD6D07"/>
    <w:rsid w:val="00AD6DB5"/>
    <w:rsid w:val="00AD72E7"/>
    <w:rsid w:val="00AD7364"/>
    <w:rsid w:val="00AD7CF2"/>
    <w:rsid w:val="00AD7DAF"/>
    <w:rsid w:val="00AD7E97"/>
    <w:rsid w:val="00AD7F17"/>
    <w:rsid w:val="00AD7F9B"/>
    <w:rsid w:val="00AD7FD6"/>
    <w:rsid w:val="00AE0067"/>
    <w:rsid w:val="00AE037F"/>
    <w:rsid w:val="00AE0495"/>
    <w:rsid w:val="00AE0B93"/>
    <w:rsid w:val="00AE0CDF"/>
    <w:rsid w:val="00AE1185"/>
    <w:rsid w:val="00AE1420"/>
    <w:rsid w:val="00AE147C"/>
    <w:rsid w:val="00AE15CB"/>
    <w:rsid w:val="00AE1A0B"/>
    <w:rsid w:val="00AE1C63"/>
    <w:rsid w:val="00AE1CFF"/>
    <w:rsid w:val="00AE1D16"/>
    <w:rsid w:val="00AE1D5D"/>
    <w:rsid w:val="00AE2048"/>
    <w:rsid w:val="00AE236A"/>
    <w:rsid w:val="00AE248C"/>
    <w:rsid w:val="00AE27C4"/>
    <w:rsid w:val="00AE2853"/>
    <w:rsid w:val="00AE29B0"/>
    <w:rsid w:val="00AE2CAF"/>
    <w:rsid w:val="00AE2E36"/>
    <w:rsid w:val="00AE3692"/>
    <w:rsid w:val="00AE36F7"/>
    <w:rsid w:val="00AE37C3"/>
    <w:rsid w:val="00AE38C7"/>
    <w:rsid w:val="00AE3B83"/>
    <w:rsid w:val="00AE3D99"/>
    <w:rsid w:val="00AE3E05"/>
    <w:rsid w:val="00AE4015"/>
    <w:rsid w:val="00AE407A"/>
    <w:rsid w:val="00AE41CC"/>
    <w:rsid w:val="00AE42D0"/>
    <w:rsid w:val="00AE4471"/>
    <w:rsid w:val="00AE44B8"/>
    <w:rsid w:val="00AE4775"/>
    <w:rsid w:val="00AE4973"/>
    <w:rsid w:val="00AE4B36"/>
    <w:rsid w:val="00AE4CA2"/>
    <w:rsid w:val="00AE4CCE"/>
    <w:rsid w:val="00AE4DFD"/>
    <w:rsid w:val="00AE4FE9"/>
    <w:rsid w:val="00AE533D"/>
    <w:rsid w:val="00AE5818"/>
    <w:rsid w:val="00AE5854"/>
    <w:rsid w:val="00AE5B0F"/>
    <w:rsid w:val="00AE5BED"/>
    <w:rsid w:val="00AE5DCE"/>
    <w:rsid w:val="00AE5DDD"/>
    <w:rsid w:val="00AE612F"/>
    <w:rsid w:val="00AE624E"/>
    <w:rsid w:val="00AE65B9"/>
    <w:rsid w:val="00AE6888"/>
    <w:rsid w:val="00AE6A98"/>
    <w:rsid w:val="00AE6B46"/>
    <w:rsid w:val="00AE6D78"/>
    <w:rsid w:val="00AE6E35"/>
    <w:rsid w:val="00AE75A5"/>
    <w:rsid w:val="00AE77E1"/>
    <w:rsid w:val="00AE7808"/>
    <w:rsid w:val="00AE7C5A"/>
    <w:rsid w:val="00AE7DC1"/>
    <w:rsid w:val="00AF0114"/>
    <w:rsid w:val="00AF0296"/>
    <w:rsid w:val="00AF0464"/>
    <w:rsid w:val="00AF0607"/>
    <w:rsid w:val="00AF07B9"/>
    <w:rsid w:val="00AF08F5"/>
    <w:rsid w:val="00AF0AF3"/>
    <w:rsid w:val="00AF0BD5"/>
    <w:rsid w:val="00AF14BA"/>
    <w:rsid w:val="00AF14C0"/>
    <w:rsid w:val="00AF1543"/>
    <w:rsid w:val="00AF1E3E"/>
    <w:rsid w:val="00AF2364"/>
    <w:rsid w:val="00AF2756"/>
    <w:rsid w:val="00AF2852"/>
    <w:rsid w:val="00AF295D"/>
    <w:rsid w:val="00AF2979"/>
    <w:rsid w:val="00AF30EC"/>
    <w:rsid w:val="00AF31C3"/>
    <w:rsid w:val="00AF34C7"/>
    <w:rsid w:val="00AF375A"/>
    <w:rsid w:val="00AF3792"/>
    <w:rsid w:val="00AF387D"/>
    <w:rsid w:val="00AF3A38"/>
    <w:rsid w:val="00AF3DD1"/>
    <w:rsid w:val="00AF41FC"/>
    <w:rsid w:val="00AF42A7"/>
    <w:rsid w:val="00AF4405"/>
    <w:rsid w:val="00AF45EA"/>
    <w:rsid w:val="00AF47A0"/>
    <w:rsid w:val="00AF4A31"/>
    <w:rsid w:val="00AF4AFB"/>
    <w:rsid w:val="00AF4FAC"/>
    <w:rsid w:val="00AF529B"/>
    <w:rsid w:val="00AF571C"/>
    <w:rsid w:val="00AF58A8"/>
    <w:rsid w:val="00AF60A5"/>
    <w:rsid w:val="00AF61C0"/>
    <w:rsid w:val="00AF622B"/>
    <w:rsid w:val="00AF62AC"/>
    <w:rsid w:val="00AF6367"/>
    <w:rsid w:val="00AF655F"/>
    <w:rsid w:val="00AF669B"/>
    <w:rsid w:val="00AF6722"/>
    <w:rsid w:val="00AF6731"/>
    <w:rsid w:val="00AF682C"/>
    <w:rsid w:val="00AF68AE"/>
    <w:rsid w:val="00AF693A"/>
    <w:rsid w:val="00AF6BA6"/>
    <w:rsid w:val="00AF7031"/>
    <w:rsid w:val="00AF745E"/>
    <w:rsid w:val="00AF7518"/>
    <w:rsid w:val="00AF755F"/>
    <w:rsid w:val="00AF78AB"/>
    <w:rsid w:val="00AF793A"/>
    <w:rsid w:val="00AF7AE4"/>
    <w:rsid w:val="00AF7D0F"/>
    <w:rsid w:val="00AF7D47"/>
    <w:rsid w:val="00AF7FCF"/>
    <w:rsid w:val="00B002A4"/>
    <w:rsid w:val="00B00864"/>
    <w:rsid w:val="00B0089C"/>
    <w:rsid w:val="00B009A0"/>
    <w:rsid w:val="00B00C7B"/>
    <w:rsid w:val="00B00D64"/>
    <w:rsid w:val="00B00F7C"/>
    <w:rsid w:val="00B0115E"/>
    <w:rsid w:val="00B0147D"/>
    <w:rsid w:val="00B01823"/>
    <w:rsid w:val="00B01904"/>
    <w:rsid w:val="00B01A6F"/>
    <w:rsid w:val="00B01CC8"/>
    <w:rsid w:val="00B01E79"/>
    <w:rsid w:val="00B02458"/>
    <w:rsid w:val="00B02522"/>
    <w:rsid w:val="00B02605"/>
    <w:rsid w:val="00B02858"/>
    <w:rsid w:val="00B02AAD"/>
    <w:rsid w:val="00B030F7"/>
    <w:rsid w:val="00B0314B"/>
    <w:rsid w:val="00B03343"/>
    <w:rsid w:val="00B037D0"/>
    <w:rsid w:val="00B03A06"/>
    <w:rsid w:val="00B03E92"/>
    <w:rsid w:val="00B03E95"/>
    <w:rsid w:val="00B040F2"/>
    <w:rsid w:val="00B04239"/>
    <w:rsid w:val="00B042B2"/>
    <w:rsid w:val="00B04631"/>
    <w:rsid w:val="00B04B75"/>
    <w:rsid w:val="00B04C5B"/>
    <w:rsid w:val="00B04CE7"/>
    <w:rsid w:val="00B04E7C"/>
    <w:rsid w:val="00B0500A"/>
    <w:rsid w:val="00B050BE"/>
    <w:rsid w:val="00B05241"/>
    <w:rsid w:val="00B05268"/>
    <w:rsid w:val="00B0544E"/>
    <w:rsid w:val="00B05902"/>
    <w:rsid w:val="00B059D8"/>
    <w:rsid w:val="00B05AAD"/>
    <w:rsid w:val="00B05AAE"/>
    <w:rsid w:val="00B05DC0"/>
    <w:rsid w:val="00B05DF8"/>
    <w:rsid w:val="00B06917"/>
    <w:rsid w:val="00B0698F"/>
    <w:rsid w:val="00B06D04"/>
    <w:rsid w:val="00B07193"/>
    <w:rsid w:val="00B071B7"/>
    <w:rsid w:val="00B0792C"/>
    <w:rsid w:val="00B07BDD"/>
    <w:rsid w:val="00B07C72"/>
    <w:rsid w:val="00B07E5C"/>
    <w:rsid w:val="00B07E76"/>
    <w:rsid w:val="00B07F80"/>
    <w:rsid w:val="00B07FF9"/>
    <w:rsid w:val="00B102C9"/>
    <w:rsid w:val="00B10606"/>
    <w:rsid w:val="00B10A65"/>
    <w:rsid w:val="00B10CD3"/>
    <w:rsid w:val="00B10D12"/>
    <w:rsid w:val="00B10FCD"/>
    <w:rsid w:val="00B1106A"/>
    <w:rsid w:val="00B111AF"/>
    <w:rsid w:val="00B111F2"/>
    <w:rsid w:val="00B11277"/>
    <w:rsid w:val="00B112CC"/>
    <w:rsid w:val="00B11463"/>
    <w:rsid w:val="00B114FA"/>
    <w:rsid w:val="00B11545"/>
    <w:rsid w:val="00B11557"/>
    <w:rsid w:val="00B11607"/>
    <w:rsid w:val="00B11BC1"/>
    <w:rsid w:val="00B11F4A"/>
    <w:rsid w:val="00B121F0"/>
    <w:rsid w:val="00B1262F"/>
    <w:rsid w:val="00B127F2"/>
    <w:rsid w:val="00B12C91"/>
    <w:rsid w:val="00B12EFD"/>
    <w:rsid w:val="00B12FED"/>
    <w:rsid w:val="00B132D8"/>
    <w:rsid w:val="00B13328"/>
    <w:rsid w:val="00B1335B"/>
    <w:rsid w:val="00B1357D"/>
    <w:rsid w:val="00B138B7"/>
    <w:rsid w:val="00B1395F"/>
    <w:rsid w:val="00B13A56"/>
    <w:rsid w:val="00B13B6E"/>
    <w:rsid w:val="00B13D1B"/>
    <w:rsid w:val="00B13D6E"/>
    <w:rsid w:val="00B14025"/>
    <w:rsid w:val="00B141AF"/>
    <w:rsid w:val="00B14362"/>
    <w:rsid w:val="00B144F9"/>
    <w:rsid w:val="00B14585"/>
    <w:rsid w:val="00B14C62"/>
    <w:rsid w:val="00B14DB6"/>
    <w:rsid w:val="00B1515E"/>
    <w:rsid w:val="00B1546E"/>
    <w:rsid w:val="00B154EA"/>
    <w:rsid w:val="00B158A5"/>
    <w:rsid w:val="00B158FE"/>
    <w:rsid w:val="00B15BA6"/>
    <w:rsid w:val="00B15DF8"/>
    <w:rsid w:val="00B16314"/>
    <w:rsid w:val="00B16388"/>
    <w:rsid w:val="00B165E1"/>
    <w:rsid w:val="00B16A1E"/>
    <w:rsid w:val="00B16D0D"/>
    <w:rsid w:val="00B16D35"/>
    <w:rsid w:val="00B17C15"/>
    <w:rsid w:val="00B17C5C"/>
    <w:rsid w:val="00B17E07"/>
    <w:rsid w:val="00B17FAB"/>
    <w:rsid w:val="00B2027D"/>
    <w:rsid w:val="00B20568"/>
    <w:rsid w:val="00B2056D"/>
    <w:rsid w:val="00B2057C"/>
    <w:rsid w:val="00B20B4C"/>
    <w:rsid w:val="00B20DCC"/>
    <w:rsid w:val="00B20E34"/>
    <w:rsid w:val="00B2118D"/>
    <w:rsid w:val="00B211B9"/>
    <w:rsid w:val="00B214DE"/>
    <w:rsid w:val="00B215CE"/>
    <w:rsid w:val="00B21650"/>
    <w:rsid w:val="00B2173E"/>
    <w:rsid w:val="00B21BAF"/>
    <w:rsid w:val="00B21CDD"/>
    <w:rsid w:val="00B21EA0"/>
    <w:rsid w:val="00B21FF1"/>
    <w:rsid w:val="00B220A9"/>
    <w:rsid w:val="00B22314"/>
    <w:rsid w:val="00B2256F"/>
    <w:rsid w:val="00B228E2"/>
    <w:rsid w:val="00B22A21"/>
    <w:rsid w:val="00B22CC6"/>
    <w:rsid w:val="00B23165"/>
    <w:rsid w:val="00B232EE"/>
    <w:rsid w:val="00B2343B"/>
    <w:rsid w:val="00B2374F"/>
    <w:rsid w:val="00B237FC"/>
    <w:rsid w:val="00B23880"/>
    <w:rsid w:val="00B238AC"/>
    <w:rsid w:val="00B23C9B"/>
    <w:rsid w:val="00B23D4C"/>
    <w:rsid w:val="00B2432E"/>
    <w:rsid w:val="00B243BC"/>
    <w:rsid w:val="00B24497"/>
    <w:rsid w:val="00B24E16"/>
    <w:rsid w:val="00B24EC4"/>
    <w:rsid w:val="00B24F8D"/>
    <w:rsid w:val="00B25011"/>
    <w:rsid w:val="00B251AA"/>
    <w:rsid w:val="00B2536C"/>
    <w:rsid w:val="00B2547D"/>
    <w:rsid w:val="00B2583D"/>
    <w:rsid w:val="00B25F4A"/>
    <w:rsid w:val="00B26081"/>
    <w:rsid w:val="00B260D3"/>
    <w:rsid w:val="00B26143"/>
    <w:rsid w:val="00B26A02"/>
    <w:rsid w:val="00B26D43"/>
    <w:rsid w:val="00B26D45"/>
    <w:rsid w:val="00B2741D"/>
    <w:rsid w:val="00B276B8"/>
    <w:rsid w:val="00B27756"/>
    <w:rsid w:val="00B279FA"/>
    <w:rsid w:val="00B27A64"/>
    <w:rsid w:val="00B27A8B"/>
    <w:rsid w:val="00B27B2E"/>
    <w:rsid w:val="00B27BC5"/>
    <w:rsid w:val="00B27FFE"/>
    <w:rsid w:val="00B300D3"/>
    <w:rsid w:val="00B306F8"/>
    <w:rsid w:val="00B30965"/>
    <w:rsid w:val="00B30A3D"/>
    <w:rsid w:val="00B30CAC"/>
    <w:rsid w:val="00B30D41"/>
    <w:rsid w:val="00B30D66"/>
    <w:rsid w:val="00B30EE7"/>
    <w:rsid w:val="00B30F6D"/>
    <w:rsid w:val="00B3120C"/>
    <w:rsid w:val="00B31234"/>
    <w:rsid w:val="00B313A1"/>
    <w:rsid w:val="00B318FE"/>
    <w:rsid w:val="00B321B1"/>
    <w:rsid w:val="00B3228B"/>
    <w:rsid w:val="00B32385"/>
    <w:rsid w:val="00B32C15"/>
    <w:rsid w:val="00B32C4C"/>
    <w:rsid w:val="00B32DED"/>
    <w:rsid w:val="00B32F4B"/>
    <w:rsid w:val="00B338D9"/>
    <w:rsid w:val="00B339CA"/>
    <w:rsid w:val="00B33B78"/>
    <w:rsid w:val="00B33DF8"/>
    <w:rsid w:val="00B33E31"/>
    <w:rsid w:val="00B346DB"/>
    <w:rsid w:val="00B34A10"/>
    <w:rsid w:val="00B34AB1"/>
    <w:rsid w:val="00B34FEC"/>
    <w:rsid w:val="00B352DD"/>
    <w:rsid w:val="00B35425"/>
    <w:rsid w:val="00B35433"/>
    <w:rsid w:val="00B35638"/>
    <w:rsid w:val="00B3565A"/>
    <w:rsid w:val="00B3565C"/>
    <w:rsid w:val="00B35A5E"/>
    <w:rsid w:val="00B35CDA"/>
    <w:rsid w:val="00B365A0"/>
    <w:rsid w:val="00B365AB"/>
    <w:rsid w:val="00B3661C"/>
    <w:rsid w:val="00B36E46"/>
    <w:rsid w:val="00B36E69"/>
    <w:rsid w:val="00B36F2E"/>
    <w:rsid w:val="00B36FCE"/>
    <w:rsid w:val="00B37198"/>
    <w:rsid w:val="00B373C3"/>
    <w:rsid w:val="00B3753E"/>
    <w:rsid w:val="00B376D7"/>
    <w:rsid w:val="00B37835"/>
    <w:rsid w:val="00B37BF1"/>
    <w:rsid w:val="00B37DF4"/>
    <w:rsid w:val="00B37E83"/>
    <w:rsid w:val="00B40040"/>
    <w:rsid w:val="00B401F3"/>
    <w:rsid w:val="00B40383"/>
    <w:rsid w:val="00B404AA"/>
    <w:rsid w:val="00B4059D"/>
    <w:rsid w:val="00B40B26"/>
    <w:rsid w:val="00B40C01"/>
    <w:rsid w:val="00B40C6A"/>
    <w:rsid w:val="00B40F34"/>
    <w:rsid w:val="00B410BF"/>
    <w:rsid w:val="00B4119F"/>
    <w:rsid w:val="00B41290"/>
    <w:rsid w:val="00B4176A"/>
    <w:rsid w:val="00B419D4"/>
    <w:rsid w:val="00B42234"/>
    <w:rsid w:val="00B42357"/>
    <w:rsid w:val="00B42623"/>
    <w:rsid w:val="00B426D7"/>
    <w:rsid w:val="00B427E6"/>
    <w:rsid w:val="00B428C6"/>
    <w:rsid w:val="00B42C70"/>
    <w:rsid w:val="00B42D18"/>
    <w:rsid w:val="00B42D46"/>
    <w:rsid w:val="00B42EF7"/>
    <w:rsid w:val="00B42F13"/>
    <w:rsid w:val="00B42F9D"/>
    <w:rsid w:val="00B430F3"/>
    <w:rsid w:val="00B43338"/>
    <w:rsid w:val="00B43382"/>
    <w:rsid w:val="00B4352F"/>
    <w:rsid w:val="00B4365F"/>
    <w:rsid w:val="00B43848"/>
    <w:rsid w:val="00B4417E"/>
    <w:rsid w:val="00B442C8"/>
    <w:rsid w:val="00B447C2"/>
    <w:rsid w:val="00B44ABF"/>
    <w:rsid w:val="00B44B7C"/>
    <w:rsid w:val="00B45155"/>
    <w:rsid w:val="00B4528E"/>
    <w:rsid w:val="00B45353"/>
    <w:rsid w:val="00B455DD"/>
    <w:rsid w:val="00B45610"/>
    <w:rsid w:val="00B45732"/>
    <w:rsid w:val="00B4588C"/>
    <w:rsid w:val="00B458F7"/>
    <w:rsid w:val="00B45A2F"/>
    <w:rsid w:val="00B45C64"/>
    <w:rsid w:val="00B45C9D"/>
    <w:rsid w:val="00B45E89"/>
    <w:rsid w:val="00B4613C"/>
    <w:rsid w:val="00B4614C"/>
    <w:rsid w:val="00B46246"/>
    <w:rsid w:val="00B46315"/>
    <w:rsid w:val="00B464FD"/>
    <w:rsid w:val="00B46538"/>
    <w:rsid w:val="00B468A5"/>
    <w:rsid w:val="00B46AF4"/>
    <w:rsid w:val="00B46E57"/>
    <w:rsid w:val="00B4707F"/>
    <w:rsid w:val="00B476FD"/>
    <w:rsid w:val="00B47807"/>
    <w:rsid w:val="00B47811"/>
    <w:rsid w:val="00B4797E"/>
    <w:rsid w:val="00B47AE3"/>
    <w:rsid w:val="00B47FED"/>
    <w:rsid w:val="00B500EA"/>
    <w:rsid w:val="00B5038C"/>
    <w:rsid w:val="00B50541"/>
    <w:rsid w:val="00B509E5"/>
    <w:rsid w:val="00B50A2A"/>
    <w:rsid w:val="00B50F10"/>
    <w:rsid w:val="00B50F22"/>
    <w:rsid w:val="00B511A2"/>
    <w:rsid w:val="00B511F7"/>
    <w:rsid w:val="00B5144F"/>
    <w:rsid w:val="00B51669"/>
    <w:rsid w:val="00B519FD"/>
    <w:rsid w:val="00B51AFC"/>
    <w:rsid w:val="00B51BB6"/>
    <w:rsid w:val="00B51BBF"/>
    <w:rsid w:val="00B51CC0"/>
    <w:rsid w:val="00B51E3B"/>
    <w:rsid w:val="00B51FB9"/>
    <w:rsid w:val="00B52687"/>
    <w:rsid w:val="00B526D4"/>
    <w:rsid w:val="00B52D90"/>
    <w:rsid w:val="00B53015"/>
    <w:rsid w:val="00B533B5"/>
    <w:rsid w:val="00B53479"/>
    <w:rsid w:val="00B53494"/>
    <w:rsid w:val="00B5390C"/>
    <w:rsid w:val="00B53AAD"/>
    <w:rsid w:val="00B53B4C"/>
    <w:rsid w:val="00B53F7C"/>
    <w:rsid w:val="00B53FFD"/>
    <w:rsid w:val="00B544CF"/>
    <w:rsid w:val="00B54700"/>
    <w:rsid w:val="00B548B2"/>
    <w:rsid w:val="00B54D95"/>
    <w:rsid w:val="00B54F67"/>
    <w:rsid w:val="00B54F9D"/>
    <w:rsid w:val="00B550E3"/>
    <w:rsid w:val="00B552B4"/>
    <w:rsid w:val="00B55538"/>
    <w:rsid w:val="00B55786"/>
    <w:rsid w:val="00B5603C"/>
    <w:rsid w:val="00B560EE"/>
    <w:rsid w:val="00B56135"/>
    <w:rsid w:val="00B565F1"/>
    <w:rsid w:val="00B5685A"/>
    <w:rsid w:val="00B56D69"/>
    <w:rsid w:val="00B56F1B"/>
    <w:rsid w:val="00B56F3C"/>
    <w:rsid w:val="00B5703B"/>
    <w:rsid w:val="00B57042"/>
    <w:rsid w:val="00B57417"/>
    <w:rsid w:val="00B57628"/>
    <w:rsid w:val="00B576A1"/>
    <w:rsid w:val="00B57A6E"/>
    <w:rsid w:val="00B57ECB"/>
    <w:rsid w:val="00B60351"/>
    <w:rsid w:val="00B61207"/>
    <w:rsid w:val="00B61217"/>
    <w:rsid w:val="00B6135A"/>
    <w:rsid w:val="00B6153B"/>
    <w:rsid w:val="00B61737"/>
    <w:rsid w:val="00B61950"/>
    <w:rsid w:val="00B61A57"/>
    <w:rsid w:val="00B61A8D"/>
    <w:rsid w:val="00B61BC7"/>
    <w:rsid w:val="00B61DFA"/>
    <w:rsid w:val="00B6251A"/>
    <w:rsid w:val="00B628D1"/>
    <w:rsid w:val="00B62A6E"/>
    <w:rsid w:val="00B62BC2"/>
    <w:rsid w:val="00B62D8F"/>
    <w:rsid w:val="00B62ECA"/>
    <w:rsid w:val="00B62F3B"/>
    <w:rsid w:val="00B6335A"/>
    <w:rsid w:val="00B63938"/>
    <w:rsid w:val="00B63C04"/>
    <w:rsid w:val="00B63CB3"/>
    <w:rsid w:val="00B6413C"/>
    <w:rsid w:val="00B64203"/>
    <w:rsid w:val="00B6443B"/>
    <w:rsid w:val="00B647BA"/>
    <w:rsid w:val="00B647EB"/>
    <w:rsid w:val="00B64AB9"/>
    <w:rsid w:val="00B64B26"/>
    <w:rsid w:val="00B64D3A"/>
    <w:rsid w:val="00B6516D"/>
    <w:rsid w:val="00B65200"/>
    <w:rsid w:val="00B65291"/>
    <w:rsid w:val="00B653E7"/>
    <w:rsid w:val="00B656B8"/>
    <w:rsid w:val="00B65A1E"/>
    <w:rsid w:val="00B66053"/>
    <w:rsid w:val="00B662B1"/>
    <w:rsid w:val="00B664B7"/>
    <w:rsid w:val="00B668C8"/>
    <w:rsid w:val="00B66D37"/>
    <w:rsid w:val="00B66DED"/>
    <w:rsid w:val="00B6784C"/>
    <w:rsid w:val="00B67B26"/>
    <w:rsid w:val="00B67F6D"/>
    <w:rsid w:val="00B70158"/>
    <w:rsid w:val="00B702EE"/>
    <w:rsid w:val="00B705B1"/>
    <w:rsid w:val="00B705F9"/>
    <w:rsid w:val="00B70A9C"/>
    <w:rsid w:val="00B70B9C"/>
    <w:rsid w:val="00B70DEE"/>
    <w:rsid w:val="00B70EDA"/>
    <w:rsid w:val="00B70F23"/>
    <w:rsid w:val="00B71062"/>
    <w:rsid w:val="00B71218"/>
    <w:rsid w:val="00B7135B"/>
    <w:rsid w:val="00B714A6"/>
    <w:rsid w:val="00B71543"/>
    <w:rsid w:val="00B71810"/>
    <w:rsid w:val="00B71A53"/>
    <w:rsid w:val="00B71BBC"/>
    <w:rsid w:val="00B71D6A"/>
    <w:rsid w:val="00B7244C"/>
    <w:rsid w:val="00B72AB7"/>
    <w:rsid w:val="00B72C20"/>
    <w:rsid w:val="00B72D69"/>
    <w:rsid w:val="00B72F20"/>
    <w:rsid w:val="00B7315E"/>
    <w:rsid w:val="00B73232"/>
    <w:rsid w:val="00B735FE"/>
    <w:rsid w:val="00B737BB"/>
    <w:rsid w:val="00B73BC3"/>
    <w:rsid w:val="00B73C72"/>
    <w:rsid w:val="00B7419A"/>
    <w:rsid w:val="00B74204"/>
    <w:rsid w:val="00B7422D"/>
    <w:rsid w:val="00B7432F"/>
    <w:rsid w:val="00B7466D"/>
    <w:rsid w:val="00B74B1C"/>
    <w:rsid w:val="00B74D42"/>
    <w:rsid w:val="00B74FEF"/>
    <w:rsid w:val="00B753D9"/>
    <w:rsid w:val="00B7570A"/>
    <w:rsid w:val="00B7580D"/>
    <w:rsid w:val="00B76638"/>
    <w:rsid w:val="00B7677A"/>
    <w:rsid w:val="00B76AD3"/>
    <w:rsid w:val="00B76BD4"/>
    <w:rsid w:val="00B77267"/>
    <w:rsid w:val="00B77981"/>
    <w:rsid w:val="00B77AF0"/>
    <w:rsid w:val="00B77BFC"/>
    <w:rsid w:val="00B77DEB"/>
    <w:rsid w:val="00B803BE"/>
    <w:rsid w:val="00B80B44"/>
    <w:rsid w:val="00B80E1D"/>
    <w:rsid w:val="00B8109B"/>
    <w:rsid w:val="00B811F7"/>
    <w:rsid w:val="00B81280"/>
    <w:rsid w:val="00B812BC"/>
    <w:rsid w:val="00B81542"/>
    <w:rsid w:val="00B8182D"/>
    <w:rsid w:val="00B818E6"/>
    <w:rsid w:val="00B8199D"/>
    <w:rsid w:val="00B819A2"/>
    <w:rsid w:val="00B81D79"/>
    <w:rsid w:val="00B820C7"/>
    <w:rsid w:val="00B82189"/>
    <w:rsid w:val="00B824DD"/>
    <w:rsid w:val="00B82588"/>
    <w:rsid w:val="00B8258A"/>
    <w:rsid w:val="00B829C2"/>
    <w:rsid w:val="00B82F85"/>
    <w:rsid w:val="00B830E3"/>
    <w:rsid w:val="00B83966"/>
    <w:rsid w:val="00B83B39"/>
    <w:rsid w:val="00B83BAC"/>
    <w:rsid w:val="00B83C0B"/>
    <w:rsid w:val="00B83D63"/>
    <w:rsid w:val="00B83DCC"/>
    <w:rsid w:val="00B83F7F"/>
    <w:rsid w:val="00B8419F"/>
    <w:rsid w:val="00B8454B"/>
    <w:rsid w:val="00B84838"/>
    <w:rsid w:val="00B84980"/>
    <w:rsid w:val="00B84F64"/>
    <w:rsid w:val="00B85051"/>
    <w:rsid w:val="00B85478"/>
    <w:rsid w:val="00B856C4"/>
    <w:rsid w:val="00B8583C"/>
    <w:rsid w:val="00B85CE3"/>
    <w:rsid w:val="00B862A7"/>
    <w:rsid w:val="00B863F4"/>
    <w:rsid w:val="00B864B6"/>
    <w:rsid w:val="00B866AC"/>
    <w:rsid w:val="00B866FD"/>
    <w:rsid w:val="00B86BFE"/>
    <w:rsid w:val="00B86CDF"/>
    <w:rsid w:val="00B86D3F"/>
    <w:rsid w:val="00B86D82"/>
    <w:rsid w:val="00B8705B"/>
    <w:rsid w:val="00B8726C"/>
    <w:rsid w:val="00B872CC"/>
    <w:rsid w:val="00B875E3"/>
    <w:rsid w:val="00B879E1"/>
    <w:rsid w:val="00B87A9B"/>
    <w:rsid w:val="00B87C93"/>
    <w:rsid w:val="00B87CB7"/>
    <w:rsid w:val="00B87CD0"/>
    <w:rsid w:val="00B87CE6"/>
    <w:rsid w:val="00B87E18"/>
    <w:rsid w:val="00B87FAB"/>
    <w:rsid w:val="00B904D1"/>
    <w:rsid w:val="00B908E7"/>
    <w:rsid w:val="00B90C90"/>
    <w:rsid w:val="00B90CD9"/>
    <w:rsid w:val="00B917C3"/>
    <w:rsid w:val="00B91872"/>
    <w:rsid w:val="00B91B63"/>
    <w:rsid w:val="00B91BD1"/>
    <w:rsid w:val="00B91DA0"/>
    <w:rsid w:val="00B9207C"/>
    <w:rsid w:val="00B921E6"/>
    <w:rsid w:val="00B92526"/>
    <w:rsid w:val="00B92B94"/>
    <w:rsid w:val="00B93262"/>
    <w:rsid w:val="00B93343"/>
    <w:rsid w:val="00B93370"/>
    <w:rsid w:val="00B9339D"/>
    <w:rsid w:val="00B93854"/>
    <w:rsid w:val="00B938A7"/>
    <w:rsid w:val="00B939A3"/>
    <w:rsid w:val="00B93A30"/>
    <w:rsid w:val="00B940B4"/>
    <w:rsid w:val="00B942F7"/>
    <w:rsid w:val="00B9458C"/>
    <w:rsid w:val="00B948EB"/>
    <w:rsid w:val="00B94903"/>
    <w:rsid w:val="00B94950"/>
    <w:rsid w:val="00B94B5B"/>
    <w:rsid w:val="00B94BC8"/>
    <w:rsid w:val="00B94E13"/>
    <w:rsid w:val="00B95529"/>
    <w:rsid w:val="00B956D7"/>
    <w:rsid w:val="00B956E6"/>
    <w:rsid w:val="00B95C5E"/>
    <w:rsid w:val="00B95D18"/>
    <w:rsid w:val="00B95E00"/>
    <w:rsid w:val="00B95F84"/>
    <w:rsid w:val="00B96735"/>
    <w:rsid w:val="00B96963"/>
    <w:rsid w:val="00B96AB8"/>
    <w:rsid w:val="00B96BE2"/>
    <w:rsid w:val="00B96CB5"/>
    <w:rsid w:val="00B96E09"/>
    <w:rsid w:val="00B96F28"/>
    <w:rsid w:val="00B96FB6"/>
    <w:rsid w:val="00B97103"/>
    <w:rsid w:val="00B97734"/>
    <w:rsid w:val="00B9783C"/>
    <w:rsid w:val="00B97A39"/>
    <w:rsid w:val="00B97A71"/>
    <w:rsid w:val="00B97A80"/>
    <w:rsid w:val="00B97B43"/>
    <w:rsid w:val="00B97CE6"/>
    <w:rsid w:val="00BA0356"/>
    <w:rsid w:val="00BA048E"/>
    <w:rsid w:val="00BA04BC"/>
    <w:rsid w:val="00BA0534"/>
    <w:rsid w:val="00BA0919"/>
    <w:rsid w:val="00BA0A59"/>
    <w:rsid w:val="00BA0C45"/>
    <w:rsid w:val="00BA0DD8"/>
    <w:rsid w:val="00BA1348"/>
    <w:rsid w:val="00BA15A2"/>
    <w:rsid w:val="00BA168F"/>
    <w:rsid w:val="00BA17AC"/>
    <w:rsid w:val="00BA17E5"/>
    <w:rsid w:val="00BA1961"/>
    <w:rsid w:val="00BA1A80"/>
    <w:rsid w:val="00BA1B2F"/>
    <w:rsid w:val="00BA1B8D"/>
    <w:rsid w:val="00BA1D99"/>
    <w:rsid w:val="00BA1E34"/>
    <w:rsid w:val="00BA210B"/>
    <w:rsid w:val="00BA231E"/>
    <w:rsid w:val="00BA2660"/>
    <w:rsid w:val="00BA26B1"/>
    <w:rsid w:val="00BA27A8"/>
    <w:rsid w:val="00BA28EE"/>
    <w:rsid w:val="00BA31DA"/>
    <w:rsid w:val="00BA34A6"/>
    <w:rsid w:val="00BA3620"/>
    <w:rsid w:val="00BA385C"/>
    <w:rsid w:val="00BA386F"/>
    <w:rsid w:val="00BA39C8"/>
    <w:rsid w:val="00BA3F0D"/>
    <w:rsid w:val="00BA41A0"/>
    <w:rsid w:val="00BA4330"/>
    <w:rsid w:val="00BA49BA"/>
    <w:rsid w:val="00BA4A8B"/>
    <w:rsid w:val="00BA4B9E"/>
    <w:rsid w:val="00BA4C45"/>
    <w:rsid w:val="00BA4E16"/>
    <w:rsid w:val="00BA50CF"/>
    <w:rsid w:val="00BA52E4"/>
    <w:rsid w:val="00BA54F9"/>
    <w:rsid w:val="00BA553A"/>
    <w:rsid w:val="00BA5790"/>
    <w:rsid w:val="00BA58FD"/>
    <w:rsid w:val="00BA593B"/>
    <w:rsid w:val="00BA5974"/>
    <w:rsid w:val="00BA5C00"/>
    <w:rsid w:val="00BA5D25"/>
    <w:rsid w:val="00BA5DC6"/>
    <w:rsid w:val="00BA6059"/>
    <w:rsid w:val="00BA6140"/>
    <w:rsid w:val="00BA6189"/>
    <w:rsid w:val="00BA6196"/>
    <w:rsid w:val="00BA6234"/>
    <w:rsid w:val="00BA6250"/>
    <w:rsid w:val="00BA67FA"/>
    <w:rsid w:val="00BA6B0E"/>
    <w:rsid w:val="00BA6B68"/>
    <w:rsid w:val="00BA6EAD"/>
    <w:rsid w:val="00BA7121"/>
    <w:rsid w:val="00BA714E"/>
    <w:rsid w:val="00BA717E"/>
    <w:rsid w:val="00BA7408"/>
    <w:rsid w:val="00BA750B"/>
    <w:rsid w:val="00BA75F3"/>
    <w:rsid w:val="00BA7B45"/>
    <w:rsid w:val="00BA7CFE"/>
    <w:rsid w:val="00BA7F59"/>
    <w:rsid w:val="00BB0161"/>
    <w:rsid w:val="00BB0254"/>
    <w:rsid w:val="00BB099E"/>
    <w:rsid w:val="00BB0A52"/>
    <w:rsid w:val="00BB0BA5"/>
    <w:rsid w:val="00BB0CD1"/>
    <w:rsid w:val="00BB0E03"/>
    <w:rsid w:val="00BB120A"/>
    <w:rsid w:val="00BB121C"/>
    <w:rsid w:val="00BB14C9"/>
    <w:rsid w:val="00BB1899"/>
    <w:rsid w:val="00BB1B81"/>
    <w:rsid w:val="00BB1C6B"/>
    <w:rsid w:val="00BB1F8D"/>
    <w:rsid w:val="00BB21ED"/>
    <w:rsid w:val="00BB2243"/>
    <w:rsid w:val="00BB268C"/>
    <w:rsid w:val="00BB2B98"/>
    <w:rsid w:val="00BB2DF2"/>
    <w:rsid w:val="00BB2E78"/>
    <w:rsid w:val="00BB2E93"/>
    <w:rsid w:val="00BB30F0"/>
    <w:rsid w:val="00BB3196"/>
    <w:rsid w:val="00BB33D3"/>
    <w:rsid w:val="00BB342A"/>
    <w:rsid w:val="00BB3544"/>
    <w:rsid w:val="00BB37BE"/>
    <w:rsid w:val="00BB3A30"/>
    <w:rsid w:val="00BB4782"/>
    <w:rsid w:val="00BB4C69"/>
    <w:rsid w:val="00BB4F7A"/>
    <w:rsid w:val="00BB4FE5"/>
    <w:rsid w:val="00BB509A"/>
    <w:rsid w:val="00BB50CC"/>
    <w:rsid w:val="00BB5310"/>
    <w:rsid w:val="00BB536B"/>
    <w:rsid w:val="00BB537B"/>
    <w:rsid w:val="00BB54F7"/>
    <w:rsid w:val="00BB5516"/>
    <w:rsid w:val="00BB55F7"/>
    <w:rsid w:val="00BB56D9"/>
    <w:rsid w:val="00BB5AA2"/>
    <w:rsid w:val="00BB5AB0"/>
    <w:rsid w:val="00BB5CE9"/>
    <w:rsid w:val="00BB5DB2"/>
    <w:rsid w:val="00BB6100"/>
    <w:rsid w:val="00BB648A"/>
    <w:rsid w:val="00BB66E7"/>
    <w:rsid w:val="00BB68CA"/>
    <w:rsid w:val="00BB6965"/>
    <w:rsid w:val="00BB6B60"/>
    <w:rsid w:val="00BB6BFA"/>
    <w:rsid w:val="00BB6DD9"/>
    <w:rsid w:val="00BB6FCF"/>
    <w:rsid w:val="00BB7183"/>
    <w:rsid w:val="00BB71AE"/>
    <w:rsid w:val="00BB73DD"/>
    <w:rsid w:val="00BB751B"/>
    <w:rsid w:val="00BB75D1"/>
    <w:rsid w:val="00BB7606"/>
    <w:rsid w:val="00BB7935"/>
    <w:rsid w:val="00BB7B52"/>
    <w:rsid w:val="00BB7EAA"/>
    <w:rsid w:val="00BC0191"/>
    <w:rsid w:val="00BC01C0"/>
    <w:rsid w:val="00BC01D8"/>
    <w:rsid w:val="00BC0783"/>
    <w:rsid w:val="00BC0839"/>
    <w:rsid w:val="00BC0A11"/>
    <w:rsid w:val="00BC0AD5"/>
    <w:rsid w:val="00BC0B12"/>
    <w:rsid w:val="00BC0B49"/>
    <w:rsid w:val="00BC0DB4"/>
    <w:rsid w:val="00BC0E55"/>
    <w:rsid w:val="00BC1011"/>
    <w:rsid w:val="00BC10F9"/>
    <w:rsid w:val="00BC130F"/>
    <w:rsid w:val="00BC1413"/>
    <w:rsid w:val="00BC14C0"/>
    <w:rsid w:val="00BC1654"/>
    <w:rsid w:val="00BC165F"/>
    <w:rsid w:val="00BC1899"/>
    <w:rsid w:val="00BC18FE"/>
    <w:rsid w:val="00BC1A9D"/>
    <w:rsid w:val="00BC1C9C"/>
    <w:rsid w:val="00BC22E7"/>
    <w:rsid w:val="00BC23D6"/>
    <w:rsid w:val="00BC2755"/>
    <w:rsid w:val="00BC2784"/>
    <w:rsid w:val="00BC279A"/>
    <w:rsid w:val="00BC286C"/>
    <w:rsid w:val="00BC29E6"/>
    <w:rsid w:val="00BC2EC3"/>
    <w:rsid w:val="00BC306C"/>
    <w:rsid w:val="00BC3130"/>
    <w:rsid w:val="00BC35F5"/>
    <w:rsid w:val="00BC3A3B"/>
    <w:rsid w:val="00BC3A9D"/>
    <w:rsid w:val="00BC3C7D"/>
    <w:rsid w:val="00BC3F27"/>
    <w:rsid w:val="00BC4108"/>
    <w:rsid w:val="00BC4207"/>
    <w:rsid w:val="00BC435D"/>
    <w:rsid w:val="00BC445F"/>
    <w:rsid w:val="00BC44B5"/>
    <w:rsid w:val="00BC44C8"/>
    <w:rsid w:val="00BC44CA"/>
    <w:rsid w:val="00BC4588"/>
    <w:rsid w:val="00BC45A5"/>
    <w:rsid w:val="00BC4674"/>
    <w:rsid w:val="00BC482A"/>
    <w:rsid w:val="00BC4D38"/>
    <w:rsid w:val="00BC512F"/>
    <w:rsid w:val="00BC52C8"/>
    <w:rsid w:val="00BC532F"/>
    <w:rsid w:val="00BC5566"/>
    <w:rsid w:val="00BC5B96"/>
    <w:rsid w:val="00BC6070"/>
    <w:rsid w:val="00BC676F"/>
    <w:rsid w:val="00BC68ED"/>
    <w:rsid w:val="00BC6945"/>
    <w:rsid w:val="00BC6994"/>
    <w:rsid w:val="00BC6D85"/>
    <w:rsid w:val="00BC6D8C"/>
    <w:rsid w:val="00BC6EAC"/>
    <w:rsid w:val="00BC6FDE"/>
    <w:rsid w:val="00BC6FFD"/>
    <w:rsid w:val="00BC71AD"/>
    <w:rsid w:val="00BC73CA"/>
    <w:rsid w:val="00BC763C"/>
    <w:rsid w:val="00BC790C"/>
    <w:rsid w:val="00BC7AF2"/>
    <w:rsid w:val="00BC7B45"/>
    <w:rsid w:val="00BC7B54"/>
    <w:rsid w:val="00BC7F95"/>
    <w:rsid w:val="00BD0363"/>
    <w:rsid w:val="00BD086D"/>
    <w:rsid w:val="00BD0BA4"/>
    <w:rsid w:val="00BD0DEA"/>
    <w:rsid w:val="00BD1043"/>
    <w:rsid w:val="00BD10FC"/>
    <w:rsid w:val="00BD120B"/>
    <w:rsid w:val="00BD135A"/>
    <w:rsid w:val="00BD14F3"/>
    <w:rsid w:val="00BD1546"/>
    <w:rsid w:val="00BD1A26"/>
    <w:rsid w:val="00BD1C3C"/>
    <w:rsid w:val="00BD1C9F"/>
    <w:rsid w:val="00BD1E8C"/>
    <w:rsid w:val="00BD1F66"/>
    <w:rsid w:val="00BD2046"/>
    <w:rsid w:val="00BD2076"/>
    <w:rsid w:val="00BD216B"/>
    <w:rsid w:val="00BD239B"/>
    <w:rsid w:val="00BD271A"/>
    <w:rsid w:val="00BD2F88"/>
    <w:rsid w:val="00BD2FF2"/>
    <w:rsid w:val="00BD3012"/>
    <w:rsid w:val="00BD3387"/>
    <w:rsid w:val="00BD35A5"/>
    <w:rsid w:val="00BD361B"/>
    <w:rsid w:val="00BD3894"/>
    <w:rsid w:val="00BD39D4"/>
    <w:rsid w:val="00BD3F94"/>
    <w:rsid w:val="00BD40C2"/>
    <w:rsid w:val="00BD40CA"/>
    <w:rsid w:val="00BD415D"/>
    <w:rsid w:val="00BD4539"/>
    <w:rsid w:val="00BD4DC7"/>
    <w:rsid w:val="00BD4FB8"/>
    <w:rsid w:val="00BD53FF"/>
    <w:rsid w:val="00BD5598"/>
    <w:rsid w:val="00BD579C"/>
    <w:rsid w:val="00BD5D4A"/>
    <w:rsid w:val="00BD5E59"/>
    <w:rsid w:val="00BD60C7"/>
    <w:rsid w:val="00BD610C"/>
    <w:rsid w:val="00BD6583"/>
    <w:rsid w:val="00BD6638"/>
    <w:rsid w:val="00BD6700"/>
    <w:rsid w:val="00BD6743"/>
    <w:rsid w:val="00BD6845"/>
    <w:rsid w:val="00BD6A2B"/>
    <w:rsid w:val="00BD6AE5"/>
    <w:rsid w:val="00BD6B5C"/>
    <w:rsid w:val="00BD6E00"/>
    <w:rsid w:val="00BD6ED6"/>
    <w:rsid w:val="00BD6F27"/>
    <w:rsid w:val="00BD7508"/>
    <w:rsid w:val="00BD765F"/>
    <w:rsid w:val="00BD7665"/>
    <w:rsid w:val="00BD7FB0"/>
    <w:rsid w:val="00BE0122"/>
    <w:rsid w:val="00BE0C34"/>
    <w:rsid w:val="00BE0E46"/>
    <w:rsid w:val="00BE11A4"/>
    <w:rsid w:val="00BE12CE"/>
    <w:rsid w:val="00BE1378"/>
    <w:rsid w:val="00BE1428"/>
    <w:rsid w:val="00BE1448"/>
    <w:rsid w:val="00BE17CD"/>
    <w:rsid w:val="00BE17F4"/>
    <w:rsid w:val="00BE1952"/>
    <w:rsid w:val="00BE1B76"/>
    <w:rsid w:val="00BE1C46"/>
    <w:rsid w:val="00BE1D2E"/>
    <w:rsid w:val="00BE1E54"/>
    <w:rsid w:val="00BE1EC7"/>
    <w:rsid w:val="00BE255B"/>
    <w:rsid w:val="00BE2B46"/>
    <w:rsid w:val="00BE2C0E"/>
    <w:rsid w:val="00BE3207"/>
    <w:rsid w:val="00BE3287"/>
    <w:rsid w:val="00BE37EF"/>
    <w:rsid w:val="00BE3879"/>
    <w:rsid w:val="00BE3930"/>
    <w:rsid w:val="00BE3AFA"/>
    <w:rsid w:val="00BE3BAC"/>
    <w:rsid w:val="00BE3D20"/>
    <w:rsid w:val="00BE3D86"/>
    <w:rsid w:val="00BE3F46"/>
    <w:rsid w:val="00BE4175"/>
    <w:rsid w:val="00BE450D"/>
    <w:rsid w:val="00BE4720"/>
    <w:rsid w:val="00BE4AE6"/>
    <w:rsid w:val="00BE4B09"/>
    <w:rsid w:val="00BE4CBC"/>
    <w:rsid w:val="00BE5022"/>
    <w:rsid w:val="00BE50B3"/>
    <w:rsid w:val="00BE50D8"/>
    <w:rsid w:val="00BE511B"/>
    <w:rsid w:val="00BE5179"/>
    <w:rsid w:val="00BE52B5"/>
    <w:rsid w:val="00BE5590"/>
    <w:rsid w:val="00BE55F4"/>
    <w:rsid w:val="00BE5989"/>
    <w:rsid w:val="00BE5CFD"/>
    <w:rsid w:val="00BE602E"/>
    <w:rsid w:val="00BE6035"/>
    <w:rsid w:val="00BE6452"/>
    <w:rsid w:val="00BE6472"/>
    <w:rsid w:val="00BE6525"/>
    <w:rsid w:val="00BE69DF"/>
    <w:rsid w:val="00BE6F1E"/>
    <w:rsid w:val="00BE6F3E"/>
    <w:rsid w:val="00BE7108"/>
    <w:rsid w:val="00BE777D"/>
    <w:rsid w:val="00BE77FF"/>
    <w:rsid w:val="00BE7854"/>
    <w:rsid w:val="00BE78CA"/>
    <w:rsid w:val="00BE78D2"/>
    <w:rsid w:val="00BE7AA2"/>
    <w:rsid w:val="00BE7B3B"/>
    <w:rsid w:val="00BE7FE1"/>
    <w:rsid w:val="00BF00E9"/>
    <w:rsid w:val="00BF01DF"/>
    <w:rsid w:val="00BF0226"/>
    <w:rsid w:val="00BF08AF"/>
    <w:rsid w:val="00BF09B5"/>
    <w:rsid w:val="00BF0CDE"/>
    <w:rsid w:val="00BF10F0"/>
    <w:rsid w:val="00BF151F"/>
    <w:rsid w:val="00BF258A"/>
    <w:rsid w:val="00BF2644"/>
    <w:rsid w:val="00BF2749"/>
    <w:rsid w:val="00BF2A6C"/>
    <w:rsid w:val="00BF2CCE"/>
    <w:rsid w:val="00BF2FF4"/>
    <w:rsid w:val="00BF320D"/>
    <w:rsid w:val="00BF32C0"/>
    <w:rsid w:val="00BF342E"/>
    <w:rsid w:val="00BF34F7"/>
    <w:rsid w:val="00BF37B0"/>
    <w:rsid w:val="00BF3CB9"/>
    <w:rsid w:val="00BF3EC7"/>
    <w:rsid w:val="00BF413D"/>
    <w:rsid w:val="00BF4182"/>
    <w:rsid w:val="00BF42C7"/>
    <w:rsid w:val="00BF4377"/>
    <w:rsid w:val="00BF4424"/>
    <w:rsid w:val="00BF44ED"/>
    <w:rsid w:val="00BF49C0"/>
    <w:rsid w:val="00BF4B5A"/>
    <w:rsid w:val="00BF4B8D"/>
    <w:rsid w:val="00BF4FFD"/>
    <w:rsid w:val="00BF5408"/>
    <w:rsid w:val="00BF5746"/>
    <w:rsid w:val="00BF5956"/>
    <w:rsid w:val="00BF5E63"/>
    <w:rsid w:val="00BF5EB6"/>
    <w:rsid w:val="00BF5F32"/>
    <w:rsid w:val="00BF5FA5"/>
    <w:rsid w:val="00BF603D"/>
    <w:rsid w:val="00BF6135"/>
    <w:rsid w:val="00BF6164"/>
    <w:rsid w:val="00BF62F5"/>
    <w:rsid w:val="00BF698F"/>
    <w:rsid w:val="00BF6BD4"/>
    <w:rsid w:val="00BF6FA1"/>
    <w:rsid w:val="00BF70D6"/>
    <w:rsid w:val="00BF719F"/>
    <w:rsid w:val="00BF7259"/>
    <w:rsid w:val="00BF7487"/>
    <w:rsid w:val="00BF7640"/>
    <w:rsid w:val="00C0009D"/>
    <w:rsid w:val="00C002E4"/>
    <w:rsid w:val="00C0039F"/>
    <w:rsid w:val="00C003A3"/>
    <w:rsid w:val="00C005DA"/>
    <w:rsid w:val="00C00D29"/>
    <w:rsid w:val="00C00FF9"/>
    <w:rsid w:val="00C01117"/>
    <w:rsid w:val="00C01287"/>
    <w:rsid w:val="00C01447"/>
    <w:rsid w:val="00C019DB"/>
    <w:rsid w:val="00C01D96"/>
    <w:rsid w:val="00C0220B"/>
    <w:rsid w:val="00C025FB"/>
    <w:rsid w:val="00C0280D"/>
    <w:rsid w:val="00C0299C"/>
    <w:rsid w:val="00C02A78"/>
    <w:rsid w:val="00C02C1C"/>
    <w:rsid w:val="00C02E23"/>
    <w:rsid w:val="00C02EFF"/>
    <w:rsid w:val="00C0304B"/>
    <w:rsid w:val="00C03078"/>
    <w:rsid w:val="00C031F1"/>
    <w:rsid w:val="00C0334A"/>
    <w:rsid w:val="00C039DA"/>
    <w:rsid w:val="00C03A6F"/>
    <w:rsid w:val="00C03AB2"/>
    <w:rsid w:val="00C03BE5"/>
    <w:rsid w:val="00C03C1D"/>
    <w:rsid w:val="00C043FF"/>
    <w:rsid w:val="00C04A90"/>
    <w:rsid w:val="00C04AFA"/>
    <w:rsid w:val="00C04BA7"/>
    <w:rsid w:val="00C04D50"/>
    <w:rsid w:val="00C04D60"/>
    <w:rsid w:val="00C04FBE"/>
    <w:rsid w:val="00C05B2F"/>
    <w:rsid w:val="00C05DC6"/>
    <w:rsid w:val="00C0607F"/>
    <w:rsid w:val="00C0647F"/>
    <w:rsid w:val="00C06612"/>
    <w:rsid w:val="00C066B9"/>
    <w:rsid w:val="00C0674B"/>
    <w:rsid w:val="00C067AE"/>
    <w:rsid w:val="00C07082"/>
    <w:rsid w:val="00C070E1"/>
    <w:rsid w:val="00C074C4"/>
    <w:rsid w:val="00C0755D"/>
    <w:rsid w:val="00C07936"/>
    <w:rsid w:val="00C07B68"/>
    <w:rsid w:val="00C07C13"/>
    <w:rsid w:val="00C07F8C"/>
    <w:rsid w:val="00C10CD7"/>
    <w:rsid w:val="00C10EAE"/>
    <w:rsid w:val="00C118C0"/>
    <w:rsid w:val="00C11CDD"/>
    <w:rsid w:val="00C11D00"/>
    <w:rsid w:val="00C121BF"/>
    <w:rsid w:val="00C12322"/>
    <w:rsid w:val="00C1268C"/>
    <w:rsid w:val="00C12A62"/>
    <w:rsid w:val="00C12A7B"/>
    <w:rsid w:val="00C12ABD"/>
    <w:rsid w:val="00C12AC1"/>
    <w:rsid w:val="00C13007"/>
    <w:rsid w:val="00C13EB9"/>
    <w:rsid w:val="00C13EE9"/>
    <w:rsid w:val="00C140B6"/>
    <w:rsid w:val="00C14526"/>
    <w:rsid w:val="00C145F0"/>
    <w:rsid w:val="00C146A2"/>
    <w:rsid w:val="00C148EA"/>
    <w:rsid w:val="00C149D9"/>
    <w:rsid w:val="00C14E8E"/>
    <w:rsid w:val="00C14F1E"/>
    <w:rsid w:val="00C14F38"/>
    <w:rsid w:val="00C1504B"/>
    <w:rsid w:val="00C15303"/>
    <w:rsid w:val="00C153C2"/>
    <w:rsid w:val="00C15A08"/>
    <w:rsid w:val="00C15B83"/>
    <w:rsid w:val="00C15CB1"/>
    <w:rsid w:val="00C15DAB"/>
    <w:rsid w:val="00C16136"/>
    <w:rsid w:val="00C1628A"/>
    <w:rsid w:val="00C163B4"/>
    <w:rsid w:val="00C1664E"/>
    <w:rsid w:val="00C16828"/>
    <w:rsid w:val="00C16BAD"/>
    <w:rsid w:val="00C16C02"/>
    <w:rsid w:val="00C17032"/>
    <w:rsid w:val="00C1706F"/>
    <w:rsid w:val="00C171EB"/>
    <w:rsid w:val="00C17235"/>
    <w:rsid w:val="00C17377"/>
    <w:rsid w:val="00C174DE"/>
    <w:rsid w:val="00C17543"/>
    <w:rsid w:val="00C17777"/>
    <w:rsid w:val="00C179EE"/>
    <w:rsid w:val="00C17B8C"/>
    <w:rsid w:val="00C17D0D"/>
    <w:rsid w:val="00C17E63"/>
    <w:rsid w:val="00C2003A"/>
    <w:rsid w:val="00C200FE"/>
    <w:rsid w:val="00C2060B"/>
    <w:rsid w:val="00C208B1"/>
    <w:rsid w:val="00C20AAD"/>
    <w:rsid w:val="00C20D85"/>
    <w:rsid w:val="00C20E75"/>
    <w:rsid w:val="00C214D1"/>
    <w:rsid w:val="00C21694"/>
    <w:rsid w:val="00C217C3"/>
    <w:rsid w:val="00C217E6"/>
    <w:rsid w:val="00C21883"/>
    <w:rsid w:val="00C21CED"/>
    <w:rsid w:val="00C2216A"/>
    <w:rsid w:val="00C221B5"/>
    <w:rsid w:val="00C2232B"/>
    <w:rsid w:val="00C22730"/>
    <w:rsid w:val="00C228DC"/>
    <w:rsid w:val="00C22A6B"/>
    <w:rsid w:val="00C22A9E"/>
    <w:rsid w:val="00C22CCC"/>
    <w:rsid w:val="00C22E95"/>
    <w:rsid w:val="00C23354"/>
    <w:rsid w:val="00C236B5"/>
    <w:rsid w:val="00C236C1"/>
    <w:rsid w:val="00C2372B"/>
    <w:rsid w:val="00C23999"/>
    <w:rsid w:val="00C23AD4"/>
    <w:rsid w:val="00C23EB4"/>
    <w:rsid w:val="00C243AB"/>
    <w:rsid w:val="00C243C7"/>
    <w:rsid w:val="00C2456E"/>
    <w:rsid w:val="00C246EA"/>
    <w:rsid w:val="00C24899"/>
    <w:rsid w:val="00C2498C"/>
    <w:rsid w:val="00C24C2A"/>
    <w:rsid w:val="00C2502A"/>
    <w:rsid w:val="00C25596"/>
    <w:rsid w:val="00C25757"/>
    <w:rsid w:val="00C25CDE"/>
    <w:rsid w:val="00C25E6A"/>
    <w:rsid w:val="00C2644E"/>
    <w:rsid w:val="00C265A5"/>
    <w:rsid w:val="00C266F2"/>
    <w:rsid w:val="00C267A2"/>
    <w:rsid w:val="00C26848"/>
    <w:rsid w:val="00C26C57"/>
    <w:rsid w:val="00C2741C"/>
    <w:rsid w:val="00C2790E"/>
    <w:rsid w:val="00C27986"/>
    <w:rsid w:val="00C27D13"/>
    <w:rsid w:val="00C27D6F"/>
    <w:rsid w:val="00C27DE1"/>
    <w:rsid w:val="00C27F66"/>
    <w:rsid w:val="00C30223"/>
    <w:rsid w:val="00C309CF"/>
    <w:rsid w:val="00C31002"/>
    <w:rsid w:val="00C313B6"/>
    <w:rsid w:val="00C31553"/>
    <w:rsid w:val="00C3156B"/>
    <w:rsid w:val="00C31930"/>
    <w:rsid w:val="00C319EE"/>
    <w:rsid w:val="00C3238C"/>
    <w:rsid w:val="00C323D1"/>
    <w:rsid w:val="00C3283B"/>
    <w:rsid w:val="00C32878"/>
    <w:rsid w:val="00C329EF"/>
    <w:rsid w:val="00C32A9C"/>
    <w:rsid w:val="00C32CC4"/>
    <w:rsid w:val="00C33023"/>
    <w:rsid w:val="00C33346"/>
    <w:rsid w:val="00C33376"/>
    <w:rsid w:val="00C3375B"/>
    <w:rsid w:val="00C33950"/>
    <w:rsid w:val="00C33A66"/>
    <w:rsid w:val="00C33AB8"/>
    <w:rsid w:val="00C33D43"/>
    <w:rsid w:val="00C33E39"/>
    <w:rsid w:val="00C33F7B"/>
    <w:rsid w:val="00C34006"/>
    <w:rsid w:val="00C34038"/>
    <w:rsid w:val="00C340E2"/>
    <w:rsid w:val="00C342A7"/>
    <w:rsid w:val="00C3433F"/>
    <w:rsid w:val="00C343AD"/>
    <w:rsid w:val="00C345AC"/>
    <w:rsid w:val="00C348E4"/>
    <w:rsid w:val="00C34BEE"/>
    <w:rsid w:val="00C354CE"/>
    <w:rsid w:val="00C3560B"/>
    <w:rsid w:val="00C3594E"/>
    <w:rsid w:val="00C35972"/>
    <w:rsid w:val="00C35AC2"/>
    <w:rsid w:val="00C35B45"/>
    <w:rsid w:val="00C35E69"/>
    <w:rsid w:val="00C36520"/>
    <w:rsid w:val="00C366E3"/>
    <w:rsid w:val="00C36895"/>
    <w:rsid w:val="00C36962"/>
    <w:rsid w:val="00C369E7"/>
    <w:rsid w:val="00C36B4C"/>
    <w:rsid w:val="00C36C14"/>
    <w:rsid w:val="00C371CE"/>
    <w:rsid w:val="00C3741B"/>
    <w:rsid w:val="00C374E3"/>
    <w:rsid w:val="00C37757"/>
    <w:rsid w:val="00C37849"/>
    <w:rsid w:val="00C37D9B"/>
    <w:rsid w:val="00C37EAD"/>
    <w:rsid w:val="00C37F23"/>
    <w:rsid w:val="00C40345"/>
    <w:rsid w:val="00C40841"/>
    <w:rsid w:val="00C40957"/>
    <w:rsid w:val="00C40D0B"/>
    <w:rsid w:val="00C41037"/>
    <w:rsid w:val="00C41652"/>
    <w:rsid w:val="00C417BF"/>
    <w:rsid w:val="00C418A9"/>
    <w:rsid w:val="00C41BDA"/>
    <w:rsid w:val="00C41C26"/>
    <w:rsid w:val="00C42275"/>
    <w:rsid w:val="00C424BE"/>
    <w:rsid w:val="00C426B1"/>
    <w:rsid w:val="00C42A69"/>
    <w:rsid w:val="00C42C1A"/>
    <w:rsid w:val="00C432B2"/>
    <w:rsid w:val="00C43365"/>
    <w:rsid w:val="00C4362A"/>
    <w:rsid w:val="00C43701"/>
    <w:rsid w:val="00C43E00"/>
    <w:rsid w:val="00C44268"/>
    <w:rsid w:val="00C44839"/>
    <w:rsid w:val="00C44853"/>
    <w:rsid w:val="00C4506A"/>
    <w:rsid w:val="00C451E3"/>
    <w:rsid w:val="00C45412"/>
    <w:rsid w:val="00C45562"/>
    <w:rsid w:val="00C455A0"/>
    <w:rsid w:val="00C4570F"/>
    <w:rsid w:val="00C4592C"/>
    <w:rsid w:val="00C45A22"/>
    <w:rsid w:val="00C45A8F"/>
    <w:rsid w:val="00C45AD3"/>
    <w:rsid w:val="00C45EC6"/>
    <w:rsid w:val="00C46015"/>
    <w:rsid w:val="00C460E4"/>
    <w:rsid w:val="00C46124"/>
    <w:rsid w:val="00C46373"/>
    <w:rsid w:val="00C46440"/>
    <w:rsid w:val="00C464E1"/>
    <w:rsid w:val="00C46BFE"/>
    <w:rsid w:val="00C46E31"/>
    <w:rsid w:val="00C4721F"/>
    <w:rsid w:val="00C4737F"/>
    <w:rsid w:val="00C473DA"/>
    <w:rsid w:val="00C478EF"/>
    <w:rsid w:val="00C4799B"/>
    <w:rsid w:val="00C47ED3"/>
    <w:rsid w:val="00C5003B"/>
    <w:rsid w:val="00C5023F"/>
    <w:rsid w:val="00C50281"/>
    <w:rsid w:val="00C5045C"/>
    <w:rsid w:val="00C504BC"/>
    <w:rsid w:val="00C50502"/>
    <w:rsid w:val="00C505EB"/>
    <w:rsid w:val="00C50683"/>
    <w:rsid w:val="00C5079A"/>
    <w:rsid w:val="00C508DA"/>
    <w:rsid w:val="00C50CB4"/>
    <w:rsid w:val="00C50D7C"/>
    <w:rsid w:val="00C50E37"/>
    <w:rsid w:val="00C510F4"/>
    <w:rsid w:val="00C51121"/>
    <w:rsid w:val="00C51F92"/>
    <w:rsid w:val="00C520D4"/>
    <w:rsid w:val="00C522DE"/>
    <w:rsid w:val="00C5296E"/>
    <w:rsid w:val="00C52F00"/>
    <w:rsid w:val="00C53016"/>
    <w:rsid w:val="00C53069"/>
    <w:rsid w:val="00C5325C"/>
    <w:rsid w:val="00C532AF"/>
    <w:rsid w:val="00C532DA"/>
    <w:rsid w:val="00C533EB"/>
    <w:rsid w:val="00C53471"/>
    <w:rsid w:val="00C534A2"/>
    <w:rsid w:val="00C5379E"/>
    <w:rsid w:val="00C53A4C"/>
    <w:rsid w:val="00C53B78"/>
    <w:rsid w:val="00C53B95"/>
    <w:rsid w:val="00C53C4D"/>
    <w:rsid w:val="00C53DE6"/>
    <w:rsid w:val="00C53EAB"/>
    <w:rsid w:val="00C5405F"/>
    <w:rsid w:val="00C54204"/>
    <w:rsid w:val="00C544EB"/>
    <w:rsid w:val="00C5458A"/>
    <w:rsid w:val="00C54A1A"/>
    <w:rsid w:val="00C54B4B"/>
    <w:rsid w:val="00C54E14"/>
    <w:rsid w:val="00C54F53"/>
    <w:rsid w:val="00C55757"/>
    <w:rsid w:val="00C55CE1"/>
    <w:rsid w:val="00C564ED"/>
    <w:rsid w:val="00C56E45"/>
    <w:rsid w:val="00C56FED"/>
    <w:rsid w:val="00C57074"/>
    <w:rsid w:val="00C578EA"/>
    <w:rsid w:val="00C57938"/>
    <w:rsid w:val="00C57A35"/>
    <w:rsid w:val="00C57EA7"/>
    <w:rsid w:val="00C603A7"/>
    <w:rsid w:val="00C6087C"/>
    <w:rsid w:val="00C6098E"/>
    <w:rsid w:val="00C60CA9"/>
    <w:rsid w:val="00C60D94"/>
    <w:rsid w:val="00C60DD6"/>
    <w:rsid w:val="00C611E7"/>
    <w:rsid w:val="00C61635"/>
    <w:rsid w:val="00C61813"/>
    <w:rsid w:val="00C61B12"/>
    <w:rsid w:val="00C61B4B"/>
    <w:rsid w:val="00C61B67"/>
    <w:rsid w:val="00C62574"/>
    <w:rsid w:val="00C625B2"/>
    <w:rsid w:val="00C62698"/>
    <w:rsid w:val="00C62915"/>
    <w:rsid w:val="00C629AA"/>
    <w:rsid w:val="00C62BE4"/>
    <w:rsid w:val="00C63010"/>
    <w:rsid w:val="00C631EA"/>
    <w:rsid w:val="00C634F7"/>
    <w:rsid w:val="00C6351E"/>
    <w:rsid w:val="00C63912"/>
    <w:rsid w:val="00C63B4C"/>
    <w:rsid w:val="00C63BAD"/>
    <w:rsid w:val="00C63CEA"/>
    <w:rsid w:val="00C63D5B"/>
    <w:rsid w:val="00C63D9A"/>
    <w:rsid w:val="00C6421D"/>
    <w:rsid w:val="00C64705"/>
    <w:rsid w:val="00C649A8"/>
    <w:rsid w:val="00C64A65"/>
    <w:rsid w:val="00C64E7C"/>
    <w:rsid w:val="00C64F11"/>
    <w:rsid w:val="00C65109"/>
    <w:rsid w:val="00C65370"/>
    <w:rsid w:val="00C653F4"/>
    <w:rsid w:val="00C6541C"/>
    <w:rsid w:val="00C658C9"/>
    <w:rsid w:val="00C65951"/>
    <w:rsid w:val="00C6596D"/>
    <w:rsid w:val="00C65A67"/>
    <w:rsid w:val="00C65C6C"/>
    <w:rsid w:val="00C65C6E"/>
    <w:rsid w:val="00C65D8F"/>
    <w:rsid w:val="00C65FFD"/>
    <w:rsid w:val="00C66160"/>
    <w:rsid w:val="00C661A7"/>
    <w:rsid w:val="00C663D9"/>
    <w:rsid w:val="00C6696F"/>
    <w:rsid w:val="00C669C9"/>
    <w:rsid w:val="00C66BD7"/>
    <w:rsid w:val="00C66C37"/>
    <w:rsid w:val="00C66D6B"/>
    <w:rsid w:val="00C66D73"/>
    <w:rsid w:val="00C66E95"/>
    <w:rsid w:val="00C67158"/>
    <w:rsid w:val="00C6764D"/>
    <w:rsid w:val="00C677D8"/>
    <w:rsid w:val="00C67887"/>
    <w:rsid w:val="00C67D34"/>
    <w:rsid w:val="00C701D6"/>
    <w:rsid w:val="00C7051C"/>
    <w:rsid w:val="00C70536"/>
    <w:rsid w:val="00C70606"/>
    <w:rsid w:val="00C7177C"/>
    <w:rsid w:val="00C7195D"/>
    <w:rsid w:val="00C72076"/>
    <w:rsid w:val="00C721AC"/>
    <w:rsid w:val="00C721B5"/>
    <w:rsid w:val="00C721BA"/>
    <w:rsid w:val="00C72369"/>
    <w:rsid w:val="00C725E9"/>
    <w:rsid w:val="00C72A0C"/>
    <w:rsid w:val="00C72DFC"/>
    <w:rsid w:val="00C730CA"/>
    <w:rsid w:val="00C73202"/>
    <w:rsid w:val="00C73472"/>
    <w:rsid w:val="00C73520"/>
    <w:rsid w:val="00C735EB"/>
    <w:rsid w:val="00C7361B"/>
    <w:rsid w:val="00C73995"/>
    <w:rsid w:val="00C73D0C"/>
    <w:rsid w:val="00C73D35"/>
    <w:rsid w:val="00C740B8"/>
    <w:rsid w:val="00C74404"/>
    <w:rsid w:val="00C744F0"/>
    <w:rsid w:val="00C74809"/>
    <w:rsid w:val="00C74A4D"/>
    <w:rsid w:val="00C74B76"/>
    <w:rsid w:val="00C74E49"/>
    <w:rsid w:val="00C74EAF"/>
    <w:rsid w:val="00C75366"/>
    <w:rsid w:val="00C7557B"/>
    <w:rsid w:val="00C75739"/>
    <w:rsid w:val="00C75CA3"/>
    <w:rsid w:val="00C75D16"/>
    <w:rsid w:val="00C75FCE"/>
    <w:rsid w:val="00C7628A"/>
    <w:rsid w:val="00C762EB"/>
    <w:rsid w:val="00C76363"/>
    <w:rsid w:val="00C76414"/>
    <w:rsid w:val="00C7647F"/>
    <w:rsid w:val="00C76A44"/>
    <w:rsid w:val="00C76B22"/>
    <w:rsid w:val="00C76B2B"/>
    <w:rsid w:val="00C76CD6"/>
    <w:rsid w:val="00C76EBD"/>
    <w:rsid w:val="00C770C9"/>
    <w:rsid w:val="00C77106"/>
    <w:rsid w:val="00C77249"/>
    <w:rsid w:val="00C77368"/>
    <w:rsid w:val="00C7766E"/>
    <w:rsid w:val="00C77A1D"/>
    <w:rsid w:val="00C77BDE"/>
    <w:rsid w:val="00C77DBA"/>
    <w:rsid w:val="00C8004B"/>
    <w:rsid w:val="00C802E8"/>
    <w:rsid w:val="00C8070D"/>
    <w:rsid w:val="00C8073A"/>
    <w:rsid w:val="00C80823"/>
    <w:rsid w:val="00C80874"/>
    <w:rsid w:val="00C80B90"/>
    <w:rsid w:val="00C80CD5"/>
    <w:rsid w:val="00C81131"/>
    <w:rsid w:val="00C81319"/>
    <w:rsid w:val="00C8144D"/>
    <w:rsid w:val="00C816D5"/>
    <w:rsid w:val="00C81740"/>
    <w:rsid w:val="00C8180F"/>
    <w:rsid w:val="00C81DA8"/>
    <w:rsid w:val="00C81EA8"/>
    <w:rsid w:val="00C822F0"/>
    <w:rsid w:val="00C823D7"/>
    <w:rsid w:val="00C82426"/>
    <w:rsid w:val="00C82B87"/>
    <w:rsid w:val="00C83140"/>
    <w:rsid w:val="00C835CD"/>
    <w:rsid w:val="00C8360F"/>
    <w:rsid w:val="00C83648"/>
    <w:rsid w:val="00C837F1"/>
    <w:rsid w:val="00C83DA9"/>
    <w:rsid w:val="00C83DC1"/>
    <w:rsid w:val="00C83F0E"/>
    <w:rsid w:val="00C83FE0"/>
    <w:rsid w:val="00C84039"/>
    <w:rsid w:val="00C8486F"/>
    <w:rsid w:val="00C84C71"/>
    <w:rsid w:val="00C85295"/>
    <w:rsid w:val="00C85373"/>
    <w:rsid w:val="00C85A48"/>
    <w:rsid w:val="00C85CB6"/>
    <w:rsid w:val="00C85D5E"/>
    <w:rsid w:val="00C860D1"/>
    <w:rsid w:val="00C86546"/>
    <w:rsid w:val="00C865CB"/>
    <w:rsid w:val="00C869D2"/>
    <w:rsid w:val="00C86ADB"/>
    <w:rsid w:val="00C86B81"/>
    <w:rsid w:val="00C86C3E"/>
    <w:rsid w:val="00C86D20"/>
    <w:rsid w:val="00C86E90"/>
    <w:rsid w:val="00C87036"/>
    <w:rsid w:val="00C8766C"/>
    <w:rsid w:val="00C879F6"/>
    <w:rsid w:val="00C87E4D"/>
    <w:rsid w:val="00C900F5"/>
    <w:rsid w:val="00C902FD"/>
    <w:rsid w:val="00C90460"/>
    <w:rsid w:val="00C90982"/>
    <w:rsid w:val="00C90ACD"/>
    <w:rsid w:val="00C90B33"/>
    <w:rsid w:val="00C90BC2"/>
    <w:rsid w:val="00C90D6A"/>
    <w:rsid w:val="00C90F25"/>
    <w:rsid w:val="00C90FBD"/>
    <w:rsid w:val="00C912EB"/>
    <w:rsid w:val="00C91385"/>
    <w:rsid w:val="00C91508"/>
    <w:rsid w:val="00C91609"/>
    <w:rsid w:val="00C9181B"/>
    <w:rsid w:val="00C9181D"/>
    <w:rsid w:val="00C91F68"/>
    <w:rsid w:val="00C91FA0"/>
    <w:rsid w:val="00C9202B"/>
    <w:rsid w:val="00C92228"/>
    <w:rsid w:val="00C923DB"/>
    <w:rsid w:val="00C9248E"/>
    <w:rsid w:val="00C924EC"/>
    <w:rsid w:val="00C92820"/>
    <w:rsid w:val="00C92903"/>
    <w:rsid w:val="00C92FA7"/>
    <w:rsid w:val="00C92FB6"/>
    <w:rsid w:val="00C9302B"/>
    <w:rsid w:val="00C93212"/>
    <w:rsid w:val="00C9327E"/>
    <w:rsid w:val="00C932FE"/>
    <w:rsid w:val="00C93582"/>
    <w:rsid w:val="00C935F1"/>
    <w:rsid w:val="00C937C7"/>
    <w:rsid w:val="00C93A7B"/>
    <w:rsid w:val="00C93D28"/>
    <w:rsid w:val="00C93DA8"/>
    <w:rsid w:val="00C93FC8"/>
    <w:rsid w:val="00C94380"/>
    <w:rsid w:val="00C9445B"/>
    <w:rsid w:val="00C9464A"/>
    <w:rsid w:val="00C949D6"/>
    <w:rsid w:val="00C94A2A"/>
    <w:rsid w:val="00C94C8D"/>
    <w:rsid w:val="00C94D2A"/>
    <w:rsid w:val="00C94F0C"/>
    <w:rsid w:val="00C95092"/>
    <w:rsid w:val="00C9559E"/>
    <w:rsid w:val="00C95A51"/>
    <w:rsid w:val="00C95AAF"/>
    <w:rsid w:val="00C95C9B"/>
    <w:rsid w:val="00C95D04"/>
    <w:rsid w:val="00C95EA6"/>
    <w:rsid w:val="00C95FE7"/>
    <w:rsid w:val="00C962E6"/>
    <w:rsid w:val="00C96445"/>
    <w:rsid w:val="00C96567"/>
    <w:rsid w:val="00C96759"/>
    <w:rsid w:val="00C96764"/>
    <w:rsid w:val="00C96B9F"/>
    <w:rsid w:val="00C96C30"/>
    <w:rsid w:val="00C96C45"/>
    <w:rsid w:val="00C970E7"/>
    <w:rsid w:val="00C973ED"/>
    <w:rsid w:val="00C97420"/>
    <w:rsid w:val="00C9750C"/>
    <w:rsid w:val="00C97534"/>
    <w:rsid w:val="00C97860"/>
    <w:rsid w:val="00C978A9"/>
    <w:rsid w:val="00C978EF"/>
    <w:rsid w:val="00CA003D"/>
    <w:rsid w:val="00CA00B1"/>
    <w:rsid w:val="00CA0171"/>
    <w:rsid w:val="00CA01AB"/>
    <w:rsid w:val="00CA01F5"/>
    <w:rsid w:val="00CA0439"/>
    <w:rsid w:val="00CA0594"/>
    <w:rsid w:val="00CA0597"/>
    <w:rsid w:val="00CA0746"/>
    <w:rsid w:val="00CA084D"/>
    <w:rsid w:val="00CA099A"/>
    <w:rsid w:val="00CA0A14"/>
    <w:rsid w:val="00CA0DAF"/>
    <w:rsid w:val="00CA0EE4"/>
    <w:rsid w:val="00CA0F6D"/>
    <w:rsid w:val="00CA12E2"/>
    <w:rsid w:val="00CA12FB"/>
    <w:rsid w:val="00CA1328"/>
    <w:rsid w:val="00CA157F"/>
    <w:rsid w:val="00CA1884"/>
    <w:rsid w:val="00CA1C97"/>
    <w:rsid w:val="00CA1FF7"/>
    <w:rsid w:val="00CA2026"/>
    <w:rsid w:val="00CA2192"/>
    <w:rsid w:val="00CA247E"/>
    <w:rsid w:val="00CA24CD"/>
    <w:rsid w:val="00CA2855"/>
    <w:rsid w:val="00CA296C"/>
    <w:rsid w:val="00CA2A84"/>
    <w:rsid w:val="00CA2EC2"/>
    <w:rsid w:val="00CA2F7C"/>
    <w:rsid w:val="00CA30E1"/>
    <w:rsid w:val="00CA3378"/>
    <w:rsid w:val="00CA34B0"/>
    <w:rsid w:val="00CA3533"/>
    <w:rsid w:val="00CA3A1A"/>
    <w:rsid w:val="00CA3DC4"/>
    <w:rsid w:val="00CA3F8A"/>
    <w:rsid w:val="00CA3FB1"/>
    <w:rsid w:val="00CA40D3"/>
    <w:rsid w:val="00CA4147"/>
    <w:rsid w:val="00CA42E1"/>
    <w:rsid w:val="00CA4435"/>
    <w:rsid w:val="00CA443B"/>
    <w:rsid w:val="00CA4630"/>
    <w:rsid w:val="00CA4ADE"/>
    <w:rsid w:val="00CA4C6F"/>
    <w:rsid w:val="00CA4E5C"/>
    <w:rsid w:val="00CA5073"/>
    <w:rsid w:val="00CA50ED"/>
    <w:rsid w:val="00CA511C"/>
    <w:rsid w:val="00CA5135"/>
    <w:rsid w:val="00CA5449"/>
    <w:rsid w:val="00CA5548"/>
    <w:rsid w:val="00CA5CE2"/>
    <w:rsid w:val="00CA61F0"/>
    <w:rsid w:val="00CA6398"/>
    <w:rsid w:val="00CA63DF"/>
    <w:rsid w:val="00CA641A"/>
    <w:rsid w:val="00CA6D21"/>
    <w:rsid w:val="00CA72C4"/>
    <w:rsid w:val="00CA72CD"/>
    <w:rsid w:val="00CA73CF"/>
    <w:rsid w:val="00CA73F0"/>
    <w:rsid w:val="00CA7729"/>
    <w:rsid w:val="00CA7AD6"/>
    <w:rsid w:val="00CA7EA5"/>
    <w:rsid w:val="00CA7F57"/>
    <w:rsid w:val="00CB05A5"/>
    <w:rsid w:val="00CB08F5"/>
    <w:rsid w:val="00CB08FB"/>
    <w:rsid w:val="00CB0A11"/>
    <w:rsid w:val="00CB0EC1"/>
    <w:rsid w:val="00CB0F03"/>
    <w:rsid w:val="00CB12AD"/>
    <w:rsid w:val="00CB1546"/>
    <w:rsid w:val="00CB186F"/>
    <w:rsid w:val="00CB198D"/>
    <w:rsid w:val="00CB1B1F"/>
    <w:rsid w:val="00CB1CF1"/>
    <w:rsid w:val="00CB1D9B"/>
    <w:rsid w:val="00CB1E7B"/>
    <w:rsid w:val="00CB2110"/>
    <w:rsid w:val="00CB2203"/>
    <w:rsid w:val="00CB234A"/>
    <w:rsid w:val="00CB26E5"/>
    <w:rsid w:val="00CB2743"/>
    <w:rsid w:val="00CB27EE"/>
    <w:rsid w:val="00CB281A"/>
    <w:rsid w:val="00CB28FA"/>
    <w:rsid w:val="00CB2E32"/>
    <w:rsid w:val="00CB2EC9"/>
    <w:rsid w:val="00CB3193"/>
    <w:rsid w:val="00CB31D9"/>
    <w:rsid w:val="00CB33A6"/>
    <w:rsid w:val="00CB34A3"/>
    <w:rsid w:val="00CB34BF"/>
    <w:rsid w:val="00CB3508"/>
    <w:rsid w:val="00CB351F"/>
    <w:rsid w:val="00CB3533"/>
    <w:rsid w:val="00CB355B"/>
    <w:rsid w:val="00CB3609"/>
    <w:rsid w:val="00CB37B0"/>
    <w:rsid w:val="00CB3A9A"/>
    <w:rsid w:val="00CB3C51"/>
    <w:rsid w:val="00CB3C8D"/>
    <w:rsid w:val="00CB4958"/>
    <w:rsid w:val="00CB4B18"/>
    <w:rsid w:val="00CB50FB"/>
    <w:rsid w:val="00CB519B"/>
    <w:rsid w:val="00CB52AB"/>
    <w:rsid w:val="00CB536A"/>
    <w:rsid w:val="00CB5406"/>
    <w:rsid w:val="00CB5468"/>
    <w:rsid w:val="00CB5850"/>
    <w:rsid w:val="00CB5B81"/>
    <w:rsid w:val="00CB5BA4"/>
    <w:rsid w:val="00CB5C0B"/>
    <w:rsid w:val="00CB5E3A"/>
    <w:rsid w:val="00CB5F08"/>
    <w:rsid w:val="00CB5F7C"/>
    <w:rsid w:val="00CB6674"/>
    <w:rsid w:val="00CB66DD"/>
    <w:rsid w:val="00CB6A37"/>
    <w:rsid w:val="00CB6D4C"/>
    <w:rsid w:val="00CB6F2C"/>
    <w:rsid w:val="00CB74A9"/>
    <w:rsid w:val="00CB74DE"/>
    <w:rsid w:val="00CB74FF"/>
    <w:rsid w:val="00CB765B"/>
    <w:rsid w:val="00CB76BE"/>
    <w:rsid w:val="00CB77F1"/>
    <w:rsid w:val="00CB78D9"/>
    <w:rsid w:val="00CB7951"/>
    <w:rsid w:val="00CB7975"/>
    <w:rsid w:val="00CB7A14"/>
    <w:rsid w:val="00CB7C3F"/>
    <w:rsid w:val="00CC02E2"/>
    <w:rsid w:val="00CC068B"/>
    <w:rsid w:val="00CC0A23"/>
    <w:rsid w:val="00CC0E75"/>
    <w:rsid w:val="00CC0F56"/>
    <w:rsid w:val="00CC127A"/>
    <w:rsid w:val="00CC1314"/>
    <w:rsid w:val="00CC138C"/>
    <w:rsid w:val="00CC17B5"/>
    <w:rsid w:val="00CC19CD"/>
    <w:rsid w:val="00CC1B89"/>
    <w:rsid w:val="00CC1CD6"/>
    <w:rsid w:val="00CC1E72"/>
    <w:rsid w:val="00CC247C"/>
    <w:rsid w:val="00CC257D"/>
    <w:rsid w:val="00CC2592"/>
    <w:rsid w:val="00CC25E2"/>
    <w:rsid w:val="00CC277E"/>
    <w:rsid w:val="00CC287E"/>
    <w:rsid w:val="00CC2960"/>
    <w:rsid w:val="00CC2CC1"/>
    <w:rsid w:val="00CC3265"/>
    <w:rsid w:val="00CC32A3"/>
    <w:rsid w:val="00CC3348"/>
    <w:rsid w:val="00CC344A"/>
    <w:rsid w:val="00CC3466"/>
    <w:rsid w:val="00CC34D8"/>
    <w:rsid w:val="00CC35B5"/>
    <w:rsid w:val="00CC3863"/>
    <w:rsid w:val="00CC38D9"/>
    <w:rsid w:val="00CC3B86"/>
    <w:rsid w:val="00CC3FA7"/>
    <w:rsid w:val="00CC4524"/>
    <w:rsid w:val="00CC4850"/>
    <w:rsid w:val="00CC4B86"/>
    <w:rsid w:val="00CC4E4D"/>
    <w:rsid w:val="00CC5252"/>
    <w:rsid w:val="00CC549A"/>
    <w:rsid w:val="00CC5B82"/>
    <w:rsid w:val="00CC5D3A"/>
    <w:rsid w:val="00CC5E32"/>
    <w:rsid w:val="00CC5F0D"/>
    <w:rsid w:val="00CC5FF0"/>
    <w:rsid w:val="00CC64A5"/>
    <w:rsid w:val="00CC6715"/>
    <w:rsid w:val="00CC6AEB"/>
    <w:rsid w:val="00CC6B3E"/>
    <w:rsid w:val="00CC72B6"/>
    <w:rsid w:val="00CC749A"/>
    <w:rsid w:val="00CC76E4"/>
    <w:rsid w:val="00CC7CC1"/>
    <w:rsid w:val="00CC7F67"/>
    <w:rsid w:val="00CC7FA4"/>
    <w:rsid w:val="00CD021F"/>
    <w:rsid w:val="00CD0494"/>
    <w:rsid w:val="00CD0C90"/>
    <w:rsid w:val="00CD0CE2"/>
    <w:rsid w:val="00CD0D74"/>
    <w:rsid w:val="00CD11C5"/>
    <w:rsid w:val="00CD12D5"/>
    <w:rsid w:val="00CD1351"/>
    <w:rsid w:val="00CD1619"/>
    <w:rsid w:val="00CD18FF"/>
    <w:rsid w:val="00CD22BD"/>
    <w:rsid w:val="00CD23AD"/>
    <w:rsid w:val="00CD23D8"/>
    <w:rsid w:val="00CD2535"/>
    <w:rsid w:val="00CD2858"/>
    <w:rsid w:val="00CD2AB8"/>
    <w:rsid w:val="00CD2EF4"/>
    <w:rsid w:val="00CD303F"/>
    <w:rsid w:val="00CD3721"/>
    <w:rsid w:val="00CD3738"/>
    <w:rsid w:val="00CD3A84"/>
    <w:rsid w:val="00CD3AC5"/>
    <w:rsid w:val="00CD3EC4"/>
    <w:rsid w:val="00CD3F19"/>
    <w:rsid w:val="00CD3F4E"/>
    <w:rsid w:val="00CD4019"/>
    <w:rsid w:val="00CD41B1"/>
    <w:rsid w:val="00CD455F"/>
    <w:rsid w:val="00CD47B5"/>
    <w:rsid w:val="00CD4AAB"/>
    <w:rsid w:val="00CD4B9D"/>
    <w:rsid w:val="00CD4E4D"/>
    <w:rsid w:val="00CD4EF8"/>
    <w:rsid w:val="00CD5064"/>
    <w:rsid w:val="00CD506A"/>
    <w:rsid w:val="00CD5107"/>
    <w:rsid w:val="00CD51B9"/>
    <w:rsid w:val="00CD51F1"/>
    <w:rsid w:val="00CD530D"/>
    <w:rsid w:val="00CD5853"/>
    <w:rsid w:val="00CD5A7D"/>
    <w:rsid w:val="00CD5C6D"/>
    <w:rsid w:val="00CD5D8C"/>
    <w:rsid w:val="00CD5E4F"/>
    <w:rsid w:val="00CD60DC"/>
    <w:rsid w:val="00CD6641"/>
    <w:rsid w:val="00CD68C6"/>
    <w:rsid w:val="00CD6F0C"/>
    <w:rsid w:val="00CD70BE"/>
    <w:rsid w:val="00CD70F8"/>
    <w:rsid w:val="00CD749E"/>
    <w:rsid w:val="00CD75A8"/>
    <w:rsid w:val="00CD783F"/>
    <w:rsid w:val="00CD7B30"/>
    <w:rsid w:val="00CD7CE3"/>
    <w:rsid w:val="00CD7DED"/>
    <w:rsid w:val="00CD7E8A"/>
    <w:rsid w:val="00CE0392"/>
    <w:rsid w:val="00CE0683"/>
    <w:rsid w:val="00CE06A8"/>
    <w:rsid w:val="00CE0CF4"/>
    <w:rsid w:val="00CE0E40"/>
    <w:rsid w:val="00CE11C9"/>
    <w:rsid w:val="00CE123E"/>
    <w:rsid w:val="00CE150B"/>
    <w:rsid w:val="00CE158D"/>
    <w:rsid w:val="00CE165C"/>
    <w:rsid w:val="00CE175C"/>
    <w:rsid w:val="00CE1A8E"/>
    <w:rsid w:val="00CE1B54"/>
    <w:rsid w:val="00CE1B6C"/>
    <w:rsid w:val="00CE1B95"/>
    <w:rsid w:val="00CE1D45"/>
    <w:rsid w:val="00CE23BA"/>
    <w:rsid w:val="00CE24E0"/>
    <w:rsid w:val="00CE2622"/>
    <w:rsid w:val="00CE28B8"/>
    <w:rsid w:val="00CE2BDF"/>
    <w:rsid w:val="00CE2D16"/>
    <w:rsid w:val="00CE2DC7"/>
    <w:rsid w:val="00CE2E57"/>
    <w:rsid w:val="00CE2E91"/>
    <w:rsid w:val="00CE2F39"/>
    <w:rsid w:val="00CE308A"/>
    <w:rsid w:val="00CE313A"/>
    <w:rsid w:val="00CE3737"/>
    <w:rsid w:val="00CE3BF8"/>
    <w:rsid w:val="00CE4AA1"/>
    <w:rsid w:val="00CE4C6C"/>
    <w:rsid w:val="00CE4F3E"/>
    <w:rsid w:val="00CE505F"/>
    <w:rsid w:val="00CE5688"/>
    <w:rsid w:val="00CE5AC6"/>
    <w:rsid w:val="00CE5D00"/>
    <w:rsid w:val="00CE5F90"/>
    <w:rsid w:val="00CE602D"/>
    <w:rsid w:val="00CE60D0"/>
    <w:rsid w:val="00CE6271"/>
    <w:rsid w:val="00CE62A7"/>
    <w:rsid w:val="00CE64D7"/>
    <w:rsid w:val="00CE6559"/>
    <w:rsid w:val="00CE6971"/>
    <w:rsid w:val="00CE69DD"/>
    <w:rsid w:val="00CE6B17"/>
    <w:rsid w:val="00CE7439"/>
    <w:rsid w:val="00CE75C1"/>
    <w:rsid w:val="00CE79B4"/>
    <w:rsid w:val="00CE7C51"/>
    <w:rsid w:val="00CE7D4E"/>
    <w:rsid w:val="00CF012E"/>
    <w:rsid w:val="00CF0374"/>
    <w:rsid w:val="00CF04BD"/>
    <w:rsid w:val="00CF0798"/>
    <w:rsid w:val="00CF0876"/>
    <w:rsid w:val="00CF1014"/>
    <w:rsid w:val="00CF11D0"/>
    <w:rsid w:val="00CF14DC"/>
    <w:rsid w:val="00CF16DE"/>
    <w:rsid w:val="00CF177D"/>
    <w:rsid w:val="00CF193F"/>
    <w:rsid w:val="00CF1A2A"/>
    <w:rsid w:val="00CF1A86"/>
    <w:rsid w:val="00CF1A8C"/>
    <w:rsid w:val="00CF1BD5"/>
    <w:rsid w:val="00CF1E4F"/>
    <w:rsid w:val="00CF207F"/>
    <w:rsid w:val="00CF24C2"/>
    <w:rsid w:val="00CF2538"/>
    <w:rsid w:val="00CF282C"/>
    <w:rsid w:val="00CF2C21"/>
    <w:rsid w:val="00CF2F9C"/>
    <w:rsid w:val="00CF37A9"/>
    <w:rsid w:val="00CF3BE3"/>
    <w:rsid w:val="00CF3D73"/>
    <w:rsid w:val="00CF3F65"/>
    <w:rsid w:val="00CF40D3"/>
    <w:rsid w:val="00CF40D9"/>
    <w:rsid w:val="00CF41CA"/>
    <w:rsid w:val="00CF449C"/>
    <w:rsid w:val="00CF541F"/>
    <w:rsid w:val="00CF59A7"/>
    <w:rsid w:val="00CF5B2B"/>
    <w:rsid w:val="00CF6263"/>
    <w:rsid w:val="00CF62AD"/>
    <w:rsid w:val="00CF6512"/>
    <w:rsid w:val="00CF654E"/>
    <w:rsid w:val="00CF66BF"/>
    <w:rsid w:val="00CF75B8"/>
    <w:rsid w:val="00CF76AC"/>
    <w:rsid w:val="00CF77DD"/>
    <w:rsid w:val="00CF79B4"/>
    <w:rsid w:val="00CF7A64"/>
    <w:rsid w:val="00CF7C68"/>
    <w:rsid w:val="00CF7D9C"/>
    <w:rsid w:val="00CF7F83"/>
    <w:rsid w:val="00D00016"/>
    <w:rsid w:val="00D0014A"/>
    <w:rsid w:val="00D00242"/>
    <w:rsid w:val="00D00321"/>
    <w:rsid w:val="00D0045D"/>
    <w:rsid w:val="00D00710"/>
    <w:rsid w:val="00D00922"/>
    <w:rsid w:val="00D013F6"/>
    <w:rsid w:val="00D014B1"/>
    <w:rsid w:val="00D014B2"/>
    <w:rsid w:val="00D01689"/>
    <w:rsid w:val="00D01824"/>
    <w:rsid w:val="00D019BF"/>
    <w:rsid w:val="00D01A0D"/>
    <w:rsid w:val="00D01AEC"/>
    <w:rsid w:val="00D01DB4"/>
    <w:rsid w:val="00D01F5E"/>
    <w:rsid w:val="00D0218D"/>
    <w:rsid w:val="00D02193"/>
    <w:rsid w:val="00D023EF"/>
    <w:rsid w:val="00D026A9"/>
    <w:rsid w:val="00D028FC"/>
    <w:rsid w:val="00D02917"/>
    <w:rsid w:val="00D02944"/>
    <w:rsid w:val="00D0302A"/>
    <w:rsid w:val="00D0320E"/>
    <w:rsid w:val="00D03250"/>
    <w:rsid w:val="00D03495"/>
    <w:rsid w:val="00D036D6"/>
    <w:rsid w:val="00D03ABC"/>
    <w:rsid w:val="00D03CBE"/>
    <w:rsid w:val="00D03F79"/>
    <w:rsid w:val="00D0431C"/>
    <w:rsid w:val="00D0476C"/>
    <w:rsid w:val="00D04843"/>
    <w:rsid w:val="00D048AB"/>
    <w:rsid w:val="00D049AC"/>
    <w:rsid w:val="00D04A75"/>
    <w:rsid w:val="00D04CAD"/>
    <w:rsid w:val="00D05459"/>
    <w:rsid w:val="00D055C0"/>
    <w:rsid w:val="00D05656"/>
    <w:rsid w:val="00D05983"/>
    <w:rsid w:val="00D05C9C"/>
    <w:rsid w:val="00D05DA9"/>
    <w:rsid w:val="00D05EAD"/>
    <w:rsid w:val="00D05F23"/>
    <w:rsid w:val="00D06221"/>
    <w:rsid w:val="00D064BB"/>
    <w:rsid w:val="00D06609"/>
    <w:rsid w:val="00D06836"/>
    <w:rsid w:val="00D069B1"/>
    <w:rsid w:val="00D069D2"/>
    <w:rsid w:val="00D06A99"/>
    <w:rsid w:val="00D06B49"/>
    <w:rsid w:val="00D06E7A"/>
    <w:rsid w:val="00D07165"/>
    <w:rsid w:val="00D071B7"/>
    <w:rsid w:val="00D073D3"/>
    <w:rsid w:val="00D07E44"/>
    <w:rsid w:val="00D10007"/>
    <w:rsid w:val="00D100CD"/>
    <w:rsid w:val="00D10522"/>
    <w:rsid w:val="00D108CA"/>
    <w:rsid w:val="00D108D4"/>
    <w:rsid w:val="00D10A9A"/>
    <w:rsid w:val="00D112E3"/>
    <w:rsid w:val="00D1139B"/>
    <w:rsid w:val="00D114B9"/>
    <w:rsid w:val="00D11745"/>
    <w:rsid w:val="00D119B5"/>
    <w:rsid w:val="00D1202E"/>
    <w:rsid w:val="00D120E7"/>
    <w:rsid w:val="00D1279F"/>
    <w:rsid w:val="00D12871"/>
    <w:rsid w:val="00D12ACC"/>
    <w:rsid w:val="00D1374A"/>
    <w:rsid w:val="00D13779"/>
    <w:rsid w:val="00D13938"/>
    <w:rsid w:val="00D13B05"/>
    <w:rsid w:val="00D14026"/>
    <w:rsid w:val="00D141D3"/>
    <w:rsid w:val="00D14CB9"/>
    <w:rsid w:val="00D14E62"/>
    <w:rsid w:val="00D15148"/>
    <w:rsid w:val="00D155FC"/>
    <w:rsid w:val="00D156A5"/>
    <w:rsid w:val="00D15A2F"/>
    <w:rsid w:val="00D15D88"/>
    <w:rsid w:val="00D15F8E"/>
    <w:rsid w:val="00D1602B"/>
    <w:rsid w:val="00D16824"/>
    <w:rsid w:val="00D16B9D"/>
    <w:rsid w:val="00D16D21"/>
    <w:rsid w:val="00D16D7F"/>
    <w:rsid w:val="00D16FF4"/>
    <w:rsid w:val="00D172B0"/>
    <w:rsid w:val="00D176A9"/>
    <w:rsid w:val="00D17A6E"/>
    <w:rsid w:val="00D17DAB"/>
    <w:rsid w:val="00D17DF0"/>
    <w:rsid w:val="00D17F9C"/>
    <w:rsid w:val="00D203FC"/>
    <w:rsid w:val="00D20A68"/>
    <w:rsid w:val="00D20AB6"/>
    <w:rsid w:val="00D20C8B"/>
    <w:rsid w:val="00D20CAE"/>
    <w:rsid w:val="00D20DE9"/>
    <w:rsid w:val="00D20E24"/>
    <w:rsid w:val="00D20E8F"/>
    <w:rsid w:val="00D20FF4"/>
    <w:rsid w:val="00D21B39"/>
    <w:rsid w:val="00D21C16"/>
    <w:rsid w:val="00D21F16"/>
    <w:rsid w:val="00D2229B"/>
    <w:rsid w:val="00D2238A"/>
    <w:rsid w:val="00D224A0"/>
    <w:rsid w:val="00D2256A"/>
    <w:rsid w:val="00D227E1"/>
    <w:rsid w:val="00D22983"/>
    <w:rsid w:val="00D22AA6"/>
    <w:rsid w:val="00D22DAF"/>
    <w:rsid w:val="00D22F25"/>
    <w:rsid w:val="00D231A0"/>
    <w:rsid w:val="00D23260"/>
    <w:rsid w:val="00D2326A"/>
    <w:rsid w:val="00D23564"/>
    <w:rsid w:val="00D237AE"/>
    <w:rsid w:val="00D238B8"/>
    <w:rsid w:val="00D238C7"/>
    <w:rsid w:val="00D239E1"/>
    <w:rsid w:val="00D23BAF"/>
    <w:rsid w:val="00D23C7E"/>
    <w:rsid w:val="00D23FA3"/>
    <w:rsid w:val="00D242F2"/>
    <w:rsid w:val="00D2438E"/>
    <w:rsid w:val="00D24665"/>
    <w:rsid w:val="00D24D85"/>
    <w:rsid w:val="00D24E6B"/>
    <w:rsid w:val="00D24EFF"/>
    <w:rsid w:val="00D25012"/>
    <w:rsid w:val="00D25339"/>
    <w:rsid w:val="00D25743"/>
    <w:rsid w:val="00D25C9E"/>
    <w:rsid w:val="00D25CD3"/>
    <w:rsid w:val="00D25FB5"/>
    <w:rsid w:val="00D2697F"/>
    <w:rsid w:val="00D26A4D"/>
    <w:rsid w:val="00D26ABA"/>
    <w:rsid w:val="00D26B94"/>
    <w:rsid w:val="00D26BF0"/>
    <w:rsid w:val="00D26CE6"/>
    <w:rsid w:val="00D26EAA"/>
    <w:rsid w:val="00D26F98"/>
    <w:rsid w:val="00D271BA"/>
    <w:rsid w:val="00D27381"/>
    <w:rsid w:val="00D27882"/>
    <w:rsid w:val="00D27BA9"/>
    <w:rsid w:val="00D27D29"/>
    <w:rsid w:val="00D30041"/>
    <w:rsid w:val="00D30075"/>
    <w:rsid w:val="00D300C7"/>
    <w:rsid w:val="00D3026D"/>
    <w:rsid w:val="00D308CD"/>
    <w:rsid w:val="00D308E8"/>
    <w:rsid w:val="00D30A04"/>
    <w:rsid w:val="00D30A7A"/>
    <w:rsid w:val="00D30ECB"/>
    <w:rsid w:val="00D30F6C"/>
    <w:rsid w:val="00D31078"/>
    <w:rsid w:val="00D31590"/>
    <w:rsid w:val="00D3159E"/>
    <w:rsid w:val="00D315E5"/>
    <w:rsid w:val="00D31619"/>
    <w:rsid w:val="00D317C0"/>
    <w:rsid w:val="00D31809"/>
    <w:rsid w:val="00D31E78"/>
    <w:rsid w:val="00D32734"/>
    <w:rsid w:val="00D3298C"/>
    <w:rsid w:val="00D329FF"/>
    <w:rsid w:val="00D32ABF"/>
    <w:rsid w:val="00D32BB0"/>
    <w:rsid w:val="00D32F4A"/>
    <w:rsid w:val="00D32F59"/>
    <w:rsid w:val="00D3309D"/>
    <w:rsid w:val="00D330BE"/>
    <w:rsid w:val="00D3311C"/>
    <w:rsid w:val="00D332D4"/>
    <w:rsid w:val="00D335A7"/>
    <w:rsid w:val="00D335AE"/>
    <w:rsid w:val="00D336DF"/>
    <w:rsid w:val="00D337F4"/>
    <w:rsid w:val="00D339C9"/>
    <w:rsid w:val="00D33E73"/>
    <w:rsid w:val="00D3419E"/>
    <w:rsid w:val="00D341B4"/>
    <w:rsid w:val="00D345A8"/>
    <w:rsid w:val="00D34763"/>
    <w:rsid w:val="00D34860"/>
    <w:rsid w:val="00D34D92"/>
    <w:rsid w:val="00D34EBF"/>
    <w:rsid w:val="00D35051"/>
    <w:rsid w:val="00D354BD"/>
    <w:rsid w:val="00D35B7C"/>
    <w:rsid w:val="00D35D53"/>
    <w:rsid w:val="00D35DDE"/>
    <w:rsid w:val="00D35F26"/>
    <w:rsid w:val="00D36103"/>
    <w:rsid w:val="00D363EE"/>
    <w:rsid w:val="00D364D5"/>
    <w:rsid w:val="00D36938"/>
    <w:rsid w:val="00D3699B"/>
    <w:rsid w:val="00D36AAD"/>
    <w:rsid w:val="00D36B54"/>
    <w:rsid w:val="00D36F17"/>
    <w:rsid w:val="00D370E8"/>
    <w:rsid w:val="00D37174"/>
    <w:rsid w:val="00D372CF"/>
    <w:rsid w:val="00D37884"/>
    <w:rsid w:val="00D378A5"/>
    <w:rsid w:val="00D37D37"/>
    <w:rsid w:val="00D37D4B"/>
    <w:rsid w:val="00D37F2B"/>
    <w:rsid w:val="00D401D8"/>
    <w:rsid w:val="00D404C1"/>
    <w:rsid w:val="00D40577"/>
    <w:rsid w:val="00D406A7"/>
    <w:rsid w:val="00D40763"/>
    <w:rsid w:val="00D408F0"/>
    <w:rsid w:val="00D40A0C"/>
    <w:rsid w:val="00D40B03"/>
    <w:rsid w:val="00D40F1E"/>
    <w:rsid w:val="00D41403"/>
    <w:rsid w:val="00D41715"/>
    <w:rsid w:val="00D4181C"/>
    <w:rsid w:val="00D419DF"/>
    <w:rsid w:val="00D41FEB"/>
    <w:rsid w:val="00D42227"/>
    <w:rsid w:val="00D4258E"/>
    <w:rsid w:val="00D425AE"/>
    <w:rsid w:val="00D42F0F"/>
    <w:rsid w:val="00D430F0"/>
    <w:rsid w:val="00D43441"/>
    <w:rsid w:val="00D436F2"/>
    <w:rsid w:val="00D43AA5"/>
    <w:rsid w:val="00D43EF9"/>
    <w:rsid w:val="00D43F39"/>
    <w:rsid w:val="00D4404E"/>
    <w:rsid w:val="00D441FD"/>
    <w:rsid w:val="00D44223"/>
    <w:rsid w:val="00D447E9"/>
    <w:rsid w:val="00D447F6"/>
    <w:rsid w:val="00D44BCD"/>
    <w:rsid w:val="00D44C1E"/>
    <w:rsid w:val="00D45643"/>
    <w:rsid w:val="00D45E3C"/>
    <w:rsid w:val="00D46266"/>
    <w:rsid w:val="00D462A0"/>
    <w:rsid w:val="00D463C3"/>
    <w:rsid w:val="00D46592"/>
    <w:rsid w:val="00D46987"/>
    <w:rsid w:val="00D46DCA"/>
    <w:rsid w:val="00D471D8"/>
    <w:rsid w:val="00D4736D"/>
    <w:rsid w:val="00D47BF7"/>
    <w:rsid w:val="00D500C0"/>
    <w:rsid w:val="00D500CF"/>
    <w:rsid w:val="00D501BF"/>
    <w:rsid w:val="00D50224"/>
    <w:rsid w:val="00D5069D"/>
    <w:rsid w:val="00D507E5"/>
    <w:rsid w:val="00D50884"/>
    <w:rsid w:val="00D5089C"/>
    <w:rsid w:val="00D50B1F"/>
    <w:rsid w:val="00D50CA8"/>
    <w:rsid w:val="00D50DD8"/>
    <w:rsid w:val="00D50F0D"/>
    <w:rsid w:val="00D510BD"/>
    <w:rsid w:val="00D51181"/>
    <w:rsid w:val="00D5131E"/>
    <w:rsid w:val="00D51619"/>
    <w:rsid w:val="00D51677"/>
    <w:rsid w:val="00D5170D"/>
    <w:rsid w:val="00D51A5B"/>
    <w:rsid w:val="00D51AF7"/>
    <w:rsid w:val="00D51C76"/>
    <w:rsid w:val="00D51EBA"/>
    <w:rsid w:val="00D52050"/>
    <w:rsid w:val="00D520CB"/>
    <w:rsid w:val="00D52127"/>
    <w:rsid w:val="00D52164"/>
    <w:rsid w:val="00D52303"/>
    <w:rsid w:val="00D5240C"/>
    <w:rsid w:val="00D52539"/>
    <w:rsid w:val="00D52D3A"/>
    <w:rsid w:val="00D52D4B"/>
    <w:rsid w:val="00D52F89"/>
    <w:rsid w:val="00D53086"/>
    <w:rsid w:val="00D53489"/>
    <w:rsid w:val="00D53682"/>
    <w:rsid w:val="00D5398D"/>
    <w:rsid w:val="00D53A4C"/>
    <w:rsid w:val="00D53BA0"/>
    <w:rsid w:val="00D53BED"/>
    <w:rsid w:val="00D543D0"/>
    <w:rsid w:val="00D54690"/>
    <w:rsid w:val="00D54A20"/>
    <w:rsid w:val="00D54A3F"/>
    <w:rsid w:val="00D553FF"/>
    <w:rsid w:val="00D55849"/>
    <w:rsid w:val="00D55857"/>
    <w:rsid w:val="00D55A93"/>
    <w:rsid w:val="00D55B0D"/>
    <w:rsid w:val="00D55B36"/>
    <w:rsid w:val="00D562AD"/>
    <w:rsid w:val="00D56445"/>
    <w:rsid w:val="00D566B7"/>
    <w:rsid w:val="00D5698D"/>
    <w:rsid w:val="00D569F4"/>
    <w:rsid w:val="00D56E26"/>
    <w:rsid w:val="00D577B4"/>
    <w:rsid w:val="00D57A2B"/>
    <w:rsid w:val="00D57B4C"/>
    <w:rsid w:val="00D57D22"/>
    <w:rsid w:val="00D57F46"/>
    <w:rsid w:val="00D60034"/>
    <w:rsid w:val="00D6021A"/>
    <w:rsid w:val="00D603CB"/>
    <w:rsid w:val="00D6068D"/>
    <w:rsid w:val="00D60697"/>
    <w:rsid w:val="00D609EA"/>
    <w:rsid w:val="00D60A50"/>
    <w:rsid w:val="00D610A3"/>
    <w:rsid w:val="00D610DF"/>
    <w:rsid w:val="00D613A3"/>
    <w:rsid w:val="00D6152E"/>
    <w:rsid w:val="00D6164C"/>
    <w:rsid w:val="00D6166D"/>
    <w:rsid w:val="00D616A0"/>
    <w:rsid w:val="00D61C92"/>
    <w:rsid w:val="00D61C98"/>
    <w:rsid w:val="00D61E3B"/>
    <w:rsid w:val="00D61FC6"/>
    <w:rsid w:val="00D62162"/>
    <w:rsid w:val="00D621DE"/>
    <w:rsid w:val="00D6227E"/>
    <w:rsid w:val="00D627BF"/>
    <w:rsid w:val="00D62C8A"/>
    <w:rsid w:val="00D63100"/>
    <w:rsid w:val="00D63680"/>
    <w:rsid w:val="00D6371E"/>
    <w:rsid w:val="00D6399C"/>
    <w:rsid w:val="00D63D98"/>
    <w:rsid w:val="00D641A4"/>
    <w:rsid w:val="00D64262"/>
    <w:rsid w:val="00D64554"/>
    <w:rsid w:val="00D64775"/>
    <w:rsid w:val="00D64C05"/>
    <w:rsid w:val="00D64E2A"/>
    <w:rsid w:val="00D65259"/>
    <w:rsid w:val="00D65376"/>
    <w:rsid w:val="00D65621"/>
    <w:rsid w:val="00D656DF"/>
    <w:rsid w:val="00D656E0"/>
    <w:rsid w:val="00D656F0"/>
    <w:rsid w:val="00D65813"/>
    <w:rsid w:val="00D65850"/>
    <w:rsid w:val="00D65870"/>
    <w:rsid w:val="00D65A50"/>
    <w:rsid w:val="00D65B1D"/>
    <w:rsid w:val="00D65BCF"/>
    <w:rsid w:val="00D66339"/>
    <w:rsid w:val="00D664B4"/>
    <w:rsid w:val="00D66A15"/>
    <w:rsid w:val="00D66F3B"/>
    <w:rsid w:val="00D67607"/>
    <w:rsid w:val="00D6778C"/>
    <w:rsid w:val="00D6789B"/>
    <w:rsid w:val="00D67A0E"/>
    <w:rsid w:val="00D67EDB"/>
    <w:rsid w:val="00D7002F"/>
    <w:rsid w:val="00D702AB"/>
    <w:rsid w:val="00D7037D"/>
    <w:rsid w:val="00D703FA"/>
    <w:rsid w:val="00D704E4"/>
    <w:rsid w:val="00D707A9"/>
    <w:rsid w:val="00D7085D"/>
    <w:rsid w:val="00D70C5E"/>
    <w:rsid w:val="00D70CDA"/>
    <w:rsid w:val="00D711B9"/>
    <w:rsid w:val="00D712CB"/>
    <w:rsid w:val="00D718AD"/>
    <w:rsid w:val="00D718C8"/>
    <w:rsid w:val="00D71C18"/>
    <w:rsid w:val="00D71D17"/>
    <w:rsid w:val="00D71DB1"/>
    <w:rsid w:val="00D72008"/>
    <w:rsid w:val="00D72072"/>
    <w:rsid w:val="00D72248"/>
    <w:rsid w:val="00D72981"/>
    <w:rsid w:val="00D72A2A"/>
    <w:rsid w:val="00D72B27"/>
    <w:rsid w:val="00D72B28"/>
    <w:rsid w:val="00D72C32"/>
    <w:rsid w:val="00D72CA9"/>
    <w:rsid w:val="00D72E64"/>
    <w:rsid w:val="00D73132"/>
    <w:rsid w:val="00D731C9"/>
    <w:rsid w:val="00D73421"/>
    <w:rsid w:val="00D73806"/>
    <w:rsid w:val="00D738F5"/>
    <w:rsid w:val="00D73A28"/>
    <w:rsid w:val="00D73B32"/>
    <w:rsid w:val="00D73E30"/>
    <w:rsid w:val="00D73E8F"/>
    <w:rsid w:val="00D74114"/>
    <w:rsid w:val="00D742F2"/>
    <w:rsid w:val="00D74347"/>
    <w:rsid w:val="00D743D4"/>
    <w:rsid w:val="00D74728"/>
    <w:rsid w:val="00D7483D"/>
    <w:rsid w:val="00D7493C"/>
    <w:rsid w:val="00D74B0E"/>
    <w:rsid w:val="00D74C6C"/>
    <w:rsid w:val="00D74EC5"/>
    <w:rsid w:val="00D750A9"/>
    <w:rsid w:val="00D75358"/>
    <w:rsid w:val="00D75443"/>
    <w:rsid w:val="00D75696"/>
    <w:rsid w:val="00D756B1"/>
    <w:rsid w:val="00D7593C"/>
    <w:rsid w:val="00D759AA"/>
    <w:rsid w:val="00D75BE9"/>
    <w:rsid w:val="00D75C45"/>
    <w:rsid w:val="00D75FDC"/>
    <w:rsid w:val="00D7603A"/>
    <w:rsid w:val="00D762E9"/>
    <w:rsid w:val="00D7664F"/>
    <w:rsid w:val="00D774C1"/>
    <w:rsid w:val="00D7754F"/>
    <w:rsid w:val="00D77576"/>
    <w:rsid w:val="00D7760C"/>
    <w:rsid w:val="00D7778C"/>
    <w:rsid w:val="00D77A5A"/>
    <w:rsid w:val="00D77C2C"/>
    <w:rsid w:val="00D77DCD"/>
    <w:rsid w:val="00D77FC3"/>
    <w:rsid w:val="00D80352"/>
    <w:rsid w:val="00D80387"/>
    <w:rsid w:val="00D8041F"/>
    <w:rsid w:val="00D8068B"/>
    <w:rsid w:val="00D806E2"/>
    <w:rsid w:val="00D80948"/>
    <w:rsid w:val="00D8123C"/>
    <w:rsid w:val="00D812FC"/>
    <w:rsid w:val="00D81310"/>
    <w:rsid w:val="00D8140D"/>
    <w:rsid w:val="00D81702"/>
    <w:rsid w:val="00D8173D"/>
    <w:rsid w:val="00D81AAD"/>
    <w:rsid w:val="00D81B54"/>
    <w:rsid w:val="00D81E06"/>
    <w:rsid w:val="00D81FDF"/>
    <w:rsid w:val="00D824AD"/>
    <w:rsid w:val="00D82D17"/>
    <w:rsid w:val="00D830B4"/>
    <w:rsid w:val="00D83322"/>
    <w:rsid w:val="00D833D6"/>
    <w:rsid w:val="00D837AF"/>
    <w:rsid w:val="00D83857"/>
    <w:rsid w:val="00D83AB9"/>
    <w:rsid w:val="00D83B10"/>
    <w:rsid w:val="00D83D8C"/>
    <w:rsid w:val="00D83F22"/>
    <w:rsid w:val="00D83F8B"/>
    <w:rsid w:val="00D84017"/>
    <w:rsid w:val="00D845A5"/>
    <w:rsid w:val="00D84606"/>
    <w:rsid w:val="00D84B36"/>
    <w:rsid w:val="00D84DD8"/>
    <w:rsid w:val="00D84F83"/>
    <w:rsid w:val="00D8503E"/>
    <w:rsid w:val="00D85315"/>
    <w:rsid w:val="00D85495"/>
    <w:rsid w:val="00D85517"/>
    <w:rsid w:val="00D857DA"/>
    <w:rsid w:val="00D85937"/>
    <w:rsid w:val="00D859BA"/>
    <w:rsid w:val="00D85A8F"/>
    <w:rsid w:val="00D85C92"/>
    <w:rsid w:val="00D86584"/>
    <w:rsid w:val="00D86831"/>
    <w:rsid w:val="00D86A69"/>
    <w:rsid w:val="00D86AF2"/>
    <w:rsid w:val="00D86CE2"/>
    <w:rsid w:val="00D87115"/>
    <w:rsid w:val="00D871C5"/>
    <w:rsid w:val="00D87449"/>
    <w:rsid w:val="00D876B3"/>
    <w:rsid w:val="00D876E9"/>
    <w:rsid w:val="00D8787A"/>
    <w:rsid w:val="00D87A71"/>
    <w:rsid w:val="00D87CB0"/>
    <w:rsid w:val="00D87F00"/>
    <w:rsid w:val="00D9005B"/>
    <w:rsid w:val="00D902DF"/>
    <w:rsid w:val="00D90387"/>
    <w:rsid w:val="00D903F6"/>
    <w:rsid w:val="00D904A1"/>
    <w:rsid w:val="00D9065E"/>
    <w:rsid w:val="00D90741"/>
    <w:rsid w:val="00D907CE"/>
    <w:rsid w:val="00D90B65"/>
    <w:rsid w:val="00D90E21"/>
    <w:rsid w:val="00D90E2E"/>
    <w:rsid w:val="00D91223"/>
    <w:rsid w:val="00D913A7"/>
    <w:rsid w:val="00D91437"/>
    <w:rsid w:val="00D916F1"/>
    <w:rsid w:val="00D91727"/>
    <w:rsid w:val="00D9197A"/>
    <w:rsid w:val="00D91D0F"/>
    <w:rsid w:val="00D9229A"/>
    <w:rsid w:val="00D92789"/>
    <w:rsid w:val="00D92931"/>
    <w:rsid w:val="00D929FC"/>
    <w:rsid w:val="00D92AA3"/>
    <w:rsid w:val="00D92B1F"/>
    <w:rsid w:val="00D92B74"/>
    <w:rsid w:val="00D92E2F"/>
    <w:rsid w:val="00D9323E"/>
    <w:rsid w:val="00D93296"/>
    <w:rsid w:val="00D9354B"/>
    <w:rsid w:val="00D935CF"/>
    <w:rsid w:val="00D938FA"/>
    <w:rsid w:val="00D93CBB"/>
    <w:rsid w:val="00D94350"/>
    <w:rsid w:val="00D9436A"/>
    <w:rsid w:val="00D9438A"/>
    <w:rsid w:val="00D946CE"/>
    <w:rsid w:val="00D9478F"/>
    <w:rsid w:val="00D949BD"/>
    <w:rsid w:val="00D95914"/>
    <w:rsid w:val="00D95AB8"/>
    <w:rsid w:val="00D95F9B"/>
    <w:rsid w:val="00D9649B"/>
    <w:rsid w:val="00D964F6"/>
    <w:rsid w:val="00D96ADE"/>
    <w:rsid w:val="00D96AEE"/>
    <w:rsid w:val="00D96AF4"/>
    <w:rsid w:val="00D96D24"/>
    <w:rsid w:val="00D96DBD"/>
    <w:rsid w:val="00D9700B"/>
    <w:rsid w:val="00D97049"/>
    <w:rsid w:val="00D9748C"/>
    <w:rsid w:val="00D9765A"/>
    <w:rsid w:val="00D97711"/>
    <w:rsid w:val="00D97805"/>
    <w:rsid w:val="00D97868"/>
    <w:rsid w:val="00D97B5A"/>
    <w:rsid w:val="00D97D73"/>
    <w:rsid w:val="00DA0288"/>
    <w:rsid w:val="00DA0375"/>
    <w:rsid w:val="00DA0389"/>
    <w:rsid w:val="00DA06C5"/>
    <w:rsid w:val="00DA0707"/>
    <w:rsid w:val="00DA0837"/>
    <w:rsid w:val="00DA086E"/>
    <w:rsid w:val="00DA0977"/>
    <w:rsid w:val="00DA146F"/>
    <w:rsid w:val="00DA16C0"/>
    <w:rsid w:val="00DA1834"/>
    <w:rsid w:val="00DA1AA1"/>
    <w:rsid w:val="00DA1CF7"/>
    <w:rsid w:val="00DA1E2C"/>
    <w:rsid w:val="00DA1F60"/>
    <w:rsid w:val="00DA2116"/>
    <w:rsid w:val="00DA2204"/>
    <w:rsid w:val="00DA2249"/>
    <w:rsid w:val="00DA24A2"/>
    <w:rsid w:val="00DA2529"/>
    <w:rsid w:val="00DA2704"/>
    <w:rsid w:val="00DA2901"/>
    <w:rsid w:val="00DA2FF9"/>
    <w:rsid w:val="00DA30B1"/>
    <w:rsid w:val="00DA3398"/>
    <w:rsid w:val="00DA3411"/>
    <w:rsid w:val="00DA34E1"/>
    <w:rsid w:val="00DA3579"/>
    <w:rsid w:val="00DA385E"/>
    <w:rsid w:val="00DA3B25"/>
    <w:rsid w:val="00DA3BC1"/>
    <w:rsid w:val="00DA3BCB"/>
    <w:rsid w:val="00DA3D04"/>
    <w:rsid w:val="00DA3EA7"/>
    <w:rsid w:val="00DA3FD2"/>
    <w:rsid w:val="00DA425F"/>
    <w:rsid w:val="00DA42F6"/>
    <w:rsid w:val="00DA4940"/>
    <w:rsid w:val="00DA4A71"/>
    <w:rsid w:val="00DA4F60"/>
    <w:rsid w:val="00DA52AE"/>
    <w:rsid w:val="00DA540D"/>
    <w:rsid w:val="00DA55CA"/>
    <w:rsid w:val="00DA56AE"/>
    <w:rsid w:val="00DA5888"/>
    <w:rsid w:val="00DA5DE0"/>
    <w:rsid w:val="00DA5E2A"/>
    <w:rsid w:val="00DA606D"/>
    <w:rsid w:val="00DA617E"/>
    <w:rsid w:val="00DA6597"/>
    <w:rsid w:val="00DA664D"/>
    <w:rsid w:val="00DA6756"/>
    <w:rsid w:val="00DA692F"/>
    <w:rsid w:val="00DA6947"/>
    <w:rsid w:val="00DA6982"/>
    <w:rsid w:val="00DA69A9"/>
    <w:rsid w:val="00DA6A38"/>
    <w:rsid w:val="00DA6DCB"/>
    <w:rsid w:val="00DA6EC7"/>
    <w:rsid w:val="00DA7498"/>
    <w:rsid w:val="00DA7BE8"/>
    <w:rsid w:val="00DA7E85"/>
    <w:rsid w:val="00DB0125"/>
    <w:rsid w:val="00DB0247"/>
    <w:rsid w:val="00DB04CF"/>
    <w:rsid w:val="00DB06C7"/>
    <w:rsid w:val="00DB08CC"/>
    <w:rsid w:val="00DB1085"/>
    <w:rsid w:val="00DB12F8"/>
    <w:rsid w:val="00DB130A"/>
    <w:rsid w:val="00DB14C6"/>
    <w:rsid w:val="00DB1C98"/>
    <w:rsid w:val="00DB2243"/>
    <w:rsid w:val="00DB23C6"/>
    <w:rsid w:val="00DB2735"/>
    <w:rsid w:val="00DB2787"/>
    <w:rsid w:val="00DB284A"/>
    <w:rsid w:val="00DB2EBB"/>
    <w:rsid w:val="00DB2F1D"/>
    <w:rsid w:val="00DB310A"/>
    <w:rsid w:val="00DB31F0"/>
    <w:rsid w:val="00DB347E"/>
    <w:rsid w:val="00DB34E4"/>
    <w:rsid w:val="00DB3564"/>
    <w:rsid w:val="00DB3578"/>
    <w:rsid w:val="00DB3714"/>
    <w:rsid w:val="00DB38A8"/>
    <w:rsid w:val="00DB3A26"/>
    <w:rsid w:val="00DB3D3E"/>
    <w:rsid w:val="00DB3F2E"/>
    <w:rsid w:val="00DB46A5"/>
    <w:rsid w:val="00DB4C8D"/>
    <w:rsid w:val="00DB4CBE"/>
    <w:rsid w:val="00DB5350"/>
    <w:rsid w:val="00DB5441"/>
    <w:rsid w:val="00DB5A47"/>
    <w:rsid w:val="00DB5A8E"/>
    <w:rsid w:val="00DB5B29"/>
    <w:rsid w:val="00DB5D19"/>
    <w:rsid w:val="00DB6844"/>
    <w:rsid w:val="00DB6B22"/>
    <w:rsid w:val="00DB6F12"/>
    <w:rsid w:val="00DB737A"/>
    <w:rsid w:val="00DB7584"/>
    <w:rsid w:val="00DB78CD"/>
    <w:rsid w:val="00DB7970"/>
    <w:rsid w:val="00DB7B43"/>
    <w:rsid w:val="00DB7E81"/>
    <w:rsid w:val="00DC009D"/>
    <w:rsid w:val="00DC01F8"/>
    <w:rsid w:val="00DC0545"/>
    <w:rsid w:val="00DC0DB4"/>
    <w:rsid w:val="00DC10A1"/>
    <w:rsid w:val="00DC112F"/>
    <w:rsid w:val="00DC1187"/>
    <w:rsid w:val="00DC150A"/>
    <w:rsid w:val="00DC15AA"/>
    <w:rsid w:val="00DC191C"/>
    <w:rsid w:val="00DC1A90"/>
    <w:rsid w:val="00DC1B7D"/>
    <w:rsid w:val="00DC1CBA"/>
    <w:rsid w:val="00DC1E8E"/>
    <w:rsid w:val="00DC2380"/>
    <w:rsid w:val="00DC27DB"/>
    <w:rsid w:val="00DC289A"/>
    <w:rsid w:val="00DC2A37"/>
    <w:rsid w:val="00DC2E3C"/>
    <w:rsid w:val="00DC3088"/>
    <w:rsid w:val="00DC33F2"/>
    <w:rsid w:val="00DC346B"/>
    <w:rsid w:val="00DC3505"/>
    <w:rsid w:val="00DC3641"/>
    <w:rsid w:val="00DC3700"/>
    <w:rsid w:val="00DC392D"/>
    <w:rsid w:val="00DC3A13"/>
    <w:rsid w:val="00DC3F83"/>
    <w:rsid w:val="00DC3FDD"/>
    <w:rsid w:val="00DC4247"/>
    <w:rsid w:val="00DC426E"/>
    <w:rsid w:val="00DC4407"/>
    <w:rsid w:val="00DC44AC"/>
    <w:rsid w:val="00DC49DF"/>
    <w:rsid w:val="00DC50A0"/>
    <w:rsid w:val="00DC57CA"/>
    <w:rsid w:val="00DC57DB"/>
    <w:rsid w:val="00DC5802"/>
    <w:rsid w:val="00DC594B"/>
    <w:rsid w:val="00DC5B9B"/>
    <w:rsid w:val="00DC5BCD"/>
    <w:rsid w:val="00DC5D1F"/>
    <w:rsid w:val="00DC5F53"/>
    <w:rsid w:val="00DC5FAB"/>
    <w:rsid w:val="00DC5FF6"/>
    <w:rsid w:val="00DC613F"/>
    <w:rsid w:val="00DC655F"/>
    <w:rsid w:val="00DC6B65"/>
    <w:rsid w:val="00DC6FB7"/>
    <w:rsid w:val="00DC7001"/>
    <w:rsid w:val="00DC732C"/>
    <w:rsid w:val="00DC7A7F"/>
    <w:rsid w:val="00DC7DC4"/>
    <w:rsid w:val="00DC7EA9"/>
    <w:rsid w:val="00DC7F66"/>
    <w:rsid w:val="00DD0009"/>
    <w:rsid w:val="00DD03C3"/>
    <w:rsid w:val="00DD08CC"/>
    <w:rsid w:val="00DD0B59"/>
    <w:rsid w:val="00DD0E7A"/>
    <w:rsid w:val="00DD0EFF"/>
    <w:rsid w:val="00DD12C4"/>
    <w:rsid w:val="00DD195B"/>
    <w:rsid w:val="00DD1ED8"/>
    <w:rsid w:val="00DD2419"/>
    <w:rsid w:val="00DD25AF"/>
    <w:rsid w:val="00DD261C"/>
    <w:rsid w:val="00DD27CB"/>
    <w:rsid w:val="00DD2B6B"/>
    <w:rsid w:val="00DD307A"/>
    <w:rsid w:val="00DD30CE"/>
    <w:rsid w:val="00DD3178"/>
    <w:rsid w:val="00DD346E"/>
    <w:rsid w:val="00DD3624"/>
    <w:rsid w:val="00DD386E"/>
    <w:rsid w:val="00DD3E62"/>
    <w:rsid w:val="00DD3ED0"/>
    <w:rsid w:val="00DD3F9F"/>
    <w:rsid w:val="00DD40C8"/>
    <w:rsid w:val="00DD411D"/>
    <w:rsid w:val="00DD421F"/>
    <w:rsid w:val="00DD459A"/>
    <w:rsid w:val="00DD46EC"/>
    <w:rsid w:val="00DD4A38"/>
    <w:rsid w:val="00DD4E0D"/>
    <w:rsid w:val="00DD4FF9"/>
    <w:rsid w:val="00DD506F"/>
    <w:rsid w:val="00DD50A1"/>
    <w:rsid w:val="00DD5148"/>
    <w:rsid w:val="00DD529D"/>
    <w:rsid w:val="00DD5463"/>
    <w:rsid w:val="00DD547D"/>
    <w:rsid w:val="00DD587C"/>
    <w:rsid w:val="00DD5A7D"/>
    <w:rsid w:val="00DD5B32"/>
    <w:rsid w:val="00DD5D54"/>
    <w:rsid w:val="00DD5F24"/>
    <w:rsid w:val="00DD615A"/>
    <w:rsid w:val="00DD61C7"/>
    <w:rsid w:val="00DD6243"/>
    <w:rsid w:val="00DD6431"/>
    <w:rsid w:val="00DD6449"/>
    <w:rsid w:val="00DD654D"/>
    <w:rsid w:val="00DD67EA"/>
    <w:rsid w:val="00DD68D8"/>
    <w:rsid w:val="00DD6AC8"/>
    <w:rsid w:val="00DD6E8D"/>
    <w:rsid w:val="00DD7114"/>
    <w:rsid w:val="00DD772A"/>
    <w:rsid w:val="00DD7D61"/>
    <w:rsid w:val="00DD7EBD"/>
    <w:rsid w:val="00DD7F49"/>
    <w:rsid w:val="00DE086E"/>
    <w:rsid w:val="00DE0A5A"/>
    <w:rsid w:val="00DE0F80"/>
    <w:rsid w:val="00DE1373"/>
    <w:rsid w:val="00DE15DC"/>
    <w:rsid w:val="00DE18F6"/>
    <w:rsid w:val="00DE1ADC"/>
    <w:rsid w:val="00DE1CB6"/>
    <w:rsid w:val="00DE1D76"/>
    <w:rsid w:val="00DE1F42"/>
    <w:rsid w:val="00DE20AE"/>
    <w:rsid w:val="00DE20BB"/>
    <w:rsid w:val="00DE243B"/>
    <w:rsid w:val="00DE2A33"/>
    <w:rsid w:val="00DE2F67"/>
    <w:rsid w:val="00DE31DC"/>
    <w:rsid w:val="00DE3274"/>
    <w:rsid w:val="00DE3347"/>
    <w:rsid w:val="00DE374A"/>
    <w:rsid w:val="00DE41CD"/>
    <w:rsid w:val="00DE4289"/>
    <w:rsid w:val="00DE42B8"/>
    <w:rsid w:val="00DE4737"/>
    <w:rsid w:val="00DE4A29"/>
    <w:rsid w:val="00DE4E3E"/>
    <w:rsid w:val="00DE4F79"/>
    <w:rsid w:val="00DE543E"/>
    <w:rsid w:val="00DE57D6"/>
    <w:rsid w:val="00DE59D3"/>
    <w:rsid w:val="00DE5FE1"/>
    <w:rsid w:val="00DE6130"/>
    <w:rsid w:val="00DE632C"/>
    <w:rsid w:val="00DE6741"/>
    <w:rsid w:val="00DE6928"/>
    <w:rsid w:val="00DE69F7"/>
    <w:rsid w:val="00DE6BDA"/>
    <w:rsid w:val="00DE6BF7"/>
    <w:rsid w:val="00DE6C1F"/>
    <w:rsid w:val="00DE6C71"/>
    <w:rsid w:val="00DE719F"/>
    <w:rsid w:val="00DE74AF"/>
    <w:rsid w:val="00DE753D"/>
    <w:rsid w:val="00DE77D1"/>
    <w:rsid w:val="00DF0401"/>
    <w:rsid w:val="00DF044A"/>
    <w:rsid w:val="00DF05C4"/>
    <w:rsid w:val="00DF0931"/>
    <w:rsid w:val="00DF0BD0"/>
    <w:rsid w:val="00DF0E25"/>
    <w:rsid w:val="00DF0F5F"/>
    <w:rsid w:val="00DF1018"/>
    <w:rsid w:val="00DF129E"/>
    <w:rsid w:val="00DF12F4"/>
    <w:rsid w:val="00DF16B9"/>
    <w:rsid w:val="00DF1CCA"/>
    <w:rsid w:val="00DF1DF3"/>
    <w:rsid w:val="00DF1EBD"/>
    <w:rsid w:val="00DF1FCA"/>
    <w:rsid w:val="00DF1FE9"/>
    <w:rsid w:val="00DF2037"/>
    <w:rsid w:val="00DF2111"/>
    <w:rsid w:val="00DF2269"/>
    <w:rsid w:val="00DF22FA"/>
    <w:rsid w:val="00DF247D"/>
    <w:rsid w:val="00DF2851"/>
    <w:rsid w:val="00DF2867"/>
    <w:rsid w:val="00DF28EC"/>
    <w:rsid w:val="00DF29D8"/>
    <w:rsid w:val="00DF2A09"/>
    <w:rsid w:val="00DF2A4C"/>
    <w:rsid w:val="00DF3144"/>
    <w:rsid w:val="00DF37ED"/>
    <w:rsid w:val="00DF3D7B"/>
    <w:rsid w:val="00DF43DE"/>
    <w:rsid w:val="00DF43FE"/>
    <w:rsid w:val="00DF457F"/>
    <w:rsid w:val="00DF46F0"/>
    <w:rsid w:val="00DF4865"/>
    <w:rsid w:val="00DF493A"/>
    <w:rsid w:val="00DF4D65"/>
    <w:rsid w:val="00DF5433"/>
    <w:rsid w:val="00DF5456"/>
    <w:rsid w:val="00DF547F"/>
    <w:rsid w:val="00DF5771"/>
    <w:rsid w:val="00DF5A21"/>
    <w:rsid w:val="00DF5CBD"/>
    <w:rsid w:val="00DF5E89"/>
    <w:rsid w:val="00DF5EF4"/>
    <w:rsid w:val="00DF60F1"/>
    <w:rsid w:val="00DF62B6"/>
    <w:rsid w:val="00DF64A5"/>
    <w:rsid w:val="00DF6687"/>
    <w:rsid w:val="00DF698D"/>
    <w:rsid w:val="00DF6CB1"/>
    <w:rsid w:val="00DF707C"/>
    <w:rsid w:val="00DF73A9"/>
    <w:rsid w:val="00DF7845"/>
    <w:rsid w:val="00DF7CB1"/>
    <w:rsid w:val="00DF7CBF"/>
    <w:rsid w:val="00E0027C"/>
    <w:rsid w:val="00E0039A"/>
    <w:rsid w:val="00E003AC"/>
    <w:rsid w:val="00E008EA"/>
    <w:rsid w:val="00E00A02"/>
    <w:rsid w:val="00E00A35"/>
    <w:rsid w:val="00E00CA4"/>
    <w:rsid w:val="00E01118"/>
    <w:rsid w:val="00E01277"/>
    <w:rsid w:val="00E0147C"/>
    <w:rsid w:val="00E01620"/>
    <w:rsid w:val="00E01891"/>
    <w:rsid w:val="00E01A86"/>
    <w:rsid w:val="00E01C79"/>
    <w:rsid w:val="00E01F4A"/>
    <w:rsid w:val="00E01FBC"/>
    <w:rsid w:val="00E02324"/>
    <w:rsid w:val="00E0232A"/>
    <w:rsid w:val="00E02925"/>
    <w:rsid w:val="00E0306B"/>
    <w:rsid w:val="00E0312C"/>
    <w:rsid w:val="00E0362B"/>
    <w:rsid w:val="00E0366C"/>
    <w:rsid w:val="00E036F2"/>
    <w:rsid w:val="00E038FC"/>
    <w:rsid w:val="00E03A39"/>
    <w:rsid w:val="00E04197"/>
    <w:rsid w:val="00E04319"/>
    <w:rsid w:val="00E04942"/>
    <w:rsid w:val="00E04D18"/>
    <w:rsid w:val="00E04E2D"/>
    <w:rsid w:val="00E05176"/>
    <w:rsid w:val="00E0528F"/>
    <w:rsid w:val="00E0536E"/>
    <w:rsid w:val="00E054F2"/>
    <w:rsid w:val="00E05668"/>
    <w:rsid w:val="00E056C5"/>
    <w:rsid w:val="00E05AA4"/>
    <w:rsid w:val="00E05E18"/>
    <w:rsid w:val="00E060CB"/>
    <w:rsid w:val="00E06461"/>
    <w:rsid w:val="00E0669D"/>
    <w:rsid w:val="00E06990"/>
    <w:rsid w:val="00E06C10"/>
    <w:rsid w:val="00E06D0A"/>
    <w:rsid w:val="00E070CC"/>
    <w:rsid w:val="00E070E4"/>
    <w:rsid w:val="00E071B6"/>
    <w:rsid w:val="00E07225"/>
    <w:rsid w:val="00E0766A"/>
    <w:rsid w:val="00E07BC9"/>
    <w:rsid w:val="00E1019F"/>
    <w:rsid w:val="00E102D6"/>
    <w:rsid w:val="00E1047C"/>
    <w:rsid w:val="00E104BB"/>
    <w:rsid w:val="00E106A0"/>
    <w:rsid w:val="00E1084F"/>
    <w:rsid w:val="00E10D65"/>
    <w:rsid w:val="00E10EC3"/>
    <w:rsid w:val="00E112EF"/>
    <w:rsid w:val="00E11600"/>
    <w:rsid w:val="00E11D91"/>
    <w:rsid w:val="00E12684"/>
    <w:rsid w:val="00E1278D"/>
    <w:rsid w:val="00E12800"/>
    <w:rsid w:val="00E12AD8"/>
    <w:rsid w:val="00E12B58"/>
    <w:rsid w:val="00E12F09"/>
    <w:rsid w:val="00E13077"/>
    <w:rsid w:val="00E13078"/>
    <w:rsid w:val="00E132ED"/>
    <w:rsid w:val="00E133DF"/>
    <w:rsid w:val="00E13983"/>
    <w:rsid w:val="00E13998"/>
    <w:rsid w:val="00E13E8F"/>
    <w:rsid w:val="00E14122"/>
    <w:rsid w:val="00E142C0"/>
    <w:rsid w:val="00E144D5"/>
    <w:rsid w:val="00E14786"/>
    <w:rsid w:val="00E14995"/>
    <w:rsid w:val="00E14DFA"/>
    <w:rsid w:val="00E1517B"/>
    <w:rsid w:val="00E15338"/>
    <w:rsid w:val="00E153A0"/>
    <w:rsid w:val="00E1544F"/>
    <w:rsid w:val="00E158E2"/>
    <w:rsid w:val="00E158EE"/>
    <w:rsid w:val="00E15A5D"/>
    <w:rsid w:val="00E15A65"/>
    <w:rsid w:val="00E15BB0"/>
    <w:rsid w:val="00E15C7D"/>
    <w:rsid w:val="00E15D05"/>
    <w:rsid w:val="00E15E41"/>
    <w:rsid w:val="00E15FBB"/>
    <w:rsid w:val="00E16678"/>
    <w:rsid w:val="00E166D4"/>
    <w:rsid w:val="00E16A59"/>
    <w:rsid w:val="00E16B67"/>
    <w:rsid w:val="00E16CD9"/>
    <w:rsid w:val="00E16DBA"/>
    <w:rsid w:val="00E16E9F"/>
    <w:rsid w:val="00E16ECC"/>
    <w:rsid w:val="00E178E2"/>
    <w:rsid w:val="00E17EBA"/>
    <w:rsid w:val="00E17FB5"/>
    <w:rsid w:val="00E204A4"/>
    <w:rsid w:val="00E206C1"/>
    <w:rsid w:val="00E20729"/>
    <w:rsid w:val="00E20BB6"/>
    <w:rsid w:val="00E20D85"/>
    <w:rsid w:val="00E20D9E"/>
    <w:rsid w:val="00E2117E"/>
    <w:rsid w:val="00E2138F"/>
    <w:rsid w:val="00E2152B"/>
    <w:rsid w:val="00E21614"/>
    <w:rsid w:val="00E21953"/>
    <w:rsid w:val="00E21B4B"/>
    <w:rsid w:val="00E21C40"/>
    <w:rsid w:val="00E22208"/>
    <w:rsid w:val="00E22393"/>
    <w:rsid w:val="00E2287A"/>
    <w:rsid w:val="00E22B10"/>
    <w:rsid w:val="00E22FB0"/>
    <w:rsid w:val="00E2334B"/>
    <w:rsid w:val="00E23593"/>
    <w:rsid w:val="00E23A50"/>
    <w:rsid w:val="00E23CB7"/>
    <w:rsid w:val="00E23D9E"/>
    <w:rsid w:val="00E23E09"/>
    <w:rsid w:val="00E23EBF"/>
    <w:rsid w:val="00E23F69"/>
    <w:rsid w:val="00E2410E"/>
    <w:rsid w:val="00E2428B"/>
    <w:rsid w:val="00E24606"/>
    <w:rsid w:val="00E24A32"/>
    <w:rsid w:val="00E24D89"/>
    <w:rsid w:val="00E24FDA"/>
    <w:rsid w:val="00E2528C"/>
    <w:rsid w:val="00E2548B"/>
    <w:rsid w:val="00E254AA"/>
    <w:rsid w:val="00E25518"/>
    <w:rsid w:val="00E25D31"/>
    <w:rsid w:val="00E25F20"/>
    <w:rsid w:val="00E25FAE"/>
    <w:rsid w:val="00E25FD7"/>
    <w:rsid w:val="00E26422"/>
    <w:rsid w:val="00E26883"/>
    <w:rsid w:val="00E26A65"/>
    <w:rsid w:val="00E273BD"/>
    <w:rsid w:val="00E27CE0"/>
    <w:rsid w:val="00E27D26"/>
    <w:rsid w:val="00E27E8F"/>
    <w:rsid w:val="00E3003E"/>
    <w:rsid w:val="00E30121"/>
    <w:rsid w:val="00E302CE"/>
    <w:rsid w:val="00E3035E"/>
    <w:rsid w:val="00E3098B"/>
    <w:rsid w:val="00E30A94"/>
    <w:rsid w:val="00E30ACE"/>
    <w:rsid w:val="00E30E7F"/>
    <w:rsid w:val="00E31143"/>
    <w:rsid w:val="00E313B8"/>
    <w:rsid w:val="00E3184C"/>
    <w:rsid w:val="00E31864"/>
    <w:rsid w:val="00E31881"/>
    <w:rsid w:val="00E31937"/>
    <w:rsid w:val="00E31C21"/>
    <w:rsid w:val="00E31C42"/>
    <w:rsid w:val="00E31E82"/>
    <w:rsid w:val="00E31F84"/>
    <w:rsid w:val="00E32010"/>
    <w:rsid w:val="00E3203B"/>
    <w:rsid w:val="00E320FE"/>
    <w:rsid w:val="00E32554"/>
    <w:rsid w:val="00E3261F"/>
    <w:rsid w:val="00E32636"/>
    <w:rsid w:val="00E326D3"/>
    <w:rsid w:val="00E32751"/>
    <w:rsid w:val="00E32B41"/>
    <w:rsid w:val="00E32CEE"/>
    <w:rsid w:val="00E32CF3"/>
    <w:rsid w:val="00E32D3B"/>
    <w:rsid w:val="00E3336C"/>
    <w:rsid w:val="00E33490"/>
    <w:rsid w:val="00E335C9"/>
    <w:rsid w:val="00E335ED"/>
    <w:rsid w:val="00E33ABA"/>
    <w:rsid w:val="00E33AE5"/>
    <w:rsid w:val="00E33E29"/>
    <w:rsid w:val="00E33FD1"/>
    <w:rsid w:val="00E34338"/>
    <w:rsid w:val="00E3439F"/>
    <w:rsid w:val="00E343C5"/>
    <w:rsid w:val="00E34747"/>
    <w:rsid w:val="00E34DDA"/>
    <w:rsid w:val="00E34F9A"/>
    <w:rsid w:val="00E3515A"/>
    <w:rsid w:val="00E35189"/>
    <w:rsid w:val="00E353B4"/>
    <w:rsid w:val="00E3558F"/>
    <w:rsid w:val="00E3594B"/>
    <w:rsid w:val="00E35C03"/>
    <w:rsid w:val="00E35F6E"/>
    <w:rsid w:val="00E36176"/>
    <w:rsid w:val="00E363B2"/>
    <w:rsid w:val="00E3660D"/>
    <w:rsid w:val="00E366FF"/>
    <w:rsid w:val="00E367A0"/>
    <w:rsid w:val="00E36800"/>
    <w:rsid w:val="00E369F1"/>
    <w:rsid w:val="00E36A8C"/>
    <w:rsid w:val="00E36DFD"/>
    <w:rsid w:val="00E3718D"/>
    <w:rsid w:val="00E376C9"/>
    <w:rsid w:val="00E376D3"/>
    <w:rsid w:val="00E37A28"/>
    <w:rsid w:val="00E37AEE"/>
    <w:rsid w:val="00E37E6C"/>
    <w:rsid w:val="00E37F36"/>
    <w:rsid w:val="00E3C717"/>
    <w:rsid w:val="00E40771"/>
    <w:rsid w:val="00E408D3"/>
    <w:rsid w:val="00E40925"/>
    <w:rsid w:val="00E40A88"/>
    <w:rsid w:val="00E40D0B"/>
    <w:rsid w:val="00E40F85"/>
    <w:rsid w:val="00E41024"/>
    <w:rsid w:val="00E41134"/>
    <w:rsid w:val="00E41298"/>
    <w:rsid w:val="00E412B6"/>
    <w:rsid w:val="00E4144E"/>
    <w:rsid w:val="00E41649"/>
    <w:rsid w:val="00E418E9"/>
    <w:rsid w:val="00E41A74"/>
    <w:rsid w:val="00E41AD7"/>
    <w:rsid w:val="00E41B2A"/>
    <w:rsid w:val="00E41B4C"/>
    <w:rsid w:val="00E41BAE"/>
    <w:rsid w:val="00E41BE3"/>
    <w:rsid w:val="00E41C32"/>
    <w:rsid w:val="00E41D19"/>
    <w:rsid w:val="00E41E92"/>
    <w:rsid w:val="00E4206D"/>
    <w:rsid w:val="00E42525"/>
    <w:rsid w:val="00E4286B"/>
    <w:rsid w:val="00E42E73"/>
    <w:rsid w:val="00E42ED3"/>
    <w:rsid w:val="00E43556"/>
    <w:rsid w:val="00E4373D"/>
    <w:rsid w:val="00E4377F"/>
    <w:rsid w:val="00E438FC"/>
    <w:rsid w:val="00E43B6B"/>
    <w:rsid w:val="00E43C80"/>
    <w:rsid w:val="00E43CE0"/>
    <w:rsid w:val="00E43EE6"/>
    <w:rsid w:val="00E440C9"/>
    <w:rsid w:val="00E4418E"/>
    <w:rsid w:val="00E44236"/>
    <w:rsid w:val="00E442F3"/>
    <w:rsid w:val="00E4461B"/>
    <w:rsid w:val="00E44B28"/>
    <w:rsid w:val="00E44CE5"/>
    <w:rsid w:val="00E45460"/>
    <w:rsid w:val="00E45986"/>
    <w:rsid w:val="00E45A61"/>
    <w:rsid w:val="00E45C3C"/>
    <w:rsid w:val="00E45DD4"/>
    <w:rsid w:val="00E45DF9"/>
    <w:rsid w:val="00E46071"/>
    <w:rsid w:val="00E460D2"/>
    <w:rsid w:val="00E4617F"/>
    <w:rsid w:val="00E4620C"/>
    <w:rsid w:val="00E46410"/>
    <w:rsid w:val="00E468A3"/>
    <w:rsid w:val="00E4693D"/>
    <w:rsid w:val="00E46C1C"/>
    <w:rsid w:val="00E46CA9"/>
    <w:rsid w:val="00E46D4F"/>
    <w:rsid w:val="00E46DF8"/>
    <w:rsid w:val="00E46E3D"/>
    <w:rsid w:val="00E46FF4"/>
    <w:rsid w:val="00E47217"/>
    <w:rsid w:val="00E47702"/>
    <w:rsid w:val="00E478B9"/>
    <w:rsid w:val="00E478BC"/>
    <w:rsid w:val="00E47A24"/>
    <w:rsid w:val="00E47C5F"/>
    <w:rsid w:val="00E47E1F"/>
    <w:rsid w:val="00E47E7B"/>
    <w:rsid w:val="00E47FB7"/>
    <w:rsid w:val="00E500EF"/>
    <w:rsid w:val="00E501C1"/>
    <w:rsid w:val="00E50201"/>
    <w:rsid w:val="00E50348"/>
    <w:rsid w:val="00E5058B"/>
    <w:rsid w:val="00E50B89"/>
    <w:rsid w:val="00E50D7B"/>
    <w:rsid w:val="00E50E02"/>
    <w:rsid w:val="00E50FC2"/>
    <w:rsid w:val="00E5113F"/>
    <w:rsid w:val="00E511EA"/>
    <w:rsid w:val="00E51435"/>
    <w:rsid w:val="00E514CD"/>
    <w:rsid w:val="00E517AE"/>
    <w:rsid w:val="00E51BD4"/>
    <w:rsid w:val="00E51DA3"/>
    <w:rsid w:val="00E51E19"/>
    <w:rsid w:val="00E52222"/>
    <w:rsid w:val="00E5238D"/>
    <w:rsid w:val="00E52629"/>
    <w:rsid w:val="00E527F5"/>
    <w:rsid w:val="00E530E6"/>
    <w:rsid w:val="00E531C6"/>
    <w:rsid w:val="00E532BE"/>
    <w:rsid w:val="00E53653"/>
    <w:rsid w:val="00E53692"/>
    <w:rsid w:val="00E537EE"/>
    <w:rsid w:val="00E538B6"/>
    <w:rsid w:val="00E53C8B"/>
    <w:rsid w:val="00E53F1E"/>
    <w:rsid w:val="00E5409F"/>
    <w:rsid w:val="00E540A9"/>
    <w:rsid w:val="00E54227"/>
    <w:rsid w:val="00E5427C"/>
    <w:rsid w:val="00E542E2"/>
    <w:rsid w:val="00E54300"/>
    <w:rsid w:val="00E54420"/>
    <w:rsid w:val="00E5447F"/>
    <w:rsid w:val="00E54762"/>
    <w:rsid w:val="00E54848"/>
    <w:rsid w:val="00E54917"/>
    <w:rsid w:val="00E54C89"/>
    <w:rsid w:val="00E54DD3"/>
    <w:rsid w:val="00E54E52"/>
    <w:rsid w:val="00E552CA"/>
    <w:rsid w:val="00E5551E"/>
    <w:rsid w:val="00E55852"/>
    <w:rsid w:val="00E559B1"/>
    <w:rsid w:val="00E55ACE"/>
    <w:rsid w:val="00E55C76"/>
    <w:rsid w:val="00E55F58"/>
    <w:rsid w:val="00E5619A"/>
    <w:rsid w:val="00E56629"/>
    <w:rsid w:val="00E56894"/>
    <w:rsid w:val="00E56928"/>
    <w:rsid w:val="00E569B8"/>
    <w:rsid w:val="00E569D9"/>
    <w:rsid w:val="00E56C10"/>
    <w:rsid w:val="00E56D7B"/>
    <w:rsid w:val="00E56D92"/>
    <w:rsid w:val="00E5708D"/>
    <w:rsid w:val="00E57247"/>
    <w:rsid w:val="00E5752E"/>
    <w:rsid w:val="00E576D3"/>
    <w:rsid w:val="00E57CE2"/>
    <w:rsid w:val="00E57F2F"/>
    <w:rsid w:val="00E60769"/>
    <w:rsid w:val="00E60A37"/>
    <w:rsid w:val="00E60B7A"/>
    <w:rsid w:val="00E60D0D"/>
    <w:rsid w:val="00E6111E"/>
    <w:rsid w:val="00E6126A"/>
    <w:rsid w:val="00E616EC"/>
    <w:rsid w:val="00E61868"/>
    <w:rsid w:val="00E61A5A"/>
    <w:rsid w:val="00E61DEF"/>
    <w:rsid w:val="00E61E7C"/>
    <w:rsid w:val="00E6223B"/>
    <w:rsid w:val="00E62316"/>
    <w:rsid w:val="00E62965"/>
    <w:rsid w:val="00E62B06"/>
    <w:rsid w:val="00E62E82"/>
    <w:rsid w:val="00E62F9C"/>
    <w:rsid w:val="00E63186"/>
    <w:rsid w:val="00E63226"/>
    <w:rsid w:val="00E63371"/>
    <w:rsid w:val="00E6340E"/>
    <w:rsid w:val="00E63B79"/>
    <w:rsid w:val="00E63DC5"/>
    <w:rsid w:val="00E63FCA"/>
    <w:rsid w:val="00E6403F"/>
    <w:rsid w:val="00E64608"/>
    <w:rsid w:val="00E64803"/>
    <w:rsid w:val="00E64ACB"/>
    <w:rsid w:val="00E64B44"/>
    <w:rsid w:val="00E64C83"/>
    <w:rsid w:val="00E64FE2"/>
    <w:rsid w:val="00E65105"/>
    <w:rsid w:val="00E651D7"/>
    <w:rsid w:val="00E652A9"/>
    <w:rsid w:val="00E653A7"/>
    <w:rsid w:val="00E657A5"/>
    <w:rsid w:val="00E65D49"/>
    <w:rsid w:val="00E65F0E"/>
    <w:rsid w:val="00E663F3"/>
    <w:rsid w:val="00E666F1"/>
    <w:rsid w:val="00E66A0E"/>
    <w:rsid w:val="00E66B20"/>
    <w:rsid w:val="00E66C1D"/>
    <w:rsid w:val="00E66C78"/>
    <w:rsid w:val="00E66C88"/>
    <w:rsid w:val="00E66D10"/>
    <w:rsid w:val="00E6702F"/>
    <w:rsid w:val="00E67702"/>
    <w:rsid w:val="00E678D3"/>
    <w:rsid w:val="00E679FE"/>
    <w:rsid w:val="00E67BEE"/>
    <w:rsid w:val="00E67E6A"/>
    <w:rsid w:val="00E70094"/>
    <w:rsid w:val="00E70310"/>
    <w:rsid w:val="00E70678"/>
    <w:rsid w:val="00E70722"/>
    <w:rsid w:val="00E70898"/>
    <w:rsid w:val="00E70BD2"/>
    <w:rsid w:val="00E70DFE"/>
    <w:rsid w:val="00E70FC6"/>
    <w:rsid w:val="00E710A9"/>
    <w:rsid w:val="00E715C2"/>
    <w:rsid w:val="00E71900"/>
    <w:rsid w:val="00E7191B"/>
    <w:rsid w:val="00E71A62"/>
    <w:rsid w:val="00E71A7C"/>
    <w:rsid w:val="00E71CDA"/>
    <w:rsid w:val="00E71CE1"/>
    <w:rsid w:val="00E71FEF"/>
    <w:rsid w:val="00E7259F"/>
    <w:rsid w:val="00E72675"/>
    <w:rsid w:val="00E72B53"/>
    <w:rsid w:val="00E73270"/>
    <w:rsid w:val="00E732BA"/>
    <w:rsid w:val="00E736AB"/>
    <w:rsid w:val="00E73820"/>
    <w:rsid w:val="00E73942"/>
    <w:rsid w:val="00E73984"/>
    <w:rsid w:val="00E73CF6"/>
    <w:rsid w:val="00E74163"/>
    <w:rsid w:val="00E74244"/>
    <w:rsid w:val="00E74264"/>
    <w:rsid w:val="00E744B5"/>
    <w:rsid w:val="00E7466F"/>
    <w:rsid w:val="00E746FF"/>
    <w:rsid w:val="00E7470F"/>
    <w:rsid w:val="00E74A74"/>
    <w:rsid w:val="00E752E1"/>
    <w:rsid w:val="00E755F9"/>
    <w:rsid w:val="00E7579B"/>
    <w:rsid w:val="00E76154"/>
    <w:rsid w:val="00E761ED"/>
    <w:rsid w:val="00E7656D"/>
    <w:rsid w:val="00E766D1"/>
    <w:rsid w:val="00E7672B"/>
    <w:rsid w:val="00E76771"/>
    <w:rsid w:val="00E7678F"/>
    <w:rsid w:val="00E76854"/>
    <w:rsid w:val="00E76931"/>
    <w:rsid w:val="00E76BED"/>
    <w:rsid w:val="00E76C73"/>
    <w:rsid w:val="00E76ED7"/>
    <w:rsid w:val="00E76F21"/>
    <w:rsid w:val="00E76FBC"/>
    <w:rsid w:val="00E77040"/>
    <w:rsid w:val="00E776CF"/>
    <w:rsid w:val="00E77D1A"/>
    <w:rsid w:val="00E801FE"/>
    <w:rsid w:val="00E80294"/>
    <w:rsid w:val="00E80467"/>
    <w:rsid w:val="00E8095B"/>
    <w:rsid w:val="00E80C2A"/>
    <w:rsid w:val="00E80D36"/>
    <w:rsid w:val="00E80D4C"/>
    <w:rsid w:val="00E8104E"/>
    <w:rsid w:val="00E81422"/>
    <w:rsid w:val="00E8149F"/>
    <w:rsid w:val="00E8167A"/>
    <w:rsid w:val="00E81879"/>
    <w:rsid w:val="00E81A6A"/>
    <w:rsid w:val="00E81AF2"/>
    <w:rsid w:val="00E81DFE"/>
    <w:rsid w:val="00E82377"/>
    <w:rsid w:val="00E82511"/>
    <w:rsid w:val="00E826B4"/>
    <w:rsid w:val="00E827D9"/>
    <w:rsid w:val="00E82829"/>
    <w:rsid w:val="00E82F71"/>
    <w:rsid w:val="00E82FE3"/>
    <w:rsid w:val="00E82FEE"/>
    <w:rsid w:val="00E83009"/>
    <w:rsid w:val="00E830DF"/>
    <w:rsid w:val="00E83147"/>
    <w:rsid w:val="00E831EF"/>
    <w:rsid w:val="00E83615"/>
    <w:rsid w:val="00E837AE"/>
    <w:rsid w:val="00E837E9"/>
    <w:rsid w:val="00E83A11"/>
    <w:rsid w:val="00E83A24"/>
    <w:rsid w:val="00E83A5B"/>
    <w:rsid w:val="00E83D72"/>
    <w:rsid w:val="00E8419A"/>
    <w:rsid w:val="00E84270"/>
    <w:rsid w:val="00E84710"/>
    <w:rsid w:val="00E84741"/>
    <w:rsid w:val="00E847F3"/>
    <w:rsid w:val="00E8494E"/>
    <w:rsid w:val="00E85286"/>
    <w:rsid w:val="00E85406"/>
    <w:rsid w:val="00E854AE"/>
    <w:rsid w:val="00E855F6"/>
    <w:rsid w:val="00E85E6B"/>
    <w:rsid w:val="00E85E93"/>
    <w:rsid w:val="00E8609E"/>
    <w:rsid w:val="00E861C1"/>
    <w:rsid w:val="00E861E2"/>
    <w:rsid w:val="00E861F1"/>
    <w:rsid w:val="00E861FE"/>
    <w:rsid w:val="00E86213"/>
    <w:rsid w:val="00E86488"/>
    <w:rsid w:val="00E86832"/>
    <w:rsid w:val="00E86932"/>
    <w:rsid w:val="00E86C10"/>
    <w:rsid w:val="00E86F00"/>
    <w:rsid w:val="00E87252"/>
    <w:rsid w:val="00E87451"/>
    <w:rsid w:val="00E8763C"/>
    <w:rsid w:val="00E87A81"/>
    <w:rsid w:val="00E87D20"/>
    <w:rsid w:val="00E87FA2"/>
    <w:rsid w:val="00E9009F"/>
    <w:rsid w:val="00E900F1"/>
    <w:rsid w:val="00E90224"/>
    <w:rsid w:val="00E90375"/>
    <w:rsid w:val="00E9040D"/>
    <w:rsid w:val="00E9065D"/>
    <w:rsid w:val="00E909D5"/>
    <w:rsid w:val="00E90CC0"/>
    <w:rsid w:val="00E90E0C"/>
    <w:rsid w:val="00E90E78"/>
    <w:rsid w:val="00E91010"/>
    <w:rsid w:val="00E91E5F"/>
    <w:rsid w:val="00E91E68"/>
    <w:rsid w:val="00E91E7F"/>
    <w:rsid w:val="00E9228E"/>
    <w:rsid w:val="00E92366"/>
    <w:rsid w:val="00E92B3F"/>
    <w:rsid w:val="00E92DA3"/>
    <w:rsid w:val="00E92E65"/>
    <w:rsid w:val="00E933C7"/>
    <w:rsid w:val="00E93525"/>
    <w:rsid w:val="00E9352F"/>
    <w:rsid w:val="00E9359A"/>
    <w:rsid w:val="00E93728"/>
    <w:rsid w:val="00E937C8"/>
    <w:rsid w:val="00E938B8"/>
    <w:rsid w:val="00E938D5"/>
    <w:rsid w:val="00E93950"/>
    <w:rsid w:val="00E9398F"/>
    <w:rsid w:val="00E93A37"/>
    <w:rsid w:val="00E93AD9"/>
    <w:rsid w:val="00E93CAB"/>
    <w:rsid w:val="00E942E3"/>
    <w:rsid w:val="00E9447F"/>
    <w:rsid w:val="00E94533"/>
    <w:rsid w:val="00E947B5"/>
    <w:rsid w:val="00E94862"/>
    <w:rsid w:val="00E94A2C"/>
    <w:rsid w:val="00E94B12"/>
    <w:rsid w:val="00E94D44"/>
    <w:rsid w:val="00E95082"/>
    <w:rsid w:val="00E952DF"/>
    <w:rsid w:val="00E9536D"/>
    <w:rsid w:val="00E9553B"/>
    <w:rsid w:val="00E95849"/>
    <w:rsid w:val="00E9586C"/>
    <w:rsid w:val="00E95B4E"/>
    <w:rsid w:val="00E95B59"/>
    <w:rsid w:val="00E9605E"/>
    <w:rsid w:val="00E962CD"/>
    <w:rsid w:val="00E96459"/>
    <w:rsid w:val="00E965D3"/>
    <w:rsid w:val="00E96631"/>
    <w:rsid w:val="00E96678"/>
    <w:rsid w:val="00E96748"/>
    <w:rsid w:val="00E96834"/>
    <w:rsid w:val="00E969FF"/>
    <w:rsid w:val="00E96C30"/>
    <w:rsid w:val="00E973DC"/>
    <w:rsid w:val="00E97450"/>
    <w:rsid w:val="00EA0071"/>
    <w:rsid w:val="00EA0394"/>
    <w:rsid w:val="00EA0789"/>
    <w:rsid w:val="00EA08F7"/>
    <w:rsid w:val="00EA09B1"/>
    <w:rsid w:val="00EA09E2"/>
    <w:rsid w:val="00EA0A4D"/>
    <w:rsid w:val="00EA1246"/>
    <w:rsid w:val="00EA1335"/>
    <w:rsid w:val="00EA17AD"/>
    <w:rsid w:val="00EA18BD"/>
    <w:rsid w:val="00EA18FA"/>
    <w:rsid w:val="00EA1B7B"/>
    <w:rsid w:val="00EA1D9E"/>
    <w:rsid w:val="00EA213F"/>
    <w:rsid w:val="00EA2234"/>
    <w:rsid w:val="00EA2268"/>
    <w:rsid w:val="00EA2336"/>
    <w:rsid w:val="00EA2BDD"/>
    <w:rsid w:val="00EA2CF5"/>
    <w:rsid w:val="00EA2D18"/>
    <w:rsid w:val="00EA2F18"/>
    <w:rsid w:val="00EA3066"/>
    <w:rsid w:val="00EA3DF6"/>
    <w:rsid w:val="00EA466B"/>
    <w:rsid w:val="00EA46B6"/>
    <w:rsid w:val="00EA486F"/>
    <w:rsid w:val="00EA487C"/>
    <w:rsid w:val="00EA49FB"/>
    <w:rsid w:val="00EA5189"/>
    <w:rsid w:val="00EA53B6"/>
    <w:rsid w:val="00EA53C3"/>
    <w:rsid w:val="00EA5AF5"/>
    <w:rsid w:val="00EA6227"/>
    <w:rsid w:val="00EA6A1F"/>
    <w:rsid w:val="00EA6DD4"/>
    <w:rsid w:val="00EA736C"/>
    <w:rsid w:val="00EA75C9"/>
    <w:rsid w:val="00EA7CE7"/>
    <w:rsid w:val="00EB0063"/>
    <w:rsid w:val="00EB01BF"/>
    <w:rsid w:val="00EB0213"/>
    <w:rsid w:val="00EB0309"/>
    <w:rsid w:val="00EB04BB"/>
    <w:rsid w:val="00EB0882"/>
    <w:rsid w:val="00EB08A8"/>
    <w:rsid w:val="00EB0AFE"/>
    <w:rsid w:val="00EB0CCF"/>
    <w:rsid w:val="00EB0D26"/>
    <w:rsid w:val="00EB0D55"/>
    <w:rsid w:val="00EB0D75"/>
    <w:rsid w:val="00EB0D7D"/>
    <w:rsid w:val="00EB0E32"/>
    <w:rsid w:val="00EB0F37"/>
    <w:rsid w:val="00EB1166"/>
    <w:rsid w:val="00EB120F"/>
    <w:rsid w:val="00EB1265"/>
    <w:rsid w:val="00EB1299"/>
    <w:rsid w:val="00EB15A2"/>
    <w:rsid w:val="00EB1B10"/>
    <w:rsid w:val="00EB1CAC"/>
    <w:rsid w:val="00EB1FEF"/>
    <w:rsid w:val="00EB2099"/>
    <w:rsid w:val="00EB2228"/>
    <w:rsid w:val="00EB227F"/>
    <w:rsid w:val="00EB25C5"/>
    <w:rsid w:val="00EB2737"/>
    <w:rsid w:val="00EB2BEE"/>
    <w:rsid w:val="00EB2D6E"/>
    <w:rsid w:val="00EB3097"/>
    <w:rsid w:val="00EB311F"/>
    <w:rsid w:val="00EB316E"/>
    <w:rsid w:val="00EB31F8"/>
    <w:rsid w:val="00EB3465"/>
    <w:rsid w:val="00EB3483"/>
    <w:rsid w:val="00EB3487"/>
    <w:rsid w:val="00EB348B"/>
    <w:rsid w:val="00EB36AA"/>
    <w:rsid w:val="00EB36C1"/>
    <w:rsid w:val="00EB3B5A"/>
    <w:rsid w:val="00EB3EB2"/>
    <w:rsid w:val="00EB41D1"/>
    <w:rsid w:val="00EB4250"/>
    <w:rsid w:val="00EB42BC"/>
    <w:rsid w:val="00EB42F6"/>
    <w:rsid w:val="00EB4E56"/>
    <w:rsid w:val="00EB5101"/>
    <w:rsid w:val="00EB5477"/>
    <w:rsid w:val="00EB54A4"/>
    <w:rsid w:val="00EB553E"/>
    <w:rsid w:val="00EB5857"/>
    <w:rsid w:val="00EB590F"/>
    <w:rsid w:val="00EB5A4A"/>
    <w:rsid w:val="00EB5F74"/>
    <w:rsid w:val="00EB5FAE"/>
    <w:rsid w:val="00EB6101"/>
    <w:rsid w:val="00EB61EF"/>
    <w:rsid w:val="00EB624A"/>
    <w:rsid w:val="00EB65BD"/>
    <w:rsid w:val="00EB66B8"/>
    <w:rsid w:val="00EB68B0"/>
    <w:rsid w:val="00EB6D51"/>
    <w:rsid w:val="00EB6E03"/>
    <w:rsid w:val="00EB707F"/>
    <w:rsid w:val="00EB7260"/>
    <w:rsid w:val="00EB72CE"/>
    <w:rsid w:val="00EB7529"/>
    <w:rsid w:val="00EB7534"/>
    <w:rsid w:val="00EB770D"/>
    <w:rsid w:val="00EB771D"/>
    <w:rsid w:val="00EB79BF"/>
    <w:rsid w:val="00EB7A40"/>
    <w:rsid w:val="00EB7C32"/>
    <w:rsid w:val="00EB7C91"/>
    <w:rsid w:val="00EC039B"/>
    <w:rsid w:val="00EC04E5"/>
    <w:rsid w:val="00EC0852"/>
    <w:rsid w:val="00EC0B57"/>
    <w:rsid w:val="00EC107C"/>
    <w:rsid w:val="00EC1635"/>
    <w:rsid w:val="00EC1C9B"/>
    <w:rsid w:val="00EC1D31"/>
    <w:rsid w:val="00EC24F9"/>
    <w:rsid w:val="00EC2955"/>
    <w:rsid w:val="00EC2A1A"/>
    <w:rsid w:val="00EC2C1F"/>
    <w:rsid w:val="00EC2CA4"/>
    <w:rsid w:val="00EC2EA5"/>
    <w:rsid w:val="00EC312F"/>
    <w:rsid w:val="00EC314A"/>
    <w:rsid w:val="00EC3352"/>
    <w:rsid w:val="00EC37B5"/>
    <w:rsid w:val="00EC3945"/>
    <w:rsid w:val="00EC398C"/>
    <w:rsid w:val="00EC3D8F"/>
    <w:rsid w:val="00EC41F0"/>
    <w:rsid w:val="00EC434F"/>
    <w:rsid w:val="00EC437C"/>
    <w:rsid w:val="00EC47EB"/>
    <w:rsid w:val="00EC49BF"/>
    <w:rsid w:val="00EC502D"/>
    <w:rsid w:val="00EC50EA"/>
    <w:rsid w:val="00EC51B7"/>
    <w:rsid w:val="00EC55AA"/>
    <w:rsid w:val="00EC580C"/>
    <w:rsid w:val="00EC5976"/>
    <w:rsid w:val="00EC5AE2"/>
    <w:rsid w:val="00EC5E11"/>
    <w:rsid w:val="00EC60DF"/>
    <w:rsid w:val="00EC61AE"/>
    <w:rsid w:val="00EC66EC"/>
    <w:rsid w:val="00EC6912"/>
    <w:rsid w:val="00EC6A8A"/>
    <w:rsid w:val="00EC6C6F"/>
    <w:rsid w:val="00EC6CFB"/>
    <w:rsid w:val="00EC6D1A"/>
    <w:rsid w:val="00EC6E61"/>
    <w:rsid w:val="00EC6EC1"/>
    <w:rsid w:val="00EC6EED"/>
    <w:rsid w:val="00EC7033"/>
    <w:rsid w:val="00EC7370"/>
    <w:rsid w:val="00EC74F4"/>
    <w:rsid w:val="00EC757C"/>
    <w:rsid w:val="00EC75F0"/>
    <w:rsid w:val="00EC77D8"/>
    <w:rsid w:val="00EC79BA"/>
    <w:rsid w:val="00EC7BC7"/>
    <w:rsid w:val="00EC7C84"/>
    <w:rsid w:val="00EC7CDF"/>
    <w:rsid w:val="00EC7CFE"/>
    <w:rsid w:val="00EC7D07"/>
    <w:rsid w:val="00EC7D2B"/>
    <w:rsid w:val="00EC7F41"/>
    <w:rsid w:val="00ED0002"/>
    <w:rsid w:val="00ED0758"/>
    <w:rsid w:val="00ED0784"/>
    <w:rsid w:val="00ED0A73"/>
    <w:rsid w:val="00ED0B1C"/>
    <w:rsid w:val="00ED0C41"/>
    <w:rsid w:val="00ED0C64"/>
    <w:rsid w:val="00ED0DE8"/>
    <w:rsid w:val="00ED0E10"/>
    <w:rsid w:val="00ED1305"/>
    <w:rsid w:val="00ED138A"/>
    <w:rsid w:val="00ED153A"/>
    <w:rsid w:val="00ED1542"/>
    <w:rsid w:val="00ED17BD"/>
    <w:rsid w:val="00ED1AEE"/>
    <w:rsid w:val="00ED1AEF"/>
    <w:rsid w:val="00ED1B99"/>
    <w:rsid w:val="00ED1FEC"/>
    <w:rsid w:val="00ED2109"/>
    <w:rsid w:val="00ED2124"/>
    <w:rsid w:val="00ED2554"/>
    <w:rsid w:val="00ED2561"/>
    <w:rsid w:val="00ED2650"/>
    <w:rsid w:val="00ED2A1E"/>
    <w:rsid w:val="00ED2BDD"/>
    <w:rsid w:val="00ED2E86"/>
    <w:rsid w:val="00ED2FDD"/>
    <w:rsid w:val="00ED362F"/>
    <w:rsid w:val="00ED3F6F"/>
    <w:rsid w:val="00ED4296"/>
    <w:rsid w:val="00ED4298"/>
    <w:rsid w:val="00ED4574"/>
    <w:rsid w:val="00ED496E"/>
    <w:rsid w:val="00ED4A28"/>
    <w:rsid w:val="00ED4A51"/>
    <w:rsid w:val="00ED4AA9"/>
    <w:rsid w:val="00ED4AE7"/>
    <w:rsid w:val="00ED4F01"/>
    <w:rsid w:val="00ED52EE"/>
    <w:rsid w:val="00ED546F"/>
    <w:rsid w:val="00ED5810"/>
    <w:rsid w:val="00ED5BC1"/>
    <w:rsid w:val="00ED5D1C"/>
    <w:rsid w:val="00ED604D"/>
    <w:rsid w:val="00ED643C"/>
    <w:rsid w:val="00ED656C"/>
    <w:rsid w:val="00ED68CF"/>
    <w:rsid w:val="00ED7373"/>
    <w:rsid w:val="00ED7544"/>
    <w:rsid w:val="00ED75D6"/>
    <w:rsid w:val="00ED7948"/>
    <w:rsid w:val="00EE027D"/>
    <w:rsid w:val="00EE033A"/>
    <w:rsid w:val="00EE03C5"/>
    <w:rsid w:val="00EE0471"/>
    <w:rsid w:val="00EE05F2"/>
    <w:rsid w:val="00EE0600"/>
    <w:rsid w:val="00EE0851"/>
    <w:rsid w:val="00EE0A58"/>
    <w:rsid w:val="00EE10A1"/>
    <w:rsid w:val="00EE10E5"/>
    <w:rsid w:val="00EE11AA"/>
    <w:rsid w:val="00EE1311"/>
    <w:rsid w:val="00EE13FB"/>
    <w:rsid w:val="00EE14B9"/>
    <w:rsid w:val="00EE15C7"/>
    <w:rsid w:val="00EE1641"/>
    <w:rsid w:val="00EE16CE"/>
    <w:rsid w:val="00EE1955"/>
    <w:rsid w:val="00EE1986"/>
    <w:rsid w:val="00EE1A2C"/>
    <w:rsid w:val="00EE20B6"/>
    <w:rsid w:val="00EE217C"/>
    <w:rsid w:val="00EE221E"/>
    <w:rsid w:val="00EE2364"/>
    <w:rsid w:val="00EE23F4"/>
    <w:rsid w:val="00EE2559"/>
    <w:rsid w:val="00EE28D2"/>
    <w:rsid w:val="00EE2CAC"/>
    <w:rsid w:val="00EE2D48"/>
    <w:rsid w:val="00EE2EDC"/>
    <w:rsid w:val="00EE31FF"/>
    <w:rsid w:val="00EE348C"/>
    <w:rsid w:val="00EE35AF"/>
    <w:rsid w:val="00EE35FF"/>
    <w:rsid w:val="00EE3710"/>
    <w:rsid w:val="00EE373F"/>
    <w:rsid w:val="00EE3C60"/>
    <w:rsid w:val="00EE3C95"/>
    <w:rsid w:val="00EE3DE6"/>
    <w:rsid w:val="00EE3E67"/>
    <w:rsid w:val="00EE40E4"/>
    <w:rsid w:val="00EE411D"/>
    <w:rsid w:val="00EE4244"/>
    <w:rsid w:val="00EE4764"/>
    <w:rsid w:val="00EE47BA"/>
    <w:rsid w:val="00EE47FD"/>
    <w:rsid w:val="00EE4839"/>
    <w:rsid w:val="00EE487C"/>
    <w:rsid w:val="00EE4A49"/>
    <w:rsid w:val="00EE4E5B"/>
    <w:rsid w:val="00EE542C"/>
    <w:rsid w:val="00EE6477"/>
    <w:rsid w:val="00EE6488"/>
    <w:rsid w:val="00EE64DB"/>
    <w:rsid w:val="00EE661D"/>
    <w:rsid w:val="00EE67E9"/>
    <w:rsid w:val="00EE686C"/>
    <w:rsid w:val="00EE6AD0"/>
    <w:rsid w:val="00EE6AE7"/>
    <w:rsid w:val="00EE6BF7"/>
    <w:rsid w:val="00EE70A0"/>
    <w:rsid w:val="00EE720D"/>
    <w:rsid w:val="00EE7280"/>
    <w:rsid w:val="00EE75C6"/>
    <w:rsid w:val="00EE78FC"/>
    <w:rsid w:val="00EE7E9C"/>
    <w:rsid w:val="00EF01ED"/>
    <w:rsid w:val="00EF0307"/>
    <w:rsid w:val="00EF0365"/>
    <w:rsid w:val="00EF03B3"/>
    <w:rsid w:val="00EF04D1"/>
    <w:rsid w:val="00EF0625"/>
    <w:rsid w:val="00EF0887"/>
    <w:rsid w:val="00EF0B9C"/>
    <w:rsid w:val="00EF0D75"/>
    <w:rsid w:val="00EF0D8B"/>
    <w:rsid w:val="00EF0DE2"/>
    <w:rsid w:val="00EF0DF6"/>
    <w:rsid w:val="00EF0EAF"/>
    <w:rsid w:val="00EF0FF6"/>
    <w:rsid w:val="00EF14DD"/>
    <w:rsid w:val="00EF1917"/>
    <w:rsid w:val="00EF1B08"/>
    <w:rsid w:val="00EF1B25"/>
    <w:rsid w:val="00EF1C7F"/>
    <w:rsid w:val="00EF29E5"/>
    <w:rsid w:val="00EF2C39"/>
    <w:rsid w:val="00EF2C9C"/>
    <w:rsid w:val="00EF31A9"/>
    <w:rsid w:val="00EF355D"/>
    <w:rsid w:val="00EF3858"/>
    <w:rsid w:val="00EF3B58"/>
    <w:rsid w:val="00EF3EC3"/>
    <w:rsid w:val="00EF3F4A"/>
    <w:rsid w:val="00EF427A"/>
    <w:rsid w:val="00EF4642"/>
    <w:rsid w:val="00EF468F"/>
    <w:rsid w:val="00EF4A83"/>
    <w:rsid w:val="00EF4AF8"/>
    <w:rsid w:val="00EF4BC7"/>
    <w:rsid w:val="00EF4C85"/>
    <w:rsid w:val="00EF4EA3"/>
    <w:rsid w:val="00EF4F07"/>
    <w:rsid w:val="00EF4FFC"/>
    <w:rsid w:val="00EF54CD"/>
    <w:rsid w:val="00EF5561"/>
    <w:rsid w:val="00EF5809"/>
    <w:rsid w:val="00EF592F"/>
    <w:rsid w:val="00EF5A12"/>
    <w:rsid w:val="00EF5EBC"/>
    <w:rsid w:val="00EF60A2"/>
    <w:rsid w:val="00EF6387"/>
    <w:rsid w:val="00EF63A7"/>
    <w:rsid w:val="00EF6D4A"/>
    <w:rsid w:val="00EF6DB5"/>
    <w:rsid w:val="00EF6F0D"/>
    <w:rsid w:val="00EF6FA6"/>
    <w:rsid w:val="00EF7015"/>
    <w:rsid w:val="00EF707F"/>
    <w:rsid w:val="00EF74CF"/>
    <w:rsid w:val="00EF7830"/>
    <w:rsid w:val="00EF78E3"/>
    <w:rsid w:val="00EF7BFB"/>
    <w:rsid w:val="00EF7D40"/>
    <w:rsid w:val="00EF7E36"/>
    <w:rsid w:val="00F004D8"/>
    <w:rsid w:val="00F00737"/>
    <w:rsid w:val="00F00976"/>
    <w:rsid w:val="00F00AC0"/>
    <w:rsid w:val="00F00CC2"/>
    <w:rsid w:val="00F00F0B"/>
    <w:rsid w:val="00F010C8"/>
    <w:rsid w:val="00F012EA"/>
    <w:rsid w:val="00F013AC"/>
    <w:rsid w:val="00F01401"/>
    <w:rsid w:val="00F01405"/>
    <w:rsid w:val="00F01478"/>
    <w:rsid w:val="00F015CF"/>
    <w:rsid w:val="00F01C6C"/>
    <w:rsid w:val="00F01D6E"/>
    <w:rsid w:val="00F021FA"/>
    <w:rsid w:val="00F02314"/>
    <w:rsid w:val="00F02412"/>
    <w:rsid w:val="00F0286A"/>
    <w:rsid w:val="00F02AA3"/>
    <w:rsid w:val="00F02C0C"/>
    <w:rsid w:val="00F02DCD"/>
    <w:rsid w:val="00F03056"/>
    <w:rsid w:val="00F03950"/>
    <w:rsid w:val="00F03970"/>
    <w:rsid w:val="00F03986"/>
    <w:rsid w:val="00F03AFA"/>
    <w:rsid w:val="00F03D84"/>
    <w:rsid w:val="00F03E5D"/>
    <w:rsid w:val="00F04302"/>
    <w:rsid w:val="00F043AB"/>
    <w:rsid w:val="00F0446F"/>
    <w:rsid w:val="00F046B4"/>
    <w:rsid w:val="00F046ED"/>
    <w:rsid w:val="00F0497F"/>
    <w:rsid w:val="00F04F5F"/>
    <w:rsid w:val="00F053FD"/>
    <w:rsid w:val="00F05A15"/>
    <w:rsid w:val="00F05CDE"/>
    <w:rsid w:val="00F05E4B"/>
    <w:rsid w:val="00F05F59"/>
    <w:rsid w:val="00F0606F"/>
    <w:rsid w:val="00F0637A"/>
    <w:rsid w:val="00F064BE"/>
    <w:rsid w:val="00F06FC8"/>
    <w:rsid w:val="00F07117"/>
    <w:rsid w:val="00F0712A"/>
    <w:rsid w:val="00F071FB"/>
    <w:rsid w:val="00F0736F"/>
    <w:rsid w:val="00F075A9"/>
    <w:rsid w:val="00F07868"/>
    <w:rsid w:val="00F07AAA"/>
    <w:rsid w:val="00F07F5B"/>
    <w:rsid w:val="00F07F5D"/>
    <w:rsid w:val="00F10040"/>
    <w:rsid w:val="00F104E2"/>
    <w:rsid w:val="00F1056E"/>
    <w:rsid w:val="00F10654"/>
    <w:rsid w:val="00F10664"/>
    <w:rsid w:val="00F10A34"/>
    <w:rsid w:val="00F10A4E"/>
    <w:rsid w:val="00F110DB"/>
    <w:rsid w:val="00F113AC"/>
    <w:rsid w:val="00F1175B"/>
    <w:rsid w:val="00F119DF"/>
    <w:rsid w:val="00F11C27"/>
    <w:rsid w:val="00F11F8C"/>
    <w:rsid w:val="00F121F7"/>
    <w:rsid w:val="00F124C3"/>
    <w:rsid w:val="00F124F8"/>
    <w:rsid w:val="00F1252D"/>
    <w:rsid w:val="00F1257D"/>
    <w:rsid w:val="00F12677"/>
    <w:rsid w:val="00F12A6E"/>
    <w:rsid w:val="00F12BC2"/>
    <w:rsid w:val="00F1301C"/>
    <w:rsid w:val="00F13098"/>
    <w:rsid w:val="00F1324F"/>
    <w:rsid w:val="00F13327"/>
    <w:rsid w:val="00F1364C"/>
    <w:rsid w:val="00F1371E"/>
    <w:rsid w:val="00F1375E"/>
    <w:rsid w:val="00F13A38"/>
    <w:rsid w:val="00F13ACA"/>
    <w:rsid w:val="00F13D36"/>
    <w:rsid w:val="00F13DC9"/>
    <w:rsid w:val="00F14071"/>
    <w:rsid w:val="00F14134"/>
    <w:rsid w:val="00F141B8"/>
    <w:rsid w:val="00F1474F"/>
    <w:rsid w:val="00F14891"/>
    <w:rsid w:val="00F14B59"/>
    <w:rsid w:val="00F14F70"/>
    <w:rsid w:val="00F15062"/>
    <w:rsid w:val="00F150AD"/>
    <w:rsid w:val="00F15236"/>
    <w:rsid w:val="00F155F1"/>
    <w:rsid w:val="00F1566F"/>
    <w:rsid w:val="00F156D9"/>
    <w:rsid w:val="00F157F6"/>
    <w:rsid w:val="00F15919"/>
    <w:rsid w:val="00F159FE"/>
    <w:rsid w:val="00F15D31"/>
    <w:rsid w:val="00F15EEC"/>
    <w:rsid w:val="00F1619D"/>
    <w:rsid w:val="00F163FF"/>
    <w:rsid w:val="00F164F5"/>
    <w:rsid w:val="00F169FE"/>
    <w:rsid w:val="00F16A1C"/>
    <w:rsid w:val="00F16BCC"/>
    <w:rsid w:val="00F16FD1"/>
    <w:rsid w:val="00F17294"/>
    <w:rsid w:val="00F1730C"/>
    <w:rsid w:val="00F174C8"/>
    <w:rsid w:val="00F1760E"/>
    <w:rsid w:val="00F177F3"/>
    <w:rsid w:val="00F17828"/>
    <w:rsid w:val="00F17A55"/>
    <w:rsid w:val="00F17AFE"/>
    <w:rsid w:val="00F17C61"/>
    <w:rsid w:val="00F201AF"/>
    <w:rsid w:val="00F2048A"/>
    <w:rsid w:val="00F204EE"/>
    <w:rsid w:val="00F206B3"/>
    <w:rsid w:val="00F20761"/>
    <w:rsid w:val="00F20795"/>
    <w:rsid w:val="00F20A43"/>
    <w:rsid w:val="00F20D59"/>
    <w:rsid w:val="00F20E66"/>
    <w:rsid w:val="00F21128"/>
    <w:rsid w:val="00F21307"/>
    <w:rsid w:val="00F21886"/>
    <w:rsid w:val="00F21B52"/>
    <w:rsid w:val="00F21E79"/>
    <w:rsid w:val="00F220B1"/>
    <w:rsid w:val="00F22229"/>
    <w:rsid w:val="00F22661"/>
    <w:rsid w:val="00F2266E"/>
    <w:rsid w:val="00F22AD7"/>
    <w:rsid w:val="00F22D2D"/>
    <w:rsid w:val="00F23167"/>
    <w:rsid w:val="00F2372C"/>
    <w:rsid w:val="00F2383C"/>
    <w:rsid w:val="00F238B7"/>
    <w:rsid w:val="00F23A72"/>
    <w:rsid w:val="00F23BF0"/>
    <w:rsid w:val="00F23D76"/>
    <w:rsid w:val="00F24009"/>
    <w:rsid w:val="00F24010"/>
    <w:rsid w:val="00F24067"/>
    <w:rsid w:val="00F24264"/>
    <w:rsid w:val="00F2430C"/>
    <w:rsid w:val="00F244F4"/>
    <w:rsid w:val="00F2466D"/>
    <w:rsid w:val="00F2479C"/>
    <w:rsid w:val="00F248FC"/>
    <w:rsid w:val="00F24C92"/>
    <w:rsid w:val="00F25462"/>
    <w:rsid w:val="00F254AA"/>
    <w:rsid w:val="00F255EA"/>
    <w:rsid w:val="00F25785"/>
    <w:rsid w:val="00F25EF1"/>
    <w:rsid w:val="00F2600F"/>
    <w:rsid w:val="00F2607E"/>
    <w:rsid w:val="00F2621B"/>
    <w:rsid w:val="00F2645C"/>
    <w:rsid w:val="00F26621"/>
    <w:rsid w:val="00F266BC"/>
    <w:rsid w:val="00F26715"/>
    <w:rsid w:val="00F267D6"/>
    <w:rsid w:val="00F26869"/>
    <w:rsid w:val="00F268B1"/>
    <w:rsid w:val="00F26C3D"/>
    <w:rsid w:val="00F26D0F"/>
    <w:rsid w:val="00F271C9"/>
    <w:rsid w:val="00F271D8"/>
    <w:rsid w:val="00F27229"/>
    <w:rsid w:val="00F27315"/>
    <w:rsid w:val="00F27429"/>
    <w:rsid w:val="00F27430"/>
    <w:rsid w:val="00F2788A"/>
    <w:rsid w:val="00F278F4"/>
    <w:rsid w:val="00F279BE"/>
    <w:rsid w:val="00F27A89"/>
    <w:rsid w:val="00F27B0B"/>
    <w:rsid w:val="00F27CCD"/>
    <w:rsid w:val="00F27D16"/>
    <w:rsid w:val="00F27D30"/>
    <w:rsid w:val="00F27D53"/>
    <w:rsid w:val="00F30409"/>
    <w:rsid w:val="00F3055E"/>
    <w:rsid w:val="00F30712"/>
    <w:rsid w:val="00F308B9"/>
    <w:rsid w:val="00F30D16"/>
    <w:rsid w:val="00F30F0B"/>
    <w:rsid w:val="00F31109"/>
    <w:rsid w:val="00F3115A"/>
    <w:rsid w:val="00F31661"/>
    <w:rsid w:val="00F31CA0"/>
    <w:rsid w:val="00F31F2D"/>
    <w:rsid w:val="00F32008"/>
    <w:rsid w:val="00F3200A"/>
    <w:rsid w:val="00F32039"/>
    <w:rsid w:val="00F32267"/>
    <w:rsid w:val="00F328E1"/>
    <w:rsid w:val="00F329F7"/>
    <w:rsid w:val="00F32A9E"/>
    <w:rsid w:val="00F32C83"/>
    <w:rsid w:val="00F330F5"/>
    <w:rsid w:val="00F334D0"/>
    <w:rsid w:val="00F335E5"/>
    <w:rsid w:val="00F3377C"/>
    <w:rsid w:val="00F337A1"/>
    <w:rsid w:val="00F33C82"/>
    <w:rsid w:val="00F33E44"/>
    <w:rsid w:val="00F33F09"/>
    <w:rsid w:val="00F33F44"/>
    <w:rsid w:val="00F34119"/>
    <w:rsid w:val="00F341BE"/>
    <w:rsid w:val="00F34374"/>
    <w:rsid w:val="00F346FD"/>
    <w:rsid w:val="00F3473E"/>
    <w:rsid w:val="00F34B9E"/>
    <w:rsid w:val="00F35256"/>
    <w:rsid w:val="00F353EC"/>
    <w:rsid w:val="00F353F5"/>
    <w:rsid w:val="00F35574"/>
    <w:rsid w:val="00F357A2"/>
    <w:rsid w:val="00F359B8"/>
    <w:rsid w:val="00F35B2E"/>
    <w:rsid w:val="00F35C27"/>
    <w:rsid w:val="00F35C4A"/>
    <w:rsid w:val="00F35D85"/>
    <w:rsid w:val="00F362E6"/>
    <w:rsid w:val="00F3636A"/>
    <w:rsid w:val="00F363DD"/>
    <w:rsid w:val="00F365A9"/>
    <w:rsid w:val="00F366E3"/>
    <w:rsid w:val="00F36AEB"/>
    <w:rsid w:val="00F36BC5"/>
    <w:rsid w:val="00F37141"/>
    <w:rsid w:val="00F37878"/>
    <w:rsid w:val="00F37FDD"/>
    <w:rsid w:val="00F40134"/>
    <w:rsid w:val="00F40557"/>
    <w:rsid w:val="00F407FC"/>
    <w:rsid w:val="00F41399"/>
    <w:rsid w:val="00F41663"/>
    <w:rsid w:val="00F41A6A"/>
    <w:rsid w:val="00F41AFE"/>
    <w:rsid w:val="00F41B80"/>
    <w:rsid w:val="00F41C6D"/>
    <w:rsid w:val="00F41C7C"/>
    <w:rsid w:val="00F41CF0"/>
    <w:rsid w:val="00F41E45"/>
    <w:rsid w:val="00F4210B"/>
    <w:rsid w:val="00F424F5"/>
    <w:rsid w:val="00F428D2"/>
    <w:rsid w:val="00F428E3"/>
    <w:rsid w:val="00F42B7A"/>
    <w:rsid w:val="00F42BD3"/>
    <w:rsid w:val="00F42CF4"/>
    <w:rsid w:val="00F42D70"/>
    <w:rsid w:val="00F4306B"/>
    <w:rsid w:val="00F430D0"/>
    <w:rsid w:val="00F43165"/>
    <w:rsid w:val="00F431C1"/>
    <w:rsid w:val="00F432D3"/>
    <w:rsid w:val="00F43382"/>
    <w:rsid w:val="00F433C3"/>
    <w:rsid w:val="00F4346C"/>
    <w:rsid w:val="00F4394B"/>
    <w:rsid w:val="00F43FA3"/>
    <w:rsid w:val="00F44121"/>
    <w:rsid w:val="00F44251"/>
    <w:rsid w:val="00F444FC"/>
    <w:rsid w:val="00F44763"/>
    <w:rsid w:val="00F44907"/>
    <w:rsid w:val="00F44FC2"/>
    <w:rsid w:val="00F44FC5"/>
    <w:rsid w:val="00F452C7"/>
    <w:rsid w:val="00F4552C"/>
    <w:rsid w:val="00F45A53"/>
    <w:rsid w:val="00F45C0C"/>
    <w:rsid w:val="00F46067"/>
    <w:rsid w:val="00F46998"/>
    <w:rsid w:val="00F46AAD"/>
    <w:rsid w:val="00F46B03"/>
    <w:rsid w:val="00F46E57"/>
    <w:rsid w:val="00F46FD2"/>
    <w:rsid w:val="00F473B7"/>
    <w:rsid w:val="00F4758C"/>
    <w:rsid w:val="00F47A1F"/>
    <w:rsid w:val="00F47E9B"/>
    <w:rsid w:val="00F47EAB"/>
    <w:rsid w:val="00F50589"/>
    <w:rsid w:val="00F507EC"/>
    <w:rsid w:val="00F5081E"/>
    <w:rsid w:val="00F508A0"/>
    <w:rsid w:val="00F509A3"/>
    <w:rsid w:val="00F509F7"/>
    <w:rsid w:val="00F50BC2"/>
    <w:rsid w:val="00F50CE4"/>
    <w:rsid w:val="00F50D97"/>
    <w:rsid w:val="00F50EEE"/>
    <w:rsid w:val="00F51215"/>
    <w:rsid w:val="00F51647"/>
    <w:rsid w:val="00F5179F"/>
    <w:rsid w:val="00F517AE"/>
    <w:rsid w:val="00F518E8"/>
    <w:rsid w:val="00F51A39"/>
    <w:rsid w:val="00F51A50"/>
    <w:rsid w:val="00F51BCA"/>
    <w:rsid w:val="00F51E3B"/>
    <w:rsid w:val="00F51FB3"/>
    <w:rsid w:val="00F5208A"/>
    <w:rsid w:val="00F52538"/>
    <w:rsid w:val="00F5276B"/>
    <w:rsid w:val="00F52D46"/>
    <w:rsid w:val="00F53091"/>
    <w:rsid w:val="00F53140"/>
    <w:rsid w:val="00F53241"/>
    <w:rsid w:val="00F536E9"/>
    <w:rsid w:val="00F538C2"/>
    <w:rsid w:val="00F538E8"/>
    <w:rsid w:val="00F53C22"/>
    <w:rsid w:val="00F540B0"/>
    <w:rsid w:val="00F540DA"/>
    <w:rsid w:val="00F5458A"/>
    <w:rsid w:val="00F5458E"/>
    <w:rsid w:val="00F547F7"/>
    <w:rsid w:val="00F549AB"/>
    <w:rsid w:val="00F54A76"/>
    <w:rsid w:val="00F55254"/>
    <w:rsid w:val="00F55A5E"/>
    <w:rsid w:val="00F55ADB"/>
    <w:rsid w:val="00F55E25"/>
    <w:rsid w:val="00F56130"/>
    <w:rsid w:val="00F56245"/>
    <w:rsid w:val="00F564D2"/>
    <w:rsid w:val="00F5700C"/>
    <w:rsid w:val="00F571D0"/>
    <w:rsid w:val="00F572EA"/>
    <w:rsid w:val="00F5784C"/>
    <w:rsid w:val="00F579E7"/>
    <w:rsid w:val="00F57BA8"/>
    <w:rsid w:val="00F57CE3"/>
    <w:rsid w:val="00F60041"/>
    <w:rsid w:val="00F603C0"/>
    <w:rsid w:val="00F605D3"/>
    <w:rsid w:val="00F61058"/>
    <w:rsid w:val="00F61102"/>
    <w:rsid w:val="00F611BC"/>
    <w:rsid w:val="00F61219"/>
    <w:rsid w:val="00F61234"/>
    <w:rsid w:val="00F6131C"/>
    <w:rsid w:val="00F6153D"/>
    <w:rsid w:val="00F61D55"/>
    <w:rsid w:val="00F61DFD"/>
    <w:rsid w:val="00F61E0D"/>
    <w:rsid w:val="00F61E54"/>
    <w:rsid w:val="00F61EBA"/>
    <w:rsid w:val="00F61F23"/>
    <w:rsid w:val="00F6241C"/>
    <w:rsid w:val="00F62439"/>
    <w:rsid w:val="00F624AE"/>
    <w:rsid w:val="00F62612"/>
    <w:rsid w:val="00F62687"/>
    <w:rsid w:val="00F628BA"/>
    <w:rsid w:val="00F6291E"/>
    <w:rsid w:val="00F62AE4"/>
    <w:rsid w:val="00F62E3C"/>
    <w:rsid w:val="00F62E97"/>
    <w:rsid w:val="00F63487"/>
    <w:rsid w:val="00F63B5E"/>
    <w:rsid w:val="00F63D0F"/>
    <w:rsid w:val="00F6400B"/>
    <w:rsid w:val="00F64067"/>
    <w:rsid w:val="00F64209"/>
    <w:rsid w:val="00F64597"/>
    <w:rsid w:val="00F64D55"/>
    <w:rsid w:val="00F65159"/>
    <w:rsid w:val="00F6593C"/>
    <w:rsid w:val="00F659B9"/>
    <w:rsid w:val="00F65A40"/>
    <w:rsid w:val="00F65B17"/>
    <w:rsid w:val="00F65C34"/>
    <w:rsid w:val="00F6632F"/>
    <w:rsid w:val="00F66332"/>
    <w:rsid w:val="00F663ED"/>
    <w:rsid w:val="00F66609"/>
    <w:rsid w:val="00F6688A"/>
    <w:rsid w:val="00F66AC2"/>
    <w:rsid w:val="00F66BDF"/>
    <w:rsid w:val="00F66D77"/>
    <w:rsid w:val="00F67464"/>
    <w:rsid w:val="00F6747B"/>
    <w:rsid w:val="00F674D9"/>
    <w:rsid w:val="00F67808"/>
    <w:rsid w:val="00F6781E"/>
    <w:rsid w:val="00F67C7D"/>
    <w:rsid w:val="00F67F29"/>
    <w:rsid w:val="00F70084"/>
    <w:rsid w:val="00F70176"/>
    <w:rsid w:val="00F7019D"/>
    <w:rsid w:val="00F707DE"/>
    <w:rsid w:val="00F70A9F"/>
    <w:rsid w:val="00F70B29"/>
    <w:rsid w:val="00F70B77"/>
    <w:rsid w:val="00F71026"/>
    <w:rsid w:val="00F7105F"/>
    <w:rsid w:val="00F71476"/>
    <w:rsid w:val="00F715F7"/>
    <w:rsid w:val="00F71605"/>
    <w:rsid w:val="00F71901"/>
    <w:rsid w:val="00F7193C"/>
    <w:rsid w:val="00F71A7B"/>
    <w:rsid w:val="00F71AC6"/>
    <w:rsid w:val="00F71DDE"/>
    <w:rsid w:val="00F72283"/>
    <w:rsid w:val="00F724F4"/>
    <w:rsid w:val="00F7293B"/>
    <w:rsid w:val="00F7299F"/>
    <w:rsid w:val="00F72C21"/>
    <w:rsid w:val="00F72DD0"/>
    <w:rsid w:val="00F72FD7"/>
    <w:rsid w:val="00F734DE"/>
    <w:rsid w:val="00F7366B"/>
    <w:rsid w:val="00F737E2"/>
    <w:rsid w:val="00F73800"/>
    <w:rsid w:val="00F73A87"/>
    <w:rsid w:val="00F7423A"/>
    <w:rsid w:val="00F74BA4"/>
    <w:rsid w:val="00F74C58"/>
    <w:rsid w:val="00F74DE6"/>
    <w:rsid w:val="00F75138"/>
    <w:rsid w:val="00F752B7"/>
    <w:rsid w:val="00F7549B"/>
    <w:rsid w:val="00F75840"/>
    <w:rsid w:val="00F75955"/>
    <w:rsid w:val="00F75A59"/>
    <w:rsid w:val="00F75A5C"/>
    <w:rsid w:val="00F75B13"/>
    <w:rsid w:val="00F75B50"/>
    <w:rsid w:val="00F75CAA"/>
    <w:rsid w:val="00F75EA1"/>
    <w:rsid w:val="00F7604B"/>
    <w:rsid w:val="00F76255"/>
    <w:rsid w:val="00F76269"/>
    <w:rsid w:val="00F7631C"/>
    <w:rsid w:val="00F76561"/>
    <w:rsid w:val="00F76830"/>
    <w:rsid w:val="00F76902"/>
    <w:rsid w:val="00F769D6"/>
    <w:rsid w:val="00F76A81"/>
    <w:rsid w:val="00F76CA3"/>
    <w:rsid w:val="00F76FF9"/>
    <w:rsid w:val="00F77572"/>
    <w:rsid w:val="00F777A8"/>
    <w:rsid w:val="00F7785C"/>
    <w:rsid w:val="00F77882"/>
    <w:rsid w:val="00F778CB"/>
    <w:rsid w:val="00F77EE2"/>
    <w:rsid w:val="00F77FFA"/>
    <w:rsid w:val="00F80657"/>
    <w:rsid w:val="00F807A9"/>
    <w:rsid w:val="00F808F5"/>
    <w:rsid w:val="00F8096E"/>
    <w:rsid w:val="00F80A07"/>
    <w:rsid w:val="00F80CCE"/>
    <w:rsid w:val="00F814E7"/>
    <w:rsid w:val="00F8151A"/>
    <w:rsid w:val="00F81AD8"/>
    <w:rsid w:val="00F81BDF"/>
    <w:rsid w:val="00F81BF6"/>
    <w:rsid w:val="00F823BA"/>
    <w:rsid w:val="00F82652"/>
    <w:rsid w:val="00F8352A"/>
    <w:rsid w:val="00F83BCE"/>
    <w:rsid w:val="00F83C44"/>
    <w:rsid w:val="00F83DDD"/>
    <w:rsid w:val="00F83E46"/>
    <w:rsid w:val="00F83F54"/>
    <w:rsid w:val="00F83F95"/>
    <w:rsid w:val="00F840DF"/>
    <w:rsid w:val="00F8410A"/>
    <w:rsid w:val="00F841F0"/>
    <w:rsid w:val="00F84270"/>
    <w:rsid w:val="00F8432A"/>
    <w:rsid w:val="00F843AC"/>
    <w:rsid w:val="00F843D6"/>
    <w:rsid w:val="00F84419"/>
    <w:rsid w:val="00F84514"/>
    <w:rsid w:val="00F84693"/>
    <w:rsid w:val="00F84803"/>
    <w:rsid w:val="00F84D9B"/>
    <w:rsid w:val="00F84EA4"/>
    <w:rsid w:val="00F84F34"/>
    <w:rsid w:val="00F853FE"/>
    <w:rsid w:val="00F85806"/>
    <w:rsid w:val="00F85A47"/>
    <w:rsid w:val="00F85B17"/>
    <w:rsid w:val="00F85C44"/>
    <w:rsid w:val="00F85CDF"/>
    <w:rsid w:val="00F85D9F"/>
    <w:rsid w:val="00F85ECC"/>
    <w:rsid w:val="00F86246"/>
    <w:rsid w:val="00F86444"/>
    <w:rsid w:val="00F864B4"/>
    <w:rsid w:val="00F8660F"/>
    <w:rsid w:val="00F86A44"/>
    <w:rsid w:val="00F86BE5"/>
    <w:rsid w:val="00F86DC4"/>
    <w:rsid w:val="00F86DCE"/>
    <w:rsid w:val="00F876A9"/>
    <w:rsid w:val="00F876AA"/>
    <w:rsid w:val="00F87895"/>
    <w:rsid w:val="00F878D2"/>
    <w:rsid w:val="00F87A0D"/>
    <w:rsid w:val="00F87BBF"/>
    <w:rsid w:val="00F9017C"/>
    <w:rsid w:val="00F90210"/>
    <w:rsid w:val="00F902DB"/>
    <w:rsid w:val="00F9085D"/>
    <w:rsid w:val="00F90A04"/>
    <w:rsid w:val="00F90CD5"/>
    <w:rsid w:val="00F90CE4"/>
    <w:rsid w:val="00F90E04"/>
    <w:rsid w:val="00F915F4"/>
    <w:rsid w:val="00F918A1"/>
    <w:rsid w:val="00F91C9E"/>
    <w:rsid w:val="00F91DFC"/>
    <w:rsid w:val="00F920A4"/>
    <w:rsid w:val="00F923BD"/>
    <w:rsid w:val="00F92FEE"/>
    <w:rsid w:val="00F930C5"/>
    <w:rsid w:val="00F93116"/>
    <w:rsid w:val="00F935C3"/>
    <w:rsid w:val="00F93A0E"/>
    <w:rsid w:val="00F93BA4"/>
    <w:rsid w:val="00F93BF5"/>
    <w:rsid w:val="00F93F6E"/>
    <w:rsid w:val="00F93F75"/>
    <w:rsid w:val="00F9425F"/>
    <w:rsid w:val="00F94908"/>
    <w:rsid w:val="00F94C35"/>
    <w:rsid w:val="00F94CEB"/>
    <w:rsid w:val="00F94E45"/>
    <w:rsid w:val="00F95135"/>
    <w:rsid w:val="00F95581"/>
    <w:rsid w:val="00F9594A"/>
    <w:rsid w:val="00F95C62"/>
    <w:rsid w:val="00F95D9D"/>
    <w:rsid w:val="00F95E25"/>
    <w:rsid w:val="00F9611F"/>
    <w:rsid w:val="00F963B0"/>
    <w:rsid w:val="00F96607"/>
    <w:rsid w:val="00F967DA"/>
    <w:rsid w:val="00F9688E"/>
    <w:rsid w:val="00F96B70"/>
    <w:rsid w:val="00F970B2"/>
    <w:rsid w:val="00F97443"/>
    <w:rsid w:val="00F978DC"/>
    <w:rsid w:val="00F97A26"/>
    <w:rsid w:val="00F97BBC"/>
    <w:rsid w:val="00F97BE9"/>
    <w:rsid w:val="00F97E1C"/>
    <w:rsid w:val="00FA0171"/>
    <w:rsid w:val="00FA0797"/>
    <w:rsid w:val="00FA0904"/>
    <w:rsid w:val="00FA0AF0"/>
    <w:rsid w:val="00FA0ED8"/>
    <w:rsid w:val="00FA0FAC"/>
    <w:rsid w:val="00FA119A"/>
    <w:rsid w:val="00FA1269"/>
    <w:rsid w:val="00FA1742"/>
    <w:rsid w:val="00FA186C"/>
    <w:rsid w:val="00FA1A5C"/>
    <w:rsid w:val="00FA1AF5"/>
    <w:rsid w:val="00FA1BFF"/>
    <w:rsid w:val="00FA1FA5"/>
    <w:rsid w:val="00FA2478"/>
    <w:rsid w:val="00FA284C"/>
    <w:rsid w:val="00FA2A0A"/>
    <w:rsid w:val="00FA2BA1"/>
    <w:rsid w:val="00FA2CBC"/>
    <w:rsid w:val="00FA3051"/>
    <w:rsid w:val="00FA3176"/>
    <w:rsid w:val="00FA325C"/>
    <w:rsid w:val="00FA3309"/>
    <w:rsid w:val="00FA3555"/>
    <w:rsid w:val="00FA3831"/>
    <w:rsid w:val="00FA3AB5"/>
    <w:rsid w:val="00FA3D87"/>
    <w:rsid w:val="00FA3EED"/>
    <w:rsid w:val="00FA3F64"/>
    <w:rsid w:val="00FA3FC0"/>
    <w:rsid w:val="00FA4078"/>
    <w:rsid w:val="00FA4186"/>
    <w:rsid w:val="00FA41DF"/>
    <w:rsid w:val="00FA41F0"/>
    <w:rsid w:val="00FA4278"/>
    <w:rsid w:val="00FA4380"/>
    <w:rsid w:val="00FA43C1"/>
    <w:rsid w:val="00FA44AF"/>
    <w:rsid w:val="00FA4693"/>
    <w:rsid w:val="00FA4698"/>
    <w:rsid w:val="00FA4A3A"/>
    <w:rsid w:val="00FA4A3F"/>
    <w:rsid w:val="00FA4ADB"/>
    <w:rsid w:val="00FA4B11"/>
    <w:rsid w:val="00FA4F88"/>
    <w:rsid w:val="00FA5110"/>
    <w:rsid w:val="00FA516C"/>
    <w:rsid w:val="00FA5294"/>
    <w:rsid w:val="00FA55BC"/>
    <w:rsid w:val="00FA5A40"/>
    <w:rsid w:val="00FA5A5E"/>
    <w:rsid w:val="00FA5B6A"/>
    <w:rsid w:val="00FA60AE"/>
    <w:rsid w:val="00FA6165"/>
    <w:rsid w:val="00FA635B"/>
    <w:rsid w:val="00FA6458"/>
    <w:rsid w:val="00FA6771"/>
    <w:rsid w:val="00FA6948"/>
    <w:rsid w:val="00FA6AB8"/>
    <w:rsid w:val="00FA6C1E"/>
    <w:rsid w:val="00FA6EBB"/>
    <w:rsid w:val="00FA6EC7"/>
    <w:rsid w:val="00FA726D"/>
    <w:rsid w:val="00FA72DB"/>
    <w:rsid w:val="00FA73A5"/>
    <w:rsid w:val="00FA77B9"/>
    <w:rsid w:val="00FA78E6"/>
    <w:rsid w:val="00FA7C3B"/>
    <w:rsid w:val="00FB00C1"/>
    <w:rsid w:val="00FB0212"/>
    <w:rsid w:val="00FB0566"/>
    <w:rsid w:val="00FB0620"/>
    <w:rsid w:val="00FB080A"/>
    <w:rsid w:val="00FB0926"/>
    <w:rsid w:val="00FB0BA1"/>
    <w:rsid w:val="00FB0FB3"/>
    <w:rsid w:val="00FB143F"/>
    <w:rsid w:val="00FB15A7"/>
    <w:rsid w:val="00FB17D7"/>
    <w:rsid w:val="00FB19F6"/>
    <w:rsid w:val="00FB1ACF"/>
    <w:rsid w:val="00FB1E75"/>
    <w:rsid w:val="00FB1E99"/>
    <w:rsid w:val="00FB27DD"/>
    <w:rsid w:val="00FB2A61"/>
    <w:rsid w:val="00FB2ABC"/>
    <w:rsid w:val="00FB2D0A"/>
    <w:rsid w:val="00FB2E2C"/>
    <w:rsid w:val="00FB3311"/>
    <w:rsid w:val="00FB3EC2"/>
    <w:rsid w:val="00FB410D"/>
    <w:rsid w:val="00FB41E0"/>
    <w:rsid w:val="00FB42D4"/>
    <w:rsid w:val="00FB475A"/>
    <w:rsid w:val="00FB4844"/>
    <w:rsid w:val="00FB4AF7"/>
    <w:rsid w:val="00FB4CAB"/>
    <w:rsid w:val="00FB51EE"/>
    <w:rsid w:val="00FB5301"/>
    <w:rsid w:val="00FB53AA"/>
    <w:rsid w:val="00FB561A"/>
    <w:rsid w:val="00FB56A9"/>
    <w:rsid w:val="00FB5B0F"/>
    <w:rsid w:val="00FB5C5F"/>
    <w:rsid w:val="00FB5EAE"/>
    <w:rsid w:val="00FB60FA"/>
    <w:rsid w:val="00FB6262"/>
    <w:rsid w:val="00FB65C3"/>
    <w:rsid w:val="00FB67A3"/>
    <w:rsid w:val="00FB698F"/>
    <w:rsid w:val="00FB6A3F"/>
    <w:rsid w:val="00FB6E9F"/>
    <w:rsid w:val="00FB7071"/>
    <w:rsid w:val="00FB70A0"/>
    <w:rsid w:val="00FB7305"/>
    <w:rsid w:val="00FB73D4"/>
    <w:rsid w:val="00FB751E"/>
    <w:rsid w:val="00FB7586"/>
    <w:rsid w:val="00FB7888"/>
    <w:rsid w:val="00FB7917"/>
    <w:rsid w:val="00FB7A31"/>
    <w:rsid w:val="00FB7BC4"/>
    <w:rsid w:val="00FC05A1"/>
    <w:rsid w:val="00FC0975"/>
    <w:rsid w:val="00FC112B"/>
    <w:rsid w:val="00FC1227"/>
    <w:rsid w:val="00FC13AC"/>
    <w:rsid w:val="00FC1566"/>
    <w:rsid w:val="00FC15C3"/>
    <w:rsid w:val="00FC1645"/>
    <w:rsid w:val="00FC1C6F"/>
    <w:rsid w:val="00FC21E1"/>
    <w:rsid w:val="00FC271B"/>
    <w:rsid w:val="00FC297E"/>
    <w:rsid w:val="00FC2DCA"/>
    <w:rsid w:val="00FC30A8"/>
    <w:rsid w:val="00FC33DA"/>
    <w:rsid w:val="00FC342C"/>
    <w:rsid w:val="00FC35D1"/>
    <w:rsid w:val="00FC3755"/>
    <w:rsid w:val="00FC37E5"/>
    <w:rsid w:val="00FC3B5F"/>
    <w:rsid w:val="00FC3B91"/>
    <w:rsid w:val="00FC4151"/>
    <w:rsid w:val="00FC4269"/>
    <w:rsid w:val="00FC4939"/>
    <w:rsid w:val="00FC4A98"/>
    <w:rsid w:val="00FC4E66"/>
    <w:rsid w:val="00FC4EB1"/>
    <w:rsid w:val="00FC507C"/>
    <w:rsid w:val="00FC52C6"/>
    <w:rsid w:val="00FC52EF"/>
    <w:rsid w:val="00FC5AE5"/>
    <w:rsid w:val="00FC5D7B"/>
    <w:rsid w:val="00FC60C0"/>
    <w:rsid w:val="00FC627F"/>
    <w:rsid w:val="00FC6526"/>
    <w:rsid w:val="00FC6770"/>
    <w:rsid w:val="00FC6830"/>
    <w:rsid w:val="00FC6A67"/>
    <w:rsid w:val="00FC6B66"/>
    <w:rsid w:val="00FC6E90"/>
    <w:rsid w:val="00FC6F61"/>
    <w:rsid w:val="00FC71CB"/>
    <w:rsid w:val="00FC71EB"/>
    <w:rsid w:val="00FC7487"/>
    <w:rsid w:val="00FC74CB"/>
    <w:rsid w:val="00FC79DE"/>
    <w:rsid w:val="00FC7A83"/>
    <w:rsid w:val="00FC7C31"/>
    <w:rsid w:val="00FC7F55"/>
    <w:rsid w:val="00FD00F4"/>
    <w:rsid w:val="00FD02E2"/>
    <w:rsid w:val="00FD0329"/>
    <w:rsid w:val="00FD0649"/>
    <w:rsid w:val="00FD08C6"/>
    <w:rsid w:val="00FD0A0A"/>
    <w:rsid w:val="00FD0A25"/>
    <w:rsid w:val="00FD0C2D"/>
    <w:rsid w:val="00FD0E49"/>
    <w:rsid w:val="00FD0FAB"/>
    <w:rsid w:val="00FD0FFA"/>
    <w:rsid w:val="00FD1033"/>
    <w:rsid w:val="00FD14A2"/>
    <w:rsid w:val="00FD14BB"/>
    <w:rsid w:val="00FD1587"/>
    <w:rsid w:val="00FD177D"/>
    <w:rsid w:val="00FD1960"/>
    <w:rsid w:val="00FD1A54"/>
    <w:rsid w:val="00FD21E8"/>
    <w:rsid w:val="00FD22D3"/>
    <w:rsid w:val="00FD23AF"/>
    <w:rsid w:val="00FD25E5"/>
    <w:rsid w:val="00FD2BFC"/>
    <w:rsid w:val="00FD35B2"/>
    <w:rsid w:val="00FD36F2"/>
    <w:rsid w:val="00FD3B72"/>
    <w:rsid w:val="00FD3CC0"/>
    <w:rsid w:val="00FD3CC9"/>
    <w:rsid w:val="00FD3CEE"/>
    <w:rsid w:val="00FD3F2D"/>
    <w:rsid w:val="00FD4186"/>
    <w:rsid w:val="00FD48F6"/>
    <w:rsid w:val="00FD4A9C"/>
    <w:rsid w:val="00FD4C64"/>
    <w:rsid w:val="00FD4CD8"/>
    <w:rsid w:val="00FD4D81"/>
    <w:rsid w:val="00FD4E6E"/>
    <w:rsid w:val="00FD50B5"/>
    <w:rsid w:val="00FD510A"/>
    <w:rsid w:val="00FD575E"/>
    <w:rsid w:val="00FD5792"/>
    <w:rsid w:val="00FD5AF0"/>
    <w:rsid w:val="00FD5B00"/>
    <w:rsid w:val="00FD5B2D"/>
    <w:rsid w:val="00FD60CB"/>
    <w:rsid w:val="00FD625C"/>
    <w:rsid w:val="00FD6639"/>
    <w:rsid w:val="00FD6A1F"/>
    <w:rsid w:val="00FD6D65"/>
    <w:rsid w:val="00FD6FEF"/>
    <w:rsid w:val="00FD706F"/>
    <w:rsid w:val="00FD71D1"/>
    <w:rsid w:val="00FD7295"/>
    <w:rsid w:val="00FD72F7"/>
    <w:rsid w:val="00FD73EC"/>
    <w:rsid w:val="00FD75F7"/>
    <w:rsid w:val="00FD76B2"/>
    <w:rsid w:val="00FD7951"/>
    <w:rsid w:val="00FD7C94"/>
    <w:rsid w:val="00FD7F06"/>
    <w:rsid w:val="00FD7FD7"/>
    <w:rsid w:val="00FE05F6"/>
    <w:rsid w:val="00FE0762"/>
    <w:rsid w:val="00FE0797"/>
    <w:rsid w:val="00FE09FB"/>
    <w:rsid w:val="00FE0E7F"/>
    <w:rsid w:val="00FE112B"/>
    <w:rsid w:val="00FE154A"/>
    <w:rsid w:val="00FE1601"/>
    <w:rsid w:val="00FE184D"/>
    <w:rsid w:val="00FE1880"/>
    <w:rsid w:val="00FE1916"/>
    <w:rsid w:val="00FE24B4"/>
    <w:rsid w:val="00FE2609"/>
    <w:rsid w:val="00FE26AD"/>
    <w:rsid w:val="00FE2DDB"/>
    <w:rsid w:val="00FE2F02"/>
    <w:rsid w:val="00FE3D43"/>
    <w:rsid w:val="00FE40DC"/>
    <w:rsid w:val="00FE42D6"/>
    <w:rsid w:val="00FE4742"/>
    <w:rsid w:val="00FE47D6"/>
    <w:rsid w:val="00FE47FE"/>
    <w:rsid w:val="00FE4C9D"/>
    <w:rsid w:val="00FE5262"/>
    <w:rsid w:val="00FE53DF"/>
    <w:rsid w:val="00FE55AD"/>
    <w:rsid w:val="00FE566B"/>
    <w:rsid w:val="00FE5950"/>
    <w:rsid w:val="00FE5C4F"/>
    <w:rsid w:val="00FE5C58"/>
    <w:rsid w:val="00FE5CA6"/>
    <w:rsid w:val="00FE5CC2"/>
    <w:rsid w:val="00FE5DA9"/>
    <w:rsid w:val="00FE5DEB"/>
    <w:rsid w:val="00FE5EE2"/>
    <w:rsid w:val="00FE6030"/>
    <w:rsid w:val="00FE67DB"/>
    <w:rsid w:val="00FE685F"/>
    <w:rsid w:val="00FE6867"/>
    <w:rsid w:val="00FE68CF"/>
    <w:rsid w:val="00FE6BED"/>
    <w:rsid w:val="00FE6FA9"/>
    <w:rsid w:val="00FE709B"/>
    <w:rsid w:val="00FE70AF"/>
    <w:rsid w:val="00FE7435"/>
    <w:rsid w:val="00FE7470"/>
    <w:rsid w:val="00FE7476"/>
    <w:rsid w:val="00FE756A"/>
    <w:rsid w:val="00FE78BF"/>
    <w:rsid w:val="00FE7992"/>
    <w:rsid w:val="00FE7C31"/>
    <w:rsid w:val="00FE7E47"/>
    <w:rsid w:val="00FE7FEA"/>
    <w:rsid w:val="00FF0327"/>
    <w:rsid w:val="00FF03C7"/>
    <w:rsid w:val="00FF043A"/>
    <w:rsid w:val="00FF0456"/>
    <w:rsid w:val="00FF05CD"/>
    <w:rsid w:val="00FF0BB5"/>
    <w:rsid w:val="00FF0EDE"/>
    <w:rsid w:val="00FF184A"/>
    <w:rsid w:val="00FF193B"/>
    <w:rsid w:val="00FF1B8C"/>
    <w:rsid w:val="00FF1F61"/>
    <w:rsid w:val="00FF2303"/>
    <w:rsid w:val="00FF24CD"/>
    <w:rsid w:val="00FF2610"/>
    <w:rsid w:val="00FF29CF"/>
    <w:rsid w:val="00FF2C1A"/>
    <w:rsid w:val="00FF313B"/>
    <w:rsid w:val="00FF33E6"/>
    <w:rsid w:val="00FF3A4B"/>
    <w:rsid w:val="00FF3BC8"/>
    <w:rsid w:val="00FF479C"/>
    <w:rsid w:val="00FF48B7"/>
    <w:rsid w:val="00FF4937"/>
    <w:rsid w:val="00FF49E7"/>
    <w:rsid w:val="00FF4AA8"/>
    <w:rsid w:val="00FF4C77"/>
    <w:rsid w:val="00FF4D40"/>
    <w:rsid w:val="00FF51B2"/>
    <w:rsid w:val="00FF5235"/>
    <w:rsid w:val="00FF524E"/>
    <w:rsid w:val="00FF56A5"/>
    <w:rsid w:val="00FF5714"/>
    <w:rsid w:val="00FF5ABA"/>
    <w:rsid w:val="00FF5AFF"/>
    <w:rsid w:val="00FF5C3E"/>
    <w:rsid w:val="00FF5C64"/>
    <w:rsid w:val="00FF5CBC"/>
    <w:rsid w:val="00FF5DD9"/>
    <w:rsid w:val="00FF5E48"/>
    <w:rsid w:val="00FF60AB"/>
    <w:rsid w:val="00FF6322"/>
    <w:rsid w:val="00FF6485"/>
    <w:rsid w:val="00FF649E"/>
    <w:rsid w:val="00FF6639"/>
    <w:rsid w:val="00FF66D7"/>
    <w:rsid w:val="00FF6887"/>
    <w:rsid w:val="00FF6B43"/>
    <w:rsid w:val="00FF6BEE"/>
    <w:rsid w:val="00FF6F9C"/>
    <w:rsid w:val="00FF7004"/>
    <w:rsid w:val="00FF7331"/>
    <w:rsid w:val="00FF75BD"/>
    <w:rsid w:val="00FF75FD"/>
    <w:rsid w:val="00FF7681"/>
    <w:rsid w:val="00FF779D"/>
    <w:rsid w:val="00FF786C"/>
    <w:rsid w:val="00FF7D8F"/>
    <w:rsid w:val="00FF7EC4"/>
    <w:rsid w:val="0162DEF3"/>
    <w:rsid w:val="0208D93C"/>
    <w:rsid w:val="02759C93"/>
    <w:rsid w:val="027D3922"/>
    <w:rsid w:val="02DA849C"/>
    <w:rsid w:val="0312C7D5"/>
    <w:rsid w:val="035A789E"/>
    <w:rsid w:val="03D04B15"/>
    <w:rsid w:val="0413B21A"/>
    <w:rsid w:val="065ED854"/>
    <w:rsid w:val="0676BE59"/>
    <w:rsid w:val="067E0599"/>
    <w:rsid w:val="06C110BA"/>
    <w:rsid w:val="0771067D"/>
    <w:rsid w:val="0A0BE391"/>
    <w:rsid w:val="0B880DDF"/>
    <w:rsid w:val="0BC7C9FB"/>
    <w:rsid w:val="0D624A33"/>
    <w:rsid w:val="0DE7C566"/>
    <w:rsid w:val="0E86F6B7"/>
    <w:rsid w:val="0ED6331F"/>
    <w:rsid w:val="0F0C44DB"/>
    <w:rsid w:val="0F666465"/>
    <w:rsid w:val="0FF4966C"/>
    <w:rsid w:val="10597A11"/>
    <w:rsid w:val="1264E259"/>
    <w:rsid w:val="12D6498F"/>
    <w:rsid w:val="1308A04F"/>
    <w:rsid w:val="13817FA7"/>
    <w:rsid w:val="13966859"/>
    <w:rsid w:val="14327627"/>
    <w:rsid w:val="143F511E"/>
    <w:rsid w:val="14CBC603"/>
    <w:rsid w:val="14DEEDFA"/>
    <w:rsid w:val="151A46E8"/>
    <w:rsid w:val="1524F020"/>
    <w:rsid w:val="158F02C0"/>
    <w:rsid w:val="18A3D3E1"/>
    <w:rsid w:val="191327CA"/>
    <w:rsid w:val="1A56FB19"/>
    <w:rsid w:val="1A5D4913"/>
    <w:rsid w:val="1A66B228"/>
    <w:rsid w:val="1C0E2D84"/>
    <w:rsid w:val="1C9513C4"/>
    <w:rsid w:val="1EACCCF8"/>
    <w:rsid w:val="1EC0A7CB"/>
    <w:rsid w:val="1EC14CAF"/>
    <w:rsid w:val="1F75D78A"/>
    <w:rsid w:val="2047FCF9"/>
    <w:rsid w:val="20DEA16D"/>
    <w:rsid w:val="210E8879"/>
    <w:rsid w:val="21CA7078"/>
    <w:rsid w:val="222E1CB0"/>
    <w:rsid w:val="230D3D4D"/>
    <w:rsid w:val="233EB01F"/>
    <w:rsid w:val="240F501A"/>
    <w:rsid w:val="2470FA47"/>
    <w:rsid w:val="25ACA48F"/>
    <w:rsid w:val="26234AA7"/>
    <w:rsid w:val="26E956E3"/>
    <w:rsid w:val="2817DA6B"/>
    <w:rsid w:val="29EB555E"/>
    <w:rsid w:val="2B4CA66F"/>
    <w:rsid w:val="2D4AF3EC"/>
    <w:rsid w:val="2E2A401F"/>
    <w:rsid w:val="2E2AED24"/>
    <w:rsid w:val="31B2B55A"/>
    <w:rsid w:val="3204C31B"/>
    <w:rsid w:val="32558C6E"/>
    <w:rsid w:val="32966112"/>
    <w:rsid w:val="33A0329A"/>
    <w:rsid w:val="33D67719"/>
    <w:rsid w:val="342959F5"/>
    <w:rsid w:val="36090325"/>
    <w:rsid w:val="3618658A"/>
    <w:rsid w:val="3738241C"/>
    <w:rsid w:val="3A91B49D"/>
    <w:rsid w:val="3A9F01C9"/>
    <w:rsid w:val="3BCFF9D2"/>
    <w:rsid w:val="3D2211EB"/>
    <w:rsid w:val="3E9CAEEF"/>
    <w:rsid w:val="3F20C946"/>
    <w:rsid w:val="3F53E279"/>
    <w:rsid w:val="3F652F5E"/>
    <w:rsid w:val="3F7DBB44"/>
    <w:rsid w:val="3FB16C16"/>
    <w:rsid w:val="412D4264"/>
    <w:rsid w:val="4142942A"/>
    <w:rsid w:val="42134E3C"/>
    <w:rsid w:val="44197D00"/>
    <w:rsid w:val="44617C56"/>
    <w:rsid w:val="44B04FF3"/>
    <w:rsid w:val="44B412B6"/>
    <w:rsid w:val="44C6E124"/>
    <w:rsid w:val="450F2FA3"/>
    <w:rsid w:val="47383719"/>
    <w:rsid w:val="47583947"/>
    <w:rsid w:val="48D60168"/>
    <w:rsid w:val="491CC5A9"/>
    <w:rsid w:val="493281CA"/>
    <w:rsid w:val="4A0210B2"/>
    <w:rsid w:val="4B665708"/>
    <w:rsid w:val="4B7E8BC3"/>
    <w:rsid w:val="4B80845D"/>
    <w:rsid w:val="4C0FC893"/>
    <w:rsid w:val="4C8D35AA"/>
    <w:rsid w:val="4CBAAEDF"/>
    <w:rsid w:val="4CE7FD93"/>
    <w:rsid w:val="4D3DE5F4"/>
    <w:rsid w:val="4DFCFB67"/>
    <w:rsid w:val="4DFF77B7"/>
    <w:rsid w:val="4E3C4DAA"/>
    <w:rsid w:val="4F41E9BB"/>
    <w:rsid w:val="4F704F1A"/>
    <w:rsid w:val="506A3857"/>
    <w:rsid w:val="512D2582"/>
    <w:rsid w:val="52136E40"/>
    <w:rsid w:val="5359AA51"/>
    <w:rsid w:val="54ABD306"/>
    <w:rsid w:val="54E1A3EF"/>
    <w:rsid w:val="55169925"/>
    <w:rsid w:val="557983EA"/>
    <w:rsid w:val="55F1C923"/>
    <w:rsid w:val="5681E3D9"/>
    <w:rsid w:val="56A7D739"/>
    <w:rsid w:val="56A87F89"/>
    <w:rsid w:val="56B5C72A"/>
    <w:rsid w:val="586D3D08"/>
    <w:rsid w:val="59597EB7"/>
    <w:rsid w:val="5B704065"/>
    <w:rsid w:val="5C34EEC7"/>
    <w:rsid w:val="5C37C6A5"/>
    <w:rsid w:val="5C7BBCB2"/>
    <w:rsid w:val="5D6C51EA"/>
    <w:rsid w:val="5DC82F1A"/>
    <w:rsid w:val="5DD1550A"/>
    <w:rsid w:val="5EF5A475"/>
    <w:rsid w:val="5F2B9F68"/>
    <w:rsid w:val="5FA7E651"/>
    <w:rsid w:val="604B4216"/>
    <w:rsid w:val="631BAFCD"/>
    <w:rsid w:val="6402E7C8"/>
    <w:rsid w:val="64E73BBE"/>
    <w:rsid w:val="6662E671"/>
    <w:rsid w:val="674A4293"/>
    <w:rsid w:val="68CB7C27"/>
    <w:rsid w:val="695A948E"/>
    <w:rsid w:val="697BC8A4"/>
    <w:rsid w:val="69C901AC"/>
    <w:rsid w:val="6A0FC89E"/>
    <w:rsid w:val="6A200DF2"/>
    <w:rsid w:val="6A74D49F"/>
    <w:rsid w:val="6AEC4AE7"/>
    <w:rsid w:val="6B9B62C2"/>
    <w:rsid w:val="6EE810B5"/>
    <w:rsid w:val="6F4E5F18"/>
    <w:rsid w:val="70541EB5"/>
    <w:rsid w:val="70CC68D9"/>
    <w:rsid w:val="70CF4AFE"/>
    <w:rsid w:val="71F8413D"/>
    <w:rsid w:val="725FB315"/>
    <w:rsid w:val="7324A562"/>
    <w:rsid w:val="7789494C"/>
    <w:rsid w:val="77A87428"/>
    <w:rsid w:val="7815DEFD"/>
    <w:rsid w:val="78426CA1"/>
    <w:rsid w:val="79558BD3"/>
    <w:rsid w:val="796D74D2"/>
    <w:rsid w:val="79885229"/>
    <w:rsid w:val="79DDE796"/>
    <w:rsid w:val="7A4F1D51"/>
    <w:rsid w:val="7A87BFD6"/>
    <w:rsid w:val="7BCDC35E"/>
    <w:rsid w:val="7D2BEA7E"/>
    <w:rsid w:val="7E1AE2D2"/>
    <w:rsid w:val="7E3909BF"/>
    <w:rsid w:val="7F74D5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522920-6131-4FB1-A96A-1ECFDD91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24"/>
    <w:pPr>
      <w:widowControl w:val="0"/>
    </w:pPr>
    <w:rPr>
      <w:snapToGrid w:val="0"/>
      <w:kern w:val="28"/>
      <w:sz w:val="22"/>
    </w:rPr>
  </w:style>
  <w:style w:type="paragraph" w:styleId="Heading1">
    <w:name w:val="heading 1"/>
    <w:basedOn w:val="Normal"/>
    <w:next w:val="ParaNum"/>
    <w:link w:val="Heading1Char"/>
    <w:qFormat/>
    <w:rsid w:val="005867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86724"/>
    <w:pPr>
      <w:keepNext/>
      <w:numPr>
        <w:ilvl w:val="1"/>
        <w:numId w:val="3"/>
      </w:numPr>
      <w:spacing w:after="120"/>
      <w:outlineLvl w:val="1"/>
    </w:pPr>
    <w:rPr>
      <w:b/>
    </w:rPr>
  </w:style>
  <w:style w:type="paragraph" w:styleId="Heading3">
    <w:name w:val="heading 3"/>
    <w:basedOn w:val="Normal"/>
    <w:next w:val="ParaNum"/>
    <w:qFormat/>
    <w:rsid w:val="00586724"/>
    <w:pPr>
      <w:keepNext/>
      <w:numPr>
        <w:ilvl w:val="2"/>
        <w:numId w:val="3"/>
      </w:numPr>
      <w:tabs>
        <w:tab w:val="left" w:pos="2160"/>
      </w:tabs>
      <w:spacing w:after="120"/>
      <w:outlineLvl w:val="2"/>
    </w:pPr>
    <w:rPr>
      <w:b/>
    </w:rPr>
  </w:style>
  <w:style w:type="paragraph" w:styleId="Heading4">
    <w:name w:val="heading 4"/>
    <w:basedOn w:val="Normal"/>
    <w:next w:val="ParaNum"/>
    <w:qFormat/>
    <w:rsid w:val="00586724"/>
    <w:pPr>
      <w:keepNext/>
      <w:numPr>
        <w:ilvl w:val="3"/>
        <w:numId w:val="3"/>
      </w:numPr>
      <w:tabs>
        <w:tab w:val="left" w:pos="2880"/>
      </w:tabs>
      <w:spacing w:after="120"/>
      <w:outlineLvl w:val="3"/>
    </w:pPr>
    <w:rPr>
      <w:b/>
    </w:rPr>
  </w:style>
  <w:style w:type="paragraph" w:styleId="Heading5">
    <w:name w:val="heading 5"/>
    <w:basedOn w:val="Normal"/>
    <w:next w:val="ParaNum"/>
    <w:qFormat/>
    <w:rsid w:val="005867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6724"/>
    <w:pPr>
      <w:numPr>
        <w:ilvl w:val="5"/>
        <w:numId w:val="3"/>
      </w:numPr>
      <w:tabs>
        <w:tab w:val="left" w:pos="4320"/>
      </w:tabs>
      <w:spacing w:after="120"/>
      <w:outlineLvl w:val="5"/>
    </w:pPr>
    <w:rPr>
      <w:b/>
    </w:rPr>
  </w:style>
  <w:style w:type="paragraph" w:styleId="Heading7">
    <w:name w:val="heading 7"/>
    <w:basedOn w:val="Normal"/>
    <w:next w:val="ParaNum"/>
    <w:qFormat/>
    <w:rsid w:val="005867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67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67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67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724"/>
  </w:style>
  <w:style w:type="paragraph" w:customStyle="1" w:styleId="ParaNum">
    <w:name w:val="ParaNum"/>
    <w:basedOn w:val="Normal"/>
    <w:link w:val="ParaNumChar"/>
    <w:rsid w:val="00586724"/>
    <w:pPr>
      <w:numPr>
        <w:numId w:val="2"/>
      </w:numPr>
      <w:tabs>
        <w:tab w:val="clear" w:pos="1080"/>
        <w:tab w:val="num" w:pos="1440"/>
      </w:tabs>
      <w:spacing w:after="120"/>
    </w:pPr>
  </w:style>
  <w:style w:type="paragraph" w:styleId="EndnoteText">
    <w:name w:val="endnote text"/>
    <w:basedOn w:val="Normal"/>
    <w:semiHidden/>
    <w:rsid w:val="00586724"/>
    <w:rPr>
      <w:sz w:val="20"/>
    </w:rPr>
  </w:style>
  <w:style w:type="character" w:styleId="EndnoteReference">
    <w:name w:val="endnote reference"/>
    <w:semiHidden/>
    <w:rsid w:val="00586724"/>
    <w:rPr>
      <w:vertAlign w:val="superscript"/>
    </w:rPr>
  </w:style>
  <w:style w:type="paragraph" w:styleId="FootnoteText">
    <w:name w:val="footnote text"/>
    <w:aliases w:val="ALTS FOOTNOTE,Foo... + Italic,Footnote Text Char Char,Footnote Text Char Char1 Char Char,Footnote Text Char1 Char Char,Footnote Text Char1 Char Char Char Char Char,Footnote Text Char2 Char Char,Footnote Text Char2 Char Char Char Char,f,fn"/>
    <w:link w:val="FootnoteTextChar"/>
    <w:rsid w:val="0058672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86724"/>
    <w:rPr>
      <w:rFonts w:ascii="Times New Roman" w:hAnsi="Times New Roman"/>
      <w:dstrike w:val="0"/>
      <w:color w:val="auto"/>
      <w:sz w:val="20"/>
      <w:vertAlign w:val="superscript"/>
    </w:rPr>
  </w:style>
  <w:style w:type="paragraph" w:styleId="TOC1">
    <w:name w:val="toc 1"/>
    <w:basedOn w:val="Normal"/>
    <w:next w:val="Normal"/>
    <w:uiPriority w:val="39"/>
    <w:rsid w:val="00586724"/>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586724"/>
    <w:pPr>
      <w:tabs>
        <w:tab w:val="left" w:pos="720"/>
        <w:tab w:val="right" w:leader="dot" w:pos="9360"/>
      </w:tabs>
      <w:suppressAutoHyphens/>
      <w:ind w:left="720" w:right="720" w:hanging="360"/>
    </w:pPr>
    <w:rPr>
      <w:noProof/>
    </w:rPr>
  </w:style>
  <w:style w:type="paragraph" w:styleId="TOC3">
    <w:name w:val="toc 3"/>
    <w:basedOn w:val="Normal"/>
    <w:next w:val="Normal"/>
    <w:semiHidden/>
    <w:rsid w:val="005867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67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67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67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67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67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67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6724"/>
    <w:pPr>
      <w:tabs>
        <w:tab w:val="right" w:pos="9360"/>
      </w:tabs>
      <w:suppressAutoHyphens/>
    </w:pPr>
  </w:style>
  <w:style w:type="character" w:customStyle="1" w:styleId="EquationCaption">
    <w:name w:val="_Equation Caption"/>
    <w:rsid w:val="00586724"/>
  </w:style>
  <w:style w:type="paragraph" w:styleId="Header">
    <w:name w:val="header"/>
    <w:basedOn w:val="Normal"/>
    <w:link w:val="HeaderChar"/>
    <w:autoRedefine/>
    <w:rsid w:val="00586724"/>
    <w:pPr>
      <w:tabs>
        <w:tab w:val="center" w:pos="4680"/>
        <w:tab w:val="right" w:pos="9360"/>
      </w:tabs>
    </w:pPr>
    <w:rPr>
      <w:b/>
    </w:rPr>
  </w:style>
  <w:style w:type="paragraph" w:styleId="Footer">
    <w:name w:val="footer"/>
    <w:basedOn w:val="Normal"/>
    <w:link w:val="FooterChar"/>
    <w:uiPriority w:val="99"/>
    <w:rsid w:val="00586724"/>
    <w:pPr>
      <w:tabs>
        <w:tab w:val="center" w:pos="4320"/>
        <w:tab w:val="right" w:pos="8640"/>
      </w:tabs>
    </w:pPr>
  </w:style>
  <w:style w:type="character" w:styleId="PageNumber">
    <w:name w:val="page number"/>
    <w:basedOn w:val="DefaultParagraphFont"/>
    <w:rsid w:val="00586724"/>
  </w:style>
  <w:style w:type="paragraph" w:styleId="BlockText">
    <w:name w:val="Block Text"/>
    <w:basedOn w:val="Normal"/>
    <w:rsid w:val="00586724"/>
    <w:pPr>
      <w:spacing w:after="240"/>
      <w:ind w:left="1440" w:right="1440"/>
    </w:pPr>
  </w:style>
  <w:style w:type="paragraph" w:customStyle="1" w:styleId="Paratitle">
    <w:name w:val="Para title"/>
    <w:basedOn w:val="Normal"/>
    <w:rsid w:val="00586724"/>
    <w:pPr>
      <w:tabs>
        <w:tab w:val="center" w:pos="9270"/>
      </w:tabs>
      <w:spacing w:after="240"/>
    </w:pPr>
    <w:rPr>
      <w:spacing w:val="-2"/>
    </w:rPr>
  </w:style>
  <w:style w:type="paragraph" w:customStyle="1" w:styleId="Bullet">
    <w:name w:val="Bullet"/>
    <w:basedOn w:val="Normal"/>
    <w:rsid w:val="00586724"/>
    <w:pPr>
      <w:tabs>
        <w:tab w:val="left" w:pos="2160"/>
      </w:tabs>
      <w:spacing w:after="220"/>
      <w:ind w:left="2160" w:hanging="720"/>
    </w:pPr>
  </w:style>
  <w:style w:type="paragraph" w:customStyle="1" w:styleId="TableFormat">
    <w:name w:val="TableFormat"/>
    <w:basedOn w:val="Bullet"/>
    <w:rsid w:val="00586724"/>
    <w:pPr>
      <w:tabs>
        <w:tab w:val="clear" w:pos="2160"/>
        <w:tab w:val="left" w:pos="5040"/>
      </w:tabs>
      <w:ind w:left="5040" w:hanging="3600"/>
    </w:pPr>
  </w:style>
  <w:style w:type="paragraph" w:customStyle="1" w:styleId="TOCTitle">
    <w:name w:val="TOC Title"/>
    <w:basedOn w:val="Normal"/>
    <w:rsid w:val="005867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6724"/>
    <w:pPr>
      <w:jc w:val="center"/>
    </w:pPr>
    <w:rPr>
      <w:rFonts w:ascii="Times New Roman Bold" w:hAnsi="Times New Roman Bold"/>
      <w:b/>
      <w:bCs/>
      <w:caps/>
      <w:szCs w:val="22"/>
    </w:rPr>
  </w:style>
  <w:style w:type="character" w:styleId="Hyperlink">
    <w:name w:val="Hyperlink"/>
    <w:rsid w:val="00586724"/>
    <w:rPr>
      <w:color w:val="0000FF"/>
      <w:u w:val="single"/>
    </w:rPr>
  </w:style>
  <w:style w:type="character" w:customStyle="1" w:styleId="FooterChar">
    <w:name w:val="Footer Char"/>
    <w:link w:val="Footer"/>
    <w:uiPriority w:val="99"/>
    <w:rsid w:val="00586724"/>
    <w:rPr>
      <w:snapToGrid w:val="0"/>
      <w:kern w:val="28"/>
      <w:sz w:val="22"/>
    </w:rPr>
  </w:style>
  <w:style w:type="paragraph" w:styleId="BalloonText">
    <w:name w:val="Balloon Text"/>
    <w:basedOn w:val="Normal"/>
    <w:link w:val="BalloonTextChar"/>
    <w:rsid w:val="007B43B9"/>
    <w:rPr>
      <w:rFonts w:ascii="Segoe UI" w:hAnsi="Segoe UI" w:cs="Segoe UI"/>
      <w:sz w:val="18"/>
      <w:szCs w:val="18"/>
    </w:rPr>
  </w:style>
  <w:style w:type="character" w:customStyle="1" w:styleId="BalloonTextChar">
    <w:name w:val="Balloon Text Char"/>
    <w:link w:val="BalloonText"/>
    <w:rsid w:val="007B43B9"/>
    <w:rPr>
      <w:rFonts w:ascii="Segoe UI" w:hAnsi="Segoe UI" w:cs="Segoe UI"/>
      <w:snapToGrid w:val="0"/>
      <w:kern w:val="28"/>
      <w:sz w:val="18"/>
      <w:szCs w:val="18"/>
    </w:rPr>
  </w:style>
  <w:style w:type="character" w:styleId="CommentReference">
    <w:name w:val="annotation reference"/>
    <w:rsid w:val="007B43B9"/>
    <w:rPr>
      <w:sz w:val="16"/>
      <w:szCs w:val="16"/>
    </w:rPr>
  </w:style>
  <w:style w:type="paragraph" w:styleId="CommentText">
    <w:name w:val="annotation text"/>
    <w:basedOn w:val="Normal"/>
    <w:link w:val="CommentTextChar"/>
    <w:rsid w:val="007B43B9"/>
    <w:rPr>
      <w:sz w:val="20"/>
    </w:rPr>
  </w:style>
  <w:style w:type="character" w:customStyle="1" w:styleId="CommentTextChar">
    <w:name w:val="Comment Text Char"/>
    <w:link w:val="CommentText"/>
    <w:rsid w:val="007B43B9"/>
    <w:rPr>
      <w:snapToGrid w:val="0"/>
      <w:kern w:val="28"/>
    </w:rPr>
  </w:style>
  <w:style w:type="paragraph" w:styleId="CommentSubject">
    <w:name w:val="annotation subject"/>
    <w:basedOn w:val="CommentText"/>
    <w:next w:val="CommentText"/>
    <w:link w:val="CommentSubjectChar"/>
    <w:rsid w:val="007B43B9"/>
    <w:rPr>
      <w:b/>
      <w:bCs/>
    </w:rPr>
  </w:style>
  <w:style w:type="character" w:customStyle="1" w:styleId="CommentSubjectChar">
    <w:name w:val="Comment Subject Char"/>
    <w:link w:val="CommentSubject"/>
    <w:rsid w:val="007B43B9"/>
    <w:rPr>
      <w:b/>
      <w:bCs/>
      <w:snapToGrid w:val="0"/>
      <w:kern w:val="28"/>
    </w:rPr>
  </w:style>
  <w:style w:type="character" w:customStyle="1" w:styleId="UnresolvedMention">
    <w:name w:val="Unresolved Mention"/>
    <w:uiPriority w:val="99"/>
    <w:semiHidden/>
    <w:unhideWhenUsed/>
    <w:rsid w:val="007B43B9"/>
    <w:rPr>
      <w:color w:val="605E5C"/>
      <w:shd w:val="clear" w:color="auto" w:fill="E1DFDD"/>
    </w:rPr>
  </w:style>
  <w:style w:type="character" w:styleId="FollowedHyperlink">
    <w:name w:val="FollowedHyperlink"/>
    <w:rsid w:val="007B43B9"/>
    <w:rPr>
      <w:color w:val="954F72"/>
      <w:u w:val="single"/>
    </w:rPr>
  </w:style>
  <w:style w:type="character" w:customStyle="1" w:styleId="ParaNumChar">
    <w:name w:val="ParaNum Char"/>
    <w:link w:val="ParaNum"/>
    <w:rsid w:val="007B43B9"/>
    <w:rPr>
      <w:snapToGrid w:val="0"/>
      <w:kern w:val="28"/>
      <w:sz w:val="22"/>
    </w:rPr>
  </w:style>
  <w:style w:type="character" w:customStyle="1" w:styleId="FootnoteTextChar">
    <w:name w:val="Footnote Text Char"/>
    <w:aliases w:val="ALTS FOOTNOTE Char,Footnote Text Char Char Char,Footnote Text Char Char1 Char Char Char,Footnote Text Char1 Char Char Char,Footnote Text Char1 Char Char Char Char Char Char,Footnote Text Char2 Char Char Char,f Char,fn Char"/>
    <w:link w:val="FootnoteText"/>
    <w:rsid w:val="007B43B9"/>
  </w:style>
  <w:style w:type="paragraph" w:styleId="Revision">
    <w:name w:val="Revision"/>
    <w:hidden/>
    <w:uiPriority w:val="99"/>
    <w:semiHidden/>
    <w:rsid w:val="007B43B9"/>
    <w:rPr>
      <w:snapToGrid w:val="0"/>
      <w:kern w:val="28"/>
      <w:sz w:val="22"/>
    </w:rPr>
  </w:style>
  <w:style w:type="paragraph" w:styleId="ListParagraph">
    <w:name w:val="List Paragraph"/>
    <w:basedOn w:val="Normal"/>
    <w:uiPriority w:val="34"/>
    <w:qFormat/>
    <w:rsid w:val="007B43B9"/>
    <w:pPr>
      <w:widowControl/>
      <w:ind w:left="720"/>
    </w:pPr>
    <w:rPr>
      <w:rFonts w:ascii="Calibri" w:eastAsia="Calibri" w:hAnsi="Calibri" w:cs="Calibri"/>
      <w:snapToGrid/>
      <w:kern w:val="0"/>
      <w:szCs w:val="22"/>
    </w:rPr>
  </w:style>
  <w:style w:type="character" w:customStyle="1" w:styleId="HeaderChar">
    <w:name w:val="Header Char"/>
    <w:link w:val="Header"/>
    <w:rsid w:val="009F0428"/>
    <w:rPr>
      <w:b/>
      <w:snapToGrid w:val="0"/>
      <w:kern w:val="28"/>
      <w:sz w:val="22"/>
    </w:rPr>
  </w:style>
  <w:style w:type="character" w:customStyle="1" w:styleId="Heading1Char">
    <w:name w:val="Heading 1 Char"/>
    <w:link w:val="Heading1"/>
    <w:rsid w:val="007A05B0"/>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09061B"/>
    <w:rPr>
      <w:b/>
      <w:snapToGrid w:val="0"/>
      <w:kern w:val="28"/>
      <w:sz w:val="22"/>
    </w:rPr>
  </w:style>
  <w:style w:type="paragraph" w:styleId="TOCHeading">
    <w:name w:val="TOC Heading"/>
    <w:basedOn w:val="Heading1"/>
    <w:next w:val="Normal"/>
    <w:uiPriority w:val="39"/>
    <w:unhideWhenUsed/>
    <w:qFormat/>
    <w:rsid w:val="0053730A"/>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F5496" w:themeColor="accent1" w:themeShade="BF"/>
      <w:kern w:val="0"/>
      <w:sz w:val="32"/>
      <w:szCs w:val="32"/>
    </w:rPr>
  </w:style>
  <w:style w:type="paragraph" w:styleId="NoSpacing">
    <w:name w:val="No Spacing"/>
    <w:uiPriority w:val="1"/>
    <w:qFormat/>
    <w:rsid w:val="009559EF"/>
    <w:pPr>
      <w:widowControl w:val="0"/>
    </w:pPr>
    <w:rPr>
      <w:snapToGrid w:val="0"/>
      <w:kern w:val="28"/>
      <w:sz w:val="22"/>
    </w:rPr>
  </w:style>
  <w:style w:type="table" w:styleId="TableGrid">
    <w:name w:val="Table Grid"/>
    <w:basedOn w:val="TableNormal"/>
    <w:rsid w:val="0021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cdn.advocacy.sba.gov/wp-content/uploads/2019/09/23172859/Whats-New-With-Small-Business-2019.pdf" TargetMode="External" /><Relationship Id="rId10" Type="http://schemas.openxmlformats.org/officeDocument/2006/relationships/hyperlink" Target="https://data.census.gov/cedsci/table?text=EC1251SSSZ4&amp;n=517919&amp;tid=ECNSIZE2012.EC1251SSSZ4&amp;hidePreview=false" TargetMode="External" /><Relationship Id="rId11" Type="http://schemas.openxmlformats.org/officeDocument/2006/relationships/hyperlink" Target="https://factfinder.census.gov/faces/affhelp/jsf/pages/metadata.xhtml?lang=en&amp;type=ib&amp;id=ib.en./ECN.NAICS2012.515112" TargetMode="External" /><Relationship Id="rId12" Type="http://schemas.openxmlformats.org/officeDocument/2006/relationships/hyperlink" Target="https://www.census.gov/cgi-bin/sssd/naics/naicsrch?input=515112&amp;search=2017+NAICS+Search&amp;search=2017" TargetMode="External" /><Relationship Id="rId13" Type="http://schemas.openxmlformats.org/officeDocument/2006/relationships/hyperlink" Target="https://data.census.gov/cedsci/table?text=EC1251SSSZ4&amp;n=515112&amp;tid=ECNSIZE2012.EC1251SSSZ4&amp;hidePreview=false" TargetMode="External" /><Relationship Id="rId14" Type="http://schemas.openxmlformats.org/officeDocument/2006/relationships/hyperlink" Target="http://web2.westlaw.com/Find/Default.wl?DB=1000547&amp;DocName=47CFRS95%2E401&amp;FindType=L&amp;AP=&amp;RS=WLW2.86&amp;VR=2.0&amp;SV=Split&amp;MT=Westlaw&amp;FN=_top" TargetMode="External" /><Relationship Id="rId15" Type="http://schemas.openxmlformats.org/officeDocument/2006/relationships/hyperlink" Target="https://docs.fcc.gov/public/attachments/DOC-363515A1.pdf" TargetMode="External" /><Relationship Id="rId16" Type="http://schemas.openxmlformats.org/officeDocument/2006/relationships/hyperlink" Target="https://www.census.gov/cgi-bin/sssd/naics/naicsrch?input=517410&amp;search=2017+NAICS+Search&amp;search=2017" TargetMode="External" /><Relationship Id="rId17" Type="http://schemas.openxmlformats.org/officeDocument/2006/relationships/hyperlink" Target="https://data.census.gov/cedsci/table?text=EC1251SSSZ4&amp;n=517410&amp;tid=ECNSIZE2012.EC1251SSSZ4&amp;hidePreview=false&amp;vintage=2012" TargetMode="External" /><Relationship Id="rId18" Type="http://schemas.openxmlformats.org/officeDocument/2006/relationships/hyperlink" Target="https://www.census.gov/cgi-bin/sssd/naics/naicsrch?input=515120&amp;search=2017+NAICS+Search&amp;search=2017" TargetMode="External" /><Relationship Id="rId19" Type="http://schemas.openxmlformats.org/officeDocument/2006/relationships/hyperlink" Target="https://data.census.gov/cedsci/table?text=EC1251SSSZ4&amp;n=515120&amp;tid=ECNSIZE2012.EC1251SSSZ4&amp;hidePreview=false" TargetMode="External" /><Relationship Id="rId2" Type="http://schemas.openxmlformats.org/officeDocument/2006/relationships/hyperlink" Target="https://www.irs.gov/charities-non-profits/annual-electronic-filing-requirement-for-small-exempt-organizations-form-990-n-e-postcard" TargetMode="External" /><Relationship Id="rId20" Type="http://schemas.openxmlformats.org/officeDocument/2006/relationships/hyperlink" Target="https://docs.fcc.gov/public/attachments/DOC-352168A1.pdf" TargetMode="External" /><Relationship Id="rId21" Type="http://schemas.openxmlformats.org/officeDocument/2006/relationships/hyperlink" Target="http://www.census.gov/cgi-bin/sssd/naics/naicsrch?code=517311&amp;search=201" TargetMode="External" /><Relationship Id="rId22" Type="http://schemas.openxmlformats.org/officeDocument/2006/relationships/hyperlink" Target="https://data.census.gov/cedsci/table?text=EC1251SSSZ5&amp;n=517110&amp;tid=ECNSIZE2012.EC1251SSSZ5&amp;hidePreview=false" TargetMode="External" /><Relationship Id="rId3"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s://www.census.gov/cgi-bin/sssd/naics/naicsrch?code=517312&amp;search=2017%20NAICS%20Search" TargetMode="External" /><Relationship Id="rId7" Type="http://schemas.openxmlformats.org/officeDocument/2006/relationships/hyperlink" Target="https://data.census.gov/cedsci/table?text=EC1251SSSZ5&amp;n=517210&amp;tid=ECNSIZE2012.EC1251SSSZ5&amp;hidePreview=false&amp;vintage=2012" TargetMode="External" /><Relationship Id="rId8" Type="http://schemas.openxmlformats.org/officeDocument/2006/relationships/hyperlink" Target="https://apps.fcc.gov/edocs_public/attachmatch/DOC-301823A1.pdf" TargetMode="External" /><Relationship Id="rId9" Type="http://schemas.openxmlformats.org/officeDocument/2006/relationships/hyperlink" Target="https://www.census.gov/cgi-bin/sssd/naics/naicsrch?input=517919&amp;search=2017+NAICS+Search&amp;search=201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