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769F" w:rsidRPr="00A13127" w:rsidP="001829BF" w14:paraId="2736CCF8" w14:textId="2E191F9C">
      <w:pPr>
        <w:spacing w:after="0" w:line="240" w:lineRule="auto"/>
        <w:jc w:val="center"/>
        <w:rPr>
          <w:rFonts w:ascii="Times New Roman" w:hAnsi="Times New Roman" w:cs="Times New Roman"/>
          <w:b/>
          <w:bCs/>
        </w:rPr>
      </w:pPr>
      <w:r w:rsidRPr="00A13127">
        <w:rPr>
          <w:rFonts w:ascii="Times New Roman" w:hAnsi="Times New Roman" w:cs="Times New Roman"/>
          <w:b/>
          <w:bCs/>
        </w:rPr>
        <w:t>STATEMENT OF</w:t>
      </w:r>
    </w:p>
    <w:p w:rsidR="001829BF" w:rsidRPr="00A13127" w:rsidP="001829BF" w14:paraId="14DE799E" w14:textId="7C29D81D">
      <w:pPr>
        <w:spacing w:after="0" w:line="240" w:lineRule="auto"/>
        <w:jc w:val="center"/>
        <w:rPr>
          <w:rFonts w:ascii="Times New Roman" w:hAnsi="Times New Roman" w:cs="Times New Roman"/>
          <w:b/>
          <w:bCs/>
        </w:rPr>
      </w:pPr>
      <w:r w:rsidRPr="00A13127">
        <w:rPr>
          <w:rFonts w:ascii="Times New Roman" w:hAnsi="Times New Roman" w:cs="Times New Roman"/>
          <w:b/>
          <w:bCs/>
        </w:rPr>
        <w:t>COMMISSIONER JESSICA ROSENWORCEL</w:t>
      </w:r>
      <w:r w:rsidRPr="00A13127" w:rsidR="00E14B1D">
        <w:rPr>
          <w:rFonts w:ascii="Times New Roman" w:hAnsi="Times New Roman" w:cs="Times New Roman"/>
          <w:b/>
          <w:bCs/>
        </w:rPr>
        <w:t>,</w:t>
      </w:r>
    </w:p>
    <w:p w:rsidR="00E14B1D" w:rsidRPr="00A13127" w:rsidP="001829BF" w14:paraId="6C54DE13" w14:textId="7A35C6F8">
      <w:pPr>
        <w:spacing w:after="0" w:line="240" w:lineRule="auto"/>
        <w:jc w:val="center"/>
        <w:rPr>
          <w:rFonts w:ascii="Times New Roman" w:hAnsi="Times New Roman" w:cs="Times New Roman"/>
          <w:b/>
          <w:bCs/>
        </w:rPr>
      </w:pPr>
      <w:r w:rsidRPr="00A13127">
        <w:rPr>
          <w:rFonts w:ascii="Times New Roman" w:hAnsi="Times New Roman" w:cs="Times New Roman"/>
          <w:b/>
          <w:bCs/>
        </w:rPr>
        <w:t>DISSENTING</w:t>
      </w:r>
    </w:p>
    <w:p w:rsidR="00D45866" w:rsidRPr="00A13127" w:rsidP="001829BF" w14:paraId="7C1F179E" w14:textId="77777777">
      <w:pPr>
        <w:spacing w:after="0" w:line="240" w:lineRule="auto"/>
        <w:jc w:val="center"/>
        <w:rPr>
          <w:rFonts w:ascii="Times New Roman" w:hAnsi="Times New Roman" w:cs="Times New Roman"/>
          <w:b/>
          <w:bCs/>
        </w:rPr>
      </w:pPr>
    </w:p>
    <w:p w:rsidR="00A470CF" w:rsidRPr="00A13127" w:rsidP="00A470CF" w14:paraId="29E5A408" w14:textId="77777777">
      <w:pPr>
        <w:tabs>
          <w:tab w:val="left" w:pos="720"/>
        </w:tabs>
        <w:spacing w:after="0" w:line="240" w:lineRule="auto"/>
        <w:ind w:left="720" w:hanging="720"/>
        <w:rPr>
          <w:rFonts w:ascii="Times New Roman" w:hAnsi="Times New Roman" w:cs="Times New Roman"/>
        </w:rPr>
      </w:pPr>
      <w:r w:rsidRPr="00A13127">
        <w:rPr>
          <w:rFonts w:ascii="Times New Roman" w:hAnsi="Times New Roman" w:cs="Times New Roman"/>
        </w:rPr>
        <w:t>Re:</w:t>
      </w:r>
      <w:r w:rsidRPr="00A13127">
        <w:rPr>
          <w:rFonts w:ascii="Times New Roman" w:hAnsi="Times New Roman" w:cs="Times New Roman"/>
        </w:rPr>
        <w:tab/>
      </w:r>
      <w:r w:rsidRPr="00A13127">
        <w:rPr>
          <w:rFonts w:ascii="Times New Roman" w:hAnsi="Times New Roman" w:cs="Times New Roman"/>
          <w:i/>
          <w:iCs/>
        </w:rPr>
        <w:t>Implementation of State and Local Governments’ Obligation to Approve Certain Wireless Facility Modification Requests Under Section 6409(a) of the Spectrum Act of 2012</w:t>
      </w:r>
      <w:r w:rsidRPr="00A13127">
        <w:rPr>
          <w:rFonts w:ascii="Times New Roman" w:hAnsi="Times New Roman" w:cs="Times New Roman"/>
          <w:iCs/>
        </w:rPr>
        <w:t>,</w:t>
      </w:r>
      <w:r w:rsidRPr="00A13127">
        <w:rPr>
          <w:rFonts w:ascii="Times New Roman" w:hAnsi="Times New Roman" w:cs="Times New Roman"/>
          <w:i/>
          <w:iCs/>
        </w:rPr>
        <w:t xml:space="preserve"> </w:t>
      </w:r>
      <w:r w:rsidRPr="00A13127">
        <w:rPr>
          <w:rFonts w:ascii="Times New Roman" w:hAnsi="Times New Roman" w:cs="Times New Roman"/>
        </w:rPr>
        <w:t>WT Docket No. 19-250, RM-11849</w:t>
      </w:r>
    </w:p>
    <w:p w:rsidR="00E14B1D" w:rsidRPr="00A13127" w:rsidP="00E14B1D" w14:paraId="003CC759" w14:textId="36B85BB4">
      <w:pPr>
        <w:spacing w:after="0" w:line="240" w:lineRule="auto"/>
        <w:ind w:firstLine="720"/>
        <w:rPr>
          <w:rFonts w:ascii="Times New Roman" w:hAnsi="Times New Roman" w:cs="Times New Roman"/>
        </w:rPr>
      </w:pPr>
    </w:p>
    <w:p w:rsidR="002505C6" w:rsidRPr="00A13127" w:rsidP="00E14B1D" w14:paraId="6AA5C0C7" w14:textId="2A1E8F02">
      <w:pPr>
        <w:spacing w:after="0" w:line="240" w:lineRule="auto"/>
        <w:ind w:firstLine="720"/>
        <w:rPr>
          <w:rFonts w:ascii="Times New Roman" w:hAnsi="Times New Roman" w:cs="Times New Roman"/>
        </w:rPr>
      </w:pPr>
      <w:r w:rsidRPr="00A13127">
        <w:rPr>
          <w:rFonts w:ascii="Times New Roman" w:hAnsi="Times New Roman" w:cs="Times New Roman"/>
        </w:rPr>
        <w:t xml:space="preserve">As telecommunications laws go, Section 6409 of the 2012 Middle Class Tax Relief and Job Creation Act is simple and straightforward.  It forbids localities from exercising their traditional zoning authority to deny applications to modify </w:t>
      </w:r>
      <w:r w:rsidRPr="00A13127" w:rsidR="006622FF">
        <w:rPr>
          <w:rFonts w:ascii="Times New Roman" w:hAnsi="Times New Roman" w:cs="Times New Roman"/>
        </w:rPr>
        <w:t xml:space="preserve">wireless towers or base stations </w:t>
      </w:r>
      <w:r w:rsidRPr="00A13127">
        <w:rPr>
          <w:rFonts w:ascii="Times New Roman" w:hAnsi="Times New Roman" w:cs="Times New Roman"/>
        </w:rPr>
        <w:t xml:space="preserve">if—and only if—the application does not “substantially change the physical dimensions” of the existing facility.  Congress enacted this law because it made sense to speed up routine approvals for wireless deployments that almost always </w:t>
      </w:r>
      <w:r w:rsidRPr="00A13127" w:rsidR="006200D2">
        <w:rPr>
          <w:rFonts w:ascii="Times New Roman" w:hAnsi="Times New Roman" w:cs="Times New Roman"/>
        </w:rPr>
        <w:t>have no impact on</w:t>
      </w:r>
      <w:r w:rsidRPr="00A13127">
        <w:rPr>
          <w:rFonts w:ascii="Times New Roman" w:hAnsi="Times New Roman" w:cs="Times New Roman"/>
        </w:rPr>
        <w:t xml:space="preserve"> state or local interests.  But Congress also took care to bar applications from this process that would result in substantial changes to existing towers.</w:t>
      </w:r>
    </w:p>
    <w:p w:rsidR="005F1F5C" w:rsidRPr="00A13127" w:rsidP="00E14B1D" w14:paraId="76DD0D46" w14:textId="19532481">
      <w:pPr>
        <w:spacing w:after="0" w:line="240" w:lineRule="auto"/>
        <w:ind w:firstLine="720"/>
        <w:rPr>
          <w:rFonts w:ascii="Times New Roman" w:hAnsi="Times New Roman" w:cs="Times New Roman"/>
        </w:rPr>
      </w:pPr>
    </w:p>
    <w:p w:rsidR="00023330" w:rsidRPr="00A13127" w:rsidP="00E14B1D" w14:paraId="7B77FDD7" w14:textId="7A8157B6">
      <w:pPr>
        <w:spacing w:after="0" w:line="240" w:lineRule="auto"/>
        <w:ind w:firstLine="720"/>
        <w:rPr>
          <w:rFonts w:ascii="Times New Roman" w:hAnsi="Times New Roman" w:cs="Times New Roman"/>
        </w:rPr>
      </w:pPr>
      <w:r w:rsidRPr="00A13127">
        <w:rPr>
          <w:rFonts w:ascii="Times New Roman" w:hAnsi="Times New Roman" w:cs="Times New Roman"/>
        </w:rPr>
        <w:t xml:space="preserve">I’m familiar with this section of the law.  As congressional staff, </w:t>
      </w:r>
      <w:r w:rsidRPr="00A13127" w:rsidR="006200D2">
        <w:rPr>
          <w:rFonts w:ascii="Times New Roman" w:hAnsi="Times New Roman" w:cs="Times New Roman"/>
        </w:rPr>
        <w:t xml:space="preserve">I was </w:t>
      </w:r>
      <w:r w:rsidRPr="00A13127">
        <w:rPr>
          <w:rFonts w:ascii="Times New Roman" w:hAnsi="Times New Roman" w:cs="Times New Roman"/>
        </w:rPr>
        <w:t>in the proverbial room where it happened</w:t>
      </w:r>
      <w:r w:rsidRPr="00A13127" w:rsidR="006200D2">
        <w:rPr>
          <w:rFonts w:ascii="Times New Roman" w:hAnsi="Times New Roman" w:cs="Times New Roman"/>
        </w:rPr>
        <w:t xml:space="preserve"> </w:t>
      </w:r>
      <w:r w:rsidRPr="00A13127" w:rsidR="00C205F5">
        <w:rPr>
          <w:rFonts w:ascii="Times New Roman" w:hAnsi="Times New Roman" w:cs="Times New Roman"/>
        </w:rPr>
        <w:t>and</w:t>
      </w:r>
      <w:r w:rsidRPr="00A13127" w:rsidR="006200D2">
        <w:rPr>
          <w:rFonts w:ascii="Times New Roman" w:hAnsi="Times New Roman" w:cs="Times New Roman"/>
        </w:rPr>
        <w:t xml:space="preserve"> helped write it</w:t>
      </w:r>
      <w:r w:rsidRPr="00A13127">
        <w:rPr>
          <w:rFonts w:ascii="Times New Roman" w:hAnsi="Times New Roman" w:cs="Times New Roman"/>
        </w:rPr>
        <w:t xml:space="preserve">.  But being </w:t>
      </w:r>
      <w:r w:rsidRPr="00A13127" w:rsidR="006200D2">
        <w:rPr>
          <w:rFonts w:ascii="Times New Roman" w:hAnsi="Times New Roman" w:cs="Times New Roman"/>
        </w:rPr>
        <w:t>there</w:t>
      </w:r>
      <w:r w:rsidRPr="00A13127">
        <w:rPr>
          <w:rFonts w:ascii="Times New Roman" w:hAnsi="Times New Roman" w:cs="Times New Roman"/>
        </w:rPr>
        <w:t xml:space="preserve"> is hardly necessary.  The law is cl</w:t>
      </w:r>
      <w:r w:rsidRPr="00A13127" w:rsidR="006A1223">
        <w:rPr>
          <w:rFonts w:ascii="Times New Roman" w:hAnsi="Times New Roman" w:cs="Times New Roman"/>
        </w:rPr>
        <w:t>e</w:t>
      </w:r>
      <w:r w:rsidRPr="00A13127">
        <w:rPr>
          <w:rFonts w:ascii="Times New Roman" w:hAnsi="Times New Roman" w:cs="Times New Roman"/>
        </w:rPr>
        <w:t>ar on its face.  It’s also clear that the decision we make today is inconsistent with the statute</w:t>
      </w:r>
      <w:r w:rsidRPr="00A13127">
        <w:rPr>
          <w:rFonts w:ascii="Times New Roman" w:hAnsi="Times New Roman" w:cs="Times New Roman"/>
        </w:rPr>
        <w:t xml:space="preserve"> and that </w:t>
      </w:r>
      <w:r w:rsidRPr="00A13127" w:rsidR="005D37A2">
        <w:rPr>
          <w:rFonts w:ascii="Times New Roman" w:hAnsi="Times New Roman" w:cs="Times New Roman"/>
        </w:rPr>
        <w:t xml:space="preserve">if we continue down this </w:t>
      </w:r>
      <w:r w:rsidRPr="00A13127" w:rsidR="005D37A2">
        <w:rPr>
          <w:rFonts w:ascii="Times New Roman" w:hAnsi="Times New Roman" w:cs="Times New Roman"/>
        </w:rPr>
        <w:t>road</w:t>
      </w:r>
      <w:r w:rsidRPr="00A13127" w:rsidR="005D37A2">
        <w:rPr>
          <w:rFonts w:ascii="Times New Roman" w:hAnsi="Times New Roman" w:cs="Times New Roman"/>
        </w:rPr>
        <w:t xml:space="preserve"> </w:t>
      </w:r>
      <w:r w:rsidRPr="00A13127">
        <w:rPr>
          <w:rFonts w:ascii="Times New Roman" w:hAnsi="Times New Roman" w:cs="Times New Roman"/>
        </w:rPr>
        <w:t xml:space="preserve">we risk thwarting the very partnerships with </w:t>
      </w:r>
      <w:r w:rsidRPr="00A13127" w:rsidR="005D37A2">
        <w:rPr>
          <w:rFonts w:ascii="Times New Roman" w:hAnsi="Times New Roman" w:cs="Times New Roman"/>
        </w:rPr>
        <w:t>local interests we need if we want to see smart cities technology truly develop.</w:t>
      </w:r>
    </w:p>
    <w:p w:rsidR="005D37A2" w:rsidRPr="00A13127" w:rsidP="00E14B1D" w14:paraId="21D6C805" w14:textId="47C42E19">
      <w:pPr>
        <w:spacing w:after="0" w:line="240" w:lineRule="auto"/>
        <w:ind w:firstLine="720"/>
        <w:rPr>
          <w:rFonts w:ascii="Times New Roman" w:hAnsi="Times New Roman" w:cs="Times New Roman"/>
        </w:rPr>
      </w:pPr>
    </w:p>
    <w:p w:rsidR="005D37A2" w:rsidRPr="00A13127" w:rsidP="00E14B1D" w14:paraId="4C295D75" w14:textId="6B8045E7">
      <w:pPr>
        <w:spacing w:after="0" w:line="240" w:lineRule="auto"/>
        <w:ind w:firstLine="720"/>
        <w:rPr>
          <w:rFonts w:ascii="Times New Roman" w:hAnsi="Times New Roman" w:cs="Times New Roman"/>
        </w:rPr>
      </w:pPr>
      <w:r w:rsidRPr="00A13127">
        <w:rPr>
          <w:rFonts w:ascii="Times New Roman" w:hAnsi="Times New Roman" w:cs="Times New Roman"/>
        </w:rPr>
        <w:t>Let me explain.</w:t>
      </w:r>
    </w:p>
    <w:p w:rsidR="005D37A2" w:rsidRPr="00A13127" w:rsidP="00E14B1D" w14:paraId="3306ADEC" w14:textId="224B0C14">
      <w:pPr>
        <w:spacing w:after="0" w:line="240" w:lineRule="auto"/>
        <w:ind w:firstLine="720"/>
        <w:rPr>
          <w:rFonts w:ascii="Times New Roman" w:hAnsi="Times New Roman" w:cs="Times New Roman"/>
        </w:rPr>
      </w:pPr>
    </w:p>
    <w:p w:rsidR="005D37A2" w:rsidRPr="00A13127" w:rsidP="00E14B1D" w14:paraId="341B30D6" w14:textId="3A284839">
      <w:pPr>
        <w:spacing w:after="0" w:line="240" w:lineRule="auto"/>
        <w:ind w:firstLine="720"/>
        <w:rPr>
          <w:rFonts w:ascii="Times New Roman" w:hAnsi="Times New Roman" w:cs="Times New Roman"/>
        </w:rPr>
      </w:pPr>
      <w:r w:rsidRPr="00A13127">
        <w:rPr>
          <w:rFonts w:ascii="Times New Roman" w:hAnsi="Times New Roman" w:cs="Times New Roman"/>
        </w:rPr>
        <w:t xml:space="preserve">First, you can’t square the plain language of Section 6409 with today’s decision.  It stretches credulity to suggest that excavation or deployment of up to 30 feet outside the boundaries of a tower compound does not “substantially change the physical dimensions” of that site.  Thirty feet is five refrigerators laid </w:t>
      </w:r>
      <w:r w:rsidRPr="00A13127" w:rsidR="00297DA3">
        <w:rPr>
          <w:rFonts w:ascii="Times New Roman" w:hAnsi="Times New Roman" w:cs="Times New Roman"/>
        </w:rPr>
        <w:t xml:space="preserve">out one after the other.  It’s half the size of a bowling lane.  It’s </w:t>
      </w:r>
      <w:r w:rsidRPr="00A13127" w:rsidR="006622FF">
        <w:rPr>
          <w:rFonts w:ascii="Times New Roman" w:hAnsi="Times New Roman" w:cs="Times New Roman"/>
        </w:rPr>
        <w:t xml:space="preserve">about </w:t>
      </w:r>
      <w:r w:rsidRPr="00A13127" w:rsidR="00297DA3">
        <w:rPr>
          <w:rFonts w:ascii="Times New Roman" w:hAnsi="Times New Roman" w:cs="Times New Roman"/>
        </w:rPr>
        <w:t>one-fifth of the size of the Leaning Tower of Pisa.  You can’t tell me that construction of this size does not “substantially change the physical dimensions” of a site.  The F</w:t>
      </w:r>
      <w:r w:rsidRPr="00A13127" w:rsidR="00084BCD">
        <w:rPr>
          <w:rFonts w:ascii="Times New Roman" w:hAnsi="Times New Roman" w:cs="Times New Roman"/>
        </w:rPr>
        <w:t>ederal Communications Commission</w:t>
      </w:r>
      <w:r w:rsidRPr="00A13127" w:rsidR="00297DA3">
        <w:rPr>
          <w:rFonts w:ascii="Times New Roman" w:hAnsi="Times New Roman" w:cs="Times New Roman"/>
        </w:rPr>
        <w:t xml:space="preserve"> used to acknowledge this, too.  When the agency first interpreted Section 6409 in 2014, it concluded that excavation outside the current site of a tower was a substantial change.  That didn’t mean that a wireless provider could not expand an existing site—it simply meant that those applications would be approved in the normal </w:t>
      </w:r>
      <w:r w:rsidRPr="00A13127" w:rsidR="00280FF3">
        <w:rPr>
          <w:rFonts w:ascii="Times New Roman" w:hAnsi="Times New Roman" w:cs="Times New Roman"/>
        </w:rPr>
        <w:t>course</w:t>
      </w:r>
      <w:r w:rsidRPr="00A13127" w:rsidR="00297DA3">
        <w:rPr>
          <w:rFonts w:ascii="Times New Roman" w:hAnsi="Times New Roman" w:cs="Times New Roman"/>
        </w:rPr>
        <w:t>, subject to regular state and local review.</w:t>
      </w:r>
    </w:p>
    <w:p w:rsidR="00297DA3" w:rsidRPr="00A13127" w:rsidP="00E14B1D" w14:paraId="261C352F" w14:textId="23310C37">
      <w:pPr>
        <w:spacing w:after="0" w:line="240" w:lineRule="auto"/>
        <w:ind w:firstLine="720"/>
        <w:rPr>
          <w:rFonts w:ascii="Times New Roman" w:hAnsi="Times New Roman" w:cs="Times New Roman"/>
        </w:rPr>
      </w:pPr>
    </w:p>
    <w:p w:rsidR="00D804E2" w:rsidRPr="00A13127" w:rsidP="00084BCD" w14:paraId="375C0849" w14:textId="29D03587">
      <w:pPr>
        <w:spacing w:after="0" w:line="240" w:lineRule="auto"/>
        <w:ind w:firstLine="720"/>
        <w:rPr>
          <w:rFonts w:ascii="Times New Roman" w:hAnsi="Times New Roman" w:cs="Times New Roman"/>
        </w:rPr>
      </w:pPr>
      <w:r w:rsidRPr="00A13127">
        <w:rPr>
          <w:rFonts w:ascii="Times New Roman" w:hAnsi="Times New Roman" w:cs="Times New Roman"/>
        </w:rPr>
        <w:t xml:space="preserve">Our rationale for changing </w:t>
      </w:r>
      <w:r w:rsidRPr="00A13127" w:rsidR="00280FF3">
        <w:rPr>
          <w:rFonts w:ascii="Times New Roman" w:hAnsi="Times New Roman" w:cs="Times New Roman"/>
        </w:rPr>
        <w:t>direction</w:t>
      </w:r>
      <w:r w:rsidRPr="00A13127">
        <w:rPr>
          <w:rFonts w:ascii="Times New Roman" w:hAnsi="Times New Roman" w:cs="Times New Roman"/>
        </w:rPr>
        <w:t xml:space="preserve"> today </w:t>
      </w:r>
      <w:r w:rsidRPr="00A13127" w:rsidR="00084BCD">
        <w:rPr>
          <w:rFonts w:ascii="Times New Roman" w:hAnsi="Times New Roman" w:cs="Times New Roman"/>
        </w:rPr>
        <w:t xml:space="preserve">doesn’t stand up to scrutiny.  The agency acknowledges that in its decision in 2014 it drew guidance from similar language in the Nationwide Programmatic Agreement of the Collocation of Wireless Antennas, or the Collocation NPA.  It then relies on the fact that the Collocation NPA was amended recently to exclude excavations of up to 30 feet from the definition of “substantial change” to suggest that the FCC could do the same here.  But this is comparing apples to oranges.  The Collocation NPA addresses the review process under Section 106 of the National Historic Preservation Act.  It says nothing about Section 6409 of the </w:t>
      </w:r>
      <w:r w:rsidRPr="00A13127" w:rsidR="00084BCD">
        <w:rPr>
          <w:rFonts w:ascii="Times New Roman" w:hAnsi="Times New Roman" w:cs="Times New Roman"/>
        </w:rPr>
        <w:t>Middle Class</w:t>
      </w:r>
      <w:r w:rsidRPr="00A13127" w:rsidR="00084BCD">
        <w:rPr>
          <w:rFonts w:ascii="Times New Roman" w:hAnsi="Times New Roman" w:cs="Times New Roman"/>
        </w:rPr>
        <w:t xml:space="preserve"> Tax Relief and Job Creation Act.  </w:t>
      </w:r>
      <w:r w:rsidRPr="00A13127">
        <w:rPr>
          <w:rFonts w:ascii="Times New Roman" w:hAnsi="Times New Roman" w:cs="Times New Roman"/>
        </w:rPr>
        <w:t xml:space="preserve">Whatever changes have been made to the Collocation </w:t>
      </w:r>
      <w:r w:rsidRPr="00A13127">
        <w:rPr>
          <w:rFonts w:ascii="Times New Roman" w:hAnsi="Times New Roman" w:cs="Times New Roman"/>
        </w:rPr>
        <w:t>NPA,</w:t>
      </w:r>
      <w:r w:rsidRPr="00A13127">
        <w:rPr>
          <w:rFonts w:ascii="Times New Roman" w:hAnsi="Times New Roman" w:cs="Times New Roman"/>
        </w:rPr>
        <w:t xml:space="preserve"> the FCC cannot expand the scope of Section 6409 without authority from Congress to do so.</w:t>
      </w:r>
    </w:p>
    <w:p w:rsidR="00EF2270" w:rsidRPr="00A13127" w:rsidP="00084BCD" w14:paraId="75FE4B80" w14:textId="37A35FB1">
      <w:pPr>
        <w:spacing w:after="0" w:line="240" w:lineRule="auto"/>
        <w:ind w:firstLine="720"/>
        <w:rPr>
          <w:rFonts w:ascii="Times New Roman" w:hAnsi="Times New Roman" w:cs="Times New Roman"/>
        </w:rPr>
      </w:pPr>
    </w:p>
    <w:p w:rsidR="00953E87" w:rsidRPr="00A13127" w:rsidP="00A66901" w14:paraId="46A39BF2" w14:textId="4187E0B8">
      <w:pPr>
        <w:spacing w:after="0" w:line="240" w:lineRule="auto"/>
        <w:ind w:firstLine="720"/>
        <w:rPr>
          <w:rFonts w:ascii="Times New Roman" w:hAnsi="Times New Roman" w:cs="Times New Roman"/>
        </w:rPr>
      </w:pPr>
      <w:r w:rsidRPr="00A13127">
        <w:rPr>
          <w:rFonts w:ascii="Times New Roman" w:hAnsi="Times New Roman" w:cs="Times New Roman"/>
        </w:rPr>
        <w:t xml:space="preserve">Second, when </w:t>
      </w:r>
      <w:r w:rsidRPr="00A13127">
        <w:rPr>
          <w:rFonts w:ascii="Times New Roman" w:hAnsi="Times New Roman" w:cs="Times New Roman"/>
        </w:rPr>
        <w:t xml:space="preserve">we </w:t>
      </w:r>
      <w:r w:rsidRPr="00A13127" w:rsidR="006E2BFE">
        <w:rPr>
          <w:rFonts w:ascii="Times New Roman" w:hAnsi="Times New Roman" w:cs="Times New Roman"/>
        </w:rPr>
        <w:t>proceed</w:t>
      </w:r>
      <w:r w:rsidRPr="00A13127">
        <w:rPr>
          <w:rFonts w:ascii="Times New Roman" w:hAnsi="Times New Roman" w:cs="Times New Roman"/>
        </w:rPr>
        <w:t xml:space="preserve"> like this, </w:t>
      </w:r>
      <w:r w:rsidRPr="00A13127" w:rsidR="00FE36C6">
        <w:rPr>
          <w:rFonts w:ascii="Times New Roman" w:hAnsi="Times New Roman" w:cs="Times New Roman"/>
        </w:rPr>
        <w:t xml:space="preserve">we </w:t>
      </w:r>
      <w:r w:rsidRPr="00A13127" w:rsidR="006E2BFE">
        <w:rPr>
          <w:rFonts w:ascii="Times New Roman" w:hAnsi="Times New Roman" w:cs="Times New Roman"/>
        </w:rPr>
        <w:t xml:space="preserve">create </w:t>
      </w:r>
      <w:r w:rsidRPr="00A13127" w:rsidR="00A66901">
        <w:rPr>
          <w:rFonts w:ascii="Times New Roman" w:hAnsi="Times New Roman" w:cs="Times New Roman"/>
        </w:rPr>
        <w:t>genuinely unhelpful</w:t>
      </w:r>
      <w:r w:rsidRPr="00A13127" w:rsidR="006E2BFE">
        <w:rPr>
          <w:rFonts w:ascii="Times New Roman" w:hAnsi="Times New Roman" w:cs="Times New Roman"/>
        </w:rPr>
        <w:t xml:space="preserve"> friction between state and local interests who have filed </w:t>
      </w:r>
      <w:r w:rsidRPr="00A13127" w:rsidR="006E2BFE">
        <w:rPr>
          <w:rFonts w:ascii="Times New Roman" w:hAnsi="Times New Roman" w:cs="Times New Roman"/>
        </w:rPr>
        <w:t>en</w:t>
      </w:r>
      <w:r w:rsidRPr="00A13127" w:rsidR="006E2BFE">
        <w:rPr>
          <w:rFonts w:ascii="Times New Roman" w:hAnsi="Times New Roman" w:cs="Times New Roman"/>
        </w:rPr>
        <w:t xml:space="preserve"> masse in this proceeding to protest how this agency is </w:t>
      </w:r>
      <w:r w:rsidRPr="00A13127" w:rsidR="00A66901">
        <w:rPr>
          <w:rFonts w:ascii="Times New Roman" w:hAnsi="Times New Roman" w:cs="Times New Roman"/>
        </w:rPr>
        <w:t xml:space="preserve">diminishing their authority.  By doing so, we reduce </w:t>
      </w:r>
      <w:r w:rsidRPr="00A13127" w:rsidR="00FE36C6">
        <w:rPr>
          <w:rFonts w:ascii="Times New Roman" w:hAnsi="Times New Roman" w:cs="Times New Roman"/>
        </w:rPr>
        <w:t xml:space="preserve">the opportunity to </w:t>
      </w:r>
      <w:r w:rsidRPr="00A13127" w:rsidR="00A66901">
        <w:rPr>
          <w:rFonts w:ascii="Times New Roman" w:hAnsi="Times New Roman" w:cs="Times New Roman"/>
        </w:rPr>
        <w:t>foster the kind of</w:t>
      </w:r>
      <w:r w:rsidRPr="00A13127">
        <w:rPr>
          <w:rFonts w:ascii="Times New Roman" w:hAnsi="Times New Roman" w:cs="Times New Roman"/>
        </w:rPr>
        <w:t xml:space="preserve"> partnerships between providers and state and local authorities that can help build smart cities</w:t>
      </w:r>
      <w:r w:rsidRPr="00A13127" w:rsidR="00F24D65">
        <w:rPr>
          <w:rFonts w:ascii="Times New Roman" w:hAnsi="Times New Roman" w:cs="Times New Roman"/>
        </w:rPr>
        <w:t>—where connectivity will</w:t>
      </w:r>
      <w:r w:rsidRPr="00A13127" w:rsidR="00280FF3">
        <w:rPr>
          <w:rFonts w:ascii="Times New Roman" w:hAnsi="Times New Roman" w:cs="Times New Roman"/>
        </w:rPr>
        <w:t xml:space="preserve"> </w:t>
      </w:r>
      <w:r w:rsidRPr="00A13127" w:rsidR="00427CBF">
        <w:rPr>
          <w:rFonts w:ascii="Times New Roman" w:hAnsi="Times New Roman" w:cs="Times New Roman"/>
        </w:rPr>
        <w:t xml:space="preserve">help </w:t>
      </w:r>
      <w:r w:rsidRPr="00A13127" w:rsidR="00280FF3">
        <w:rPr>
          <w:rFonts w:ascii="Times New Roman" w:hAnsi="Times New Roman" w:cs="Times New Roman"/>
        </w:rPr>
        <w:t xml:space="preserve">improve </w:t>
      </w:r>
      <w:r w:rsidRPr="00A13127" w:rsidR="00F24D65">
        <w:rPr>
          <w:rFonts w:ascii="Times New Roman" w:hAnsi="Times New Roman" w:cs="Times New Roman"/>
        </w:rPr>
        <w:t xml:space="preserve">the </w:t>
      </w:r>
      <w:r w:rsidRPr="00A13127" w:rsidR="00280FF3">
        <w:rPr>
          <w:rFonts w:ascii="Times New Roman" w:hAnsi="Times New Roman" w:cs="Times New Roman"/>
        </w:rPr>
        <w:t xml:space="preserve">quality of life.  That can mean </w:t>
      </w:r>
      <w:r w:rsidRPr="00A13127" w:rsidR="00045A58">
        <w:rPr>
          <w:rFonts w:ascii="Times New Roman" w:hAnsi="Times New Roman" w:cs="Times New Roman"/>
        </w:rPr>
        <w:t xml:space="preserve">everything </w:t>
      </w:r>
      <w:r w:rsidRPr="00A13127" w:rsidR="00427CBF">
        <w:rPr>
          <w:rFonts w:ascii="Times New Roman" w:hAnsi="Times New Roman" w:cs="Times New Roman"/>
        </w:rPr>
        <w:t xml:space="preserve">from adaptive traffic signals to increased energy efficiency to improved waste management </w:t>
      </w:r>
      <w:r w:rsidRPr="00A13127" w:rsidR="00F24D65">
        <w:rPr>
          <w:rFonts w:ascii="Times New Roman" w:hAnsi="Times New Roman" w:cs="Times New Roman"/>
        </w:rPr>
        <w:t xml:space="preserve">to more data-driven problem solving in real time.  But we won’t get there </w:t>
      </w:r>
      <w:r w:rsidRPr="00A13127" w:rsidR="00F24D65">
        <w:rPr>
          <w:rFonts w:ascii="Times New Roman" w:hAnsi="Times New Roman" w:cs="Times New Roman"/>
        </w:rPr>
        <w:t xml:space="preserve">anytime soon if this agency keeps reading the statute in a way that leaves state and local authorities aggrieved that they lack a </w:t>
      </w:r>
      <w:r w:rsidRPr="00A13127" w:rsidR="00280FF3">
        <w:rPr>
          <w:rFonts w:ascii="Times New Roman" w:hAnsi="Times New Roman" w:cs="Times New Roman"/>
        </w:rPr>
        <w:t xml:space="preserve">say in what is built in their own backyards.  </w:t>
      </w:r>
      <w:r w:rsidRPr="00A13127">
        <w:rPr>
          <w:rFonts w:ascii="Times New Roman" w:hAnsi="Times New Roman" w:cs="Times New Roman"/>
        </w:rPr>
        <w:t>We need a way forward that speeds the review of essential facilities and makes cities and states partners</w:t>
      </w:r>
      <w:r w:rsidRPr="00A13127" w:rsidR="00280FF3">
        <w:rPr>
          <w:rFonts w:ascii="Times New Roman" w:hAnsi="Times New Roman" w:cs="Times New Roman"/>
        </w:rPr>
        <w:t xml:space="preserve"> and</w:t>
      </w:r>
      <w:r w:rsidRPr="00A13127">
        <w:rPr>
          <w:rFonts w:ascii="Times New Roman" w:hAnsi="Times New Roman" w:cs="Times New Roman"/>
        </w:rPr>
        <w:t xml:space="preserve"> not adversaries in th</w:t>
      </w:r>
      <w:r w:rsidRPr="00A13127" w:rsidR="00F24D65">
        <w:rPr>
          <w:rFonts w:ascii="Times New Roman" w:hAnsi="Times New Roman" w:cs="Times New Roman"/>
        </w:rPr>
        <w:t>is</w:t>
      </w:r>
      <w:r w:rsidRPr="00A13127">
        <w:rPr>
          <w:rFonts w:ascii="Times New Roman" w:hAnsi="Times New Roman" w:cs="Times New Roman"/>
        </w:rPr>
        <w:t xml:space="preserve"> process.  I think we are creative enough to develop</w:t>
      </w:r>
      <w:r w:rsidRPr="00A13127" w:rsidR="00280FF3">
        <w:rPr>
          <w:rFonts w:ascii="Times New Roman" w:hAnsi="Times New Roman" w:cs="Times New Roman"/>
        </w:rPr>
        <w:t xml:space="preserve"> one.  But t</w:t>
      </w:r>
      <w:r w:rsidRPr="00A13127">
        <w:rPr>
          <w:rFonts w:ascii="Times New Roman" w:hAnsi="Times New Roman" w:cs="Times New Roman"/>
        </w:rPr>
        <w:t xml:space="preserve">his isn’t it.  I dissent.  </w:t>
      </w:r>
    </w:p>
    <w:p w:rsidR="005F1F5C" w:rsidRPr="00A13127" w:rsidP="00F24D65" w14:paraId="1D5879CF" w14:textId="75FD9672">
      <w:pPr>
        <w:spacing w:after="0" w:line="240" w:lineRule="auto"/>
        <w:rPr>
          <w:rFonts w:ascii="Times New Roman" w:hAnsi="Times New Roman" w:cs="Times New Roman"/>
        </w:rPr>
      </w:pPr>
    </w:p>
    <w:p w:rsidR="00402572" w:rsidRPr="00A13127" w:rsidP="001829BF" w14:paraId="70070D46" w14:textId="77777777">
      <w:pPr>
        <w:spacing w:after="0" w:line="240" w:lineRule="auto"/>
        <w:rPr>
          <w:rFonts w:ascii="Times New Roman" w:hAnsi="Times New Roman" w:cs="Times New Roman"/>
        </w:rPr>
      </w:pPr>
      <w:bookmarkStart w:id="0" w:name="_GoBack"/>
      <w:bookmarkEnd w:id="0"/>
    </w:p>
    <w:sectPr w:rsidSect="00D458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66" w14:paraId="02CF8AF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0E6AAD"/>
    <w:multiLevelType w:val="hybridMultilevel"/>
    <w:tmpl w:val="F49CB2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BF"/>
    <w:rsid w:val="00023330"/>
    <w:rsid w:val="00045A58"/>
    <w:rsid w:val="00061937"/>
    <w:rsid w:val="00084BCD"/>
    <w:rsid w:val="00093A94"/>
    <w:rsid w:val="00093C09"/>
    <w:rsid w:val="000F2E13"/>
    <w:rsid w:val="001829BF"/>
    <w:rsid w:val="002505C6"/>
    <w:rsid w:val="00250D4E"/>
    <w:rsid w:val="00275E4F"/>
    <w:rsid w:val="00280FF3"/>
    <w:rsid w:val="00297DA3"/>
    <w:rsid w:val="002A7F12"/>
    <w:rsid w:val="002C5F09"/>
    <w:rsid w:val="002E3C27"/>
    <w:rsid w:val="00344E21"/>
    <w:rsid w:val="00402572"/>
    <w:rsid w:val="004027F3"/>
    <w:rsid w:val="00415B0B"/>
    <w:rsid w:val="00427CBF"/>
    <w:rsid w:val="004F2481"/>
    <w:rsid w:val="005D37A2"/>
    <w:rsid w:val="005E198E"/>
    <w:rsid w:val="005F1F5C"/>
    <w:rsid w:val="005F29EA"/>
    <w:rsid w:val="006200D2"/>
    <w:rsid w:val="0063694B"/>
    <w:rsid w:val="00647ECE"/>
    <w:rsid w:val="006622FF"/>
    <w:rsid w:val="00674AEB"/>
    <w:rsid w:val="006A1223"/>
    <w:rsid w:val="006E2BFE"/>
    <w:rsid w:val="006E7934"/>
    <w:rsid w:val="00700013"/>
    <w:rsid w:val="007B0B4F"/>
    <w:rsid w:val="0082396C"/>
    <w:rsid w:val="009149A9"/>
    <w:rsid w:val="00927AD3"/>
    <w:rsid w:val="00946720"/>
    <w:rsid w:val="00953E87"/>
    <w:rsid w:val="00964F82"/>
    <w:rsid w:val="009757AF"/>
    <w:rsid w:val="00992824"/>
    <w:rsid w:val="009C6A60"/>
    <w:rsid w:val="00A13127"/>
    <w:rsid w:val="00A470CF"/>
    <w:rsid w:val="00A66901"/>
    <w:rsid w:val="00A739E3"/>
    <w:rsid w:val="00AC7888"/>
    <w:rsid w:val="00AD6682"/>
    <w:rsid w:val="00B01A7D"/>
    <w:rsid w:val="00B62A19"/>
    <w:rsid w:val="00B72207"/>
    <w:rsid w:val="00B84309"/>
    <w:rsid w:val="00B871F0"/>
    <w:rsid w:val="00BE769F"/>
    <w:rsid w:val="00C205F5"/>
    <w:rsid w:val="00C6410B"/>
    <w:rsid w:val="00C72660"/>
    <w:rsid w:val="00CC3217"/>
    <w:rsid w:val="00D0492C"/>
    <w:rsid w:val="00D45866"/>
    <w:rsid w:val="00D804E2"/>
    <w:rsid w:val="00DC6F78"/>
    <w:rsid w:val="00E14B1D"/>
    <w:rsid w:val="00E20900"/>
    <w:rsid w:val="00E27A4D"/>
    <w:rsid w:val="00EF2270"/>
    <w:rsid w:val="00EF73E5"/>
    <w:rsid w:val="00F24D65"/>
    <w:rsid w:val="00F3385F"/>
    <w:rsid w:val="00F426F2"/>
    <w:rsid w:val="00F94221"/>
    <w:rsid w:val="00FB3110"/>
    <w:rsid w:val="00FE36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754566-801C-44E4-B055-0DC0975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BF"/>
    <w:pPr>
      <w:ind w:left="720"/>
      <w:contextualSpacing/>
    </w:pPr>
  </w:style>
  <w:style w:type="paragraph" w:styleId="BalloonText">
    <w:name w:val="Balloon Text"/>
    <w:basedOn w:val="Normal"/>
    <w:link w:val="BalloonTextChar"/>
    <w:uiPriority w:val="99"/>
    <w:semiHidden/>
    <w:unhideWhenUsed/>
    <w:rsid w:val="00B843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3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2E13"/>
    <w:rPr>
      <w:sz w:val="16"/>
      <w:szCs w:val="16"/>
    </w:rPr>
  </w:style>
  <w:style w:type="paragraph" w:styleId="CommentText">
    <w:name w:val="annotation text"/>
    <w:basedOn w:val="Normal"/>
    <w:link w:val="CommentTextChar"/>
    <w:uiPriority w:val="99"/>
    <w:semiHidden/>
    <w:unhideWhenUsed/>
    <w:rsid w:val="000F2E13"/>
    <w:pPr>
      <w:spacing w:line="240" w:lineRule="auto"/>
    </w:pPr>
    <w:rPr>
      <w:sz w:val="20"/>
      <w:szCs w:val="20"/>
    </w:rPr>
  </w:style>
  <w:style w:type="character" w:customStyle="1" w:styleId="CommentTextChar">
    <w:name w:val="Comment Text Char"/>
    <w:basedOn w:val="DefaultParagraphFont"/>
    <w:link w:val="CommentText"/>
    <w:uiPriority w:val="99"/>
    <w:semiHidden/>
    <w:rsid w:val="000F2E13"/>
    <w:rPr>
      <w:sz w:val="20"/>
      <w:szCs w:val="20"/>
    </w:rPr>
  </w:style>
  <w:style w:type="paragraph" w:styleId="Header">
    <w:name w:val="header"/>
    <w:basedOn w:val="Normal"/>
    <w:link w:val="HeaderChar"/>
    <w:uiPriority w:val="99"/>
    <w:unhideWhenUsed/>
    <w:rsid w:val="00D4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66"/>
  </w:style>
  <w:style w:type="paragraph" w:styleId="Footer">
    <w:name w:val="footer"/>
    <w:basedOn w:val="Normal"/>
    <w:link w:val="FooterChar"/>
    <w:uiPriority w:val="99"/>
    <w:unhideWhenUsed/>
    <w:rsid w:val="00D4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