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40A06B1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5383354" w14:textId="77777777">
      <w:pPr>
        <w:pStyle w:val="StyleBoldCentered"/>
      </w:pPr>
      <w:r>
        <w:t>F</w:t>
      </w:r>
      <w:r>
        <w:rPr>
          <w:caps w:val="0"/>
        </w:rPr>
        <w:t>ederal Communications Commission</w:t>
      </w:r>
    </w:p>
    <w:p w:rsidR="004C2EE3" w:rsidP="00096D8C" w14:paraId="38161AA6" w14:textId="77777777">
      <w:pPr>
        <w:pStyle w:val="StyleBoldCentered"/>
      </w:pPr>
      <w:r>
        <w:rPr>
          <w:caps w:val="0"/>
        </w:rPr>
        <w:t>Washington, D.C. 20554</w:t>
      </w:r>
    </w:p>
    <w:p w:rsidR="004C2EE3" w:rsidP="0070224F" w14:paraId="430912D1" w14:textId="77777777"/>
    <w:p w:rsidR="004C2EE3" w:rsidP="0070224F" w14:paraId="4E23C4D3" w14:textId="77777777"/>
    <w:tbl>
      <w:tblPr>
        <w:tblW w:w="0" w:type="auto"/>
        <w:tblLayout w:type="fixed"/>
        <w:tblLook w:val="0000"/>
      </w:tblPr>
      <w:tblGrid>
        <w:gridCol w:w="4698"/>
        <w:gridCol w:w="630"/>
        <w:gridCol w:w="4248"/>
      </w:tblGrid>
      <w:tr w14:paraId="3F762070" w14:textId="77777777">
        <w:tblPrEx>
          <w:tblW w:w="0" w:type="auto"/>
          <w:tblLayout w:type="fixed"/>
          <w:tblLook w:val="0000"/>
        </w:tblPrEx>
        <w:tc>
          <w:tcPr>
            <w:tcW w:w="4698" w:type="dxa"/>
          </w:tcPr>
          <w:p w:rsidR="004C2EE3" w14:paraId="4D42B7E1" w14:textId="77777777">
            <w:pPr>
              <w:tabs>
                <w:tab w:val="center" w:pos="4680"/>
              </w:tabs>
              <w:suppressAutoHyphens/>
              <w:rPr>
                <w:spacing w:val="-2"/>
              </w:rPr>
            </w:pPr>
            <w:r>
              <w:rPr>
                <w:spacing w:val="-2"/>
              </w:rPr>
              <w:t>In the Matter of</w:t>
            </w:r>
          </w:p>
          <w:p w:rsidR="004C2EE3" w14:paraId="13951BCA" w14:textId="77777777">
            <w:pPr>
              <w:tabs>
                <w:tab w:val="center" w:pos="4680"/>
              </w:tabs>
              <w:suppressAutoHyphens/>
              <w:rPr>
                <w:spacing w:val="-2"/>
              </w:rPr>
            </w:pPr>
          </w:p>
          <w:p w:rsidR="004C2EE3" w:rsidRPr="007115F7" w:rsidP="007115F7" w14:paraId="5A57E12F" w14:textId="77777777">
            <w:pPr>
              <w:tabs>
                <w:tab w:val="center" w:pos="4680"/>
              </w:tabs>
              <w:suppressAutoHyphens/>
              <w:rPr>
                <w:spacing w:val="-2"/>
              </w:rPr>
            </w:pPr>
            <w:r w:rsidRPr="00A07F57">
              <w:rPr>
                <w:spacing w:val="-2"/>
              </w:rPr>
              <w:t>Expanding Access to Mobile Wireless Services Onboard Aircraft</w:t>
            </w:r>
          </w:p>
        </w:tc>
        <w:tc>
          <w:tcPr>
            <w:tcW w:w="630" w:type="dxa"/>
          </w:tcPr>
          <w:p w:rsidR="004C2EE3" w14:paraId="7866A8E1" w14:textId="77777777">
            <w:pPr>
              <w:tabs>
                <w:tab w:val="center" w:pos="4680"/>
              </w:tabs>
              <w:suppressAutoHyphens/>
              <w:rPr>
                <w:b/>
                <w:spacing w:val="-2"/>
              </w:rPr>
            </w:pPr>
            <w:r>
              <w:rPr>
                <w:b/>
                <w:spacing w:val="-2"/>
              </w:rPr>
              <w:t>)</w:t>
            </w:r>
          </w:p>
          <w:p w:rsidR="004C2EE3" w14:paraId="1569B3A8" w14:textId="77777777">
            <w:pPr>
              <w:tabs>
                <w:tab w:val="center" w:pos="4680"/>
              </w:tabs>
              <w:suppressAutoHyphens/>
              <w:rPr>
                <w:b/>
                <w:spacing w:val="-2"/>
              </w:rPr>
            </w:pPr>
            <w:r>
              <w:rPr>
                <w:b/>
                <w:spacing w:val="-2"/>
              </w:rPr>
              <w:t>)</w:t>
            </w:r>
          </w:p>
          <w:p w:rsidR="004C2EE3" w14:paraId="131DE783" w14:textId="77777777">
            <w:pPr>
              <w:tabs>
                <w:tab w:val="center" w:pos="4680"/>
              </w:tabs>
              <w:suppressAutoHyphens/>
              <w:rPr>
                <w:b/>
                <w:spacing w:val="-2"/>
              </w:rPr>
            </w:pPr>
            <w:r>
              <w:rPr>
                <w:b/>
                <w:spacing w:val="-2"/>
              </w:rPr>
              <w:t>)</w:t>
            </w:r>
          </w:p>
          <w:p w:rsidR="004C2EE3" w14:paraId="7D4737E5" w14:textId="77777777">
            <w:pPr>
              <w:tabs>
                <w:tab w:val="center" w:pos="4680"/>
              </w:tabs>
              <w:suppressAutoHyphens/>
              <w:rPr>
                <w:b/>
                <w:spacing w:val="-2"/>
              </w:rPr>
            </w:pPr>
            <w:r>
              <w:rPr>
                <w:b/>
                <w:spacing w:val="-2"/>
              </w:rPr>
              <w:t>)</w:t>
            </w:r>
          </w:p>
          <w:p w:rsidR="004C2EE3" w:rsidRPr="00A07F57" w14:paraId="30384BF2" w14:textId="77777777">
            <w:pPr>
              <w:tabs>
                <w:tab w:val="center" w:pos="4680"/>
              </w:tabs>
              <w:suppressAutoHyphens/>
              <w:rPr>
                <w:b/>
                <w:spacing w:val="-2"/>
              </w:rPr>
            </w:pPr>
          </w:p>
        </w:tc>
        <w:tc>
          <w:tcPr>
            <w:tcW w:w="4248" w:type="dxa"/>
          </w:tcPr>
          <w:p w:rsidR="004C2EE3" w14:paraId="7AC65136" w14:textId="77777777">
            <w:pPr>
              <w:tabs>
                <w:tab w:val="center" w:pos="4680"/>
              </w:tabs>
              <w:suppressAutoHyphens/>
              <w:rPr>
                <w:spacing w:val="-2"/>
              </w:rPr>
            </w:pPr>
          </w:p>
          <w:p w:rsidR="004C2EE3" w14:paraId="25267DB4" w14:textId="77777777">
            <w:pPr>
              <w:pStyle w:val="TOAHeading"/>
              <w:tabs>
                <w:tab w:val="center" w:pos="4680"/>
                <w:tab w:val="clear" w:pos="9360"/>
              </w:tabs>
              <w:rPr>
                <w:spacing w:val="-2"/>
              </w:rPr>
            </w:pPr>
          </w:p>
          <w:p w:rsidR="00A07F57" w:rsidRPr="00A07F57" w:rsidP="00A07F57" w14:paraId="50B12A3F" w14:textId="77777777">
            <w:pPr>
              <w:pStyle w:val="TOAHeading"/>
              <w:tabs>
                <w:tab w:val="center" w:pos="4680"/>
              </w:tabs>
              <w:rPr>
                <w:spacing w:val="-2"/>
              </w:rPr>
            </w:pPr>
            <w:r w:rsidRPr="00A07F57">
              <w:rPr>
                <w:spacing w:val="-2"/>
              </w:rPr>
              <w:t>WT Docket No. 13-301</w:t>
            </w:r>
          </w:p>
          <w:p w:rsidR="004C2EE3" w:rsidP="00A07F57" w14:paraId="37AE9425" w14:textId="77777777">
            <w:pPr>
              <w:tabs>
                <w:tab w:val="center" w:pos="4680"/>
              </w:tabs>
              <w:suppressAutoHyphens/>
              <w:rPr>
                <w:spacing w:val="-2"/>
              </w:rPr>
            </w:pPr>
            <w:r w:rsidRPr="00A07F57">
              <w:rPr>
                <w:spacing w:val="-2"/>
              </w:rPr>
              <w:t>(Terminated)</w:t>
            </w:r>
          </w:p>
        </w:tc>
      </w:tr>
    </w:tbl>
    <w:p w:rsidR="004C2EE3" w:rsidP="0070224F" w14:paraId="31C75017" w14:textId="77777777"/>
    <w:p w:rsidR="00A07F57" w:rsidP="0070224F" w14:paraId="46584F4F" w14:textId="77777777"/>
    <w:p w:rsidR="00A07F57" w:rsidP="00BA0067" w14:paraId="44E75214" w14:textId="77777777">
      <w:pPr>
        <w:pStyle w:val="StyleBoldCentered"/>
        <w:spacing w:after="120"/>
      </w:pPr>
      <w:r>
        <w:t>order</w:t>
      </w:r>
    </w:p>
    <w:p w:rsidR="00A07F57" w:rsidRPr="00A07F57" w:rsidP="00F021FA" w14:paraId="7944B4EF" w14:textId="77777777">
      <w:pPr>
        <w:pStyle w:val="StyleBoldCentered"/>
        <w:rPr>
          <w:caps w:val="0"/>
        </w:rPr>
      </w:pPr>
      <w:r w:rsidRPr="00A07F57">
        <w:rPr>
          <w:caps w:val="0"/>
        </w:rPr>
        <w:t>(Terminating Proceeding)</w:t>
      </w:r>
    </w:p>
    <w:p w:rsidR="004C2EE3" w14:paraId="5BDE35B3" w14:textId="77777777">
      <w:pPr>
        <w:tabs>
          <w:tab w:val="left" w:pos="-720"/>
        </w:tabs>
        <w:suppressAutoHyphens/>
        <w:spacing w:line="227" w:lineRule="auto"/>
        <w:rPr>
          <w:spacing w:val="-2"/>
        </w:rPr>
      </w:pPr>
    </w:p>
    <w:p w:rsidR="00A07F57" w14:paraId="76BEFE0C" w14:textId="77777777">
      <w:pPr>
        <w:tabs>
          <w:tab w:val="left" w:pos="-720"/>
        </w:tabs>
        <w:suppressAutoHyphens/>
        <w:spacing w:line="227" w:lineRule="auto"/>
        <w:rPr>
          <w:spacing w:val="-2"/>
        </w:rPr>
      </w:pPr>
    </w:p>
    <w:p w:rsidR="004C2EE3" w:rsidP="00133F79" w14:paraId="18251363" w14:textId="77777777">
      <w:pPr>
        <w:tabs>
          <w:tab w:val="left" w:pos="720"/>
          <w:tab w:val="right" w:pos="9360"/>
        </w:tabs>
        <w:suppressAutoHyphens/>
        <w:spacing w:line="227" w:lineRule="auto"/>
        <w:rPr>
          <w:spacing w:val="-2"/>
        </w:rPr>
      </w:pPr>
      <w:r>
        <w:rPr>
          <w:b/>
          <w:spacing w:val="-2"/>
        </w:rPr>
        <w:t xml:space="preserve">Adopted:  </w:t>
      </w:r>
      <w:r w:rsidR="002200B0">
        <w:rPr>
          <w:b/>
          <w:spacing w:val="-2"/>
        </w:rPr>
        <w:t>November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200B0">
        <w:rPr>
          <w:b/>
          <w:spacing w:val="-2"/>
        </w:rPr>
        <w:t>November 27, 2020</w:t>
      </w:r>
    </w:p>
    <w:p w:rsidR="00822CE0" w14:paraId="61658EB6" w14:textId="77777777"/>
    <w:p w:rsidR="004C2EE3" w14:paraId="1020BC7A" w14:textId="77777777">
      <w:pPr>
        <w:rPr>
          <w:spacing w:val="-2"/>
        </w:rPr>
      </w:pPr>
      <w:r>
        <w:t xml:space="preserve">By </w:t>
      </w:r>
      <w:r w:rsidR="004E4A22">
        <w:t>the</w:t>
      </w:r>
      <w:r w:rsidR="00A07F57">
        <w:t xml:space="preserve"> Commission: </w:t>
      </w:r>
    </w:p>
    <w:p w:rsidR="00412FC5" w:rsidP="00A07F57" w14:paraId="52EB5E6C" w14:textId="77777777">
      <w:pPr>
        <w:pStyle w:val="Heading1"/>
        <w:numPr>
          <w:ilvl w:val="0"/>
          <w:numId w:val="0"/>
        </w:numPr>
      </w:pPr>
    </w:p>
    <w:p w:rsidR="00A07F57" w:rsidP="00A07F57" w14:paraId="2A9247BA" w14:textId="77777777">
      <w:pPr>
        <w:pStyle w:val="ParaNum"/>
      </w:pPr>
      <w:r w:rsidRPr="007868FB">
        <w:t>By this Orde</w:t>
      </w:r>
      <w:r>
        <w:t>r,</w:t>
      </w:r>
      <w:r w:rsidRPr="007868FB">
        <w:t xml:space="preserve"> we terminate the above-captioned </w:t>
      </w:r>
      <w:r>
        <w:t xml:space="preserve">rulemaking </w:t>
      </w:r>
      <w:r w:rsidRPr="007868FB">
        <w:t>proceeding</w:t>
      </w:r>
      <w:r>
        <w:t>.</w:t>
      </w:r>
      <w:r>
        <w:rPr>
          <w:rStyle w:val="FootnoteReference"/>
        </w:rPr>
        <w:footnoteReference w:id="3"/>
      </w:r>
      <w:r>
        <w:t xml:space="preserve">  </w:t>
      </w:r>
      <w:r w:rsidRPr="00741E1C">
        <w:t xml:space="preserve">On December 12, 2013, the Commission adopted a </w:t>
      </w:r>
      <w:r w:rsidRPr="006D6F7E">
        <w:rPr>
          <w:i/>
        </w:rPr>
        <w:t>Notice of Proposed Rulemaking</w:t>
      </w:r>
      <w:r w:rsidRPr="00741E1C">
        <w:t xml:space="preserve"> in the above-captioned docket proposing to revise its rules governing mobile communications services aboard airborne airc</w:t>
      </w:r>
      <w:r>
        <w:t>raft, and to permit inflight voice and/or data</w:t>
      </w:r>
      <w:r w:rsidRPr="00741E1C">
        <w:t xml:space="preserve"> services via mobile wireless frequencies subject to certain conditions.</w:t>
      </w:r>
      <w:r>
        <w:rPr>
          <w:rStyle w:val="FootnoteReference"/>
        </w:rPr>
        <w:footnoteReference w:id="4"/>
      </w:r>
      <w:r w:rsidRPr="00741E1C">
        <w:t xml:space="preserve"> </w:t>
      </w:r>
      <w:r>
        <w:t xml:space="preserve"> Based on the record in response to the Commission’s proposals, we decline to pursue, and hereby close, this rulemaking proceeding</w:t>
      </w:r>
      <w:r w:rsidRPr="007868FB">
        <w:t>.</w:t>
      </w:r>
      <w:r>
        <w:t xml:space="preserve">  </w:t>
      </w:r>
    </w:p>
    <w:p w:rsidR="00A07F57" w:rsidP="00A07F57" w14:paraId="48D67307" w14:textId="77777777">
      <w:pPr>
        <w:pStyle w:val="ParaNum"/>
      </w:pPr>
      <w:r>
        <w:t xml:space="preserve">The record is insufficient to determine any reasonable solution that would strike an appropriate balance of competing interests.  </w:t>
      </w:r>
      <w:r w:rsidRPr="006143EA">
        <w:t xml:space="preserve">There is strong opposition to </w:t>
      </w:r>
      <w:r>
        <w:t>the Commission’s</w:t>
      </w:r>
      <w:r w:rsidRPr="006143EA">
        <w:t xml:space="preserve"> proposals from many commenters in this proceeding</w:t>
      </w:r>
      <w:r>
        <w:t>, including our nation’s airline pilots and flight attendants, who argue that it “fail[s] to address significant safety and national security concerns</w:t>
      </w:r>
      <w:r w:rsidRPr="006143EA">
        <w:t>.</w:t>
      </w:r>
      <w:r>
        <w:t>”</w:t>
      </w:r>
      <w:r>
        <w:rPr>
          <w:rStyle w:val="FootnoteReference"/>
        </w:rPr>
        <w:footnoteReference w:id="5"/>
      </w:r>
      <w:r>
        <w:t xml:space="preserve">  A </w:t>
      </w:r>
      <w:r w:rsidRPr="00985626">
        <w:t xml:space="preserve">number of commenters argue that the results of international studies and operations may not adequately reflect whether onboard mobile operations can be safely permitted in the United States, and that </w:t>
      </w:r>
      <w:r>
        <w:t>rigorous technical studies based on U.S.-specific standards remain necessary.</w:t>
      </w:r>
      <w:r>
        <w:rPr>
          <w:rStyle w:val="FootnoteReference"/>
        </w:rPr>
        <w:footnoteReference w:id="6"/>
      </w:r>
      <w:r>
        <w:t xml:space="preserve">  And,</w:t>
      </w:r>
      <w:r w:rsidRPr="00E3288B">
        <w:t xml:space="preserve"> although there is </w:t>
      </w:r>
      <w:r>
        <w:t xml:space="preserve">some </w:t>
      </w:r>
      <w:r w:rsidRPr="00E3288B">
        <w:t>support for expanding access from a variety of entities, comment</w:t>
      </w:r>
      <w:r>
        <w:t>er</w:t>
      </w:r>
      <w:r w:rsidRPr="00E3288B">
        <w:t xml:space="preserve">s vary </w:t>
      </w:r>
      <w:r>
        <w:t xml:space="preserve">dramatically </w:t>
      </w:r>
      <w:r w:rsidRPr="00E3288B">
        <w:t>as to approach.</w:t>
      </w:r>
      <w:r>
        <w:rPr>
          <w:rStyle w:val="FootnoteReference"/>
        </w:rPr>
        <w:footnoteReference w:id="7"/>
      </w:r>
      <w:r>
        <w:t xml:space="preserve">  </w:t>
      </w:r>
    </w:p>
    <w:p w:rsidR="00A07F57" w:rsidRPr="00457762" w:rsidP="00A07F57" w14:paraId="66079FD1" w14:textId="77777777">
      <w:pPr>
        <w:pStyle w:val="ParaNum"/>
      </w:pPr>
      <w:r>
        <w:t>We find that, given the state of the record, it would not serve the public interest or be a wise use of the agency’s limited resources to continue to pursue this rulemaking proceeding as contemplated in the above-ca</w:t>
      </w:r>
      <w:bookmarkStart w:id="0" w:name="_GoBack"/>
      <w:bookmarkEnd w:id="0"/>
      <w:r>
        <w:t>ptioned docket.</w:t>
      </w:r>
      <w:r>
        <w:rPr>
          <w:rStyle w:val="FootnoteReference"/>
        </w:rPr>
        <w:footnoteReference w:id="8"/>
      </w:r>
    </w:p>
    <w:p w:rsidR="00A07F57" w:rsidP="00A07F57" w14:paraId="4D8B11AE" w14:textId="77777777">
      <w:pPr>
        <w:pStyle w:val="ParaNum"/>
      </w:pPr>
      <w:r>
        <w:t xml:space="preserve">Accordingly, IT IS ORDERED that, pursuant to sections 4(j), 303(r) and (y), 308, 309, and 332 of the Communications Act of 1934, as amended, 47 U.S.C. §§ 154(j), 303(r), 303(y), 308, 309, 332, this proceeding in </w:t>
      </w:r>
      <w:r w:rsidRPr="00455B97">
        <w:rPr>
          <w:szCs w:val="22"/>
        </w:rPr>
        <w:t>WT Docket No. 13-301</w:t>
      </w:r>
      <w:r>
        <w:rPr>
          <w:szCs w:val="22"/>
        </w:rPr>
        <w:t xml:space="preserve"> </w:t>
      </w:r>
      <w:r>
        <w:t>is HEREBY TERMINATED, effective immediately upon release of this Order.</w:t>
      </w:r>
    </w:p>
    <w:p w:rsidR="00A07F57" w:rsidP="00A07F57" w14:paraId="6B322A9B" w14:textId="77777777">
      <w:pPr>
        <w:pStyle w:val="ParaNum"/>
        <w:numPr>
          <w:ilvl w:val="0"/>
          <w:numId w:val="0"/>
        </w:numPr>
        <w:spacing w:after="0"/>
        <w:rPr>
          <w:szCs w:val="22"/>
        </w:rPr>
      </w:pPr>
    </w:p>
    <w:p w:rsidR="00A07F57" w:rsidP="00A07F57" w14:paraId="7E9979CF" w14:textId="77777777">
      <w:pPr>
        <w:pStyle w:val="ParaNum"/>
        <w:numPr>
          <w:ilvl w:val="0"/>
          <w:numId w:val="0"/>
        </w:numPr>
        <w:spacing w:after="0"/>
        <w:rPr>
          <w:szCs w:val="22"/>
        </w:rPr>
      </w:pPr>
      <w:r>
        <w:rPr>
          <w:szCs w:val="22"/>
        </w:rPr>
        <w:tab/>
      </w:r>
      <w:r>
        <w:rPr>
          <w:szCs w:val="22"/>
        </w:rPr>
        <w:tab/>
      </w:r>
      <w:r>
        <w:rPr>
          <w:szCs w:val="22"/>
        </w:rPr>
        <w:tab/>
      </w:r>
      <w:r>
        <w:rPr>
          <w:szCs w:val="22"/>
        </w:rPr>
        <w:tab/>
      </w:r>
      <w:r>
        <w:rPr>
          <w:szCs w:val="22"/>
        </w:rPr>
        <w:tab/>
      </w:r>
      <w:r w:rsidR="00FF14BC">
        <w:rPr>
          <w:szCs w:val="22"/>
        </w:rPr>
        <w:tab/>
      </w:r>
      <w:r>
        <w:rPr>
          <w:szCs w:val="22"/>
        </w:rPr>
        <w:t>FEDERAL COMMUNICATIONS COMMISSION</w:t>
      </w:r>
    </w:p>
    <w:p w:rsidR="00A07F57" w:rsidP="00A07F57" w14:paraId="60E303FE" w14:textId="77777777">
      <w:pPr>
        <w:pStyle w:val="ParaNum"/>
        <w:numPr>
          <w:ilvl w:val="0"/>
          <w:numId w:val="0"/>
        </w:numPr>
        <w:spacing w:after="0"/>
        <w:rPr>
          <w:szCs w:val="22"/>
        </w:rPr>
      </w:pPr>
    </w:p>
    <w:p w:rsidR="00A07F57" w:rsidP="00A07F57" w14:paraId="001D029E" w14:textId="77777777">
      <w:pPr>
        <w:pStyle w:val="ParaNum"/>
        <w:numPr>
          <w:ilvl w:val="0"/>
          <w:numId w:val="0"/>
        </w:numPr>
        <w:spacing w:after="0"/>
        <w:rPr>
          <w:szCs w:val="22"/>
        </w:rPr>
      </w:pPr>
    </w:p>
    <w:p w:rsidR="00A07F57" w:rsidP="00A07F57" w14:paraId="73FA049E" w14:textId="77777777">
      <w:pPr>
        <w:pStyle w:val="ParaNum"/>
        <w:numPr>
          <w:ilvl w:val="0"/>
          <w:numId w:val="0"/>
        </w:numPr>
        <w:spacing w:after="0"/>
        <w:rPr>
          <w:szCs w:val="22"/>
        </w:rPr>
      </w:pPr>
    </w:p>
    <w:p w:rsidR="00FF14BC" w:rsidP="00A07F57" w14:paraId="59901B75" w14:textId="77777777">
      <w:pPr>
        <w:pStyle w:val="ParaNum"/>
        <w:numPr>
          <w:ilvl w:val="0"/>
          <w:numId w:val="0"/>
        </w:numPr>
        <w:spacing w:after="0"/>
        <w:rPr>
          <w:szCs w:val="22"/>
        </w:rPr>
      </w:pPr>
    </w:p>
    <w:p w:rsidR="00A07F57" w:rsidP="00A07F57" w14:paraId="087A3BB0" w14:textId="77777777">
      <w:pPr>
        <w:pStyle w:val="ParaNum"/>
        <w:numPr>
          <w:ilvl w:val="0"/>
          <w:numId w:val="0"/>
        </w:numPr>
        <w:spacing w:after="0"/>
        <w:rPr>
          <w:szCs w:val="22"/>
        </w:rPr>
      </w:pPr>
      <w:r>
        <w:rPr>
          <w:szCs w:val="22"/>
        </w:rPr>
        <w:tab/>
      </w:r>
      <w:r>
        <w:rPr>
          <w:szCs w:val="22"/>
        </w:rPr>
        <w:tab/>
      </w:r>
      <w:r>
        <w:rPr>
          <w:szCs w:val="22"/>
        </w:rPr>
        <w:tab/>
      </w:r>
      <w:r>
        <w:rPr>
          <w:szCs w:val="22"/>
        </w:rPr>
        <w:tab/>
      </w:r>
      <w:r>
        <w:rPr>
          <w:szCs w:val="22"/>
        </w:rPr>
        <w:tab/>
      </w:r>
      <w:r w:rsidR="00FF14BC">
        <w:rPr>
          <w:szCs w:val="22"/>
        </w:rPr>
        <w:tab/>
      </w:r>
      <w:r>
        <w:rPr>
          <w:szCs w:val="22"/>
        </w:rPr>
        <w:t>Marlene H. Dortch</w:t>
      </w:r>
    </w:p>
    <w:p w:rsidR="00A07F57" w:rsidRPr="00525FE8" w:rsidP="00525FE8" w14:paraId="54507CCB" w14:textId="77777777">
      <w:pPr>
        <w:pStyle w:val="ParaNum"/>
        <w:numPr>
          <w:ilvl w:val="0"/>
          <w:numId w:val="0"/>
        </w:numPr>
        <w:spacing w:after="0"/>
        <w:rPr>
          <w:szCs w:val="22"/>
        </w:rPr>
      </w:pPr>
      <w:r>
        <w:rPr>
          <w:szCs w:val="22"/>
        </w:rPr>
        <w:tab/>
      </w:r>
      <w:r>
        <w:rPr>
          <w:szCs w:val="22"/>
        </w:rPr>
        <w:tab/>
      </w:r>
      <w:r>
        <w:rPr>
          <w:szCs w:val="22"/>
        </w:rPr>
        <w:tab/>
      </w:r>
      <w:r>
        <w:rPr>
          <w:szCs w:val="22"/>
        </w:rPr>
        <w:tab/>
      </w:r>
      <w:r>
        <w:rPr>
          <w:szCs w:val="22"/>
        </w:rPr>
        <w:tab/>
      </w:r>
      <w:r w:rsidR="00FF14BC">
        <w:rPr>
          <w:szCs w:val="22"/>
        </w:rPr>
        <w:tab/>
      </w:r>
      <w:r>
        <w:rPr>
          <w:szCs w:val="22"/>
        </w:rPr>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026E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627E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P="00AA5AC3" w14:paraId="50E85D36"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5AC3" w14:paraId="7FCCE148"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01D5" w14:paraId="2ED057E1" w14:textId="77777777">
      <w:r>
        <w:separator/>
      </w:r>
    </w:p>
  </w:footnote>
  <w:footnote w:type="continuationSeparator" w:id="1">
    <w:p w:rsidR="007A01D5" w:rsidP="00C721AC" w14:paraId="5FA51876" w14:textId="77777777">
      <w:pPr>
        <w:spacing w:before="120"/>
        <w:rPr>
          <w:sz w:val="20"/>
        </w:rPr>
      </w:pPr>
      <w:r>
        <w:rPr>
          <w:sz w:val="20"/>
        </w:rPr>
        <w:t xml:space="preserve">(Continued from previous page)  </w:t>
      </w:r>
      <w:r>
        <w:rPr>
          <w:sz w:val="20"/>
        </w:rPr>
        <w:separator/>
      </w:r>
    </w:p>
  </w:footnote>
  <w:footnote w:type="continuationNotice" w:id="2">
    <w:p w:rsidR="007A01D5" w:rsidP="00C721AC" w14:paraId="63C0EF27" w14:textId="77777777">
      <w:pPr>
        <w:jc w:val="right"/>
        <w:rPr>
          <w:sz w:val="20"/>
        </w:rPr>
      </w:pPr>
      <w:r>
        <w:rPr>
          <w:sz w:val="20"/>
        </w:rPr>
        <w:t>(continued….)</w:t>
      </w:r>
    </w:p>
  </w:footnote>
  <w:footnote w:id="3">
    <w:p w:rsidR="00A07F57" w:rsidP="00A07F57" w14:paraId="4D3C28BE" w14:textId="77777777">
      <w:pPr>
        <w:pStyle w:val="FootnoteText"/>
      </w:pPr>
      <w:r>
        <w:rPr>
          <w:rStyle w:val="FootnoteReference"/>
        </w:rPr>
        <w:footnoteRef/>
      </w:r>
      <w:r w:rsidRPr="0010161F">
        <w:t xml:space="preserve"> </w:t>
      </w:r>
      <w:r w:rsidRPr="00436207">
        <w:rPr>
          <w:i/>
        </w:rPr>
        <w:t>See generally,</w:t>
      </w:r>
      <w:r w:rsidRPr="00436207">
        <w:t xml:space="preserve"> </w:t>
      </w:r>
      <w:r w:rsidRPr="00436207">
        <w:rPr>
          <w:i/>
        </w:rPr>
        <w:t>Expanding Access to Mobile Wireless Services Onboard Aircraft</w:t>
      </w:r>
      <w:r w:rsidRPr="00436207">
        <w:t>, WT Docket No. 13-301, Notice of Proposed Rulemaking, 28 FCC Rcd 17132 (2013).</w:t>
      </w:r>
    </w:p>
  </w:footnote>
  <w:footnote w:id="4">
    <w:p w:rsidR="00A07F57" w:rsidRPr="004D5731" w:rsidP="00A07F57" w14:paraId="17F3EF52" w14:textId="77777777">
      <w:pPr>
        <w:pStyle w:val="FootnoteText"/>
        <w:rPr>
          <w:i/>
        </w:rPr>
      </w:pPr>
      <w:r>
        <w:rPr>
          <w:rStyle w:val="FootnoteReference"/>
        </w:rPr>
        <w:footnoteRef/>
      </w:r>
      <w:r>
        <w:t xml:space="preserve"> </w:t>
      </w:r>
      <w:r w:rsidRPr="00436207">
        <w:rPr>
          <w:i/>
        </w:rPr>
        <w:t>Id.</w:t>
      </w:r>
      <w:r w:rsidRPr="0010161F">
        <w:rPr>
          <w:i/>
        </w:rPr>
        <w:t xml:space="preserve">  </w:t>
      </w:r>
      <w:r w:rsidRPr="00BA6499">
        <w:t xml:space="preserve">Specifically, inflight mobile wireless communications services would </w:t>
      </w:r>
      <w:r>
        <w:t xml:space="preserve">have </w:t>
      </w:r>
      <w:r w:rsidRPr="00BA6499">
        <w:t>be</w:t>
      </w:r>
      <w:r>
        <w:t>en</w:t>
      </w:r>
      <w:r w:rsidRPr="00BA6499">
        <w:t xml:space="preserve"> permitted where an aircraft is equipped with a specialized picocell or other platform designed to minimize the risk of interference to terrestrial wireless networks.  Provision of such services would </w:t>
      </w:r>
      <w:r>
        <w:t>have been</w:t>
      </w:r>
      <w:r w:rsidRPr="00BA6499">
        <w:t xml:space="preserve"> limited to altitudes above 10,000 feet</w:t>
      </w:r>
      <w:r>
        <w:t>.</w:t>
      </w:r>
    </w:p>
  </w:footnote>
  <w:footnote w:id="5">
    <w:p w:rsidR="00A07F57" w:rsidP="00A07F57" w14:paraId="0430DEA8" w14:textId="77777777">
      <w:pPr>
        <w:pStyle w:val="FootnoteText"/>
      </w:pPr>
      <w:r>
        <w:rPr>
          <w:rStyle w:val="FootnoteReference"/>
        </w:rPr>
        <w:footnoteRef/>
      </w:r>
      <w:r>
        <w:t xml:space="preserve"> Letter from Sara Nelson, International President, Association of Flight Attendants – CWA, AFL-CIO, to </w:t>
      </w:r>
      <w:r>
        <w:t>Ajit</w:t>
      </w:r>
      <w:r>
        <w:t xml:space="preserve"> Pai, Chairman, FCC, WT Docket No. 13-301 (Mar. 7, 2017); </w:t>
      </w:r>
      <w:r>
        <w:rPr>
          <w:i/>
        </w:rPr>
        <w:t>see</w:t>
      </w:r>
      <w:r w:rsidRPr="005A2084">
        <w:t>,</w:t>
      </w:r>
      <w:r>
        <w:rPr>
          <w:i/>
        </w:rPr>
        <w:t xml:space="preserve"> e.g</w:t>
      </w:r>
      <w:r w:rsidRPr="005A2084">
        <w:t>.</w:t>
      </w:r>
      <w:r>
        <w:t xml:space="preserve">, Airline Pilots Association International Comments at 1-2; Association of Professional Flight Attendants Comments at 1; AT&amp;T Services, Inc., Reply Comments at 3-6;  </w:t>
      </w:r>
      <w:r>
        <w:t>Gogo</w:t>
      </w:r>
      <w:r>
        <w:t>, Inc. Reply Comments at 1-4; Safety and Security in the Air Coalition Reply Comments at 2-20; and Transport Workers Union of America, AFL-CIO Comments at 1-3.</w:t>
      </w:r>
    </w:p>
  </w:footnote>
  <w:footnote w:id="6">
    <w:p w:rsidR="00A07F57" w:rsidP="00A07F57" w14:paraId="61DA798B" w14:textId="77777777">
      <w:pPr>
        <w:pStyle w:val="FootnoteText"/>
      </w:pPr>
      <w:r>
        <w:rPr>
          <w:rStyle w:val="FootnoteReference"/>
        </w:rPr>
        <w:footnoteRef/>
      </w:r>
      <w:r>
        <w:t xml:space="preserve"> </w:t>
      </w:r>
      <w:r w:rsidRPr="00FB36C4">
        <w:rPr>
          <w:i/>
        </w:rPr>
        <w:t>See</w:t>
      </w:r>
      <w:r>
        <w:t>,</w:t>
      </w:r>
      <w:r w:rsidRPr="00FB36C4">
        <w:rPr>
          <w:i/>
        </w:rPr>
        <w:t xml:space="preserve"> e.g</w:t>
      </w:r>
      <w:r w:rsidRPr="00985626">
        <w:t>.</w:t>
      </w:r>
      <w:r>
        <w:t>,</w:t>
      </w:r>
      <w:r w:rsidRPr="00985626">
        <w:t xml:space="preserve"> AT&amp;T Reply Comments at 4-5</w:t>
      </w:r>
      <w:r>
        <w:t>;</w:t>
      </w:r>
      <w:r w:rsidRPr="00985626">
        <w:t xml:space="preserve"> CTIA-The Wireless As</w:t>
      </w:r>
      <w:r>
        <w:t>sociation Reply Comments at 2-5;</w:t>
      </w:r>
      <w:r w:rsidRPr="00985626">
        <w:t xml:space="preserve"> Panasonic Reply Comments at 23</w:t>
      </w:r>
      <w:r>
        <w:t>;</w:t>
      </w:r>
      <w:r w:rsidRPr="00985626">
        <w:t xml:space="preserve"> T-Mobile USA, Inc. Reply Comments at 12-13</w:t>
      </w:r>
      <w:r>
        <w:t>;</w:t>
      </w:r>
      <w:r w:rsidRPr="00985626">
        <w:t xml:space="preserve"> Verizon Reply Comments at 3-5.</w:t>
      </w:r>
      <w:r>
        <w:t xml:space="preserve">  </w:t>
      </w:r>
    </w:p>
  </w:footnote>
  <w:footnote w:id="7">
    <w:p w:rsidR="00A07F57" w:rsidP="00A07F57" w14:paraId="1575B146" w14:textId="77777777">
      <w:pPr>
        <w:pStyle w:val="FootnoteText"/>
      </w:pPr>
      <w:r>
        <w:rPr>
          <w:rStyle w:val="FootnoteReference"/>
        </w:rPr>
        <w:footnoteRef/>
      </w:r>
      <w:r>
        <w:t xml:space="preserve"> </w:t>
      </w:r>
      <w:r w:rsidRPr="001C1B20">
        <w:rPr>
          <w:i/>
        </w:rPr>
        <w:t>See</w:t>
      </w:r>
      <w:r>
        <w:t xml:space="preserve">, </w:t>
      </w:r>
      <w:r w:rsidRPr="001C1B20">
        <w:rPr>
          <w:i/>
        </w:rPr>
        <w:t>e.g</w:t>
      </w:r>
      <w:r>
        <w:rPr>
          <w:i/>
        </w:rPr>
        <w:t>.</w:t>
      </w:r>
      <w:r>
        <w:t xml:space="preserve">, </w:t>
      </w:r>
      <w:r>
        <w:t>Aeromobile</w:t>
      </w:r>
      <w:r>
        <w:t xml:space="preserve"> Communications Ltd. Comments at 11-31, Appendix, Reply Comments at 8-30; Airlines for America Comments at 4-10, Reply Comments at 2-3; Aviation Spectrum Resources, Inc. (ASRI) Comments at 2-6; The Boeing Company Comments at 4-21, Reply Comments at 2-8; Consumer Electronics Association Comments at 4-8; Competitive Enterprise Institute Comments at 1-7; Inmarsat PLC, </w:t>
      </w:r>
      <w:r>
        <w:t>Viasat</w:t>
      </w:r>
      <w:r>
        <w:t xml:space="preserve">, Inc., SES </w:t>
      </w:r>
      <w:r>
        <w:t>Americom</w:t>
      </w:r>
      <w:r>
        <w:t xml:space="preserve">, Inc., Hughes Network Services, L.L.C., and Intelsat Corporation Joint Comments at 2-4; </w:t>
      </w:r>
      <w:r>
        <w:t>OnAir</w:t>
      </w:r>
      <w:r>
        <w:t xml:space="preserve"> S.A. Comments at 3-34; Panasonic Avionics Corporation (Panasonic) Comments at 5-22, Reply Comments at 3-18; Row 44 Comments at 3-7; Satellite Industry Association Comments at 3; Telecommunications Industry Association (TIA) Comments at 7-12; TIA, Information Technology Industry Council, and CEA Joint Reply Comments at 3-6; Virgin Atlantic Airways Ltd Comments at 1-3.</w:t>
      </w:r>
    </w:p>
  </w:footnote>
  <w:footnote w:id="8">
    <w:p w:rsidR="00177DC8" w:rsidP="00177DC8" w14:paraId="5F1E93DC" w14:textId="77777777">
      <w:pPr>
        <w:pStyle w:val="FootnoteText"/>
      </w:pPr>
      <w:r>
        <w:rPr>
          <w:rStyle w:val="FootnoteReference"/>
        </w:rPr>
        <w:footnoteRef/>
      </w:r>
      <w:r>
        <w:t xml:space="preserve"> </w:t>
      </w:r>
      <w:r>
        <w:rPr>
          <w:snapToGrid w:val="0"/>
        </w:rPr>
        <w:t xml:space="preserve">We also note that, in 2018, Congress passed the FAA Reauthorization Act of 2018, which requires the Department of Transportation to issue regulations prohibiting an individual on an aircraft from using a mobile device for voice communications during a scheduled passenger flight.  </w:t>
      </w:r>
      <w:r>
        <w:t xml:space="preserve">FAA Reauthorization Act of 2018, </w:t>
      </w:r>
      <w:r w:rsidRPr="009E63FA">
        <w:t>Pub</w:t>
      </w:r>
      <w:r>
        <w:t>.</w:t>
      </w:r>
      <w:r w:rsidRPr="009E63FA">
        <w:t xml:space="preserve"> L</w:t>
      </w:r>
      <w:r>
        <w:t>.</w:t>
      </w:r>
      <w:r w:rsidRPr="009E63FA">
        <w:t xml:space="preserve"> </w:t>
      </w:r>
      <w:r>
        <w:t xml:space="preserve">No. </w:t>
      </w:r>
      <w:r w:rsidRPr="009E63FA">
        <w:t>115-254</w:t>
      </w:r>
      <w:r>
        <w:t xml:space="preserve"> </w:t>
      </w:r>
      <w:bookmarkStart w:id="1" w:name="_Hlk56763330"/>
      <w:r>
        <w:t xml:space="preserve">§ </w:t>
      </w:r>
      <w:bookmarkEnd w:id="1"/>
      <w:r>
        <w:t xml:space="preserve">403, </w:t>
      </w:r>
      <w:r w:rsidRPr="006D07DE">
        <w:t>132 S</w:t>
      </w:r>
      <w:r>
        <w:t>tat</w:t>
      </w:r>
      <w:r w:rsidRPr="006D07DE">
        <w:t>. 3186</w:t>
      </w:r>
      <w:r>
        <w:t xml:space="preserve">, 3328-3329 (codified at </w:t>
      </w:r>
      <w:r w:rsidRPr="006D07DE">
        <w:t>49 U</w:t>
      </w:r>
      <w:r>
        <w:t>.</w:t>
      </w:r>
      <w:r w:rsidRPr="006D07DE">
        <w:t>S</w:t>
      </w:r>
      <w:r>
        <w:t>.</w:t>
      </w:r>
      <w:r w:rsidRPr="006D07DE">
        <w:t>C</w:t>
      </w:r>
      <w:r>
        <w:t>.</w:t>
      </w:r>
      <w:r w:rsidRPr="006D07DE">
        <w:t xml:space="preserve"> </w:t>
      </w:r>
      <w:r w:rsidRPr="00812070">
        <w:t xml:space="preserve">§ </w:t>
      </w:r>
      <w:r w:rsidRPr="006D07DE">
        <w:t>41725</w:t>
      </w:r>
      <w:r>
        <w:t>)</w:t>
      </w:r>
      <w:r w:rsidRPr="006D07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2551F2" w14:textId="77777777">
    <w:pPr>
      <w:pStyle w:val="Header"/>
      <w:rPr>
        <w:b w:val="0"/>
      </w:rPr>
    </w:pPr>
    <w:r>
      <w:tab/>
      <w:t>Federal Communications Commission</w:t>
    </w:r>
    <w:r>
      <w:tab/>
    </w:r>
    <w:r w:rsidR="00A07F57">
      <w:t xml:space="preserve">FCC </w:t>
    </w:r>
    <w:r w:rsidR="002200B0">
      <w:t>20-170</w:t>
    </w:r>
  </w:p>
  <w:p w:rsidR="00D25FB5" w14:paraId="07C586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FD3668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21061A"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07F57">
      <w:t xml:space="preserve">FCC </w:t>
    </w:r>
    <w:r w:rsidR="002200B0">
      <w:t>20-170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57"/>
    <w:rsid w:val="00036039"/>
    <w:rsid w:val="00037F90"/>
    <w:rsid w:val="000875BF"/>
    <w:rsid w:val="00096D8C"/>
    <w:rsid w:val="000A6220"/>
    <w:rsid w:val="000C0B65"/>
    <w:rsid w:val="000E05FE"/>
    <w:rsid w:val="000E3D42"/>
    <w:rsid w:val="0010161F"/>
    <w:rsid w:val="00122BD5"/>
    <w:rsid w:val="001244A8"/>
    <w:rsid w:val="00133F79"/>
    <w:rsid w:val="00177DC8"/>
    <w:rsid w:val="00194A66"/>
    <w:rsid w:val="001C1B20"/>
    <w:rsid w:val="001D6BCF"/>
    <w:rsid w:val="001E01CA"/>
    <w:rsid w:val="002200B0"/>
    <w:rsid w:val="00275CF5"/>
    <w:rsid w:val="0028301F"/>
    <w:rsid w:val="00284F2F"/>
    <w:rsid w:val="00285017"/>
    <w:rsid w:val="002A2D2E"/>
    <w:rsid w:val="002C00E8"/>
    <w:rsid w:val="003268BE"/>
    <w:rsid w:val="00343749"/>
    <w:rsid w:val="003660ED"/>
    <w:rsid w:val="003B0550"/>
    <w:rsid w:val="003B694F"/>
    <w:rsid w:val="003F171C"/>
    <w:rsid w:val="00412FC5"/>
    <w:rsid w:val="00422276"/>
    <w:rsid w:val="004242F1"/>
    <w:rsid w:val="00436207"/>
    <w:rsid w:val="00445A00"/>
    <w:rsid w:val="00451B0F"/>
    <w:rsid w:val="00455B97"/>
    <w:rsid w:val="00457762"/>
    <w:rsid w:val="004C2EE3"/>
    <w:rsid w:val="004D5731"/>
    <w:rsid w:val="004E4A22"/>
    <w:rsid w:val="00511968"/>
    <w:rsid w:val="00525FE8"/>
    <w:rsid w:val="0055614C"/>
    <w:rsid w:val="00566D06"/>
    <w:rsid w:val="005A2084"/>
    <w:rsid w:val="005E14C2"/>
    <w:rsid w:val="00607BA5"/>
    <w:rsid w:val="0061180A"/>
    <w:rsid w:val="006143EA"/>
    <w:rsid w:val="00626EB6"/>
    <w:rsid w:val="00655D03"/>
    <w:rsid w:val="00683388"/>
    <w:rsid w:val="00683F84"/>
    <w:rsid w:val="006A6A81"/>
    <w:rsid w:val="006D07DE"/>
    <w:rsid w:val="006D6F7E"/>
    <w:rsid w:val="006F7393"/>
    <w:rsid w:val="0070224F"/>
    <w:rsid w:val="007115F7"/>
    <w:rsid w:val="00741E1C"/>
    <w:rsid w:val="00777849"/>
    <w:rsid w:val="00785689"/>
    <w:rsid w:val="007868FB"/>
    <w:rsid w:val="0079754B"/>
    <w:rsid w:val="007A01D5"/>
    <w:rsid w:val="007A1E6D"/>
    <w:rsid w:val="007B0EB2"/>
    <w:rsid w:val="00810B6F"/>
    <w:rsid w:val="00812070"/>
    <w:rsid w:val="00822CE0"/>
    <w:rsid w:val="00831CC9"/>
    <w:rsid w:val="00841AB1"/>
    <w:rsid w:val="008C68F1"/>
    <w:rsid w:val="008E60EF"/>
    <w:rsid w:val="00921803"/>
    <w:rsid w:val="00926503"/>
    <w:rsid w:val="009726D8"/>
    <w:rsid w:val="00974340"/>
    <w:rsid w:val="00985626"/>
    <w:rsid w:val="009D7308"/>
    <w:rsid w:val="009E63FA"/>
    <w:rsid w:val="009F76DB"/>
    <w:rsid w:val="00A07F57"/>
    <w:rsid w:val="00A11873"/>
    <w:rsid w:val="00A32C3B"/>
    <w:rsid w:val="00A45F4F"/>
    <w:rsid w:val="00A600A9"/>
    <w:rsid w:val="00AA55B7"/>
    <w:rsid w:val="00AA5AC3"/>
    <w:rsid w:val="00AA5B9E"/>
    <w:rsid w:val="00AB2407"/>
    <w:rsid w:val="00AB53DF"/>
    <w:rsid w:val="00B07E5C"/>
    <w:rsid w:val="00B54FBA"/>
    <w:rsid w:val="00B811F7"/>
    <w:rsid w:val="00BA0067"/>
    <w:rsid w:val="00BA5DC6"/>
    <w:rsid w:val="00BA6196"/>
    <w:rsid w:val="00BA6499"/>
    <w:rsid w:val="00BC6D8C"/>
    <w:rsid w:val="00C34006"/>
    <w:rsid w:val="00C36B4C"/>
    <w:rsid w:val="00C426B1"/>
    <w:rsid w:val="00C6411C"/>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288B"/>
    <w:rsid w:val="00E32F2A"/>
    <w:rsid w:val="00E5409F"/>
    <w:rsid w:val="00E649EE"/>
    <w:rsid w:val="00EE6488"/>
    <w:rsid w:val="00F021FA"/>
    <w:rsid w:val="00F12EF6"/>
    <w:rsid w:val="00F62E97"/>
    <w:rsid w:val="00F64209"/>
    <w:rsid w:val="00F93BF5"/>
    <w:rsid w:val="00FB36C4"/>
    <w:rsid w:val="00FF14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FD96F5-E467-45AF-B78C-7221BC94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C3"/>
    <w:pPr>
      <w:widowControl w:val="0"/>
    </w:pPr>
    <w:rPr>
      <w:snapToGrid w:val="0"/>
      <w:kern w:val="28"/>
      <w:sz w:val="22"/>
    </w:rPr>
  </w:style>
  <w:style w:type="paragraph" w:styleId="Heading1">
    <w:name w:val="heading 1"/>
    <w:basedOn w:val="Normal"/>
    <w:next w:val="ParaNum"/>
    <w:qFormat/>
    <w:rsid w:val="00AA5A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5AC3"/>
    <w:pPr>
      <w:keepNext/>
      <w:numPr>
        <w:ilvl w:val="1"/>
        <w:numId w:val="3"/>
      </w:numPr>
      <w:spacing w:after="120"/>
      <w:outlineLvl w:val="1"/>
    </w:pPr>
    <w:rPr>
      <w:b/>
    </w:rPr>
  </w:style>
  <w:style w:type="paragraph" w:styleId="Heading3">
    <w:name w:val="heading 3"/>
    <w:basedOn w:val="Normal"/>
    <w:next w:val="ParaNum"/>
    <w:qFormat/>
    <w:rsid w:val="00AA5AC3"/>
    <w:pPr>
      <w:keepNext/>
      <w:numPr>
        <w:ilvl w:val="2"/>
        <w:numId w:val="3"/>
      </w:numPr>
      <w:tabs>
        <w:tab w:val="left" w:pos="2160"/>
      </w:tabs>
      <w:spacing w:after="120"/>
      <w:outlineLvl w:val="2"/>
    </w:pPr>
    <w:rPr>
      <w:b/>
    </w:rPr>
  </w:style>
  <w:style w:type="paragraph" w:styleId="Heading4">
    <w:name w:val="heading 4"/>
    <w:basedOn w:val="Normal"/>
    <w:next w:val="ParaNum"/>
    <w:qFormat/>
    <w:rsid w:val="00AA5AC3"/>
    <w:pPr>
      <w:keepNext/>
      <w:numPr>
        <w:ilvl w:val="3"/>
        <w:numId w:val="3"/>
      </w:numPr>
      <w:tabs>
        <w:tab w:val="left" w:pos="2880"/>
      </w:tabs>
      <w:spacing w:after="120"/>
      <w:outlineLvl w:val="3"/>
    </w:pPr>
    <w:rPr>
      <w:b/>
    </w:rPr>
  </w:style>
  <w:style w:type="paragraph" w:styleId="Heading5">
    <w:name w:val="heading 5"/>
    <w:basedOn w:val="Normal"/>
    <w:next w:val="ParaNum"/>
    <w:qFormat/>
    <w:rsid w:val="00AA5AC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5AC3"/>
    <w:pPr>
      <w:numPr>
        <w:ilvl w:val="5"/>
        <w:numId w:val="3"/>
      </w:numPr>
      <w:tabs>
        <w:tab w:val="left" w:pos="4320"/>
      </w:tabs>
      <w:spacing w:after="120"/>
      <w:outlineLvl w:val="5"/>
    </w:pPr>
    <w:rPr>
      <w:b/>
    </w:rPr>
  </w:style>
  <w:style w:type="paragraph" w:styleId="Heading7">
    <w:name w:val="heading 7"/>
    <w:basedOn w:val="Normal"/>
    <w:next w:val="ParaNum"/>
    <w:qFormat/>
    <w:rsid w:val="00AA5A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5A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5A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5A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AC3"/>
  </w:style>
  <w:style w:type="paragraph" w:customStyle="1" w:styleId="ParaNum">
    <w:name w:val="ParaNum"/>
    <w:basedOn w:val="Normal"/>
    <w:rsid w:val="00AA5AC3"/>
    <w:pPr>
      <w:numPr>
        <w:numId w:val="2"/>
      </w:numPr>
      <w:tabs>
        <w:tab w:val="clear" w:pos="1080"/>
        <w:tab w:val="num" w:pos="1440"/>
      </w:tabs>
      <w:spacing w:after="120"/>
    </w:pPr>
  </w:style>
  <w:style w:type="paragraph" w:styleId="EndnoteText">
    <w:name w:val="endnote text"/>
    <w:basedOn w:val="Normal"/>
    <w:semiHidden/>
    <w:rsid w:val="00AA5AC3"/>
    <w:rPr>
      <w:sz w:val="20"/>
    </w:rPr>
  </w:style>
  <w:style w:type="character" w:styleId="EndnoteReference">
    <w:name w:val="endnote reference"/>
    <w:semiHidden/>
    <w:rsid w:val="00AA5AC3"/>
    <w:rPr>
      <w:vertAlign w:val="superscript"/>
    </w:rPr>
  </w:style>
  <w:style w:type="paragraph" w:styleId="FootnoteText">
    <w:name w:val="footnote text"/>
    <w:rsid w:val="00AA5AC3"/>
    <w:pPr>
      <w:spacing w:after="120"/>
    </w:pPr>
  </w:style>
  <w:style w:type="character" w:styleId="FootnoteReference">
    <w:name w:val="footnote reference"/>
    <w:rsid w:val="00AA5AC3"/>
    <w:rPr>
      <w:rFonts w:ascii="Times New Roman" w:hAnsi="Times New Roman"/>
      <w:dstrike w:val="0"/>
      <w:color w:val="auto"/>
      <w:sz w:val="20"/>
      <w:vertAlign w:val="superscript"/>
    </w:rPr>
  </w:style>
  <w:style w:type="paragraph" w:styleId="TOC1">
    <w:name w:val="toc 1"/>
    <w:basedOn w:val="Normal"/>
    <w:next w:val="Normal"/>
    <w:semiHidden/>
    <w:rsid w:val="00AA5A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5AC3"/>
    <w:pPr>
      <w:tabs>
        <w:tab w:val="left" w:pos="720"/>
        <w:tab w:val="right" w:leader="dot" w:pos="9360"/>
      </w:tabs>
      <w:suppressAutoHyphens/>
      <w:ind w:left="720" w:right="720" w:hanging="360"/>
    </w:pPr>
    <w:rPr>
      <w:noProof/>
    </w:rPr>
  </w:style>
  <w:style w:type="paragraph" w:styleId="TOC3">
    <w:name w:val="toc 3"/>
    <w:basedOn w:val="Normal"/>
    <w:next w:val="Normal"/>
    <w:semiHidden/>
    <w:rsid w:val="00AA5A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5A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5A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5A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5A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5A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5A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5AC3"/>
    <w:pPr>
      <w:tabs>
        <w:tab w:val="right" w:pos="9360"/>
      </w:tabs>
      <w:suppressAutoHyphens/>
    </w:pPr>
  </w:style>
  <w:style w:type="character" w:customStyle="1" w:styleId="EquationCaption">
    <w:name w:val="_Equation Caption"/>
    <w:rsid w:val="00AA5AC3"/>
  </w:style>
  <w:style w:type="paragraph" w:styleId="Header">
    <w:name w:val="header"/>
    <w:basedOn w:val="Normal"/>
    <w:autoRedefine/>
    <w:rsid w:val="00AA5AC3"/>
    <w:pPr>
      <w:tabs>
        <w:tab w:val="center" w:pos="4680"/>
        <w:tab w:val="right" w:pos="9360"/>
      </w:tabs>
    </w:pPr>
    <w:rPr>
      <w:b/>
    </w:rPr>
  </w:style>
  <w:style w:type="paragraph" w:styleId="Footer">
    <w:name w:val="footer"/>
    <w:basedOn w:val="Normal"/>
    <w:link w:val="FooterChar"/>
    <w:uiPriority w:val="99"/>
    <w:rsid w:val="00AA5AC3"/>
    <w:pPr>
      <w:tabs>
        <w:tab w:val="center" w:pos="4320"/>
        <w:tab w:val="right" w:pos="8640"/>
      </w:tabs>
    </w:pPr>
  </w:style>
  <w:style w:type="character" w:styleId="PageNumber">
    <w:name w:val="page number"/>
    <w:basedOn w:val="DefaultParagraphFont"/>
    <w:rsid w:val="00AA5AC3"/>
  </w:style>
  <w:style w:type="paragraph" w:styleId="BlockText">
    <w:name w:val="Block Text"/>
    <w:basedOn w:val="Normal"/>
    <w:rsid w:val="00AA5AC3"/>
    <w:pPr>
      <w:spacing w:after="240"/>
      <w:ind w:left="1440" w:right="1440"/>
    </w:pPr>
  </w:style>
  <w:style w:type="paragraph" w:customStyle="1" w:styleId="Paratitle">
    <w:name w:val="Para title"/>
    <w:basedOn w:val="Normal"/>
    <w:rsid w:val="00AA5AC3"/>
    <w:pPr>
      <w:tabs>
        <w:tab w:val="center" w:pos="9270"/>
      </w:tabs>
      <w:spacing w:after="240"/>
    </w:pPr>
    <w:rPr>
      <w:spacing w:val="-2"/>
    </w:rPr>
  </w:style>
  <w:style w:type="paragraph" w:customStyle="1" w:styleId="Bullet">
    <w:name w:val="Bullet"/>
    <w:basedOn w:val="Normal"/>
    <w:rsid w:val="00AA5AC3"/>
    <w:pPr>
      <w:tabs>
        <w:tab w:val="left" w:pos="2160"/>
      </w:tabs>
      <w:spacing w:after="220"/>
      <w:ind w:left="2160" w:hanging="720"/>
    </w:pPr>
  </w:style>
  <w:style w:type="paragraph" w:customStyle="1" w:styleId="TableFormat">
    <w:name w:val="TableFormat"/>
    <w:basedOn w:val="Bullet"/>
    <w:rsid w:val="00AA5AC3"/>
    <w:pPr>
      <w:tabs>
        <w:tab w:val="clear" w:pos="2160"/>
        <w:tab w:val="left" w:pos="5040"/>
      </w:tabs>
      <w:ind w:left="5040" w:hanging="3600"/>
    </w:pPr>
  </w:style>
  <w:style w:type="paragraph" w:customStyle="1" w:styleId="TOCTitle">
    <w:name w:val="TOC Title"/>
    <w:basedOn w:val="Normal"/>
    <w:rsid w:val="00AA5A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5AC3"/>
    <w:pPr>
      <w:jc w:val="center"/>
    </w:pPr>
    <w:rPr>
      <w:rFonts w:ascii="Times New Roman Bold" w:hAnsi="Times New Roman Bold"/>
      <w:b/>
      <w:bCs/>
      <w:caps/>
      <w:szCs w:val="22"/>
    </w:rPr>
  </w:style>
  <w:style w:type="character" w:styleId="Hyperlink">
    <w:name w:val="Hyperlink"/>
    <w:rsid w:val="00AA5AC3"/>
    <w:rPr>
      <w:color w:val="0000FF"/>
      <w:u w:val="single"/>
    </w:rPr>
  </w:style>
  <w:style w:type="character" w:customStyle="1" w:styleId="FooterChar">
    <w:name w:val="Footer Char"/>
    <w:link w:val="Footer"/>
    <w:uiPriority w:val="99"/>
    <w:rsid w:val="00AA5AC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