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4C2EE3" w14:paraId="3F0A82D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149D869" w14:textId="77777777">
      <w:pPr>
        <w:pStyle w:val="StyleBoldCentered"/>
      </w:pPr>
      <w:r>
        <w:t>F</w:t>
      </w:r>
      <w:r>
        <w:rPr>
          <w:caps w:val="0"/>
        </w:rPr>
        <w:t>ederal Communications Commission</w:t>
      </w:r>
    </w:p>
    <w:p w:rsidR="004C2EE3" w:rsidP="00096D8C" w14:paraId="58FFDC01" w14:textId="77777777">
      <w:pPr>
        <w:pStyle w:val="StyleBoldCentered"/>
      </w:pPr>
      <w:r>
        <w:rPr>
          <w:caps w:val="0"/>
        </w:rPr>
        <w:t>Washington, D.C. 20554</w:t>
      </w:r>
    </w:p>
    <w:p w:rsidR="004C2EE3" w:rsidP="0070224F" w14:paraId="6AA8047A" w14:textId="77777777"/>
    <w:p w:rsidR="004C2EE3" w:rsidP="0070224F" w14:paraId="4AC0AEA9" w14:textId="77777777"/>
    <w:tbl>
      <w:tblPr>
        <w:tblW w:w="0" w:type="auto"/>
        <w:tblLayout w:type="fixed"/>
        <w:tblLook w:val="0000"/>
      </w:tblPr>
      <w:tblGrid>
        <w:gridCol w:w="4698"/>
        <w:gridCol w:w="630"/>
        <w:gridCol w:w="4248"/>
      </w:tblGrid>
      <w:tr w14:paraId="492674CE" w14:textId="77777777" w:rsidTr="0083649A">
        <w:tblPrEx>
          <w:tblW w:w="0" w:type="auto"/>
          <w:tblLayout w:type="fixed"/>
          <w:tblLook w:val="0000"/>
        </w:tblPrEx>
        <w:tc>
          <w:tcPr>
            <w:tcW w:w="4698" w:type="dxa"/>
          </w:tcPr>
          <w:p w:rsidR="004C2EE3" w14:paraId="5CF96A46" w14:textId="77777777">
            <w:pPr>
              <w:tabs>
                <w:tab w:val="center" w:pos="4680"/>
              </w:tabs>
              <w:suppressAutoHyphens/>
              <w:rPr>
                <w:spacing w:val="-2"/>
              </w:rPr>
            </w:pPr>
            <w:r>
              <w:rPr>
                <w:spacing w:val="-2"/>
              </w:rPr>
              <w:t>In the Matter of</w:t>
            </w:r>
          </w:p>
          <w:p w:rsidR="004C2EE3" w14:paraId="676EFA4F" w14:textId="77777777">
            <w:pPr>
              <w:tabs>
                <w:tab w:val="center" w:pos="4680"/>
              </w:tabs>
              <w:suppressAutoHyphens/>
              <w:rPr>
                <w:spacing w:val="-2"/>
              </w:rPr>
            </w:pPr>
          </w:p>
          <w:p w:rsidR="004C2EE3" w:rsidRPr="007115F7" w:rsidP="007115F7" w14:paraId="2785A4B5" w14:textId="77777777">
            <w:pPr>
              <w:tabs>
                <w:tab w:val="center" w:pos="4680"/>
              </w:tabs>
              <w:suppressAutoHyphens/>
              <w:rPr>
                <w:spacing w:val="-2"/>
              </w:rPr>
            </w:pPr>
            <w:r>
              <w:rPr>
                <w:spacing w:val="-2"/>
              </w:rPr>
              <w:t>Protecting Consumers from One-Ring Scams</w:t>
            </w:r>
          </w:p>
        </w:tc>
        <w:tc>
          <w:tcPr>
            <w:tcW w:w="630" w:type="dxa"/>
          </w:tcPr>
          <w:p w:rsidR="004C2EE3" w14:paraId="4D0C7ED5" w14:textId="77777777">
            <w:pPr>
              <w:tabs>
                <w:tab w:val="center" w:pos="4680"/>
              </w:tabs>
              <w:suppressAutoHyphens/>
              <w:rPr>
                <w:b/>
                <w:spacing w:val="-2"/>
              </w:rPr>
            </w:pPr>
            <w:r>
              <w:rPr>
                <w:b/>
                <w:spacing w:val="-2"/>
              </w:rPr>
              <w:t>)</w:t>
            </w:r>
          </w:p>
          <w:p w:rsidR="004C2EE3" w14:paraId="736A8B5D" w14:textId="77777777">
            <w:pPr>
              <w:tabs>
                <w:tab w:val="center" w:pos="4680"/>
              </w:tabs>
              <w:suppressAutoHyphens/>
              <w:rPr>
                <w:b/>
                <w:spacing w:val="-2"/>
              </w:rPr>
            </w:pPr>
            <w:r>
              <w:rPr>
                <w:b/>
                <w:spacing w:val="-2"/>
              </w:rPr>
              <w:t>)</w:t>
            </w:r>
          </w:p>
          <w:p w:rsidR="004C2EE3" w14:paraId="597174C1" w14:textId="77777777">
            <w:pPr>
              <w:tabs>
                <w:tab w:val="center" w:pos="4680"/>
              </w:tabs>
              <w:suppressAutoHyphens/>
              <w:rPr>
                <w:b/>
                <w:spacing w:val="-2"/>
              </w:rPr>
            </w:pPr>
            <w:r>
              <w:rPr>
                <w:b/>
                <w:spacing w:val="-2"/>
              </w:rPr>
              <w:t>)</w:t>
            </w:r>
          </w:p>
          <w:p w:rsidR="004C2EE3" w:rsidRPr="00D9652D" w14:paraId="7099079F" w14:textId="77777777">
            <w:pPr>
              <w:tabs>
                <w:tab w:val="center" w:pos="4680"/>
              </w:tabs>
              <w:suppressAutoHyphens/>
              <w:rPr>
                <w:b/>
                <w:spacing w:val="-2"/>
              </w:rPr>
            </w:pPr>
            <w:r>
              <w:rPr>
                <w:b/>
                <w:spacing w:val="-2"/>
              </w:rPr>
              <w:t>)</w:t>
            </w:r>
          </w:p>
        </w:tc>
        <w:tc>
          <w:tcPr>
            <w:tcW w:w="4248" w:type="dxa"/>
          </w:tcPr>
          <w:p w:rsidR="004C2EE3" w14:paraId="39C6541A" w14:textId="77777777">
            <w:pPr>
              <w:tabs>
                <w:tab w:val="center" w:pos="4680"/>
              </w:tabs>
              <w:suppressAutoHyphens/>
              <w:rPr>
                <w:spacing w:val="-2"/>
              </w:rPr>
            </w:pPr>
          </w:p>
          <w:p w:rsidR="004C2EE3" w14:paraId="08952E4F" w14:textId="77777777">
            <w:pPr>
              <w:pStyle w:val="TOAHeading"/>
              <w:tabs>
                <w:tab w:val="center" w:pos="4680"/>
                <w:tab w:val="clear" w:pos="9360"/>
              </w:tabs>
              <w:rPr>
                <w:spacing w:val="-2"/>
              </w:rPr>
            </w:pPr>
          </w:p>
          <w:p w:rsidR="004C2EE3" w14:paraId="5E1E3D67" w14:textId="77777777">
            <w:pPr>
              <w:tabs>
                <w:tab w:val="center" w:pos="4680"/>
              </w:tabs>
              <w:suppressAutoHyphens/>
              <w:rPr>
                <w:spacing w:val="-2"/>
              </w:rPr>
            </w:pPr>
            <w:r>
              <w:rPr>
                <w:spacing w:val="-2"/>
              </w:rPr>
              <w:t>CG Docket No. 20-93</w:t>
            </w:r>
          </w:p>
        </w:tc>
      </w:tr>
    </w:tbl>
    <w:p w:rsidR="004C2EE3" w:rsidP="0070224F" w14:paraId="635BDB40" w14:textId="77777777"/>
    <w:p w:rsidR="00822CE0" w:rsidP="00341A3D" w14:paraId="55F70CFA" w14:textId="77777777">
      <w:pPr>
        <w:jc w:val="center"/>
        <w:rPr>
          <w:b/>
          <w:bCs/>
          <w:spacing w:val="-2"/>
        </w:rPr>
      </w:pPr>
      <w:r>
        <w:rPr>
          <w:b/>
          <w:bCs/>
          <w:spacing w:val="-2"/>
        </w:rPr>
        <w:t>REPORT AND ORDER</w:t>
      </w:r>
    </w:p>
    <w:p w:rsidR="005150E8" w:rsidP="00341A3D" w14:paraId="01B9ADCA" w14:textId="77777777">
      <w:pPr>
        <w:jc w:val="center"/>
        <w:rPr>
          <w:b/>
          <w:bCs/>
          <w:spacing w:val="-2"/>
        </w:rPr>
      </w:pPr>
    </w:p>
    <w:p w:rsidR="005150E8" w:rsidP="005150E8" w14:paraId="4B4CBF20" w14:textId="70740E2D">
      <w:pPr>
        <w:rPr>
          <w:b/>
          <w:bCs/>
          <w:spacing w:val="-2"/>
        </w:rPr>
      </w:pPr>
      <w:r>
        <w:rPr>
          <w:b/>
          <w:bCs/>
          <w:spacing w:val="-2"/>
        </w:rPr>
        <w:t>Adopted:</w:t>
      </w:r>
      <w:r w:rsidR="00531ADF">
        <w:rPr>
          <w:b/>
          <w:bCs/>
          <w:spacing w:val="-2"/>
        </w:rPr>
        <w:t xml:space="preserve">  November 24, 2020</w:t>
      </w:r>
      <w:r>
        <w:rPr>
          <w:b/>
          <w:bCs/>
          <w:spacing w:val="-2"/>
        </w:rPr>
        <w:tab/>
      </w:r>
      <w:r>
        <w:rPr>
          <w:b/>
          <w:bCs/>
          <w:spacing w:val="-2"/>
        </w:rPr>
        <w:tab/>
      </w:r>
      <w:r>
        <w:rPr>
          <w:b/>
          <w:bCs/>
          <w:spacing w:val="-2"/>
        </w:rPr>
        <w:tab/>
      </w:r>
      <w:r>
        <w:rPr>
          <w:b/>
          <w:bCs/>
          <w:spacing w:val="-2"/>
        </w:rPr>
        <w:tab/>
      </w:r>
      <w:r>
        <w:rPr>
          <w:b/>
          <w:bCs/>
          <w:spacing w:val="-2"/>
        </w:rPr>
        <w:tab/>
      </w:r>
      <w:r>
        <w:rPr>
          <w:b/>
          <w:bCs/>
          <w:spacing w:val="-2"/>
        </w:rPr>
        <w:tab/>
        <w:t>Released:</w:t>
      </w:r>
      <w:r w:rsidR="00456890">
        <w:rPr>
          <w:b/>
          <w:bCs/>
          <w:spacing w:val="-2"/>
        </w:rPr>
        <w:t xml:space="preserve">  November 30, 2020</w:t>
      </w:r>
    </w:p>
    <w:p w:rsidR="005150E8" w:rsidP="005150E8" w14:paraId="5A4D16ED" w14:textId="77777777">
      <w:pPr>
        <w:rPr>
          <w:b/>
          <w:bCs/>
          <w:spacing w:val="-2"/>
        </w:rPr>
      </w:pPr>
    </w:p>
    <w:p w:rsidR="005150E8" w:rsidP="005150E8" w14:paraId="5A756CF2" w14:textId="77777777">
      <w:pPr>
        <w:rPr>
          <w:spacing w:val="-2"/>
        </w:rPr>
      </w:pPr>
      <w:r w:rsidRPr="005150E8">
        <w:rPr>
          <w:spacing w:val="-2"/>
        </w:rPr>
        <w:t>By the Commission</w:t>
      </w:r>
      <w:r w:rsidR="00C52B09">
        <w:rPr>
          <w:spacing w:val="-2"/>
        </w:rPr>
        <w:t>:</w:t>
      </w:r>
    </w:p>
    <w:p w:rsidR="005150E8" w:rsidP="005150E8" w14:paraId="65E15A80" w14:textId="77777777">
      <w:pPr>
        <w:rPr>
          <w:spacing w:val="-2"/>
        </w:rPr>
      </w:pPr>
    </w:p>
    <w:p w:rsidR="005150E8" w:rsidP="003D5E34" w14:paraId="1159D17F" w14:textId="77777777">
      <w:pPr>
        <w:pStyle w:val="Heading1"/>
      </w:pPr>
      <w:r>
        <w:t>introduction</w:t>
      </w:r>
    </w:p>
    <w:p w:rsidR="00E61E62" w:rsidP="003D5E34" w14:paraId="3DC6A551" w14:textId="77777777">
      <w:pPr>
        <w:pStyle w:val="ParaNum"/>
      </w:pPr>
      <w:r>
        <w:t xml:space="preserve">The Pallone-Thune Telephone Robocall Abuse Criminal Enforcement and Deterrence Act (TRACED Act), in relevant part, directs the Commission to consider steps to protect </w:t>
      </w:r>
      <w:r w:rsidR="00A64323">
        <w:t xml:space="preserve">consumers </w:t>
      </w:r>
      <w:r>
        <w:t>from a</w:t>
      </w:r>
      <w:r w:rsidR="00032D7C">
        <w:t xml:space="preserve"> </w:t>
      </w:r>
      <w:r>
        <w:t>type of illegal call known as the one-ring scam</w:t>
      </w:r>
      <w:r w:rsidR="007A79AD">
        <w:t>,</w:t>
      </w:r>
      <w:r>
        <w:t xml:space="preserve"> </w:t>
      </w:r>
      <w:r>
        <w:t>“</w:t>
      </w:r>
      <w:r w:rsidR="00032D7C">
        <w:t>in which a caller makes a call and allows the call to ring the called party for a short duration, in order to prompt the called party to return the call, thereby subjecting the called party to charges.”</w:t>
      </w:r>
      <w:r>
        <w:rPr>
          <w:rStyle w:val="FootnoteReference"/>
        </w:rPr>
        <w:footnoteReference w:id="3"/>
      </w:r>
      <w:r w:rsidR="00032D7C">
        <w:t xml:space="preserve">  </w:t>
      </w:r>
    </w:p>
    <w:p w:rsidR="008051D9" w:rsidP="003D5E34" w14:paraId="08C0E667" w14:textId="2C62537D">
      <w:pPr>
        <w:pStyle w:val="ParaNum"/>
      </w:pPr>
      <w:r>
        <w:t>In this Report and Order</w:t>
      </w:r>
      <w:r w:rsidR="005966DA">
        <w:t>,</w:t>
      </w:r>
      <w:r>
        <w:t xml:space="preserve"> we </w:t>
      </w:r>
      <w:r w:rsidR="00E61E62">
        <w:t xml:space="preserve">implement this portion of the TRACED Act while continuing our </w:t>
      </w:r>
      <w:r w:rsidR="00421513">
        <w:t xml:space="preserve">efforts to eliminate </w:t>
      </w:r>
      <w:r w:rsidR="006A3384">
        <w:t xml:space="preserve">illegal and </w:t>
      </w:r>
      <w:r w:rsidR="00E61E62">
        <w:t xml:space="preserve">unwanted calls by </w:t>
      </w:r>
      <w:r w:rsidR="0089434D">
        <w:t xml:space="preserve">enabling voice service providers to block calls from numbers </w:t>
      </w:r>
      <w:r w:rsidR="005966DA">
        <w:t xml:space="preserve">associated with </w:t>
      </w:r>
      <w:r w:rsidR="00E36C99">
        <w:t xml:space="preserve">a </w:t>
      </w:r>
      <w:r w:rsidR="005966DA">
        <w:t>one</w:t>
      </w:r>
      <w:r w:rsidR="003B5C9E">
        <w:t>-</w:t>
      </w:r>
      <w:r w:rsidR="005966DA">
        <w:t>ring scam</w:t>
      </w:r>
      <w:r w:rsidR="00C91ABD">
        <w:t>.</w:t>
      </w:r>
      <w:r>
        <w:rPr>
          <w:rStyle w:val="FootnoteReference"/>
        </w:rPr>
        <w:footnoteReference w:id="4"/>
      </w:r>
      <w:r w:rsidR="002A4158">
        <w:t xml:space="preserve">  </w:t>
      </w:r>
      <w:r w:rsidR="00CD42B6">
        <w:t>We also</w:t>
      </w:r>
      <w:r w:rsidR="002A4158">
        <w:t xml:space="preserve"> discuss our plans to continue and expand our collaborative law enforcement and consumer education activities to stop one-ring scams and other fraudulent and abusive robocalling practices.</w:t>
      </w:r>
      <w:r w:rsidR="006A3384">
        <w:t xml:space="preserve"> </w:t>
      </w:r>
      <w:r w:rsidRPr="002A4158" w:rsidR="002A4158">
        <w:t xml:space="preserve"> </w:t>
      </w:r>
      <w:r w:rsidR="002A4158">
        <w:t>By confirming that voice service providers may legally block the robocalls used to perpetrate one-ring scams, the measure</w:t>
      </w:r>
      <w:r w:rsidR="00C91ABD">
        <w:t>s</w:t>
      </w:r>
      <w:r w:rsidR="002A4158">
        <w:t xml:space="preserve"> we adopt today </w:t>
      </w:r>
      <w:r w:rsidR="00C94B91">
        <w:t>empower</w:t>
      </w:r>
      <w:r w:rsidR="002A4158">
        <w:t xml:space="preserve"> voice service providers to stop these illegal calls and give consumers substantial additional protection from these</w:t>
      </w:r>
      <w:r w:rsidR="00C94B91">
        <w:t xml:space="preserve"> scams</w:t>
      </w:r>
      <w:r w:rsidR="002A4158">
        <w:t>.</w:t>
      </w:r>
    </w:p>
    <w:p w:rsidR="00123068" w:rsidP="003D5E34" w14:paraId="6B53A5F4" w14:textId="77777777">
      <w:pPr>
        <w:pStyle w:val="Heading1"/>
      </w:pPr>
      <w:r>
        <w:t>background</w:t>
      </w:r>
    </w:p>
    <w:p w:rsidR="00B356FC" w:rsidP="003D5E34" w14:paraId="031265C0" w14:textId="77777777">
      <w:pPr>
        <w:pStyle w:val="ParaNum"/>
      </w:pPr>
      <w:r>
        <w:t>In the one-ring scam,</w:t>
      </w:r>
      <w:r w:rsidR="00EC4EA5">
        <w:t xml:space="preserve"> </w:t>
      </w:r>
      <w:r>
        <w:t xml:space="preserve">the scammer </w:t>
      </w:r>
      <w:r w:rsidR="005B4784">
        <w:t xml:space="preserve">typically </w:t>
      </w:r>
      <w:r w:rsidR="00042217">
        <w:t xml:space="preserve">places a call and </w:t>
      </w:r>
      <w:r w:rsidR="005B4784">
        <w:t xml:space="preserve">causes </w:t>
      </w:r>
      <w:r w:rsidR="00042217">
        <w:t xml:space="preserve">it </w:t>
      </w:r>
      <w:r w:rsidR="005B4784">
        <w:t xml:space="preserve">to disconnect after one ring, in order to induce </w:t>
      </w:r>
      <w:r>
        <w:t xml:space="preserve">the </w:t>
      </w:r>
      <w:r w:rsidR="003104D5">
        <w:t>called party</w:t>
      </w:r>
      <w:r>
        <w:t xml:space="preserve"> </w:t>
      </w:r>
      <w:r w:rsidR="005B4784">
        <w:t xml:space="preserve">to </w:t>
      </w:r>
      <w:r>
        <w:t>call back and incur toll charges</w:t>
      </w:r>
      <w:r w:rsidR="00412996">
        <w:t xml:space="preserve">, </w:t>
      </w:r>
      <w:r>
        <w:t xml:space="preserve">of which the scammer gets a share.  </w:t>
      </w:r>
      <w:r w:rsidR="005A1275">
        <w:t>Caller ID for o</w:t>
      </w:r>
      <w:r w:rsidRPr="006F069D" w:rsidR="0033578D">
        <w:t xml:space="preserve">ne-ring </w:t>
      </w:r>
      <w:r w:rsidR="0033578D">
        <w:t xml:space="preserve">scam </w:t>
      </w:r>
      <w:r w:rsidRPr="006F069D" w:rsidR="0033578D">
        <w:t xml:space="preserve">calls may </w:t>
      </w:r>
      <w:r w:rsidR="005A1275">
        <w:t xml:space="preserve">display </w:t>
      </w:r>
      <w:r w:rsidR="005B4784">
        <w:t>originating telephone numbers resembl</w:t>
      </w:r>
      <w:r w:rsidR="005A1275">
        <w:t>ing</w:t>
      </w:r>
      <w:r w:rsidRPr="006F069D" w:rsidR="005B4784">
        <w:t xml:space="preserve"> </w:t>
      </w:r>
      <w:r w:rsidR="005A1275">
        <w:t xml:space="preserve">domestic </w:t>
      </w:r>
      <w:r w:rsidRPr="006F069D" w:rsidR="0033578D">
        <w:t xml:space="preserve">numbers </w:t>
      </w:r>
      <w:r w:rsidR="005B4784">
        <w:t>but are actually international</w:t>
      </w:r>
      <w:r w:rsidRPr="006F069D" w:rsidR="0033578D">
        <w:t>.</w:t>
      </w:r>
      <w:r>
        <w:rPr>
          <w:rStyle w:val="FootnoteReference"/>
        </w:rPr>
        <w:footnoteReference w:id="5"/>
      </w:r>
      <w:r w:rsidR="0033578D">
        <w:t xml:space="preserve"> </w:t>
      </w:r>
      <w:r w:rsidRPr="006F069D" w:rsidR="0033578D">
        <w:t xml:space="preserve"> </w:t>
      </w:r>
      <w:r w:rsidR="0033578D">
        <w:t>Variations of this scam rely on phony voicemail messages urging a consumer to call a number with an unfamiliar area code to “schedule a delivery” or to notify a consumer about a “sick” relative</w:t>
      </w:r>
      <w:r w:rsidR="00241C68">
        <w:t>, for example</w:t>
      </w:r>
      <w:r w:rsidR="0033578D">
        <w:t xml:space="preserve">.  Calling the </w:t>
      </w:r>
      <w:r w:rsidR="005B4784">
        <w:t xml:space="preserve">number </w:t>
      </w:r>
      <w:r w:rsidR="0033578D">
        <w:t xml:space="preserve">back connects a consumer to a </w:t>
      </w:r>
      <w:r w:rsidR="007578D8">
        <w:t>tele</w:t>
      </w:r>
      <w:r w:rsidR="0033578D">
        <w:t xml:space="preserve">phone number outside the </w:t>
      </w:r>
      <w:r w:rsidR="005B4784">
        <w:t xml:space="preserve">United States, </w:t>
      </w:r>
      <w:r w:rsidR="0033578D">
        <w:t>resulting in connection and per-minute fees</w:t>
      </w:r>
      <w:r w:rsidR="00432636">
        <w:t xml:space="preserve"> </w:t>
      </w:r>
      <w:r w:rsidR="0033578D">
        <w:t xml:space="preserve">for as long as the consumer remains on the line.  These </w:t>
      </w:r>
      <w:r w:rsidR="00DD1ECB">
        <w:t xml:space="preserve">unauthorized </w:t>
      </w:r>
      <w:r w:rsidR="0033578D">
        <w:t xml:space="preserve">charges </w:t>
      </w:r>
      <w:r w:rsidR="005B4784">
        <w:t xml:space="preserve">may </w:t>
      </w:r>
      <w:r w:rsidR="0033578D">
        <w:t>show up on consumer bills as “premium” services, international calling, or toll calling.</w:t>
      </w:r>
      <w:r>
        <w:rPr>
          <w:rStyle w:val="FootnoteReference"/>
        </w:rPr>
        <w:footnoteReference w:id="6"/>
      </w:r>
      <w:r w:rsidR="00412AE2">
        <w:t xml:space="preserve">  </w:t>
      </w:r>
    </w:p>
    <w:p w:rsidR="00412AE2" w:rsidP="003D5E34" w14:paraId="73D61DA3" w14:textId="77777777">
      <w:pPr>
        <w:pStyle w:val="ParaNum"/>
      </w:pPr>
      <w:r>
        <w:t>In</w:t>
      </w:r>
      <w:r>
        <w:t xml:space="preserve"> the </w:t>
      </w:r>
      <w:r w:rsidRPr="009A36CA">
        <w:rPr>
          <w:i/>
          <w:iCs/>
        </w:rPr>
        <w:t>2017 Call Blocking Report and Order</w:t>
      </w:r>
      <w:r w:rsidR="00852666">
        <w:t>, the Commission authorized voice service providers to block by default</w:t>
      </w:r>
      <w:r w:rsidR="005B4784">
        <w:t xml:space="preserve"> </w:t>
      </w:r>
      <w:r w:rsidR="00852666">
        <w:t xml:space="preserve">calls </w:t>
      </w:r>
      <w:r w:rsidR="005B4784">
        <w:t xml:space="preserve">that appear to originate from </w:t>
      </w:r>
      <w:r w:rsidR="00852666">
        <w:t xml:space="preserve">invalid, unallocated, or unused numbers and numbers on a </w:t>
      </w:r>
      <w:r w:rsidRPr="007C7675" w:rsidR="00852666">
        <w:t>Do-Not-Originate list</w:t>
      </w:r>
      <w:r w:rsidR="00852666">
        <w:t>.</w:t>
      </w:r>
      <w:r>
        <w:rPr>
          <w:rStyle w:val="FootnoteReference"/>
        </w:rPr>
        <w:footnoteReference w:id="7"/>
      </w:r>
      <w:r>
        <w:t xml:space="preserve"> </w:t>
      </w:r>
      <w:r w:rsidR="00852666">
        <w:t xml:space="preserve"> </w:t>
      </w:r>
      <w:r>
        <w:t xml:space="preserve">In the </w:t>
      </w:r>
      <w:r w:rsidRPr="006A5FD8">
        <w:rPr>
          <w:i/>
          <w:iCs/>
        </w:rPr>
        <w:t>2019</w:t>
      </w:r>
      <w:r>
        <w:t xml:space="preserve"> </w:t>
      </w:r>
      <w:r w:rsidRPr="006A5FD8">
        <w:rPr>
          <w:i/>
        </w:rPr>
        <w:t>Call Blocking Declaratory Ruling</w:t>
      </w:r>
      <w:r w:rsidRPr="006A5FD8">
        <w:t xml:space="preserve">, the Commission </w:t>
      </w:r>
      <w:r w:rsidR="00ED3FA4">
        <w:t>gave consumer</w:t>
      </w:r>
      <w:r w:rsidR="00F80451">
        <w:t>s</w:t>
      </w:r>
      <w:r w:rsidR="00ED3FA4">
        <w:t xml:space="preserve"> greater </w:t>
      </w:r>
      <w:r w:rsidRPr="006A5FD8">
        <w:t xml:space="preserve">protection </w:t>
      </w:r>
      <w:r w:rsidR="00ED3FA4">
        <w:t xml:space="preserve">by enabling </w:t>
      </w:r>
      <w:r w:rsidRPr="006A5FD8">
        <w:t xml:space="preserve">voice service providers </w:t>
      </w:r>
      <w:r w:rsidR="00ED3FA4">
        <w:t xml:space="preserve">to </w:t>
      </w:r>
      <w:r>
        <w:t xml:space="preserve">automatically enroll new and existing customers in call-blocking services by default </w:t>
      </w:r>
      <w:r w:rsidR="00ED3FA4">
        <w:t xml:space="preserve">if </w:t>
      </w:r>
      <w:r w:rsidRPr="006A5FD8">
        <w:t>the blocking is based on reasonable analytics designed to identify unwanted calls.</w:t>
      </w:r>
      <w:r>
        <w:rPr>
          <w:rStyle w:val="FootnoteReference"/>
        </w:rPr>
        <w:footnoteReference w:id="8"/>
      </w:r>
      <w:r>
        <w:t xml:space="preserve">  </w:t>
      </w:r>
      <w:r w:rsidR="00ED3FA4">
        <w:t xml:space="preserve">And this past July, </w:t>
      </w:r>
      <w:r w:rsidR="005B4784">
        <w:t xml:space="preserve">in the </w:t>
      </w:r>
      <w:r w:rsidRPr="004E4AE4" w:rsidR="005B4784">
        <w:rPr>
          <w:i/>
          <w:iCs/>
        </w:rPr>
        <w:t>Call Blocking Safe Harbor Report and Order</w:t>
      </w:r>
      <w:r w:rsidR="005B4784">
        <w:t xml:space="preserve">, </w:t>
      </w:r>
      <w:r w:rsidR="00ED3FA4">
        <w:t xml:space="preserve">the Commission gave </w:t>
      </w:r>
      <w:r w:rsidR="001471A4">
        <w:t xml:space="preserve">voice service </w:t>
      </w:r>
      <w:r w:rsidR="00ED3FA4">
        <w:t xml:space="preserve">providers more incentive to block these calls by protecting them from </w:t>
      </w:r>
      <w:r w:rsidR="005F406B">
        <w:t xml:space="preserve">liability resulting from the </w:t>
      </w:r>
      <w:r w:rsidR="00ED3FA4">
        <w:t xml:space="preserve">inadvertent </w:t>
      </w:r>
      <w:r w:rsidR="005F406B">
        <w:t xml:space="preserve">blocking </w:t>
      </w:r>
      <w:r w:rsidR="00ED3FA4">
        <w:t>of wanted calls</w:t>
      </w:r>
      <w:r w:rsidR="009C4E7E">
        <w:t xml:space="preserve"> in certain cases</w:t>
      </w:r>
      <w:r w:rsidR="00ED3FA4">
        <w:t>.</w:t>
      </w:r>
      <w:r>
        <w:rPr>
          <w:rStyle w:val="FootnoteReference"/>
        </w:rPr>
        <w:footnoteReference w:id="9"/>
      </w:r>
      <w:r w:rsidR="005B4784">
        <w:t xml:space="preserve"> </w:t>
      </w:r>
    </w:p>
    <w:p w:rsidR="00944A88" w:rsidP="003D5E34" w14:paraId="783BDA78" w14:textId="77777777">
      <w:pPr>
        <w:pStyle w:val="ParaNum"/>
        <w:widowControl/>
      </w:pPr>
      <w:r>
        <w:t xml:space="preserve">The TRACED Act directs the Commission to </w:t>
      </w:r>
      <w:r w:rsidR="0033578D">
        <w:t xml:space="preserve">build on these efforts by </w:t>
      </w:r>
      <w:r>
        <w:t>initiat</w:t>
      </w:r>
      <w:r w:rsidR="0033578D">
        <w:t>ing</w:t>
      </w:r>
      <w:r>
        <w:t xml:space="preserve"> a proceeding </w:t>
      </w:r>
      <w:r w:rsidR="005A1275">
        <w:t xml:space="preserve">to help </w:t>
      </w:r>
      <w:r w:rsidR="009C4E7E">
        <w:t xml:space="preserve">protect </w:t>
      </w:r>
      <w:r w:rsidR="00F23198">
        <w:t>consumers</w:t>
      </w:r>
      <w:r w:rsidR="009C4E7E">
        <w:t xml:space="preserve"> from </w:t>
      </w:r>
      <w:r>
        <w:t>one-ring scams.</w:t>
      </w:r>
      <w:r>
        <w:rPr>
          <w:rStyle w:val="FootnoteReference"/>
        </w:rPr>
        <w:footnoteReference w:id="10"/>
      </w:r>
      <w:r>
        <w:t xml:space="preserve">  </w:t>
      </w:r>
      <w:r w:rsidR="007B426A">
        <w:t>Specifically,</w:t>
      </w:r>
      <w:r w:rsidR="00933081">
        <w:t xml:space="preserve"> </w:t>
      </w:r>
      <w:r w:rsidR="00606CC8">
        <w:t xml:space="preserve">section 12 of </w:t>
      </w:r>
      <w:r w:rsidR="00933081">
        <w:t xml:space="preserve">the TRACED Act </w:t>
      </w:r>
      <w:r w:rsidR="00ED3FA4">
        <w:t xml:space="preserve">requires </w:t>
      </w:r>
      <w:r w:rsidR="005308EF">
        <w:t xml:space="preserve">the Commission </w:t>
      </w:r>
      <w:r w:rsidR="00ED3FA4">
        <w:t xml:space="preserve">to </w:t>
      </w:r>
      <w:r w:rsidR="005308EF">
        <w:t xml:space="preserve">consider measures to encourage voice service providers to prevent one-ring scam calls from reaching consumers, </w:t>
      </w:r>
      <w:r w:rsidR="00ED3FA4">
        <w:t xml:space="preserve">including </w:t>
      </w:r>
      <w:r w:rsidR="00403896">
        <w:t>rules</w:t>
      </w:r>
      <w:r w:rsidR="009B76E5">
        <w:t xml:space="preserve"> that providers </w:t>
      </w:r>
      <w:r w:rsidR="00ED3FA4">
        <w:t xml:space="preserve">may </w:t>
      </w:r>
      <w:r w:rsidR="009B76E5">
        <w:t>block calls likely associated with one-ring scams.</w:t>
      </w:r>
      <w:r>
        <w:rPr>
          <w:rStyle w:val="FootnoteReference"/>
        </w:rPr>
        <w:footnoteReference w:id="11"/>
      </w:r>
      <w:r w:rsidR="009B76E5">
        <w:t xml:space="preserve">  The statute also </w:t>
      </w:r>
      <w:r w:rsidR="00CE5FAC">
        <w:t xml:space="preserve">instructs the Commission to </w:t>
      </w:r>
      <w:r w:rsidR="009B76E5">
        <w:t xml:space="preserve">consider </w:t>
      </w:r>
      <w:r w:rsidR="00C61863">
        <w:t xml:space="preserve">how it can require </w:t>
      </w:r>
      <w:r w:rsidR="009B76E5">
        <w:t>international gateway providers</w:t>
      </w:r>
      <w:r w:rsidR="001D692E">
        <w:t>, which</w:t>
      </w:r>
      <w:r w:rsidR="009B76E5">
        <w:t xml:space="preserve"> are the point of entry for calls into the United States</w:t>
      </w:r>
      <w:r w:rsidR="001D692E">
        <w:t>,</w:t>
      </w:r>
      <w:r w:rsidR="009B76E5">
        <w:t xml:space="preserve"> to verify with the foreign originator the nature or purpose of calls before transmitting them for completion to U.S. consumers</w:t>
      </w:r>
      <w:r>
        <w:rPr>
          <w:rStyle w:val="FootnoteReference"/>
        </w:rPr>
        <w:footnoteReference w:id="12"/>
      </w:r>
      <w:r w:rsidR="00832855">
        <w:t xml:space="preserve"> a</w:t>
      </w:r>
      <w:r w:rsidR="00ED3FA4">
        <w:t xml:space="preserve">nd </w:t>
      </w:r>
      <w:r w:rsidR="00C61863">
        <w:t>instructs the Commission to consider how it can</w:t>
      </w:r>
      <w:r w:rsidR="009B76E5">
        <w:t xml:space="preserve"> </w:t>
      </w:r>
      <w:r w:rsidR="00032D7C">
        <w:t>work with federal and state law enforcement agencies</w:t>
      </w:r>
      <w:r w:rsidR="00D96029">
        <w:t>,</w:t>
      </w:r>
      <w:r w:rsidR="00032D7C">
        <w:t xml:space="preserve"> the governments of foreign countries</w:t>
      </w:r>
      <w:r w:rsidR="009B76E5">
        <w:t>, and entities that provide call-blocking services</w:t>
      </w:r>
      <w:r w:rsidR="00032D7C">
        <w:t xml:space="preserve"> to address one-ring </w:t>
      </w:r>
      <w:r w:rsidR="00032D7C">
        <w:t>scams</w:t>
      </w:r>
      <w:r w:rsidR="009B76E5">
        <w:t>.</w:t>
      </w:r>
      <w:r>
        <w:rPr>
          <w:rStyle w:val="FootnoteReference"/>
        </w:rPr>
        <w:footnoteReference w:id="13"/>
      </w:r>
      <w:r w:rsidR="00032D7C">
        <w:t xml:space="preserve"> </w:t>
      </w:r>
      <w:r w:rsidR="009B76E5">
        <w:t xml:space="preserve"> Finally, </w:t>
      </w:r>
      <w:r w:rsidR="00ED3FA4">
        <w:t xml:space="preserve">it </w:t>
      </w:r>
      <w:r w:rsidR="009B76E5">
        <w:t>directs the Commission</w:t>
      </w:r>
      <w:r w:rsidR="00C61863">
        <w:t xml:space="preserve"> to consider how</w:t>
      </w:r>
      <w:r w:rsidR="009B76E5">
        <w:t xml:space="preserve">, </w:t>
      </w:r>
      <w:r w:rsidR="00032D7C">
        <w:t xml:space="preserve">in consultation with the </w:t>
      </w:r>
      <w:r w:rsidR="00EF0084">
        <w:t>Federal Trade Commission (</w:t>
      </w:r>
      <w:r w:rsidR="00032D7C">
        <w:t>FTC</w:t>
      </w:r>
      <w:r w:rsidR="00EF0084">
        <w:t>)</w:t>
      </w:r>
      <w:r w:rsidR="00032D7C">
        <w:t xml:space="preserve">, </w:t>
      </w:r>
      <w:r w:rsidR="00C61863">
        <w:t xml:space="preserve">it can </w:t>
      </w:r>
      <w:r w:rsidR="00032D7C">
        <w:t xml:space="preserve">better educate consumers </w:t>
      </w:r>
      <w:r w:rsidR="00F44633">
        <w:t xml:space="preserve">on </w:t>
      </w:r>
      <w:r w:rsidR="00032D7C">
        <w:t>how to avoid one-ring scams</w:t>
      </w:r>
      <w:r w:rsidR="009B76E5">
        <w:t>.</w:t>
      </w:r>
      <w:r>
        <w:rPr>
          <w:rStyle w:val="FootnoteReference"/>
        </w:rPr>
        <w:footnoteReference w:id="14"/>
      </w:r>
      <w:r w:rsidR="00032D7C">
        <w:t xml:space="preserve"> </w:t>
      </w:r>
    </w:p>
    <w:p w:rsidR="00341A3D" w:rsidRPr="006E6214" w:rsidP="003D5E34" w14:paraId="2B391FDC" w14:textId="77777777">
      <w:pPr>
        <w:pStyle w:val="ParaNum"/>
      </w:pPr>
      <w:r>
        <w:t xml:space="preserve">In </w:t>
      </w:r>
      <w:r w:rsidR="00606CC8">
        <w:t>the</w:t>
      </w:r>
      <w:r>
        <w:t xml:space="preserve"> </w:t>
      </w:r>
      <w:r w:rsidRPr="00652E73" w:rsidR="00652E73">
        <w:rPr>
          <w:i/>
          <w:iCs/>
        </w:rPr>
        <w:t>One</w:t>
      </w:r>
      <w:r w:rsidR="00652E73">
        <w:rPr>
          <w:i/>
          <w:iCs/>
        </w:rPr>
        <w:t>-</w:t>
      </w:r>
      <w:r w:rsidRPr="00652E73" w:rsidR="00652E73">
        <w:rPr>
          <w:i/>
          <w:iCs/>
        </w:rPr>
        <w:t>Ring Scam NPRM</w:t>
      </w:r>
      <w:r>
        <w:t xml:space="preserve">, we sought comment on how to implement </w:t>
      </w:r>
      <w:r w:rsidR="0037767C">
        <w:t xml:space="preserve">section 12.  </w:t>
      </w:r>
      <w:r w:rsidR="009C13F3">
        <w:t>W</w:t>
      </w:r>
      <w:r w:rsidR="0037767C">
        <w:t xml:space="preserve">e </w:t>
      </w:r>
      <w:r w:rsidR="00F267A8">
        <w:t xml:space="preserve">proposed a rule to </w:t>
      </w:r>
      <w:r w:rsidR="001C258F">
        <w:t xml:space="preserve">strengthen the </w:t>
      </w:r>
      <w:r w:rsidR="00D8166D">
        <w:t>incentive</w:t>
      </w:r>
      <w:r w:rsidR="001C258F">
        <w:t>s of</w:t>
      </w:r>
      <w:r w:rsidR="00D8166D">
        <w:t xml:space="preserve"> </w:t>
      </w:r>
      <w:r w:rsidR="00F267A8">
        <w:t xml:space="preserve">voice service providers to </w:t>
      </w:r>
      <w:r w:rsidRPr="00AC3E50" w:rsidR="00F267A8">
        <w:t>block voice call</w:t>
      </w:r>
      <w:r w:rsidR="005308EF">
        <w:t xml:space="preserve">s that </w:t>
      </w:r>
      <w:r w:rsidRPr="00500E7B" w:rsidR="00F267A8">
        <w:t>originate from a number that is highly likely</w:t>
      </w:r>
      <w:r w:rsidR="00F267A8">
        <w:t xml:space="preserve"> </w:t>
      </w:r>
      <w:r w:rsidRPr="00500E7B" w:rsidR="00F267A8">
        <w:t xml:space="preserve">to be associated with a </w:t>
      </w:r>
      <w:r w:rsidRPr="00634353" w:rsidR="00F267A8">
        <w:t>one-ring scam</w:t>
      </w:r>
      <w:r w:rsidR="00D751DB">
        <w:t>.</w:t>
      </w:r>
      <w:r>
        <w:rPr>
          <w:rStyle w:val="FootnoteReference"/>
        </w:rPr>
        <w:footnoteReference w:id="15"/>
      </w:r>
      <w:r w:rsidR="00D751DB">
        <w:t xml:space="preserve">  W</w:t>
      </w:r>
      <w:r w:rsidR="00F267A8">
        <w:t xml:space="preserve">e also </w:t>
      </w:r>
      <w:r w:rsidR="0037767C">
        <w:t>sought comment on how we could</w:t>
      </w:r>
      <w:r w:rsidR="0088711A">
        <w:t xml:space="preserve"> implement the remaining </w:t>
      </w:r>
      <w:r w:rsidR="005A1275">
        <w:t xml:space="preserve">section 12 </w:t>
      </w:r>
      <w:r w:rsidR="0088711A">
        <w:t>requirements</w:t>
      </w:r>
      <w:r w:rsidR="0085555E">
        <w:t>,</w:t>
      </w:r>
      <w:r w:rsidR="0089434D">
        <w:t xml:space="preserve"> </w:t>
      </w:r>
      <w:r w:rsidR="0085555E">
        <w:t>such as whether to impose obligations on international gateway providers to verify the nature or</w:t>
      </w:r>
      <w:r w:rsidRPr="0085555E" w:rsidR="0085555E">
        <w:t xml:space="preserve"> </w:t>
      </w:r>
      <w:r w:rsidR="0085555E">
        <w:t xml:space="preserve">purpose of calls before initiating service.  Finally, we sought comment on how to build upon our efforts to combat the one-ring scam by </w:t>
      </w:r>
      <w:r w:rsidR="00D8166D">
        <w:t xml:space="preserve">working with federal and state law enforcement agencies to protect consumers from one-ring scams, </w:t>
      </w:r>
      <w:r w:rsidR="0085555E">
        <w:t>promoting consumer education and outreach, coordinating with our regulatory partners, and working more closely with companies that offer call blocking services to protect consumers.</w:t>
      </w:r>
      <w:r w:rsidRPr="005308EF" w:rsidR="0085555E">
        <w:t xml:space="preserve"> </w:t>
      </w:r>
      <w:r w:rsidR="0085555E">
        <w:t xml:space="preserve"> </w:t>
      </w:r>
      <w:r w:rsidRPr="00063FB5" w:rsidR="005308EF">
        <w:t xml:space="preserve">Ten </w:t>
      </w:r>
      <w:r w:rsidR="005308EF">
        <w:t xml:space="preserve">parties filed comments and </w:t>
      </w:r>
      <w:r w:rsidRPr="00063FB5" w:rsidR="005308EF">
        <w:t xml:space="preserve">three parties </w:t>
      </w:r>
      <w:r w:rsidR="005308EF">
        <w:t>filed replies</w:t>
      </w:r>
      <w:r w:rsidRPr="00063FB5" w:rsidR="005308EF">
        <w:t>.</w:t>
      </w:r>
      <w:r>
        <w:rPr>
          <w:rStyle w:val="FootnoteReference"/>
        </w:rPr>
        <w:footnoteReference w:id="16"/>
      </w:r>
      <w:r>
        <w:t xml:space="preserve">   </w:t>
      </w:r>
    </w:p>
    <w:p w:rsidR="002E0C28" w:rsidP="003D5E34" w14:paraId="498814E9" w14:textId="77777777">
      <w:pPr>
        <w:pStyle w:val="Heading1"/>
      </w:pPr>
      <w:r>
        <w:t>discussion</w:t>
      </w:r>
    </w:p>
    <w:p w:rsidR="007149C9" w:rsidRPr="00C94189" w:rsidP="003D5E34" w14:paraId="04970E42" w14:textId="77777777">
      <w:pPr>
        <w:pStyle w:val="ParaNum"/>
      </w:pPr>
      <w:r>
        <w:t xml:space="preserve">In this Report and Order, we </w:t>
      </w:r>
      <w:r w:rsidR="00502A15">
        <w:t xml:space="preserve">take action to </w:t>
      </w:r>
      <w:r w:rsidR="006A5FD8">
        <w:t>combat one-ring scam</w:t>
      </w:r>
      <w:r w:rsidR="002025B9">
        <w:t>s</w:t>
      </w:r>
      <w:r w:rsidR="001373BA">
        <w:t xml:space="preserve"> as </w:t>
      </w:r>
      <w:r w:rsidR="004961D0">
        <w:t xml:space="preserve">part of our proceeding implementing </w:t>
      </w:r>
      <w:r w:rsidR="001373BA">
        <w:t>section 12 of the TRACED Act</w:t>
      </w:r>
      <w:r w:rsidR="006A5FD8">
        <w:t xml:space="preserve">. </w:t>
      </w:r>
      <w:r w:rsidR="00717332">
        <w:t xml:space="preserve"> </w:t>
      </w:r>
      <w:r w:rsidR="002025B9">
        <w:t>Specifically</w:t>
      </w:r>
      <w:r>
        <w:t xml:space="preserve">, </w:t>
      </w:r>
      <w:r w:rsidR="0085555E">
        <w:t xml:space="preserve">as we proposed </w:t>
      </w:r>
      <w:r>
        <w:t xml:space="preserve">in the </w:t>
      </w:r>
      <w:r>
        <w:rPr>
          <w:i/>
          <w:iCs/>
        </w:rPr>
        <w:t>One-Ring Scam NPRM</w:t>
      </w:r>
      <w:r w:rsidR="0085555E">
        <w:t xml:space="preserve">, we </w:t>
      </w:r>
      <w:r>
        <w:t xml:space="preserve">expressly </w:t>
      </w:r>
      <w:r w:rsidR="0085555E">
        <w:t xml:space="preserve">enable </w:t>
      </w:r>
      <w:r w:rsidR="002A73B4">
        <w:t xml:space="preserve">voice service providers </w:t>
      </w:r>
      <w:r w:rsidRPr="00C25D43">
        <w:rPr>
          <w:kern w:val="0"/>
        </w:rPr>
        <w:t>to</w:t>
      </w:r>
      <w:r w:rsidRPr="003E7A8B">
        <w:rPr>
          <w:kern w:val="0"/>
        </w:rPr>
        <w:t xml:space="preserve"> </w:t>
      </w:r>
      <w:r w:rsidRPr="00C25D43">
        <w:t xml:space="preserve">block </w:t>
      </w:r>
      <w:r>
        <w:t xml:space="preserve">all </w:t>
      </w:r>
      <w:r w:rsidRPr="00C25D43">
        <w:t xml:space="preserve">calls </w:t>
      </w:r>
      <w:r>
        <w:t xml:space="preserve">from </w:t>
      </w:r>
      <w:r w:rsidR="00033DF7">
        <w:t>tele</w:t>
      </w:r>
      <w:r w:rsidRPr="00C25D43">
        <w:t xml:space="preserve">phone numbers </w:t>
      </w:r>
      <w:r w:rsidR="00717332">
        <w:t xml:space="preserve">that are highly likely to be </w:t>
      </w:r>
      <w:r w:rsidR="00BC3944">
        <w:t xml:space="preserve">associated with </w:t>
      </w:r>
      <w:r w:rsidRPr="00C25D43">
        <w:t>one-ring scams</w:t>
      </w:r>
      <w:r w:rsidR="008B41AA">
        <w:t xml:space="preserve">, </w:t>
      </w:r>
      <w:r w:rsidR="00844CC0">
        <w:t>consistent with section 12(b)(4) of the TRACED Act</w:t>
      </w:r>
      <w:r w:rsidR="00406498">
        <w:t>.</w:t>
      </w:r>
      <w:r>
        <w:rPr>
          <w:rStyle w:val="FootnoteReference"/>
        </w:rPr>
        <w:footnoteReference w:id="17"/>
      </w:r>
      <w:r w:rsidR="00C94189">
        <w:t xml:space="preserve">  </w:t>
      </w:r>
      <w:r w:rsidR="004C7F6A">
        <w:t xml:space="preserve">We also </w:t>
      </w:r>
      <w:r w:rsidR="002645AC">
        <w:t xml:space="preserve">consider </w:t>
      </w:r>
      <w:r w:rsidR="00C94189">
        <w:t>enforcement and consumer education measures to combat one-ring scams.</w:t>
      </w:r>
    </w:p>
    <w:p w:rsidR="002228B1" w:rsidP="003D5E34" w14:paraId="320AA4C3" w14:textId="77777777">
      <w:pPr>
        <w:pStyle w:val="Heading2"/>
      </w:pPr>
      <w:r>
        <w:t xml:space="preserve">Enabling </w:t>
      </w:r>
      <w:r w:rsidR="00E67AC4">
        <w:t xml:space="preserve">Providers </w:t>
      </w:r>
      <w:r w:rsidR="007073E0">
        <w:t xml:space="preserve">to </w:t>
      </w:r>
      <w:r w:rsidR="00E67AC4">
        <w:t xml:space="preserve">Block Calls Associated with One-Ring Scams </w:t>
      </w:r>
    </w:p>
    <w:p w:rsidR="005C3670" w:rsidRPr="00917995" w:rsidP="003D5E34" w14:paraId="5D5F9BD0" w14:textId="77777777">
      <w:pPr>
        <w:pStyle w:val="ParaNum"/>
      </w:pPr>
      <w:r>
        <w:t xml:space="preserve">We adopt our proposal to </w:t>
      </w:r>
      <w:r>
        <w:t xml:space="preserve">expressly enable </w:t>
      </w:r>
      <w:r w:rsidR="007073E0">
        <w:t xml:space="preserve">voice service </w:t>
      </w:r>
      <w:r>
        <w:t xml:space="preserve">providers </w:t>
      </w:r>
      <w:r>
        <w:t xml:space="preserve">to </w:t>
      </w:r>
      <w:r>
        <w:t xml:space="preserve">block calls that are </w:t>
      </w:r>
      <w:r w:rsidR="00717332">
        <w:t xml:space="preserve">highly </w:t>
      </w:r>
      <w:r>
        <w:t xml:space="preserve">likely </w:t>
      </w:r>
      <w:r w:rsidR="00717332">
        <w:t xml:space="preserve">to be </w:t>
      </w:r>
      <w:r>
        <w:t>associated with one-ring scams.</w:t>
      </w:r>
      <w:r>
        <w:rPr>
          <w:rStyle w:val="FootnoteReference"/>
        </w:rPr>
        <w:footnoteReference w:id="18"/>
      </w:r>
      <w:r>
        <w:t xml:space="preserve">  </w:t>
      </w:r>
      <w:r>
        <w:t xml:space="preserve">Based on the </w:t>
      </w:r>
      <w:r w:rsidR="009A36CA">
        <w:t xml:space="preserve">record, </w:t>
      </w:r>
      <w:r>
        <w:t xml:space="preserve">we conclude that </w:t>
      </w:r>
      <w:r w:rsidR="00A83585">
        <w:t>th</w:t>
      </w:r>
      <w:r>
        <w:t xml:space="preserve">is will </w:t>
      </w:r>
      <w:r w:rsidR="00BC3944">
        <w:t xml:space="preserve">help </w:t>
      </w:r>
      <w:r>
        <w:t xml:space="preserve">protect consumers from the scam and fulfill the congressional mandate in section 12(b)(4) of the </w:t>
      </w:r>
      <w:r>
        <w:t>TRACED Act.</w:t>
      </w:r>
      <w:r>
        <w:rPr>
          <w:rStyle w:val="FootnoteReference"/>
        </w:rPr>
        <w:footnoteReference w:id="19"/>
      </w:r>
      <w:r>
        <w:t xml:space="preserve"> </w:t>
      </w:r>
      <w:r w:rsidR="00C011AC">
        <w:t xml:space="preserve"> </w:t>
      </w:r>
      <w:r>
        <w:t>Commenters generally support this rule change</w:t>
      </w:r>
      <w:r>
        <w:rPr>
          <w:rStyle w:val="FootnoteReference"/>
        </w:rPr>
        <w:footnoteReference w:id="20"/>
      </w:r>
      <w:r>
        <w:t xml:space="preserve"> and </w:t>
      </w:r>
      <w:r w:rsidR="00A83585">
        <w:t xml:space="preserve">assert </w:t>
      </w:r>
      <w:r>
        <w:t xml:space="preserve">that </w:t>
      </w:r>
      <w:r w:rsidR="00F80451">
        <w:t xml:space="preserve">voice service providers can </w:t>
      </w:r>
      <w:r w:rsidR="00A83585">
        <w:t xml:space="preserve">identify such calls using </w:t>
      </w:r>
      <w:r>
        <w:t>analytics and fraud investigation techniques</w:t>
      </w:r>
      <w:r w:rsidR="00F80451">
        <w:t xml:space="preserve"> similar to </w:t>
      </w:r>
      <w:r w:rsidR="00240293">
        <w:t>those they use to identify and block other unwanted calls</w:t>
      </w:r>
      <w:r w:rsidR="00A83585">
        <w:t>,</w:t>
      </w:r>
      <w:r>
        <w:rPr>
          <w:rStyle w:val="FootnoteReference"/>
        </w:rPr>
        <w:footnoteReference w:id="21"/>
      </w:r>
      <w:r w:rsidR="00240293">
        <w:t xml:space="preserve"> taking into account such factors as</w:t>
      </w:r>
      <w:r w:rsidRPr="000E480D" w:rsidR="00240293">
        <w:rPr>
          <w:color w:val="181817"/>
          <w:kern w:val="0"/>
        </w:rPr>
        <w:t xml:space="preserve"> </w:t>
      </w:r>
      <w:r w:rsidRPr="003153A4" w:rsidR="00240293">
        <w:rPr>
          <w:color w:val="181817"/>
          <w:kern w:val="0"/>
        </w:rPr>
        <w:t xml:space="preserve">the </w:t>
      </w:r>
      <w:r w:rsidR="00240293">
        <w:rPr>
          <w:color w:val="181817"/>
          <w:kern w:val="0"/>
          <w:szCs w:val="22"/>
        </w:rPr>
        <w:t>tele</w:t>
      </w:r>
      <w:r w:rsidRPr="00C15E97" w:rsidR="00240293">
        <w:rPr>
          <w:color w:val="181817"/>
          <w:kern w:val="0"/>
          <w:szCs w:val="22"/>
        </w:rPr>
        <w:t>phone number</w:t>
      </w:r>
      <w:r w:rsidR="00240293">
        <w:rPr>
          <w:color w:val="181817"/>
          <w:kern w:val="0"/>
          <w:szCs w:val="22"/>
        </w:rPr>
        <w:t>s</w:t>
      </w:r>
      <w:r w:rsidRPr="00C15E97" w:rsidR="00240293">
        <w:rPr>
          <w:color w:val="181817"/>
          <w:kern w:val="0"/>
          <w:szCs w:val="22"/>
        </w:rPr>
        <w:t xml:space="preserve"> and the call patter</w:t>
      </w:r>
      <w:r w:rsidR="00240293">
        <w:rPr>
          <w:color w:val="181817"/>
          <w:kern w:val="0"/>
          <w:szCs w:val="22"/>
        </w:rPr>
        <w:t>ns.</w:t>
      </w:r>
      <w:r>
        <w:rPr>
          <w:rStyle w:val="FootnoteReference"/>
          <w:kern w:val="0"/>
          <w:szCs w:val="22"/>
        </w:rPr>
        <w:footnoteReference w:id="22"/>
      </w:r>
      <w:r w:rsidR="00240293">
        <w:rPr>
          <w:color w:val="181817"/>
          <w:kern w:val="0"/>
          <w:szCs w:val="22"/>
        </w:rPr>
        <w:t xml:space="preserve">  </w:t>
      </w:r>
      <w:r w:rsidR="00C415DE">
        <w:rPr>
          <w:color w:val="181817"/>
          <w:kern w:val="0"/>
          <w:szCs w:val="22"/>
        </w:rPr>
        <w:t xml:space="preserve">Because </w:t>
      </w:r>
      <w:r w:rsidR="00484572">
        <w:rPr>
          <w:color w:val="181817"/>
          <w:kern w:val="0"/>
          <w:szCs w:val="22"/>
        </w:rPr>
        <w:t xml:space="preserve">one-ring scam </w:t>
      </w:r>
      <w:r w:rsidR="00240293">
        <w:rPr>
          <w:color w:val="181817"/>
          <w:kern w:val="0"/>
          <w:szCs w:val="22"/>
        </w:rPr>
        <w:t xml:space="preserve">calls </w:t>
      </w:r>
      <w:r w:rsidR="004961D0">
        <w:rPr>
          <w:color w:val="181817"/>
          <w:kern w:val="0"/>
          <w:szCs w:val="22"/>
        </w:rPr>
        <w:t>serve no beneficial purpose</w:t>
      </w:r>
      <w:r w:rsidR="00240293">
        <w:rPr>
          <w:color w:val="181817"/>
          <w:kern w:val="0"/>
          <w:szCs w:val="22"/>
        </w:rPr>
        <w:t>, we believe no reasonable consumer would want to receive</w:t>
      </w:r>
      <w:r w:rsidR="00C415DE">
        <w:rPr>
          <w:color w:val="181817"/>
          <w:kern w:val="0"/>
          <w:szCs w:val="22"/>
        </w:rPr>
        <w:t xml:space="preserve"> them</w:t>
      </w:r>
      <w:r w:rsidR="00240293">
        <w:rPr>
          <w:color w:val="181817"/>
          <w:kern w:val="0"/>
          <w:szCs w:val="22"/>
        </w:rPr>
        <w:t>.  Accordingly, we see no need to require terminating providers to give their customers an opportunity to opt</w:t>
      </w:r>
      <w:r w:rsidR="004961D0">
        <w:rPr>
          <w:color w:val="181817"/>
          <w:kern w:val="0"/>
          <w:szCs w:val="22"/>
        </w:rPr>
        <w:t xml:space="preserve"> </w:t>
      </w:r>
      <w:r w:rsidR="00240293">
        <w:rPr>
          <w:color w:val="181817"/>
          <w:kern w:val="0"/>
          <w:szCs w:val="22"/>
        </w:rPr>
        <w:t xml:space="preserve">out of </w:t>
      </w:r>
      <w:r w:rsidR="004961D0">
        <w:rPr>
          <w:color w:val="181817"/>
          <w:kern w:val="0"/>
          <w:szCs w:val="22"/>
        </w:rPr>
        <w:t xml:space="preserve">the </w:t>
      </w:r>
      <w:r w:rsidR="00240293">
        <w:rPr>
          <w:color w:val="181817"/>
          <w:kern w:val="0"/>
          <w:szCs w:val="22"/>
        </w:rPr>
        <w:t>blocking of such calls.</w:t>
      </w:r>
      <w:r>
        <w:rPr>
          <w:rStyle w:val="FootnoteReference"/>
          <w:kern w:val="0"/>
          <w:szCs w:val="22"/>
        </w:rPr>
        <w:footnoteReference w:id="23"/>
      </w:r>
      <w:r w:rsidR="00240293">
        <w:rPr>
          <w:color w:val="181817"/>
          <w:kern w:val="0"/>
          <w:szCs w:val="22"/>
        </w:rPr>
        <w:t xml:space="preserve">  </w:t>
      </w:r>
      <w:r w:rsidR="00240293">
        <w:t xml:space="preserve">Our action will </w:t>
      </w:r>
      <w:r w:rsidRPr="005C3670" w:rsidR="00240293">
        <w:rPr>
          <w:kern w:val="0"/>
          <w:szCs w:val="22"/>
        </w:rPr>
        <w:t>strengthen voice service providers’ incentives to develop tools to block such calls</w:t>
      </w:r>
      <w:r w:rsidR="00E66550">
        <w:rPr>
          <w:kern w:val="0"/>
          <w:szCs w:val="22"/>
        </w:rPr>
        <w:t xml:space="preserve">.  </w:t>
      </w:r>
      <w:r w:rsidRPr="00917995" w:rsidR="00917995">
        <w:t xml:space="preserve">We encourage voice service providers to implement call-blocking measures that will help eliminate or reduce the number of one-ring scam calls that reach consumers.  </w:t>
      </w:r>
      <w:r w:rsidRPr="00917995" w:rsidR="00E66550">
        <w:rPr>
          <w:kern w:val="0"/>
          <w:szCs w:val="22"/>
        </w:rPr>
        <w:t xml:space="preserve">This will </w:t>
      </w:r>
      <w:r w:rsidRPr="00917995" w:rsidR="003E3767">
        <w:rPr>
          <w:kern w:val="0"/>
          <w:szCs w:val="22"/>
        </w:rPr>
        <w:t xml:space="preserve">advance </w:t>
      </w:r>
      <w:r w:rsidRPr="00917995" w:rsidR="00240293">
        <w:t>our</w:t>
      </w:r>
      <w:r w:rsidRPr="00917995" w:rsidR="003E3767">
        <w:t xml:space="preserve"> goal </w:t>
      </w:r>
      <w:r w:rsidRPr="00917995" w:rsidR="00240293">
        <w:t xml:space="preserve">of eliminating or reducing the number of one-ring scam calls that reach consumers.  </w:t>
      </w:r>
    </w:p>
    <w:p w:rsidR="000A207F" w:rsidP="003D5E34" w14:paraId="37E965A3" w14:textId="77777777">
      <w:pPr>
        <w:pStyle w:val="ParaNum"/>
        <w:widowControl/>
      </w:pPr>
      <w:r>
        <w:t xml:space="preserve">We also extend to one-ring </w:t>
      </w:r>
      <w:r w:rsidR="005E212E">
        <w:t xml:space="preserve">scam </w:t>
      </w:r>
      <w:r>
        <w:t>blocking our recently</w:t>
      </w:r>
      <w:r w:rsidR="00CD42B6">
        <w:t xml:space="preserve"> </w:t>
      </w:r>
      <w:r>
        <w:t>adopted safe harbor for inadvertent blocking of wanted robocalls</w:t>
      </w:r>
      <w:r w:rsidR="004961D0">
        <w:t xml:space="preserve"> using reasonable analytics</w:t>
      </w:r>
      <w:r>
        <w:t>.</w:t>
      </w:r>
      <w:r>
        <w:rPr>
          <w:rStyle w:val="FootnoteReference"/>
        </w:rPr>
        <w:footnoteReference w:id="24"/>
      </w:r>
      <w:r w:rsidR="00F86195">
        <w:t xml:space="preserve">  </w:t>
      </w:r>
      <w:r w:rsidR="00C01806">
        <w:t>This</w:t>
      </w:r>
      <w:r w:rsidRPr="00B117C3" w:rsidR="00C01806">
        <w:t xml:space="preserve"> safe harbor </w:t>
      </w:r>
      <w:r w:rsidR="00C01806">
        <w:t>gives voice service providers assurance that their good-faith</w:t>
      </w:r>
      <w:r w:rsidRPr="00B117C3" w:rsidR="00C01806">
        <w:t xml:space="preserve"> blocking of </w:t>
      </w:r>
      <w:r w:rsidR="00C01806">
        <w:t>one-ring scam calls</w:t>
      </w:r>
      <w:r w:rsidR="004961D0">
        <w:t xml:space="preserve"> based on reasonable analytics</w:t>
      </w:r>
      <w:r w:rsidR="00C01806">
        <w:t xml:space="preserve"> will not result in liability if they inadvertently block wanted calls</w:t>
      </w:r>
      <w:r w:rsidR="00D220A8">
        <w:t>,</w:t>
      </w:r>
      <w:r w:rsidR="00C01806">
        <w:t xml:space="preserve"> and</w:t>
      </w:r>
      <w:r w:rsidR="00D220A8">
        <w:t xml:space="preserve"> it</w:t>
      </w:r>
      <w:r w:rsidR="00C01806">
        <w:t xml:space="preserve"> thus strengthens their ability and incentive to protect consumers from such scams.</w:t>
      </w:r>
      <w:r>
        <w:rPr>
          <w:rStyle w:val="FootnoteReference"/>
        </w:rPr>
        <w:footnoteReference w:id="25"/>
      </w:r>
      <w:r w:rsidR="00C01806">
        <w:t xml:space="preserve">  These steps continue our work to protect consumers</w:t>
      </w:r>
      <w:r w:rsidRPr="00F31C90" w:rsidR="00C01806">
        <w:t xml:space="preserve"> from </w:t>
      </w:r>
      <w:r w:rsidR="00C01806">
        <w:t>illegal and</w:t>
      </w:r>
      <w:r w:rsidRPr="00B117C3" w:rsidR="00C01806">
        <w:t xml:space="preserve"> unwanted </w:t>
      </w:r>
      <w:r w:rsidR="00C01806">
        <w:t xml:space="preserve">calls.  </w:t>
      </w:r>
      <w:r w:rsidR="00BF40DD">
        <w:t xml:space="preserve">As </w:t>
      </w:r>
      <w:r w:rsidR="006C630B">
        <w:t>required under section 4 of the TRACED Act</w:t>
      </w:r>
      <w:r w:rsidR="00BF40DD">
        <w:t>,</w:t>
      </w:r>
      <w:r>
        <w:rPr>
          <w:rStyle w:val="FootnoteReference"/>
        </w:rPr>
        <w:footnoteReference w:id="26"/>
      </w:r>
      <w:r w:rsidR="006C630B">
        <w:t xml:space="preserve"> </w:t>
      </w:r>
      <w:r w:rsidR="00BF40DD">
        <w:t>our</w:t>
      </w:r>
      <w:r w:rsidR="006C630B">
        <w:t xml:space="preserve"> </w:t>
      </w:r>
      <w:r w:rsidR="00C01806">
        <w:rPr>
          <w:i/>
          <w:iCs/>
        </w:rPr>
        <w:t xml:space="preserve">Call Blocking </w:t>
      </w:r>
      <w:r w:rsidRPr="00C415DE" w:rsidR="00D60166">
        <w:rPr>
          <w:i/>
          <w:iCs/>
        </w:rPr>
        <w:t>Safe Harbor Report and Order</w:t>
      </w:r>
      <w:r w:rsidR="00D60166">
        <w:t xml:space="preserve"> </w:t>
      </w:r>
      <w:r w:rsidR="00D13A24">
        <w:t xml:space="preserve">established </w:t>
      </w:r>
      <w:r>
        <w:t xml:space="preserve">that </w:t>
      </w:r>
      <w:r w:rsidR="006C630B">
        <w:t>safe harbor</w:t>
      </w:r>
      <w:r w:rsidR="00C01806">
        <w:t>,</w:t>
      </w:r>
      <w:r>
        <w:rPr>
          <w:rStyle w:val="FootnoteReference"/>
        </w:rPr>
        <w:footnoteReference w:id="27"/>
      </w:r>
      <w:r>
        <w:t xml:space="preserve"> and o</w:t>
      </w:r>
      <w:r w:rsidR="006C630B">
        <w:t>ne</w:t>
      </w:r>
      <w:r w:rsidR="00781773">
        <w:t>-</w:t>
      </w:r>
      <w:r w:rsidR="006C630B">
        <w:t xml:space="preserve">ring scam calls </w:t>
      </w:r>
      <w:r>
        <w:t xml:space="preserve">are </w:t>
      </w:r>
      <w:r w:rsidR="002C24E8">
        <w:t xml:space="preserve">undoubtedly </w:t>
      </w:r>
      <w:r>
        <w:t xml:space="preserve">part of the </w:t>
      </w:r>
      <w:r w:rsidR="006C630B">
        <w:t>unwanted robocalls</w:t>
      </w:r>
      <w:r>
        <w:t xml:space="preserve"> </w:t>
      </w:r>
      <w:r w:rsidR="00C01806">
        <w:t xml:space="preserve">that </w:t>
      </w:r>
      <w:r>
        <w:t xml:space="preserve">providers </w:t>
      </w:r>
      <w:r w:rsidR="00C01806">
        <w:t xml:space="preserve">target using </w:t>
      </w:r>
      <w:r>
        <w:t>reasonable analytics</w:t>
      </w:r>
      <w:r w:rsidR="00C01806">
        <w:t>.</w:t>
      </w:r>
      <w:r>
        <w:t xml:space="preserve">  </w:t>
      </w:r>
      <w:r w:rsidR="00162B69">
        <w:t xml:space="preserve">Accordingly, </w:t>
      </w:r>
      <w:r w:rsidR="00D13A24">
        <w:t xml:space="preserve">we find </w:t>
      </w:r>
      <w:r w:rsidR="00F86195">
        <w:t xml:space="preserve">there is no need </w:t>
      </w:r>
      <w:r w:rsidR="00162B69">
        <w:t xml:space="preserve">to add a </w:t>
      </w:r>
      <w:r w:rsidR="006B013D">
        <w:t xml:space="preserve">separate </w:t>
      </w:r>
      <w:r w:rsidR="006C630B">
        <w:t xml:space="preserve">safe harbor provision </w:t>
      </w:r>
      <w:r w:rsidR="00F86195">
        <w:t xml:space="preserve">applicable </w:t>
      </w:r>
      <w:r w:rsidR="006C630B">
        <w:t xml:space="preserve">specifically </w:t>
      </w:r>
      <w:r w:rsidR="00F86195">
        <w:t xml:space="preserve">to </w:t>
      </w:r>
      <w:r w:rsidR="006C630B">
        <w:t>one-ring scam calls.</w:t>
      </w:r>
      <w:r>
        <w:rPr>
          <w:rStyle w:val="FootnoteReference"/>
        </w:rPr>
        <w:footnoteReference w:id="28"/>
      </w:r>
    </w:p>
    <w:p w:rsidR="00F44633" w:rsidP="003D5E34" w14:paraId="0FECE759" w14:textId="77777777">
      <w:pPr>
        <w:pStyle w:val="ParaNum"/>
      </w:pPr>
      <w:r>
        <w:t xml:space="preserve">Several commenters argue that this new rule is unnecessary because voice service providers </w:t>
      </w:r>
      <w:r w:rsidR="007A4EFD">
        <w:t>already have authority to block</w:t>
      </w:r>
      <w:r>
        <w:t xml:space="preserve"> </w:t>
      </w:r>
      <w:r w:rsidR="007A4EFD">
        <w:t>illegal one-ring scam calls</w:t>
      </w:r>
      <w:r>
        <w:t>.</w:t>
      </w:r>
      <w:r>
        <w:rPr>
          <w:rStyle w:val="FootnoteReference"/>
        </w:rPr>
        <w:footnoteReference w:id="29"/>
      </w:r>
      <w:r>
        <w:t xml:space="preserve">  We agree that voice service providers may lawfully block illegal calls, including those associated with one-ring scams</w:t>
      </w:r>
      <w:r w:rsidR="005562CC">
        <w:t>.</w:t>
      </w:r>
      <w:r>
        <w:rPr>
          <w:rStyle w:val="FootnoteReference"/>
        </w:rPr>
        <w:footnoteReference w:id="30"/>
      </w:r>
      <w:r>
        <w:t xml:space="preserve"> </w:t>
      </w:r>
      <w:r w:rsidR="005562CC">
        <w:t xml:space="preserve"> But </w:t>
      </w:r>
      <w:r>
        <w:t xml:space="preserve">the rule we adopt today will remove any doubt that voice service providers may lawfully use reasonable analytics to identify and block calls that </w:t>
      </w:r>
      <w:r w:rsidRPr="005562CC">
        <w:rPr>
          <w:i/>
          <w:iCs/>
        </w:rPr>
        <w:t>appear to be</w:t>
      </w:r>
      <w:r>
        <w:t xml:space="preserve"> one-ring scam calls, even if such identification proves to be erroneous in any particular instance; that they may do so without fear of liability for inadvertently blocking wanted calls; and that they may do so on a </w:t>
      </w:r>
      <w:r>
        <w:t>network</w:t>
      </w:r>
      <w:r w:rsidR="001D30C5">
        <w:t>-</w:t>
      </w:r>
      <w:r>
        <w:t xml:space="preserve">wide </w:t>
      </w:r>
      <w:r>
        <w:t xml:space="preserve">basis.  We believe this will strongly encourage voice service providers to take a more aggressive approach </w:t>
      </w:r>
      <w:r w:rsidR="00A97354">
        <w:t xml:space="preserve">to </w:t>
      </w:r>
      <w:r>
        <w:t>blocking one-ring scam calls, consistent with our statutory mandate in section 12(b)(4) of the TRACED Act to “</w:t>
      </w:r>
      <w:r w:rsidR="007A4EFD">
        <w:t>consider how [we] can</w:t>
      </w:r>
      <w:r>
        <w:t> </w:t>
      </w:r>
      <w:r w:rsidR="007A4EFD">
        <w:t>.</w:t>
      </w:r>
      <w:r>
        <w:t> </w:t>
      </w:r>
      <w:r w:rsidR="007A4EFD">
        <w:t>.</w:t>
      </w:r>
      <w:r>
        <w:t> </w:t>
      </w:r>
      <w:r w:rsidR="007A4EFD">
        <w:t xml:space="preserve">. </w:t>
      </w:r>
      <w:r>
        <w:t xml:space="preserve">incentivize voice service providers to stop calls made to perpetrate one-ring scams from being received by called parties.”  </w:t>
      </w:r>
      <w:r w:rsidR="00B436CD">
        <w:t>This</w:t>
      </w:r>
      <w:r>
        <w:t xml:space="preserve"> rule </w:t>
      </w:r>
      <w:r w:rsidR="00B436CD">
        <w:t xml:space="preserve">amendment </w:t>
      </w:r>
      <w:r>
        <w:t xml:space="preserve">is </w:t>
      </w:r>
      <w:r w:rsidR="0001631D">
        <w:t xml:space="preserve">also </w:t>
      </w:r>
      <w:r w:rsidR="00AA71FF">
        <w:t xml:space="preserve">consistent </w:t>
      </w:r>
      <w:r>
        <w:t>with the congressional directive to consider “adding identified one-ring scam type numbers to the Commission’s existing list of permissible categories for carrier-initiated blocking.”</w:t>
      </w:r>
      <w:r>
        <w:rPr>
          <w:rStyle w:val="FootnoteReference"/>
        </w:rPr>
        <w:footnoteReference w:id="31"/>
      </w:r>
      <w:r>
        <w:t xml:space="preserve">  </w:t>
      </w:r>
    </w:p>
    <w:p w:rsidR="00AF501B" w:rsidP="003D5E34" w14:paraId="0E73FF9A" w14:textId="77777777">
      <w:pPr>
        <w:pStyle w:val="ParaNum"/>
      </w:pPr>
      <w:r>
        <w:t>Moreover, the</w:t>
      </w:r>
      <w:r w:rsidR="00641DE1">
        <w:t xml:space="preserve"> rule </w:t>
      </w:r>
      <w:r w:rsidR="00E916D4">
        <w:t>builds on</w:t>
      </w:r>
      <w:r w:rsidR="00AA71FF">
        <w:t xml:space="preserve"> </w:t>
      </w:r>
      <w:r w:rsidR="00C415DE">
        <w:t xml:space="preserve">our recent work to enable </w:t>
      </w:r>
      <w:r w:rsidR="00C01806">
        <w:t xml:space="preserve">voice service </w:t>
      </w:r>
      <w:r w:rsidR="00C415DE">
        <w:t xml:space="preserve">providers to block illegal calls.  </w:t>
      </w:r>
      <w:r w:rsidR="00C01806">
        <w:t xml:space="preserve">Our </w:t>
      </w:r>
      <w:r w:rsidR="00C415DE">
        <w:t>recently</w:t>
      </w:r>
      <w:r w:rsidR="00C01806">
        <w:t>-</w:t>
      </w:r>
      <w:r w:rsidR="00C415DE">
        <w:t>adopted blocking provisions and the new rule we adopt here will facilitate the Commission’s work with voice service providers and third-party analytics companies to protect consumers from harmful robocalls, including one-ring scam calls.</w:t>
      </w:r>
      <w:r>
        <w:rPr>
          <w:rStyle w:val="FootnoteReference"/>
        </w:rPr>
        <w:footnoteReference w:id="32"/>
      </w:r>
      <w:r w:rsidR="00C415DE">
        <w:t xml:space="preserve">  </w:t>
      </w:r>
      <w:r w:rsidR="00641DE1">
        <w:t>For these reasons, we find that even though voice service providers already may lawfully block</w:t>
      </w:r>
      <w:r w:rsidR="00AA71FF">
        <w:t xml:space="preserve"> many</w:t>
      </w:r>
      <w:r w:rsidR="00641DE1">
        <w:t xml:space="preserve"> calls that perpetrate one-ring scam</w:t>
      </w:r>
      <w:r w:rsidR="00AA71FF">
        <w:t>s</w:t>
      </w:r>
      <w:r w:rsidR="00641DE1">
        <w:t xml:space="preserve">, the rule change we adopt today will strengthen their incentives to do so and thus will further protect consumers from such scams. </w:t>
      </w:r>
      <w:r w:rsidRPr="00B117C3" w:rsidR="002B4CB8">
        <w:rPr>
          <w:highlight w:val="yellow"/>
        </w:rPr>
        <w:t xml:space="preserve"> </w:t>
      </w:r>
      <w:r w:rsidRPr="00B117C3" w:rsidR="00C01806">
        <w:rPr>
          <w:highlight w:val="yellow"/>
        </w:rPr>
        <w:t xml:space="preserve"> </w:t>
      </w:r>
    </w:p>
    <w:p w:rsidR="00C40A81" w:rsidP="003D5E34" w14:paraId="13216840" w14:textId="6598BC73">
      <w:pPr>
        <w:pStyle w:val="Heading2"/>
      </w:pPr>
      <w:r>
        <w:t>Collaborative Enforcement and Consumer Education Measures</w:t>
      </w:r>
    </w:p>
    <w:p w:rsidR="007D6C7F" w:rsidP="007D6C7F" w14:paraId="2F827699" w14:textId="2CB8C759">
      <w:pPr>
        <w:pStyle w:val="ParaNum"/>
      </w:pPr>
      <w:r w:rsidRPr="007D6C7F">
        <w:t>Section 12(b) requires the Commission to consider additional actions to address one-ring scams, including collaboration with other agencies and private parties in pursuing enforcement initiatives and consumer education measures.  We intend to implement these requirements as described below.</w:t>
      </w:r>
    </w:p>
    <w:p w:rsidR="007D6C7F" w:rsidRPr="007D6C7F" w:rsidP="007D6C7F" w14:paraId="47C47613" w14:textId="20B622E3">
      <w:pPr>
        <w:pStyle w:val="ParaNum"/>
      </w:pPr>
      <w:r>
        <w:t>Section 12(b)(1) requires the Commission to consider how to work with federal and state law enforcement agencies to protect consumers from one-ring scams.</w:t>
      </w:r>
      <w:r>
        <w:rPr>
          <w:rStyle w:val="FootnoteReference"/>
        </w:rPr>
        <w:footnoteReference w:id="33"/>
      </w:r>
      <w:r w:rsidRPr="00AB0A14">
        <w:t xml:space="preserve"> </w:t>
      </w:r>
      <w:r>
        <w:t xml:space="preserve"> Another section of the TRACED Act, section 5(a), also requires such coordination and states that “[t]he Attorney General, in consultation with the Chairman of the Commission, shall convene an interagency working group to study Government </w:t>
      </w:r>
      <w:r>
        <w:t>prosecution of violations of section 227(b) of the Communications Act of 1934.”</w:t>
      </w:r>
      <w:r>
        <w:rPr>
          <w:rStyle w:val="FootnoteReference"/>
        </w:rPr>
        <w:footnoteReference w:id="34"/>
      </w:r>
      <w:r>
        <w:t xml:space="preserve">  The Commission is participating in this group, as required under the TRACED Act, and will ensure that the group addresses one-ring scams.</w:t>
      </w:r>
      <w:r>
        <w:rPr>
          <w:rStyle w:val="FootnoteReference"/>
        </w:rPr>
        <w:footnoteReference w:id="35"/>
      </w:r>
      <w:r>
        <w:t xml:space="preserve">  Many one-ring scam calls fall within the scope of illegal robocalls that this working group is addressing.</w:t>
      </w:r>
      <w:r>
        <w:rPr>
          <w:rStyle w:val="FootnoteReference"/>
        </w:rPr>
        <w:footnoteReference w:id="36"/>
      </w:r>
    </w:p>
    <w:p w:rsidR="00036340" w:rsidRPr="004A451F" w:rsidP="003D5E34" w14:paraId="385799D5" w14:textId="77777777">
      <w:pPr>
        <w:pStyle w:val="ParaNum"/>
      </w:pPr>
      <w:bookmarkStart w:id="0" w:name="_Hlk33697417"/>
      <w:r>
        <w:t>Section 12(b)(3) requires the Commission to consider how, in consultation with the FTC, to better educate consumers about how to avoid one-ring scams.</w:t>
      </w:r>
      <w:r>
        <w:rPr>
          <w:rStyle w:val="FootnoteReference"/>
        </w:rPr>
        <w:footnoteReference w:id="37"/>
      </w:r>
      <w:r>
        <w:t xml:space="preserve">  To implement this section, </w:t>
      </w:r>
      <w:r w:rsidR="00C01CF0">
        <w:t xml:space="preserve">the Commission </w:t>
      </w:r>
      <w:r w:rsidR="005D58E7">
        <w:t xml:space="preserve">will </w:t>
      </w:r>
      <w:r w:rsidR="00C01CF0">
        <w:t xml:space="preserve">continue and expand its existing collaborative law enforcement and consumer education activities targeted at fraudulent and abusive robocalling practices, including one-ring scams.  </w:t>
      </w:r>
      <w:r w:rsidR="004A451F">
        <w:t>The Commission has been proactive in consumer outreach regarding scams</w:t>
      </w:r>
      <w:r>
        <w:rPr>
          <w:rStyle w:val="FootnoteReference"/>
        </w:rPr>
        <w:footnoteReference w:id="38"/>
      </w:r>
      <w:r w:rsidR="004A451F">
        <w:t xml:space="preserve"> and has closely collaborated with the FTC on education and outreach efforts focused </w:t>
      </w:r>
      <w:r w:rsidR="006A3524">
        <w:t xml:space="preserve">on </w:t>
      </w:r>
      <w:r w:rsidR="004A451F">
        <w:t>spoofing and illegal robocalls.</w:t>
      </w:r>
      <w:r>
        <w:rPr>
          <w:rStyle w:val="FootnoteReference"/>
        </w:rPr>
        <w:footnoteReference w:id="39"/>
      </w:r>
      <w:r w:rsidR="004A451F">
        <w:t xml:space="preserve"> </w:t>
      </w:r>
      <w:bookmarkEnd w:id="0"/>
    </w:p>
    <w:p w:rsidR="001F1A42" w:rsidRPr="007D6C7F" w:rsidP="003D5E34" w14:paraId="13B53F2C" w14:textId="51D9A036">
      <w:pPr>
        <w:pStyle w:val="ParaNum"/>
        <w:rPr>
          <w:color w:val="000000"/>
          <w:kern w:val="0"/>
        </w:rPr>
      </w:pPr>
      <w:bookmarkStart w:id="1" w:name="_Hlk51769184"/>
      <w:r>
        <w:t>S</w:t>
      </w:r>
      <w:r w:rsidRPr="003330B9" w:rsidR="003330B9">
        <w:t xml:space="preserve">ection </w:t>
      </w:r>
      <w:r w:rsidR="00AE1677">
        <w:t>12(b)(2) requires the Commission to consider how to work with governments of foreign countries to address one-ring scams.</w:t>
      </w:r>
      <w:r>
        <w:rPr>
          <w:rStyle w:val="FootnoteReference"/>
        </w:rPr>
        <w:footnoteReference w:id="40"/>
      </w:r>
      <w:r w:rsidR="00AE1677">
        <w:t xml:space="preserve">  </w:t>
      </w:r>
      <w:r w:rsidR="0076507C">
        <w:t xml:space="preserve">We intend to expand our existing efforts and work toward enhancing </w:t>
      </w:r>
      <w:r w:rsidR="00C97B18">
        <w:t xml:space="preserve">enforcement </w:t>
      </w:r>
      <w:r w:rsidR="0076507C">
        <w:t xml:space="preserve">coordination and cooperation with foreign governments </w:t>
      </w:r>
      <w:r w:rsidR="003C675B">
        <w:t xml:space="preserve">aimed at </w:t>
      </w:r>
      <w:r w:rsidR="003C675B">
        <w:rPr>
          <w:color w:val="000000"/>
        </w:rPr>
        <w:t>combatting</w:t>
      </w:r>
      <w:r w:rsidR="00C97B18">
        <w:rPr>
          <w:color w:val="000000"/>
        </w:rPr>
        <w:t xml:space="preserve"> </w:t>
      </w:r>
      <w:r w:rsidR="003C675B">
        <w:rPr>
          <w:color w:val="000000"/>
        </w:rPr>
        <w:t>unlawful cross-border schemes such as one-ring scams</w:t>
      </w:r>
      <w:r w:rsidR="00C97B18">
        <w:rPr>
          <w:color w:val="000000"/>
        </w:rPr>
        <w:t xml:space="preserve">.  </w:t>
      </w:r>
      <w:r w:rsidRPr="006F038B" w:rsidR="00132E82">
        <w:rPr>
          <w:color w:val="000000"/>
        </w:rPr>
        <w:t>The Commission collaborates with our international counterparts on a bilateral, regional, and multilateral basis.</w:t>
      </w:r>
      <w:r w:rsidR="00652020">
        <w:rPr>
          <w:color w:val="000000"/>
        </w:rPr>
        <w:t xml:space="preserve">  </w:t>
      </w:r>
      <w:r w:rsidRPr="006F038B" w:rsidR="00652020">
        <w:rPr>
          <w:color w:val="000000"/>
        </w:rPr>
        <w:t xml:space="preserve">For example, the </w:t>
      </w:r>
      <w:r w:rsidR="00F663FB">
        <w:rPr>
          <w:color w:val="000000"/>
        </w:rPr>
        <w:t xml:space="preserve">Commission </w:t>
      </w:r>
      <w:r w:rsidRPr="006F038B" w:rsidR="00652020">
        <w:rPr>
          <w:color w:val="000000"/>
        </w:rPr>
        <w:t>has executed a bilateral Memorand</w:t>
      </w:r>
      <w:r w:rsidR="00810096">
        <w:rPr>
          <w:color w:val="000000"/>
        </w:rPr>
        <w:t>um</w:t>
      </w:r>
      <w:r w:rsidRPr="006F038B" w:rsidR="00652020">
        <w:rPr>
          <w:color w:val="000000"/>
        </w:rPr>
        <w:t xml:space="preserve"> of Understanding with </w:t>
      </w:r>
      <w:r w:rsidR="0000794C">
        <w:rPr>
          <w:color w:val="000000"/>
        </w:rPr>
        <w:t xml:space="preserve">our </w:t>
      </w:r>
      <w:r w:rsidRPr="006F038B" w:rsidR="00652020">
        <w:rPr>
          <w:color w:val="000000"/>
        </w:rPr>
        <w:t>Canadian counterpart, the Canadian Radio-television and Telecommunications Commission.</w:t>
      </w:r>
      <w:r>
        <w:rPr>
          <w:rStyle w:val="FootnoteReference"/>
        </w:rPr>
        <w:footnoteReference w:id="41"/>
      </w:r>
      <w:r w:rsidR="0076507C">
        <w:t xml:space="preserve">  </w:t>
      </w:r>
      <w:r w:rsidRPr="006F038B" w:rsidR="00132E82">
        <w:rPr>
          <w:color w:val="000000"/>
        </w:rPr>
        <w:t xml:space="preserve">The </w:t>
      </w:r>
      <w:r w:rsidR="00F663FB">
        <w:rPr>
          <w:color w:val="000000"/>
        </w:rPr>
        <w:t xml:space="preserve">Commission </w:t>
      </w:r>
      <w:r w:rsidRPr="006F038B" w:rsidR="00132E82">
        <w:rPr>
          <w:color w:val="000000"/>
        </w:rPr>
        <w:t xml:space="preserve">is also a member of </w:t>
      </w:r>
      <w:r w:rsidR="00F663FB">
        <w:rPr>
          <w:color w:val="000000"/>
        </w:rPr>
        <w:t xml:space="preserve">the </w:t>
      </w:r>
      <w:r w:rsidRPr="006F038B" w:rsidR="00F663FB">
        <w:rPr>
          <w:color w:val="000000"/>
        </w:rPr>
        <w:t>Unsolicited Communications Enforcement Network</w:t>
      </w:r>
      <w:r w:rsidRPr="006F038B" w:rsidR="00132E82">
        <w:rPr>
          <w:color w:val="000000"/>
        </w:rPr>
        <w:t>, an international organization that brings together law enforcement entities across the globe to coordinate and assist each other’s efforts to combat telecommunications fraud, spam, phishing, and the dissemination of computer viruses.</w:t>
      </w:r>
      <w:r>
        <w:rPr>
          <w:rStyle w:val="FootnoteReference"/>
        </w:rPr>
        <w:footnoteReference w:id="42"/>
      </w:r>
      <w:r w:rsidRPr="006F038B" w:rsidR="00132E82">
        <w:rPr>
          <w:color w:val="000000"/>
        </w:rPr>
        <w:t> </w:t>
      </w:r>
      <w:r w:rsidR="005505B1">
        <w:rPr>
          <w:color w:val="000000"/>
        </w:rPr>
        <w:t xml:space="preserve"> </w:t>
      </w:r>
      <w:r w:rsidRPr="006F038B" w:rsidR="005E6136">
        <w:rPr>
          <w:color w:val="000000"/>
        </w:rPr>
        <w:t>Additionally, the Commission works with its international counterparts in the course of U.S. engagement in relevant regional and multilateral fora, such as the International Telecommunication Union</w:t>
      </w:r>
      <w:r w:rsidR="00474B5C">
        <w:rPr>
          <w:color w:val="000000"/>
        </w:rPr>
        <w:t xml:space="preserve"> </w:t>
      </w:r>
      <w:r w:rsidRPr="006F038B" w:rsidR="005E6136">
        <w:rPr>
          <w:color w:val="000000"/>
        </w:rPr>
        <w:t>(ITU).</w:t>
      </w:r>
      <w:r>
        <w:rPr>
          <w:rStyle w:val="FootnoteReference"/>
        </w:rPr>
        <w:footnoteReference w:id="43"/>
      </w:r>
      <w:r w:rsidRPr="006F038B" w:rsidR="005E6136">
        <w:rPr>
          <w:color w:val="000000"/>
        </w:rPr>
        <w:t> </w:t>
      </w:r>
      <w:r w:rsidRPr="009F0952" w:rsidR="005505B1">
        <w:rPr>
          <w:color w:val="000000"/>
        </w:rPr>
        <w:t xml:space="preserve"> </w:t>
      </w:r>
      <w:r>
        <w:rPr>
          <w:color w:val="000000"/>
        </w:rPr>
        <w:t xml:space="preserve">These </w:t>
      </w:r>
      <w:r>
        <w:rPr>
          <w:color w:val="000000"/>
        </w:rPr>
        <w:t>coordinated enforcement efforts should advance our goal, shared with other nations, of halting unlawful and abusive practices that are carried out in one country and harm consumers in ot</w:t>
      </w:r>
      <w:r w:rsidRPr="001F1A42">
        <w:rPr>
          <w:color w:val="000000"/>
        </w:rPr>
        <w:t>he</w:t>
      </w:r>
      <w:r>
        <w:rPr>
          <w:color w:val="000000"/>
        </w:rPr>
        <w:t>r countries.  One of the most effective ways to prevent fraudulent</w:t>
      </w:r>
      <w:r w:rsidR="00956BF3">
        <w:rPr>
          <w:color w:val="000000"/>
        </w:rPr>
        <w:t xml:space="preserve"> activities,</w:t>
      </w:r>
      <w:r>
        <w:rPr>
          <w:color w:val="000000"/>
        </w:rPr>
        <w:t xml:space="preserve"> such as one-ring scam calls that originate in other countries</w:t>
      </w:r>
      <w:r w:rsidR="00810096">
        <w:rPr>
          <w:color w:val="000000"/>
        </w:rPr>
        <w:t>,</w:t>
      </w:r>
      <w:r>
        <w:rPr>
          <w:color w:val="000000"/>
        </w:rPr>
        <w:t xml:space="preserve"> from harming American consumers may be to eliminate them at their source.</w:t>
      </w:r>
    </w:p>
    <w:p w:rsidR="007D6C7F" w:rsidRPr="00F44633" w:rsidP="003D5E34" w14:paraId="24E42324" w14:textId="30DAE52E">
      <w:pPr>
        <w:pStyle w:val="ParaNum"/>
        <w:rPr>
          <w:color w:val="000000"/>
          <w:kern w:val="0"/>
        </w:rPr>
      </w:pPr>
      <w:r>
        <w:t xml:space="preserve">Commenters recommend that we focus on combatting one-ring scam calls that fraudulently induce consumers to place calls to premium-rate numbers under a foreign government’s national numbering plan, </w:t>
      </w:r>
      <w:r w:rsidRPr="002B12A0">
        <w:t xml:space="preserve">subject to analytics that suggest reasonable cause to treat such </w:t>
      </w:r>
      <w:r>
        <w:t xml:space="preserve">inbound </w:t>
      </w:r>
      <w:r w:rsidRPr="002B12A0">
        <w:t>calls as scam calls</w:t>
      </w:r>
      <w:r>
        <w:t>.</w:t>
      </w:r>
      <w:r>
        <w:rPr>
          <w:rStyle w:val="FootnoteReference"/>
        </w:rPr>
        <w:footnoteReference w:id="44"/>
      </w:r>
      <w:r>
        <w:t xml:space="preserve">  We agree that voice service providers could block such inbound calls if they satisfy the applicable criteria in our rules.</w:t>
      </w:r>
    </w:p>
    <w:p w:rsidR="002228B1" w:rsidP="003D5E34" w14:paraId="19506851" w14:textId="77777777">
      <w:pPr>
        <w:pStyle w:val="Heading1"/>
      </w:pPr>
      <w:bookmarkStart w:id="2" w:name="_GoBack"/>
      <w:bookmarkEnd w:id="1"/>
      <w:bookmarkEnd w:id="2"/>
      <w:r>
        <w:t>procedural matters</w:t>
      </w:r>
    </w:p>
    <w:p w:rsidR="00983816" w:rsidP="003D5E34" w14:paraId="3CBEA57F" w14:textId="77777777">
      <w:pPr>
        <w:pStyle w:val="ParaNum"/>
      </w:pPr>
      <w:r w:rsidRPr="00983816">
        <w:rPr>
          <w:i/>
        </w:rPr>
        <w:t>Paperwork Reduction Act Analysis</w:t>
      </w:r>
      <w:r>
        <w:t xml:space="preserve">.  </w:t>
      </w:r>
      <w:r w:rsidRPr="005F6BC2">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983816">
        <w:rPr>
          <w:i/>
          <w:iCs/>
        </w:rPr>
        <w:t xml:space="preserve">see </w:t>
      </w:r>
      <w:r w:rsidRPr="005F6BC2">
        <w:t>44 U.S.C. § 3506(c)(4).</w:t>
      </w:r>
    </w:p>
    <w:p w:rsidR="00983816" w:rsidRPr="00057564" w:rsidP="003D5E34" w14:paraId="78DFCA35" w14:textId="018F45F3">
      <w:pPr>
        <w:pStyle w:val="ParaNum"/>
        <w:rPr>
          <w:szCs w:val="22"/>
        </w:rPr>
      </w:pPr>
      <w:r w:rsidRPr="00994172">
        <w:rPr>
          <w:i/>
        </w:rPr>
        <w:t>Congressional Review Act</w:t>
      </w:r>
      <w:r w:rsidRPr="00271039">
        <w:rPr>
          <w:b/>
        </w:rPr>
        <w:t>.</w:t>
      </w:r>
      <w:r>
        <w:rPr>
          <w:b/>
        </w:rPr>
        <w:t xml:space="preserve">  </w:t>
      </w:r>
      <w:r>
        <w:t xml:space="preserve">The Commission has determined, and the Administrator of the Office of Information and Regulatory Affairs, Office of Management and Budget, concurs that these rules are non-major under the Congressional Review Act, 5 U.S.C. </w:t>
      </w:r>
      <w:r w:rsidRPr="004163A7">
        <w:rPr>
          <w:rFonts w:cs="Calibri"/>
        </w:rPr>
        <w:t>§</w:t>
      </w:r>
      <w:r>
        <w:t xml:space="preserve"> 804(2).</w:t>
      </w:r>
      <w:r w:rsidR="004A6FDA">
        <w:t xml:space="preserve">  </w:t>
      </w:r>
      <w:r w:rsidRPr="00197676" w:rsidR="004A6FDA">
        <w:t xml:space="preserve">The Commission will send a copy of this Report </w:t>
      </w:r>
      <w:r w:rsidR="004A6FDA">
        <w:t>and</w:t>
      </w:r>
      <w:r w:rsidRPr="00197676" w:rsidR="004A6FDA">
        <w:t xml:space="preserve"> Order to Congress and the Government Accountability Office pursuant to 5 U.S.C. </w:t>
      </w:r>
      <w:r w:rsidRPr="00EE6FD5" w:rsidR="004A6FDA">
        <w:rPr>
          <w:rFonts w:cs="Calibri"/>
        </w:rPr>
        <w:t>§</w:t>
      </w:r>
      <w:r w:rsidRPr="00197676" w:rsidR="004A6FDA">
        <w:t xml:space="preserve"> 801(a)(1)(A).</w:t>
      </w:r>
      <w:r>
        <w:t xml:space="preserve">  </w:t>
      </w:r>
    </w:p>
    <w:p w:rsidR="006F6354" w:rsidP="003D5E34" w14:paraId="3C5D41A0" w14:textId="77777777">
      <w:pPr>
        <w:pStyle w:val="ParaNum"/>
      </w:pPr>
      <w:r w:rsidRPr="00940327">
        <w:rPr>
          <w:i/>
        </w:rPr>
        <w:t>Final Regulatory Flexibility Analysis</w:t>
      </w:r>
      <w:r>
        <w:t xml:space="preserve">.  </w:t>
      </w:r>
      <w:r w:rsidRPr="005F6BC2">
        <w:t>As required by the Regulatory Flexibility Act of 1980 (RFA)</w:t>
      </w:r>
      <w:r>
        <w:rPr>
          <w:rStyle w:val="FootnoteReference"/>
          <w:sz w:val="22"/>
          <w:szCs w:val="22"/>
        </w:rPr>
        <w:footnoteReference w:id="45"/>
      </w:r>
      <w:r w:rsidRPr="005F6BC2">
        <w:t xml:space="preserve"> the Commission has prepared a Final Regulatory Flexibility Analysis (FRFA) relating to this Report and Order.  The FRFA is contained in Appendix</w:t>
      </w:r>
      <w:r w:rsidR="0042123C">
        <w:t xml:space="preserve"> C</w:t>
      </w:r>
      <w:r>
        <w:t>.</w:t>
      </w:r>
    </w:p>
    <w:p w:rsidR="00983816" w:rsidRPr="005F6BC2" w:rsidP="003D5E34" w14:paraId="60AB6007" w14:textId="77777777">
      <w:pPr>
        <w:pStyle w:val="Heading1"/>
      </w:pPr>
      <w:bookmarkStart w:id="3" w:name="_Toc14783748"/>
      <w:bookmarkStart w:id="4" w:name="_Toc14976686"/>
      <w:bookmarkStart w:id="5" w:name="_Toc15591015"/>
      <w:bookmarkStart w:id="6" w:name="_Toc44602754"/>
      <w:bookmarkStart w:id="7" w:name="_Toc44608841"/>
      <w:bookmarkStart w:id="8" w:name="_Toc46764666"/>
      <w:bookmarkStart w:id="9" w:name="_Toc47539515"/>
      <w:bookmarkStart w:id="10" w:name="_Toc47692787"/>
      <w:bookmarkStart w:id="11" w:name="_Hlk509265090"/>
      <w:r w:rsidRPr="005F6BC2">
        <w:t>Ordering clauses</w:t>
      </w:r>
      <w:bookmarkEnd w:id="3"/>
      <w:bookmarkEnd w:id="4"/>
      <w:bookmarkEnd w:id="5"/>
      <w:bookmarkEnd w:id="6"/>
      <w:bookmarkEnd w:id="7"/>
      <w:bookmarkEnd w:id="8"/>
      <w:bookmarkEnd w:id="9"/>
      <w:bookmarkEnd w:id="10"/>
    </w:p>
    <w:p w:rsidR="00983816" w:rsidP="003D5E34" w14:paraId="298FE2A2" w14:textId="77777777">
      <w:pPr>
        <w:pStyle w:val="ParaNum"/>
      </w:pPr>
      <w:r w:rsidRPr="004163A7">
        <w:t xml:space="preserve">Accordingly, </w:t>
      </w:r>
      <w:r w:rsidRPr="002E5E61">
        <w:rPr>
          <w:b/>
        </w:rPr>
        <w:t>IT IS ORDERED</w:t>
      </w:r>
      <w:r w:rsidRPr="004163A7">
        <w:t xml:space="preserve"> that, pursuant to </w:t>
      </w:r>
      <w:r w:rsidR="00CE4C86">
        <w:t>s</w:t>
      </w:r>
      <w:r w:rsidRPr="004163A7">
        <w:t>ection</w:t>
      </w:r>
      <w:r w:rsidR="00CE4C86">
        <w:t>s 4(</w:t>
      </w:r>
      <w:r w:rsidR="00CE4C86">
        <w:t>i</w:t>
      </w:r>
      <w:r w:rsidR="00CE4C86">
        <w:t>)</w:t>
      </w:r>
      <w:r w:rsidR="00BE5E9A">
        <w:t>,</w:t>
      </w:r>
      <w:r w:rsidR="00CE4C86">
        <w:t xml:space="preserve"> 4(j)</w:t>
      </w:r>
      <w:r w:rsidR="00BE5E9A">
        <w:t>, and 227</w:t>
      </w:r>
      <w:r w:rsidR="00CE4C86">
        <w:t xml:space="preserve"> of the</w:t>
      </w:r>
      <w:r w:rsidRPr="004163A7">
        <w:t xml:space="preserve"> Communications Act of 1934, as amended, 47 U.S.C. §§ 15</w:t>
      </w:r>
      <w:r w:rsidR="00CE4C86">
        <w:t>4</w:t>
      </w:r>
      <w:r w:rsidRPr="004163A7">
        <w:t>(</w:t>
      </w:r>
      <w:r w:rsidR="00CE4C86">
        <w:t>i</w:t>
      </w:r>
      <w:r w:rsidRPr="004163A7">
        <w:t xml:space="preserve">), </w:t>
      </w:r>
      <w:r w:rsidR="00CE4C86">
        <w:t xml:space="preserve">154(j), </w:t>
      </w:r>
      <w:r w:rsidR="00BE5E9A">
        <w:t xml:space="preserve">227, </w:t>
      </w:r>
      <w:r w:rsidR="00CE4C86">
        <w:t xml:space="preserve">and section 12 of the Telephone Robocall Abuse Criminal Enforcement and Deterrence Act, Pub. L. 116-105, 133 Stat. 1274, this Report and </w:t>
      </w:r>
      <w:r w:rsidRPr="004163A7">
        <w:t>Order</w:t>
      </w:r>
      <w:r>
        <w:t xml:space="preserve"> </w:t>
      </w:r>
      <w:r w:rsidRPr="002E5E61">
        <w:rPr>
          <w:b/>
        </w:rPr>
        <w:t>IS HEREBY ADOPTED</w:t>
      </w:r>
      <w:r w:rsidRPr="004163A7">
        <w:t>.</w:t>
      </w:r>
    </w:p>
    <w:p w:rsidR="00D547FC" w:rsidP="003D5E34" w14:paraId="0FF61E85" w14:textId="77777777">
      <w:pPr>
        <w:pStyle w:val="ParaNum"/>
      </w:pPr>
      <w:r>
        <w:rPr>
          <w:b/>
        </w:rPr>
        <w:t>IT IS FURTHER ORDERED</w:t>
      </w:r>
      <w:r>
        <w:rPr>
          <w:bCs/>
        </w:rPr>
        <w:t xml:space="preserve"> that the rule amendment set forth in</w:t>
      </w:r>
      <w:r>
        <w:t xml:space="preserve"> Appendi</w:t>
      </w:r>
      <w:r w:rsidR="002A6B55">
        <w:t>x B</w:t>
      </w:r>
      <w:r>
        <w:t xml:space="preserve"> </w:t>
      </w:r>
      <w:r w:rsidRPr="00AC6FEF">
        <w:rPr>
          <w:b/>
        </w:rPr>
        <w:t>SHALL BE EFFECTIVE</w:t>
      </w:r>
      <w:r>
        <w:t xml:space="preserve"> 30 days after its publication in the Federal Register.</w:t>
      </w:r>
    </w:p>
    <w:p w:rsidR="00983816" w:rsidRPr="005F6BC2" w:rsidP="0038694C" w14:paraId="6FFD9A99" w14:textId="77777777">
      <w:pPr>
        <w:pStyle w:val="ParaNum"/>
        <w:widowControl/>
      </w:pPr>
      <w:r w:rsidRPr="002E5E61">
        <w:rPr>
          <w:b/>
        </w:rPr>
        <w:t>IT IS FURTHER ORDERED</w:t>
      </w:r>
      <w:r w:rsidRPr="004163A7">
        <w:t xml:space="preserve"> that the Commission’s Consumer </w:t>
      </w:r>
      <w:r>
        <w:t>and</w:t>
      </w:r>
      <w:r w:rsidRPr="004163A7">
        <w:t xml:space="preserve"> Governmental Affairs Bureau, Reference Information Center, SHALL SEND a copy of this Report and Order, including </w:t>
      </w:r>
      <w:r w:rsidRPr="004163A7">
        <w:t xml:space="preserve">the Final Regulatory Flexibility Analysis in Appendix </w:t>
      </w:r>
      <w:r w:rsidR="0042123C">
        <w:t>C</w:t>
      </w:r>
      <w:r w:rsidRPr="004163A7">
        <w:t>,</w:t>
      </w:r>
      <w:r w:rsidRPr="005F6BC2">
        <w:t xml:space="preserve"> to </w:t>
      </w:r>
      <w:r>
        <w:t xml:space="preserve">Congress and the Government Accountability Office pursuant to 5 U.S.C. </w:t>
      </w:r>
      <w:r w:rsidRPr="004163A7">
        <w:rPr>
          <w:rFonts w:cs="Calibri"/>
        </w:rPr>
        <w:t>§</w:t>
      </w:r>
      <w:r>
        <w:t xml:space="preserve"> 801(a)(1)(A).</w:t>
      </w:r>
    </w:p>
    <w:p w:rsidR="00983816" w:rsidRPr="005F6BC2" w:rsidP="00983816" w14:paraId="6F20C7F4" w14:textId="77777777">
      <w:pPr>
        <w:pStyle w:val="ParaNum"/>
        <w:numPr>
          <w:ilvl w:val="0"/>
          <w:numId w:val="0"/>
        </w:numPr>
        <w:ind w:left="720"/>
      </w:pPr>
    </w:p>
    <w:bookmarkEnd w:id="11"/>
    <w:p w:rsidR="00983816" w:rsidRPr="005F6BC2" w:rsidP="00983816" w14:paraId="57A3DCE4" w14:textId="77777777">
      <w:pPr>
        <w:rPr>
          <w:szCs w:val="22"/>
        </w:rPr>
      </w:pPr>
      <w:r w:rsidRPr="005F6BC2">
        <w:rPr>
          <w:szCs w:val="22"/>
        </w:rPr>
        <w:tab/>
      </w:r>
      <w:r w:rsidRPr="005F6BC2">
        <w:rPr>
          <w:szCs w:val="22"/>
        </w:rPr>
        <w:tab/>
      </w:r>
      <w:r w:rsidRPr="005F6BC2">
        <w:rPr>
          <w:szCs w:val="22"/>
        </w:rPr>
        <w:tab/>
      </w:r>
      <w:r w:rsidRPr="005F6BC2">
        <w:rPr>
          <w:szCs w:val="22"/>
        </w:rPr>
        <w:tab/>
      </w:r>
      <w:r w:rsidRPr="005F6BC2">
        <w:rPr>
          <w:szCs w:val="22"/>
        </w:rPr>
        <w:tab/>
      </w:r>
      <w:r w:rsidRPr="005F6BC2">
        <w:rPr>
          <w:szCs w:val="22"/>
        </w:rPr>
        <w:tab/>
        <w:t>FEDERAL COMMUNICATIONS COMMISSION</w:t>
      </w:r>
    </w:p>
    <w:p w:rsidR="00983816" w:rsidRPr="005F6BC2" w:rsidP="00983816" w14:paraId="445DFD68" w14:textId="77777777">
      <w:pPr>
        <w:rPr>
          <w:szCs w:val="22"/>
        </w:rPr>
      </w:pPr>
    </w:p>
    <w:p w:rsidR="00983816" w:rsidRPr="005F6BC2" w:rsidP="00983816" w14:paraId="64CF4BCE" w14:textId="77777777">
      <w:pPr>
        <w:rPr>
          <w:szCs w:val="22"/>
        </w:rPr>
      </w:pPr>
    </w:p>
    <w:p w:rsidR="00983816" w:rsidRPr="005F6BC2" w:rsidP="00983816" w14:paraId="7F9C138B" w14:textId="77777777">
      <w:pPr>
        <w:rPr>
          <w:szCs w:val="22"/>
        </w:rPr>
      </w:pPr>
    </w:p>
    <w:p w:rsidR="00983816" w:rsidRPr="005F6BC2" w:rsidP="00983816" w14:paraId="21A6C96A" w14:textId="77777777">
      <w:pPr>
        <w:rPr>
          <w:szCs w:val="22"/>
        </w:rPr>
      </w:pPr>
    </w:p>
    <w:p w:rsidR="00983816" w:rsidRPr="005F6BC2" w:rsidP="00983816" w14:paraId="16899C2F" w14:textId="77777777">
      <w:pPr>
        <w:rPr>
          <w:szCs w:val="22"/>
        </w:rPr>
      </w:pPr>
      <w:r w:rsidRPr="005F6BC2">
        <w:rPr>
          <w:szCs w:val="22"/>
        </w:rPr>
        <w:tab/>
      </w:r>
      <w:r w:rsidRPr="005F6BC2">
        <w:rPr>
          <w:szCs w:val="22"/>
        </w:rPr>
        <w:tab/>
      </w:r>
      <w:r w:rsidRPr="005F6BC2">
        <w:rPr>
          <w:szCs w:val="22"/>
        </w:rPr>
        <w:tab/>
      </w:r>
      <w:r w:rsidRPr="005F6BC2">
        <w:rPr>
          <w:szCs w:val="22"/>
        </w:rPr>
        <w:tab/>
      </w:r>
      <w:r w:rsidRPr="005F6BC2">
        <w:rPr>
          <w:szCs w:val="22"/>
        </w:rPr>
        <w:tab/>
      </w:r>
      <w:r w:rsidRPr="005F6BC2">
        <w:rPr>
          <w:szCs w:val="22"/>
        </w:rPr>
        <w:tab/>
        <w:t>Marlene H. Dortch</w:t>
      </w:r>
    </w:p>
    <w:p w:rsidR="00983816" w:rsidP="00983816" w14:paraId="38398526" w14:textId="77777777">
      <w:pPr>
        <w:rPr>
          <w:szCs w:val="22"/>
        </w:rPr>
      </w:pPr>
      <w:r w:rsidRPr="005F6BC2">
        <w:rPr>
          <w:szCs w:val="22"/>
        </w:rPr>
        <w:tab/>
      </w:r>
      <w:r w:rsidRPr="005F6BC2">
        <w:rPr>
          <w:szCs w:val="22"/>
        </w:rPr>
        <w:tab/>
      </w:r>
      <w:r w:rsidRPr="005F6BC2">
        <w:rPr>
          <w:szCs w:val="22"/>
        </w:rPr>
        <w:tab/>
      </w:r>
      <w:r w:rsidRPr="005F6BC2">
        <w:rPr>
          <w:szCs w:val="22"/>
        </w:rPr>
        <w:tab/>
      </w:r>
      <w:r w:rsidRPr="005F6BC2">
        <w:rPr>
          <w:szCs w:val="22"/>
        </w:rPr>
        <w:tab/>
      </w:r>
      <w:r w:rsidRPr="005F6BC2">
        <w:rPr>
          <w:szCs w:val="22"/>
        </w:rPr>
        <w:tab/>
        <w:t>Secretary</w:t>
      </w:r>
    </w:p>
    <w:p w:rsidR="00983816" w:rsidRPr="006F6354" w:rsidP="00573263" w14:paraId="11B5E6FD" w14:textId="77777777">
      <w:pPr>
        <w:widowControl/>
      </w:pPr>
      <w:r>
        <w:br w:type="page"/>
      </w:r>
    </w:p>
    <w:p w:rsidR="00341A3D" w:rsidRPr="006B7838" w:rsidP="006B7838" w14:paraId="0A6B25C5" w14:textId="77777777">
      <w:pPr>
        <w:pStyle w:val="ParaNum"/>
        <w:numPr>
          <w:ilvl w:val="0"/>
          <w:numId w:val="0"/>
        </w:numPr>
        <w:ind w:firstLine="720"/>
        <w:jc w:val="center"/>
        <w:rPr>
          <w:b/>
          <w:bCs/>
        </w:rPr>
      </w:pPr>
      <w:r w:rsidRPr="006B7838">
        <w:rPr>
          <w:b/>
          <w:bCs/>
        </w:rPr>
        <w:t>APPENDIX</w:t>
      </w:r>
      <w:r w:rsidR="00ED12BE">
        <w:rPr>
          <w:b/>
          <w:bCs/>
        </w:rPr>
        <w:t xml:space="preserve"> A</w:t>
      </w:r>
    </w:p>
    <w:p w:rsidR="00341A3D" w:rsidP="00341A3D" w14:paraId="4B94B056" w14:textId="77777777">
      <w:pPr>
        <w:pStyle w:val="ParaNum"/>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672"/>
      </w:tblGrid>
      <w:tr w14:paraId="350876D9" w14:textId="77777777" w:rsidTr="0083649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tcPr>
          <w:p w:rsidR="00341A3D" w:rsidRPr="008B4DD5" w:rsidP="008B4DD5" w14:paraId="223DAECF" w14:textId="77777777">
            <w:pPr>
              <w:pStyle w:val="ParaNum"/>
              <w:numPr>
                <w:ilvl w:val="0"/>
                <w:numId w:val="0"/>
              </w:numPr>
              <w:rPr>
                <w:b/>
                <w:bCs/>
              </w:rPr>
            </w:pPr>
            <w:r w:rsidRPr="008B4DD5">
              <w:rPr>
                <w:b/>
                <w:bCs/>
              </w:rPr>
              <w:t>C</w:t>
            </w:r>
            <w:r w:rsidRPr="008B4DD5">
              <w:rPr>
                <w:b/>
                <w:bCs/>
              </w:rPr>
              <w:t>ommenter</w:t>
            </w:r>
            <w:r w:rsidRPr="008B4DD5" w:rsidR="00757B28">
              <w:rPr>
                <w:b/>
                <w:bCs/>
              </w:rPr>
              <w:t>—Initial Comments</w:t>
            </w:r>
          </w:p>
        </w:tc>
        <w:tc>
          <w:tcPr>
            <w:tcW w:w="4788" w:type="dxa"/>
          </w:tcPr>
          <w:p w:rsidR="00341A3D" w:rsidRPr="008B4DD5" w:rsidP="008B4DD5" w14:paraId="3367ED54" w14:textId="77777777">
            <w:pPr>
              <w:pStyle w:val="ParaNum"/>
              <w:numPr>
                <w:ilvl w:val="0"/>
                <w:numId w:val="0"/>
              </w:numPr>
              <w:rPr>
                <w:b/>
                <w:bCs/>
              </w:rPr>
            </w:pPr>
            <w:r w:rsidRPr="008B4DD5">
              <w:rPr>
                <w:b/>
                <w:bCs/>
              </w:rPr>
              <w:t>Abbreviated name</w:t>
            </w:r>
          </w:p>
        </w:tc>
      </w:tr>
      <w:tr w14:paraId="5606A04B" w14:textId="77777777" w:rsidTr="0083649A">
        <w:tblPrEx>
          <w:tblW w:w="0" w:type="auto"/>
          <w:tblLook w:val="04A0"/>
        </w:tblPrEx>
        <w:tc>
          <w:tcPr>
            <w:tcW w:w="4788" w:type="dxa"/>
          </w:tcPr>
          <w:p w:rsidR="00C57E03" w:rsidP="008B4DD5" w14:paraId="20C439AD" w14:textId="77777777">
            <w:pPr>
              <w:pStyle w:val="ParaNum"/>
              <w:numPr>
                <w:ilvl w:val="0"/>
                <w:numId w:val="0"/>
              </w:numPr>
            </w:pPr>
            <w:r>
              <w:t>AT&amp;T Services, Inc.</w:t>
            </w:r>
          </w:p>
        </w:tc>
        <w:tc>
          <w:tcPr>
            <w:tcW w:w="4788" w:type="dxa"/>
          </w:tcPr>
          <w:p w:rsidR="00C57E03" w:rsidP="008B4DD5" w14:paraId="22E56955" w14:textId="77777777">
            <w:pPr>
              <w:pStyle w:val="ParaNum"/>
              <w:numPr>
                <w:ilvl w:val="0"/>
                <w:numId w:val="0"/>
              </w:numPr>
            </w:pPr>
            <w:r>
              <w:t>AT&amp;T</w:t>
            </w:r>
          </w:p>
        </w:tc>
      </w:tr>
      <w:tr w14:paraId="6883FBFB" w14:textId="77777777" w:rsidTr="0083649A">
        <w:tblPrEx>
          <w:tblW w:w="0" w:type="auto"/>
          <w:tblLook w:val="04A0"/>
        </w:tblPrEx>
        <w:tc>
          <w:tcPr>
            <w:tcW w:w="4788" w:type="dxa"/>
          </w:tcPr>
          <w:p w:rsidR="00A4253E" w:rsidP="008B4DD5" w14:paraId="574042D9" w14:textId="77777777">
            <w:pPr>
              <w:pStyle w:val="ParaNum"/>
              <w:numPr>
                <w:ilvl w:val="0"/>
                <w:numId w:val="0"/>
              </w:numPr>
            </w:pPr>
            <w:r>
              <w:t>CTIA</w:t>
            </w:r>
          </w:p>
        </w:tc>
        <w:tc>
          <w:tcPr>
            <w:tcW w:w="4788" w:type="dxa"/>
          </w:tcPr>
          <w:p w:rsidR="00A4253E" w:rsidP="008B4DD5" w14:paraId="5751645C" w14:textId="77777777">
            <w:pPr>
              <w:pStyle w:val="ParaNum"/>
              <w:numPr>
                <w:ilvl w:val="0"/>
                <w:numId w:val="0"/>
              </w:numPr>
            </w:pPr>
            <w:r>
              <w:t>CTIA</w:t>
            </w:r>
          </w:p>
        </w:tc>
      </w:tr>
      <w:tr w14:paraId="39EE24AF" w14:textId="77777777" w:rsidTr="0083649A">
        <w:tblPrEx>
          <w:tblW w:w="0" w:type="auto"/>
          <w:tblLook w:val="04A0"/>
        </w:tblPrEx>
        <w:tc>
          <w:tcPr>
            <w:tcW w:w="4788" w:type="dxa"/>
          </w:tcPr>
          <w:p w:rsidR="000A23FB" w:rsidP="008B4DD5" w14:paraId="2A66AEDE" w14:textId="77777777">
            <w:pPr>
              <w:pStyle w:val="ParaNum"/>
              <w:numPr>
                <w:ilvl w:val="0"/>
                <w:numId w:val="0"/>
              </w:numPr>
            </w:pPr>
            <w:r>
              <w:t xml:space="preserve">Express Teleservices, Corp. d/b/a </w:t>
            </w:r>
            <w:r>
              <w:t>Lanck</w:t>
            </w:r>
            <w:r>
              <w:t xml:space="preserve"> Telecom</w:t>
            </w:r>
          </w:p>
        </w:tc>
        <w:tc>
          <w:tcPr>
            <w:tcW w:w="4788" w:type="dxa"/>
          </w:tcPr>
          <w:p w:rsidR="000A23FB" w:rsidP="008B4DD5" w14:paraId="404F3697" w14:textId="77777777">
            <w:pPr>
              <w:pStyle w:val="ParaNum"/>
              <w:numPr>
                <w:ilvl w:val="0"/>
                <w:numId w:val="0"/>
              </w:numPr>
            </w:pPr>
            <w:r>
              <w:t>Lanck</w:t>
            </w:r>
          </w:p>
        </w:tc>
      </w:tr>
      <w:tr w14:paraId="3D86E785" w14:textId="77777777" w:rsidTr="0083649A">
        <w:tblPrEx>
          <w:tblW w:w="0" w:type="auto"/>
          <w:tblLook w:val="04A0"/>
        </w:tblPrEx>
        <w:tc>
          <w:tcPr>
            <w:tcW w:w="4788" w:type="dxa"/>
          </w:tcPr>
          <w:p w:rsidR="00D639C4" w:rsidP="008B4DD5" w14:paraId="000221A6" w14:textId="77777777">
            <w:pPr>
              <w:pStyle w:val="ParaNum"/>
              <w:numPr>
                <w:ilvl w:val="0"/>
                <w:numId w:val="0"/>
              </w:numPr>
            </w:pPr>
            <w:r>
              <w:t>First Orion Corp.</w:t>
            </w:r>
          </w:p>
        </w:tc>
        <w:tc>
          <w:tcPr>
            <w:tcW w:w="4788" w:type="dxa"/>
          </w:tcPr>
          <w:p w:rsidR="00D639C4" w:rsidP="008B4DD5" w14:paraId="6CD18923" w14:textId="77777777">
            <w:pPr>
              <w:pStyle w:val="ParaNum"/>
              <w:numPr>
                <w:ilvl w:val="0"/>
                <w:numId w:val="0"/>
              </w:numPr>
            </w:pPr>
            <w:r>
              <w:t>First Orion</w:t>
            </w:r>
          </w:p>
        </w:tc>
      </w:tr>
      <w:tr w14:paraId="00BF1A02" w14:textId="77777777" w:rsidTr="0083649A">
        <w:tblPrEx>
          <w:tblW w:w="0" w:type="auto"/>
          <w:tblLook w:val="04A0"/>
        </w:tblPrEx>
        <w:tc>
          <w:tcPr>
            <w:tcW w:w="4788" w:type="dxa"/>
          </w:tcPr>
          <w:p w:rsidR="00D9652D" w:rsidP="008B4DD5" w14:paraId="7B6CBEFE" w14:textId="77777777">
            <w:pPr>
              <w:pStyle w:val="ParaNum"/>
              <w:numPr>
                <w:ilvl w:val="0"/>
                <w:numId w:val="0"/>
              </w:numPr>
            </w:pPr>
            <w:r>
              <w:t>INCOMPAS</w:t>
            </w:r>
          </w:p>
        </w:tc>
        <w:tc>
          <w:tcPr>
            <w:tcW w:w="4788" w:type="dxa"/>
          </w:tcPr>
          <w:p w:rsidR="00D9652D" w:rsidP="008B4DD5" w14:paraId="15E802C6" w14:textId="77777777">
            <w:pPr>
              <w:pStyle w:val="ParaNum"/>
              <w:numPr>
                <w:ilvl w:val="0"/>
                <w:numId w:val="0"/>
              </w:numPr>
            </w:pPr>
            <w:r>
              <w:t>INCOMPAS</w:t>
            </w:r>
          </w:p>
        </w:tc>
      </w:tr>
      <w:tr w14:paraId="10DC87B9" w14:textId="77777777" w:rsidTr="0083649A">
        <w:tblPrEx>
          <w:tblW w:w="0" w:type="auto"/>
          <w:tblLook w:val="04A0"/>
        </w:tblPrEx>
        <w:tc>
          <w:tcPr>
            <w:tcW w:w="4788" w:type="dxa"/>
          </w:tcPr>
          <w:p w:rsidR="00591174" w:rsidP="008B4DD5" w14:paraId="3E557B6B" w14:textId="77777777">
            <w:pPr>
              <w:pStyle w:val="ParaNum"/>
              <w:numPr>
                <w:ilvl w:val="0"/>
                <w:numId w:val="0"/>
              </w:numPr>
            </w:pPr>
            <w:r>
              <w:t>iconectiv</w:t>
            </w:r>
            <w:r>
              <w:t>, LLC</w:t>
            </w:r>
          </w:p>
        </w:tc>
        <w:tc>
          <w:tcPr>
            <w:tcW w:w="4788" w:type="dxa"/>
          </w:tcPr>
          <w:p w:rsidR="00591174" w:rsidP="008B4DD5" w14:paraId="706C96A7" w14:textId="77777777">
            <w:pPr>
              <w:pStyle w:val="ParaNum"/>
              <w:numPr>
                <w:ilvl w:val="0"/>
                <w:numId w:val="0"/>
              </w:numPr>
            </w:pPr>
            <w:r>
              <w:t>i</w:t>
            </w:r>
            <w:r>
              <w:t>conectiv</w:t>
            </w:r>
          </w:p>
        </w:tc>
      </w:tr>
      <w:tr w14:paraId="55B15D8D" w14:textId="77777777" w:rsidTr="0083649A">
        <w:tblPrEx>
          <w:tblW w:w="0" w:type="auto"/>
          <w:tblLook w:val="04A0"/>
        </w:tblPrEx>
        <w:tc>
          <w:tcPr>
            <w:tcW w:w="4788" w:type="dxa"/>
          </w:tcPr>
          <w:p w:rsidR="00341A3D" w:rsidP="008B4DD5" w14:paraId="774F6BD7" w14:textId="77777777">
            <w:pPr>
              <w:pStyle w:val="ParaNum"/>
              <w:numPr>
                <w:ilvl w:val="0"/>
                <w:numId w:val="0"/>
              </w:numPr>
            </w:pPr>
            <w:r>
              <w:t>T-Mobile USA, Inc.</w:t>
            </w:r>
          </w:p>
        </w:tc>
        <w:tc>
          <w:tcPr>
            <w:tcW w:w="4788" w:type="dxa"/>
          </w:tcPr>
          <w:p w:rsidR="00341A3D" w:rsidP="008B4DD5" w14:paraId="3CE91AAE" w14:textId="77777777">
            <w:pPr>
              <w:pStyle w:val="ParaNum"/>
              <w:numPr>
                <w:ilvl w:val="0"/>
                <w:numId w:val="0"/>
              </w:numPr>
            </w:pPr>
            <w:r>
              <w:t>T-Mobile</w:t>
            </w:r>
          </w:p>
        </w:tc>
      </w:tr>
      <w:tr w14:paraId="46A6FACC" w14:textId="77777777" w:rsidTr="0083649A">
        <w:tblPrEx>
          <w:tblW w:w="0" w:type="auto"/>
          <w:tblLook w:val="04A0"/>
        </w:tblPrEx>
        <w:tc>
          <w:tcPr>
            <w:tcW w:w="4788" w:type="dxa"/>
          </w:tcPr>
          <w:p w:rsidR="00385B9A" w:rsidP="008B4DD5" w14:paraId="105EC9FC" w14:textId="77777777">
            <w:pPr>
              <w:pStyle w:val="ParaNum"/>
              <w:numPr>
                <w:ilvl w:val="0"/>
                <w:numId w:val="0"/>
              </w:numPr>
            </w:pPr>
            <w:r>
              <w:t>Transaction Network Services, Inc.</w:t>
            </w:r>
          </w:p>
        </w:tc>
        <w:tc>
          <w:tcPr>
            <w:tcW w:w="4788" w:type="dxa"/>
          </w:tcPr>
          <w:p w:rsidR="00385B9A" w:rsidP="008B4DD5" w14:paraId="1F778145" w14:textId="77777777">
            <w:pPr>
              <w:pStyle w:val="ParaNum"/>
              <w:numPr>
                <w:ilvl w:val="0"/>
                <w:numId w:val="0"/>
              </w:numPr>
            </w:pPr>
            <w:r>
              <w:t>TNS</w:t>
            </w:r>
          </w:p>
        </w:tc>
      </w:tr>
      <w:tr w14:paraId="4781DD6D" w14:textId="77777777" w:rsidTr="0083649A">
        <w:tblPrEx>
          <w:tblW w:w="0" w:type="auto"/>
          <w:tblLook w:val="04A0"/>
        </w:tblPrEx>
        <w:tc>
          <w:tcPr>
            <w:tcW w:w="4788" w:type="dxa"/>
          </w:tcPr>
          <w:p w:rsidR="00341A3D" w:rsidP="008B4DD5" w14:paraId="0EF04FEF" w14:textId="77777777">
            <w:pPr>
              <w:pStyle w:val="ParaNum"/>
              <w:numPr>
                <w:ilvl w:val="0"/>
                <w:numId w:val="0"/>
              </w:numPr>
            </w:pPr>
            <w:r>
              <w:t>USTelecom</w:t>
            </w:r>
            <w:r>
              <w:t>—The Broadband Association</w:t>
            </w:r>
          </w:p>
        </w:tc>
        <w:tc>
          <w:tcPr>
            <w:tcW w:w="4788" w:type="dxa"/>
          </w:tcPr>
          <w:p w:rsidR="00341A3D" w:rsidP="008B4DD5" w14:paraId="343745E9" w14:textId="77777777">
            <w:pPr>
              <w:pStyle w:val="ParaNum"/>
              <w:numPr>
                <w:ilvl w:val="0"/>
                <w:numId w:val="0"/>
              </w:numPr>
            </w:pPr>
            <w:r>
              <w:t>USTelecom</w:t>
            </w:r>
          </w:p>
        </w:tc>
      </w:tr>
      <w:tr w14:paraId="4D4C7C84" w14:textId="77777777" w:rsidTr="0083649A">
        <w:tblPrEx>
          <w:tblW w:w="0" w:type="auto"/>
          <w:tblLook w:val="04A0"/>
        </w:tblPrEx>
        <w:tc>
          <w:tcPr>
            <w:tcW w:w="4788" w:type="dxa"/>
          </w:tcPr>
          <w:p w:rsidR="006D1FC8" w:rsidP="008B4DD5" w14:paraId="5C187A02" w14:textId="77777777">
            <w:pPr>
              <w:pStyle w:val="ParaNum"/>
              <w:numPr>
                <w:ilvl w:val="0"/>
                <w:numId w:val="0"/>
              </w:numPr>
            </w:pPr>
            <w:r>
              <w:t>ZipDX</w:t>
            </w:r>
            <w:r>
              <w:t xml:space="preserve"> LLC</w:t>
            </w:r>
          </w:p>
        </w:tc>
        <w:tc>
          <w:tcPr>
            <w:tcW w:w="4788" w:type="dxa"/>
          </w:tcPr>
          <w:p w:rsidR="006D1FC8" w:rsidP="008B4DD5" w14:paraId="320D8FA5" w14:textId="77777777">
            <w:pPr>
              <w:pStyle w:val="ParaNum"/>
              <w:numPr>
                <w:ilvl w:val="0"/>
                <w:numId w:val="0"/>
              </w:numPr>
            </w:pPr>
            <w:r>
              <w:t>ZipDX</w:t>
            </w:r>
          </w:p>
        </w:tc>
      </w:tr>
    </w:tbl>
    <w:p w:rsidR="00341A3D" w:rsidP="00341A3D" w14:paraId="0A51AA0D" w14:textId="77777777">
      <w:pPr>
        <w:pStyle w:val="ParaNum"/>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2"/>
        <w:gridCol w:w="4668"/>
      </w:tblGrid>
      <w:tr w14:paraId="76F58E80" w14:textId="77777777" w:rsidTr="0083649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tcPr>
          <w:p w:rsidR="00C12D96" w:rsidRPr="008B4DD5" w:rsidP="008B4DD5" w14:paraId="79F55CE2" w14:textId="77777777">
            <w:pPr>
              <w:pStyle w:val="ParaNum"/>
              <w:numPr>
                <w:ilvl w:val="0"/>
                <w:numId w:val="0"/>
              </w:numPr>
              <w:rPr>
                <w:b/>
                <w:bCs/>
              </w:rPr>
            </w:pPr>
            <w:r w:rsidRPr="008B4DD5">
              <w:rPr>
                <w:b/>
                <w:bCs/>
              </w:rPr>
              <w:t>Commenter—Reply Comments</w:t>
            </w:r>
          </w:p>
        </w:tc>
        <w:tc>
          <w:tcPr>
            <w:tcW w:w="4788" w:type="dxa"/>
          </w:tcPr>
          <w:p w:rsidR="00C12D96" w:rsidRPr="008B4DD5" w:rsidP="008B4DD5" w14:paraId="54F931BA" w14:textId="77777777">
            <w:pPr>
              <w:pStyle w:val="ParaNum"/>
              <w:numPr>
                <w:ilvl w:val="0"/>
                <w:numId w:val="0"/>
              </w:numPr>
              <w:rPr>
                <w:b/>
                <w:bCs/>
              </w:rPr>
            </w:pPr>
            <w:r w:rsidRPr="008B4DD5">
              <w:rPr>
                <w:b/>
                <w:bCs/>
              </w:rPr>
              <w:t>Abbreviated name</w:t>
            </w:r>
          </w:p>
        </w:tc>
      </w:tr>
      <w:tr w14:paraId="12BD794B" w14:textId="77777777" w:rsidTr="0083649A">
        <w:tblPrEx>
          <w:tblW w:w="0" w:type="auto"/>
          <w:tblLook w:val="04A0"/>
        </w:tblPrEx>
        <w:tc>
          <w:tcPr>
            <w:tcW w:w="4788" w:type="dxa"/>
          </w:tcPr>
          <w:p w:rsidR="007D0BA7" w:rsidP="008B4DD5" w14:paraId="4568ADD9" w14:textId="77777777">
            <w:pPr>
              <w:pStyle w:val="ParaNum"/>
              <w:numPr>
                <w:ilvl w:val="0"/>
                <w:numId w:val="0"/>
              </w:numPr>
            </w:pPr>
            <w:r>
              <w:t>CenturyLink, Inc.</w:t>
            </w:r>
          </w:p>
        </w:tc>
        <w:tc>
          <w:tcPr>
            <w:tcW w:w="4788" w:type="dxa"/>
          </w:tcPr>
          <w:p w:rsidR="007D0BA7" w:rsidP="008B4DD5" w14:paraId="5BE246A8" w14:textId="77777777">
            <w:pPr>
              <w:pStyle w:val="ParaNum"/>
              <w:numPr>
                <w:ilvl w:val="0"/>
                <w:numId w:val="0"/>
              </w:numPr>
            </w:pPr>
            <w:r>
              <w:t>CenturyLink</w:t>
            </w:r>
          </w:p>
        </w:tc>
      </w:tr>
      <w:tr w14:paraId="419237EB" w14:textId="77777777" w:rsidTr="0083649A">
        <w:tblPrEx>
          <w:tblW w:w="0" w:type="auto"/>
          <w:tblLook w:val="04A0"/>
        </w:tblPrEx>
        <w:tc>
          <w:tcPr>
            <w:tcW w:w="4788" w:type="dxa"/>
          </w:tcPr>
          <w:p w:rsidR="00C12D96" w:rsidP="008B4DD5" w14:paraId="09E2F90F" w14:textId="77777777">
            <w:pPr>
              <w:pStyle w:val="ParaNum"/>
              <w:numPr>
                <w:ilvl w:val="0"/>
                <w:numId w:val="0"/>
              </w:numPr>
            </w:pPr>
            <w:r>
              <w:t xml:space="preserve">Consumer Reports, Consumer Action, Consumer Federation of America, National Association of Consumer Advocates, </w:t>
            </w:r>
            <w:r w:rsidR="00BE5E9A">
              <w:t xml:space="preserve">and </w:t>
            </w:r>
            <w:r>
              <w:t>National Consumer Law Center, on behalf of its low-income clients</w:t>
            </w:r>
          </w:p>
        </w:tc>
        <w:tc>
          <w:tcPr>
            <w:tcW w:w="4788" w:type="dxa"/>
          </w:tcPr>
          <w:p w:rsidR="00C12D96" w:rsidP="008B4DD5" w14:paraId="63795A83" w14:textId="77777777">
            <w:pPr>
              <w:pStyle w:val="ParaNum"/>
              <w:numPr>
                <w:ilvl w:val="0"/>
                <w:numId w:val="0"/>
              </w:numPr>
            </w:pPr>
            <w:r>
              <w:t>Consumer Joint Comment</w:t>
            </w:r>
            <w:r w:rsidR="00AF513E">
              <w:t>ers</w:t>
            </w:r>
          </w:p>
        </w:tc>
      </w:tr>
      <w:tr w14:paraId="38EBEB23" w14:textId="77777777" w:rsidTr="0083649A">
        <w:tblPrEx>
          <w:tblW w:w="0" w:type="auto"/>
          <w:tblLook w:val="04A0"/>
        </w:tblPrEx>
        <w:tc>
          <w:tcPr>
            <w:tcW w:w="4788" w:type="dxa"/>
          </w:tcPr>
          <w:p w:rsidR="00C12D96" w:rsidP="008B4DD5" w14:paraId="21781488" w14:textId="77777777">
            <w:pPr>
              <w:pStyle w:val="ParaNum"/>
              <w:numPr>
                <w:ilvl w:val="0"/>
                <w:numId w:val="0"/>
              </w:numPr>
            </w:pPr>
            <w:r>
              <w:t>Verizon Communications, Inc.</w:t>
            </w:r>
          </w:p>
        </w:tc>
        <w:tc>
          <w:tcPr>
            <w:tcW w:w="4788" w:type="dxa"/>
          </w:tcPr>
          <w:p w:rsidR="00C12D96" w:rsidP="008B4DD5" w14:paraId="16B856F0" w14:textId="77777777">
            <w:pPr>
              <w:pStyle w:val="ParaNum"/>
              <w:numPr>
                <w:ilvl w:val="0"/>
                <w:numId w:val="0"/>
              </w:numPr>
            </w:pPr>
            <w:r>
              <w:t>Verizon</w:t>
            </w:r>
          </w:p>
        </w:tc>
      </w:tr>
    </w:tbl>
    <w:p w:rsidR="00C12D96" w:rsidP="00341A3D" w14:paraId="4DA86F29" w14:textId="77777777">
      <w:pPr>
        <w:pStyle w:val="ParaNum"/>
        <w:numPr>
          <w:ilvl w:val="0"/>
          <w:numId w:val="0"/>
        </w:numPr>
        <w:ind w:firstLine="720"/>
      </w:pPr>
    </w:p>
    <w:p w:rsidR="00ED12BE" w:rsidP="005933F2" w14:paraId="51BD62BE" w14:textId="77777777">
      <w:pPr>
        <w:pStyle w:val="ParaNum"/>
        <w:numPr>
          <w:ilvl w:val="0"/>
          <w:numId w:val="0"/>
        </w:numPr>
        <w:ind w:firstLine="720"/>
        <w:jc w:val="center"/>
        <w:rPr>
          <w:b/>
          <w:bCs/>
        </w:rPr>
      </w:pPr>
      <w:r>
        <w:br w:type="page"/>
      </w:r>
      <w:r w:rsidRPr="003A5F10">
        <w:rPr>
          <w:b/>
          <w:bCs/>
        </w:rPr>
        <w:t>APPENDIX B</w:t>
      </w:r>
    </w:p>
    <w:p w:rsidR="003A5F10" w:rsidRPr="003A5F10" w:rsidP="005933F2" w14:paraId="6981ED9C" w14:textId="748FE885">
      <w:pPr>
        <w:pStyle w:val="ParaNum"/>
        <w:numPr>
          <w:ilvl w:val="0"/>
          <w:numId w:val="0"/>
        </w:numPr>
        <w:ind w:firstLine="720"/>
        <w:jc w:val="center"/>
        <w:rPr>
          <w:b/>
          <w:bCs/>
        </w:rPr>
      </w:pPr>
      <w:r>
        <w:rPr>
          <w:b/>
          <w:bCs/>
        </w:rPr>
        <w:t>Final Rules</w:t>
      </w:r>
    </w:p>
    <w:p w:rsidR="003A5F10" w:rsidP="003A5F10" w14:paraId="38856AAA" w14:textId="77777777">
      <w:pPr>
        <w:rPr>
          <w:b/>
          <w:bCs/>
        </w:rPr>
      </w:pPr>
      <w:r w:rsidRPr="00E34A63">
        <w:rPr>
          <w:b/>
          <w:bCs/>
        </w:rPr>
        <w:t>PART 64 – MISCELLANEOUS RULES RELATING TO COMMON CARRIERS</w:t>
      </w:r>
    </w:p>
    <w:p w:rsidR="003A5F10" w:rsidP="003A5F10" w14:paraId="7159D24C" w14:textId="77777777">
      <w:pPr>
        <w:rPr>
          <w:b/>
          <w:bCs/>
        </w:rPr>
      </w:pPr>
    </w:p>
    <w:p w:rsidR="003A5F10" w:rsidP="003A5F10" w14:paraId="1DE5A5F2" w14:textId="77777777">
      <w:r>
        <w:t xml:space="preserve">1.  </w:t>
      </w:r>
      <w:r w:rsidRPr="00814FF5">
        <w:t>The authority citation for part 64 continues to read as follows:</w:t>
      </w:r>
    </w:p>
    <w:p w:rsidR="003A5F10" w:rsidP="003A5F10" w14:paraId="0E1C03F7" w14:textId="77777777">
      <w:pPr>
        <w:rPr>
          <w:b/>
          <w:bCs/>
        </w:rPr>
      </w:pPr>
    </w:p>
    <w:p w:rsidR="003A5F10" w:rsidP="003A5F10" w14:paraId="63D0E668" w14:textId="77777777">
      <w:pPr>
        <w:rPr>
          <w:szCs w:val="22"/>
        </w:rPr>
      </w:pPr>
      <w:r w:rsidRPr="00814FF5">
        <w:rPr>
          <w:b/>
          <w:bCs/>
        </w:rPr>
        <w:t>Authority</w:t>
      </w:r>
      <w:r w:rsidRPr="00814FF5">
        <w:t xml:space="preserve">: </w:t>
      </w:r>
      <w:r w:rsidRPr="00452C78">
        <w:rPr>
          <w:szCs w:val="22"/>
        </w:rPr>
        <w:t>47 U.S.C. 154, 201, 202, 217, 218, 220, 222, 225, 226, 227, 228, 251(a), 251(e),</w:t>
      </w:r>
      <w:r>
        <w:rPr>
          <w:szCs w:val="22"/>
        </w:rPr>
        <w:t xml:space="preserve"> </w:t>
      </w:r>
      <w:r w:rsidRPr="00452C78">
        <w:rPr>
          <w:szCs w:val="22"/>
        </w:rPr>
        <w:t xml:space="preserve">254(k), 262, </w:t>
      </w:r>
    </w:p>
    <w:p w:rsidR="003A5F10" w:rsidP="003A5F10" w14:paraId="60240F27" w14:textId="77777777">
      <w:pPr>
        <w:rPr>
          <w:szCs w:val="22"/>
        </w:rPr>
      </w:pPr>
    </w:p>
    <w:p w:rsidR="003A5F10" w:rsidRPr="00147529" w:rsidP="003A5F10" w14:paraId="6266302B" w14:textId="77777777">
      <w:r w:rsidRPr="00452C78">
        <w:rPr>
          <w:szCs w:val="22"/>
        </w:rPr>
        <w:t>403(b)(2)(B), (c), 616, 620, and 1401-1473, unless otherwise noted.</w:t>
      </w:r>
    </w:p>
    <w:p w:rsidR="003A5F10" w:rsidRPr="00E34A63" w:rsidP="003A5F10" w14:paraId="0552DC22" w14:textId="77777777">
      <w:pPr>
        <w:rPr>
          <w:b/>
          <w:bCs/>
        </w:rPr>
      </w:pPr>
    </w:p>
    <w:p w:rsidR="003A5F10" w:rsidP="003A5F10" w14:paraId="56D3B727" w14:textId="77777777">
      <w:r w:rsidRPr="00050296">
        <w:t>§</w:t>
      </w:r>
      <w:r>
        <w:t xml:space="preserve"> 64.1200 [Amended]</w:t>
      </w:r>
    </w:p>
    <w:p w:rsidR="003A5F10" w:rsidP="003A5F10" w14:paraId="132632DB" w14:textId="77777777"/>
    <w:p w:rsidR="003A5F10" w:rsidRPr="0040488C" w:rsidP="00A65604" w14:paraId="3B79AD50" w14:textId="77777777">
      <w:pPr>
        <w:pStyle w:val="ColorfulList-Accent11"/>
        <w:ind w:left="0"/>
        <w:rPr>
          <w:rFonts w:ascii="Times New Roman" w:hAnsi="Times New Roman"/>
        </w:rPr>
      </w:pPr>
      <w:r w:rsidRPr="006065D2">
        <w:rPr>
          <w:rFonts w:ascii="Times New Roman" w:hAnsi="Times New Roman"/>
        </w:rPr>
        <w:t>2.</w:t>
      </w:r>
      <w:r>
        <w:t xml:space="preserve">  </w:t>
      </w:r>
      <w:r w:rsidRPr="00E34A63">
        <w:rPr>
          <w:rFonts w:ascii="Times New Roman" w:hAnsi="Times New Roman"/>
        </w:rPr>
        <w:t xml:space="preserve">Amend § 64.1200 by </w:t>
      </w:r>
      <w:r w:rsidR="00CA778C">
        <w:rPr>
          <w:rFonts w:ascii="Times New Roman" w:hAnsi="Times New Roman"/>
        </w:rPr>
        <w:t>inserting new paragraph</w:t>
      </w:r>
      <w:r w:rsidR="009D53FA">
        <w:rPr>
          <w:rFonts w:ascii="Times New Roman" w:hAnsi="Times New Roman"/>
        </w:rPr>
        <w:t>s</w:t>
      </w:r>
      <w:r w:rsidR="00CA778C">
        <w:rPr>
          <w:rFonts w:ascii="Times New Roman" w:hAnsi="Times New Roman"/>
        </w:rPr>
        <w:t xml:space="preserve"> (f)(8) and (k)(2)(iv), as shown below, and by </w:t>
      </w:r>
      <w:r w:rsidR="00A65604">
        <w:rPr>
          <w:rFonts w:ascii="Times New Roman" w:hAnsi="Times New Roman"/>
        </w:rPr>
        <w:t>redesignating</w:t>
      </w:r>
      <w:r w:rsidR="00CA778C">
        <w:rPr>
          <w:rFonts w:ascii="Times New Roman" w:hAnsi="Times New Roman"/>
        </w:rPr>
        <w:t xml:space="preserve"> paragraphs (f)(8) through (f)(17) as (f)(9) through (f)(1</w:t>
      </w:r>
      <w:r w:rsidR="00A65604">
        <w:rPr>
          <w:rFonts w:ascii="Times New Roman" w:hAnsi="Times New Roman"/>
        </w:rPr>
        <w:t>8</w:t>
      </w:r>
      <w:r w:rsidR="00CA778C">
        <w:rPr>
          <w:rFonts w:ascii="Times New Roman" w:hAnsi="Times New Roman"/>
        </w:rPr>
        <w:t xml:space="preserve">), respectively: </w:t>
      </w:r>
      <w:r>
        <w:rPr>
          <w:rFonts w:ascii="Times New Roman" w:hAnsi="Times New Roman"/>
        </w:rPr>
        <w:t xml:space="preserve">  </w:t>
      </w:r>
    </w:p>
    <w:p w:rsidR="003A5F10" w:rsidRPr="00147529" w:rsidP="003A5F10" w14:paraId="45FAA0EA" w14:textId="77777777">
      <w:pPr>
        <w:rPr>
          <w:b/>
          <w:bCs/>
        </w:rPr>
      </w:pPr>
      <w:r w:rsidRPr="00147529">
        <w:rPr>
          <w:b/>
          <w:bCs/>
        </w:rPr>
        <w:t>§ 64.1200 Delivery Restrictions</w:t>
      </w:r>
    </w:p>
    <w:p w:rsidR="003A5F10" w:rsidP="003A5F10" w14:paraId="3AFC1C75" w14:textId="77777777"/>
    <w:p w:rsidR="003A5F10" w:rsidP="003A5F10" w14:paraId="74DC7A1C" w14:textId="77777777">
      <w:r>
        <w:t>* * * * *</w:t>
      </w:r>
    </w:p>
    <w:p w:rsidR="002B67BE" w:rsidP="003A5F10" w14:paraId="49457A8F" w14:textId="77777777"/>
    <w:p w:rsidR="002B67BE" w:rsidP="003A5F10" w14:paraId="097B997E" w14:textId="727DF6D4">
      <w:r>
        <w:t>(f) * * *</w:t>
      </w:r>
      <w:r w:rsidR="00F7413A">
        <w:t xml:space="preserve"> * *</w:t>
      </w:r>
    </w:p>
    <w:p w:rsidR="002B67BE" w:rsidP="003A5F10" w14:paraId="65BC2C92" w14:textId="77777777"/>
    <w:p w:rsidR="002B67BE" w:rsidP="003A5F10" w14:paraId="7F06C6E9" w14:textId="77777777">
      <w:r>
        <w:t xml:space="preserve">(8)  </w:t>
      </w:r>
      <w:r w:rsidR="009E597D">
        <w:t xml:space="preserve">The term </w:t>
      </w:r>
      <w:r w:rsidRPr="00082A6C">
        <w:rPr>
          <w:u w:val="single"/>
        </w:rPr>
        <w:t>one-ring scam</w:t>
      </w:r>
      <w:r>
        <w:t xml:space="preserve"> </w:t>
      </w:r>
      <w:r w:rsidR="009E597D">
        <w:t>means</w:t>
      </w:r>
      <w:r>
        <w:t xml:space="preserve"> a scam in which a caller makes a call and allows the call to ring the called party for a short duration, in order to prompt the called party to return the call, thereby subjecting the called party to charges.</w:t>
      </w:r>
    </w:p>
    <w:p w:rsidR="002B67BE" w:rsidP="003A5F10" w14:paraId="4209CBBC" w14:textId="77777777"/>
    <w:p w:rsidR="002B67BE" w:rsidP="002B67BE" w14:paraId="0CD9C524" w14:textId="77777777">
      <w:r>
        <w:t>* * * * *</w:t>
      </w:r>
    </w:p>
    <w:p w:rsidR="002B67BE" w:rsidP="003A5F10" w14:paraId="196CA164" w14:textId="77777777"/>
    <w:p w:rsidR="003A5F10" w:rsidP="003A5F10" w14:paraId="77782C5A" w14:textId="77777777">
      <w:r w:rsidRPr="0038603E">
        <w:t>(k)</w:t>
      </w:r>
      <w:r>
        <w:t xml:space="preserve">  * * * </w:t>
      </w:r>
    </w:p>
    <w:p w:rsidR="003A5F10" w:rsidP="003A5F10" w14:paraId="584A6D48" w14:textId="77777777"/>
    <w:p w:rsidR="003A5F10" w:rsidP="003A5F10" w14:paraId="3A4F5546" w14:textId="77777777">
      <w:r w:rsidRPr="00C14229">
        <w:t>(2)</w:t>
      </w:r>
      <w:r>
        <w:t xml:space="preserve"> </w:t>
      </w:r>
      <w:r w:rsidR="00A65604">
        <w:t xml:space="preserve"> </w:t>
      </w:r>
      <w:r>
        <w:t xml:space="preserve">* * * </w:t>
      </w:r>
    </w:p>
    <w:p w:rsidR="003A5F10" w:rsidP="003A5F10" w14:paraId="10872A69" w14:textId="77777777"/>
    <w:p w:rsidR="00BE5E9A" w:rsidRPr="003548D1" w:rsidP="00BE5E9A" w14:paraId="2C72B8AA" w14:textId="77777777">
      <w:r>
        <w:t>* * * * *</w:t>
      </w:r>
    </w:p>
    <w:p w:rsidR="003A5F10" w:rsidP="003A5F10" w14:paraId="48232647" w14:textId="77777777"/>
    <w:p w:rsidR="003A5F10" w:rsidP="00BE5E9A" w14:paraId="07804771" w14:textId="77777777">
      <w:r w:rsidRPr="00C14229">
        <w:t>(iv)</w:t>
      </w:r>
      <w:r w:rsidRPr="006F6660">
        <w:t xml:space="preserve"> </w:t>
      </w:r>
      <w:r w:rsidRPr="009E597D" w:rsidR="009E597D">
        <w:t xml:space="preserve">A telephone number that the provider identifies, based on reasonable analytics, as highly likely to be associated with </w:t>
      </w:r>
      <w:r w:rsidR="009D7F7E">
        <w:t>a</w:t>
      </w:r>
      <w:r w:rsidRPr="009E597D" w:rsidR="009D7F7E">
        <w:t xml:space="preserve"> </w:t>
      </w:r>
      <w:r w:rsidRPr="009E597D" w:rsidR="009E597D">
        <w:t>one-ring scam</w:t>
      </w:r>
      <w:r w:rsidR="009E597D">
        <w:t>.</w:t>
      </w:r>
      <w:r>
        <w:t xml:space="preserve"> </w:t>
      </w:r>
    </w:p>
    <w:p w:rsidR="003A5F10" w:rsidP="00082A6C" w14:paraId="5F415EC4" w14:textId="77777777"/>
    <w:p w:rsidR="002A2133" w:rsidP="003A5F10" w14:paraId="69DD5F31" w14:textId="77777777">
      <w:r>
        <w:t>* * * *</w:t>
      </w:r>
    </w:p>
    <w:p w:rsidR="002B67BE" w:rsidP="003A5F10" w14:paraId="6C99BA68" w14:textId="77777777"/>
    <w:p w:rsidR="002B67BE" w:rsidP="003A5F10" w14:paraId="60911F4A" w14:textId="77777777">
      <w:r>
        <w:br w:type="page"/>
      </w:r>
    </w:p>
    <w:p w:rsidR="002B67BE" w:rsidP="003A5F10" w14:paraId="3A6A4F4C" w14:textId="77777777">
      <w:pPr>
        <w:sectPr w:rsidSect="002D610F">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code="1"/>
          <w:pgMar w:top="1440" w:right="1440" w:bottom="720" w:left="1440" w:header="720" w:footer="720" w:gutter="0"/>
          <w:pgNumType w:start="1"/>
          <w:cols w:space="720"/>
          <w:noEndnote/>
          <w:titlePg/>
        </w:sectPr>
      </w:pPr>
    </w:p>
    <w:p w:rsidR="003A5F10" w:rsidRPr="00BB696B" w:rsidP="003A5F10" w14:paraId="1B70E24A" w14:textId="77777777">
      <w:pPr>
        <w:jc w:val="center"/>
        <w:rPr>
          <w:b/>
          <w:bCs/>
        </w:rPr>
      </w:pPr>
      <w:r w:rsidRPr="00BB696B">
        <w:rPr>
          <w:b/>
          <w:bCs/>
        </w:rPr>
        <w:t xml:space="preserve">APPENDIX </w:t>
      </w:r>
      <w:r w:rsidR="00DB6DF5">
        <w:rPr>
          <w:b/>
          <w:bCs/>
        </w:rPr>
        <w:t>C</w:t>
      </w:r>
    </w:p>
    <w:p w:rsidR="003A5F10" w:rsidP="003A5F10" w14:paraId="54A5F5E4" w14:textId="77777777">
      <w:pPr>
        <w:jc w:val="center"/>
      </w:pPr>
    </w:p>
    <w:p w:rsidR="003A5F10" w:rsidRPr="002A2133" w:rsidP="003A5F10" w14:paraId="7DD710D4" w14:textId="77777777">
      <w:pPr>
        <w:jc w:val="center"/>
        <w:rPr>
          <w:b/>
          <w:bCs/>
        </w:rPr>
      </w:pPr>
      <w:r w:rsidRPr="002A2133">
        <w:rPr>
          <w:b/>
          <w:bCs/>
        </w:rPr>
        <w:t>Final</w:t>
      </w:r>
      <w:r w:rsidRPr="002A2133">
        <w:rPr>
          <w:b/>
          <w:bCs/>
        </w:rPr>
        <w:t xml:space="preserve"> Regulatory Flexibility Analysis</w:t>
      </w:r>
    </w:p>
    <w:p w:rsidR="003A5F10" w:rsidRPr="001376F0" w:rsidP="003A5F10" w14:paraId="3EAD8F86" w14:textId="77777777">
      <w:pPr>
        <w:tabs>
          <w:tab w:val="left" w:pos="0"/>
          <w:tab w:val="left" w:pos="720"/>
          <w:tab w:val="left" w:pos="1440"/>
          <w:tab w:val="left" w:pos="2160"/>
          <w:tab w:val="left" w:leader="dot" w:pos="2880"/>
          <w:tab w:val="left" w:leader="dot" w:pos="7920"/>
        </w:tabs>
        <w:spacing w:line="223" w:lineRule="auto"/>
        <w:jc w:val="center"/>
        <w:rPr>
          <w:b/>
          <w:spacing w:val="-2"/>
        </w:rPr>
      </w:pPr>
    </w:p>
    <w:p w:rsidR="003A5F10" w:rsidRPr="00616834" w:rsidP="00FC5770" w14:paraId="2367E0EC" w14:textId="77777777">
      <w:pPr>
        <w:pStyle w:val="ParaNum"/>
        <w:numPr>
          <w:ilvl w:val="0"/>
          <w:numId w:val="5"/>
        </w:numPr>
      </w:pPr>
      <w:r w:rsidRPr="00972D24">
        <w:t>As</w:t>
      </w:r>
      <w:r w:rsidRPr="001376F0">
        <w:t xml:space="preserve"> required by the Regulatory Flexibility Act of 1980, as amended, (RFA</w:t>
      </w:r>
      <w:r w:rsidR="00B14434">
        <w:t>),</w:t>
      </w:r>
      <w:r>
        <w:rPr>
          <w:vertAlign w:val="superscript"/>
        </w:rPr>
        <w:footnoteReference w:id="46"/>
      </w:r>
      <w:r w:rsidRPr="001376F0">
        <w:t xml:space="preserve"> </w:t>
      </w:r>
      <w:r w:rsidR="002D610F">
        <w:t>an Initial Regulatory Flexibility Analysis (IRFA) was incorporated in the Notice of Proposed Rulemaking in this docket</w:t>
      </w:r>
      <w:r w:rsidR="008768C5">
        <w:t>.</w:t>
      </w:r>
      <w:r>
        <w:rPr>
          <w:rStyle w:val="FootnoteReference"/>
        </w:rPr>
        <w:footnoteReference w:id="47"/>
      </w:r>
      <w:r w:rsidR="00B14434">
        <w:t xml:space="preserve">  </w:t>
      </w:r>
      <w:r w:rsidR="00B0177C">
        <w:t>The Commission sought written public comment on the proposals in the Notice, including comment on the IRFA.  This present Final Regulatory Flexibility Analysis (FRFA) conforms to the</w:t>
      </w:r>
      <w:r w:rsidR="00B95C38">
        <w:t xml:space="preserve"> </w:t>
      </w:r>
      <w:r w:rsidR="00B0177C">
        <w:t>RFA</w:t>
      </w:r>
      <w:r w:rsidR="00B95C38">
        <w:t>.</w:t>
      </w:r>
      <w:r>
        <w:rPr>
          <w:rStyle w:val="FootnoteReference"/>
        </w:rPr>
        <w:footnoteReference w:id="48"/>
      </w:r>
      <w:r w:rsidR="00B95C38">
        <w:t xml:space="preserve">  </w:t>
      </w:r>
    </w:p>
    <w:p w:rsidR="003A5F10" w:rsidRPr="00616834" w:rsidP="00FC5770" w14:paraId="632C7E05" w14:textId="77777777">
      <w:pPr>
        <w:pStyle w:val="Heading2"/>
        <w:numPr>
          <w:ilvl w:val="1"/>
          <w:numId w:val="4"/>
        </w:numPr>
      </w:pPr>
      <w:bookmarkStart w:id="12" w:name="_Toc10643951"/>
      <w:bookmarkStart w:id="13" w:name="_Toc10725992"/>
      <w:r w:rsidRPr="00616834">
        <w:t>Need for, and Objectives of, the Rules</w:t>
      </w:r>
      <w:bookmarkEnd w:id="12"/>
      <w:bookmarkEnd w:id="13"/>
    </w:p>
    <w:p w:rsidR="003A5F10" w:rsidP="003A5F10" w14:paraId="3CEB802D" w14:textId="1924B813">
      <w:pPr>
        <w:pStyle w:val="ParaNum"/>
      </w:pPr>
      <w:r>
        <w:t>This Report and Order, we adopt the proposal in our Notice of Proposed Rulemaking to include numbers that are likely to be associated with the one</w:t>
      </w:r>
      <w:r w:rsidR="00F7413A">
        <w:t>-</w:t>
      </w:r>
      <w:r>
        <w:t>ring scam as a category of numbers that voice service providers can block.</w:t>
      </w:r>
      <w:r w:rsidR="009E207B">
        <w:t xml:space="preserve">  This will </w:t>
      </w:r>
      <w:r>
        <w:t>implement section</w:t>
      </w:r>
      <w:r w:rsidR="00BE1AED">
        <w:t xml:space="preserve"> </w:t>
      </w:r>
      <w:r>
        <w:t xml:space="preserve">12 of the TRACED Act, to prevent consumers from a type of scam called </w:t>
      </w:r>
      <w:r w:rsidR="009D7F7E">
        <w:t xml:space="preserve">a </w:t>
      </w:r>
      <w:r>
        <w:t>one-ring scam.</w:t>
      </w:r>
      <w:r>
        <w:rPr>
          <w:rStyle w:val="FootnoteReference"/>
        </w:rPr>
        <w:footnoteReference w:id="49"/>
      </w:r>
      <w:r>
        <w:t xml:space="preserve"> </w:t>
      </w:r>
      <w:r w:rsidRPr="00030377">
        <w:t xml:space="preserve"> </w:t>
      </w:r>
      <w:r>
        <w:t>The TRACED Act defines “one-ring scam” as “a scam in which a caller makes a call and allows the call to ring the called party for a short duration, in order to prompt the called party to return the call, thereby subjecting the called party to charges.”</w:t>
      </w:r>
      <w:r>
        <w:rPr>
          <w:rStyle w:val="FootnoteReference"/>
        </w:rPr>
        <w:footnoteReference w:id="50"/>
      </w:r>
      <w:r>
        <w:t xml:space="preserve">  </w:t>
      </w:r>
    </w:p>
    <w:p w:rsidR="003A5F10" w:rsidRPr="00030377" w:rsidP="009E207B" w14:paraId="31A10994" w14:textId="77777777">
      <w:pPr>
        <w:pStyle w:val="ParaNum"/>
      </w:pPr>
      <w:r>
        <w:t>Section 12 of the TRACED Act requires the Commission to initiate a proceeding to protect called parties from one-ring scams.</w:t>
      </w:r>
      <w:r>
        <w:rPr>
          <w:rStyle w:val="FootnoteReference"/>
        </w:rPr>
        <w:footnoteReference w:id="51"/>
      </w:r>
      <w:r>
        <w:t xml:space="preserve">  The Act states that the Commission shall consider how it can: work with federal and state law enforcement agencies;</w:t>
      </w:r>
      <w:r>
        <w:rPr>
          <w:rStyle w:val="FootnoteReference"/>
        </w:rPr>
        <w:footnoteReference w:id="52"/>
      </w:r>
      <w:r>
        <w:t xml:space="preserve"> work with the governments of foreign countries to address one-ring scams;</w:t>
      </w:r>
      <w:r>
        <w:rPr>
          <w:rStyle w:val="FootnoteReference"/>
        </w:rPr>
        <w:footnoteReference w:id="53"/>
      </w:r>
      <w:r>
        <w:t xml:space="preserve"> in consultation with the Federal Trade Commission (FTC), better educate consumers about how to avoid one-ring scams;</w:t>
      </w:r>
      <w:r>
        <w:rPr>
          <w:rStyle w:val="FootnoteReference"/>
        </w:rPr>
        <w:footnoteReference w:id="54"/>
      </w:r>
      <w:r>
        <w:t xml:space="preserve"> encourage voice service providers to stop calls made to perpetrate one-ring scams from being received by called parties, including consideration of adding identified one-ring scam-type numbers to the Commission’s existing list of permissible categories for carrier-initiated blocking;</w:t>
      </w:r>
      <w:r>
        <w:rPr>
          <w:rStyle w:val="FootnoteReference"/>
        </w:rPr>
        <w:footnoteReference w:id="55"/>
      </w:r>
      <w:r>
        <w:t xml:space="preserve"> work with entities that provide call-blocking services to address one-ring scams;</w:t>
      </w:r>
      <w:r>
        <w:rPr>
          <w:rStyle w:val="FootnoteReference"/>
        </w:rPr>
        <w:footnoteReference w:id="56"/>
      </w:r>
      <w:r>
        <w:t xml:space="preserve"> and establish obligations on international gateway providers that are the first point of entry for these calls into the United States, including potential requirements that such providers verify with the foreign originator the nature or purpose of calls before initiating service.</w:t>
      </w:r>
      <w:r>
        <w:rPr>
          <w:rStyle w:val="FootnoteReference"/>
        </w:rPr>
        <w:footnoteReference w:id="57"/>
      </w:r>
      <w:r>
        <w:t xml:space="preserve">  </w:t>
      </w:r>
    </w:p>
    <w:p w:rsidR="003A5F10" w:rsidRPr="003E2A3F" w:rsidP="003A5F10" w14:paraId="09F93455" w14:textId="77777777">
      <w:pPr>
        <w:pStyle w:val="Heading2"/>
      </w:pPr>
      <w:bookmarkStart w:id="14" w:name="_Toc10643952"/>
      <w:bookmarkStart w:id="15" w:name="_Toc10725993"/>
      <w:r>
        <w:t>Summary of Significant Issues Raised by Public Comments in Response to the IRFA</w:t>
      </w:r>
      <w:bookmarkEnd w:id="14"/>
      <w:bookmarkEnd w:id="15"/>
    </w:p>
    <w:p w:rsidR="003A5F10" w:rsidRPr="001376F0" w:rsidP="003A5F10" w14:paraId="385951E2" w14:textId="77777777">
      <w:pPr>
        <w:pStyle w:val="ParaNum"/>
      </w:pPr>
      <w:r>
        <w:t xml:space="preserve">There were no comments filed that specifically addressed the rules and policies proposed </w:t>
      </w:r>
      <w:r>
        <w:t>in the IRFA.</w:t>
      </w:r>
    </w:p>
    <w:p w:rsidR="009E3F07" w:rsidP="003A5F10" w14:paraId="55A71CFF" w14:textId="77777777">
      <w:pPr>
        <w:pStyle w:val="Heading2"/>
      </w:pPr>
      <w:bookmarkStart w:id="16" w:name="_Toc10643953"/>
      <w:bookmarkStart w:id="17" w:name="_Toc10725994"/>
      <w:r>
        <w:t xml:space="preserve">Response to </w:t>
      </w:r>
      <w:r w:rsidR="004D02D7">
        <w:t>C</w:t>
      </w:r>
      <w:r>
        <w:t>omments by the Chief Counsel for Advocacy of the Small Business Administration</w:t>
      </w:r>
    </w:p>
    <w:p w:rsidR="004D02D7" w:rsidP="004D02D7" w14:paraId="071050EF" w14:textId="77777777">
      <w:pPr>
        <w:pStyle w:val="ParaNum"/>
      </w:pPr>
      <w:r>
        <w:t>Pursuant to th</w:t>
      </w:r>
      <w:r w:rsidR="00885A77">
        <w:t>e</w:t>
      </w:r>
      <w:r>
        <w:t xml:space="preserv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58"/>
      </w:r>
    </w:p>
    <w:p w:rsidR="009E3F07" w:rsidRPr="009E3F07" w:rsidP="004D02D7" w14:paraId="17FDA2B0" w14:textId="77777777">
      <w:pPr>
        <w:pStyle w:val="ParaNum"/>
      </w:pPr>
      <w:r>
        <w:t>The Chief Counsel did not file any comments in response to the proposed rules m this proceeding.</w:t>
      </w:r>
    </w:p>
    <w:p w:rsidR="003A5F10" w:rsidRPr="003E2A3F" w:rsidP="003A5F10" w14:paraId="785706D0" w14:textId="77777777">
      <w:pPr>
        <w:pStyle w:val="Heading2"/>
      </w:pPr>
      <w:r w:rsidRPr="00C76C27">
        <w:t>Description and Estimate of the Number of Small Entities to Which the Proposed Rules Will Apply</w:t>
      </w:r>
      <w:bookmarkEnd w:id="16"/>
      <w:bookmarkEnd w:id="17"/>
    </w:p>
    <w:p w:rsidR="003A5F10" w:rsidRPr="001376F0" w:rsidP="003A5F10" w14:paraId="3DAD4157" w14:textId="77777777">
      <w:pPr>
        <w:pStyle w:val="ParaNum"/>
      </w:pPr>
      <w:r w:rsidRPr="001376F0">
        <w:t>The RFA directs agencies to provide a description of, and where feasible, an estimate of the number of small entities that may be affected by the rules adopted herein.</w:t>
      </w:r>
      <w:r>
        <w:rPr>
          <w:vertAlign w:val="superscript"/>
        </w:rPr>
        <w:footnoteReference w:id="59"/>
      </w:r>
      <w:r w:rsidRPr="001376F0">
        <w:t xml:space="preserve">  The RFA generally defines the term “small entity” as having the same meaning as the terms “small business,” “small organization,” and “small governmental jurisdiction.”</w:t>
      </w:r>
      <w:r>
        <w:rPr>
          <w:vertAlign w:val="superscript"/>
        </w:rPr>
        <w:footnoteReference w:id="60"/>
      </w:r>
      <w:r w:rsidRPr="001376F0">
        <w:t xml:space="preserve">  In addition, the term “small business” has the same meaning as the term “small-business concern” under the Small Business Act.</w:t>
      </w:r>
      <w:r>
        <w:rPr>
          <w:vertAlign w:val="superscript"/>
        </w:rPr>
        <w:footnoteReference w:id="61"/>
      </w:r>
      <w:r w:rsidRPr="001376F0">
        <w:t xml:space="preserve">  A “small-business concern” is one which:  (1) is independently owned and operated; (2) is not dominant in its field of operation; and (3) satisfies any additional criteria established by the SBA.</w:t>
      </w:r>
      <w:r>
        <w:rPr>
          <w:vertAlign w:val="superscript"/>
        </w:rPr>
        <w:footnoteReference w:id="62"/>
      </w:r>
    </w:p>
    <w:p w:rsidR="003A5F10" w:rsidRPr="001376F0" w:rsidP="003A5F10" w14:paraId="3AB0701C" w14:textId="77777777">
      <w:pPr>
        <w:pStyle w:val="Heading3"/>
      </w:pPr>
      <w:bookmarkStart w:id="18" w:name="_Toc10643954"/>
      <w:r w:rsidRPr="001376F0">
        <w:t>Wireline Carriers</w:t>
      </w:r>
      <w:bookmarkEnd w:id="18"/>
    </w:p>
    <w:p w:rsidR="003A5F10" w:rsidRPr="001376F0" w:rsidP="003A5F10" w14:paraId="1DC9C348" w14:textId="77777777">
      <w:pPr>
        <w:pStyle w:val="ParaNum"/>
      </w:pPr>
      <w:r w:rsidRPr="001376F0">
        <w:rPr>
          <w:i/>
        </w:rPr>
        <w:t>Wired Telecommunications Carriers.</w:t>
      </w:r>
      <w:r w:rsidRPr="001376F0">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63"/>
      </w:r>
      <w:r w:rsidRPr="001376F0">
        <w:t xml:space="preserve">  The SBA has developed a small business size standard for Wired Telecommunications Carriers, which consists of all such companies having 1,500 or fewer employees.</w:t>
      </w:r>
      <w:r>
        <w:rPr>
          <w:vertAlign w:val="superscript"/>
        </w:rPr>
        <w:footnoteReference w:id="64"/>
      </w:r>
      <w:r w:rsidRPr="001376F0">
        <w:t xml:space="preserve">  Census data for 2012 shows that there were 3,117 firms that operated </w:t>
      </w:r>
      <w:r w:rsidRPr="001376F0">
        <w:t>that year.  Of this total, 3,083 operated with fewer than 1,000 employees.</w:t>
      </w:r>
      <w:r>
        <w:rPr>
          <w:vertAlign w:val="superscript"/>
        </w:rPr>
        <w:footnoteReference w:id="65"/>
      </w:r>
      <w:r w:rsidRPr="001376F0">
        <w:t xml:space="preserve">  Thus, under this size standard, the majority of firms in this industry can be considered small.</w:t>
      </w:r>
    </w:p>
    <w:p w:rsidR="003A5F10" w:rsidRPr="001376F0" w:rsidP="003A5F10" w14:paraId="60556437" w14:textId="77777777">
      <w:pPr>
        <w:pStyle w:val="ParaNum"/>
      </w:pPr>
      <w:r w:rsidRPr="001376F0">
        <w:rPr>
          <w:i/>
        </w:rPr>
        <w:t xml:space="preserve">Local Exchange Carriers </w:t>
      </w:r>
      <w:r w:rsidRPr="001376F0">
        <w:t>(</w:t>
      </w:r>
      <w:r w:rsidRPr="001376F0">
        <w:rPr>
          <w:i/>
        </w:rPr>
        <w:t>LECs</w:t>
      </w:r>
      <w:r w:rsidRPr="001376F0">
        <w:t xml:space="preserve">).  Neither the Commission nor the SBA has developed a small business size standard specifically for </w:t>
      </w:r>
      <w:r>
        <w:t>L</w:t>
      </w:r>
      <w:r w:rsidRPr="001376F0">
        <w:t xml:space="preserve">ocal </w:t>
      </w:r>
      <w:r>
        <w:t>E</w:t>
      </w:r>
      <w:r w:rsidRPr="001376F0">
        <w:t xml:space="preserve">xchange </w:t>
      </w:r>
      <w:r>
        <w:t>Carriers</w:t>
      </w:r>
      <w:r w:rsidRPr="001376F0">
        <w:t>.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66"/>
      </w:r>
      <w:r w:rsidRPr="001376F0">
        <w:t xml:space="preserve">  Under that size standard, such a business is small if it has 1,500 or fewer employees.</w:t>
      </w:r>
      <w:r>
        <w:rPr>
          <w:vertAlign w:val="superscript"/>
        </w:rPr>
        <w:footnoteReference w:id="67"/>
      </w:r>
      <w:r w:rsidRPr="001376F0">
        <w:t xml:space="preserve">  Census data for 2012 show that there were 3,117 firms that operated that year.  Of this total, 3,083 operated with fewer than 1,000 employees.</w:t>
      </w:r>
      <w:r>
        <w:rPr>
          <w:vertAlign w:val="superscript"/>
        </w:rPr>
        <w:footnoteReference w:id="68"/>
      </w:r>
      <w:r w:rsidRPr="001376F0">
        <w:t xml:space="preserve">  Consequently, the Commission estimates that most providers of local exchange service are small businesses.</w:t>
      </w:r>
    </w:p>
    <w:p w:rsidR="003A5F10" w:rsidRPr="001376F0" w:rsidP="003A5F10" w14:paraId="46F281A0" w14:textId="77777777">
      <w:pPr>
        <w:pStyle w:val="ParaNum"/>
      </w:pPr>
      <w:r w:rsidRPr="001376F0">
        <w:rPr>
          <w:i/>
        </w:rPr>
        <w:t xml:space="preserve">Incumbent Local Exchange Carriers </w:t>
      </w:r>
      <w:r w:rsidRPr="001376F0">
        <w:t>(</w:t>
      </w:r>
      <w:r w:rsidRPr="001376F0">
        <w:rPr>
          <w:i/>
        </w:rPr>
        <w:t>Incumbent LECs</w:t>
      </w:r>
      <w:r w:rsidRPr="001376F0">
        <w:t>).  Neither the Commission nor the SBA has developed a small business size standard specifically for incumbent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69"/>
      </w:r>
      <w:r w:rsidRPr="001376F0">
        <w:t xml:space="preserve">  Under that size standard, such a business is small if it has 1,500 or fewer employees.</w:t>
      </w:r>
      <w:r>
        <w:rPr>
          <w:vertAlign w:val="superscript"/>
        </w:rPr>
        <w:footnoteReference w:id="70"/>
      </w:r>
      <w:r w:rsidRPr="001376F0">
        <w:t xml:space="preserve">  Census data for 2012 show that there were 3,117 firms that operated that year.  Of this total, </w:t>
      </w:r>
      <w:r w:rsidRPr="001376F0">
        <w:t>3,083 operated with fewer than 1,000 employees.</w:t>
      </w:r>
      <w:r>
        <w:rPr>
          <w:vertAlign w:val="superscript"/>
        </w:rPr>
        <w:footnoteReference w:id="71"/>
      </w:r>
      <w:r w:rsidRPr="001376F0">
        <w:t xml:space="preserve">  Consequently, the Commission estimates that most providers of incumbent local exchange service are small businesses.</w:t>
      </w:r>
    </w:p>
    <w:p w:rsidR="003A5F10" w:rsidRPr="001376F0" w:rsidP="003A5F10" w14:paraId="6063A353" w14:textId="77777777">
      <w:pPr>
        <w:pStyle w:val="ParaNum"/>
      </w:pPr>
      <w:r w:rsidRPr="00D07EB0">
        <w:rPr>
          <w:i/>
          <w:iCs/>
        </w:rPr>
        <w:t>Competitive Local Exchange Carriers (Competitive LECs), Competitive Access Providers (CAPs), Shared-Tenant Service Providers, and Other Local Service Providers.</w:t>
      </w:r>
      <w:r w:rsidRPr="001376F0">
        <w:t xml:space="preserve">  Neither the Commission nor the SBA has developed a small business size standard specifically for these service providers.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72"/>
      </w:r>
      <w:r w:rsidRPr="001376F0">
        <w:t xml:space="preserve">  Under that size standard, such a business is small if it has 1,500 or fewer employees.</w:t>
      </w:r>
      <w:r>
        <w:rPr>
          <w:vertAlign w:val="superscript"/>
        </w:rPr>
        <w:footnoteReference w:id="73"/>
      </w:r>
      <w:r w:rsidRPr="001376F0">
        <w:t xml:space="preserve">  Census data for 2012 show that there were 3,117 firms that operated that year.  Of this total, 3,083 operated with fewer than 1,000 employees.</w:t>
      </w:r>
      <w:r>
        <w:rPr>
          <w:vertAlign w:val="superscript"/>
        </w:rPr>
        <w:footnoteReference w:id="74"/>
      </w:r>
      <w:r w:rsidRPr="001376F0">
        <w:t xml:space="preserve">  Consequently, the Commission estimates that most providers of competitive local exchange service, competitive access providers, shared-tenant service providers, and other local service providers are small entities.</w:t>
      </w:r>
    </w:p>
    <w:p w:rsidR="003A5F10" w:rsidRPr="001376F0" w:rsidP="003A5F10" w14:paraId="697D9CF0" w14:textId="77777777">
      <w:pPr>
        <w:pStyle w:val="ParaNum"/>
      </w:pPr>
      <w:r w:rsidRPr="001376F0">
        <w:t xml:space="preserve">We have included small incumbent LECs in this present RFA analysis.  As noted above, a “small business” under the RFA is one that, </w:t>
      </w:r>
      <w:r w:rsidRPr="001376F0">
        <w:rPr>
          <w:i/>
        </w:rPr>
        <w:t>inter alia</w:t>
      </w:r>
      <w:r w:rsidRPr="001376F0">
        <w:t>, meets the pertinent small business size standard (</w:t>
      </w:r>
      <w:r w:rsidRPr="007F1C65">
        <w:rPr>
          <w:iCs/>
        </w:rPr>
        <w:t>e.g</w:t>
      </w:r>
      <w:r w:rsidRPr="001376F0">
        <w:t>., a telephone communications business having 1,500 or fewer employees), and “is not dominant in its field of operation.”</w:t>
      </w:r>
      <w:r>
        <w:rPr>
          <w:vertAlign w:val="superscript"/>
        </w:rPr>
        <w:footnoteReference w:id="75"/>
      </w:r>
      <w:r w:rsidRPr="001376F0">
        <w:t xml:space="preserve">  The SBA’s Office of Advocacy contends that, for RFA purposes, small incumbent LECs are not dominant in their field of operation because any such dominance is not “national” in scope.</w:t>
      </w:r>
      <w:r>
        <w:rPr>
          <w:vertAlign w:val="superscript"/>
        </w:rPr>
        <w:footnoteReference w:id="76"/>
      </w:r>
      <w:r w:rsidRPr="001376F0">
        <w:t xml:space="preserve">  We have therefore included small incumbent LECs in this RFA analysis, although we emphasize that this RFA action has no effect on Commission analyses and determinations in other, non-RFA contexts.</w:t>
      </w:r>
    </w:p>
    <w:p w:rsidR="003A5F10" w:rsidRPr="001376F0" w:rsidP="003A5F10" w14:paraId="12FA91B6" w14:textId="77777777">
      <w:pPr>
        <w:pStyle w:val="ParaNum"/>
      </w:pPr>
      <w:r w:rsidRPr="001376F0">
        <w:rPr>
          <w:i/>
        </w:rPr>
        <w:t xml:space="preserve">Interexchange Carriers.  </w:t>
      </w:r>
      <w:r w:rsidRPr="001376F0">
        <w:t xml:space="preserve">Neither the Commission nor the SBA has developed a small business size standard specifically for providers of interexchange services.  The appropriate size standard under SBA rules is for the category Wired Telecommunications Carriers.  The U.S. Census Bureau </w:t>
      </w:r>
      <w:r w:rsidRPr="001376F0">
        <w:t>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77"/>
      </w:r>
      <w:r w:rsidRPr="001376F0">
        <w:t xml:space="preserve">  Under that size standard, such a business is small if it has 1,500 or fewer employees.</w:t>
      </w:r>
      <w:r>
        <w:rPr>
          <w:vertAlign w:val="superscript"/>
        </w:rPr>
        <w:footnoteReference w:id="78"/>
      </w:r>
      <w:r w:rsidRPr="001376F0">
        <w:t xml:space="preserve">  Census data for 2012 show that there were 3,117 firms that operated that year.  Of this total, 3,083 operated with fewer than 1,000 employees.</w:t>
      </w:r>
      <w:r>
        <w:rPr>
          <w:vertAlign w:val="superscript"/>
        </w:rPr>
        <w:footnoteReference w:id="79"/>
      </w:r>
      <w:r w:rsidRPr="001376F0">
        <w:t xml:space="preserve">  Consequently, the Commission estimates that the majority of interexchange carriers are small entities.</w:t>
      </w:r>
    </w:p>
    <w:p w:rsidR="00352A53" w:rsidRPr="001376F0" w:rsidP="00B81D3A" w14:paraId="31B4A386" w14:textId="77777777">
      <w:pPr>
        <w:pStyle w:val="ParaNum"/>
      </w:pPr>
      <w:r w:rsidRPr="00E63FEC">
        <w:rPr>
          <w:i/>
        </w:rPr>
        <w:t>Ca</w:t>
      </w:r>
      <w:r w:rsidRPr="00A048FA">
        <w:rPr>
          <w:i/>
        </w:rPr>
        <w:t>ble System Operators</w:t>
      </w:r>
      <w:r>
        <w:rPr>
          <w:i/>
        </w:rPr>
        <w:t xml:space="preserve"> (Telecom Act Standard)</w:t>
      </w:r>
      <w:r w:rsidRPr="00A048FA">
        <w:t xml:space="preserve">.  The Communications Act of 1934, as amended, also contains a size standard for small cable system operators, which is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rPr>
          <w:rStyle w:val="FootnoteReference"/>
          <w:rFonts w:eastAsia="Yu Mincho"/>
          <w:color w:val="000000"/>
        </w:rPr>
        <w:footnoteReference w:id="80"/>
      </w:r>
      <w:r w:rsidRPr="00A048FA">
        <w:t xml:space="preserve">  </w:t>
      </w:r>
      <w:r>
        <w:t>As of 2019, there were</w:t>
      </w:r>
      <w:r w:rsidRPr="00B05AF4">
        <w:t xml:space="preserve"> approximately </w:t>
      </w:r>
      <w:r>
        <w:t xml:space="preserve">48,646,056 basic </w:t>
      </w:r>
      <w:r w:rsidRPr="00B05AF4">
        <w:t>cable video subscribers in the United States.</w:t>
      </w:r>
      <w:r>
        <w:rPr>
          <w:sz w:val="20"/>
          <w:vertAlign w:val="superscript"/>
        </w:rPr>
        <w:footnoteReference w:id="81"/>
      </w:r>
      <w:r>
        <w:t xml:space="preserve"> </w:t>
      </w:r>
      <w:r w:rsidRPr="00B05AF4">
        <w:t xml:space="preserve"> Accordingly, an operator serving fewer than </w:t>
      </w:r>
      <w:r>
        <w:t xml:space="preserve">486,460 </w:t>
      </w:r>
      <w:r w:rsidRPr="00B05AF4">
        <w:t>subscribers shall be deemed a small operator if its annual revenues, when combined with the t</w:t>
      </w:r>
      <w:r w:rsidRPr="009A4C0D">
        <w:t>otal annual revenues of all its affiliates, do not exceed $250 million in the aggregate.</w:t>
      </w:r>
      <w:r>
        <w:rPr>
          <w:vertAlign w:val="superscript"/>
        </w:rPr>
        <w:footnoteReference w:id="82"/>
      </w:r>
      <w:r w:rsidRPr="00B05AF4">
        <w:t xml:space="preserve">  Based on available data, we find that all but </w:t>
      </w:r>
      <w:r>
        <w:t xml:space="preserve">five </w:t>
      </w:r>
      <w:r w:rsidRPr="00B05AF4">
        <w:t>cable operators are small entities under this size standard.</w:t>
      </w:r>
      <w:r>
        <w:rPr>
          <w:vertAlign w:val="superscript"/>
        </w:rPr>
        <w:footnoteReference w:id="83"/>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rFonts w:eastAsia="Yu Mincho"/>
          <w:color w:val="000000"/>
        </w:rPr>
        <w:footnoteReference w:id="84"/>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3A5F10" w:rsidRPr="001376F0" w:rsidP="003A5F10" w14:paraId="79F20C31" w14:textId="77777777">
      <w:pPr>
        <w:pStyle w:val="ParaNum"/>
      </w:pPr>
      <w:r w:rsidRPr="001376F0">
        <w:rPr>
          <w:i/>
        </w:rPr>
        <w:t>Other Toll Carriers.</w:t>
      </w:r>
      <w:r w:rsidRPr="001376F0">
        <w:t xml:space="preserve">  Neither the Commission nor the SBA has developed a size standard for small businesses specifically applicable to </w:t>
      </w:r>
      <w:r>
        <w:t>O</w:t>
      </w:r>
      <w:r w:rsidRPr="001376F0">
        <w:t xml:space="preserve">ther </w:t>
      </w:r>
      <w:r>
        <w:t>T</w:t>
      </w:r>
      <w:r w:rsidRPr="001376F0">
        <w:t xml:space="preserve">oll </w:t>
      </w:r>
      <w:r>
        <w:t>C</w:t>
      </w:r>
      <w:r w:rsidRPr="001376F0">
        <w:t xml:space="preserve">arriers.  This category includes toll carriers that do not fall within the categories of interexchange carriers, operator service providers, prepaid calling </w:t>
      </w:r>
      <w:r w:rsidRPr="001376F0">
        <w:t>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85"/>
      </w:r>
      <w:r w:rsidRPr="001376F0">
        <w:t xml:space="preserve">  Under that size standard, such a business is small if it has 1,500 or fewer employees.</w:t>
      </w:r>
      <w:r>
        <w:rPr>
          <w:vertAlign w:val="superscript"/>
        </w:rPr>
        <w:footnoteReference w:id="86"/>
      </w:r>
      <w:r w:rsidRPr="001376F0">
        <w:t xml:space="preserve">  Census data for 2012 show that there were 3,117 firms that operated that year.  Of this total, 3,083 operated with fewer than 1,000 employees.</w:t>
      </w:r>
      <w:r>
        <w:rPr>
          <w:vertAlign w:val="superscript"/>
        </w:rPr>
        <w:footnoteReference w:id="87"/>
      </w:r>
      <w:r w:rsidRPr="001376F0">
        <w:t xml:space="preserve">  Thus, under this category and the associated small business size standard, the majority of other toll carriers can be considered small.</w:t>
      </w:r>
    </w:p>
    <w:p w:rsidR="003A5F10" w:rsidRPr="001376F0" w:rsidP="003A5F10" w14:paraId="55CA9CB3" w14:textId="77777777">
      <w:pPr>
        <w:pStyle w:val="Heading3"/>
      </w:pPr>
      <w:bookmarkStart w:id="19" w:name="_Toc10643955"/>
      <w:r w:rsidRPr="001376F0">
        <w:t>Wireless Carriers</w:t>
      </w:r>
      <w:bookmarkEnd w:id="19"/>
    </w:p>
    <w:p w:rsidR="003A5F10" w:rsidRPr="001376F0" w:rsidP="003A5F10" w14:paraId="58EA6441" w14:textId="77777777">
      <w:pPr>
        <w:pStyle w:val="ParaNum"/>
      </w:pPr>
      <w:r w:rsidRPr="001376F0">
        <w:rPr>
          <w:i/>
        </w:rPr>
        <w:t>Wireless Telecommunications Carriers (except Satellite</w:t>
      </w:r>
      <w:r w:rsidRPr="001376F0">
        <w:t>).  Since 2007, the Census Bureau has placed wireless firms within this new, broad, economic census category.</w:t>
      </w:r>
      <w:r>
        <w:rPr>
          <w:vertAlign w:val="superscript"/>
        </w:rPr>
        <w:footnoteReference w:id="88"/>
      </w:r>
      <w:r w:rsidRPr="001376F0">
        <w:t xml:space="preserve">  Under the present and prior categories, the SBA has deemed a wireless business to be small if it has 1,500 or fewer employees.</w:t>
      </w:r>
      <w:r>
        <w:rPr>
          <w:vertAlign w:val="superscript"/>
        </w:rPr>
        <w:footnoteReference w:id="89"/>
      </w:r>
      <w:r w:rsidRPr="001376F0">
        <w:t xml:space="preserve">  For the category of Wireless Telecommunications Carriers (except Satellite), Census data for 2012 show that there were 967 firms that operated for the entire year.  Of this total, 955 firms had fewer than 1,000 employees.</w:t>
      </w:r>
      <w:r>
        <w:rPr>
          <w:vertAlign w:val="superscript"/>
        </w:rPr>
        <w:footnoteReference w:id="90"/>
      </w:r>
      <w:r w:rsidRPr="001376F0">
        <w:t xml:space="preserve">  Thus</w:t>
      </w:r>
      <w:r>
        <w:t>,</w:t>
      </w:r>
      <w:r w:rsidRPr="001376F0">
        <w:t xml:space="preserve">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vertAlign w:val="superscript"/>
        </w:rPr>
        <w:footnoteReference w:id="91"/>
      </w:r>
      <w:r w:rsidRPr="001376F0">
        <w:t xml:space="preserve">  Of this total, an estimated 261 have 1,500 or fewer employees.</w:t>
      </w:r>
      <w:r>
        <w:rPr>
          <w:vertAlign w:val="superscript"/>
        </w:rPr>
        <w:footnoteReference w:id="92"/>
      </w:r>
      <w:r w:rsidRPr="001376F0">
        <w:t xml:space="preserve">  Thus, using available data, we estimate that the majority of wireless firms can be considered small.</w:t>
      </w:r>
    </w:p>
    <w:p w:rsidR="003A5F10" w:rsidRPr="001376F0" w:rsidP="003A5F10" w14:paraId="3314FAAA" w14:textId="77777777">
      <w:pPr>
        <w:pStyle w:val="ParaNum"/>
      </w:pPr>
      <w:r w:rsidRPr="001376F0">
        <w:rPr>
          <w:i/>
        </w:rPr>
        <w:t xml:space="preserve">Satellite Telecommunications Providers.  </w:t>
      </w:r>
      <w:r w:rsidRPr="001376F0">
        <w:t xml:space="preserve">The category of Satellite Telecommunications </w:t>
      </w:r>
      <w:r>
        <w:t xml:space="preserve">Providers </w:t>
      </w:r>
      <w:r w:rsidRPr="001376F0">
        <w:t>“comprises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93"/>
      </w:r>
      <w:r w:rsidRPr="001376F0">
        <w:t xml:space="preserve">  This category has a small business size standard of $3</w:t>
      </w:r>
      <w:r>
        <w:t>5.0</w:t>
      </w:r>
      <w:r w:rsidRPr="001376F0">
        <w:t xml:space="preserve"> million or less in average annual receipts, under SBA rules.</w:t>
      </w:r>
      <w:r>
        <w:rPr>
          <w:vertAlign w:val="superscript"/>
        </w:rPr>
        <w:footnoteReference w:id="94"/>
      </w:r>
      <w:r w:rsidRPr="001376F0">
        <w:t xml:space="preserve">  For this category, Census Bureau data for 2012 show that there were a total of 333 firms that operated for the entire year.</w:t>
      </w:r>
      <w:r>
        <w:rPr>
          <w:vertAlign w:val="superscript"/>
        </w:rPr>
        <w:footnoteReference w:id="95"/>
      </w:r>
      <w:r w:rsidRPr="001376F0">
        <w:t xml:space="preserve">  Of this total, 299 firms had annual receipts of under $25 million.</w:t>
      </w:r>
      <w:r>
        <w:rPr>
          <w:vertAlign w:val="superscript"/>
        </w:rPr>
        <w:footnoteReference w:id="96"/>
      </w:r>
      <w:r w:rsidRPr="001376F0">
        <w:t xml:space="preserve">  Consequently, we estimate that the majority of </w:t>
      </w:r>
      <w:r>
        <w:t>s</w:t>
      </w:r>
      <w:r w:rsidRPr="001376F0">
        <w:t xml:space="preserve">atellite </w:t>
      </w:r>
      <w:r>
        <w:t>t</w:t>
      </w:r>
      <w:r w:rsidRPr="001376F0">
        <w:t>elecommunications firms are small entities.</w:t>
      </w:r>
    </w:p>
    <w:p w:rsidR="003A5F10" w:rsidRPr="001376F0" w:rsidP="003A5F10" w14:paraId="46E1188F" w14:textId="77777777">
      <w:pPr>
        <w:pStyle w:val="ParaNum"/>
      </w:pPr>
      <w:r w:rsidRPr="001376F0">
        <w:rPr>
          <w:i/>
        </w:rPr>
        <w:t>All Other Telecommunications.</w:t>
      </w:r>
      <w:r w:rsidRPr="001376F0">
        <w:t xml:space="preserve">  All Other Telecommunications comprises, </w:t>
      </w:r>
      <w:r w:rsidRPr="001376F0">
        <w:rPr>
          <w:i/>
        </w:rPr>
        <w:t>inter alia</w:t>
      </w:r>
      <w:r w:rsidRPr="001376F0">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connections are also included in this industry.”</w:t>
      </w:r>
      <w:r>
        <w:rPr>
          <w:vertAlign w:val="superscript"/>
        </w:rPr>
        <w:footnoteReference w:id="97"/>
      </w:r>
      <w:r w:rsidRPr="001376F0">
        <w:t xml:space="preserve">  The SBA has developed a small business size standard for the category of All Other Telecommunications.</w:t>
      </w:r>
      <w:r>
        <w:rPr>
          <w:vertAlign w:val="superscript"/>
        </w:rPr>
        <w:footnoteReference w:id="98"/>
      </w:r>
      <w:r w:rsidRPr="001376F0">
        <w:t xml:space="preserve">  Under that size standard, such a business is small if it has $3</w:t>
      </w:r>
      <w:r>
        <w:t>5.0</w:t>
      </w:r>
      <w:r w:rsidRPr="001376F0">
        <w:t xml:space="preserve"> million in annual receipts.</w:t>
      </w:r>
      <w:r>
        <w:rPr>
          <w:vertAlign w:val="superscript"/>
        </w:rPr>
        <w:footnoteReference w:id="99"/>
      </w:r>
      <w:r w:rsidRPr="001376F0">
        <w:t xml:space="preserve">  For this category, Census Bureau data for 2012 show that there were a total of 1,442 firms that operated for the entire year.</w:t>
      </w:r>
      <w:r>
        <w:rPr>
          <w:vertAlign w:val="superscript"/>
        </w:rPr>
        <w:footnoteReference w:id="100"/>
      </w:r>
      <w:r w:rsidRPr="001376F0">
        <w:t xml:space="preserve">  Of this total, 1,400 had annual receipts below $25 million per year.</w:t>
      </w:r>
      <w:r>
        <w:rPr>
          <w:vertAlign w:val="superscript"/>
        </w:rPr>
        <w:footnoteReference w:id="101"/>
      </w:r>
      <w:r w:rsidRPr="001376F0">
        <w:t xml:space="preserve">  Consequently, we estimate that the majority of All Other Telecommunications firms are small entities.</w:t>
      </w:r>
    </w:p>
    <w:p w:rsidR="003A5F10" w:rsidRPr="001376F0" w:rsidP="003A5F10" w14:paraId="447806C2" w14:textId="77777777">
      <w:pPr>
        <w:pStyle w:val="Heading3"/>
      </w:pPr>
      <w:bookmarkStart w:id="20" w:name="_Toc10643956"/>
      <w:r w:rsidRPr="001376F0">
        <w:t>Resellers</w:t>
      </w:r>
      <w:bookmarkEnd w:id="20"/>
    </w:p>
    <w:p w:rsidR="003A5F10" w:rsidRPr="001376F0" w:rsidP="003A5F10" w14:paraId="4BA80E07" w14:textId="77777777">
      <w:pPr>
        <w:pStyle w:val="ParaNum"/>
      </w:pPr>
      <w:r w:rsidRPr="001376F0">
        <w:rPr>
          <w:i/>
        </w:rPr>
        <w:t>Toll Resellers.</w:t>
      </w:r>
      <w:r w:rsidRPr="001376F0">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w:t>
      </w:r>
      <w:r>
        <w:t xml:space="preserve"> </w:t>
      </w:r>
      <w:r w:rsidRPr="001376F0">
        <w:t>Mobile virtual network operators (MVNOs) are included in this industry.</w:t>
      </w:r>
      <w:r>
        <w:rPr>
          <w:vertAlign w:val="superscript"/>
        </w:rPr>
        <w:footnoteReference w:id="102"/>
      </w:r>
      <w:r w:rsidRPr="001376F0">
        <w:t xml:space="preserve">  The SBA has developed a small business </w:t>
      </w:r>
      <w:r w:rsidRPr="001376F0">
        <w:t>size standard for the category of Telecommunications Resellers.</w:t>
      </w:r>
      <w:r>
        <w:rPr>
          <w:vertAlign w:val="superscript"/>
        </w:rPr>
        <w:footnoteReference w:id="103"/>
      </w:r>
      <w:r w:rsidRPr="001376F0">
        <w:t xml:space="preserve">  Under that size standard, such a business is small if it has 1,500 or fewer employees.</w:t>
      </w:r>
      <w:r>
        <w:rPr>
          <w:vertAlign w:val="superscript"/>
        </w:rPr>
        <w:footnoteReference w:id="104"/>
      </w:r>
      <w:r w:rsidRPr="001376F0">
        <w:t xml:space="preserve">  Census data for 2012 show that 1,341 firms provided resale services during that year.  Of that number, 1,341 operated with fewer than 1,000 employees.</w:t>
      </w:r>
      <w:r>
        <w:rPr>
          <w:vertAlign w:val="superscript"/>
        </w:rPr>
        <w:footnoteReference w:id="105"/>
      </w:r>
      <w:r w:rsidRPr="001376F0">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106"/>
      </w:r>
      <w:r w:rsidRPr="001376F0">
        <w:t xml:space="preserve">  Of this total, an estimated 857 have 1,500 or fewer employees.</w:t>
      </w:r>
      <w:r>
        <w:rPr>
          <w:vertAlign w:val="superscript"/>
        </w:rPr>
        <w:footnoteReference w:id="107"/>
      </w:r>
      <w:r w:rsidRPr="001376F0">
        <w:t xml:space="preserve">  Consequently, the Commission estimates that the majority of toll resellers are small entities.</w:t>
      </w:r>
    </w:p>
    <w:p w:rsidR="003A5F10" w:rsidRPr="001376F0" w:rsidP="003A5F10" w14:paraId="092EFC50" w14:textId="77777777">
      <w:pPr>
        <w:pStyle w:val="ParaNum"/>
      </w:pPr>
      <w:r w:rsidRPr="001376F0">
        <w:rPr>
          <w:i/>
        </w:rPr>
        <w:t>Local Resellers.</w:t>
      </w:r>
      <w:r w:rsidRPr="001376F0">
        <w:t xml:space="preserve">  The Commission has not developed a definition for </w:t>
      </w:r>
      <w:r>
        <w:t>L</w:t>
      </w:r>
      <w:r w:rsidRPr="001376F0">
        <w:t xml:space="preserve">ocal </w:t>
      </w:r>
      <w:r>
        <w:t>R</w:t>
      </w:r>
      <w:r w:rsidRPr="001376F0">
        <w:t xml:space="preserve">esellers.  The closest NAICS Code Category is Telecommunications Resellers and therefore the associated definition and data for Telecommunications Resellers has been used for </w:t>
      </w:r>
      <w:r>
        <w:t>L</w:t>
      </w:r>
      <w:r w:rsidRPr="001376F0">
        <w:t xml:space="preserve">ocal </w:t>
      </w:r>
      <w:r>
        <w:t>R</w:t>
      </w:r>
      <w:r w:rsidRPr="001376F0">
        <w:t>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108"/>
      </w:r>
      <w:r w:rsidRPr="001376F0">
        <w:t xml:space="preserve">  Under that size standard, such a business is small if it has 1,500 or fewer employees.</w:t>
      </w:r>
      <w:r>
        <w:rPr>
          <w:vertAlign w:val="superscript"/>
        </w:rPr>
        <w:footnoteReference w:id="109"/>
      </w:r>
      <w:r w:rsidRPr="001376F0">
        <w:t xml:space="preserve">  Census data for 2012 show that 1,341 firms provided resale services during that year.  Of that number, all operated with fewer than 1,000 employees.</w:t>
      </w:r>
      <w:r>
        <w:rPr>
          <w:vertAlign w:val="superscript"/>
        </w:rPr>
        <w:footnoteReference w:id="110"/>
      </w:r>
      <w:r w:rsidRPr="001376F0">
        <w:t xml:space="preserve">  Thus, under this category and the associated small business size standard, the majority of these local resellers can be considered small entities. </w:t>
      </w:r>
    </w:p>
    <w:p w:rsidR="003A5F10" w:rsidRPr="001376F0" w:rsidP="003A5F10" w14:paraId="6A922D67" w14:textId="77777777">
      <w:pPr>
        <w:pStyle w:val="ParaNum"/>
      </w:pPr>
      <w:r w:rsidRPr="001376F0">
        <w:rPr>
          <w:i/>
        </w:rPr>
        <w:t>Prepaid Calling Card Providers.</w:t>
      </w:r>
      <w:r w:rsidRPr="001376F0">
        <w:t xml:space="preserve">  The Commission has not developed a definition for </w:t>
      </w:r>
      <w:r>
        <w:t>P</w:t>
      </w:r>
      <w:r w:rsidRPr="001376F0">
        <w:t xml:space="preserve">repaid </w:t>
      </w:r>
      <w:r>
        <w:t>C</w:t>
      </w:r>
      <w:r w:rsidRPr="001376F0">
        <w:t xml:space="preserve">alling </w:t>
      </w:r>
      <w:r>
        <w:t>C</w:t>
      </w:r>
      <w:r w:rsidRPr="001376F0">
        <w:t xml:space="preserve">ard </w:t>
      </w:r>
      <w:r>
        <w:t>P</w:t>
      </w:r>
      <w:r w:rsidRPr="001376F0">
        <w:t xml:space="preserve">roviders.  The closest NAICS Code Category is Telecommunications Resellers and therefore the associated definition and data for Telecommunications Resellers has been used for </w:t>
      </w:r>
      <w:r>
        <w:t>P</w:t>
      </w:r>
      <w:r w:rsidRPr="001376F0">
        <w:t xml:space="preserve">repaid </w:t>
      </w:r>
      <w:r>
        <w:t>C</w:t>
      </w:r>
      <w:r w:rsidRPr="001376F0">
        <w:t xml:space="preserve">alling </w:t>
      </w:r>
      <w:r>
        <w:t>C</w:t>
      </w:r>
      <w:r w:rsidRPr="001376F0">
        <w:t xml:space="preserve">ard </w:t>
      </w:r>
      <w:r>
        <w:t>P</w:t>
      </w:r>
      <w:r w:rsidRPr="001376F0">
        <w:t>roviders.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111"/>
      </w:r>
      <w:r w:rsidRPr="001376F0">
        <w:t xml:space="preserve">  Under that size standard, such a business is small if it has 1,500 or fewer employees.</w:t>
      </w:r>
      <w:r>
        <w:rPr>
          <w:vertAlign w:val="superscript"/>
        </w:rPr>
        <w:footnoteReference w:id="112"/>
      </w:r>
      <w:r w:rsidRPr="001376F0">
        <w:t xml:space="preserve">  Census data for 2012 show that 1,341 firms provided resale services during that year.  Of that number, all operated with fewer than 1,000 </w:t>
      </w:r>
      <w:r w:rsidRPr="001376F0">
        <w:t>employees.</w:t>
      </w:r>
      <w:r>
        <w:rPr>
          <w:vertAlign w:val="superscript"/>
        </w:rPr>
        <w:footnoteReference w:id="113"/>
      </w:r>
      <w:r w:rsidRPr="001376F0">
        <w:t xml:space="preserve">  Thus, under this category and the associated small business size standard, the majority of these prepaid calling card providers can be considered small entities.</w:t>
      </w:r>
    </w:p>
    <w:p w:rsidR="003A5F10" w:rsidP="003A5F10" w14:paraId="04E4A5EF" w14:textId="77777777">
      <w:pPr>
        <w:pStyle w:val="Heading2"/>
      </w:pPr>
      <w:bookmarkStart w:id="21" w:name="_Toc10643957"/>
      <w:bookmarkStart w:id="22" w:name="_Toc10725995"/>
      <w:r w:rsidRPr="00C76C27">
        <w:t>D</w:t>
      </w:r>
      <w:r w:rsidRPr="003E2A3F">
        <w:t>escription of Projected Reporting, Recordkeeping, and Other Compliance Requirements</w:t>
      </w:r>
      <w:bookmarkEnd w:id="21"/>
      <w:bookmarkEnd w:id="22"/>
    </w:p>
    <w:p w:rsidR="003A5F10" w:rsidRPr="00A4490A" w:rsidP="003A5F10" w14:paraId="52BE6950" w14:textId="77777777">
      <w:pPr>
        <w:pStyle w:val="ParaNum"/>
      </w:pPr>
      <w:r>
        <w:t>Voice service providers may implement reporting or recordkeeping in order to accomplish blocking</w:t>
      </w:r>
      <w:r w:rsidR="00FA4CB9">
        <w:t xml:space="preserve"> of one-ring scam calls</w:t>
      </w:r>
      <w:r>
        <w:t>, but it is not required in the rule.</w:t>
      </w:r>
      <w:r w:rsidRPr="00A4490A">
        <w:t xml:space="preserve">  </w:t>
      </w:r>
    </w:p>
    <w:p w:rsidR="003A5F10" w:rsidRPr="00CB746B" w:rsidP="003A5F10" w14:paraId="6DDAF156" w14:textId="77777777">
      <w:pPr>
        <w:pStyle w:val="Heading2"/>
      </w:pPr>
      <w:bookmarkStart w:id="23" w:name="_Toc10643958"/>
      <w:bookmarkStart w:id="24" w:name="_Toc10725996"/>
      <w:r w:rsidRPr="00C76C27">
        <w:t>Steps Taken to Minimize Significant Economic Impact on Small Entities, and Significant Alternatives Cons</w:t>
      </w:r>
      <w:r w:rsidRPr="003E2A3F">
        <w:t>idered</w:t>
      </w:r>
      <w:bookmarkEnd w:id="23"/>
      <w:bookmarkEnd w:id="24"/>
    </w:p>
    <w:p w:rsidR="003A5F10" w:rsidP="003A5F10" w14:paraId="036950D4" w14:textId="77777777">
      <w:pPr>
        <w:pStyle w:val="ParaNum"/>
      </w:pPr>
      <w:r w:rsidRPr="001376F0">
        <w:t>The RFA requires an agency to describe any significant alternatives that it has considered in reaching its approach, which may include the following four alternatives (among others): (1)</w:t>
      </w:r>
      <w:r>
        <w:t xml:space="preserve"> </w:t>
      </w:r>
      <w:r w:rsidRPr="001376F0">
        <w:t>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114"/>
      </w:r>
    </w:p>
    <w:p w:rsidR="003A5F10" w:rsidRPr="00462B20" w:rsidP="00A411E4" w14:paraId="7A4E8DBC" w14:textId="77777777">
      <w:pPr>
        <w:pStyle w:val="ParaNum"/>
      </w:pPr>
      <w:r>
        <w:t>The Commission’s rule allow</w:t>
      </w:r>
      <w:r w:rsidR="00CA3831">
        <w:t>s</w:t>
      </w:r>
      <w:r w:rsidR="00A411E4">
        <w:t> – but does not require –</w:t>
      </w:r>
      <w:r>
        <w:t xml:space="preserve"> voice service providers to block calls from numbers </w:t>
      </w:r>
      <w:r w:rsidR="00A411E4">
        <w:t xml:space="preserve">that they identify, using reasonable analytics, as likely to be </w:t>
      </w:r>
      <w:r>
        <w:t xml:space="preserve">associated with one-ring scams.  The </w:t>
      </w:r>
      <w:r w:rsidRPr="00462B20">
        <w:t xml:space="preserve">rule </w:t>
      </w:r>
      <w:r w:rsidR="00A411E4">
        <w:t xml:space="preserve">is permissive, not mandatory; it </w:t>
      </w:r>
      <w:r>
        <w:t>allow</w:t>
      </w:r>
      <w:r w:rsidR="00A411E4">
        <w:t>s</w:t>
      </w:r>
      <w:r w:rsidRPr="00462B20">
        <w:t xml:space="preserve"> all </w:t>
      </w:r>
      <w:r>
        <w:t xml:space="preserve">voice service providers, </w:t>
      </w:r>
      <w:r w:rsidRPr="00462B20">
        <w:t>including small businesses, to block such calls</w:t>
      </w:r>
      <w:r w:rsidR="00A411E4">
        <w:t xml:space="preserve">, but it does not impose any new compliance obligations or reporting obligations. To the extent </w:t>
      </w:r>
      <w:r w:rsidR="00FB1242">
        <w:t>this new rule has a</w:t>
      </w:r>
      <w:r w:rsidR="00A411E4">
        <w:t>ny</w:t>
      </w:r>
      <w:r w:rsidR="00FB1242">
        <w:t xml:space="preserve"> economic impact on </w:t>
      </w:r>
      <w:r w:rsidR="00A411E4">
        <w:t xml:space="preserve">voice service providers that are </w:t>
      </w:r>
      <w:r w:rsidR="00FB1242">
        <w:t>small entities</w:t>
      </w:r>
      <w:r w:rsidR="00A411E4">
        <w:t>, the impact will likely be beneficial because they will be shielded from liability if they opt to block calls in the manner described in the Report and Order</w:t>
      </w:r>
      <w:r w:rsidR="00FB1242">
        <w:t>.</w:t>
      </w:r>
    </w:p>
    <w:p w:rsidR="00FB1242" w:rsidP="002E1E69" w14:paraId="32A05265" w14:textId="77777777">
      <w:pPr>
        <w:pStyle w:val="ParaNum"/>
      </w:pPr>
      <w:r w:rsidRPr="0042123C">
        <w:rPr>
          <w:i/>
          <w:iCs/>
        </w:rPr>
        <w:t>Report to Congress</w:t>
      </w:r>
      <w:r>
        <w:t>: The Commission will send a copy of the Report and Order, including this FRFA, in a report to be sent to Congress pursuant to the Congressional Review Act.  In addition, the Commission will send a copy of the Report and Order, including this FRFA, to the Chief Counsel for Advocacy of the SBA. A copy of the Report and Order and FRFA (or summaries thereof) will also be published in the Federal Register.</w:t>
      </w:r>
    </w:p>
    <w:p w:rsidR="003A5F10" w:rsidP="00FB1242" w14:paraId="4B85B226" w14:textId="77777777">
      <w:pPr>
        <w:pStyle w:val="ParaNum"/>
        <w:numPr>
          <w:ilvl w:val="0"/>
          <w:numId w:val="0"/>
        </w:numPr>
        <w:ind w:left="720"/>
      </w:pPr>
    </w:p>
    <w:p w:rsidR="005933F2" w:rsidRPr="00341A3D" w:rsidP="005933F2" w14:paraId="63104441" w14:textId="77777777">
      <w:pPr>
        <w:pStyle w:val="ParaNum"/>
        <w:numPr>
          <w:ilvl w:val="0"/>
          <w:numId w:val="0"/>
        </w:numPr>
        <w:ind w:firstLine="720"/>
        <w:jc w:val="center"/>
      </w:pPr>
    </w:p>
    <w:sectPr w:rsidSect="003153A4">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 New Roman Italic">
    <w:altName w:val="Times New Roman"/>
    <w:panose1 w:val="0202050305040509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40A0E" w:rsidP="0055614C" w14:paraId="21DAA2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0A0E" w14:paraId="5B9C2B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40A0E" w14:paraId="4640E550" w14:textId="77777777">
    <w:pPr>
      <w:pStyle w:val="Footer"/>
      <w:jc w:val="center"/>
      <w:rPr>
        <w:noProof/>
      </w:rPr>
    </w:pPr>
    <w:r>
      <w:fldChar w:fldCharType="begin"/>
    </w:r>
    <w:r>
      <w:instrText xml:space="preserve"> PAGE   \* MERGEFORMAT </w:instrText>
    </w:r>
    <w:r>
      <w:fldChar w:fldCharType="separate"/>
    </w:r>
    <w:r w:rsidR="003F0091">
      <w:rPr>
        <w:noProof/>
      </w:rPr>
      <w:t>6</w:t>
    </w:r>
    <w:r>
      <w:fldChar w:fldCharType="end"/>
    </w:r>
  </w:p>
  <w:p w:rsidR="00D40A0E" w:rsidP="0038694C" w14:paraId="1196283B" w14:textId="77777777">
    <w:pPr>
      <w:pStyle w:val="Footer"/>
    </w:pPr>
  </w:p>
  <w:p w:rsidR="00D40A0E" w14:paraId="489208B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40A0E" w14:paraId="495F13B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40A0E" w:rsidP="0055614C" w14:paraId="3E90EE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0A0E" w14:paraId="591D16E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40A0E" w14:paraId="3E438279" w14:textId="77777777">
    <w:pPr>
      <w:pStyle w:val="Footer"/>
      <w:jc w:val="center"/>
      <w:rPr>
        <w:noProof/>
      </w:rPr>
    </w:pPr>
    <w:r>
      <w:fldChar w:fldCharType="begin"/>
    </w:r>
    <w:r>
      <w:instrText xml:space="preserve"> PAGE   \* MERGEFORMAT </w:instrText>
    </w:r>
    <w:r>
      <w:fldChar w:fldCharType="separate"/>
    </w:r>
    <w:r w:rsidR="003F0091">
      <w:rPr>
        <w:noProof/>
      </w:rPr>
      <w:t>19</w:t>
    </w:r>
    <w:r>
      <w:fldChar w:fldCharType="end"/>
    </w:r>
  </w:p>
  <w:p w:rsidR="00D40A0E" w14:paraId="486FD059" w14:textId="77777777">
    <w:pPr>
      <w:pStyle w:val="Footer"/>
      <w:jc w:val="center"/>
    </w:pPr>
  </w:p>
  <w:p w:rsidR="00D40A0E" w14:paraId="0498C0C6"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40A0E" w14:paraId="46E48171" w14:textId="1797E6F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FF1495" w14:paraId="5B21C834" w14:textId="77777777">
      <w:r>
        <w:separator/>
      </w:r>
    </w:p>
  </w:footnote>
  <w:footnote w:type="continuationSeparator" w:id="1">
    <w:p w:rsidR="00FF1495" w:rsidP="00C721AC" w14:paraId="3B6A4E5C" w14:textId="77777777">
      <w:pPr>
        <w:spacing w:before="120"/>
        <w:rPr>
          <w:sz w:val="20"/>
        </w:rPr>
      </w:pPr>
      <w:r>
        <w:rPr>
          <w:sz w:val="20"/>
        </w:rPr>
        <w:t xml:space="preserve">(Continued from previous page)  </w:t>
      </w:r>
      <w:r>
        <w:rPr>
          <w:sz w:val="20"/>
        </w:rPr>
        <w:separator/>
      </w:r>
    </w:p>
  </w:footnote>
  <w:footnote w:type="continuationNotice" w:id="2">
    <w:p w:rsidR="00FF1495" w:rsidP="00C721AC" w14:paraId="3C4E0DA6" w14:textId="77777777">
      <w:pPr>
        <w:jc w:val="right"/>
        <w:rPr>
          <w:sz w:val="20"/>
        </w:rPr>
      </w:pPr>
      <w:r>
        <w:rPr>
          <w:sz w:val="20"/>
        </w:rPr>
        <w:t>(continued….)</w:t>
      </w:r>
    </w:p>
  </w:footnote>
  <w:footnote w:id="3">
    <w:p w:rsidR="00D40A0E" w:rsidP="002A4158" w14:paraId="02175366" w14:textId="18500C96">
      <w:pPr>
        <w:pStyle w:val="FootnoteText"/>
      </w:pPr>
      <w:r>
        <w:rPr>
          <w:rStyle w:val="FootnoteReference"/>
        </w:rPr>
        <w:footnoteRef/>
      </w:r>
      <w:r>
        <w:t xml:space="preserve"> Pallone-Thune Telephone Robocall Abuse Criminal Enforcement and Deterrence Act, Pub. L. No. 116-105, 133 Stat. 32</w:t>
      </w:r>
      <w:r w:rsidR="00056A9A">
        <w:t>86</w:t>
      </w:r>
      <w:r>
        <w:t>, § 12(d)(1)</w:t>
      </w:r>
      <w:r w:rsidRPr="002A4158">
        <w:t xml:space="preserve"> </w:t>
      </w:r>
      <w:r>
        <w:t>(2019) (TRACED Act).</w:t>
      </w:r>
    </w:p>
  </w:footnote>
  <w:footnote w:id="4">
    <w:p w:rsidR="00D40A0E" w14:paraId="53E7251A" w14:textId="77777777">
      <w:pPr>
        <w:pStyle w:val="FootnoteText"/>
      </w:pPr>
      <w:r>
        <w:rPr>
          <w:rStyle w:val="FootnoteReference"/>
        </w:rPr>
        <w:footnoteRef/>
      </w:r>
      <w:r>
        <w:t xml:space="preserve"> </w:t>
      </w:r>
      <w:r w:rsidRPr="00F33036">
        <w:rPr>
          <w:i/>
          <w:iCs/>
        </w:rPr>
        <w:t>See</w:t>
      </w:r>
      <w:r>
        <w:t xml:space="preserve"> </w:t>
      </w:r>
      <w:r w:rsidRPr="0034560B">
        <w:rPr>
          <w:i/>
          <w:iCs/>
        </w:rPr>
        <w:t>Protecting Consumers from One-Ring Scams</w:t>
      </w:r>
      <w:r>
        <w:t xml:space="preserve">, CG Docket No. 20-93, Notice of Proposed Rulemaking, 35 FCC </w:t>
      </w:r>
      <w:r>
        <w:t>Rcd</w:t>
      </w:r>
      <w:r>
        <w:t xml:space="preserve"> 4908 (2020) (</w:t>
      </w:r>
      <w:r w:rsidRPr="0034560B">
        <w:rPr>
          <w:i/>
          <w:iCs/>
        </w:rPr>
        <w:t>One-Ring Scam NPRM</w:t>
      </w:r>
      <w:r>
        <w:t>).</w:t>
      </w:r>
    </w:p>
  </w:footnote>
  <w:footnote w:id="5">
    <w:p w:rsidR="00D40A0E" w:rsidP="0038694C" w14:paraId="6587475D" w14:textId="77777777">
      <w:pPr>
        <w:pStyle w:val="FootnoteText"/>
        <w:tabs>
          <w:tab w:val="left" w:pos="4770"/>
        </w:tabs>
      </w:pPr>
      <w:r>
        <w:rPr>
          <w:rStyle w:val="FootnoteReference"/>
        </w:rPr>
        <w:footnoteRef/>
      </w:r>
      <w:r>
        <w:t xml:space="preserve"> S</w:t>
      </w:r>
      <w:r w:rsidRPr="006F069D">
        <w:t>cammers often use international numbers from regions that also begin with three-digit codes</w:t>
      </w:r>
      <w:r>
        <w:t xml:space="preserve"> and resemble United States area codes, such as </w:t>
      </w:r>
      <w:r w:rsidRPr="006F069D">
        <w:t>649</w:t>
      </w:r>
      <w:r>
        <w:t xml:space="preserve"> (</w:t>
      </w:r>
      <w:r w:rsidRPr="006F069D">
        <w:t>Turks and Caicos</w:t>
      </w:r>
      <w:r>
        <w:t>)</w:t>
      </w:r>
      <w:r w:rsidRPr="006F069D">
        <w:t xml:space="preserve"> and 809</w:t>
      </w:r>
      <w:r>
        <w:t xml:space="preserve"> (</w:t>
      </w:r>
      <w:r w:rsidRPr="006F069D">
        <w:t>Dominican Republic</w:t>
      </w:r>
      <w:r>
        <w:t>)</w:t>
      </w:r>
      <w:r w:rsidRPr="006F069D">
        <w:t xml:space="preserve">. </w:t>
      </w:r>
      <w:r>
        <w:t xml:space="preserve"> </w:t>
      </w:r>
    </w:p>
  </w:footnote>
  <w:footnote w:id="6">
    <w:p w:rsidR="00D40A0E" w:rsidRPr="00DD1ECB" w:rsidP="00FB2BD8" w14:paraId="11C9A15D" w14:textId="77777777">
      <w:pPr>
        <w:pStyle w:val="FootnoteText"/>
      </w:pPr>
      <w:r>
        <w:rPr>
          <w:rStyle w:val="FootnoteReference"/>
        </w:rPr>
        <w:footnoteRef/>
      </w:r>
      <w:r>
        <w:t xml:space="preserve"> Perpetrators of the one-ring scam, by attempting to induce consumers to incur charges for services they did not knowingly wish to purchase, may violate the criminal wire fraud statute in many instances.  </w:t>
      </w:r>
      <w:r>
        <w:rPr>
          <w:i/>
          <w:iCs/>
        </w:rPr>
        <w:t xml:space="preserve">See </w:t>
      </w:r>
      <w:r>
        <w:t xml:space="preserve">18 U.S.C. § 1343 (imposing criminal liability for intentionally executing </w:t>
      </w:r>
      <w:r w:rsidRPr="00E4624D">
        <w:t>a</w:t>
      </w:r>
      <w:r>
        <w:t xml:space="preserve"> “</w:t>
      </w:r>
      <w:r w:rsidRPr="00E4624D">
        <w:t>scheme... to defraud or</w:t>
      </w:r>
      <w:r>
        <w:t xml:space="preserve">… </w:t>
      </w:r>
      <w:r w:rsidRPr="00E4624D">
        <w:t>obtain</w:t>
      </w:r>
      <w:r>
        <w:t>[]</w:t>
      </w:r>
      <w:r w:rsidRPr="00E4624D">
        <w:t xml:space="preserve"> money or property by means of false or fraudulent pretenses, representations, or promises</w:t>
      </w:r>
      <w:r>
        <w:t xml:space="preserve">” using </w:t>
      </w:r>
      <w:r w:rsidRPr="00E4624D">
        <w:t>transmissions by wire</w:t>
      </w:r>
      <w:r>
        <w:t xml:space="preserve"> or radio); </w:t>
      </w:r>
      <w:r>
        <w:rPr>
          <w:i/>
          <w:iCs/>
        </w:rPr>
        <w:t xml:space="preserve">see also United States v. </w:t>
      </w:r>
      <w:r>
        <w:rPr>
          <w:i/>
          <w:iCs/>
        </w:rPr>
        <w:t>Soreide</w:t>
      </w:r>
      <w:r>
        <w:t xml:space="preserve">, 177 Fed. Appx. 31 (11th Cir., Apr. 18, 2006) (affirming wire fraud conviction of cramming perpetrator).  In addition, the one-ring scam frequently relies on caller identification spoofing, which violates section 64.1604(a) of the Commission’s rules. 47 CFR § 64.1604(a) (“No person or entity in the United States shall, with the intent to defraud, cause harm, or wrongfully obtain anything of value, knowingly cause, directly or indirectly, any caller identification service to transmit or display misleading or inaccurate caller identification information.”); and </w:t>
      </w:r>
      <w:r w:rsidRPr="00344834">
        <w:t xml:space="preserve">one-ring scam calls </w:t>
      </w:r>
      <w:r>
        <w:t xml:space="preserve">made with an </w:t>
      </w:r>
      <w:r>
        <w:t>autodialer</w:t>
      </w:r>
      <w:r>
        <w:t xml:space="preserve"> to a mobile phone </w:t>
      </w:r>
      <w:r w:rsidRPr="00344834">
        <w:t xml:space="preserve">may also violate </w:t>
      </w:r>
      <w:r>
        <w:t xml:space="preserve">section 227(b)(1)(A)(iii) of </w:t>
      </w:r>
      <w:r w:rsidRPr="00344834">
        <w:t>the Communications Act</w:t>
      </w:r>
      <w:r>
        <w:t xml:space="preserve"> of 1934, as amended (Communications Act or Act), 47 U.S.C.</w:t>
      </w:r>
      <w:r w:rsidRPr="00ED236A">
        <w:t xml:space="preserve"> </w:t>
      </w:r>
      <w:r>
        <w:t>§ 227(b)(1)(A)(iii), and section 64.1200(a)(1)(iii) of our rules, 47 CFR § 64.1200(a)(1)(iii).</w:t>
      </w:r>
    </w:p>
  </w:footnote>
  <w:footnote w:id="7">
    <w:p w:rsidR="00D40A0E" w14:paraId="7F4039CF" w14:textId="51FF9116">
      <w:pPr>
        <w:pStyle w:val="FootnoteText"/>
      </w:pPr>
      <w:r>
        <w:rPr>
          <w:rStyle w:val="FootnoteReference"/>
        </w:rPr>
        <w:footnoteRef/>
      </w:r>
      <w:r>
        <w:t xml:space="preserve"> </w:t>
      </w:r>
      <w:r>
        <w:rPr>
          <w:i/>
          <w:iCs/>
        </w:rPr>
        <w:t xml:space="preserve">Advanced Methods to Target and Eliminate Unlawful </w:t>
      </w:r>
      <w:r w:rsidRPr="00086A0C">
        <w:rPr>
          <w:i/>
          <w:iCs/>
        </w:rPr>
        <w:t>Robocalls</w:t>
      </w:r>
      <w:r w:rsidRPr="00086A0C">
        <w:t xml:space="preserve">, </w:t>
      </w:r>
      <w:r>
        <w:t xml:space="preserve">CG Docket No. 17-59, Report and Order and Further Notice of Proposed Rulemaking, 32 FCC </w:t>
      </w:r>
      <w:r>
        <w:t>Rcd</w:t>
      </w:r>
      <w:r>
        <w:t xml:space="preserve"> 9706, 9710-9721, paras.</w:t>
      </w:r>
      <w:r w:rsidR="00056A9A">
        <w:t xml:space="preserve"> </w:t>
      </w:r>
      <w:r>
        <w:t>10-40 (2017) (</w:t>
      </w:r>
      <w:r w:rsidRPr="00DC7DE7">
        <w:rPr>
          <w:i/>
          <w:iCs/>
        </w:rPr>
        <w:t xml:space="preserve">2017 </w:t>
      </w:r>
      <w:r>
        <w:rPr>
          <w:i/>
          <w:iCs/>
        </w:rPr>
        <w:t xml:space="preserve">Call Blocking </w:t>
      </w:r>
      <w:r w:rsidRPr="00DC7DE7">
        <w:rPr>
          <w:i/>
          <w:iCs/>
        </w:rPr>
        <w:t>Report and Order</w:t>
      </w:r>
      <w:r>
        <w:t>) (adopting call blocking rules).</w:t>
      </w:r>
      <w:r w:rsidRPr="00D44905">
        <w:t xml:space="preserve"> </w:t>
      </w:r>
      <w:r>
        <w:t xml:space="preserve"> Telephone numbers that are only used by their subscribers to receive inbound calls can be placed on a Do-Not-Originate list.  These subscribers are generally government and enterprise users with call centers that receive calls on a specific toll-free number that is not used to make outbound calls.  When the subscriber’s number is spoofed by a </w:t>
      </w:r>
      <w:r>
        <w:t>robocaller</w:t>
      </w:r>
      <w:r>
        <w:t xml:space="preserve"> without the subscriber’s consent, the calls purporting to be from that number are most likely illegal.  </w:t>
      </w:r>
      <w:r w:rsidRPr="00E742F3">
        <w:rPr>
          <w:i/>
          <w:iCs/>
        </w:rPr>
        <w:t>Id</w:t>
      </w:r>
      <w:r>
        <w:t>. at 9710, para. 10.</w:t>
      </w:r>
    </w:p>
  </w:footnote>
  <w:footnote w:id="8">
    <w:p w:rsidR="00D40A0E" w:rsidP="00F50051" w14:paraId="5DF6AFE9" w14:textId="77777777">
      <w:pPr>
        <w:pStyle w:val="FootnoteText"/>
      </w:pPr>
      <w:r>
        <w:rPr>
          <w:rStyle w:val="FootnoteReference"/>
        </w:rPr>
        <w:footnoteRef/>
      </w:r>
      <w:r>
        <w:t xml:space="preserve"> </w:t>
      </w:r>
      <w:r w:rsidRPr="00174881">
        <w:rPr>
          <w:rFonts w:ascii="TimesNewRoman,Italic" w:hAnsi="TimesNewRoman,Italic" w:cs="TimesNewRoman,Italic"/>
          <w:i/>
          <w:iCs/>
        </w:rPr>
        <w:t>Advanced Methods to Target and Eliminate Unlawful Robocalls</w:t>
      </w:r>
      <w:r w:rsidRPr="00174881">
        <w:t xml:space="preserve">, </w:t>
      </w:r>
      <w:r w:rsidRPr="003F20BB">
        <w:rPr>
          <w:i/>
        </w:rPr>
        <w:t>Call Authentication Trust Anchor</w:t>
      </w:r>
      <w:r>
        <w:t xml:space="preserve">, CG Docket No. 17-599, WC Docket No. 17-97, Declaratory Ruling and Third Further </w:t>
      </w:r>
      <w:r w:rsidRPr="00174881">
        <w:t>Notice of Proposed Rulemakin</w:t>
      </w:r>
      <w:r>
        <w:t xml:space="preserve">g, 34 FCC </w:t>
      </w:r>
      <w:r>
        <w:t>Rcd</w:t>
      </w:r>
      <w:r>
        <w:t xml:space="preserve"> 4876, 4886-88, paras. 33-34 (2019) (</w:t>
      </w:r>
      <w:r w:rsidRPr="000C1743">
        <w:rPr>
          <w:i/>
          <w:iCs/>
        </w:rPr>
        <w:t xml:space="preserve">2019 </w:t>
      </w:r>
      <w:r w:rsidRPr="00ED361D">
        <w:rPr>
          <w:i/>
        </w:rPr>
        <w:t>Call Blocking Declaratory Ruling</w:t>
      </w:r>
      <w:r>
        <w:rPr>
          <w:iCs/>
        </w:rPr>
        <w:t>)</w:t>
      </w:r>
      <w:r>
        <w:t xml:space="preserve">.  Call </w:t>
      </w:r>
      <w:r w:rsidRPr="006A5FD8">
        <w:t xml:space="preserve">blocking </w:t>
      </w:r>
      <w:r>
        <w:t xml:space="preserve">means </w:t>
      </w:r>
      <w:r w:rsidRPr="006A5FD8">
        <w:t xml:space="preserve">“stopping calls outright so that they do not ring a phone, routing the calls directly to voicemail without ringing the phone, or </w:t>
      </w:r>
      <w:r w:rsidRPr="00C94189">
        <w:t>some</w:t>
      </w:r>
      <w:r w:rsidRPr="006A5FD8">
        <w:t xml:space="preserve"> other treatment, such as interactive voice response session or voice call screening.”</w:t>
      </w:r>
      <w:r>
        <w:t xml:space="preserve">  </w:t>
      </w:r>
      <w:r>
        <w:rPr>
          <w:i/>
          <w:iCs/>
        </w:rPr>
        <w:t>Id.</w:t>
      </w:r>
      <w:r>
        <w:t xml:space="preserve"> at 4884, n.47.</w:t>
      </w:r>
    </w:p>
  </w:footnote>
  <w:footnote w:id="9">
    <w:p w:rsidR="00D40A0E" w:rsidP="000E68C0" w14:paraId="5BC76545" w14:textId="77777777">
      <w:pPr>
        <w:pStyle w:val="FootnoteText"/>
      </w:pPr>
      <w:r>
        <w:rPr>
          <w:rStyle w:val="FootnoteReference"/>
        </w:rPr>
        <w:footnoteRef/>
      </w:r>
      <w:r>
        <w:t xml:space="preserve"> </w:t>
      </w:r>
      <w:r w:rsidRPr="00174881">
        <w:rPr>
          <w:rFonts w:ascii="TimesNewRoman,Italic" w:hAnsi="TimesNewRoman,Italic" w:cs="TimesNewRoman,Italic"/>
          <w:i/>
          <w:iCs/>
        </w:rPr>
        <w:t>Advanced Methods to Target and Eliminate Unlawful Robocalls</w:t>
      </w:r>
      <w:r>
        <w:t xml:space="preserve">, CG Docket No. 17-59, </w:t>
      </w:r>
      <w:r w:rsidRPr="00D1506F">
        <w:t>T</w:t>
      </w:r>
      <w:r>
        <w:t>hird</w:t>
      </w:r>
      <w:r w:rsidRPr="00D1506F">
        <w:t xml:space="preserve"> R</w:t>
      </w:r>
      <w:r>
        <w:t>eport</w:t>
      </w:r>
      <w:r w:rsidRPr="00D1506F">
        <w:t xml:space="preserve"> </w:t>
      </w:r>
      <w:r>
        <w:t>and</w:t>
      </w:r>
      <w:r w:rsidRPr="00D1506F">
        <w:t xml:space="preserve"> </w:t>
      </w:r>
      <w:r>
        <w:t>Order</w:t>
      </w:r>
      <w:r w:rsidRPr="00D1506F">
        <w:t>, O</w:t>
      </w:r>
      <w:r>
        <w:t>rder</w:t>
      </w:r>
      <w:r w:rsidRPr="00D1506F">
        <w:t xml:space="preserve"> </w:t>
      </w:r>
      <w:r>
        <w:t>on</w:t>
      </w:r>
      <w:r w:rsidRPr="00D1506F">
        <w:t xml:space="preserve"> R</w:t>
      </w:r>
      <w:r>
        <w:t>econsideration</w:t>
      </w:r>
      <w:r w:rsidRPr="00D1506F">
        <w:t xml:space="preserve">, </w:t>
      </w:r>
      <w:r>
        <w:t xml:space="preserve">and Fourth Further </w:t>
      </w:r>
      <w:r w:rsidRPr="00174881">
        <w:t>Notice of Proposed Rulemakin</w:t>
      </w:r>
      <w:r>
        <w:t xml:space="preserve">g, 35 FCC </w:t>
      </w:r>
      <w:r>
        <w:t>Rcd</w:t>
      </w:r>
      <w:r>
        <w:t xml:space="preserve"> 7614, 7623-37, paras. 20-60 (2020) (</w:t>
      </w:r>
      <w:r>
        <w:rPr>
          <w:i/>
          <w:iCs/>
        </w:rPr>
        <w:t>Call Blocking Safe Harbor Report and Order</w:t>
      </w:r>
      <w:r>
        <w:t xml:space="preserve">). </w:t>
      </w:r>
    </w:p>
  </w:footnote>
  <w:footnote w:id="10">
    <w:p w:rsidR="00D40A0E" w:rsidP="00027105" w14:paraId="0B84E9ED" w14:textId="77777777">
      <w:pPr>
        <w:pStyle w:val="FootnoteText"/>
      </w:pPr>
      <w:r>
        <w:rPr>
          <w:rStyle w:val="FootnoteReference"/>
        </w:rPr>
        <w:footnoteRef/>
      </w:r>
      <w:r>
        <w:t xml:space="preserve"> TRACED Act § 12(a).</w:t>
      </w:r>
    </w:p>
  </w:footnote>
  <w:footnote w:id="11">
    <w:p w:rsidR="00D40A0E" w:rsidP="005308EF" w14:paraId="050EE51F" w14:textId="77777777">
      <w:pPr>
        <w:pStyle w:val="FootnoteText"/>
      </w:pPr>
      <w:r>
        <w:rPr>
          <w:rStyle w:val="FootnoteReference"/>
        </w:rPr>
        <w:footnoteRef/>
      </w:r>
      <w:r>
        <w:t xml:space="preserve"> </w:t>
      </w:r>
      <w:r w:rsidRPr="00F35C70">
        <w:rPr>
          <w:i/>
        </w:rPr>
        <w:t>Id</w:t>
      </w:r>
      <w:r>
        <w:t>. § 12(b)(4).</w:t>
      </w:r>
      <w:r w:rsidRPr="009127AA">
        <w:t xml:space="preserve"> </w:t>
      </w:r>
      <w:r>
        <w:t xml:space="preserve"> </w:t>
      </w:r>
    </w:p>
  </w:footnote>
  <w:footnote w:id="12">
    <w:p w:rsidR="00D40A0E" w:rsidP="009B76E5" w14:paraId="27787655" w14:textId="77777777">
      <w:pPr>
        <w:pStyle w:val="FootnoteText"/>
      </w:pPr>
      <w:r>
        <w:rPr>
          <w:rStyle w:val="FootnoteReference"/>
        </w:rPr>
        <w:footnoteRef/>
      </w:r>
      <w:r>
        <w:t xml:space="preserve"> </w:t>
      </w:r>
      <w:r w:rsidRPr="00F35C70">
        <w:rPr>
          <w:i/>
        </w:rPr>
        <w:t>Id</w:t>
      </w:r>
      <w:r>
        <w:t>. § 12(b)(6).</w:t>
      </w:r>
    </w:p>
  </w:footnote>
  <w:footnote w:id="13">
    <w:p w:rsidR="00D40A0E" w:rsidP="00032D7C" w14:paraId="53606AD4" w14:textId="77777777">
      <w:pPr>
        <w:pStyle w:val="FootnoteText"/>
      </w:pPr>
      <w:r>
        <w:rPr>
          <w:rStyle w:val="FootnoteReference"/>
        </w:rPr>
        <w:footnoteRef/>
      </w:r>
      <w:r>
        <w:t xml:space="preserve"> </w:t>
      </w:r>
      <w:r w:rsidRPr="00F35C70">
        <w:rPr>
          <w:i/>
        </w:rPr>
        <w:t>Id</w:t>
      </w:r>
      <w:r>
        <w:t>. § 12(b)(1), (2), (5).</w:t>
      </w:r>
    </w:p>
  </w:footnote>
  <w:footnote w:id="14">
    <w:p w:rsidR="00D40A0E" w:rsidP="00032D7C" w14:paraId="34EF1996" w14:textId="77777777">
      <w:pPr>
        <w:pStyle w:val="FootnoteText"/>
      </w:pPr>
      <w:r>
        <w:rPr>
          <w:rStyle w:val="FootnoteReference"/>
        </w:rPr>
        <w:footnoteRef/>
      </w:r>
      <w:r>
        <w:t xml:space="preserve"> </w:t>
      </w:r>
      <w:r w:rsidRPr="00F35C70">
        <w:rPr>
          <w:i/>
        </w:rPr>
        <w:t>Id</w:t>
      </w:r>
      <w:r>
        <w:t>. § 12(b)(3).</w:t>
      </w:r>
    </w:p>
  </w:footnote>
  <w:footnote w:id="15">
    <w:p w:rsidR="00D40A0E" w:rsidP="007073E0" w14:paraId="53B56FC6" w14:textId="77777777">
      <w:pPr>
        <w:pStyle w:val="FootnoteText"/>
      </w:pPr>
      <w:r>
        <w:rPr>
          <w:rStyle w:val="FootnoteReference"/>
        </w:rPr>
        <w:footnoteRef/>
      </w:r>
      <w:r>
        <w:t xml:space="preserve"> </w:t>
      </w:r>
      <w:r>
        <w:rPr>
          <w:i/>
          <w:iCs/>
        </w:rPr>
        <w:t>One-Ring Scam NPRM</w:t>
      </w:r>
      <w:r>
        <w:t xml:space="preserve">, 35 FCC </w:t>
      </w:r>
      <w:r>
        <w:t>Rcd</w:t>
      </w:r>
      <w:r>
        <w:t xml:space="preserve"> at 4912, para. 14.</w:t>
      </w:r>
    </w:p>
  </w:footnote>
  <w:footnote w:id="16">
    <w:p w:rsidR="00D40A0E" w14:paraId="728DE86D" w14:textId="77777777">
      <w:pPr>
        <w:pStyle w:val="FootnoteText"/>
      </w:pPr>
      <w:r>
        <w:rPr>
          <w:rStyle w:val="FootnoteReference"/>
        </w:rPr>
        <w:footnoteRef/>
      </w:r>
      <w:r>
        <w:t xml:space="preserve"> The list of commenters is in Appendix A.</w:t>
      </w:r>
    </w:p>
  </w:footnote>
  <w:footnote w:id="17">
    <w:p w:rsidR="00D40A0E" w:rsidP="00810096" w14:paraId="491A9435" w14:textId="77777777">
      <w:pPr>
        <w:pStyle w:val="FootnoteText"/>
      </w:pPr>
      <w:r>
        <w:rPr>
          <w:rStyle w:val="FootnoteReference"/>
        </w:rPr>
        <w:footnoteRef/>
      </w:r>
      <w:r>
        <w:t xml:space="preserve"> Section 12(b)(6) of the TRACED Act directs the Commission to consider requiring international gateway providers to verify the nature or purpose of calls but does not require the Commission to adopt such a rule.  We recently proposed in another proceeding a broader set of safeguards </w:t>
      </w:r>
      <w:r w:rsidRPr="000A255E">
        <w:t xml:space="preserve">to </w:t>
      </w:r>
      <w:r>
        <w:t>“</w:t>
      </w:r>
      <w:r w:rsidRPr="000A255E">
        <w:t>require</w:t>
      </w:r>
      <w:r>
        <w:t xml:space="preserve"> voice service providers </w:t>
      </w:r>
      <w:r w:rsidRPr="000A255E">
        <w:t>to take affirmative, effective measures to prevent new and renewing customers</w:t>
      </w:r>
      <w:r>
        <w:t xml:space="preserve"> </w:t>
      </w:r>
      <w:r w:rsidRPr="000A255E">
        <w:rPr>
          <w:lang w:bidi="he-IL"/>
        </w:rPr>
        <w:t>from using their networks to originate illegal calls</w:t>
      </w:r>
      <w:r>
        <w:rPr>
          <w:lang w:bidi="he-IL"/>
        </w:rPr>
        <w:t xml:space="preserve">” and to hold them </w:t>
      </w:r>
      <w:r>
        <w:t xml:space="preserve">“responsible for doing due diligence on their high-volume customers . . . .”  </w:t>
      </w:r>
      <w:r w:rsidRPr="00ED1A7C">
        <w:rPr>
          <w:i/>
          <w:iCs/>
        </w:rPr>
        <w:t>Call Blocking Safe Harbor Report and Order</w:t>
      </w:r>
      <w:r>
        <w:t xml:space="preserve">, 35 FCC </w:t>
      </w:r>
      <w:r>
        <w:t>Rcd</w:t>
      </w:r>
      <w:r>
        <w:t xml:space="preserve"> at 7645, paras. 101-02.  </w:t>
      </w:r>
      <w:r w:rsidRPr="0075746E">
        <w:t xml:space="preserve">That proposal would </w:t>
      </w:r>
      <w:r>
        <w:t xml:space="preserve">apply to the call-transmission services that </w:t>
      </w:r>
      <w:r w:rsidRPr="0075746E">
        <w:rPr>
          <w:i/>
          <w:iCs/>
        </w:rPr>
        <w:t>all</w:t>
      </w:r>
      <w:r w:rsidRPr="0075746E">
        <w:t xml:space="preserve"> intermediate and terminating voice service providers (not just international gateway providers)</w:t>
      </w:r>
      <w:r>
        <w:t xml:space="preserve"> </w:t>
      </w:r>
      <w:r w:rsidRPr="0075746E">
        <w:t xml:space="preserve">provide to </w:t>
      </w:r>
      <w:r w:rsidRPr="0075746E">
        <w:rPr>
          <w:i/>
          <w:iCs/>
        </w:rPr>
        <w:t>all</w:t>
      </w:r>
      <w:r w:rsidRPr="0075746E">
        <w:t xml:space="preserve"> originating providers (not just foreign entities) and </w:t>
      </w:r>
      <w:r>
        <w:t xml:space="preserve">would </w:t>
      </w:r>
      <w:r w:rsidRPr="0075746E">
        <w:t xml:space="preserve">encompass </w:t>
      </w:r>
      <w:r w:rsidRPr="0075746E">
        <w:rPr>
          <w:i/>
          <w:iCs/>
        </w:rPr>
        <w:t>all</w:t>
      </w:r>
      <w:r w:rsidRPr="0075746E">
        <w:t xml:space="preserve"> types of illegal traffic (not just one-ring scam calls).</w:t>
      </w:r>
      <w:r>
        <w:t xml:space="preserve">  We will therefore address this section 12(b)(6) requirement in that proceeding.</w:t>
      </w:r>
    </w:p>
  </w:footnote>
  <w:footnote w:id="18">
    <w:p w:rsidR="00D40A0E" w:rsidP="00A83585" w14:paraId="1BB4A3C7" w14:textId="77777777">
      <w:pPr>
        <w:pStyle w:val="FootnoteText"/>
      </w:pPr>
      <w:r>
        <w:rPr>
          <w:rStyle w:val="FootnoteReference"/>
        </w:rPr>
        <w:footnoteRef/>
      </w:r>
      <w:r>
        <w:t xml:space="preserve"> We specifically sought comment on adding a new paragraph </w:t>
      </w:r>
      <w:r w:rsidRPr="00C81596">
        <w:t>(iv)</w:t>
      </w:r>
      <w:r>
        <w:t xml:space="preserve"> to section 64.1200(k)(2) of our rules, which lists categories of calls that voice service providers are permitted to block by default.  </w:t>
      </w:r>
      <w:r>
        <w:rPr>
          <w:i/>
          <w:iCs/>
        </w:rPr>
        <w:t>See One-Ring Scam NPRM</w:t>
      </w:r>
      <w:r>
        <w:t xml:space="preserve">, 35 FCC </w:t>
      </w:r>
      <w:r>
        <w:t>Rcd</w:t>
      </w:r>
      <w:r>
        <w:t xml:space="preserve"> at 4912, para. 14.  The new paragraph 64.1200(k)(2)(iv) we adopt here makes clear that voice service providers may lawfully block calls from “telephone numbers that they identify, using reasonable analytics, as highly likely to be associated with a </w:t>
      </w:r>
      <w:r w:rsidRPr="00C81596">
        <w:t>one-ring scam</w:t>
      </w:r>
      <w:r>
        <w:t xml:space="preserve">.”  The new rule is set out in Appendix B, </w:t>
      </w:r>
      <w:r>
        <w:rPr>
          <w:i/>
          <w:iCs/>
        </w:rPr>
        <w:t>infra.</w:t>
      </w:r>
    </w:p>
  </w:footnote>
  <w:footnote w:id="19">
    <w:p w:rsidR="00D40A0E" w:rsidP="005C3670" w14:paraId="7BFBB9B1" w14:textId="77777777">
      <w:pPr>
        <w:pStyle w:val="FootnoteText"/>
      </w:pPr>
      <w:r>
        <w:rPr>
          <w:rStyle w:val="FootnoteReference"/>
        </w:rPr>
        <w:footnoteRef/>
      </w:r>
      <w:r>
        <w:t xml:space="preserve"> TRACED Act § 12(b)(4).  We find that adoption of this rule also addresses the directive in section 12(b)(5) of the TRACED Act that we incorporate the important work of providers of analytics and call-blocking services, in conjunction with voice service providers, to identify and block one-ring scam calls and other unlawful robocalls.  </w:t>
      </w:r>
      <w:r w:rsidRPr="00265768">
        <w:rPr>
          <w:i/>
          <w:iCs/>
        </w:rPr>
        <w:t>Id</w:t>
      </w:r>
      <w:r>
        <w:t>. § 12(b)(5).</w:t>
      </w:r>
    </w:p>
  </w:footnote>
  <w:footnote w:id="20">
    <w:p w:rsidR="00D40A0E" w:rsidP="001D547F" w14:paraId="030FC88B" w14:textId="77777777">
      <w:pPr>
        <w:pStyle w:val="FootnoteText"/>
      </w:pPr>
      <w:r>
        <w:rPr>
          <w:rStyle w:val="FootnoteReference"/>
        </w:rPr>
        <w:footnoteRef/>
      </w:r>
      <w:r>
        <w:t xml:space="preserve"> </w:t>
      </w:r>
      <w:r>
        <w:rPr>
          <w:i/>
          <w:iCs/>
        </w:rPr>
        <w:t>See, e.g.</w:t>
      </w:r>
      <w:r w:rsidRPr="00F44633">
        <w:t>,</w:t>
      </w:r>
      <w:r>
        <w:rPr>
          <w:i/>
          <w:iCs/>
        </w:rPr>
        <w:t xml:space="preserve"> </w:t>
      </w:r>
      <w:r>
        <w:t>USTelecom</w:t>
      </w:r>
      <w:r>
        <w:t xml:space="preserve"> Comments at 2, 4 (stating that the Commission should adopt the general proposal in the </w:t>
      </w:r>
      <w:r w:rsidRPr="001D547F">
        <w:rPr>
          <w:i/>
          <w:iCs/>
        </w:rPr>
        <w:t>One</w:t>
      </w:r>
      <w:r>
        <w:rPr>
          <w:i/>
          <w:iCs/>
        </w:rPr>
        <w:t>-</w:t>
      </w:r>
      <w:r w:rsidRPr="001D547F">
        <w:rPr>
          <w:i/>
          <w:iCs/>
        </w:rPr>
        <w:t>Ring Scam NPRM</w:t>
      </w:r>
      <w:r>
        <w:t xml:space="preserve">, but without “any specific new rules or requirements related to blocking these types of scams”); </w:t>
      </w:r>
      <w:r>
        <w:t>Lanck</w:t>
      </w:r>
      <w:r>
        <w:t xml:space="preserve"> Comments at 6-7.</w:t>
      </w:r>
    </w:p>
  </w:footnote>
  <w:footnote w:id="21">
    <w:p w:rsidR="00D40A0E" w:rsidP="00240293" w14:paraId="0F8D3F1C" w14:textId="77777777">
      <w:pPr>
        <w:pStyle w:val="FootnoteText"/>
      </w:pPr>
      <w:r>
        <w:rPr>
          <w:rStyle w:val="FootnoteReference"/>
        </w:rPr>
        <w:footnoteRef/>
      </w:r>
      <w:r>
        <w:t xml:space="preserve"> For this reason, we are adding a reference to “reasonable analytics” to the rule provision we adopt today (a term that was not included in the rule proposed in the </w:t>
      </w:r>
      <w:r w:rsidRPr="00D5073B">
        <w:rPr>
          <w:i/>
          <w:iCs/>
        </w:rPr>
        <w:t xml:space="preserve">One-Ring Scam </w:t>
      </w:r>
      <w:r>
        <w:rPr>
          <w:i/>
          <w:iCs/>
        </w:rPr>
        <w:t>NPRM</w:t>
      </w:r>
      <w:r>
        <w:t xml:space="preserve">).  </w:t>
      </w:r>
      <w:r>
        <w:rPr>
          <w:i/>
          <w:iCs/>
        </w:rPr>
        <w:t>See infra</w:t>
      </w:r>
      <w:r>
        <w:t xml:space="preserve"> Appendix B (new rule 64.1200(k)(2)(iv).  We are also adopting a new paragraph (f)(8) to create a definition of “one-ring scam” that is consistent with that in the proposed rule set forth in the </w:t>
      </w:r>
      <w:r w:rsidRPr="00D5073B">
        <w:rPr>
          <w:i/>
          <w:iCs/>
        </w:rPr>
        <w:t>One-Ring Scam</w:t>
      </w:r>
      <w:r>
        <w:t xml:space="preserve"> </w:t>
      </w:r>
      <w:r>
        <w:rPr>
          <w:i/>
          <w:iCs/>
        </w:rPr>
        <w:t>NPRM</w:t>
      </w:r>
      <w:r>
        <w:t>.</w:t>
      </w:r>
    </w:p>
  </w:footnote>
  <w:footnote w:id="22">
    <w:p w:rsidR="00D40A0E" w:rsidP="00F663FB" w14:paraId="38BADB02" w14:textId="77777777">
      <w:pPr>
        <w:pStyle w:val="FootnoteText"/>
      </w:pPr>
      <w:r>
        <w:rPr>
          <w:rStyle w:val="FootnoteReference"/>
        </w:rPr>
        <w:footnoteRef/>
      </w:r>
      <w:r>
        <w:t xml:space="preserve"> </w:t>
      </w:r>
      <w:r w:rsidRPr="00EC717D">
        <w:rPr>
          <w:i/>
          <w:iCs/>
        </w:rPr>
        <w:t>See, e.g</w:t>
      </w:r>
      <w:r>
        <w:t xml:space="preserve">., AT&amp;T Comments at 9-10 (“One-ring calling schemes share many of the same characteristics as more traditional illegal robocalling events—e.g., uncharacteristically high no-answer rate and very short average length of call. . . .”); Verizon Reply at 1-2 (“Verizon continuously monitors its network for suspected one-ring scams using sophisticated analytic tools developed by Verizon’s network engineers and data provided by our analytics partner, Transaction Network Services (TNS).”); </w:t>
      </w:r>
      <w:r>
        <w:rPr>
          <w:i/>
          <w:iCs/>
        </w:rPr>
        <w:t xml:space="preserve">see also </w:t>
      </w:r>
      <w:r>
        <w:t xml:space="preserve">CTIA Comments at 4-5; </w:t>
      </w:r>
      <w:r>
        <w:t>USTelecom</w:t>
      </w:r>
      <w:r>
        <w:t xml:space="preserve"> Comments at 2; CenturyLink Reply at 2.  </w:t>
      </w:r>
      <w:r>
        <w:rPr>
          <w:i/>
          <w:iCs/>
        </w:rPr>
        <w:t>See 2019 Call Blocking Declaratory Ruling</w:t>
      </w:r>
      <w:r>
        <w:t xml:space="preserve">, 34 FCC </w:t>
      </w:r>
      <w:r>
        <w:t>Rcd</w:t>
      </w:r>
      <w:r>
        <w:t xml:space="preserve"> at 4888, para. 35 (listing analytics techniques used to identify one-ring scam calls and other types of illegal and unwanted calls).</w:t>
      </w:r>
      <w:r w:rsidRPr="00E16213">
        <w:t xml:space="preserve"> </w:t>
      </w:r>
      <w:r w:rsidRPr="00E16213">
        <w:rPr>
          <w:i/>
          <w:iCs/>
        </w:rPr>
        <w:t xml:space="preserve"> </w:t>
      </w:r>
    </w:p>
  </w:footnote>
  <w:footnote w:id="23">
    <w:p w:rsidR="00D40A0E" w:rsidP="00240293" w14:paraId="7370B14B" w14:textId="77777777">
      <w:pPr>
        <w:pStyle w:val="FootnoteText"/>
      </w:pPr>
      <w:r>
        <w:rPr>
          <w:rStyle w:val="FootnoteReference"/>
        </w:rPr>
        <w:footnoteRef/>
      </w:r>
      <w:r>
        <w:t xml:space="preserve"> These factors distinguish one-ring scam calls from other types of unwanted calls, for which the Commission preserved an opt-out opportunity on the grounds that, “as the Commission has stated previously, consumers should have the choice as to which calls they receive.”  </w:t>
      </w:r>
      <w:r>
        <w:rPr>
          <w:i/>
          <w:iCs/>
        </w:rPr>
        <w:t>Call Blocking Safe Harbor Report and Order</w:t>
      </w:r>
      <w:r>
        <w:t xml:space="preserve">, 35 FCC </w:t>
      </w:r>
      <w:r>
        <w:t>Rcd</w:t>
      </w:r>
      <w:r>
        <w:t xml:space="preserve"> at 7631-32, para. 47.</w:t>
      </w:r>
    </w:p>
  </w:footnote>
  <w:footnote w:id="24">
    <w:p w:rsidR="00D40A0E" w:rsidP="00C01806" w14:paraId="454E74B8" w14:textId="77777777">
      <w:pPr>
        <w:pStyle w:val="FootnoteText"/>
      </w:pPr>
      <w:r>
        <w:rPr>
          <w:rStyle w:val="FootnoteReference"/>
        </w:rPr>
        <w:footnoteRef/>
      </w:r>
      <w:r>
        <w:t xml:space="preserve"> 47 CFR § 64.1200(k)(3); </w:t>
      </w:r>
      <w:r>
        <w:rPr>
          <w:i/>
          <w:iCs/>
        </w:rPr>
        <w:t xml:space="preserve">Call Blocking </w:t>
      </w:r>
      <w:r>
        <w:rPr>
          <w:i/>
        </w:rPr>
        <w:t>Safe Harbor Report and Order</w:t>
      </w:r>
      <w:r>
        <w:rPr>
          <w:iCs/>
        </w:rPr>
        <w:t xml:space="preserve">, 35 FCC </w:t>
      </w:r>
      <w:r>
        <w:rPr>
          <w:iCs/>
        </w:rPr>
        <w:t>Rcd</w:t>
      </w:r>
      <w:r w:rsidRPr="00174881">
        <w:rPr>
          <w:rFonts w:ascii="TimesNewRoman,Italic" w:hAnsi="TimesNewRoman,Italic" w:cs="TimesNewRoman,Italic"/>
          <w:i/>
          <w:iCs/>
        </w:rPr>
        <w:t xml:space="preserve"> </w:t>
      </w:r>
      <w:r>
        <w:t>at 7623-28, paras. 21-38 (adopting “reasonable analytics” and “bad actor” safe harbor rules).</w:t>
      </w:r>
    </w:p>
  </w:footnote>
  <w:footnote w:id="25">
    <w:p w:rsidR="00D40A0E" w:rsidP="00C01806" w14:paraId="6DE09507" w14:textId="77777777">
      <w:pPr>
        <w:pStyle w:val="FootnoteText"/>
      </w:pPr>
      <w:r>
        <w:rPr>
          <w:rStyle w:val="FootnoteReference"/>
        </w:rPr>
        <w:footnoteRef/>
      </w:r>
      <w:r>
        <w:t xml:space="preserve"> </w:t>
      </w:r>
      <w:r w:rsidRPr="005159D5">
        <w:rPr>
          <w:i/>
          <w:iCs/>
        </w:rPr>
        <w:t xml:space="preserve">Call Blocking </w:t>
      </w:r>
      <w:r>
        <w:rPr>
          <w:i/>
        </w:rPr>
        <w:t>Safe Harbor Report and Order</w:t>
      </w:r>
      <w:r>
        <w:rPr>
          <w:iCs/>
        </w:rPr>
        <w:t xml:space="preserve">, 35 FCC </w:t>
      </w:r>
      <w:r>
        <w:rPr>
          <w:iCs/>
        </w:rPr>
        <w:t>Rcd</w:t>
      </w:r>
      <w:r>
        <w:rPr>
          <w:iCs/>
        </w:rPr>
        <w:t xml:space="preserve"> at 7622, </w:t>
      </w:r>
      <w:r>
        <w:t>para.18.</w:t>
      </w:r>
    </w:p>
  </w:footnote>
  <w:footnote w:id="26">
    <w:p w:rsidR="00D40A0E" w14:paraId="5BC213BE" w14:textId="77777777">
      <w:pPr>
        <w:pStyle w:val="FootnoteText"/>
      </w:pPr>
      <w:r>
        <w:rPr>
          <w:rStyle w:val="FootnoteReference"/>
        </w:rPr>
        <w:footnoteRef/>
      </w:r>
      <w:r>
        <w:t xml:space="preserve"> TRACED Act § 4.</w:t>
      </w:r>
    </w:p>
  </w:footnote>
  <w:footnote w:id="27">
    <w:p w:rsidR="00D40A0E" w:rsidP="003A3C2E" w14:paraId="3F7C56EF" w14:textId="77777777">
      <w:pPr>
        <w:pStyle w:val="FootnoteText"/>
      </w:pPr>
      <w:r>
        <w:rPr>
          <w:rStyle w:val="FootnoteReference"/>
        </w:rPr>
        <w:footnoteRef/>
      </w:r>
      <w:r>
        <w:t xml:space="preserve"> </w:t>
      </w:r>
      <w:r w:rsidRPr="00D5073B">
        <w:rPr>
          <w:i/>
          <w:iCs/>
        </w:rPr>
        <w:t>Call Blocking</w:t>
      </w:r>
      <w:r>
        <w:t xml:space="preserve"> </w:t>
      </w:r>
      <w:r>
        <w:rPr>
          <w:i/>
        </w:rPr>
        <w:t>Safe Harbor Report and Order</w:t>
      </w:r>
      <w:r>
        <w:t xml:space="preserve">, </w:t>
      </w:r>
      <w:r>
        <w:rPr>
          <w:iCs/>
        </w:rPr>
        <w:t xml:space="preserve">35 FCC </w:t>
      </w:r>
      <w:r>
        <w:rPr>
          <w:iCs/>
        </w:rPr>
        <w:t>Rcd</w:t>
      </w:r>
      <w:r w:rsidRPr="00174881">
        <w:rPr>
          <w:rFonts w:ascii="TimesNewRoman,Italic" w:hAnsi="TimesNewRoman,Italic" w:cs="TimesNewRoman,Italic"/>
          <w:i/>
          <w:iCs/>
        </w:rPr>
        <w:t xml:space="preserve"> </w:t>
      </w:r>
      <w:r>
        <w:t>at 7623-28, paras. 21-38 (adopting “reasonable analytics” and “bad actor” safe harbor rules).</w:t>
      </w:r>
    </w:p>
  </w:footnote>
  <w:footnote w:id="28">
    <w:p w:rsidR="00D40A0E" w:rsidP="00E91626" w14:paraId="201FF2C8" w14:textId="77777777">
      <w:pPr>
        <w:pStyle w:val="FootnoteText"/>
      </w:pPr>
      <w:r>
        <w:rPr>
          <w:rStyle w:val="FootnoteReference"/>
        </w:rPr>
        <w:footnoteRef/>
      </w:r>
      <w:r>
        <w:t xml:space="preserve"> We sought comment on this issue, and commenters generally opposed a one-ring scam-specific safe harbor.  </w:t>
      </w:r>
      <w:r w:rsidRPr="00017FB3">
        <w:rPr>
          <w:i/>
          <w:iCs/>
        </w:rPr>
        <w:t>See, e.g</w:t>
      </w:r>
      <w:r>
        <w:t>., CTIA Comments at 5-8; Verizon Reply at 2; CenturyLink Reply at 2-3.</w:t>
      </w:r>
    </w:p>
  </w:footnote>
  <w:footnote w:id="29">
    <w:p w:rsidR="00D40A0E" w:rsidP="00641DE1" w14:paraId="04B1A1F9" w14:textId="77777777">
      <w:pPr>
        <w:pStyle w:val="FootnoteText"/>
      </w:pPr>
      <w:r>
        <w:rPr>
          <w:rStyle w:val="FootnoteReference"/>
        </w:rPr>
        <w:footnoteRef/>
      </w:r>
      <w:r>
        <w:t xml:space="preserve"> </w:t>
      </w:r>
      <w:r w:rsidRPr="008C7BD5">
        <w:rPr>
          <w:i/>
          <w:iCs/>
        </w:rPr>
        <w:t>See, e.g</w:t>
      </w:r>
      <w:r>
        <w:t>., AT&amp;T Comments at 10 (noting that the obligation to complete calls is limited to legal calls); CTIA Comments at 3-4 (voice service providers have been protecting consumers from fraudulent robocalls, including one-ring scam calls, for years); CenturyLink Reply at 2-3 (existing call blocking authority is sufficient); Verizon Reply at 1-2 (Verizon monitors its network for one-ring scams and blocks them from reaching its customers).</w:t>
      </w:r>
    </w:p>
  </w:footnote>
  <w:footnote w:id="30">
    <w:p w:rsidR="00D40A0E" w:rsidP="00B436CD" w14:paraId="2D9F9397" w14:textId="77777777">
      <w:pPr>
        <w:pStyle w:val="FootnoteText"/>
      </w:pPr>
      <w:r>
        <w:rPr>
          <w:rStyle w:val="FootnoteReference"/>
        </w:rPr>
        <w:footnoteRef/>
      </w:r>
      <w:r>
        <w:t xml:space="preserve"> </w:t>
      </w:r>
      <w:r>
        <w:rPr>
          <w:i/>
          <w:iCs/>
        </w:rPr>
        <w:t xml:space="preserve">See 2017 Call Blocking Report and </w:t>
      </w:r>
      <w:r w:rsidRPr="006E4766">
        <w:rPr>
          <w:i/>
          <w:iCs/>
        </w:rPr>
        <w:t>Order</w:t>
      </w:r>
      <w:r>
        <w:t xml:space="preserve">, 34 FCC </w:t>
      </w:r>
      <w:r>
        <w:t>Rcd</w:t>
      </w:r>
      <w:r>
        <w:t xml:space="preserve"> at 4883, para. 22 (“</w:t>
      </w:r>
      <w:r w:rsidRPr="006E4766">
        <w:t>The Commission has repeatedly stated that offering call-blocking services does not</w:t>
      </w:r>
      <w:r>
        <w:t xml:space="preserve"> </w:t>
      </w:r>
      <w:r w:rsidRPr="006E4766">
        <w:t>violate voice service providers’ call completion obligations under section 201(b) of the Communications</w:t>
      </w:r>
      <w:r>
        <w:t xml:space="preserve"> </w:t>
      </w:r>
      <w:r w:rsidRPr="006E4766">
        <w:t>Act of 1934, as amended</w:t>
      </w:r>
      <w:r>
        <w:t xml:space="preserve">”); </w:t>
      </w:r>
      <w:r>
        <w:rPr>
          <w:i/>
          <w:iCs/>
        </w:rPr>
        <w:t>id.</w:t>
      </w:r>
      <w:r>
        <w:t xml:space="preserve"> at 4886, para. 31 (opt-in not required).</w:t>
      </w:r>
    </w:p>
  </w:footnote>
  <w:footnote w:id="31">
    <w:p w:rsidR="00D40A0E" w:rsidP="00641DE1" w14:paraId="5DEDE24B" w14:textId="77777777">
      <w:pPr>
        <w:pStyle w:val="FootnoteText"/>
      </w:pPr>
      <w:r>
        <w:rPr>
          <w:rStyle w:val="FootnoteReference"/>
        </w:rPr>
        <w:footnoteRef/>
      </w:r>
      <w:r>
        <w:t xml:space="preserve"> TRACED Act § 12(b)(4).  </w:t>
      </w:r>
    </w:p>
  </w:footnote>
  <w:footnote w:id="32">
    <w:p w:rsidR="00D40A0E" w14:paraId="0A0F3A4E" w14:textId="77777777">
      <w:pPr>
        <w:pStyle w:val="FootnoteText"/>
      </w:pPr>
      <w:r>
        <w:rPr>
          <w:rStyle w:val="FootnoteReference"/>
        </w:rPr>
        <w:footnoteRef/>
      </w:r>
      <w:r>
        <w:t xml:space="preserve"> </w:t>
      </w:r>
      <w:r>
        <w:rPr>
          <w:i/>
          <w:iCs/>
        </w:rPr>
        <w:t xml:space="preserve">See generally </w:t>
      </w:r>
      <w:r w:rsidRPr="00D11500">
        <w:rPr>
          <w:i/>
          <w:iCs/>
        </w:rPr>
        <w:t>Call Blocking Safe Harbor Report and Order</w:t>
      </w:r>
      <w:r>
        <w:t xml:space="preserve">, 35 FCC </w:t>
      </w:r>
      <w:r>
        <w:t>Rcd</w:t>
      </w:r>
      <w:r>
        <w:t xml:space="preserve"> at 7623-28, paras. 21-38; </w:t>
      </w:r>
      <w:r w:rsidRPr="000C1743">
        <w:rPr>
          <w:i/>
          <w:iCs/>
        </w:rPr>
        <w:t xml:space="preserve">2019 </w:t>
      </w:r>
      <w:r w:rsidRPr="00ED361D">
        <w:rPr>
          <w:i/>
        </w:rPr>
        <w:t>Call Blocking Declaratory Ruling</w:t>
      </w:r>
      <w:r>
        <w:t xml:space="preserve">, 34 FCC </w:t>
      </w:r>
      <w:r>
        <w:t>Rcd</w:t>
      </w:r>
      <w:r>
        <w:t xml:space="preserve"> at 4886-88, paras. 33-34; </w:t>
      </w:r>
      <w:r w:rsidRPr="00DC7DE7">
        <w:rPr>
          <w:i/>
          <w:iCs/>
        </w:rPr>
        <w:t xml:space="preserve">2017 </w:t>
      </w:r>
      <w:r>
        <w:rPr>
          <w:i/>
          <w:iCs/>
        </w:rPr>
        <w:t xml:space="preserve">Call Blocking </w:t>
      </w:r>
      <w:r w:rsidRPr="00DC7DE7">
        <w:rPr>
          <w:i/>
          <w:iCs/>
        </w:rPr>
        <w:t>Report and Order</w:t>
      </w:r>
      <w:r>
        <w:t xml:space="preserve">, 32 FCC </w:t>
      </w:r>
      <w:r>
        <w:t>Rcd</w:t>
      </w:r>
      <w:r>
        <w:t xml:space="preserve"> at 9710-9721, paras.10-40.</w:t>
      </w:r>
    </w:p>
  </w:footnote>
  <w:footnote w:id="33">
    <w:p w:rsidR="007D6C7F" w:rsidP="007D6C7F" w14:paraId="06652919" w14:textId="77777777">
      <w:pPr>
        <w:pStyle w:val="FootnoteText"/>
      </w:pPr>
      <w:r>
        <w:rPr>
          <w:rStyle w:val="FootnoteReference"/>
        </w:rPr>
        <w:footnoteRef/>
      </w:r>
      <w:r>
        <w:t xml:space="preserve"> </w:t>
      </w:r>
      <w:r>
        <w:rPr>
          <w:iCs/>
        </w:rPr>
        <w:t>TRACED Act</w:t>
      </w:r>
      <w:r>
        <w:t xml:space="preserve"> § 12(b)(1).</w:t>
      </w:r>
    </w:p>
  </w:footnote>
  <w:footnote w:id="34">
    <w:p w:rsidR="007D6C7F" w:rsidP="007D6C7F" w14:paraId="71E65442" w14:textId="77777777">
      <w:pPr>
        <w:pStyle w:val="FootnoteText"/>
      </w:pPr>
      <w:r>
        <w:rPr>
          <w:rStyle w:val="FootnoteReference"/>
        </w:rPr>
        <w:footnoteRef/>
      </w:r>
      <w:r>
        <w:t xml:space="preserve"> </w:t>
      </w:r>
      <w:r w:rsidRPr="00C01CF0">
        <w:rPr>
          <w:i/>
          <w:iCs/>
        </w:rPr>
        <w:t>Id.</w:t>
      </w:r>
      <w:r>
        <w:t xml:space="preserve"> § 5(a).</w:t>
      </w:r>
    </w:p>
  </w:footnote>
  <w:footnote w:id="35">
    <w:p w:rsidR="007D6C7F" w:rsidP="007D6C7F" w14:paraId="2C3B6050" w14:textId="77777777">
      <w:pPr>
        <w:pStyle w:val="FootnoteText"/>
      </w:pPr>
      <w:r>
        <w:rPr>
          <w:rStyle w:val="FootnoteReference"/>
        </w:rPr>
        <w:footnoteRef/>
      </w:r>
      <w:r>
        <w:t xml:space="preserve"> </w:t>
      </w:r>
      <w:r w:rsidRPr="006279FF">
        <w:rPr>
          <w:i/>
          <w:iCs/>
        </w:rPr>
        <w:t>See</w:t>
      </w:r>
      <w:r>
        <w:t xml:space="preserve"> U.S. Department of Justice, Telephone Robocall Abuse Criminal Enforcement and Deterrence Act – 2020 Report to Congress at 8-14 (2020), </w:t>
      </w:r>
      <w:hyperlink r:id="rId1" w:history="1">
        <w:r w:rsidRPr="00054721">
          <w:rPr>
            <w:rStyle w:val="Hyperlink"/>
          </w:rPr>
          <w:t>https://www.justice.gov/opa/press-release/file/1331576/download</w:t>
        </w:r>
      </w:hyperlink>
      <w:r>
        <w:t xml:space="preserve"> (discussing the Commission’s enforcement actions, warning letters, and rulemaking actions regarding the TRACED Act).</w:t>
      </w:r>
    </w:p>
  </w:footnote>
  <w:footnote w:id="36">
    <w:p w:rsidR="007D6C7F" w:rsidP="007D6C7F" w14:paraId="7CEAAC1C" w14:textId="77777777">
      <w:pPr>
        <w:pStyle w:val="FootnoteText"/>
      </w:pPr>
      <w:r>
        <w:rPr>
          <w:rStyle w:val="FootnoteReference"/>
        </w:rPr>
        <w:footnoteRef/>
      </w:r>
      <w:r>
        <w:t xml:space="preserve"> AT&amp;T also suggests that the Commission and the Justice Department establish an interagency working group to increase robocall enforcement and improve interagency coordination to prevent TCPA violations and prosecute violators.  AT&amp;T Comments at 11-12.</w:t>
      </w:r>
    </w:p>
  </w:footnote>
  <w:footnote w:id="37">
    <w:p w:rsidR="00D40A0E" w:rsidP="00B11004" w14:paraId="119193D0" w14:textId="77777777">
      <w:pPr>
        <w:pStyle w:val="FootnoteText"/>
      </w:pPr>
      <w:r>
        <w:rPr>
          <w:rStyle w:val="FootnoteReference"/>
        </w:rPr>
        <w:footnoteRef/>
      </w:r>
      <w:r>
        <w:t xml:space="preserve"> TRACED Act § 12(b)(3).</w:t>
      </w:r>
    </w:p>
  </w:footnote>
  <w:footnote w:id="38">
    <w:p w:rsidR="00D40A0E" w:rsidP="004A451F" w14:paraId="18E05028" w14:textId="77777777">
      <w:pPr>
        <w:pStyle w:val="FootnoteText"/>
      </w:pPr>
      <w:r>
        <w:rPr>
          <w:rStyle w:val="FootnoteReference"/>
        </w:rPr>
        <w:footnoteRef/>
      </w:r>
      <w:r>
        <w:t xml:space="preserve"> </w:t>
      </w:r>
      <w:r w:rsidRPr="00036340">
        <w:rPr>
          <w:i/>
          <w:iCs/>
        </w:rPr>
        <w:t>See, e.g.</w:t>
      </w:r>
      <w:r>
        <w:t xml:space="preserve">, FCC, </w:t>
      </w:r>
      <w:r w:rsidRPr="00036340">
        <w:rPr>
          <w:i/>
          <w:iCs/>
        </w:rPr>
        <w:t>Coronavirus Scams—Consumer Resources</w:t>
      </w:r>
      <w:r>
        <w:t xml:space="preserve">, </w:t>
      </w:r>
      <w:hyperlink r:id="rId2" w:history="1">
        <w:r>
          <w:rPr>
            <w:rStyle w:val="Hyperlink"/>
          </w:rPr>
          <w:t>https://www.fcc.gov/covid-scams</w:t>
        </w:r>
      </w:hyperlink>
      <w:r>
        <w:t xml:space="preserve"> (last visited Aug. 17, 2020).</w:t>
      </w:r>
    </w:p>
  </w:footnote>
  <w:footnote w:id="39">
    <w:p w:rsidR="00D40A0E" w:rsidP="004A451F" w14:paraId="706FCDD8" w14:textId="77777777">
      <w:pPr>
        <w:pStyle w:val="FootnoteText"/>
      </w:pPr>
      <w:r>
        <w:rPr>
          <w:rStyle w:val="FootnoteReference"/>
        </w:rPr>
        <w:footnoteRef/>
      </w:r>
      <w:r>
        <w:t xml:space="preserve"> </w:t>
      </w:r>
      <w:r w:rsidRPr="00525422">
        <w:rPr>
          <w:i/>
          <w:iCs/>
        </w:rPr>
        <w:t>Fake Caller ID Schemes: Information on Federal Agencies’ Efforts to Enforce Laws, Educate the Public, and Support Technical Initiatives</w:t>
      </w:r>
      <w:r>
        <w:t xml:space="preserve">, </w:t>
      </w:r>
      <w:hyperlink r:id="rId3" w:history="1">
        <w:r w:rsidRPr="00C12DA6">
          <w:rPr>
            <w:rStyle w:val="Hyperlink"/>
          </w:rPr>
          <w:t>https://www.gao.gov/assets/710/703362.pdf</w:t>
        </w:r>
      </w:hyperlink>
      <w:r>
        <w:t xml:space="preserve"> (last visited Mar. 11, 2020).</w:t>
      </w:r>
    </w:p>
  </w:footnote>
  <w:footnote w:id="40">
    <w:p w:rsidR="00D40A0E" w:rsidP="00AE1677" w14:paraId="0C38C3F8" w14:textId="77777777">
      <w:pPr>
        <w:pStyle w:val="FootnoteText"/>
      </w:pPr>
      <w:r>
        <w:rPr>
          <w:rStyle w:val="FootnoteReference"/>
        </w:rPr>
        <w:footnoteRef/>
      </w:r>
      <w:r>
        <w:t xml:space="preserve"> </w:t>
      </w:r>
      <w:r>
        <w:rPr>
          <w:iCs/>
        </w:rPr>
        <w:t xml:space="preserve">TRACED Act </w:t>
      </w:r>
      <w:r>
        <w:t>§ 12(b)(2).</w:t>
      </w:r>
    </w:p>
  </w:footnote>
  <w:footnote w:id="41">
    <w:p w:rsidR="00D40A0E" w:rsidRPr="00A25B67" w:rsidP="00A25B67" w14:paraId="78C2B52A" w14:textId="77777777">
      <w:pPr>
        <w:pStyle w:val="FootnoteText"/>
        <w:rPr>
          <w:color w:val="000000"/>
        </w:rPr>
      </w:pPr>
      <w:r>
        <w:rPr>
          <w:rStyle w:val="FootnoteReference"/>
        </w:rPr>
        <w:footnoteRef/>
      </w:r>
      <w:r>
        <w:t xml:space="preserve"> </w:t>
      </w:r>
      <w:r w:rsidRPr="006F038B">
        <w:rPr>
          <w:i/>
          <w:iCs/>
          <w:color w:val="000000"/>
        </w:rPr>
        <w:t>See, e.g.</w:t>
      </w:r>
      <w:r w:rsidRPr="006F038B">
        <w:rPr>
          <w:color w:val="000000"/>
        </w:rPr>
        <w:t>, Memorandum of Understanding between the United States Federal Communications Commission and the Canadian Radio-television and Telecommunications Commission on Mutual Assistance in the Enforcement of Laws on Automated Telephone Calls and Inaccurate Caller Identification (2016),</w:t>
      </w:r>
      <w:r>
        <w:rPr>
          <w:color w:val="000000"/>
        </w:rPr>
        <w:t xml:space="preserve"> </w:t>
      </w:r>
      <w:hyperlink r:id="rId4" w:tgtFrame="_blank" w:history="1">
        <w:r w:rsidRPr="006F038B">
          <w:rPr>
            <w:rStyle w:val="Hyperlink"/>
          </w:rPr>
          <w:t>https://apps.fcc.gov/edocs_public/attachmatch/DOC-342222A1.pdf</w:t>
        </w:r>
      </w:hyperlink>
      <w:r w:rsidRPr="006F038B">
        <w:rPr>
          <w:color w:val="000000"/>
        </w:rPr>
        <w:t xml:space="preserve">. </w:t>
      </w:r>
    </w:p>
  </w:footnote>
  <w:footnote w:id="42">
    <w:p w:rsidR="00D40A0E" w:rsidP="00F663FB" w14:paraId="60AD15AD" w14:textId="77777777">
      <w:pPr>
        <w:pStyle w:val="FootnoteText"/>
      </w:pPr>
      <w:r>
        <w:rPr>
          <w:rStyle w:val="FootnoteReference"/>
        </w:rPr>
        <w:footnoteRef/>
      </w:r>
      <w:r>
        <w:t xml:space="preserve"> </w:t>
      </w:r>
      <w:r w:rsidRPr="006F038B">
        <w:rPr>
          <w:i/>
          <w:iCs/>
          <w:color w:val="000000"/>
        </w:rPr>
        <w:t>See generally </w:t>
      </w:r>
      <w:r w:rsidRPr="006F038B">
        <w:rPr>
          <w:color w:val="000000"/>
        </w:rPr>
        <w:t>Member Organizations - Unsolicited Communications Enforcement Network (</w:t>
      </w:r>
      <w:r w:rsidRPr="006F038B">
        <w:rPr>
          <w:color w:val="000000"/>
        </w:rPr>
        <w:t>UCENet</w:t>
      </w:r>
      <w:r w:rsidRPr="006F038B">
        <w:rPr>
          <w:color w:val="000000"/>
        </w:rPr>
        <w:t>),</w:t>
      </w:r>
      <w:r>
        <w:rPr>
          <w:color w:val="000000"/>
        </w:rPr>
        <w:t xml:space="preserve"> </w:t>
      </w:r>
      <w:hyperlink r:id="rId5" w:tgtFrame="_blank" w:history="1">
        <w:r w:rsidRPr="006F038B">
          <w:rPr>
            <w:rStyle w:val="Hyperlink"/>
          </w:rPr>
          <w:t>https://www.ucenet.org/member-organizations/</w:t>
        </w:r>
      </w:hyperlink>
      <w:r w:rsidRPr="006F038B">
        <w:rPr>
          <w:color w:val="000000"/>
        </w:rPr>
        <w:t xml:space="preserve"> (last visited </w:t>
      </w:r>
      <w:r>
        <w:rPr>
          <w:color w:val="000000"/>
        </w:rPr>
        <w:t xml:space="preserve">Sept. 30, 2020) (listing </w:t>
      </w:r>
      <w:r w:rsidRPr="006F038B">
        <w:rPr>
          <w:color w:val="000000"/>
        </w:rPr>
        <w:t>member agencies).</w:t>
      </w:r>
    </w:p>
  </w:footnote>
  <w:footnote w:id="43">
    <w:p w:rsidR="00D40A0E" w:rsidP="00810096" w14:paraId="6B256CC8" w14:textId="77777777">
      <w:pPr>
        <w:pStyle w:val="FootnoteText"/>
      </w:pPr>
      <w:r>
        <w:rPr>
          <w:rStyle w:val="FootnoteReference"/>
        </w:rPr>
        <w:footnoteRef/>
      </w:r>
      <w:r>
        <w:t xml:space="preserve"> </w:t>
      </w:r>
      <w:r w:rsidRPr="006F038B">
        <w:rPr>
          <w:i/>
          <w:iCs/>
          <w:color w:val="000000"/>
        </w:rPr>
        <w:t>See generally</w:t>
      </w:r>
      <w:r w:rsidRPr="006F038B">
        <w:rPr>
          <w:color w:val="000000"/>
        </w:rPr>
        <w:t> ITU-T, ITU-T Work Programme, </w:t>
      </w:r>
      <w:hyperlink r:id="rId6" w:tgtFrame="_blank" w:history="1">
        <w:r w:rsidRPr="006F038B">
          <w:rPr>
            <w:rStyle w:val="Hyperlink"/>
          </w:rPr>
          <w:t>https://www.itu.int/ITU-T/workprog/wp_search.aspx?sg=2&amp;q=1</w:t>
        </w:r>
      </w:hyperlink>
      <w:r>
        <w:rPr>
          <w:color w:val="000000"/>
        </w:rPr>
        <w:t xml:space="preserve"> </w:t>
      </w:r>
      <w:r w:rsidRPr="006F038B">
        <w:rPr>
          <w:color w:val="000000"/>
        </w:rPr>
        <w:t>(last visited</w:t>
      </w:r>
      <w:r w:rsidRPr="00CC4D70">
        <w:t xml:space="preserve"> Sept. 24, 2020) </w:t>
      </w:r>
      <w:r w:rsidRPr="006F038B">
        <w:rPr>
          <w:color w:val="000000"/>
        </w:rPr>
        <w:t xml:space="preserve">(detailing the current work </w:t>
      </w:r>
      <w:r w:rsidRPr="006F038B">
        <w:rPr>
          <w:color w:val="000000"/>
        </w:rPr>
        <w:t>programme</w:t>
      </w:r>
      <w:r w:rsidRPr="006F038B">
        <w:rPr>
          <w:color w:val="000000"/>
        </w:rPr>
        <w:t xml:space="preserve"> of ITU-T Study Group 2, which includes, among othe</w:t>
      </w:r>
      <w:r w:rsidRPr="00CC4D70">
        <w:t>r</w:t>
      </w:r>
      <w:r>
        <w:t xml:space="preserve"> </w:t>
      </w:r>
      <w:r w:rsidRPr="00CC4D70">
        <w:t>issues, information exchange related to one-ring scams);</w:t>
      </w:r>
      <w:r w:rsidRPr="006F038B">
        <w:rPr>
          <w:color w:val="000000"/>
        </w:rPr>
        <w:t> </w:t>
      </w:r>
      <w:r w:rsidRPr="006F038B">
        <w:rPr>
          <w:i/>
          <w:iCs/>
          <w:color w:val="000000"/>
        </w:rPr>
        <w:t>see also, e.g.</w:t>
      </w:r>
      <w:r w:rsidRPr="006F038B">
        <w:rPr>
          <w:color w:val="000000"/>
        </w:rPr>
        <w:t>, ITU-D, ITU-D Study Groups,</w:t>
      </w:r>
      <w:r>
        <w:rPr>
          <w:color w:val="000000"/>
        </w:rPr>
        <w:t xml:space="preserve"> </w:t>
      </w:r>
      <w:hyperlink r:id="rId7" w:tgtFrame="_blank" w:history="1">
        <w:r w:rsidRPr="006F038B">
          <w:rPr>
            <w:rStyle w:val="Hyperlink"/>
          </w:rPr>
          <w:t>https://www.itu.int/net4/ITU-D/CDS/sg/index.asp?lg=1&amp;sp=2018</w:t>
        </w:r>
      </w:hyperlink>
      <w:r w:rsidRPr="006F038B">
        <w:rPr>
          <w:color w:val="000000"/>
        </w:rPr>
        <w:t> (last visite</w:t>
      </w:r>
      <w:r w:rsidRPr="00CC4D70">
        <w:t>d Sept. 24, 2020)</w:t>
      </w:r>
      <w:r w:rsidRPr="006F038B">
        <w:rPr>
          <w:color w:val="000000"/>
        </w:rPr>
        <w:t xml:space="preserve"> (describing ongoing information-sharing efforts within the ITU Development Sector related to enhancing consumer protection and building confidence in the use of </w:t>
      </w:r>
      <w:r>
        <w:rPr>
          <w:color w:val="000000"/>
        </w:rPr>
        <w:t>i</w:t>
      </w:r>
      <w:r w:rsidRPr="006F038B">
        <w:rPr>
          <w:color w:val="000000"/>
        </w:rPr>
        <w:t xml:space="preserve">nformation and </w:t>
      </w:r>
      <w:r>
        <w:rPr>
          <w:color w:val="000000"/>
        </w:rPr>
        <w:t>c</w:t>
      </w:r>
      <w:r w:rsidRPr="006F038B">
        <w:rPr>
          <w:color w:val="000000"/>
        </w:rPr>
        <w:t xml:space="preserve">ommunications </w:t>
      </w:r>
      <w:r>
        <w:rPr>
          <w:color w:val="000000"/>
        </w:rPr>
        <w:t>t</w:t>
      </w:r>
      <w:r w:rsidRPr="006F038B">
        <w:rPr>
          <w:color w:val="000000"/>
        </w:rPr>
        <w:t>echnologies).</w:t>
      </w:r>
    </w:p>
  </w:footnote>
  <w:footnote w:id="44">
    <w:p w:rsidR="007D6C7F" w:rsidP="007D6C7F" w14:paraId="5896F624" w14:textId="77777777">
      <w:pPr>
        <w:pStyle w:val="FootnoteText"/>
      </w:pPr>
      <w:r>
        <w:rPr>
          <w:rStyle w:val="FootnoteReference"/>
        </w:rPr>
        <w:footnoteRef/>
      </w:r>
      <w:r>
        <w:t xml:space="preserve"> </w:t>
      </w:r>
      <w:r w:rsidRPr="003330B9">
        <w:rPr>
          <w:i/>
          <w:iCs/>
        </w:rPr>
        <w:t>See, e.g.</w:t>
      </w:r>
      <w:r>
        <w:t xml:space="preserve">, </w:t>
      </w:r>
      <w:r>
        <w:t>iconectiv</w:t>
      </w:r>
      <w:r>
        <w:t xml:space="preserve"> Comments at 3; </w:t>
      </w:r>
      <w:r>
        <w:t>ZipDX</w:t>
      </w:r>
      <w:r>
        <w:t xml:space="preserve"> Comments at 2-3. </w:t>
      </w:r>
      <w:r w:rsidRPr="00493233">
        <w:t xml:space="preserve"> </w:t>
      </w:r>
      <w:r>
        <w:t>ZipDX</w:t>
      </w:r>
      <w:r>
        <w:t xml:space="preserve"> explains that the one-ring scam can use premium-cost numbers, analogous to 900 and 976 numbers in the North American Numbering Plan, that are billed at a higher rate.  </w:t>
      </w:r>
      <w:r>
        <w:t>ZipDX</w:t>
      </w:r>
      <w:r>
        <w:t xml:space="preserve"> </w:t>
      </w:r>
      <w:r>
        <w:t>Comments  at</w:t>
      </w:r>
      <w:r>
        <w:t xml:space="preserve"> 3.  We decline to adopt the suggestion raised by a commenter that we adopt a rule that providers may block outbound calls </w:t>
      </w:r>
      <w:r w:rsidRPr="00D972DD">
        <w:t>from</w:t>
      </w:r>
      <w:r>
        <w:t xml:space="preserve"> U.S. consumers </w:t>
      </w:r>
      <w:r w:rsidRPr="00D972DD">
        <w:t>to</w:t>
      </w:r>
      <w:r>
        <w:t xml:space="preserve"> a number likely associated with a one-ring scam.  </w:t>
      </w:r>
      <w:r w:rsidRPr="00D972DD">
        <w:rPr>
          <w:i/>
          <w:iCs/>
        </w:rPr>
        <w:t>Se</w:t>
      </w:r>
      <w:r>
        <w:rPr>
          <w:i/>
          <w:iCs/>
        </w:rPr>
        <w:t>e</w:t>
      </w:r>
      <w:r>
        <w:t xml:space="preserve"> </w:t>
      </w:r>
      <w:r>
        <w:t>iconectiv</w:t>
      </w:r>
      <w:r>
        <w:t xml:space="preserve"> Comments at 3.  We did not seek comment on the issue of blocking outbound calls and it appears to be outside of the scope of the requirements in section 12 of the TRACED Act.</w:t>
      </w:r>
    </w:p>
  </w:footnote>
  <w:footnote w:id="45">
    <w:p w:rsidR="00D40A0E" w:rsidP="00983816" w14:paraId="2AC406C7" w14:textId="77777777">
      <w:pPr>
        <w:pStyle w:val="FootnoteText"/>
      </w:pPr>
      <w:r>
        <w:rPr>
          <w:rStyle w:val="FootnoteReference"/>
        </w:rPr>
        <w:footnoteRef/>
      </w:r>
      <w:r>
        <w:t xml:space="preserve"> </w:t>
      </w:r>
      <w:r w:rsidRPr="00953418">
        <w:rPr>
          <w:i/>
        </w:rPr>
        <w:t>See</w:t>
      </w:r>
      <w:r>
        <w:t xml:space="preserve"> 5 U.S.C. § 603.  </w:t>
      </w:r>
      <w:r w:rsidRPr="00B60211">
        <w:t xml:space="preserve">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46">
    <w:p w:rsidR="00D40A0E" w:rsidP="003A5F10" w14:paraId="3D44CF91" w14:textId="77777777">
      <w:pPr>
        <w:pStyle w:val="FootnoteText"/>
      </w:pPr>
      <w:r>
        <w:rPr>
          <w:rStyle w:val="FootnoteReference"/>
        </w:rPr>
        <w:footnoteRef/>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47">
    <w:p w:rsidR="00D40A0E" w14:paraId="13DBCE43" w14:textId="77777777">
      <w:pPr>
        <w:pStyle w:val="FootnoteText"/>
      </w:pPr>
      <w:r>
        <w:rPr>
          <w:rStyle w:val="FootnoteReference"/>
        </w:rPr>
        <w:footnoteRef/>
      </w:r>
      <w:r>
        <w:t xml:space="preserve"> </w:t>
      </w:r>
      <w:r w:rsidRPr="0034560B">
        <w:rPr>
          <w:i/>
          <w:iCs/>
        </w:rPr>
        <w:t>Protecting Consumers from One-Ring Scams</w:t>
      </w:r>
      <w:r>
        <w:t xml:space="preserve">, CG Docket No. 20-93, Notice of Proposed Rulemaking, 35 FCC </w:t>
      </w:r>
      <w:r>
        <w:t>Rcd</w:t>
      </w:r>
      <w:r>
        <w:t xml:space="preserve"> 4908 (2020) (</w:t>
      </w:r>
      <w:r w:rsidRPr="0034560B">
        <w:rPr>
          <w:i/>
          <w:iCs/>
        </w:rPr>
        <w:t>N</w:t>
      </w:r>
      <w:r>
        <w:rPr>
          <w:i/>
          <w:iCs/>
        </w:rPr>
        <w:t>otice</w:t>
      </w:r>
      <w:r>
        <w:t>).</w:t>
      </w:r>
    </w:p>
  </w:footnote>
  <w:footnote w:id="48">
    <w:p w:rsidR="00D40A0E" w14:paraId="728498FC" w14:textId="77777777">
      <w:pPr>
        <w:pStyle w:val="FootnoteText"/>
      </w:pPr>
      <w:r>
        <w:rPr>
          <w:rStyle w:val="FootnoteReference"/>
        </w:rPr>
        <w:footnoteRef/>
      </w:r>
      <w:r>
        <w:t xml:space="preserve"> 5 U.S.C. § 603(a).</w:t>
      </w:r>
    </w:p>
  </w:footnote>
  <w:footnote w:id="49">
    <w:p w:rsidR="00D40A0E" w:rsidP="003A5F10" w14:paraId="63EDE1AC" w14:textId="77777777">
      <w:pPr>
        <w:pStyle w:val="FootnoteText"/>
      </w:pPr>
      <w:r>
        <w:rPr>
          <w:rStyle w:val="FootnoteReference"/>
        </w:rPr>
        <w:footnoteRef/>
      </w:r>
      <w:r>
        <w:t xml:space="preserve"> Pallone-Thune Telephone Robocall Abuse Criminal Enforcement and Deterrence Act, Pub. L. No. 116-105, 133 Stat. 3274 (2019) (TRACED Act); TRACED Act § 12.</w:t>
      </w:r>
    </w:p>
  </w:footnote>
  <w:footnote w:id="50">
    <w:p w:rsidR="00D40A0E" w:rsidP="003A5F10" w14:paraId="37F77381" w14:textId="77777777">
      <w:pPr>
        <w:pStyle w:val="FootnoteText"/>
      </w:pPr>
      <w:r>
        <w:rPr>
          <w:rStyle w:val="FootnoteReference"/>
        </w:rPr>
        <w:footnoteRef/>
      </w:r>
      <w:r>
        <w:t xml:space="preserve"> </w:t>
      </w:r>
      <w:r w:rsidRPr="00F35C70">
        <w:rPr>
          <w:i/>
        </w:rPr>
        <w:t>Id</w:t>
      </w:r>
      <w:r>
        <w:t>. § 12(d)(1).</w:t>
      </w:r>
    </w:p>
  </w:footnote>
  <w:footnote w:id="51">
    <w:p w:rsidR="00D40A0E" w:rsidP="003A5F10" w14:paraId="2B16E48C" w14:textId="77777777">
      <w:pPr>
        <w:pStyle w:val="FootnoteText"/>
      </w:pPr>
      <w:r>
        <w:rPr>
          <w:rStyle w:val="FootnoteReference"/>
        </w:rPr>
        <w:footnoteRef/>
      </w:r>
      <w:r>
        <w:t xml:space="preserve"> The Commission was required to initiate this proceeding not later than 120 days after enactment of the TRACED Act; i.e., 120 days after December 30, 2019, which was April 28, 2020.  </w:t>
      </w:r>
    </w:p>
  </w:footnote>
  <w:footnote w:id="52">
    <w:p w:rsidR="00D40A0E" w:rsidP="003A5F10" w14:paraId="284A89AE" w14:textId="77777777">
      <w:pPr>
        <w:pStyle w:val="FootnoteText"/>
      </w:pPr>
      <w:r>
        <w:rPr>
          <w:rStyle w:val="FootnoteReference"/>
        </w:rPr>
        <w:footnoteRef/>
      </w:r>
      <w:r>
        <w:t xml:space="preserve"> TRACED Act § 12(b)(1).</w:t>
      </w:r>
    </w:p>
  </w:footnote>
  <w:footnote w:id="53">
    <w:p w:rsidR="00D40A0E" w:rsidP="003A5F10" w14:paraId="4E90A23D" w14:textId="77777777">
      <w:pPr>
        <w:pStyle w:val="FootnoteText"/>
      </w:pPr>
      <w:r>
        <w:rPr>
          <w:rStyle w:val="FootnoteReference"/>
        </w:rPr>
        <w:footnoteRef/>
      </w:r>
      <w:r>
        <w:t xml:space="preserve"> </w:t>
      </w:r>
      <w:r w:rsidRPr="00F35C70">
        <w:rPr>
          <w:i/>
        </w:rPr>
        <w:t>Id</w:t>
      </w:r>
      <w:r>
        <w:t>. § 12(b)(2).</w:t>
      </w:r>
    </w:p>
  </w:footnote>
  <w:footnote w:id="54">
    <w:p w:rsidR="00D40A0E" w:rsidP="003A5F10" w14:paraId="1DACE9AF" w14:textId="77777777">
      <w:pPr>
        <w:pStyle w:val="FootnoteText"/>
      </w:pPr>
      <w:r>
        <w:rPr>
          <w:rStyle w:val="FootnoteReference"/>
        </w:rPr>
        <w:footnoteRef/>
      </w:r>
      <w:r>
        <w:t xml:space="preserve"> </w:t>
      </w:r>
      <w:r w:rsidRPr="00F35C70">
        <w:rPr>
          <w:i/>
        </w:rPr>
        <w:t>Id</w:t>
      </w:r>
      <w:r>
        <w:t>. § 12(b)(3).</w:t>
      </w:r>
    </w:p>
  </w:footnote>
  <w:footnote w:id="55">
    <w:p w:rsidR="00D40A0E" w:rsidP="003A5F10" w14:paraId="0D8DAB28" w14:textId="77777777">
      <w:pPr>
        <w:pStyle w:val="FootnoteText"/>
      </w:pPr>
      <w:r>
        <w:rPr>
          <w:rStyle w:val="FootnoteReference"/>
        </w:rPr>
        <w:footnoteRef/>
      </w:r>
      <w:r>
        <w:t xml:space="preserve"> </w:t>
      </w:r>
      <w:r w:rsidRPr="00F35C70">
        <w:rPr>
          <w:i/>
        </w:rPr>
        <w:t>Id</w:t>
      </w:r>
      <w:r>
        <w:t>. § 12(b)(4).</w:t>
      </w:r>
    </w:p>
  </w:footnote>
  <w:footnote w:id="56">
    <w:p w:rsidR="00D40A0E" w:rsidP="003A5F10" w14:paraId="0EEBC313" w14:textId="77777777">
      <w:pPr>
        <w:pStyle w:val="FootnoteText"/>
      </w:pPr>
      <w:r>
        <w:rPr>
          <w:rStyle w:val="FootnoteReference"/>
        </w:rPr>
        <w:footnoteRef/>
      </w:r>
      <w:r>
        <w:t xml:space="preserve"> </w:t>
      </w:r>
      <w:r w:rsidRPr="00F35C70">
        <w:rPr>
          <w:i/>
        </w:rPr>
        <w:t>Id</w:t>
      </w:r>
      <w:r>
        <w:t>. § 12(b)(5).</w:t>
      </w:r>
    </w:p>
  </w:footnote>
  <w:footnote w:id="57">
    <w:p w:rsidR="00D40A0E" w:rsidP="003A5F10" w14:paraId="05A76375" w14:textId="77777777">
      <w:pPr>
        <w:pStyle w:val="FootnoteText"/>
      </w:pPr>
      <w:r>
        <w:rPr>
          <w:rStyle w:val="FootnoteReference"/>
        </w:rPr>
        <w:footnoteRef/>
      </w:r>
      <w:r>
        <w:t xml:space="preserve"> </w:t>
      </w:r>
      <w:r w:rsidRPr="00F35C70">
        <w:rPr>
          <w:i/>
        </w:rPr>
        <w:t>Id</w:t>
      </w:r>
      <w:r>
        <w:t>. § 12(b)(6).</w:t>
      </w:r>
    </w:p>
  </w:footnote>
  <w:footnote w:id="58">
    <w:p w:rsidR="00D40A0E" w14:paraId="019F31C9" w14:textId="77777777">
      <w:pPr>
        <w:pStyle w:val="FootnoteText"/>
      </w:pPr>
      <w:r>
        <w:rPr>
          <w:rStyle w:val="FootnoteReference"/>
        </w:rPr>
        <w:footnoteRef/>
      </w:r>
      <w:r>
        <w:t xml:space="preserve"> 5 U.S.C.</w:t>
      </w:r>
      <w:r w:rsidRPr="00885A77">
        <w:t xml:space="preserve"> </w:t>
      </w:r>
      <w:r>
        <w:t>§ 604 (a)(3).</w:t>
      </w:r>
    </w:p>
  </w:footnote>
  <w:footnote w:id="59">
    <w:p w:rsidR="00D40A0E" w:rsidP="003A5F10" w14:paraId="53459AEC" w14:textId="77777777">
      <w:pPr>
        <w:pStyle w:val="FootnoteText"/>
      </w:pPr>
      <w:r>
        <w:rPr>
          <w:rStyle w:val="FootnoteReference"/>
        </w:rPr>
        <w:footnoteRef/>
      </w:r>
      <w:r>
        <w:t xml:space="preserve"> 5 U.S.C. § 603(b)(3).</w:t>
      </w:r>
    </w:p>
  </w:footnote>
  <w:footnote w:id="60">
    <w:p w:rsidR="00D40A0E" w:rsidP="003A5F10" w14:paraId="305544B3" w14:textId="77777777">
      <w:pPr>
        <w:pStyle w:val="FootnoteText"/>
      </w:pPr>
      <w:r>
        <w:rPr>
          <w:rStyle w:val="FootnoteReference"/>
        </w:rPr>
        <w:footnoteRef/>
      </w:r>
      <w:r>
        <w:t xml:space="preserve"> 5 U.S.C. § 601(6).</w:t>
      </w:r>
    </w:p>
  </w:footnote>
  <w:footnote w:id="61">
    <w:p w:rsidR="00D40A0E" w:rsidP="003A5F10" w14:paraId="52395AB9"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2">
    <w:p w:rsidR="00D40A0E" w:rsidP="003A5F10" w14:paraId="7D5A40EC" w14:textId="77777777">
      <w:pPr>
        <w:pStyle w:val="FootnoteText"/>
      </w:pPr>
      <w:r>
        <w:rPr>
          <w:rStyle w:val="FootnoteReference"/>
        </w:rPr>
        <w:footnoteRef/>
      </w:r>
      <w:r>
        <w:t xml:space="preserve"> 15 U.S.C. § 632.</w:t>
      </w:r>
    </w:p>
  </w:footnote>
  <w:footnote w:id="63">
    <w:p w:rsidR="00D40A0E" w:rsidP="003A5F10" w14:paraId="0A799626"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8" w:history="1">
        <w:r w:rsidRPr="00843376">
          <w:rPr>
            <w:rStyle w:val="Hyperlink"/>
          </w:rPr>
          <w:t>http://www.census.gov/cgi-bin/sssd/naics/naicsrch</w:t>
        </w:r>
      </w:hyperlink>
      <w:r w:rsidRPr="00843376">
        <w:t>.</w:t>
      </w:r>
    </w:p>
  </w:footnote>
  <w:footnote w:id="64">
    <w:p w:rsidR="00D40A0E" w:rsidP="003A5F10" w14:paraId="7581DF62" w14:textId="77777777">
      <w:pPr>
        <w:pStyle w:val="FootnoteText"/>
      </w:pPr>
      <w:r>
        <w:rPr>
          <w:rStyle w:val="FootnoteReference"/>
        </w:rPr>
        <w:footnoteRef/>
      </w:r>
      <w: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65">
    <w:p w:rsidR="00D40A0E" w:rsidP="003A5F10" w14:paraId="1263998E" w14:textId="77777777">
      <w:pPr>
        <w:pStyle w:val="FootnoteText"/>
      </w:pPr>
      <w:r>
        <w:rPr>
          <w:rStyle w:val="FootnoteReference"/>
        </w:rPr>
        <w:footnoteRef/>
      </w:r>
      <w:r>
        <w:t xml:space="preserve"> 2012 U.S. Economic Census, NAICs Code 517311, at </w:t>
      </w:r>
      <w:hyperlink r:id="rId9"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66">
    <w:p w:rsidR="00D40A0E" w:rsidP="003A5F10" w14:paraId="1206A63E"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8" w:history="1">
        <w:r w:rsidRPr="00843376">
          <w:rPr>
            <w:rStyle w:val="Hyperlink"/>
          </w:rPr>
          <w:t>http://www.census.gov/cgi-bin/sssd/naics/naicsrch</w:t>
        </w:r>
      </w:hyperlink>
      <w:r w:rsidRPr="00843376">
        <w:t>.</w:t>
      </w:r>
    </w:p>
  </w:footnote>
  <w:footnote w:id="67">
    <w:p w:rsidR="00D40A0E" w:rsidP="003A5F10" w14:paraId="24246135" w14:textId="77777777">
      <w:pPr>
        <w:pStyle w:val="FootnoteText"/>
      </w:pPr>
      <w:r>
        <w:rPr>
          <w:rStyle w:val="Footnote"/>
          <w:vertAlign w:val="superscript"/>
        </w:rPr>
        <w:footnoteRef/>
      </w:r>
      <w:r>
        <w:rPr>
          <w:rStyle w:val="Footnote"/>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68">
    <w:p w:rsidR="00D40A0E" w:rsidP="003A5F10" w14:paraId="22B1E913" w14:textId="77777777">
      <w:pPr>
        <w:pStyle w:val="FootnoteText"/>
      </w:pPr>
      <w:r>
        <w:rPr>
          <w:rStyle w:val="FootnoteReference"/>
        </w:rPr>
        <w:footnoteRef/>
      </w:r>
      <w:r>
        <w:t xml:space="preserve"> 2012 U.S. Economic Census, NAICs Code 517311, at </w:t>
      </w:r>
      <w:hyperlink r:id="rId9"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69">
    <w:p w:rsidR="00D40A0E" w:rsidP="003A5F10" w14:paraId="1E4747EF"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8" w:history="1">
        <w:r w:rsidRPr="00843376">
          <w:rPr>
            <w:rStyle w:val="Hyperlink"/>
          </w:rPr>
          <w:t>http://www.census.gov/cgi-bin/sssd/naics/naicsrch</w:t>
        </w:r>
      </w:hyperlink>
      <w:r w:rsidRPr="00843376">
        <w:t>.</w:t>
      </w:r>
    </w:p>
  </w:footnote>
  <w:footnote w:id="70">
    <w:p w:rsidR="00D40A0E" w:rsidP="003A5F10" w14:paraId="2F9F60FC" w14:textId="77777777">
      <w:pPr>
        <w:pStyle w:val="FootnoteText"/>
      </w:pPr>
      <w:r>
        <w:rPr>
          <w:rStyle w:val="Footnote"/>
          <w:vertAlign w:val="superscript"/>
        </w:rPr>
        <w:footnoteRef/>
      </w:r>
      <w:r>
        <w:rPr>
          <w:rStyle w:val="Footnote"/>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71">
    <w:p w:rsidR="00D40A0E" w:rsidP="003A5F10" w14:paraId="10587020" w14:textId="77777777">
      <w:pPr>
        <w:pStyle w:val="FootnoteText"/>
      </w:pPr>
      <w:r>
        <w:rPr>
          <w:rStyle w:val="FootnoteReference"/>
        </w:rPr>
        <w:footnoteRef/>
      </w:r>
      <w:r>
        <w:t xml:space="preserve"> 2012 U.S. Economic Census, NAICs Code 517311, at </w:t>
      </w:r>
      <w:hyperlink r:id="rId9"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72">
    <w:p w:rsidR="00D40A0E" w:rsidP="003A5F10" w14:paraId="2BD24787"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8" w:history="1">
        <w:r w:rsidRPr="00843376">
          <w:rPr>
            <w:rStyle w:val="Hyperlink"/>
          </w:rPr>
          <w:t>http://www.census.gov/cgi-bin/sssd/naics/naicsrch</w:t>
        </w:r>
      </w:hyperlink>
      <w:r w:rsidRPr="00843376">
        <w:t>.</w:t>
      </w:r>
    </w:p>
  </w:footnote>
  <w:footnote w:id="73">
    <w:p w:rsidR="00D40A0E" w:rsidP="003A5F10" w14:paraId="3D0EDFF5" w14:textId="77777777">
      <w:pPr>
        <w:pStyle w:val="FootnoteText"/>
      </w:pPr>
      <w:r>
        <w:rPr>
          <w:rStyle w:val="FootnoteReference"/>
        </w:rPr>
        <w:footnoteRef/>
      </w:r>
      <w: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74">
    <w:p w:rsidR="00D40A0E" w:rsidP="003A5F10" w14:paraId="7EB292A4" w14:textId="77777777">
      <w:pPr>
        <w:pStyle w:val="FootnoteText"/>
      </w:pPr>
      <w:r>
        <w:rPr>
          <w:rStyle w:val="FootnoteReference"/>
        </w:rPr>
        <w:footnoteRef/>
      </w:r>
      <w:r>
        <w:t xml:space="preserve"> 2012 U.S. Economic Census, NAICs Code 517311, at </w:t>
      </w:r>
      <w:hyperlink r:id="rId9"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75">
    <w:p w:rsidR="00D40A0E" w:rsidP="003A5F10" w14:paraId="23B09936" w14:textId="77777777">
      <w:pPr>
        <w:adjustRightInd w:val="0"/>
        <w:spacing w:after="120"/>
      </w:pPr>
      <w:r>
        <w:rPr>
          <w:rStyle w:val="FootnoteReference"/>
        </w:rPr>
        <w:footnoteRef/>
      </w:r>
      <w:r>
        <w:rPr>
          <w:sz w:val="20"/>
        </w:rPr>
        <w:t xml:space="preserve"> </w:t>
      </w:r>
      <w:r>
        <w:t>5 U.S.C. § 601(3).</w:t>
      </w:r>
    </w:p>
  </w:footnote>
  <w:footnote w:id="76">
    <w:p w:rsidR="00D40A0E" w:rsidP="003A5F10" w14:paraId="48F27B5E" w14:textId="77777777">
      <w:pPr>
        <w:pStyle w:val="FootnoteText"/>
      </w:pPr>
      <w:r>
        <w:rPr>
          <w:rStyle w:val="FootnoteReference"/>
        </w:rPr>
        <w:footnoteRef/>
      </w:r>
      <w:r>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77">
    <w:p w:rsidR="00D40A0E" w:rsidP="003A5F10" w14:paraId="19739B52"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8" w:history="1">
        <w:r w:rsidRPr="00843376">
          <w:rPr>
            <w:rStyle w:val="Hyperlink"/>
          </w:rPr>
          <w:t>http://www.census.gov/cgi-bin/sssd/naics/naicsrch</w:t>
        </w:r>
      </w:hyperlink>
      <w:r w:rsidRPr="00843376">
        <w:t>.</w:t>
      </w:r>
    </w:p>
  </w:footnote>
  <w:footnote w:id="78">
    <w:p w:rsidR="00D40A0E" w:rsidP="003A5F10" w14:paraId="031A47EC" w14:textId="77777777">
      <w:pPr>
        <w:pStyle w:val="FootnoteText"/>
      </w:pPr>
      <w:r>
        <w:rPr>
          <w:rStyle w:val="Footnote"/>
          <w:vertAlign w:val="superscript"/>
        </w:rPr>
        <w:footnoteRef/>
      </w:r>
      <w:r w:rsidRPr="00446788">
        <w:rPr>
          <w:rStyle w:val="Heading2CharChar2"/>
          <w:bCs/>
          <w:snapToGrid w:val="0"/>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79">
    <w:p w:rsidR="00D40A0E" w:rsidP="003A5F10" w14:paraId="2245E5E1" w14:textId="77777777">
      <w:pPr>
        <w:pStyle w:val="FootnoteText"/>
      </w:pPr>
      <w:r>
        <w:rPr>
          <w:rStyle w:val="FootnoteReference"/>
        </w:rPr>
        <w:footnoteRef/>
      </w:r>
      <w:r>
        <w:t xml:space="preserve"> 2012 U.S. Economic Census, NAICs Code 517311, at </w:t>
      </w:r>
      <w:hyperlink r:id="rId9"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80">
    <w:p w:rsidR="00D40A0E" w:rsidRPr="00AE638C" w:rsidP="00352A53" w14:paraId="6E90A49B" w14:textId="77777777">
      <w:pPr>
        <w:pStyle w:val="FootnoteText"/>
        <w:rPr>
          <w:color w:val="000000"/>
        </w:rPr>
      </w:pPr>
      <w:r w:rsidRPr="00AE638C">
        <w:rPr>
          <w:rStyle w:val="FootnoteReference"/>
          <w:rFonts w:eastAsia="Yu Mincho"/>
          <w:color w:val="000000"/>
        </w:rPr>
        <w:footnoteRef/>
      </w:r>
      <w:r w:rsidRPr="00AE638C">
        <w:rPr>
          <w:color w:val="000000"/>
        </w:rPr>
        <w:t xml:space="preserve"> 47 U.S.C. § 543(m)(2); </w:t>
      </w:r>
      <w:r w:rsidRPr="00AE638C">
        <w:rPr>
          <w:i/>
          <w:color w:val="000000"/>
        </w:rPr>
        <w:t>see</w:t>
      </w:r>
      <w:r w:rsidRPr="00AE638C">
        <w:rPr>
          <w:color w:val="000000"/>
        </w:rPr>
        <w:t xml:space="preserve"> 47 CFR § 76.901(</w:t>
      </w:r>
      <w:r>
        <w:rPr>
          <w:color w:val="000000"/>
        </w:rPr>
        <w:t>e</w:t>
      </w:r>
      <w:r w:rsidRPr="00AE638C">
        <w:rPr>
          <w:color w:val="000000"/>
        </w:rPr>
        <w:t>).</w:t>
      </w:r>
    </w:p>
  </w:footnote>
  <w:footnote w:id="81">
    <w:p w:rsidR="00D40A0E" w:rsidRPr="00A07C7D" w:rsidP="00352A53" w14:paraId="3E07C42C" w14:textId="77777777">
      <w:pPr>
        <w:pStyle w:val="FootnoteText"/>
      </w:pPr>
      <w:r>
        <w:rPr>
          <w:rStyle w:val="FootnoteReference"/>
          <w:rFonts w:eastAsia="Yu Mincho"/>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Pr>
          <w:i/>
        </w:rPr>
        <w:t xml:space="preserve">, see also </w:t>
      </w:r>
      <w:r w:rsidRPr="00C4415A">
        <w:rPr>
          <w:i/>
        </w:rPr>
        <w:t>U.S. Multichannel Industry Benchmarks, U.S. Cable Industry Benchmarks, Basic Subscribers 2019Y,</w:t>
      </w:r>
      <w:r>
        <w:rPr>
          <w:i/>
        </w:rPr>
        <w:t xml:space="preserve"> </w:t>
      </w:r>
      <w:hyperlink r:id="rId10" w:history="1">
        <w:r w:rsidRPr="009B4B7C">
          <w:rPr>
            <w:rStyle w:val="Hyperlink"/>
            <w:rFonts w:eastAsia="Yu Mincho"/>
          </w:rPr>
          <w:t>https://platform.marketintelligence.spglobal.com</w:t>
        </w:r>
      </w:hyperlink>
      <w:r>
        <w:rPr>
          <w:i/>
        </w:rPr>
        <w:t xml:space="preserve">. </w:t>
      </w:r>
    </w:p>
  </w:footnote>
  <w:footnote w:id="82">
    <w:p w:rsidR="00D40A0E" w:rsidRPr="00C43F7F" w:rsidP="00352A53" w14:paraId="4AFD9B2F" w14:textId="77777777">
      <w:pPr>
        <w:pStyle w:val="FootnoteText"/>
      </w:pPr>
      <w:r w:rsidRPr="00A07C7D">
        <w:rPr>
          <w:rStyle w:val="FootnoteReference"/>
          <w:rFonts w:eastAsia="Yu Mincho"/>
        </w:rPr>
        <w:footnoteRef/>
      </w:r>
      <w:r w:rsidRPr="00A07C7D">
        <w:t xml:space="preserve"> 47 CFR § 76.901(</w:t>
      </w:r>
      <w:r>
        <w:t>e</w:t>
      </w:r>
      <w:r w:rsidRPr="00A07C7D">
        <w:t>).</w:t>
      </w:r>
    </w:p>
  </w:footnote>
  <w:footnote w:id="83">
    <w:p w:rsidR="00D40A0E" w:rsidRPr="00701D5D" w:rsidP="00352A53" w14:paraId="7E3733AF" w14:textId="77777777">
      <w:pPr>
        <w:pStyle w:val="FootnoteText"/>
      </w:pPr>
      <w:r w:rsidRPr="00C4415A">
        <w:rPr>
          <w:rStyle w:val="FootnoteReference"/>
          <w:rFonts w:eastAsia="Yu Mincho"/>
        </w:rPr>
        <w:footnoteRef/>
      </w:r>
      <w:r w:rsidRPr="00C4415A">
        <w:rPr>
          <w:rStyle w:val="Hyperlink"/>
          <w:rFonts w:eastAsia="Yu Mincho"/>
        </w:rPr>
        <w:t xml:space="preserve"> </w:t>
      </w:r>
      <w:r>
        <w:t xml:space="preserve">S&amp;P Global Market Intelligence, </w:t>
      </w:r>
      <w:r w:rsidRPr="0067729E">
        <w:rPr>
          <w:i/>
        </w:rPr>
        <w:t>Top Cable MSOs as of 12/</w:t>
      </w:r>
      <w:r w:rsidRPr="00701D5D">
        <w:rPr>
          <w:i/>
        </w:rPr>
        <w:t>201</w:t>
      </w:r>
      <w:r>
        <w:rPr>
          <w:i/>
        </w:rPr>
        <w:t xml:space="preserve">9, </w:t>
      </w:r>
      <w:hyperlink r:id="rId10" w:history="1">
        <w:r w:rsidRPr="009B4B7C">
          <w:rPr>
            <w:rStyle w:val="Hyperlink"/>
            <w:rFonts w:eastAsia="Yu Mincho"/>
          </w:rPr>
          <w:t>https://platform.marketintelligence.spglobal.com</w:t>
        </w:r>
      </w:hyperlink>
      <w:r>
        <w:rPr>
          <w:i/>
        </w:rPr>
        <w:t>.</w:t>
      </w:r>
      <w:r w:rsidRPr="007A71C7">
        <w:rPr>
          <w:iCs/>
        </w:rPr>
        <w:t xml:space="preserve">  </w:t>
      </w:r>
      <w:r w:rsidRPr="00701D5D">
        <w:rPr>
          <w:rStyle w:val="Hyperlink"/>
          <w:rFonts w:eastAsia="Yu Mincho"/>
        </w:rPr>
        <w:t xml:space="preserve">The </w:t>
      </w:r>
      <w:r>
        <w:rPr>
          <w:rStyle w:val="Hyperlink"/>
          <w:rFonts w:eastAsia="Yu Mincho"/>
        </w:rPr>
        <w:t>five cable</w:t>
      </w:r>
      <w:r w:rsidRPr="00701D5D">
        <w:rPr>
          <w:rStyle w:val="Hyperlink"/>
          <w:rFonts w:eastAsia="Yu Mincho"/>
        </w:rPr>
        <w:t xml:space="preserve"> operators all had more than </w:t>
      </w:r>
      <w:r>
        <w:t xml:space="preserve">486,460 </w:t>
      </w:r>
      <w:r w:rsidRPr="00701D5D">
        <w:rPr>
          <w:rStyle w:val="Hyperlink"/>
          <w:rFonts w:eastAsia="Yu Mincho"/>
        </w:rPr>
        <w:t xml:space="preserve">basic cable subscribers. </w:t>
      </w:r>
    </w:p>
  </w:footnote>
  <w:footnote w:id="84">
    <w:p w:rsidR="00D40A0E" w:rsidRPr="00AE638C" w:rsidP="00352A53" w14:paraId="26C6CA12" w14:textId="77777777">
      <w:pPr>
        <w:pStyle w:val="FootnoteText"/>
        <w:rPr>
          <w:color w:val="000000"/>
        </w:rPr>
      </w:pPr>
      <w:r w:rsidRPr="00AE638C">
        <w:rPr>
          <w:rStyle w:val="FootnoteReference"/>
          <w:rFonts w:eastAsia="Yu Mincho"/>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AE638C">
        <w:rPr>
          <w:i/>
          <w:color w:val="000000"/>
        </w:rPr>
        <w:t>See</w:t>
      </w:r>
      <w:r w:rsidRPr="00AE638C">
        <w:rPr>
          <w:color w:val="000000"/>
        </w:rPr>
        <w:t xml:space="preserve"> 47 CFR § 76.909(b).</w:t>
      </w:r>
    </w:p>
  </w:footnote>
  <w:footnote w:id="85">
    <w:p w:rsidR="00D40A0E" w:rsidP="003A5F10" w14:paraId="3342D401"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8" w:history="1">
        <w:r w:rsidRPr="00843376">
          <w:rPr>
            <w:rStyle w:val="Hyperlink"/>
          </w:rPr>
          <w:t>http://www.census.gov/cgi-bin/sssd/naics/naicsrch</w:t>
        </w:r>
      </w:hyperlink>
      <w:r w:rsidRPr="00843376">
        <w:t>.</w:t>
      </w:r>
    </w:p>
  </w:footnote>
  <w:footnote w:id="86">
    <w:p w:rsidR="00D40A0E" w:rsidP="003A5F10" w14:paraId="25CBFE6F" w14:textId="77777777">
      <w:pPr>
        <w:pStyle w:val="FootnoteText"/>
      </w:pPr>
      <w:r>
        <w:rPr>
          <w:rStyle w:val="Footnote"/>
          <w:vertAlign w:val="superscript"/>
        </w:rPr>
        <w:footnoteRef/>
      </w:r>
      <w:r w:rsidRPr="00446788">
        <w:rPr>
          <w:rStyle w:val="Heading2CharChar2"/>
          <w:bCs/>
          <w:snapToGrid w:val="0"/>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87">
    <w:p w:rsidR="00D40A0E" w:rsidP="003A5F10" w14:paraId="1DECBA86" w14:textId="77777777">
      <w:pPr>
        <w:pStyle w:val="FootnoteText"/>
      </w:pPr>
      <w:r>
        <w:rPr>
          <w:rStyle w:val="FootnoteReference"/>
        </w:rPr>
        <w:footnoteRef/>
      </w:r>
      <w:r>
        <w:t xml:space="preserve"> 2012 U.S. Economic Census, NAICs Code 517311, at </w:t>
      </w:r>
      <w:hyperlink r:id="rId9"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88">
    <w:p w:rsidR="00D40A0E" w:rsidP="003A5F10" w14:paraId="1DBC6420"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312</w:t>
      </w:r>
      <w:r w:rsidRPr="00843376">
        <w:rPr>
          <w:bCs/>
        </w:rPr>
        <w:t xml:space="preserve"> Wireless Telecommunications </w:t>
      </w:r>
      <w:r>
        <w:rPr>
          <w:bCs/>
        </w:rPr>
        <w:t>Carriers</w:t>
      </w:r>
      <w:r w:rsidRPr="00843376">
        <w:rPr>
          <w:bCs/>
        </w:rPr>
        <w:t xml:space="preserve"> (Except Satellite)”;</w:t>
      </w:r>
      <w:r w:rsidRPr="00843376">
        <w:t xml:space="preserve"> </w:t>
      </w:r>
      <w:hyperlink r:id="rId8" w:history="1">
        <w:r w:rsidRPr="00843376">
          <w:rPr>
            <w:rStyle w:val="Hyperlink"/>
          </w:rPr>
          <w:t>http://www.census.gov/cgi-bin/sssd/naics/naicsrch</w:t>
        </w:r>
      </w:hyperlink>
      <w:r w:rsidRPr="00843376">
        <w:t>.</w:t>
      </w:r>
    </w:p>
  </w:footnote>
  <w:footnote w:id="89">
    <w:p w:rsidR="00D40A0E" w:rsidP="003A5F10" w14:paraId="5F59D100" w14:textId="77777777">
      <w:pPr>
        <w:pStyle w:val="FootnoteText"/>
      </w:pPr>
      <w:r>
        <w:rPr>
          <w:rStyle w:val="FootnoteReference"/>
        </w:rPr>
        <w:footnoteRef/>
      </w:r>
      <w:r>
        <w:t xml:space="preserve"> </w:t>
      </w:r>
      <w:r w:rsidRPr="00843376">
        <w:t>13 CFR § 121.201, NAICS code 517</w:t>
      </w:r>
      <w:r>
        <w:t>312</w:t>
      </w:r>
      <w:r w:rsidRPr="00843376">
        <w:t xml:space="preserve"> (201</w:t>
      </w:r>
      <w:r>
        <w:t>7</w:t>
      </w:r>
      <w:r w:rsidRPr="00843376">
        <w:t xml:space="preserve"> NAICS).  The now-superseded CFR citation w</w:t>
      </w:r>
      <w:r>
        <w:t>as</w:t>
      </w:r>
      <w:r w:rsidRPr="00843376">
        <w:t xml:space="preserve"> 13 CFR § 121.201, NAICS code </w:t>
      </w:r>
      <w:r>
        <w:t>517312</w:t>
      </w:r>
      <w:r w:rsidRPr="00843376">
        <w:t xml:space="preserve"> (referring to the 20</w:t>
      </w:r>
      <w:r>
        <w:t>1</w:t>
      </w:r>
      <w:r w:rsidRPr="00843376">
        <w:t>2 NAICS).</w:t>
      </w:r>
    </w:p>
  </w:footnote>
  <w:footnote w:id="90">
    <w:p w:rsidR="00D40A0E" w:rsidP="003A5F10" w14:paraId="13B3E1BE" w14:textId="77777777">
      <w:pPr>
        <w:pStyle w:val="FootnoteText"/>
      </w:pPr>
      <w:r>
        <w:rPr>
          <w:rStyle w:val="FootnoteReference"/>
        </w:rPr>
        <w:footnoteRef/>
      </w:r>
      <w:r>
        <w:t xml:space="preserve"> 2012 U.S. Economic Census, NAICs Code 517210, at </w:t>
      </w:r>
      <w:hyperlink r:id="rId11" w:history="1">
        <w:r>
          <w:rPr>
            <w:rStyle w:val="Hyperlink"/>
          </w:rPr>
          <w:t>https://data.census.gov/cedsci/table?q=Estab%20%26%20Firm%20Size%3A%20Employment%20Size%20of%20Firms%20for%20the%20U.S&amp;g=&amp;table=EC1251SSSZ5&amp;tid=ECNSIZE2012.EC1251SSSZ5&amp;hidePreview=false&amp;lastDisplayedRow=11&amp;vintage=2012&amp;n=517210</w:t>
        </w:r>
      </w:hyperlink>
      <w:r>
        <w:t>.</w:t>
      </w:r>
    </w:p>
  </w:footnote>
  <w:footnote w:id="91">
    <w:p w:rsidR="00D40A0E" w:rsidP="003A5F10" w14:paraId="76E7E959" w14:textId="77777777">
      <w:pPr>
        <w:pStyle w:val="FootnoteText"/>
      </w:pPr>
      <w:r>
        <w:rPr>
          <w:rStyle w:val="FootnoteReference"/>
        </w:rPr>
        <w:footnoteRef/>
      </w:r>
      <w:r>
        <w:t xml:space="preserve"> </w:t>
      </w:r>
      <w:r w:rsidRPr="009E1A14">
        <w:rPr>
          <w:i/>
        </w:rPr>
        <w:t>Trends in Telephone Service</w:t>
      </w:r>
      <w:r>
        <w:t>, Federal Communications Commission, Wireline Competition Bureau, Industry Analysis and Technology Division at Table 5.3 (Sept. 2010) (</w:t>
      </w:r>
      <w:r w:rsidRPr="009E1A14">
        <w:rPr>
          <w:i/>
        </w:rPr>
        <w:t>Trends in Telephone Service</w:t>
      </w:r>
      <w:r>
        <w:t>).</w:t>
      </w:r>
    </w:p>
  </w:footnote>
  <w:footnote w:id="92">
    <w:p w:rsidR="00D40A0E" w:rsidP="003A5F10" w14:paraId="39EFE56E" w14:textId="77777777">
      <w:pPr>
        <w:pStyle w:val="FootnoteText"/>
      </w:pPr>
      <w:r>
        <w:rPr>
          <w:rStyle w:val="FootnoteReference"/>
        </w:rPr>
        <w:footnoteRef/>
      </w:r>
      <w:r>
        <w:t xml:space="preserve"> </w:t>
      </w:r>
      <w:r>
        <w:rPr>
          <w:i/>
        </w:rPr>
        <w:t>Id.</w:t>
      </w:r>
    </w:p>
  </w:footnote>
  <w:footnote w:id="93">
    <w:p w:rsidR="00D40A0E" w:rsidP="003A5F10" w14:paraId="43418E98" w14:textId="77777777">
      <w:pPr>
        <w:pStyle w:val="FootnoteText"/>
      </w:pPr>
      <w:r>
        <w:rPr>
          <w:rStyle w:val="FootnoteReference"/>
        </w:rPr>
        <w:footnoteRef/>
      </w:r>
      <w:r>
        <w:t xml:space="preserve"> U.S. Census Bureau, 2012 NAICS Definitions, “517410 Satellite Telecommunications,” </w:t>
      </w:r>
      <w:hyperlink r:id="rId12" w:history="1">
        <w:r>
          <w:rPr>
            <w:rStyle w:val="Hyperlink"/>
          </w:rPr>
          <w:t>http://www.census.gov/cgi-bin/sssd/naics/naicsrch?code=517410&amp;search=2012</w:t>
        </w:r>
      </w:hyperlink>
      <w:r>
        <w:t>.</w:t>
      </w:r>
    </w:p>
  </w:footnote>
  <w:footnote w:id="94">
    <w:p w:rsidR="00D40A0E" w:rsidP="003A5F10" w14:paraId="45082AB2" w14:textId="77777777">
      <w:pPr>
        <w:pStyle w:val="FootnoteText"/>
        <w:spacing w:line="120" w:lineRule="atLeast"/>
      </w:pPr>
      <w:r>
        <w:rPr>
          <w:rStyle w:val="FootnoteReference"/>
        </w:rPr>
        <w:footnoteRef/>
      </w:r>
      <w:r>
        <w:rPr>
          <w:lang w:val="fr-FR"/>
        </w:rPr>
        <w:t xml:space="preserve"> 13 CFR § 121.201, NAICS Code 517410.</w:t>
      </w:r>
    </w:p>
  </w:footnote>
  <w:footnote w:id="95">
    <w:p w:rsidR="00D40A0E" w:rsidP="003A5F10" w14:paraId="655AC175" w14:textId="77777777">
      <w:pPr>
        <w:pStyle w:val="FootnoteText"/>
      </w:pPr>
      <w:r>
        <w:rPr>
          <w:rStyle w:val="FootnoteReference"/>
        </w:rPr>
        <w:footnoteRef/>
      </w:r>
      <w:r>
        <w:t xml:space="preserve"> U.S. Census Bureau, 2012 Economic Census, Subject Series:  Information, “Establishment and Firm Size,” NAICS code 517410.</w:t>
      </w:r>
    </w:p>
  </w:footnote>
  <w:footnote w:id="96">
    <w:p w:rsidR="00D40A0E" w:rsidP="003A5F10" w14:paraId="65BC9AB1" w14:textId="77777777">
      <w:pPr>
        <w:pStyle w:val="FootnoteText"/>
      </w:pPr>
      <w:r>
        <w:rPr>
          <w:rStyle w:val="FootnoteReference"/>
        </w:rPr>
        <w:footnoteRef/>
      </w:r>
      <w:r>
        <w:t xml:space="preserve"> </w:t>
      </w:r>
      <w:r>
        <w:rPr>
          <w:i/>
        </w:rPr>
        <w:t>Id</w:t>
      </w:r>
      <w:r>
        <w:t>.</w:t>
      </w:r>
    </w:p>
  </w:footnote>
  <w:footnote w:id="97">
    <w:p w:rsidR="00D40A0E" w:rsidP="003A5F10" w14:paraId="0F875571" w14:textId="77777777">
      <w:pPr>
        <w:pStyle w:val="FootnoteText"/>
      </w:pPr>
      <w:r>
        <w:rPr>
          <w:rStyle w:val="FootnoteReference"/>
        </w:rPr>
        <w:footnoteRef/>
      </w:r>
      <w:r>
        <w:t xml:space="preserve"> </w:t>
      </w:r>
      <w:r w:rsidRPr="00843376">
        <w:t xml:space="preserve">U.S. Census Bureau, 2012 NAICS Definitions, “517919 All Other Telecommunications,” </w:t>
      </w:r>
      <w:hyperlink r:id="rId8" w:history="1">
        <w:r w:rsidRPr="00843376">
          <w:rPr>
            <w:rStyle w:val="Hyperlink"/>
          </w:rPr>
          <w:t>http://www.census.gov/cgi-bin/sssd/naics/naicsrch</w:t>
        </w:r>
      </w:hyperlink>
      <w:r w:rsidRPr="00843376">
        <w:t>.</w:t>
      </w:r>
      <w:r>
        <w:t xml:space="preserve"> </w:t>
      </w:r>
    </w:p>
  </w:footnote>
  <w:footnote w:id="98">
    <w:p w:rsidR="00D40A0E" w:rsidP="003A5F10" w14:paraId="55E57B0F" w14:textId="77777777">
      <w:pPr>
        <w:pStyle w:val="FootnoteText"/>
      </w:pPr>
      <w:r>
        <w:rPr>
          <w:rStyle w:val="FootnoteReference"/>
        </w:rPr>
        <w:footnoteRef/>
      </w:r>
      <w:r>
        <w:t xml:space="preserve"> </w:t>
      </w:r>
      <w:r>
        <w:rPr>
          <w:color w:val="000000"/>
        </w:rPr>
        <w:t>13 CFR § 121.201, NAICS code 517919.</w:t>
      </w:r>
    </w:p>
  </w:footnote>
  <w:footnote w:id="99">
    <w:p w:rsidR="00D40A0E" w:rsidP="003A5F10" w14:paraId="5FAED254" w14:textId="77777777">
      <w:pPr>
        <w:pStyle w:val="FootnoteText"/>
      </w:pPr>
      <w:r>
        <w:rPr>
          <w:rStyle w:val="FootnoteReference"/>
        </w:rPr>
        <w:footnoteRef/>
      </w:r>
      <w:r>
        <w:t xml:space="preserve"> </w:t>
      </w:r>
      <w:r>
        <w:rPr>
          <w:i/>
        </w:rPr>
        <w:t>Id</w:t>
      </w:r>
      <w:r>
        <w:t>.</w:t>
      </w:r>
    </w:p>
  </w:footnote>
  <w:footnote w:id="100">
    <w:p w:rsidR="00D40A0E" w:rsidP="003A5F10" w14:paraId="50C7BF39" w14:textId="77777777">
      <w:pPr>
        <w:pStyle w:val="FootnoteText"/>
      </w:pPr>
      <w:r>
        <w:rPr>
          <w:rStyle w:val="FootnoteReference"/>
        </w:rPr>
        <w:footnoteRef/>
      </w:r>
      <w:r>
        <w:t xml:space="preserve"> 2012 U.S. Economic Census, NAICs Code 517919 at  </w:t>
      </w:r>
      <w:hyperlink r:id="rId13" w:history="1">
        <w:r>
          <w:rPr>
            <w:rStyle w:val="Hyperlink"/>
          </w:rPr>
          <w:t>https://data.census.gov/cedsci/table?tid=ECNSIZE2012.EC1251SSSZ5&amp;t=Employment%20Size&amp;text=Estab%20%26%20Firm%20Size%3A%20Employment%20Size%20of%20Firms%20for%20the%20U.S&amp;n=517919&amp;hidePreview=false&amp;vintage=2012</w:t>
        </w:r>
      </w:hyperlink>
      <w:r>
        <w:t>.</w:t>
      </w:r>
    </w:p>
  </w:footnote>
  <w:footnote w:id="101">
    <w:p w:rsidR="00D40A0E" w:rsidP="003A5F10" w14:paraId="19FFDE54" w14:textId="77777777">
      <w:pPr>
        <w:pStyle w:val="FootnoteText"/>
      </w:pPr>
      <w:r>
        <w:rPr>
          <w:rStyle w:val="FootnoteReference"/>
        </w:rPr>
        <w:footnoteRef/>
      </w:r>
      <w:r>
        <w:t xml:space="preserve"> </w:t>
      </w:r>
      <w:r>
        <w:rPr>
          <w:i/>
        </w:rPr>
        <w:t>Id</w:t>
      </w:r>
      <w:r>
        <w:t>.</w:t>
      </w:r>
    </w:p>
  </w:footnote>
  <w:footnote w:id="102">
    <w:p w:rsidR="00D40A0E" w:rsidP="003A5F10" w14:paraId="0800F038" w14:textId="77777777">
      <w:pPr>
        <w:pStyle w:val="FootnoteText"/>
      </w:pPr>
      <w:r>
        <w:rPr>
          <w:rStyle w:val="FootnoteReference"/>
        </w:rPr>
        <w:footnoteRef/>
      </w:r>
      <w:r>
        <w:t xml:space="preserve"> https://www.census.gov/cgi-bin/sssd/naics/naicsrch?input=517911&amp;search=2012+NAICS+Search&amp;search=2012.</w:t>
      </w:r>
    </w:p>
  </w:footnote>
  <w:footnote w:id="103">
    <w:p w:rsidR="00D40A0E" w:rsidP="003A5F10" w14:paraId="270C548F" w14:textId="77777777">
      <w:pPr>
        <w:pStyle w:val="FootnoteText"/>
      </w:pPr>
      <w:r>
        <w:rPr>
          <w:rStyle w:val="FootnoteReference"/>
        </w:rPr>
        <w:footnoteRef/>
      </w:r>
      <w:r>
        <w:t xml:space="preserve"> </w:t>
      </w:r>
      <w:r>
        <w:rPr>
          <w:color w:val="000000"/>
        </w:rPr>
        <w:t>13 CFR § 121.201, NAICS code 517911.</w:t>
      </w:r>
    </w:p>
  </w:footnote>
  <w:footnote w:id="104">
    <w:p w:rsidR="00D40A0E" w:rsidP="003A5F10" w14:paraId="1F14BEFA" w14:textId="77777777">
      <w:pPr>
        <w:pStyle w:val="FootnoteText"/>
      </w:pPr>
      <w:r>
        <w:rPr>
          <w:rStyle w:val="FootnoteReference"/>
        </w:rPr>
        <w:footnoteRef/>
      </w:r>
      <w:r>
        <w:t xml:space="preserve"> </w:t>
      </w:r>
      <w:r>
        <w:rPr>
          <w:i/>
        </w:rPr>
        <w:t>Id</w:t>
      </w:r>
      <w:r>
        <w:t>.</w:t>
      </w:r>
    </w:p>
  </w:footnote>
  <w:footnote w:id="105">
    <w:p w:rsidR="00D40A0E" w:rsidP="003A5F10" w14:paraId="79EF4C2B" w14:textId="77777777">
      <w:pPr>
        <w:pStyle w:val="FootnoteText"/>
      </w:pPr>
      <w:r>
        <w:rPr>
          <w:rStyle w:val="FootnoteReference"/>
        </w:rPr>
        <w:footnoteRef/>
      </w:r>
      <w:r>
        <w:t xml:space="preserve"> 2012 U.S. Economic Census, NAICs Code 517911, at </w:t>
      </w:r>
      <w:hyperlink r:id="rId14" w:history="1">
        <w:r>
          <w:rPr>
            <w:rStyle w:val="Hyperlink"/>
          </w:rPr>
          <w:t>https://data.census.gov/cedsci/table?tid=ECNSIZE2012.EC1251SSSZ5&amp;hidePreview=false&amp;vintage=2012&amp;text=Employment%20size&amp;n=517911&amp;cid=EMP</w:t>
        </w:r>
      </w:hyperlink>
      <w:r>
        <w:t>.</w:t>
      </w:r>
    </w:p>
  </w:footnote>
  <w:footnote w:id="106">
    <w:p w:rsidR="00D40A0E" w:rsidP="003A5F10" w14:paraId="6C49F52B" w14:textId="77777777">
      <w:pPr>
        <w:pStyle w:val="FootnoteText"/>
      </w:pPr>
      <w:r>
        <w:rPr>
          <w:rStyle w:val="FootnoteReference"/>
        </w:rPr>
        <w:footnoteRef/>
      </w:r>
      <w:r>
        <w:t xml:space="preserve"> </w:t>
      </w:r>
      <w:r>
        <w:rPr>
          <w:rFonts w:ascii="Times New Roman Italic" w:hAnsi="Times New Roman Italic"/>
          <w:i/>
        </w:rPr>
        <w:t>Trends in Telephone Service</w:t>
      </w:r>
      <w:r>
        <w:t xml:space="preserve">, at </w:t>
      </w:r>
      <w:r>
        <w:t>tbl</w:t>
      </w:r>
      <w:r>
        <w:t>.</w:t>
      </w:r>
      <w:r>
        <w:rPr>
          <w:color w:val="000000"/>
        </w:rPr>
        <w:t xml:space="preserve"> 5.3.</w:t>
      </w:r>
    </w:p>
  </w:footnote>
  <w:footnote w:id="107">
    <w:p w:rsidR="00D40A0E" w:rsidP="003A5F10" w14:paraId="6C4F7405" w14:textId="77777777">
      <w:pPr>
        <w:pStyle w:val="FootnoteText"/>
      </w:pPr>
      <w:r>
        <w:rPr>
          <w:rStyle w:val="FootnoteReference"/>
        </w:rPr>
        <w:footnoteRef/>
      </w:r>
      <w:r>
        <w:t xml:space="preserve"> </w:t>
      </w:r>
      <w:r>
        <w:rPr>
          <w:i/>
        </w:rPr>
        <w:t>Id.</w:t>
      </w:r>
    </w:p>
  </w:footnote>
  <w:footnote w:id="108">
    <w:p w:rsidR="00D40A0E" w:rsidP="003A5F10" w14:paraId="3F22D855" w14:textId="77777777">
      <w:pPr>
        <w:pStyle w:val="FootnoteText"/>
      </w:pPr>
      <w:r>
        <w:rPr>
          <w:rStyle w:val="FootnoteReference"/>
        </w:rPr>
        <w:footnoteRef/>
      </w:r>
      <w:r>
        <w:t xml:space="preserve"> </w:t>
      </w:r>
      <w:hyperlink r:id="rId15" w:history="1">
        <w:r>
          <w:rPr>
            <w:rStyle w:val="Hyperlink"/>
          </w:rPr>
          <w:t>https://www.census.gov/cgi-bin/sssd/naics/naicsrch?input=517911&amp;search=2012+NAICS+Search&amp;search=2012.</w:t>
        </w:r>
      </w:hyperlink>
    </w:p>
  </w:footnote>
  <w:footnote w:id="109">
    <w:p w:rsidR="00D40A0E" w:rsidP="003A5F10" w14:paraId="36D1F9BD" w14:textId="77777777">
      <w:pPr>
        <w:pStyle w:val="FootnoteText"/>
      </w:pPr>
      <w:r>
        <w:rPr>
          <w:rStyle w:val="FootnoteReference"/>
        </w:rPr>
        <w:footnoteRef/>
      </w:r>
      <w:r>
        <w:t xml:space="preserve"> 13 CFR § 121.201, NAICS code 517911.</w:t>
      </w:r>
    </w:p>
  </w:footnote>
  <w:footnote w:id="110">
    <w:p w:rsidR="00D40A0E" w:rsidP="003A5F10" w14:paraId="30669EBA" w14:textId="77777777">
      <w:pPr>
        <w:pStyle w:val="FootnoteText"/>
      </w:pPr>
      <w:r>
        <w:rPr>
          <w:rStyle w:val="FootnoteReference"/>
        </w:rPr>
        <w:footnoteRef/>
      </w:r>
      <w:r>
        <w:t xml:space="preserve"> U.S. Census Bureau, 2012 Economic Census, Subject Series:  Information, “Establishment and Firm Size,” NAICS code 517911.</w:t>
      </w:r>
    </w:p>
  </w:footnote>
  <w:footnote w:id="111">
    <w:p w:rsidR="00D40A0E" w:rsidP="003A5F10" w14:paraId="6BE421F4" w14:textId="77777777">
      <w:pPr>
        <w:pStyle w:val="FootnoteText"/>
      </w:pPr>
      <w:r>
        <w:rPr>
          <w:rStyle w:val="FootnoteReference"/>
        </w:rPr>
        <w:footnoteRef/>
      </w:r>
      <w:r>
        <w:t xml:space="preserve"> </w:t>
      </w:r>
      <w:hyperlink r:id="rId15" w:history="1">
        <w:r>
          <w:rPr>
            <w:rStyle w:val="Hyperlink"/>
          </w:rPr>
          <w:t>https://www.census.gov/cgi-bin/sssd/naics/naicsrch?input=517911&amp;search=2012+NAICS+Search&amp;search=2012.</w:t>
        </w:r>
      </w:hyperlink>
    </w:p>
  </w:footnote>
  <w:footnote w:id="112">
    <w:p w:rsidR="00D40A0E" w:rsidP="003A5F10" w14:paraId="29F78C6C" w14:textId="77777777">
      <w:pPr>
        <w:pStyle w:val="FootnoteText"/>
      </w:pPr>
      <w:r>
        <w:rPr>
          <w:rStyle w:val="FootnoteReference"/>
        </w:rPr>
        <w:footnoteRef/>
      </w:r>
      <w:r>
        <w:t xml:space="preserve"> 13 CFR § 121.201, NAICS code 517911.</w:t>
      </w:r>
    </w:p>
  </w:footnote>
  <w:footnote w:id="113">
    <w:p w:rsidR="00D40A0E" w:rsidP="003A5F10" w14:paraId="18D2CB9A" w14:textId="77777777">
      <w:pPr>
        <w:pStyle w:val="FootnoteText"/>
      </w:pPr>
      <w:r>
        <w:rPr>
          <w:rStyle w:val="FootnoteReference"/>
        </w:rPr>
        <w:footnoteRef/>
      </w:r>
      <w:r>
        <w:t xml:space="preserve"> U.S. Census Bureau, 2012 Economic Census, Subject Series:  Information, “Establishment and Firm Size,” NAICS code 517911.</w:t>
      </w:r>
    </w:p>
  </w:footnote>
  <w:footnote w:id="114">
    <w:p w:rsidR="00D40A0E" w:rsidP="003A5F10" w14:paraId="69D9878B" w14:textId="77777777">
      <w:pPr>
        <w:pStyle w:val="FootnoteText"/>
      </w:pPr>
      <w:r>
        <w:rPr>
          <w:rStyle w:val="FootnoteReference"/>
        </w:rPr>
        <w:footnoteRef/>
      </w:r>
      <w:r>
        <w:rPr>
          <w:lang w:val="es-ES"/>
        </w:rPr>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40A0E" w:rsidP="00810B6F" w14:paraId="5931CCF7" w14:textId="4012DA15">
    <w:pPr>
      <w:pStyle w:val="Header"/>
      <w:rPr>
        <w:b w:val="0"/>
      </w:rPr>
    </w:pPr>
    <w:r>
      <w:tab/>
      <w:t>Federal Communications Commission</w:t>
    </w:r>
    <w:r>
      <w:tab/>
      <w:t xml:space="preserve">FCC </w:t>
    </w:r>
    <w:r w:rsidR="00A05015">
      <w:t>20</w:t>
    </w:r>
    <w:r>
      <w:t>-</w:t>
    </w:r>
    <w:r w:rsidR="00A05015">
      <w:t>171</w:t>
    </w:r>
  </w:p>
  <w:p w:rsidR="00D40A0E" w14:paraId="66910807" w14:textId="7F8ADE7F">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D40A0E" w14:paraId="64EDEEC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40A0E" w:rsidP="00A17DC5" w14:paraId="3BEA29B0" w14:textId="4703097D">
    <w:pPr>
      <w:pStyle w:val="Header"/>
      <w:tabs>
        <w:tab w:val="left" w:pos="7304"/>
      </w:tabs>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Pr>
        <w:spacing w:val="-2"/>
      </w:rPr>
      <w:tab/>
      <w:t xml:space="preserve">FCC </w:t>
    </w:r>
    <w:r w:rsidR="00A05015">
      <w:rPr>
        <w:spacing w:val="-2"/>
      </w:rPr>
      <w:t>20</w:t>
    </w:r>
    <w:r>
      <w:rPr>
        <w:spacing w:val="-2"/>
      </w:rPr>
      <w:t>-</w:t>
    </w:r>
    <w:r w:rsidR="00A05015">
      <w:rPr>
        <w:spacing w:val="-2"/>
      </w:rPr>
      <w:t>171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40A0E" w:rsidP="00810B6F" w14:paraId="0D7B1BFF" w14:textId="1996FB41">
    <w:pPr>
      <w:pStyle w:val="Header"/>
      <w:rPr>
        <w:b w:val="0"/>
      </w:rPr>
    </w:pPr>
    <w:r>
      <w:tab/>
      <w:t>Federal Communications Commission</w:t>
    </w:r>
    <w:r>
      <w:tab/>
      <w:t>FCC 20-</w:t>
    </w:r>
    <w:r w:rsidR="0038694C">
      <w:t>171</w:t>
    </w:r>
  </w:p>
  <w:p w:rsidR="00D40A0E" w14:paraId="46EDC3FA" w14:textId="6F63BFC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40A0E" w14:paraId="2A842C75"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40A0E" w:rsidP="00810B6F" w14:paraId="66AB3A8B" w14:textId="441A0B2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t>FCC-20-</w:t>
    </w:r>
    <w:r w:rsidR="0038694C">
      <w:t>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276253"/>
    <w:multiLevelType w:val="multilevel"/>
    <w:tmpl w:val="BE068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8138BF"/>
    <w:multiLevelType w:val="hybridMultilevel"/>
    <w:tmpl w:val="68367F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A7518F"/>
    <w:multiLevelType w:val="hybridMultilevel"/>
    <w:tmpl w:val="552C14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2430"/>
        </w:tabs>
        <w:ind w:left="1350" w:firstLine="720"/>
      </w:pPr>
    </w:lvl>
  </w:abstractNum>
  <w:abstractNum w:abstractNumId="9">
    <w:nsid w:val="63B73EAA"/>
    <w:multiLevelType w:val="hybridMultilevel"/>
    <w:tmpl w:val="77F22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D4829EC"/>
    <w:multiLevelType w:val="multilevel"/>
    <w:tmpl w:val="0409001D"/>
    <w:styleLink w:val="Style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8"/>
  </w:num>
  <w:num w:numId="2">
    <w:abstractNumId w:val="5"/>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3"/>
  </w:num>
  <w:num w:numId="7">
    <w:abstractNumId w:val="7"/>
  </w:num>
  <w:num w:numId="8">
    <w:abstractNumId w:val="4"/>
  </w:num>
  <w:num w:numId="9">
    <w:abstractNumId w:val="0"/>
  </w:num>
  <w:num w:numId="10">
    <w:abstractNumId w:val="6"/>
  </w:num>
  <w:num w:numId="11">
    <w:abstractNumId w:val="2"/>
  </w:num>
  <w:num w:numId="12">
    <w:abstractNumId w:val="8"/>
  </w:num>
  <w:num w:numId="13">
    <w:abstractNumId w:val="8"/>
    <w:lvlOverride w:ilvl="0">
      <w:startOverride w:val="1"/>
    </w:lvlOverride>
  </w:num>
  <w:num w:numId="14">
    <w:abstractNumId w:val="8"/>
  </w:num>
  <w:num w:numId="15">
    <w:abstractNumId w:val="8"/>
  </w:num>
  <w:num w:numId="16">
    <w:abstractNumId w:val="8"/>
  </w:num>
  <w:num w:numId="17">
    <w:abstractNumId w:val="8"/>
  </w:num>
  <w:num w:numId="18">
    <w:abstractNumId w:val="1"/>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7F"/>
    <w:rsid w:val="00003237"/>
    <w:rsid w:val="0000720D"/>
    <w:rsid w:val="0000794C"/>
    <w:rsid w:val="00007CFA"/>
    <w:rsid w:val="00012988"/>
    <w:rsid w:val="000137C5"/>
    <w:rsid w:val="000147AA"/>
    <w:rsid w:val="0001631D"/>
    <w:rsid w:val="00016C56"/>
    <w:rsid w:val="00017FB3"/>
    <w:rsid w:val="0002625E"/>
    <w:rsid w:val="00027099"/>
    <w:rsid w:val="00027105"/>
    <w:rsid w:val="00030377"/>
    <w:rsid w:val="00031416"/>
    <w:rsid w:val="000316A8"/>
    <w:rsid w:val="00032D7C"/>
    <w:rsid w:val="00033DF7"/>
    <w:rsid w:val="00036039"/>
    <w:rsid w:val="00036340"/>
    <w:rsid w:val="00036F31"/>
    <w:rsid w:val="00037280"/>
    <w:rsid w:val="00037ACE"/>
    <w:rsid w:val="00037F63"/>
    <w:rsid w:val="00037F90"/>
    <w:rsid w:val="00040FF4"/>
    <w:rsid w:val="00042217"/>
    <w:rsid w:val="00047FB0"/>
    <w:rsid w:val="00050296"/>
    <w:rsid w:val="00054721"/>
    <w:rsid w:val="00054CF1"/>
    <w:rsid w:val="00056389"/>
    <w:rsid w:val="00056A9A"/>
    <w:rsid w:val="00057564"/>
    <w:rsid w:val="000578B0"/>
    <w:rsid w:val="00057FBB"/>
    <w:rsid w:val="00063FB5"/>
    <w:rsid w:val="000679DD"/>
    <w:rsid w:val="00067A6A"/>
    <w:rsid w:val="00074744"/>
    <w:rsid w:val="00074ABE"/>
    <w:rsid w:val="0008246B"/>
    <w:rsid w:val="00082A6C"/>
    <w:rsid w:val="000842E0"/>
    <w:rsid w:val="00084D7C"/>
    <w:rsid w:val="00085BD2"/>
    <w:rsid w:val="00086A0C"/>
    <w:rsid w:val="00086FA7"/>
    <w:rsid w:val="000875BF"/>
    <w:rsid w:val="00093D8F"/>
    <w:rsid w:val="0009567D"/>
    <w:rsid w:val="00096D8C"/>
    <w:rsid w:val="000A155E"/>
    <w:rsid w:val="000A207F"/>
    <w:rsid w:val="000A23FB"/>
    <w:rsid w:val="000A255E"/>
    <w:rsid w:val="000A3ED7"/>
    <w:rsid w:val="000A657F"/>
    <w:rsid w:val="000B1777"/>
    <w:rsid w:val="000B40AE"/>
    <w:rsid w:val="000B56FB"/>
    <w:rsid w:val="000C0B65"/>
    <w:rsid w:val="000C1743"/>
    <w:rsid w:val="000C2069"/>
    <w:rsid w:val="000C5588"/>
    <w:rsid w:val="000C5AE1"/>
    <w:rsid w:val="000D17FF"/>
    <w:rsid w:val="000D3B92"/>
    <w:rsid w:val="000D46BB"/>
    <w:rsid w:val="000D5055"/>
    <w:rsid w:val="000D5165"/>
    <w:rsid w:val="000D537F"/>
    <w:rsid w:val="000D6574"/>
    <w:rsid w:val="000E05FE"/>
    <w:rsid w:val="000E2A47"/>
    <w:rsid w:val="000E3D42"/>
    <w:rsid w:val="000E480D"/>
    <w:rsid w:val="000E68C0"/>
    <w:rsid w:val="000E6E42"/>
    <w:rsid w:val="000E6F52"/>
    <w:rsid w:val="000F1434"/>
    <w:rsid w:val="000F2BEF"/>
    <w:rsid w:val="000F4719"/>
    <w:rsid w:val="000F4CA0"/>
    <w:rsid w:val="000F7CC8"/>
    <w:rsid w:val="001021F3"/>
    <w:rsid w:val="00104AFD"/>
    <w:rsid w:val="0010536D"/>
    <w:rsid w:val="00111141"/>
    <w:rsid w:val="00112990"/>
    <w:rsid w:val="0011318E"/>
    <w:rsid w:val="001155E2"/>
    <w:rsid w:val="001164E5"/>
    <w:rsid w:val="001168FD"/>
    <w:rsid w:val="00117105"/>
    <w:rsid w:val="001227FC"/>
    <w:rsid w:val="00122BD5"/>
    <w:rsid w:val="00123068"/>
    <w:rsid w:val="00123DB1"/>
    <w:rsid w:val="00132E82"/>
    <w:rsid w:val="00133F79"/>
    <w:rsid w:val="001341EB"/>
    <w:rsid w:val="001373BA"/>
    <w:rsid w:val="001376F0"/>
    <w:rsid w:val="00137BA6"/>
    <w:rsid w:val="00137E51"/>
    <w:rsid w:val="001431B1"/>
    <w:rsid w:val="00145CBD"/>
    <w:rsid w:val="00146E0F"/>
    <w:rsid w:val="001471A4"/>
    <w:rsid w:val="00147529"/>
    <w:rsid w:val="001536D8"/>
    <w:rsid w:val="00153F7C"/>
    <w:rsid w:val="00162B69"/>
    <w:rsid w:val="00174881"/>
    <w:rsid w:val="001754F4"/>
    <w:rsid w:val="0017711F"/>
    <w:rsid w:val="00180372"/>
    <w:rsid w:val="00191682"/>
    <w:rsid w:val="00194A66"/>
    <w:rsid w:val="00196AF7"/>
    <w:rsid w:val="00197676"/>
    <w:rsid w:val="001A3898"/>
    <w:rsid w:val="001A3DEF"/>
    <w:rsid w:val="001A4E7D"/>
    <w:rsid w:val="001A5209"/>
    <w:rsid w:val="001A6D45"/>
    <w:rsid w:val="001B05AE"/>
    <w:rsid w:val="001B2720"/>
    <w:rsid w:val="001C17EA"/>
    <w:rsid w:val="001C258F"/>
    <w:rsid w:val="001C3ADE"/>
    <w:rsid w:val="001C5D0B"/>
    <w:rsid w:val="001C7834"/>
    <w:rsid w:val="001D1702"/>
    <w:rsid w:val="001D223E"/>
    <w:rsid w:val="001D2629"/>
    <w:rsid w:val="001D30C5"/>
    <w:rsid w:val="001D4725"/>
    <w:rsid w:val="001D4A7C"/>
    <w:rsid w:val="001D4C87"/>
    <w:rsid w:val="001D547F"/>
    <w:rsid w:val="001D5984"/>
    <w:rsid w:val="001D692E"/>
    <w:rsid w:val="001D6BCF"/>
    <w:rsid w:val="001D6FD3"/>
    <w:rsid w:val="001E01CA"/>
    <w:rsid w:val="001E105C"/>
    <w:rsid w:val="001E4305"/>
    <w:rsid w:val="001E62D7"/>
    <w:rsid w:val="001E68CF"/>
    <w:rsid w:val="001F1A42"/>
    <w:rsid w:val="001F446F"/>
    <w:rsid w:val="001F7B83"/>
    <w:rsid w:val="001F7C5E"/>
    <w:rsid w:val="0020044B"/>
    <w:rsid w:val="002025B9"/>
    <w:rsid w:val="00203C0A"/>
    <w:rsid w:val="002057BA"/>
    <w:rsid w:val="00206234"/>
    <w:rsid w:val="00210614"/>
    <w:rsid w:val="00210F5B"/>
    <w:rsid w:val="00211816"/>
    <w:rsid w:val="00217C10"/>
    <w:rsid w:val="0022017B"/>
    <w:rsid w:val="00220E1D"/>
    <w:rsid w:val="002228B1"/>
    <w:rsid w:val="00223EBE"/>
    <w:rsid w:val="0022435B"/>
    <w:rsid w:val="002331E3"/>
    <w:rsid w:val="00234D5C"/>
    <w:rsid w:val="00240293"/>
    <w:rsid w:val="00241C68"/>
    <w:rsid w:val="00244851"/>
    <w:rsid w:val="002458A8"/>
    <w:rsid w:val="00245A9B"/>
    <w:rsid w:val="00245EF4"/>
    <w:rsid w:val="00252FA8"/>
    <w:rsid w:val="00255043"/>
    <w:rsid w:val="002560CA"/>
    <w:rsid w:val="00262024"/>
    <w:rsid w:val="002645AC"/>
    <w:rsid w:val="00265768"/>
    <w:rsid w:val="00270201"/>
    <w:rsid w:val="0027067B"/>
    <w:rsid w:val="00271039"/>
    <w:rsid w:val="002714B4"/>
    <w:rsid w:val="002732F7"/>
    <w:rsid w:val="00273B22"/>
    <w:rsid w:val="00273E57"/>
    <w:rsid w:val="0027476B"/>
    <w:rsid w:val="00275818"/>
    <w:rsid w:val="00275CF5"/>
    <w:rsid w:val="00280116"/>
    <w:rsid w:val="0028301F"/>
    <w:rsid w:val="002833D3"/>
    <w:rsid w:val="002845B4"/>
    <w:rsid w:val="00285017"/>
    <w:rsid w:val="00286E86"/>
    <w:rsid w:val="00293A98"/>
    <w:rsid w:val="00293AD7"/>
    <w:rsid w:val="0029487A"/>
    <w:rsid w:val="002A0111"/>
    <w:rsid w:val="002A2133"/>
    <w:rsid w:val="002A2D2E"/>
    <w:rsid w:val="002A2EDF"/>
    <w:rsid w:val="002A4158"/>
    <w:rsid w:val="002A5920"/>
    <w:rsid w:val="002A627A"/>
    <w:rsid w:val="002A6B55"/>
    <w:rsid w:val="002A72F9"/>
    <w:rsid w:val="002A73B4"/>
    <w:rsid w:val="002B12A0"/>
    <w:rsid w:val="002B1900"/>
    <w:rsid w:val="002B1E65"/>
    <w:rsid w:val="002B31D1"/>
    <w:rsid w:val="002B4555"/>
    <w:rsid w:val="002B4CB8"/>
    <w:rsid w:val="002B5668"/>
    <w:rsid w:val="002B61FA"/>
    <w:rsid w:val="002B67BE"/>
    <w:rsid w:val="002B77EE"/>
    <w:rsid w:val="002B7A30"/>
    <w:rsid w:val="002C00E8"/>
    <w:rsid w:val="002C24E8"/>
    <w:rsid w:val="002C2955"/>
    <w:rsid w:val="002C6005"/>
    <w:rsid w:val="002D0B8F"/>
    <w:rsid w:val="002D1B87"/>
    <w:rsid w:val="002D275B"/>
    <w:rsid w:val="002D42ED"/>
    <w:rsid w:val="002D5FCD"/>
    <w:rsid w:val="002D610F"/>
    <w:rsid w:val="002D6747"/>
    <w:rsid w:val="002E0C28"/>
    <w:rsid w:val="002E1876"/>
    <w:rsid w:val="002E1E69"/>
    <w:rsid w:val="002E5E61"/>
    <w:rsid w:val="002E619A"/>
    <w:rsid w:val="002F35BE"/>
    <w:rsid w:val="002F4C78"/>
    <w:rsid w:val="002F4DC4"/>
    <w:rsid w:val="00307229"/>
    <w:rsid w:val="003104D5"/>
    <w:rsid w:val="00310E87"/>
    <w:rsid w:val="00311256"/>
    <w:rsid w:val="003153A4"/>
    <w:rsid w:val="00317C05"/>
    <w:rsid w:val="0032557A"/>
    <w:rsid w:val="00326F64"/>
    <w:rsid w:val="003276E9"/>
    <w:rsid w:val="003311EF"/>
    <w:rsid w:val="00331251"/>
    <w:rsid w:val="003330B9"/>
    <w:rsid w:val="00334E30"/>
    <w:rsid w:val="0033578D"/>
    <w:rsid w:val="0033688F"/>
    <w:rsid w:val="00336BC8"/>
    <w:rsid w:val="00341A3D"/>
    <w:rsid w:val="00343749"/>
    <w:rsid w:val="00344834"/>
    <w:rsid w:val="0034560B"/>
    <w:rsid w:val="00352A53"/>
    <w:rsid w:val="003548D1"/>
    <w:rsid w:val="0036437A"/>
    <w:rsid w:val="003660ED"/>
    <w:rsid w:val="00373D8B"/>
    <w:rsid w:val="003744D8"/>
    <w:rsid w:val="003745C2"/>
    <w:rsid w:val="0037767C"/>
    <w:rsid w:val="003820CC"/>
    <w:rsid w:val="00385B9A"/>
    <w:rsid w:val="0038603E"/>
    <w:rsid w:val="0038694C"/>
    <w:rsid w:val="00393A9D"/>
    <w:rsid w:val="00396E0A"/>
    <w:rsid w:val="003A3C2E"/>
    <w:rsid w:val="003A5F10"/>
    <w:rsid w:val="003A6B6B"/>
    <w:rsid w:val="003B0550"/>
    <w:rsid w:val="003B5330"/>
    <w:rsid w:val="003B5A58"/>
    <w:rsid w:val="003B5C9E"/>
    <w:rsid w:val="003B6545"/>
    <w:rsid w:val="003B694F"/>
    <w:rsid w:val="003C142E"/>
    <w:rsid w:val="003C5DAA"/>
    <w:rsid w:val="003C675B"/>
    <w:rsid w:val="003C74F8"/>
    <w:rsid w:val="003D56A4"/>
    <w:rsid w:val="003D5E34"/>
    <w:rsid w:val="003E0871"/>
    <w:rsid w:val="003E2025"/>
    <w:rsid w:val="003E2A3F"/>
    <w:rsid w:val="003E3767"/>
    <w:rsid w:val="003E3812"/>
    <w:rsid w:val="003E7A8B"/>
    <w:rsid w:val="003F0091"/>
    <w:rsid w:val="003F171C"/>
    <w:rsid w:val="003F1C98"/>
    <w:rsid w:val="003F20BB"/>
    <w:rsid w:val="003F29E2"/>
    <w:rsid w:val="003F2A99"/>
    <w:rsid w:val="003F2EDE"/>
    <w:rsid w:val="003F6189"/>
    <w:rsid w:val="003F6959"/>
    <w:rsid w:val="003F70CE"/>
    <w:rsid w:val="003F7D48"/>
    <w:rsid w:val="00400FC7"/>
    <w:rsid w:val="004024D5"/>
    <w:rsid w:val="004029B8"/>
    <w:rsid w:val="00402E77"/>
    <w:rsid w:val="00403896"/>
    <w:rsid w:val="00404508"/>
    <w:rsid w:val="0040488C"/>
    <w:rsid w:val="0040642A"/>
    <w:rsid w:val="00406498"/>
    <w:rsid w:val="004115E3"/>
    <w:rsid w:val="00412996"/>
    <w:rsid w:val="00412AE2"/>
    <w:rsid w:val="00412FC5"/>
    <w:rsid w:val="004163A7"/>
    <w:rsid w:val="00416D20"/>
    <w:rsid w:val="0041758F"/>
    <w:rsid w:val="0042123C"/>
    <w:rsid w:val="00421513"/>
    <w:rsid w:val="00422276"/>
    <w:rsid w:val="00422F83"/>
    <w:rsid w:val="004237FA"/>
    <w:rsid w:val="004242F1"/>
    <w:rsid w:val="00430A1B"/>
    <w:rsid w:val="00430AB1"/>
    <w:rsid w:val="00432636"/>
    <w:rsid w:val="004417E2"/>
    <w:rsid w:val="0044461C"/>
    <w:rsid w:val="004458E4"/>
    <w:rsid w:val="00445A00"/>
    <w:rsid w:val="00446608"/>
    <w:rsid w:val="00446788"/>
    <w:rsid w:val="00451B0F"/>
    <w:rsid w:val="00452C78"/>
    <w:rsid w:val="004542DF"/>
    <w:rsid w:val="00456890"/>
    <w:rsid w:val="0046165F"/>
    <w:rsid w:val="00461C6C"/>
    <w:rsid w:val="00462353"/>
    <w:rsid w:val="00462B20"/>
    <w:rsid w:val="00465B52"/>
    <w:rsid w:val="00465C35"/>
    <w:rsid w:val="004668A3"/>
    <w:rsid w:val="004673B8"/>
    <w:rsid w:val="004677FC"/>
    <w:rsid w:val="00473F2C"/>
    <w:rsid w:val="00474B5C"/>
    <w:rsid w:val="004836BD"/>
    <w:rsid w:val="00484572"/>
    <w:rsid w:val="00493233"/>
    <w:rsid w:val="004961D0"/>
    <w:rsid w:val="004970E1"/>
    <w:rsid w:val="004A080A"/>
    <w:rsid w:val="004A3C62"/>
    <w:rsid w:val="004A451F"/>
    <w:rsid w:val="004A57EA"/>
    <w:rsid w:val="004A6E1E"/>
    <w:rsid w:val="004A6FDA"/>
    <w:rsid w:val="004B4154"/>
    <w:rsid w:val="004B55B0"/>
    <w:rsid w:val="004C2EE3"/>
    <w:rsid w:val="004C5715"/>
    <w:rsid w:val="004C7F6A"/>
    <w:rsid w:val="004D02D7"/>
    <w:rsid w:val="004D09D1"/>
    <w:rsid w:val="004D1008"/>
    <w:rsid w:val="004D239E"/>
    <w:rsid w:val="004D2CBE"/>
    <w:rsid w:val="004D4C84"/>
    <w:rsid w:val="004D559B"/>
    <w:rsid w:val="004E1B3F"/>
    <w:rsid w:val="004E36CF"/>
    <w:rsid w:val="004E436F"/>
    <w:rsid w:val="004E4A22"/>
    <w:rsid w:val="004E4AE4"/>
    <w:rsid w:val="004F1945"/>
    <w:rsid w:val="004F28A7"/>
    <w:rsid w:val="004F30C5"/>
    <w:rsid w:val="004F4830"/>
    <w:rsid w:val="004F70F0"/>
    <w:rsid w:val="004F79E5"/>
    <w:rsid w:val="00500E7B"/>
    <w:rsid w:val="00502A15"/>
    <w:rsid w:val="00506A68"/>
    <w:rsid w:val="0051009E"/>
    <w:rsid w:val="00511968"/>
    <w:rsid w:val="00513D80"/>
    <w:rsid w:val="00514E0D"/>
    <w:rsid w:val="005150E8"/>
    <w:rsid w:val="005159D5"/>
    <w:rsid w:val="00515E61"/>
    <w:rsid w:val="005202C5"/>
    <w:rsid w:val="00521110"/>
    <w:rsid w:val="00521592"/>
    <w:rsid w:val="00522148"/>
    <w:rsid w:val="00524CC8"/>
    <w:rsid w:val="00525422"/>
    <w:rsid w:val="005308EF"/>
    <w:rsid w:val="00531ADF"/>
    <w:rsid w:val="00532B65"/>
    <w:rsid w:val="00543979"/>
    <w:rsid w:val="0054432B"/>
    <w:rsid w:val="00544D4A"/>
    <w:rsid w:val="00547868"/>
    <w:rsid w:val="005505B1"/>
    <w:rsid w:val="00550CCB"/>
    <w:rsid w:val="00550D51"/>
    <w:rsid w:val="00551BDE"/>
    <w:rsid w:val="00555FE7"/>
    <w:rsid w:val="0055614C"/>
    <w:rsid w:val="005562CC"/>
    <w:rsid w:val="0055645E"/>
    <w:rsid w:val="00562289"/>
    <w:rsid w:val="00566D06"/>
    <w:rsid w:val="00570802"/>
    <w:rsid w:val="00573263"/>
    <w:rsid w:val="005775BF"/>
    <w:rsid w:val="00582940"/>
    <w:rsid w:val="00584444"/>
    <w:rsid w:val="0058445B"/>
    <w:rsid w:val="00591174"/>
    <w:rsid w:val="00591AA3"/>
    <w:rsid w:val="005933F2"/>
    <w:rsid w:val="00593B9A"/>
    <w:rsid w:val="005966DA"/>
    <w:rsid w:val="005A00FC"/>
    <w:rsid w:val="005A1275"/>
    <w:rsid w:val="005A20F7"/>
    <w:rsid w:val="005B218C"/>
    <w:rsid w:val="005B4784"/>
    <w:rsid w:val="005B6E77"/>
    <w:rsid w:val="005C0F64"/>
    <w:rsid w:val="005C183A"/>
    <w:rsid w:val="005C3670"/>
    <w:rsid w:val="005C3FBB"/>
    <w:rsid w:val="005C46B2"/>
    <w:rsid w:val="005C6C38"/>
    <w:rsid w:val="005D307E"/>
    <w:rsid w:val="005D58E7"/>
    <w:rsid w:val="005D6BA4"/>
    <w:rsid w:val="005D6C7F"/>
    <w:rsid w:val="005D7E2D"/>
    <w:rsid w:val="005E14C2"/>
    <w:rsid w:val="005E212E"/>
    <w:rsid w:val="005E2475"/>
    <w:rsid w:val="005E6136"/>
    <w:rsid w:val="005F406B"/>
    <w:rsid w:val="005F4DA2"/>
    <w:rsid w:val="005F51E9"/>
    <w:rsid w:val="005F6BC2"/>
    <w:rsid w:val="005F6C9C"/>
    <w:rsid w:val="00600F2D"/>
    <w:rsid w:val="00601655"/>
    <w:rsid w:val="006016DC"/>
    <w:rsid w:val="006039BE"/>
    <w:rsid w:val="00603FE7"/>
    <w:rsid w:val="006065D2"/>
    <w:rsid w:val="00606CC8"/>
    <w:rsid w:val="00607BA5"/>
    <w:rsid w:val="0061137D"/>
    <w:rsid w:val="0061180A"/>
    <w:rsid w:val="006142A5"/>
    <w:rsid w:val="00615A15"/>
    <w:rsid w:val="00616834"/>
    <w:rsid w:val="00616944"/>
    <w:rsid w:val="006175A3"/>
    <w:rsid w:val="00622188"/>
    <w:rsid w:val="00625B5F"/>
    <w:rsid w:val="00626EB6"/>
    <w:rsid w:val="006279FF"/>
    <w:rsid w:val="00630C66"/>
    <w:rsid w:val="00634353"/>
    <w:rsid w:val="006366E1"/>
    <w:rsid w:val="006404CE"/>
    <w:rsid w:val="00640606"/>
    <w:rsid w:val="00641DE1"/>
    <w:rsid w:val="006447FA"/>
    <w:rsid w:val="00645C23"/>
    <w:rsid w:val="006471B5"/>
    <w:rsid w:val="00651046"/>
    <w:rsid w:val="00652020"/>
    <w:rsid w:val="00652983"/>
    <w:rsid w:val="00652E73"/>
    <w:rsid w:val="00653A30"/>
    <w:rsid w:val="00653D9C"/>
    <w:rsid w:val="00654FE5"/>
    <w:rsid w:val="006559A7"/>
    <w:rsid w:val="00655ABB"/>
    <w:rsid w:val="00655D03"/>
    <w:rsid w:val="006650B5"/>
    <w:rsid w:val="006663F7"/>
    <w:rsid w:val="00667A01"/>
    <w:rsid w:val="00673E7F"/>
    <w:rsid w:val="0067729E"/>
    <w:rsid w:val="00681127"/>
    <w:rsid w:val="00683388"/>
    <w:rsid w:val="00683F84"/>
    <w:rsid w:val="006842E2"/>
    <w:rsid w:val="006848F5"/>
    <w:rsid w:val="006864D2"/>
    <w:rsid w:val="00687F80"/>
    <w:rsid w:val="006917A2"/>
    <w:rsid w:val="00691A8A"/>
    <w:rsid w:val="00693B63"/>
    <w:rsid w:val="006940F1"/>
    <w:rsid w:val="00695129"/>
    <w:rsid w:val="006A037A"/>
    <w:rsid w:val="006A0B73"/>
    <w:rsid w:val="006A0C7F"/>
    <w:rsid w:val="006A15BA"/>
    <w:rsid w:val="006A3384"/>
    <w:rsid w:val="006A3524"/>
    <w:rsid w:val="006A3A54"/>
    <w:rsid w:val="006A5FD8"/>
    <w:rsid w:val="006A6A81"/>
    <w:rsid w:val="006A7769"/>
    <w:rsid w:val="006B013D"/>
    <w:rsid w:val="006B43A8"/>
    <w:rsid w:val="006B44B6"/>
    <w:rsid w:val="006B4B94"/>
    <w:rsid w:val="006B5E82"/>
    <w:rsid w:val="006B7838"/>
    <w:rsid w:val="006B7EF1"/>
    <w:rsid w:val="006C1CC2"/>
    <w:rsid w:val="006C313B"/>
    <w:rsid w:val="006C431C"/>
    <w:rsid w:val="006C4EC3"/>
    <w:rsid w:val="006C630B"/>
    <w:rsid w:val="006C788F"/>
    <w:rsid w:val="006C7F70"/>
    <w:rsid w:val="006D1FC8"/>
    <w:rsid w:val="006D31E5"/>
    <w:rsid w:val="006D4274"/>
    <w:rsid w:val="006D5656"/>
    <w:rsid w:val="006E3B63"/>
    <w:rsid w:val="006E4766"/>
    <w:rsid w:val="006E6214"/>
    <w:rsid w:val="006F038B"/>
    <w:rsid w:val="006F069D"/>
    <w:rsid w:val="006F44F3"/>
    <w:rsid w:val="006F6354"/>
    <w:rsid w:val="006F6660"/>
    <w:rsid w:val="006F7393"/>
    <w:rsid w:val="00700AF8"/>
    <w:rsid w:val="00701D5D"/>
    <w:rsid w:val="0070224F"/>
    <w:rsid w:val="007045BB"/>
    <w:rsid w:val="00707002"/>
    <w:rsid w:val="007073E0"/>
    <w:rsid w:val="007115F7"/>
    <w:rsid w:val="007149C9"/>
    <w:rsid w:val="00717332"/>
    <w:rsid w:val="007177A3"/>
    <w:rsid w:val="007202B4"/>
    <w:rsid w:val="00721EFA"/>
    <w:rsid w:val="00723015"/>
    <w:rsid w:val="007239AB"/>
    <w:rsid w:val="00732032"/>
    <w:rsid w:val="00733DBD"/>
    <w:rsid w:val="00736E64"/>
    <w:rsid w:val="0074491D"/>
    <w:rsid w:val="00744EC6"/>
    <w:rsid w:val="0074696B"/>
    <w:rsid w:val="00751113"/>
    <w:rsid w:val="007535AB"/>
    <w:rsid w:val="00753EF1"/>
    <w:rsid w:val="00755999"/>
    <w:rsid w:val="00756C29"/>
    <w:rsid w:val="0075746E"/>
    <w:rsid w:val="007578D8"/>
    <w:rsid w:val="00757B28"/>
    <w:rsid w:val="007605F5"/>
    <w:rsid w:val="00761E86"/>
    <w:rsid w:val="007625EC"/>
    <w:rsid w:val="0076507C"/>
    <w:rsid w:val="00766449"/>
    <w:rsid w:val="00773702"/>
    <w:rsid w:val="0077580C"/>
    <w:rsid w:val="00775D0D"/>
    <w:rsid w:val="00780A49"/>
    <w:rsid w:val="00781588"/>
    <w:rsid w:val="00781773"/>
    <w:rsid w:val="007848EE"/>
    <w:rsid w:val="00785689"/>
    <w:rsid w:val="00785896"/>
    <w:rsid w:val="00785947"/>
    <w:rsid w:val="00785AC3"/>
    <w:rsid w:val="007877C6"/>
    <w:rsid w:val="00787821"/>
    <w:rsid w:val="007900C1"/>
    <w:rsid w:val="00790E4E"/>
    <w:rsid w:val="00794604"/>
    <w:rsid w:val="0079754B"/>
    <w:rsid w:val="007A07F8"/>
    <w:rsid w:val="007A1E6D"/>
    <w:rsid w:val="007A4EFD"/>
    <w:rsid w:val="007A71C7"/>
    <w:rsid w:val="007A79AD"/>
    <w:rsid w:val="007B0EB2"/>
    <w:rsid w:val="007B33E1"/>
    <w:rsid w:val="007B39FA"/>
    <w:rsid w:val="007B426A"/>
    <w:rsid w:val="007B6022"/>
    <w:rsid w:val="007C06C2"/>
    <w:rsid w:val="007C3726"/>
    <w:rsid w:val="007C3AE2"/>
    <w:rsid w:val="007C4694"/>
    <w:rsid w:val="007C7675"/>
    <w:rsid w:val="007D0BA7"/>
    <w:rsid w:val="007D1E05"/>
    <w:rsid w:val="007D4E60"/>
    <w:rsid w:val="007D6C68"/>
    <w:rsid w:val="007D6C7F"/>
    <w:rsid w:val="007D7AC5"/>
    <w:rsid w:val="007E1849"/>
    <w:rsid w:val="007E1E4C"/>
    <w:rsid w:val="007F1C65"/>
    <w:rsid w:val="007F49DB"/>
    <w:rsid w:val="00800A1A"/>
    <w:rsid w:val="00801F19"/>
    <w:rsid w:val="008051D9"/>
    <w:rsid w:val="008054C8"/>
    <w:rsid w:val="00810096"/>
    <w:rsid w:val="00810B6F"/>
    <w:rsid w:val="00814FF5"/>
    <w:rsid w:val="00817763"/>
    <w:rsid w:val="00822CE0"/>
    <w:rsid w:val="00822E9A"/>
    <w:rsid w:val="00824A74"/>
    <w:rsid w:val="00826AB4"/>
    <w:rsid w:val="00826CB4"/>
    <w:rsid w:val="00832855"/>
    <w:rsid w:val="00834B9A"/>
    <w:rsid w:val="0083649A"/>
    <w:rsid w:val="00837ADC"/>
    <w:rsid w:val="00837F44"/>
    <w:rsid w:val="00841AB1"/>
    <w:rsid w:val="008426C9"/>
    <w:rsid w:val="00843376"/>
    <w:rsid w:val="0084431E"/>
    <w:rsid w:val="00844CC0"/>
    <w:rsid w:val="00852666"/>
    <w:rsid w:val="0085555E"/>
    <w:rsid w:val="00855B1C"/>
    <w:rsid w:val="00856994"/>
    <w:rsid w:val="00862DA1"/>
    <w:rsid w:val="008653A3"/>
    <w:rsid w:val="008669FE"/>
    <w:rsid w:val="0086799C"/>
    <w:rsid w:val="0087036C"/>
    <w:rsid w:val="008752F2"/>
    <w:rsid w:val="00876380"/>
    <w:rsid w:val="008768C5"/>
    <w:rsid w:val="00877A98"/>
    <w:rsid w:val="00885A77"/>
    <w:rsid w:val="00885F11"/>
    <w:rsid w:val="0088711A"/>
    <w:rsid w:val="00890728"/>
    <w:rsid w:val="00891706"/>
    <w:rsid w:val="00893701"/>
    <w:rsid w:val="0089434D"/>
    <w:rsid w:val="0089568B"/>
    <w:rsid w:val="00896328"/>
    <w:rsid w:val="008A1CD3"/>
    <w:rsid w:val="008A226B"/>
    <w:rsid w:val="008A460B"/>
    <w:rsid w:val="008A48F7"/>
    <w:rsid w:val="008A53D8"/>
    <w:rsid w:val="008A69CE"/>
    <w:rsid w:val="008B16C2"/>
    <w:rsid w:val="008B3E66"/>
    <w:rsid w:val="008B41AA"/>
    <w:rsid w:val="008B45DA"/>
    <w:rsid w:val="008B4DD5"/>
    <w:rsid w:val="008C5912"/>
    <w:rsid w:val="008C68F1"/>
    <w:rsid w:val="008C7BD5"/>
    <w:rsid w:val="008D291A"/>
    <w:rsid w:val="008D4EB0"/>
    <w:rsid w:val="008D723D"/>
    <w:rsid w:val="008E48BD"/>
    <w:rsid w:val="008E55B9"/>
    <w:rsid w:val="008E6665"/>
    <w:rsid w:val="008F1374"/>
    <w:rsid w:val="008F251F"/>
    <w:rsid w:val="008F46D9"/>
    <w:rsid w:val="008F7076"/>
    <w:rsid w:val="009014B5"/>
    <w:rsid w:val="00910B8F"/>
    <w:rsid w:val="00911955"/>
    <w:rsid w:val="009120FF"/>
    <w:rsid w:val="009127AA"/>
    <w:rsid w:val="00913A43"/>
    <w:rsid w:val="00915BF9"/>
    <w:rsid w:val="00916A71"/>
    <w:rsid w:val="0091709C"/>
    <w:rsid w:val="00917995"/>
    <w:rsid w:val="009202DF"/>
    <w:rsid w:val="00921803"/>
    <w:rsid w:val="0092508E"/>
    <w:rsid w:val="00926503"/>
    <w:rsid w:val="00931444"/>
    <w:rsid w:val="0093196A"/>
    <w:rsid w:val="00933081"/>
    <w:rsid w:val="0093619E"/>
    <w:rsid w:val="00940327"/>
    <w:rsid w:val="00941DE1"/>
    <w:rsid w:val="00942A8D"/>
    <w:rsid w:val="00944A88"/>
    <w:rsid w:val="00946169"/>
    <w:rsid w:val="00951534"/>
    <w:rsid w:val="00953418"/>
    <w:rsid w:val="00956BF3"/>
    <w:rsid w:val="00957AC6"/>
    <w:rsid w:val="00961095"/>
    <w:rsid w:val="00967421"/>
    <w:rsid w:val="00970E4A"/>
    <w:rsid w:val="009712B1"/>
    <w:rsid w:val="009724A6"/>
    <w:rsid w:val="009726D8"/>
    <w:rsid w:val="00972AEA"/>
    <w:rsid w:val="00972D24"/>
    <w:rsid w:val="0097391D"/>
    <w:rsid w:val="00973EAA"/>
    <w:rsid w:val="0097702B"/>
    <w:rsid w:val="009802B6"/>
    <w:rsid w:val="00980806"/>
    <w:rsid w:val="00980874"/>
    <w:rsid w:val="009814EC"/>
    <w:rsid w:val="00983816"/>
    <w:rsid w:val="0098383F"/>
    <w:rsid w:val="00983CE2"/>
    <w:rsid w:val="0098457D"/>
    <w:rsid w:val="00987D8C"/>
    <w:rsid w:val="00993D55"/>
    <w:rsid w:val="00994172"/>
    <w:rsid w:val="00994BBF"/>
    <w:rsid w:val="00996386"/>
    <w:rsid w:val="009A049D"/>
    <w:rsid w:val="009A282A"/>
    <w:rsid w:val="009A36CA"/>
    <w:rsid w:val="009A4C0D"/>
    <w:rsid w:val="009B034A"/>
    <w:rsid w:val="009B1B1E"/>
    <w:rsid w:val="009B4B7C"/>
    <w:rsid w:val="009B4EF4"/>
    <w:rsid w:val="009B76E5"/>
    <w:rsid w:val="009C13F3"/>
    <w:rsid w:val="009C4E7E"/>
    <w:rsid w:val="009C580E"/>
    <w:rsid w:val="009D251E"/>
    <w:rsid w:val="009D2EAE"/>
    <w:rsid w:val="009D4C8A"/>
    <w:rsid w:val="009D53FA"/>
    <w:rsid w:val="009D7308"/>
    <w:rsid w:val="009D7B75"/>
    <w:rsid w:val="009D7F7E"/>
    <w:rsid w:val="009E1A14"/>
    <w:rsid w:val="009E207B"/>
    <w:rsid w:val="009E3EC6"/>
    <w:rsid w:val="009E3F07"/>
    <w:rsid w:val="009E49D5"/>
    <w:rsid w:val="009E597D"/>
    <w:rsid w:val="009F0952"/>
    <w:rsid w:val="009F42C6"/>
    <w:rsid w:val="009F4ACB"/>
    <w:rsid w:val="009F4BDC"/>
    <w:rsid w:val="009F76DB"/>
    <w:rsid w:val="00A019B1"/>
    <w:rsid w:val="00A048FA"/>
    <w:rsid w:val="00A05015"/>
    <w:rsid w:val="00A061D8"/>
    <w:rsid w:val="00A075DA"/>
    <w:rsid w:val="00A07C7D"/>
    <w:rsid w:val="00A13117"/>
    <w:rsid w:val="00A134E9"/>
    <w:rsid w:val="00A13857"/>
    <w:rsid w:val="00A14922"/>
    <w:rsid w:val="00A1526F"/>
    <w:rsid w:val="00A156C0"/>
    <w:rsid w:val="00A17DC5"/>
    <w:rsid w:val="00A22658"/>
    <w:rsid w:val="00A227F1"/>
    <w:rsid w:val="00A22831"/>
    <w:rsid w:val="00A240DD"/>
    <w:rsid w:val="00A25B67"/>
    <w:rsid w:val="00A30EB3"/>
    <w:rsid w:val="00A32C3B"/>
    <w:rsid w:val="00A35768"/>
    <w:rsid w:val="00A35A64"/>
    <w:rsid w:val="00A37177"/>
    <w:rsid w:val="00A411E4"/>
    <w:rsid w:val="00A4127F"/>
    <w:rsid w:val="00A4253E"/>
    <w:rsid w:val="00A42E09"/>
    <w:rsid w:val="00A4490A"/>
    <w:rsid w:val="00A45F4F"/>
    <w:rsid w:val="00A52BBF"/>
    <w:rsid w:val="00A567D0"/>
    <w:rsid w:val="00A600A9"/>
    <w:rsid w:val="00A64323"/>
    <w:rsid w:val="00A65604"/>
    <w:rsid w:val="00A70EA7"/>
    <w:rsid w:val="00A7774A"/>
    <w:rsid w:val="00A80341"/>
    <w:rsid w:val="00A82F88"/>
    <w:rsid w:val="00A83585"/>
    <w:rsid w:val="00A86844"/>
    <w:rsid w:val="00A90725"/>
    <w:rsid w:val="00A928CA"/>
    <w:rsid w:val="00A94217"/>
    <w:rsid w:val="00A94E1F"/>
    <w:rsid w:val="00A95555"/>
    <w:rsid w:val="00A97354"/>
    <w:rsid w:val="00AA0878"/>
    <w:rsid w:val="00AA1645"/>
    <w:rsid w:val="00AA3931"/>
    <w:rsid w:val="00AA3F2E"/>
    <w:rsid w:val="00AA55B7"/>
    <w:rsid w:val="00AA5B9E"/>
    <w:rsid w:val="00AA630D"/>
    <w:rsid w:val="00AA71FF"/>
    <w:rsid w:val="00AA7FDA"/>
    <w:rsid w:val="00AB000B"/>
    <w:rsid w:val="00AB051D"/>
    <w:rsid w:val="00AB0A14"/>
    <w:rsid w:val="00AB2407"/>
    <w:rsid w:val="00AB4EFF"/>
    <w:rsid w:val="00AB53DF"/>
    <w:rsid w:val="00AB7C83"/>
    <w:rsid w:val="00AC0E2A"/>
    <w:rsid w:val="00AC3E50"/>
    <w:rsid w:val="00AC4A83"/>
    <w:rsid w:val="00AC4F0C"/>
    <w:rsid w:val="00AC6FC7"/>
    <w:rsid w:val="00AC6FEF"/>
    <w:rsid w:val="00AC7982"/>
    <w:rsid w:val="00AD3C0D"/>
    <w:rsid w:val="00AD4BB6"/>
    <w:rsid w:val="00AE0847"/>
    <w:rsid w:val="00AE087A"/>
    <w:rsid w:val="00AE1677"/>
    <w:rsid w:val="00AE1C91"/>
    <w:rsid w:val="00AE4567"/>
    <w:rsid w:val="00AE638C"/>
    <w:rsid w:val="00AF326C"/>
    <w:rsid w:val="00AF501B"/>
    <w:rsid w:val="00AF513E"/>
    <w:rsid w:val="00B0177C"/>
    <w:rsid w:val="00B04055"/>
    <w:rsid w:val="00B0566D"/>
    <w:rsid w:val="00B05AF4"/>
    <w:rsid w:val="00B07E5C"/>
    <w:rsid w:val="00B11004"/>
    <w:rsid w:val="00B117C3"/>
    <w:rsid w:val="00B1195F"/>
    <w:rsid w:val="00B14434"/>
    <w:rsid w:val="00B15546"/>
    <w:rsid w:val="00B15697"/>
    <w:rsid w:val="00B16830"/>
    <w:rsid w:val="00B16EF9"/>
    <w:rsid w:val="00B16F35"/>
    <w:rsid w:val="00B24438"/>
    <w:rsid w:val="00B247E2"/>
    <w:rsid w:val="00B356FC"/>
    <w:rsid w:val="00B363E9"/>
    <w:rsid w:val="00B436CD"/>
    <w:rsid w:val="00B47051"/>
    <w:rsid w:val="00B5647B"/>
    <w:rsid w:val="00B60211"/>
    <w:rsid w:val="00B62E63"/>
    <w:rsid w:val="00B649B7"/>
    <w:rsid w:val="00B73CA7"/>
    <w:rsid w:val="00B74BC4"/>
    <w:rsid w:val="00B75697"/>
    <w:rsid w:val="00B76AED"/>
    <w:rsid w:val="00B811F7"/>
    <w:rsid w:val="00B81D3A"/>
    <w:rsid w:val="00B81DA9"/>
    <w:rsid w:val="00B82071"/>
    <w:rsid w:val="00B82E72"/>
    <w:rsid w:val="00B83C38"/>
    <w:rsid w:val="00B90D0F"/>
    <w:rsid w:val="00B93C3A"/>
    <w:rsid w:val="00B955E1"/>
    <w:rsid w:val="00B95C38"/>
    <w:rsid w:val="00B97435"/>
    <w:rsid w:val="00BA08F0"/>
    <w:rsid w:val="00BA1938"/>
    <w:rsid w:val="00BA3E61"/>
    <w:rsid w:val="00BA5DC6"/>
    <w:rsid w:val="00BA6196"/>
    <w:rsid w:val="00BA62F5"/>
    <w:rsid w:val="00BB696B"/>
    <w:rsid w:val="00BC3944"/>
    <w:rsid w:val="00BC6D8C"/>
    <w:rsid w:val="00BC73CC"/>
    <w:rsid w:val="00BD434D"/>
    <w:rsid w:val="00BE1448"/>
    <w:rsid w:val="00BE1AED"/>
    <w:rsid w:val="00BE1B18"/>
    <w:rsid w:val="00BE272E"/>
    <w:rsid w:val="00BE27E8"/>
    <w:rsid w:val="00BE4322"/>
    <w:rsid w:val="00BE5E71"/>
    <w:rsid w:val="00BE5E9A"/>
    <w:rsid w:val="00BE7AA2"/>
    <w:rsid w:val="00BF3114"/>
    <w:rsid w:val="00BF40DD"/>
    <w:rsid w:val="00C011AC"/>
    <w:rsid w:val="00C01806"/>
    <w:rsid w:val="00C01CF0"/>
    <w:rsid w:val="00C05FAF"/>
    <w:rsid w:val="00C0637D"/>
    <w:rsid w:val="00C12D96"/>
    <w:rsid w:val="00C12DA6"/>
    <w:rsid w:val="00C12FD4"/>
    <w:rsid w:val="00C1321C"/>
    <w:rsid w:val="00C13749"/>
    <w:rsid w:val="00C14229"/>
    <w:rsid w:val="00C14593"/>
    <w:rsid w:val="00C1576A"/>
    <w:rsid w:val="00C15E97"/>
    <w:rsid w:val="00C16169"/>
    <w:rsid w:val="00C16309"/>
    <w:rsid w:val="00C1746C"/>
    <w:rsid w:val="00C2078F"/>
    <w:rsid w:val="00C2250A"/>
    <w:rsid w:val="00C25D43"/>
    <w:rsid w:val="00C26898"/>
    <w:rsid w:val="00C27402"/>
    <w:rsid w:val="00C30C19"/>
    <w:rsid w:val="00C314B7"/>
    <w:rsid w:val="00C34006"/>
    <w:rsid w:val="00C35347"/>
    <w:rsid w:val="00C35BB1"/>
    <w:rsid w:val="00C3687E"/>
    <w:rsid w:val="00C36B4C"/>
    <w:rsid w:val="00C40A81"/>
    <w:rsid w:val="00C415DE"/>
    <w:rsid w:val="00C41CFC"/>
    <w:rsid w:val="00C421D2"/>
    <w:rsid w:val="00C426B1"/>
    <w:rsid w:val="00C43F7F"/>
    <w:rsid w:val="00C4415A"/>
    <w:rsid w:val="00C46628"/>
    <w:rsid w:val="00C52B09"/>
    <w:rsid w:val="00C541DD"/>
    <w:rsid w:val="00C546DF"/>
    <w:rsid w:val="00C57E03"/>
    <w:rsid w:val="00C61863"/>
    <w:rsid w:val="00C62093"/>
    <w:rsid w:val="00C65F42"/>
    <w:rsid w:val="00C66160"/>
    <w:rsid w:val="00C70763"/>
    <w:rsid w:val="00C721AC"/>
    <w:rsid w:val="00C72F68"/>
    <w:rsid w:val="00C76C27"/>
    <w:rsid w:val="00C81596"/>
    <w:rsid w:val="00C82E8A"/>
    <w:rsid w:val="00C835AB"/>
    <w:rsid w:val="00C9006A"/>
    <w:rsid w:val="00C90D6A"/>
    <w:rsid w:val="00C91ABD"/>
    <w:rsid w:val="00C931FC"/>
    <w:rsid w:val="00C940B9"/>
    <w:rsid w:val="00C94189"/>
    <w:rsid w:val="00C94B91"/>
    <w:rsid w:val="00C95993"/>
    <w:rsid w:val="00C97B18"/>
    <w:rsid w:val="00CA011A"/>
    <w:rsid w:val="00CA247E"/>
    <w:rsid w:val="00CA3831"/>
    <w:rsid w:val="00CA6D21"/>
    <w:rsid w:val="00CA778C"/>
    <w:rsid w:val="00CB0614"/>
    <w:rsid w:val="00CB117B"/>
    <w:rsid w:val="00CB443B"/>
    <w:rsid w:val="00CB4B72"/>
    <w:rsid w:val="00CB63A0"/>
    <w:rsid w:val="00CB746B"/>
    <w:rsid w:val="00CC4CA0"/>
    <w:rsid w:val="00CC4D70"/>
    <w:rsid w:val="00CC72B6"/>
    <w:rsid w:val="00CD19E4"/>
    <w:rsid w:val="00CD1D3B"/>
    <w:rsid w:val="00CD3129"/>
    <w:rsid w:val="00CD42B6"/>
    <w:rsid w:val="00CD4A46"/>
    <w:rsid w:val="00CE0543"/>
    <w:rsid w:val="00CE4C86"/>
    <w:rsid w:val="00CE5FAC"/>
    <w:rsid w:val="00CF43B9"/>
    <w:rsid w:val="00CF5537"/>
    <w:rsid w:val="00CF5AE3"/>
    <w:rsid w:val="00D0218D"/>
    <w:rsid w:val="00D04460"/>
    <w:rsid w:val="00D0781A"/>
    <w:rsid w:val="00D07EB0"/>
    <w:rsid w:val="00D102FC"/>
    <w:rsid w:val="00D11500"/>
    <w:rsid w:val="00D12BC4"/>
    <w:rsid w:val="00D13A24"/>
    <w:rsid w:val="00D1506F"/>
    <w:rsid w:val="00D21B4F"/>
    <w:rsid w:val="00D220A8"/>
    <w:rsid w:val="00D2580B"/>
    <w:rsid w:val="00D25D59"/>
    <w:rsid w:val="00D25FB5"/>
    <w:rsid w:val="00D27586"/>
    <w:rsid w:val="00D27B98"/>
    <w:rsid w:val="00D306F8"/>
    <w:rsid w:val="00D330FA"/>
    <w:rsid w:val="00D34029"/>
    <w:rsid w:val="00D34A19"/>
    <w:rsid w:val="00D34A55"/>
    <w:rsid w:val="00D36727"/>
    <w:rsid w:val="00D36FDE"/>
    <w:rsid w:val="00D40A0E"/>
    <w:rsid w:val="00D43228"/>
    <w:rsid w:val="00D44223"/>
    <w:rsid w:val="00D44905"/>
    <w:rsid w:val="00D45527"/>
    <w:rsid w:val="00D45E32"/>
    <w:rsid w:val="00D4688A"/>
    <w:rsid w:val="00D469E8"/>
    <w:rsid w:val="00D5073B"/>
    <w:rsid w:val="00D547FC"/>
    <w:rsid w:val="00D578B8"/>
    <w:rsid w:val="00D60166"/>
    <w:rsid w:val="00D61614"/>
    <w:rsid w:val="00D6222F"/>
    <w:rsid w:val="00D63739"/>
    <w:rsid w:val="00D639C4"/>
    <w:rsid w:val="00D6631B"/>
    <w:rsid w:val="00D719B7"/>
    <w:rsid w:val="00D73547"/>
    <w:rsid w:val="00D751DB"/>
    <w:rsid w:val="00D76CAD"/>
    <w:rsid w:val="00D80B7B"/>
    <w:rsid w:val="00D8166D"/>
    <w:rsid w:val="00D82A5B"/>
    <w:rsid w:val="00D83485"/>
    <w:rsid w:val="00D83506"/>
    <w:rsid w:val="00D86689"/>
    <w:rsid w:val="00D87079"/>
    <w:rsid w:val="00D90396"/>
    <w:rsid w:val="00D92C01"/>
    <w:rsid w:val="00D95462"/>
    <w:rsid w:val="00D96029"/>
    <w:rsid w:val="00D9652D"/>
    <w:rsid w:val="00D96905"/>
    <w:rsid w:val="00D972DD"/>
    <w:rsid w:val="00DA003C"/>
    <w:rsid w:val="00DA0F36"/>
    <w:rsid w:val="00DA15B6"/>
    <w:rsid w:val="00DA2529"/>
    <w:rsid w:val="00DA4126"/>
    <w:rsid w:val="00DA6ABB"/>
    <w:rsid w:val="00DB130A"/>
    <w:rsid w:val="00DB1820"/>
    <w:rsid w:val="00DB2007"/>
    <w:rsid w:val="00DB21A1"/>
    <w:rsid w:val="00DB22FD"/>
    <w:rsid w:val="00DB2EBB"/>
    <w:rsid w:val="00DB6DF5"/>
    <w:rsid w:val="00DC10A1"/>
    <w:rsid w:val="00DC655F"/>
    <w:rsid w:val="00DC7074"/>
    <w:rsid w:val="00DC7DE7"/>
    <w:rsid w:val="00DD0B59"/>
    <w:rsid w:val="00DD1ECB"/>
    <w:rsid w:val="00DD245F"/>
    <w:rsid w:val="00DD3F42"/>
    <w:rsid w:val="00DD43EF"/>
    <w:rsid w:val="00DD7EBD"/>
    <w:rsid w:val="00DE09A2"/>
    <w:rsid w:val="00DE0DB8"/>
    <w:rsid w:val="00DE55DD"/>
    <w:rsid w:val="00DE5D9F"/>
    <w:rsid w:val="00DE79D2"/>
    <w:rsid w:val="00DF62B6"/>
    <w:rsid w:val="00E06E68"/>
    <w:rsid w:val="00E06E7B"/>
    <w:rsid w:val="00E07225"/>
    <w:rsid w:val="00E10406"/>
    <w:rsid w:val="00E1316B"/>
    <w:rsid w:val="00E1499D"/>
    <w:rsid w:val="00E16213"/>
    <w:rsid w:val="00E17DD9"/>
    <w:rsid w:val="00E21334"/>
    <w:rsid w:val="00E236DE"/>
    <w:rsid w:val="00E247A4"/>
    <w:rsid w:val="00E25AD9"/>
    <w:rsid w:val="00E2650D"/>
    <w:rsid w:val="00E276BD"/>
    <w:rsid w:val="00E344CD"/>
    <w:rsid w:val="00E34A63"/>
    <w:rsid w:val="00E36C99"/>
    <w:rsid w:val="00E41F3E"/>
    <w:rsid w:val="00E44613"/>
    <w:rsid w:val="00E455C2"/>
    <w:rsid w:val="00E4624D"/>
    <w:rsid w:val="00E50491"/>
    <w:rsid w:val="00E52261"/>
    <w:rsid w:val="00E5409F"/>
    <w:rsid w:val="00E55FFF"/>
    <w:rsid w:val="00E61B37"/>
    <w:rsid w:val="00E61E62"/>
    <w:rsid w:val="00E6209F"/>
    <w:rsid w:val="00E63EAE"/>
    <w:rsid w:val="00E63FEC"/>
    <w:rsid w:val="00E66550"/>
    <w:rsid w:val="00E67AC4"/>
    <w:rsid w:val="00E70AE9"/>
    <w:rsid w:val="00E742F3"/>
    <w:rsid w:val="00E76039"/>
    <w:rsid w:val="00E76D23"/>
    <w:rsid w:val="00E90D4D"/>
    <w:rsid w:val="00E91626"/>
    <w:rsid w:val="00E916D4"/>
    <w:rsid w:val="00E92920"/>
    <w:rsid w:val="00EA019C"/>
    <w:rsid w:val="00EA0EA0"/>
    <w:rsid w:val="00EA6586"/>
    <w:rsid w:val="00EB0240"/>
    <w:rsid w:val="00EB2DF1"/>
    <w:rsid w:val="00EB3874"/>
    <w:rsid w:val="00EB5C2F"/>
    <w:rsid w:val="00EC0331"/>
    <w:rsid w:val="00EC4EA5"/>
    <w:rsid w:val="00EC4FD9"/>
    <w:rsid w:val="00EC717D"/>
    <w:rsid w:val="00EC7346"/>
    <w:rsid w:val="00ED0F46"/>
    <w:rsid w:val="00ED12BE"/>
    <w:rsid w:val="00ED1A7C"/>
    <w:rsid w:val="00ED236A"/>
    <w:rsid w:val="00ED2EF3"/>
    <w:rsid w:val="00ED361D"/>
    <w:rsid w:val="00ED3FA4"/>
    <w:rsid w:val="00ED5752"/>
    <w:rsid w:val="00ED6A3C"/>
    <w:rsid w:val="00ED7AFC"/>
    <w:rsid w:val="00EE023C"/>
    <w:rsid w:val="00EE09E0"/>
    <w:rsid w:val="00EE2B0B"/>
    <w:rsid w:val="00EE2E30"/>
    <w:rsid w:val="00EE6488"/>
    <w:rsid w:val="00EE6FD5"/>
    <w:rsid w:val="00EF0084"/>
    <w:rsid w:val="00EF2AC6"/>
    <w:rsid w:val="00EF515A"/>
    <w:rsid w:val="00F021FA"/>
    <w:rsid w:val="00F03CB8"/>
    <w:rsid w:val="00F04050"/>
    <w:rsid w:val="00F10C8B"/>
    <w:rsid w:val="00F1455E"/>
    <w:rsid w:val="00F1583B"/>
    <w:rsid w:val="00F169D2"/>
    <w:rsid w:val="00F17098"/>
    <w:rsid w:val="00F17608"/>
    <w:rsid w:val="00F17ED5"/>
    <w:rsid w:val="00F2207B"/>
    <w:rsid w:val="00F23198"/>
    <w:rsid w:val="00F245AA"/>
    <w:rsid w:val="00F248D6"/>
    <w:rsid w:val="00F267A8"/>
    <w:rsid w:val="00F31649"/>
    <w:rsid w:val="00F31998"/>
    <w:rsid w:val="00F31C90"/>
    <w:rsid w:val="00F33036"/>
    <w:rsid w:val="00F34288"/>
    <w:rsid w:val="00F35C70"/>
    <w:rsid w:val="00F37EAF"/>
    <w:rsid w:val="00F405D2"/>
    <w:rsid w:val="00F406FE"/>
    <w:rsid w:val="00F411DD"/>
    <w:rsid w:val="00F4335C"/>
    <w:rsid w:val="00F44633"/>
    <w:rsid w:val="00F50051"/>
    <w:rsid w:val="00F516C9"/>
    <w:rsid w:val="00F517CE"/>
    <w:rsid w:val="00F530A6"/>
    <w:rsid w:val="00F53828"/>
    <w:rsid w:val="00F54521"/>
    <w:rsid w:val="00F56A17"/>
    <w:rsid w:val="00F56D57"/>
    <w:rsid w:val="00F60E37"/>
    <w:rsid w:val="00F62E97"/>
    <w:rsid w:val="00F633D3"/>
    <w:rsid w:val="00F64209"/>
    <w:rsid w:val="00F649C2"/>
    <w:rsid w:val="00F663FB"/>
    <w:rsid w:val="00F66E19"/>
    <w:rsid w:val="00F70B40"/>
    <w:rsid w:val="00F71A77"/>
    <w:rsid w:val="00F7413A"/>
    <w:rsid w:val="00F753C9"/>
    <w:rsid w:val="00F774F6"/>
    <w:rsid w:val="00F80451"/>
    <w:rsid w:val="00F829B8"/>
    <w:rsid w:val="00F851F5"/>
    <w:rsid w:val="00F86195"/>
    <w:rsid w:val="00F863DA"/>
    <w:rsid w:val="00F93BF5"/>
    <w:rsid w:val="00F94AE6"/>
    <w:rsid w:val="00FA2234"/>
    <w:rsid w:val="00FA30AF"/>
    <w:rsid w:val="00FA4CB9"/>
    <w:rsid w:val="00FB1242"/>
    <w:rsid w:val="00FB1DF1"/>
    <w:rsid w:val="00FB2BD8"/>
    <w:rsid w:val="00FB2D62"/>
    <w:rsid w:val="00FB5928"/>
    <w:rsid w:val="00FC5770"/>
    <w:rsid w:val="00FC7E45"/>
    <w:rsid w:val="00FD1A89"/>
    <w:rsid w:val="00FD52E3"/>
    <w:rsid w:val="00FD60CE"/>
    <w:rsid w:val="00FF1495"/>
    <w:rsid w:val="00FF7299"/>
    <w:rsid w:val="00FF7669"/>
    <w:rsid w:val="00FF7C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EFC22DA0-FE13-4EF3-B7C3-20C16D26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7F"/>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7D6C7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 Char Char Char Char1 Char,Heading 2 Char1,Heading 2 Char1 Char Char,Heading 2 Char1 Char Char Char Char1 Char,Heading 2 Char1 Char Char1,Heading 2 Char1 Char Char1 Char Char"/>
    <w:basedOn w:val="Normal"/>
    <w:next w:val="ParaNum"/>
    <w:link w:val="Heading2Char"/>
    <w:autoRedefine/>
    <w:qFormat/>
    <w:rsid w:val="007D6C7F"/>
    <w:pPr>
      <w:keepNext/>
      <w:numPr>
        <w:ilvl w:val="1"/>
        <w:numId w:val="2"/>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7D6C7F"/>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7D6C7F"/>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7D6C7F"/>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7D6C7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7D6C7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7D6C7F"/>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7D6C7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6C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6C7F"/>
  </w:style>
  <w:style w:type="character" w:customStyle="1" w:styleId="Heading1Char">
    <w:name w:val="Heading 1 Char"/>
    <w:aliases w:val="Heading 1 Char Char Char Char,Heading 1 Char Char Char Char Char Char,Heading 1 Char Char Char1 Char,Heading 1 Char Char1 Char,Heading 1 Char1 Char Char,Heading 1 Char1 Char Char Char Char,Heading 1 Char1 Char1 Char,Heading 1 Char2 Char"/>
    <w:link w:val="Heading1"/>
    <w:locked/>
    <w:rsid w:val="00983816"/>
    <w:rPr>
      <w:rFonts w:ascii="Times New Roman Bold" w:hAnsi="Times New Roman Bold"/>
      <w:b/>
      <w:caps/>
      <w:snapToGrid w:val="0"/>
      <w:kern w:val="28"/>
      <w:sz w:val="22"/>
    </w:rPr>
  </w:style>
  <w:style w:type="character" w:customStyle="1" w:styleId="Heading2Char">
    <w:name w:val="Heading 2 Char"/>
    <w:aliases w:val="Heading 2 Char Char Char Char Char,Heading 2 Char Char Char Char Char Char1 Char Char,Heading 2 Char1 Char,Heading 2 Char1 Char Char Char,Heading 2 Char1 Char Char Char Char1 Char Char,Heading 2 Char1 Char Char1 Char"/>
    <w:link w:val="Heading2"/>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link w:val="Heading4"/>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Pr>
      <w:b/>
      <w:snapToGrid w:val="0"/>
      <w:kern w:val="28"/>
      <w:sz w:val="22"/>
    </w:rPr>
  </w:style>
  <w:style w:type="character" w:customStyle="1" w:styleId="Heading7Char">
    <w:name w:val="Heading 7 Char"/>
    <w:link w:val="Heading7"/>
    <w:rPr>
      <w:b/>
      <w:snapToGrid w:val="0"/>
      <w:kern w:val="28"/>
      <w:sz w:val="22"/>
    </w:rPr>
  </w:style>
  <w:style w:type="character" w:customStyle="1" w:styleId="Heading8Char">
    <w:name w:val="Heading 8 Char"/>
    <w:link w:val="Heading8"/>
    <w:rPr>
      <w:b/>
      <w:snapToGrid w:val="0"/>
      <w:kern w:val="28"/>
      <w:sz w:val="22"/>
    </w:rPr>
  </w:style>
  <w:style w:type="character" w:customStyle="1" w:styleId="Heading9Char">
    <w:name w:val="Heading 9 Char"/>
    <w:aliases w:val="9 Char,Heading 9.table Char,Titre 9 Char,Topic Char,t Char,table Char"/>
    <w:link w:val="Heading9"/>
    <w:rPr>
      <w:b/>
      <w:snapToGrid w:val="0"/>
      <w:kern w:val="28"/>
      <w:sz w:val="22"/>
    </w:rPr>
  </w:style>
  <w:style w:type="paragraph" w:customStyle="1" w:styleId="ParaNum">
    <w:name w:val="ParaNum"/>
    <w:basedOn w:val="Normal"/>
    <w:link w:val="ParaNumChar"/>
    <w:rsid w:val="007D6C7F"/>
    <w:pPr>
      <w:numPr>
        <w:numId w:val="1"/>
      </w:numPr>
      <w:tabs>
        <w:tab w:val="num" w:pos="1440"/>
        <w:tab w:val="clear" w:pos="2430"/>
      </w:tabs>
      <w:spacing w:after="120"/>
      <w:ind w:left="0"/>
    </w:pPr>
  </w:style>
  <w:style w:type="paragraph" w:styleId="EndnoteText">
    <w:name w:val="endnote text"/>
    <w:basedOn w:val="Normal"/>
    <w:link w:val="EndnoteTextChar"/>
    <w:semiHidden/>
    <w:rsid w:val="007D6C7F"/>
    <w:rPr>
      <w:sz w:val="20"/>
    </w:rPr>
  </w:style>
  <w:style w:type="character" w:customStyle="1" w:styleId="EndnoteTextChar">
    <w:name w:val="Endnote Text Char"/>
    <w:link w:val="EndnoteText"/>
    <w:semiHidden/>
    <w:rPr>
      <w:snapToGrid w:val="0"/>
      <w:kern w:val="28"/>
    </w:rPr>
  </w:style>
  <w:style w:type="character" w:styleId="EndnoteReference">
    <w:name w:val="endnote reference"/>
    <w:semiHidden/>
    <w:rsid w:val="007D6C7F"/>
    <w:rPr>
      <w:vertAlign w:val="superscript"/>
    </w:rPr>
  </w:style>
  <w:style w:type="paragraph" w:styleId="FootnoteText">
    <w:name w:val="footnote text"/>
    <w:aliases w:val="ALTS FOOTNOTE Char Char,ALTS FOOTNOTE Char1,Footnote Text Char,Footnote Text Char Char Char Char,Footnote Text Char1 Char Char,Footnote Text Char1 Char1 Char Char Char Char,Footnote Text Char2 Char Char Char Char,f Ch,fn Char Char,fn Char1"/>
    <w:link w:val="FootnoteTextChar1"/>
    <w:rsid w:val="007D6C7F"/>
    <w:pPr>
      <w:spacing w:after="120"/>
    </w:pPr>
  </w:style>
  <w:style w:type="character" w:customStyle="1" w:styleId="FootnoteTextChar1">
    <w:name w:val="Footnote Text Char1"/>
    <w:aliases w:val="ALTS FOOTNOTE Char Char Char,ALTS FOOTNOTE Char1 Char,Footnote Text Char Char,Footnote Text Char Char Char Char Char,Footnote Text Char1 Char Char Char,Footnote Text Char2 Char Char Char Char Char,fn Char Char Char,fn Char1 Char"/>
    <w:link w:val="FootnoteText"/>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D6C7F"/>
    <w:rPr>
      <w:rFonts w:ascii="Times New Roman" w:hAnsi="Times New Roman"/>
      <w:dstrike w:val="0"/>
      <w:color w:val="auto"/>
      <w:sz w:val="20"/>
      <w:vertAlign w:val="superscript"/>
    </w:rPr>
  </w:style>
  <w:style w:type="paragraph" w:styleId="TOC1">
    <w:name w:val="toc 1"/>
    <w:basedOn w:val="Normal"/>
    <w:next w:val="Normal"/>
    <w:semiHidden/>
    <w:rsid w:val="007D6C7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D6C7F"/>
    <w:pPr>
      <w:tabs>
        <w:tab w:val="left" w:pos="720"/>
        <w:tab w:val="right" w:leader="dot" w:pos="9360"/>
      </w:tabs>
      <w:suppressAutoHyphens/>
      <w:ind w:left="720" w:right="720" w:hanging="360"/>
    </w:pPr>
    <w:rPr>
      <w:noProof/>
    </w:rPr>
  </w:style>
  <w:style w:type="paragraph" w:styleId="TOC3">
    <w:name w:val="toc 3"/>
    <w:basedOn w:val="Normal"/>
    <w:next w:val="Normal"/>
    <w:semiHidden/>
    <w:rsid w:val="007D6C7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6C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6C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6C7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6C7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6C7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6C7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6C7F"/>
    <w:pPr>
      <w:tabs>
        <w:tab w:val="right" w:pos="9360"/>
      </w:tabs>
      <w:suppressAutoHyphens/>
    </w:pPr>
  </w:style>
  <w:style w:type="character" w:customStyle="1" w:styleId="EquationCaption">
    <w:name w:val="_Equation Caption"/>
    <w:rsid w:val="007D6C7F"/>
  </w:style>
  <w:style w:type="paragraph" w:styleId="Header">
    <w:name w:val="header"/>
    <w:basedOn w:val="Normal"/>
    <w:link w:val="HeaderChar"/>
    <w:autoRedefine/>
    <w:rsid w:val="007D6C7F"/>
    <w:pPr>
      <w:tabs>
        <w:tab w:val="center" w:pos="4680"/>
        <w:tab w:val="right" w:pos="9360"/>
      </w:tabs>
    </w:pPr>
    <w:rPr>
      <w:b/>
    </w:rPr>
  </w:style>
  <w:style w:type="character" w:customStyle="1" w:styleId="HeaderChar">
    <w:name w:val="Header Char"/>
    <w:link w:val="Header"/>
    <w:rPr>
      <w:b/>
      <w:snapToGrid w:val="0"/>
      <w:kern w:val="28"/>
      <w:sz w:val="22"/>
    </w:rPr>
  </w:style>
  <w:style w:type="paragraph" w:styleId="Footer">
    <w:name w:val="footer"/>
    <w:basedOn w:val="Normal"/>
    <w:link w:val="FooterChar"/>
    <w:uiPriority w:val="99"/>
    <w:rsid w:val="007D6C7F"/>
    <w:pPr>
      <w:tabs>
        <w:tab w:val="center" w:pos="4320"/>
        <w:tab w:val="right" w:pos="8640"/>
      </w:tabs>
    </w:pPr>
  </w:style>
  <w:style w:type="character" w:customStyle="1" w:styleId="FooterChar">
    <w:name w:val="Footer Char"/>
    <w:link w:val="Footer"/>
    <w:uiPriority w:val="99"/>
    <w:locked/>
    <w:rsid w:val="007D6C7F"/>
    <w:rPr>
      <w:snapToGrid w:val="0"/>
      <w:kern w:val="28"/>
      <w:sz w:val="22"/>
    </w:rPr>
  </w:style>
  <w:style w:type="character" w:styleId="PageNumber">
    <w:name w:val="page number"/>
    <w:basedOn w:val="DefaultParagraphFont"/>
    <w:rsid w:val="007D6C7F"/>
  </w:style>
  <w:style w:type="paragraph" w:styleId="BlockText">
    <w:name w:val="Block Text"/>
    <w:basedOn w:val="Normal"/>
    <w:rsid w:val="007D6C7F"/>
    <w:pPr>
      <w:spacing w:after="240"/>
      <w:ind w:left="1440" w:right="1440"/>
    </w:pPr>
  </w:style>
  <w:style w:type="paragraph" w:customStyle="1" w:styleId="Paratitle">
    <w:name w:val="Para title"/>
    <w:basedOn w:val="Normal"/>
    <w:rsid w:val="007D6C7F"/>
    <w:pPr>
      <w:tabs>
        <w:tab w:val="center" w:pos="9270"/>
      </w:tabs>
      <w:spacing w:after="240"/>
    </w:pPr>
    <w:rPr>
      <w:spacing w:val="-2"/>
    </w:rPr>
  </w:style>
  <w:style w:type="paragraph" w:customStyle="1" w:styleId="Bullet">
    <w:name w:val="Bullet"/>
    <w:basedOn w:val="Normal"/>
    <w:rsid w:val="007D6C7F"/>
    <w:pPr>
      <w:tabs>
        <w:tab w:val="left" w:pos="2160"/>
      </w:tabs>
      <w:spacing w:after="220"/>
      <w:ind w:left="2160" w:hanging="720"/>
    </w:pPr>
  </w:style>
  <w:style w:type="paragraph" w:customStyle="1" w:styleId="TableFormat">
    <w:name w:val="TableFormat"/>
    <w:basedOn w:val="Bullet"/>
    <w:rsid w:val="007D6C7F"/>
    <w:pPr>
      <w:tabs>
        <w:tab w:val="clear" w:pos="2160"/>
        <w:tab w:val="left" w:pos="5040"/>
      </w:tabs>
      <w:ind w:left="5040" w:hanging="3600"/>
    </w:pPr>
  </w:style>
  <w:style w:type="paragraph" w:customStyle="1" w:styleId="TOCTitle">
    <w:name w:val="TOC Title"/>
    <w:basedOn w:val="Normal"/>
    <w:rsid w:val="007D6C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6C7F"/>
    <w:pPr>
      <w:jc w:val="center"/>
    </w:pPr>
    <w:rPr>
      <w:rFonts w:ascii="Times New Roman Bold" w:hAnsi="Times New Roman Bold"/>
      <w:b/>
      <w:bCs/>
      <w:caps/>
      <w:szCs w:val="22"/>
    </w:rPr>
  </w:style>
  <w:style w:type="character" w:styleId="Hyperlink">
    <w:name w:val="Hyperlink"/>
    <w:rsid w:val="007D6C7F"/>
    <w:rPr>
      <w:color w:val="0000FF"/>
      <w:u w:val="single"/>
    </w:rPr>
  </w:style>
  <w:style w:type="table" w:styleId="TableGrid">
    <w:name w:val="Table Grid"/>
    <w:basedOn w:val="TableNormal"/>
    <w:uiPriority w:val="39"/>
    <w:rsid w:val="00341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014B5"/>
    <w:rPr>
      <w:rFonts w:ascii="Segoe UI" w:hAnsi="Segoe UI" w:cs="Segoe UI"/>
      <w:sz w:val="18"/>
      <w:szCs w:val="18"/>
    </w:rPr>
  </w:style>
  <w:style w:type="character" w:customStyle="1" w:styleId="BalloonTextChar">
    <w:name w:val="Balloon Text Char"/>
    <w:link w:val="BalloonText"/>
    <w:uiPriority w:val="99"/>
    <w:locked/>
    <w:rsid w:val="009014B5"/>
    <w:rPr>
      <w:rFonts w:ascii="Segoe UI" w:hAnsi="Segoe UI"/>
      <w:kern w:val="28"/>
      <w:sz w:val="18"/>
    </w:rPr>
  </w:style>
  <w:style w:type="character" w:customStyle="1" w:styleId="ParaNumChar">
    <w:name w:val="ParaNum Char"/>
    <w:link w:val="ParaNum"/>
    <w:locked/>
    <w:rsid w:val="00F10C8B"/>
    <w:rPr>
      <w:snapToGrid w:val="0"/>
      <w:kern w:val="28"/>
      <w:sz w:val="22"/>
    </w:rPr>
  </w:style>
  <w:style w:type="character" w:customStyle="1" w:styleId="UnresolvedMention1">
    <w:name w:val="Unresolved Mention1"/>
    <w:uiPriority w:val="99"/>
    <w:semiHidden/>
    <w:unhideWhenUsed/>
    <w:rsid w:val="007877C6"/>
    <w:rPr>
      <w:color w:val="605E5C"/>
      <w:shd w:val="clear" w:color="auto" w:fill="E1DFDD"/>
    </w:rPr>
  </w:style>
  <w:style w:type="character" w:customStyle="1" w:styleId="ParaNumChar1">
    <w:name w:val="ParaNum Char1"/>
    <w:locked/>
    <w:rsid w:val="00983816"/>
    <w:rPr>
      <w:kern w:val="28"/>
      <w:sz w:val="22"/>
    </w:rPr>
  </w:style>
  <w:style w:type="paragraph" w:customStyle="1" w:styleId="ColorfulList-Accent11">
    <w:name w:val="Colorful List - Accent 11"/>
    <w:basedOn w:val="Normal"/>
    <w:uiPriority w:val="34"/>
    <w:qFormat/>
    <w:rsid w:val="003A5F10"/>
    <w:pPr>
      <w:widowControl/>
      <w:spacing w:after="160" w:line="259" w:lineRule="auto"/>
      <w:ind w:left="720"/>
      <w:contextualSpacing/>
    </w:pPr>
    <w:rPr>
      <w:rFonts w:ascii="Calibri" w:hAnsi="Calibri"/>
      <w:kern w:val="0"/>
      <w:szCs w:val="22"/>
    </w:rPr>
  </w:style>
  <w:style w:type="character" w:customStyle="1" w:styleId="Footnote">
    <w:name w:val="Footnote"/>
    <w:rsid w:val="003A5F10"/>
  </w:style>
  <w:style w:type="character" w:customStyle="1" w:styleId="Heading2CharChar2">
    <w:name w:val="Heading 2 Char Char2"/>
    <w:rsid w:val="003A5F10"/>
    <w:rPr>
      <w:b/>
      <w:kern w:val="28"/>
      <w:sz w:val="24"/>
      <w:lang w:val="en-US" w:eastAsia="en-US"/>
    </w:rPr>
  </w:style>
  <w:style w:type="character" w:styleId="CommentReference">
    <w:name w:val="annotation reference"/>
    <w:uiPriority w:val="99"/>
    <w:rsid w:val="008B4DD5"/>
    <w:rPr>
      <w:sz w:val="16"/>
    </w:rPr>
  </w:style>
  <w:style w:type="paragraph" w:styleId="CommentText">
    <w:name w:val="annotation text"/>
    <w:basedOn w:val="Normal"/>
    <w:link w:val="CommentTextChar"/>
    <w:uiPriority w:val="99"/>
    <w:rsid w:val="008B4DD5"/>
    <w:rPr>
      <w:sz w:val="20"/>
    </w:rPr>
  </w:style>
  <w:style w:type="character" w:customStyle="1" w:styleId="CommentTextChar">
    <w:name w:val="Comment Text Char"/>
    <w:link w:val="CommentText"/>
    <w:uiPriority w:val="99"/>
    <w:locked/>
    <w:rsid w:val="008B4DD5"/>
    <w:rPr>
      <w:kern w:val="28"/>
    </w:rPr>
  </w:style>
  <w:style w:type="paragraph" w:styleId="CommentSubject">
    <w:name w:val="annotation subject"/>
    <w:basedOn w:val="CommentText"/>
    <w:next w:val="CommentText"/>
    <w:link w:val="CommentSubjectChar"/>
    <w:uiPriority w:val="99"/>
    <w:rsid w:val="008B4DD5"/>
    <w:rPr>
      <w:b/>
      <w:bCs/>
    </w:rPr>
  </w:style>
  <w:style w:type="character" w:customStyle="1" w:styleId="CommentSubjectChar">
    <w:name w:val="Comment Subject Char"/>
    <w:link w:val="CommentSubject"/>
    <w:uiPriority w:val="99"/>
    <w:locked/>
    <w:rsid w:val="008B4DD5"/>
    <w:rPr>
      <w:b/>
      <w:kern w:val="28"/>
    </w:rPr>
  </w:style>
  <w:style w:type="character" w:customStyle="1" w:styleId="UnresolvedMention2">
    <w:name w:val="Unresolved Mention2"/>
    <w:uiPriority w:val="99"/>
    <w:semiHidden/>
    <w:unhideWhenUsed/>
    <w:rsid w:val="00961095"/>
    <w:rPr>
      <w:color w:val="605E5C"/>
      <w:shd w:val="clear" w:color="auto" w:fill="E1DFDD"/>
    </w:rPr>
  </w:style>
  <w:style w:type="paragraph" w:styleId="Revision">
    <w:name w:val="Revision"/>
    <w:hidden/>
    <w:uiPriority w:val="99"/>
    <w:semiHidden/>
    <w:rsid w:val="00BF40DD"/>
    <w:rPr>
      <w:kern w:val="28"/>
      <w:sz w:val="22"/>
    </w:rPr>
  </w:style>
  <w:style w:type="numbering" w:customStyle="1" w:styleId="Style10">
    <w:name w:val="Style1"/>
    <w:pPr>
      <w:numPr>
        <w:numId w:val="3"/>
      </w:numPr>
    </w:pPr>
  </w:style>
  <w:style w:type="paragraph" w:styleId="NormalWeb">
    <w:name w:val="Normal (Web)"/>
    <w:basedOn w:val="Normal"/>
    <w:uiPriority w:val="99"/>
    <w:unhideWhenUsed/>
    <w:rsid w:val="006F038B"/>
    <w:pPr>
      <w:widowControl/>
    </w:pPr>
    <w:rPr>
      <w:rFonts w:ascii="Calibri" w:eastAsia="Calibri" w:hAnsi="Calibri" w:cs="Calibri"/>
      <w:kern w:val="0"/>
      <w:szCs w:val="22"/>
    </w:rPr>
  </w:style>
  <w:style w:type="character" w:styleId="FollowedHyperlink">
    <w:name w:val="FollowedHyperlink"/>
    <w:semiHidden/>
    <w:unhideWhenUsed/>
    <w:rsid w:val="00A42E09"/>
    <w:rPr>
      <w:color w:val="954F72"/>
      <w:u w:val="single"/>
    </w:rPr>
  </w:style>
  <w:style w:type="character" w:customStyle="1" w:styleId="UnresolvedMention3">
    <w:name w:val="Unresolved Mention3"/>
    <w:uiPriority w:val="99"/>
    <w:semiHidden/>
    <w:unhideWhenUsed/>
    <w:rsid w:val="006279FF"/>
    <w:rPr>
      <w:color w:val="605E5C"/>
      <w:shd w:val="clear" w:color="auto" w:fill="E1DFDD"/>
    </w:rPr>
  </w:style>
  <w:style w:type="paragraph" w:styleId="ListParagraph">
    <w:name w:val="List Paragraph"/>
    <w:basedOn w:val="Normal"/>
    <w:uiPriority w:val="34"/>
    <w:qFormat/>
    <w:rsid w:val="00EB5C2F"/>
    <w:pPr>
      <w:widowControl/>
      <w:ind w:left="720"/>
      <w:contextualSpacing/>
    </w:pPr>
    <w:rPr>
      <w:rFonts w:ascii="Calibri" w:eastAsia="Calibri" w:hAnsi="Calibri" w:cs="Arial"/>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justice.gov/opa/press-release/file/1331576/download" TargetMode="External" /><Relationship Id="rId10" Type="http://schemas.openxmlformats.org/officeDocument/2006/relationships/hyperlink" Target="https://platform.marketintelligence.spglobal.com" TargetMode="External" /><Relationship Id="rId11" Type="http://schemas.openxmlformats.org/officeDocument/2006/relationships/hyperlink" Target="https://data.census.gov/cedsci/table?q=Estab%20%26%20Firm%20Size%3A%20Employment%20Size%20of%20Firms%20for%20the%20U.S&amp;g=&amp;table=EC1251SSSZ5&amp;tid=ECNSIZE2012.EC1251SSSZ5&amp;hidePreview=false&amp;lastDisplayedRow=11&amp;vintage=2012&amp;n=517210" TargetMode="External" /><Relationship Id="rId12" Type="http://schemas.openxmlformats.org/officeDocument/2006/relationships/hyperlink" Target="http://www.census.gov/cgi-bin/sssd/naics/naicsrch?code=517410&amp;search=2012" TargetMode="External" /><Relationship Id="rId13" Type="http://schemas.openxmlformats.org/officeDocument/2006/relationships/hyperlink" Target="https://data.census.gov/cedsci/table?tid=ECNSIZE2012.EC1251SSSZ5&amp;t=Employment%20Size&amp;text=Estab%20%26%20Firm%20Size%3A%20Employment%20Size%20of%20Firms%20for%20the%20U.S&amp;n=517919&amp;hidePreview=false&amp;vintage=2012" TargetMode="External" /><Relationship Id="rId14" Type="http://schemas.openxmlformats.org/officeDocument/2006/relationships/hyperlink" Target="https://data.census.gov/cedsci/table?tid=ECNSIZE2012.EC1251SSSZ5&amp;hidePreview=false&amp;vintage=2012&amp;text=Employment%20size&amp;n=517911&amp;cid=EMP" TargetMode="External" /><Relationship Id="rId15" Type="http://schemas.openxmlformats.org/officeDocument/2006/relationships/hyperlink" Target="https://www.census.gov/cgi-bin/sssd/naics/naicsrch?input=517911&amp;search=2012+NAICS+Search&amp;search=2012." TargetMode="External" /><Relationship Id="rId2" Type="http://schemas.openxmlformats.org/officeDocument/2006/relationships/hyperlink" Target="https://www.fcc.gov/covid-scams" TargetMode="External" /><Relationship Id="rId3" Type="http://schemas.openxmlformats.org/officeDocument/2006/relationships/hyperlink" Target="https://www.gao.gov/assets/710/703362.pdf" TargetMode="External" /><Relationship Id="rId4" Type="http://schemas.openxmlformats.org/officeDocument/2006/relationships/hyperlink" Target="https://apps.fcc.gov/edocs_public/attachmatch/DOC-342222A1.pdf" TargetMode="External" /><Relationship Id="rId5" Type="http://schemas.openxmlformats.org/officeDocument/2006/relationships/hyperlink" Target="https://www.ucenet.org/member-organizations/" TargetMode="External" /><Relationship Id="rId6" Type="http://schemas.openxmlformats.org/officeDocument/2006/relationships/hyperlink" Target="https://www.itu.int/ITU-T/workprog/wp_search.aspx?sg=2&amp;q=1" TargetMode="External" /><Relationship Id="rId7" Type="http://schemas.openxmlformats.org/officeDocument/2006/relationships/hyperlink" Target="https://www.itu.int/net4/ITU-D/CDS/sg/index.asp?lg=1&amp;sp=2018" TargetMode="External" /><Relationship Id="rId8" Type="http://schemas.openxmlformats.org/officeDocument/2006/relationships/hyperlink" Target="http://www.census.gov/cgi-bin/sssd/naics/naicsrch" TargetMode="External" /><Relationship Id="rId9" Type="http://schemas.openxmlformats.org/officeDocument/2006/relationships/hyperlink" Target="https://data.census.gov/cedsci/table?q=Estab%20%26%20Firm%20Size%3A%20Employment%20Size%20of%20Establishments%20for%20the%20U.S&amp;g=&amp;table=EC1251SSSZ5&amp;tid=ECNSIZE2012.EC1251SSSZ5&amp;hidePreview=false&amp;lastDisplayedRow=11&amp;vintage=2012&amp;mode=&amp;n=51711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