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3760F" w:rsidRPr="00013C5D" w:rsidP="00AC73E3" w14:paraId="40D72586" w14:textId="77777777">
      <w:pPr>
        <w:spacing w:line="276" w:lineRule="auto"/>
        <w:jc w:val="center"/>
        <w:rPr>
          <w:b/>
          <w:szCs w:val="22"/>
        </w:rPr>
      </w:pPr>
      <w:r w:rsidRPr="00013C5D">
        <w:rPr>
          <w:b/>
          <w:szCs w:val="22"/>
        </w:rPr>
        <w:t>Before the</w:t>
      </w:r>
    </w:p>
    <w:p w:rsidR="00D3760F" w:rsidRPr="00013C5D" w:rsidP="00AC73E3" w14:paraId="18C75555" w14:textId="77777777">
      <w:pPr>
        <w:pStyle w:val="StyleBoldCentered"/>
        <w:spacing w:line="276" w:lineRule="auto"/>
        <w:rPr>
          <w:rFonts w:ascii="Times New Roman" w:hAnsi="Times New Roman"/>
          <w:caps w:val="0"/>
        </w:rPr>
      </w:pPr>
      <w:r w:rsidRPr="00013C5D">
        <w:rPr>
          <w:rFonts w:ascii="Times New Roman" w:hAnsi="Times New Roman"/>
        </w:rPr>
        <w:t>F</w:t>
      </w:r>
      <w:r w:rsidRPr="00013C5D">
        <w:rPr>
          <w:rFonts w:ascii="Times New Roman" w:hAnsi="Times New Roman"/>
          <w:caps w:val="0"/>
        </w:rPr>
        <w:t>ederal Communications Commission</w:t>
      </w:r>
    </w:p>
    <w:p w:rsidR="00D3760F" w:rsidRPr="00013C5D" w:rsidP="00AC73E3" w14:paraId="32215494" w14:textId="77777777">
      <w:pPr>
        <w:pStyle w:val="StyleBoldCentered"/>
        <w:spacing w:line="276" w:lineRule="auto"/>
        <w:rPr>
          <w:rFonts w:ascii="Times New Roman" w:hAnsi="Times New Roman"/>
        </w:rPr>
      </w:pPr>
      <w:r w:rsidRPr="00013C5D">
        <w:rPr>
          <w:rFonts w:ascii="Times New Roman" w:hAnsi="Times New Roman"/>
          <w:caps w:val="0"/>
        </w:rPr>
        <w:t>Washington, D.C. 20554</w:t>
      </w:r>
    </w:p>
    <w:p w:rsidR="00D3760F" w:rsidRPr="00013C5D" w:rsidP="00AC73E3" w14:paraId="43B67C2B" w14:textId="77777777">
      <w:pPr>
        <w:spacing w:line="276" w:lineRule="auto"/>
        <w:rPr>
          <w:szCs w:val="22"/>
        </w:rPr>
      </w:pPr>
    </w:p>
    <w:tbl>
      <w:tblPr>
        <w:tblW w:w="5000" w:type="pct"/>
        <w:tblLook w:val="0000"/>
      </w:tblPr>
      <w:tblGrid>
        <w:gridCol w:w="4592"/>
        <w:gridCol w:w="616"/>
        <w:gridCol w:w="4152"/>
      </w:tblGrid>
      <w:tr w14:paraId="717DD851" w14:textId="77777777" w:rsidTr="000D4743">
        <w:tblPrEx>
          <w:tblW w:w="5000" w:type="pct"/>
          <w:tblLook w:val="0000"/>
        </w:tblPrEx>
        <w:tc>
          <w:tcPr>
            <w:tcW w:w="2453" w:type="pct"/>
          </w:tcPr>
          <w:p w:rsidR="00D3760F" w:rsidRPr="00013C5D" w:rsidP="00AC73E3" w14:paraId="4AC6659F" w14:textId="77777777">
            <w:pPr>
              <w:tabs>
                <w:tab w:val="center" w:pos="4680"/>
              </w:tabs>
              <w:suppressAutoHyphens/>
              <w:spacing w:line="276" w:lineRule="auto"/>
              <w:rPr>
                <w:spacing w:val="-2"/>
                <w:szCs w:val="22"/>
              </w:rPr>
            </w:pPr>
            <w:r w:rsidRPr="00013C5D">
              <w:rPr>
                <w:spacing w:val="-2"/>
                <w:szCs w:val="22"/>
              </w:rPr>
              <w:t>In the Matter of</w:t>
            </w:r>
          </w:p>
          <w:p w:rsidR="00D3760F" w:rsidRPr="00013C5D" w:rsidP="00AC73E3" w14:paraId="38356319" w14:textId="77777777">
            <w:pPr>
              <w:tabs>
                <w:tab w:val="center" w:pos="4680"/>
              </w:tabs>
              <w:suppressAutoHyphens/>
              <w:spacing w:line="276" w:lineRule="auto"/>
              <w:rPr>
                <w:spacing w:val="-2"/>
                <w:szCs w:val="22"/>
              </w:rPr>
            </w:pPr>
          </w:p>
          <w:p w:rsidR="00CE7790" w:rsidRPr="00013C5D" w:rsidP="00AC73E3" w14:paraId="732783DB" w14:textId="77777777">
            <w:pPr>
              <w:tabs>
                <w:tab w:val="center" w:pos="4680"/>
              </w:tabs>
              <w:suppressAutoHyphens/>
              <w:spacing w:line="276" w:lineRule="auto"/>
              <w:rPr>
                <w:szCs w:val="22"/>
              </w:rPr>
            </w:pPr>
            <w:r w:rsidRPr="00013C5D">
              <w:rPr>
                <w:szCs w:val="22"/>
              </w:rPr>
              <w:t>Amendment of Part 1</w:t>
            </w:r>
            <w:r w:rsidR="004634BC">
              <w:rPr>
                <w:szCs w:val="22"/>
              </w:rPr>
              <w:t xml:space="preserve"> </w:t>
            </w:r>
            <w:r w:rsidRPr="00013C5D" w:rsidR="00AC73E3">
              <w:rPr>
                <w:szCs w:val="22"/>
              </w:rPr>
              <w:t>of the</w:t>
            </w:r>
          </w:p>
          <w:p w:rsidR="00F20957" w:rsidRPr="00013C5D" w:rsidP="00AC73E3" w14:paraId="4DFA573A" w14:textId="77777777">
            <w:pPr>
              <w:tabs>
                <w:tab w:val="center" w:pos="4680"/>
              </w:tabs>
              <w:suppressAutoHyphens/>
              <w:spacing w:line="276" w:lineRule="auto"/>
              <w:rPr>
                <w:spacing w:val="-2"/>
                <w:szCs w:val="22"/>
              </w:rPr>
            </w:pPr>
            <w:r w:rsidRPr="00013C5D">
              <w:rPr>
                <w:spacing w:val="-2"/>
                <w:szCs w:val="22"/>
              </w:rPr>
              <w:t>Commission’s Rules</w:t>
            </w:r>
          </w:p>
        </w:tc>
        <w:tc>
          <w:tcPr>
            <w:tcW w:w="329" w:type="pct"/>
          </w:tcPr>
          <w:p w:rsidR="00D3760F" w:rsidRPr="00013C5D" w:rsidP="00AC73E3" w14:paraId="17F130DA"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1AEBDA70"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6527B9DA" w14:textId="77777777">
            <w:pPr>
              <w:tabs>
                <w:tab w:val="center" w:pos="4680"/>
              </w:tabs>
              <w:suppressAutoHyphens/>
              <w:spacing w:line="276" w:lineRule="auto"/>
              <w:rPr>
                <w:b/>
                <w:spacing w:val="-2"/>
                <w:szCs w:val="22"/>
              </w:rPr>
            </w:pPr>
            <w:r w:rsidRPr="00013C5D">
              <w:rPr>
                <w:b/>
                <w:spacing w:val="-2"/>
                <w:szCs w:val="22"/>
              </w:rPr>
              <w:t>)</w:t>
            </w:r>
          </w:p>
          <w:p w:rsidR="00AC73E3" w:rsidRPr="00013C5D" w:rsidP="00AC73E3" w14:paraId="4011BEC1"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03CFD4CC" w14:textId="77777777">
            <w:pPr>
              <w:tabs>
                <w:tab w:val="center" w:pos="4680"/>
              </w:tabs>
              <w:suppressAutoHyphens/>
              <w:spacing w:line="276" w:lineRule="auto"/>
              <w:rPr>
                <w:spacing w:val="-2"/>
                <w:szCs w:val="22"/>
              </w:rPr>
            </w:pPr>
          </w:p>
        </w:tc>
        <w:tc>
          <w:tcPr>
            <w:tcW w:w="2218" w:type="pct"/>
          </w:tcPr>
          <w:p w:rsidR="005107A3" w:rsidRPr="00013C5D" w:rsidP="00AC73E3" w14:paraId="5723520D" w14:textId="77777777">
            <w:pPr>
              <w:tabs>
                <w:tab w:val="center" w:pos="4680"/>
              </w:tabs>
              <w:suppressAutoHyphens/>
              <w:spacing w:line="276" w:lineRule="auto"/>
              <w:ind w:left="432"/>
              <w:rPr>
                <w:spacing w:val="-2"/>
                <w:szCs w:val="22"/>
              </w:rPr>
            </w:pPr>
          </w:p>
          <w:p w:rsidR="006B1BD9" w:rsidRPr="00013C5D" w:rsidP="00AC73E3" w14:paraId="010FA28E" w14:textId="77777777">
            <w:pPr>
              <w:tabs>
                <w:tab w:val="center" w:pos="4680"/>
              </w:tabs>
              <w:suppressAutoHyphens/>
              <w:spacing w:line="276" w:lineRule="auto"/>
              <w:ind w:left="432"/>
              <w:rPr>
                <w:spacing w:val="-2"/>
                <w:szCs w:val="22"/>
              </w:rPr>
            </w:pPr>
          </w:p>
          <w:p w:rsidR="00AC73E3" w:rsidRPr="00013C5D" w:rsidP="00AC73E3" w14:paraId="4FDBCF4B" w14:textId="6D6B1A6D">
            <w:pPr>
              <w:keepNext/>
              <w:rPr>
                <w:szCs w:val="22"/>
              </w:rPr>
            </w:pPr>
            <w:r w:rsidRPr="00013C5D">
              <w:rPr>
                <w:szCs w:val="22"/>
              </w:rPr>
              <w:t xml:space="preserve">MD Docket No. </w:t>
            </w:r>
            <w:r w:rsidR="009E54EF">
              <w:rPr>
                <w:szCs w:val="22"/>
              </w:rPr>
              <w:t>20</w:t>
            </w:r>
            <w:r w:rsidRPr="00013C5D">
              <w:rPr>
                <w:szCs w:val="22"/>
              </w:rPr>
              <w:t>-</w:t>
            </w:r>
            <w:r w:rsidR="00CA4BFB">
              <w:rPr>
                <w:szCs w:val="22"/>
              </w:rPr>
              <w:t>64</w:t>
            </w:r>
          </w:p>
          <w:p w:rsidR="006B1BD9" w:rsidRPr="00013C5D" w:rsidP="00AC73E3" w14:paraId="3EAC4272" w14:textId="77777777">
            <w:pPr>
              <w:tabs>
                <w:tab w:val="center" w:pos="4680"/>
              </w:tabs>
              <w:suppressAutoHyphens/>
              <w:spacing w:line="276" w:lineRule="auto"/>
              <w:ind w:firstLine="432"/>
              <w:rPr>
                <w:spacing w:val="-2"/>
                <w:szCs w:val="22"/>
              </w:rPr>
            </w:pPr>
          </w:p>
        </w:tc>
      </w:tr>
    </w:tbl>
    <w:p w:rsidR="00D3760F" w:rsidRPr="00013C5D" w:rsidP="003476EE" w14:paraId="03E09184" w14:textId="77777777">
      <w:pPr>
        <w:pStyle w:val="StyleBoldCentered"/>
        <w:tabs>
          <w:tab w:val="center" w:pos="4680"/>
          <w:tab w:val="left" w:pos="8112"/>
        </w:tabs>
        <w:spacing w:line="276" w:lineRule="auto"/>
        <w:jc w:val="left"/>
        <w:rPr>
          <w:rFonts w:ascii="Times New Roman" w:hAnsi="Times New Roman"/>
        </w:rPr>
      </w:pPr>
      <w:r>
        <w:rPr>
          <w:rFonts w:ascii="Times New Roman" w:hAnsi="Times New Roman"/>
        </w:rPr>
        <w:tab/>
      </w:r>
      <w:r w:rsidRPr="00013C5D" w:rsidR="006603BF">
        <w:rPr>
          <w:rFonts w:ascii="Times New Roman" w:hAnsi="Times New Roman"/>
        </w:rPr>
        <w:t>ORDER</w:t>
      </w:r>
      <w:r>
        <w:rPr>
          <w:rFonts w:ascii="Times New Roman" w:hAnsi="Times New Roman"/>
        </w:rPr>
        <w:tab/>
      </w:r>
    </w:p>
    <w:p w:rsidR="00D3760F" w:rsidRPr="00013C5D" w:rsidP="00AC73E3" w14:paraId="593B329E" w14:textId="77777777">
      <w:pPr>
        <w:tabs>
          <w:tab w:val="left" w:pos="-720"/>
        </w:tabs>
        <w:suppressAutoHyphens/>
        <w:spacing w:line="276" w:lineRule="auto"/>
        <w:rPr>
          <w:spacing w:val="-2"/>
          <w:szCs w:val="22"/>
        </w:rPr>
      </w:pPr>
    </w:p>
    <w:p w:rsidR="00A97151" w:rsidRPr="00BB229F" w:rsidP="00A97151" w14:paraId="4F11C40B" w14:textId="39A7D255">
      <w:pPr>
        <w:tabs>
          <w:tab w:val="left" w:pos="720"/>
          <w:tab w:val="right" w:pos="9360"/>
        </w:tabs>
        <w:suppressAutoHyphens/>
        <w:spacing w:line="227" w:lineRule="auto"/>
        <w:rPr>
          <w:b/>
          <w:spacing w:val="-2"/>
        </w:rPr>
      </w:pPr>
      <w:r w:rsidRPr="00BB229F">
        <w:rPr>
          <w:b/>
          <w:spacing w:val="-2"/>
        </w:rPr>
        <w:t xml:space="preserve">Adopted:  </w:t>
      </w:r>
      <w:r w:rsidR="00CA4BFB">
        <w:rPr>
          <w:b/>
          <w:spacing w:val="-2"/>
        </w:rPr>
        <w:t>December 7</w:t>
      </w:r>
      <w:r w:rsidR="00600EA2">
        <w:rPr>
          <w:b/>
          <w:spacing w:val="-2"/>
        </w:rPr>
        <w:t>, 20</w:t>
      </w:r>
      <w:r w:rsidR="00EA483E">
        <w:rPr>
          <w:b/>
          <w:spacing w:val="-2"/>
        </w:rPr>
        <w:t>20</w:t>
      </w:r>
      <w:r w:rsidRPr="00BB229F">
        <w:rPr>
          <w:b/>
          <w:spacing w:val="-2"/>
        </w:rPr>
        <w:tab/>
        <w:t xml:space="preserve">Released:  </w:t>
      </w:r>
      <w:r w:rsidR="00CA4BFB">
        <w:rPr>
          <w:b/>
          <w:spacing w:val="-2"/>
        </w:rPr>
        <w:t xml:space="preserve">December </w:t>
      </w:r>
      <w:r w:rsidR="00C00930">
        <w:rPr>
          <w:b/>
          <w:spacing w:val="-2"/>
        </w:rPr>
        <w:t>10</w:t>
      </w:r>
      <w:bookmarkStart w:id="0" w:name="_GoBack"/>
      <w:bookmarkEnd w:id="0"/>
      <w:r w:rsidR="00600EA2">
        <w:rPr>
          <w:b/>
          <w:spacing w:val="-2"/>
        </w:rPr>
        <w:t>, 20</w:t>
      </w:r>
      <w:r w:rsidR="00EA483E">
        <w:rPr>
          <w:b/>
          <w:spacing w:val="-2"/>
        </w:rPr>
        <w:t>20</w:t>
      </w:r>
    </w:p>
    <w:p w:rsidR="00D3760F" w:rsidRPr="00013C5D" w:rsidP="00AC73E3" w14:paraId="779AC25E" w14:textId="77777777">
      <w:pPr>
        <w:spacing w:line="276" w:lineRule="auto"/>
        <w:jc w:val="center"/>
        <w:rPr>
          <w:szCs w:val="22"/>
        </w:rPr>
      </w:pPr>
    </w:p>
    <w:p w:rsidR="008A1FB7" w:rsidRPr="00013C5D" w:rsidP="002A3DEA" w14:paraId="071F9154" w14:textId="77777777">
      <w:pPr>
        <w:spacing w:after="240"/>
        <w:rPr>
          <w:szCs w:val="22"/>
        </w:rPr>
      </w:pPr>
      <w:r w:rsidRPr="00013C5D">
        <w:rPr>
          <w:szCs w:val="22"/>
        </w:rPr>
        <w:t>By the Commission</w:t>
      </w:r>
      <w:r w:rsidRPr="00013C5D" w:rsidR="002D62DA">
        <w:rPr>
          <w:szCs w:val="22"/>
        </w:rPr>
        <w:t>:</w:t>
      </w:r>
    </w:p>
    <w:p w:rsidR="009876EF" w:rsidP="005B45C5" w14:paraId="6116FCAF" w14:textId="34E2C586">
      <w:pPr>
        <w:pStyle w:val="ParaNum"/>
        <w:rPr>
          <w:szCs w:val="22"/>
        </w:rPr>
      </w:pPr>
      <w:r w:rsidRPr="009876EF">
        <w:rPr>
          <w:szCs w:val="22"/>
        </w:rPr>
        <w:t xml:space="preserve">In </w:t>
      </w:r>
      <w:r w:rsidRPr="009876EF" w:rsidR="00AC73E3">
        <w:rPr>
          <w:szCs w:val="22"/>
        </w:rPr>
        <w:t xml:space="preserve">this Order, </w:t>
      </w:r>
      <w:r w:rsidRPr="009876EF" w:rsidR="00972A3F">
        <w:rPr>
          <w:szCs w:val="22"/>
        </w:rPr>
        <w:t>we reduce expenditures</w:t>
      </w:r>
      <w:r w:rsidRPr="009876EF" w:rsidR="00B87606">
        <w:rPr>
          <w:szCs w:val="22"/>
        </w:rPr>
        <w:t xml:space="preserve"> by the Federal Communications Commission (FCC or Commission)</w:t>
      </w:r>
      <w:r w:rsidRPr="009876EF" w:rsidR="00972A3F">
        <w:rPr>
          <w:szCs w:val="22"/>
        </w:rPr>
        <w:t xml:space="preserve"> and modernize </w:t>
      </w:r>
      <w:r w:rsidR="005A67DE">
        <w:rPr>
          <w:szCs w:val="22"/>
        </w:rPr>
        <w:t xml:space="preserve">Commission </w:t>
      </w:r>
      <w:r w:rsidRPr="009876EF" w:rsidR="00972A3F">
        <w:rPr>
          <w:szCs w:val="22"/>
        </w:rPr>
        <w:t xml:space="preserve">procedures by </w:t>
      </w:r>
      <w:r w:rsidRPr="009876EF" w:rsidR="00AC73E3">
        <w:rPr>
          <w:szCs w:val="22"/>
        </w:rPr>
        <w:t>amend</w:t>
      </w:r>
      <w:r w:rsidRPr="009876EF" w:rsidR="00972A3F">
        <w:rPr>
          <w:szCs w:val="22"/>
        </w:rPr>
        <w:t>ing</w:t>
      </w:r>
      <w:r w:rsidRPr="009876EF" w:rsidR="00AC73E3">
        <w:rPr>
          <w:szCs w:val="22"/>
        </w:rPr>
        <w:t xml:space="preserve"> </w:t>
      </w:r>
      <w:r w:rsidR="00FD7522">
        <w:rPr>
          <w:szCs w:val="22"/>
        </w:rPr>
        <w:t>s</w:t>
      </w:r>
      <w:r w:rsidRPr="009876EF" w:rsidR="000E18AE">
        <w:rPr>
          <w:szCs w:val="22"/>
        </w:rPr>
        <w:t>ection 1.110</w:t>
      </w:r>
      <w:r w:rsidR="009E54EF">
        <w:rPr>
          <w:szCs w:val="22"/>
        </w:rPr>
        <w:t>4</w:t>
      </w:r>
      <w:r w:rsidRPr="009876EF" w:rsidR="00972A3F">
        <w:rPr>
          <w:szCs w:val="22"/>
        </w:rPr>
        <w:t xml:space="preserve"> </w:t>
      </w:r>
      <w:r w:rsidRPr="009876EF" w:rsidR="00B1677C">
        <w:rPr>
          <w:szCs w:val="22"/>
        </w:rPr>
        <w:t>of our rules,</w:t>
      </w:r>
      <w:r>
        <w:rPr>
          <w:rStyle w:val="FootnoteReference"/>
          <w:sz w:val="22"/>
          <w:szCs w:val="22"/>
        </w:rPr>
        <w:footnoteReference w:id="3"/>
      </w:r>
      <w:r w:rsidRPr="009876EF" w:rsidR="00B1677C">
        <w:rPr>
          <w:szCs w:val="22"/>
        </w:rPr>
        <w:t xml:space="preserve"> </w:t>
      </w:r>
      <w:r w:rsidRPr="009876EF" w:rsidR="006F0124">
        <w:rPr>
          <w:szCs w:val="22"/>
        </w:rPr>
        <w:t>which sets forth the fee</w:t>
      </w:r>
      <w:r w:rsidR="00B27A87">
        <w:rPr>
          <w:szCs w:val="22"/>
        </w:rPr>
        <w:t>s</w:t>
      </w:r>
      <w:r w:rsidRPr="009876EF" w:rsidR="006F0124">
        <w:rPr>
          <w:szCs w:val="22"/>
        </w:rPr>
        <w:t xml:space="preserve"> </w:t>
      </w:r>
      <w:r w:rsidRPr="009876EF" w:rsidR="006D7BEF">
        <w:rPr>
          <w:szCs w:val="22"/>
        </w:rPr>
        <w:t>for</w:t>
      </w:r>
      <w:r w:rsidRPr="009876EF" w:rsidR="00DA1AD2">
        <w:rPr>
          <w:szCs w:val="22"/>
        </w:rPr>
        <w:t xml:space="preserve"> </w:t>
      </w:r>
      <w:r w:rsidR="00444726">
        <w:rPr>
          <w:szCs w:val="22"/>
        </w:rPr>
        <w:t xml:space="preserve">applications and other filings processed </w:t>
      </w:r>
      <w:r w:rsidR="007A4472">
        <w:rPr>
          <w:szCs w:val="22"/>
        </w:rPr>
        <w:t>by</w:t>
      </w:r>
      <w:r w:rsidRPr="009876EF" w:rsidR="007A4472">
        <w:rPr>
          <w:szCs w:val="22"/>
        </w:rPr>
        <w:t xml:space="preserve"> </w:t>
      </w:r>
      <w:r w:rsidRPr="009876EF" w:rsidR="0019500C">
        <w:rPr>
          <w:szCs w:val="22"/>
        </w:rPr>
        <w:t>t</w:t>
      </w:r>
      <w:r w:rsidRPr="009876EF" w:rsidR="001B168C">
        <w:rPr>
          <w:szCs w:val="22"/>
        </w:rPr>
        <w:t>he</w:t>
      </w:r>
      <w:r w:rsidRPr="009876EF" w:rsidR="00B87606">
        <w:rPr>
          <w:szCs w:val="22"/>
        </w:rPr>
        <w:t xml:space="preserve"> FCC’s</w:t>
      </w:r>
      <w:r w:rsidRPr="009876EF" w:rsidR="001B168C">
        <w:rPr>
          <w:szCs w:val="22"/>
        </w:rPr>
        <w:t xml:space="preserve"> </w:t>
      </w:r>
      <w:r w:rsidR="009E54EF">
        <w:rPr>
          <w:szCs w:val="22"/>
        </w:rPr>
        <w:t>Media</w:t>
      </w:r>
      <w:r w:rsidR="004B7615">
        <w:rPr>
          <w:szCs w:val="22"/>
        </w:rPr>
        <w:t xml:space="preserve"> Bureau </w:t>
      </w:r>
      <w:r w:rsidRPr="009876EF" w:rsidR="00C57081">
        <w:rPr>
          <w:szCs w:val="22"/>
        </w:rPr>
        <w:t>(</w:t>
      </w:r>
      <w:r w:rsidR="009E54EF">
        <w:rPr>
          <w:szCs w:val="22"/>
        </w:rPr>
        <w:t>M</w:t>
      </w:r>
      <w:r w:rsidR="004B7615">
        <w:rPr>
          <w:szCs w:val="22"/>
        </w:rPr>
        <w:t>B</w:t>
      </w:r>
      <w:r w:rsidRPr="009876EF" w:rsidR="00C57081">
        <w:rPr>
          <w:szCs w:val="22"/>
        </w:rPr>
        <w:t>)</w:t>
      </w:r>
      <w:r w:rsidRPr="009876EF" w:rsidR="00446758">
        <w:rPr>
          <w:szCs w:val="22"/>
        </w:rPr>
        <w:t xml:space="preserve">.  </w:t>
      </w:r>
      <w:r w:rsidRPr="009876EF" w:rsidR="004913DB">
        <w:rPr>
          <w:szCs w:val="22"/>
        </w:rPr>
        <w:t xml:space="preserve">The rule amendment reflects </w:t>
      </w:r>
      <w:r w:rsidR="004913DB">
        <w:rPr>
          <w:szCs w:val="22"/>
        </w:rPr>
        <w:t xml:space="preserve">the closure of the </w:t>
      </w:r>
      <w:r w:rsidRPr="009876EF" w:rsidR="004913DB">
        <w:rPr>
          <w:szCs w:val="22"/>
        </w:rPr>
        <w:t xml:space="preserve">P.O. </w:t>
      </w:r>
      <w:r w:rsidR="00B1477E">
        <w:rPr>
          <w:szCs w:val="22"/>
        </w:rPr>
        <w:t>B</w:t>
      </w:r>
      <w:r w:rsidR="00C33B4C">
        <w:rPr>
          <w:szCs w:val="22"/>
        </w:rPr>
        <w:t xml:space="preserve">ox </w:t>
      </w:r>
      <w:r w:rsidRPr="009876EF" w:rsidR="00444726">
        <w:rPr>
          <w:szCs w:val="22"/>
        </w:rPr>
        <w:t>9790</w:t>
      </w:r>
      <w:r w:rsidR="009E54EF">
        <w:rPr>
          <w:szCs w:val="22"/>
        </w:rPr>
        <w:t>8</w:t>
      </w:r>
      <w:r w:rsidRPr="009876EF" w:rsidR="00444726">
        <w:rPr>
          <w:szCs w:val="22"/>
        </w:rPr>
        <w:t>9</w:t>
      </w:r>
      <w:r w:rsidR="00444726">
        <w:rPr>
          <w:szCs w:val="22"/>
        </w:rPr>
        <w:t xml:space="preserve"> (</w:t>
      </w:r>
      <w:r w:rsidRPr="00444726" w:rsidR="00444726">
        <w:rPr>
          <w:i/>
          <w:szCs w:val="22"/>
        </w:rPr>
        <w:t>i.e</w:t>
      </w:r>
      <w:r w:rsidR="00444726">
        <w:rPr>
          <w:szCs w:val="22"/>
        </w:rPr>
        <w:t>., lockbox</w:t>
      </w:r>
      <w:r w:rsidRPr="009876EF" w:rsidR="004913DB">
        <w:rPr>
          <w:szCs w:val="22"/>
        </w:rPr>
        <w:t>)</w:t>
      </w:r>
      <w:r>
        <w:rPr>
          <w:rStyle w:val="FootnoteReference"/>
          <w:sz w:val="22"/>
          <w:szCs w:val="22"/>
        </w:rPr>
        <w:footnoteReference w:id="4"/>
      </w:r>
      <w:r w:rsidRPr="009876EF" w:rsidR="004913DB">
        <w:rPr>
          <w:szCs w:val="22"/>
        </w:rPr>
        <w:t xml:space="preserve"> used for </w:t>
      </w:r>
      <w:r w:rsidR="00444726">
        <w:rPr>
          <w:szCs w:val="22"/>
        </w:rPr>
        <w:t xml:space="preserve">manual payment of </w:t>
      </w:r>
      <w:r w:rsidR="004913DB">
        <w:rPr>
          <w:szCs w:val="22"/>
        </w:rPr>
        <w:t xml:space="preserve">filing fees </w:t>
      </w:r>
      <w:r w:rsidR="005A67DE">
        <w:rPr>
          <w:szCs w:val="22"/>
        </w:rPr>
        <w:t xml:space="preserve">for </w:t>
      </w:r>
      <w:r w:rsidR="009E54EF">
        <w:rPr>
          <w:szCs w:val="22"/>
        </w:rPr>
        <w:t>nine</w:t>
      </w:r>
      <w:r w:rsidR="005A67DE">
        <w:rPr>
          <w:szCs w:val="22"/>
        </w:rPr>
        <w:t xml:space="preserve"> </w:t>
      </w:r>
      <w:r w:rsidR="004B7615">
        <w:rPr>
          <w:szCs w:val="22"/>
        </w:rPr>
        <w:t>different categories</w:t>
      </w:r>
      <w:r w:rsidR="005A67DE">
        <w:rPr>
          <w:szCs w:val="22"/>
        </w:rPr>
        <w:t xml:space="preserve"> of</w:t>
      </w:r>
      <w:r w:rsidR="00444726">
        <w:rPr>
          <w:szCs w:val="22"/>
        </w:rPr>
        <w:t xml:space="preserve"> filings</w:t>
      </w:r>
      <w:r w:rsidR="005A67DE">
        <w:rPr>
          <w:szCs w:val="22"/>
        </w:rPr>
        <w:t>.</w:t>
      </w:r>
      <w:r>
        <w:rPr>
          <w:rStyle w:val="FootnoteReference"/>
          <w:szCs w:val="22"/>
        </w:rPr>
        <w:footnoteReference w:id="5"/>
      </w:r>
      <w:r w:rsidRPr="009876EF" w:rsidR="004913DB">
        <w:rPr>
          <w:szCs w:val="22"/>
        </w:rPr>
        <w:t xml:space="preserve">  </w:t>
      </w:r>
      <w:r w:rsidR="005A67DE">
        <w:rPr>
          <w:szCs w:val="22"/>
        </w:rPr>
        <w:t>We discontinue the option of manual fee payments and instead require the use of an electronic payment for each list</w:t>
      </w:r>
      <w:r w:rsidR="004B7615">
        <w:rPr>
          <w:szCs w:val="22"/>
        </w:rPr>
        <w:t>ing</w:t>
      </w:r>
      <w:r w:rsidR="005A67DE">
        <w:rPr>
          <w:szCs w:val="22"/>
        </w:rPr>
        <w:t xml:space="preserve"> </w:t>
      </w:r>
      <w:r w:rsidR="004B7615">
        <w:rPr>
          <w:szCs w:val="22"/>
        </w:rPr>
        <w:t>in this rule</w:t>
      </w:r>
      <w:r w:rsidR="005A67DE">
        <w:rPr>
          <w:szCs w:val="22"/>
        </w:rPr>
        <w:t xml:space="preserve">. </w:t>
      </w:r>
    </w:p>
    <w:p w:rsidR="00DF4B06" w:rsidP="00D32287" w14:paraId="5DC1C411" w14:textId="5DC3EE70">
      <w:pPr>
        <w:pStyle w:val="ParaNum"/>
        <w:rPr>
          <w:szCs w:val="22"/>
        </w:rPr>
      </w:pPr>
      <w:r w:rsidRPr="00DD3A4C">
        <w:rPr>
          <w:szCs w:val="22"/>
        </w:rPr>
        <w:t>S</w:t>
      </w:r>
      <w:r w:rsidRPr="00DD3A4C" w:rsidR="00732242">
        <w:rPr>
          <w:szCs w:val="22"/>
        </w:rPr>
        <w:t xml:space="preserve">ection </w:t>
      </w:r>
      <w:r w:rsidRPr="00DD3A4C" w:rsidR="00E35FDA">
        <w:rPr>
          <w:szCs w:val="22"/>
        </w:rPr>
        <w:t>1.110</w:t>
      </w:r>
      <w:r w:rsidR="008E3FF4">
        <w:rPr>
          <w:szCs w:val="22"/>
        </w:rPr>
        <w:t>4</w:t>
      </w:r>
      <w:r w:rsidRPr="00DD3A4C" w:rsidR="00E35FDA">
        <w:rPr>
          <w:szCs w:val="22"/>
        </w:rPr>
        <w:t xml:space="preserve"> of the Commission’s rules provid</w:t>
      </w:r>
      <w:r w:rsidRPr="00DD3A4C" w:rsidR="00732242">
        <w:rPr>
          <w:szCs w:val="22"/>
        </w:rPr>
        <w:t>e</w:t>
      </w:r>
      <w:r w:rsidRPr="00DD3A4C" w:rsidR="009868E8">
        <w:rPr>
          <w:szCs w:val="22"/>
        </w:rPr>
        <w:t>s</w:t>
      </w:r>
      <w:r w:rsidRPr="00DD3A4C" w:rsidR="00E35FDA">
        <w:rPr>
          <w:szCs w:val="22"/>
        </w:rPr>
        <w:t xml:space="preserve"> </w:t>
      </w:r>
      <w:r w:rsidRPr="00DD3A4C" w:rsidR="00F606E1">
        <w:rPr>
          <w:szCs w:val="22"/>
        </w:rPr>
        <w:t xml:space="preserve">a schedule </w:t>
      </w:r>
      <w:r w:rsidRPr="00DD3A4C" w:rsidR="00CC7C5E">
        <w:rPr>
          <w:szCs w:val="22"/>
        </w:rPr>
        <w:t>of</w:t>
      </w:r>
      <w:r w:rsidRPr="00DD3A4C" w:rsidR="00F12FA6">
        <w:rPr>
          <w:szCs w:val="22"/>
        </w:rPr>
        <w:t xml:space="preserve"> </w:t>
      </w:r>
      <w:r w:rsidRPr="00DD3A4C" w:rsidR="00BA1C32">
        <w:rPr>
          <w:szCs w:val="22"/>
        </w:rPr>
        <w:t xml:space="preserve">fees </w:t>
      </w:r>
      <w:r w:rsidRPr="00DD3A4C" w:rsidR="00F12FA6">
        <w:rPr>
          <w:szCs w:val="22"/>
        </w:rPr>
        <w:t>for</w:t>
      </w:r>
      <w:r w:rsidRPr="00DD3A4C" w:rsidR="001C7DDF">
        <w:rPr>
          <w:szCs w:val="22"/>
        </w:rPr>
        <w:t xml:space="preserve"> </w:t>
      </w:r>
      <w:r w:rsidRPr="00DD3A4C" w:rsidR="00444726">
        <w:rPr>
          <w:szCs w:val="22"/>
        </w:rPr>
        <w:t xml:space="preserve">applications and other filings </w:t>
      </w:r>
      <w:r w:rsidRPr="00DD3A4C" w:rsidR="007960B1">
        <w:rPr>
          <w:szCs w:val="22"/>
        </w:rPr>
        <w:t xml:space="preserve">processed </w:t>
      </w:r>
      <w:r w:rsidRPr="00DD3A4C" w:rsidR="009868E8">
        <w:rPr>
          <w:szCs w:val="22"/>
        </w:rPr>
        <w:t xml:space="preserve">by </w:t>
      </w:r>
      <w:r w:rsidR="008E3FF4">
        <w:rPr>
          <w:szCs w:val="22"/>
        </w:rPr>
        <w:t>M</w:t>
      </w:r>
      <w:r w:rsidRPr="00DD3A4C" w:rsidR="004B7615">
        <w:rPr>
          <w:szCs w:val="22"/>
        </w:rPr>
        <w:t>B</w:t>
      </w:r>
      <w:r w:rsidRPr="00DD3A4C" w:rsidR="00F606E1">
        <w:rPr>
          <w:szCs w:val="22"/>
        </w:rPr>
        <w:t>.</w:t>
      </w:r>
      <w:r>
        <w:rPr>
          <w:rStyle w:val="FootnoteReference"/>
          <w:sz w:val="22"/>
          <w:szCs w:val="22"/>
        </w:rPr>
        <w:footnoteReference w:id="6"/>
      </w:r>
      <w:r w:rsidRPr="00DD3A4C" w:rsidR="00F606E1">
        <w:rPr>
          <w:szCs w:val="22"/>
        </w:rPr>
        <w:t xml:space="preserve">  The rule </w:t>
      </w:r>
      <w:r w:rsidRPr="00DD3A4C" w:rsidR="00F12FA6">
        <w:rPr>
          <w:szCs w:val="22"/>
        </w:rPr>
        <w:t xml:space="preserve">also </w:t>
      </w:r>
      <w:r w:rsidRPr="00DD3A4C" w:rsidR="00F606E1">
        <w:rPr>
          <w:szCs w:val="22"/>
        </w:rPr>
        <w:t>direct</w:t>
      </w:r>
      <w:r w:rsidRPr="00DD3A4C" w:rsidR="00BA1C32">
        <w:rPr>
          <w:szCs w:val="22"/>
        </w:rPr>
        <w:t>s</w:t>
      </w:r>
      <w:r w:rsidRPr="00DD3A4C" w:rsidR="00F606E1">
        <w:rPr>
          <w:szCs w:val="22"/>
        </w:rPr>
        <w:t xml:space="preserve"> filers</w:t>
      </w:r>
      <w:r w:rsidRPr="00DD3A4C" w:rsidR="00BA1C32">
        <w:rPr>
          <w:szCs w:val="22"/>
        </w:rPr>
        <w:t xml:space="preserve"> that </w:t>
      </w:r>
      <w:r w:rsidRPr="00DD3A4C" w:rsidR="00F606E1">
        <w:rPr>
          <w:szCs w:val="22"/>
        </w:rPr>
        <w:t xml:space="preserve">do not </w:t>
      </w:r>
      <w:r w:rsidRPr="00DD3A4C" w:rsidR="001C7DDF">
        <w:rPr>
          <w:szCs w:val="22"/>
        </w:rPr>
        <w:t>utilize the Commission’s</w:t>
      </w:r>
      <w:r w:rsidRPr="00DD3A4C" w:rsidR="00F606E1">
        <w:rPr>
          <w:szCs w:val="22"/>
        </w:rPr>
        <w:t xml:space="preserve"> on-line </w:t>
      </w:r>
      <w:r w:rsidRPr="00DD3A4C" w:rsidR="00F12FA6">
        <w:rPr>
          <w:szCs w:val="22"/>
        </w:rPr>
        <w:t xml:space="preserve">filing and fee payment </w:t>
      </w:r>
      <w:r w:rsidRPr="00DD3A4C" w:rsidR="00F606E1">
        <w:rPr>
          <w:szCs w:val="22"/>
        </w:rPr>
        <w:t>systems</w:t>
      </w:r>
      <w:r w:rsidRPr="00DD3A4C" w:rsidR="001C7DDF">
        <w:rPr>
          <w:szCs w:val="22"/>
        </w:rPr>
        <w:t xml:space="preserve"> </w:t>
      </w:r>
      <w:r w:rsidRPr="00DD3A4C" w:rsidR="00F606E1">
        <w:rPr>
          <w:szCs w:val="22"/>
        </w:rPr>
        <w:t xml:space="preserve">to send </w:t>
      </w:r>
      <w:r w:rsidRPr="00DD3A4C" w:rsidR="00F12FA6">
        <w:rPr>
          <w:szCs w:val="22"/>
        </w:rPr>
        <w:t xml:space="preserve">manual </w:t>
      </w:r>
      <w:r w:rsidRPr="00DD3A4C" w:rsidR="00306ACC">
        <w:rPr>
          <w:szCs w:val="22"/>
        </w:rPr>
        <w:t xml:space="preserve">filings and/or </w:t>
      </w:r>
      <w:r w:rsidRPr="00DD3A4C" w:rsidR="00F606E1">
        <w:rPr>
          <w:szCs w:val="22"/>
        </w:rPr>
        <w:t>payments</w:t>
      </w:r>
      <w:r w:rsidRPr="00DD3A4C" w:rsidR="00732242">
        <w:rPr>
          <w:szCs w:val="22"/>
        </w:rPr>
        <w:t xml:space="preserve"> to </w:t>
      </w:r>
      <w:r w:rsidRPr="00DD3A4C" w:rsidR="00306ACC">
        <w:rPr>
          <w:szCs w:val="22"/>
        </w:rPr>
        <w:t xml:space="preserve">the Commission at </w:t>
      </w:r>
      <w:r w:rsidRPr="00DD3A4C" w:rsidR="00E35FDA">
        <w:rPr>
          <w:szCs w:val="22"/>
        </w:rPr>
        <w:t>P.O. Box 9790</w:t>
      </w:r>
      <w:r w:rsidR="008E3FF4">
        <w:rPr>
          <w:szCs w:val="22"/>
        </w:rPr>
        <w:t>8</w:t>
      </w:r>
      <w:r w:rsidRPr="00DD3A4C" w:rsidR="00E35FDA">
        <w:rPr>
          <w:szCs w:val="22"/>
        </w:rPr>
        <w:t>9</w:t>
      </w:r>
      <w:r w:rsidR="0033222D">
        <w:rPr>
          <w:szCs w:val="22"/>
        </w:rPr>
        <w:t xml:space="preserve"> </w:t>
      </w:r>
      <w:r w:rsidRPr="009876EF" w:rsidR="00E35FDA">
        <w:rPr>
          <w:szCs w:val="22"/>
        </w:rPr>
        <w:t>at U.S. Bank in</w:t>
      </w:r>
      <w:r w:rsidRPr="00DD3A4C" w:rsidR="00306ACC">
        <w:rPr>
          <w:szCs w:val="22"/>
        </w:rPr>
        <w:t xml:space="preserve"> </w:t>
      </w:r>
      <w:r w:rsidRPr="00DD3A4C" w:rsidR="00E35FDA">
        <w:rPr>
          <w:szCs w:val="22"/>
        </w:rPr>
        <w:t>St. Louis, Missouri.</w:t>
      </w:r>
      <w:r>
        <w:rPr>
          <w:rStyle w:val="FootnoteReference"/>
          <w:sz w:val="22"/>
          <w:szCs w:val="22"/>
        </w:rPr>
        <w:footnoteReference w:id="7"/>
      </w:r>
      <w:r w:rsidRPr="00DD3A4C" w:rsidR="000C0446">
        <w:rPr>
          <w:szCs w:val="22"/>
        </w:rPr>
        <w:t xml:space="preserve">  </w:t>
      </w:r>
      <w:r w:rsidRPr="00DD3A4C" w:rsidR="00BA1C32">
        <w:rPr>
          <w:szCs w:val="22"/>
        </w:rPr>
        <w:t xml:space="preserve">In recent </w:t>
      </w:r>
      <w:r w:rsidRPr="00DD3A4C" w:rsidR="007771D1">
        <w:rPr>
          <w:szCs w:val="22"/>
        </w:rPr>
        <w:t xml:space="preserve">years, there have been </w:t>
      </w:r>
      <w:r w:rsidRPr="00DD3A4C" w:rsidR="00BA1C32">
        <w:rPr>
          <w:szCs w:val="22"/>
        </w:rPr>
        <w:t xml:space="preserve">a decreasing number of </w:t>
      </w:r>
      <w:r w:rsidRPr="00DD3A4C" w:rsidR="007771D1">
        <w:rPr>
          <w:szCs w:val="22"/>
        </w:rPr>
        <w:t>lockbox filers</w:t>
      </w:r>
      <w:r w:rsidRPr="00DD3A4C" w:rsidR="00BA1C32">
        <w:rPr>
          <w:szCs w:val="22"/>
        </w:rPr>
        <w:t xml:space="preserve"> and it now is rare that the Commission receives </w:t>
      </w:r>
      <w:r w:rsidRPr="00DD3A4C" w:rsidR="00882389">
        <w:rPr>
          <w:szCs w:val="22"/>
        </w:rPr>
        <w:t xml:space="preserve">a lockbox payment. </w:t>
      </w:r>
      <w:r w:rsidRPr="00DD3A4C" w:rsidR="00650DF3">
        <w:rPr>
          <w:szCs w:val="22"/>
        </w:rPr>
        <w:t xml:space="preserve"> </w:t>
      </w:r>
      <w:r w:rsidR="007F2170">
        <w:t>Since</w:t>
      </w:r>
      <w:r w:rsidR="00C65CF7">
        <w:t xml:space="preserve"> </w:t>
      </w:r>
      <w:r w:rsidR="007F2170">
        <w:t>2015, t</w:t>
      </w:r>
      <w:r w:rsidRPr="00944624" w:rsidR="002A1C8D">
        <w:t xml:space="preserve">he </w:t>
      </w:r>
      <w:r w:rsidRPr="00944624" w:rsidR="008B5BD1">
        <w:t xml:space="preserve">Commission </w:t>
      </w:r>
      <w:r w:rsidR="00FF24DF">
        <w:t xml:space="preserve">has </w:t>
      </w:r>
      <w:r w:rsidRPr="00944624" w:rsidR="00FF580C">
        <w:t xml:space="preserve">reduced its </w:t>
      </w:r>
      <w:r w:rsidR="00FF24DF">
        <w:t xml:space="preserve">reliance on lockboxes, instead encouraging </w:t>
      </w:r>
      <w:r w:rsidRPr="00944624" w:rsidR="00FF580C">
        <w:t xml:space="preserve">the use of </w:t>
      </w:r>
      <w:r w:rsidRPr="00944624" w:rsidR="008B5BD1">
        <w:t xml:space="preserve">electronic payment </w:t>
      </w:r>
      <w:r w:rsidR="00FD7522">
        <w:t>and closing certain lockboxes</w:t>
      </w:r>
      <w:r w:rsidRPr="00944624" w:rsidR="008B5BD1">
        <w:t>.</w:t>
      </w:r>
      <w:r>
        <w:rPr>
          <w:rStyle w:val="FootnoteReference"/>
          <w:sz w:val="22"/>
          <w:szCs w:val="22"/>
        </w:rPr>
        <w:footnoteReference w:id="8"/>
      </w:r>
      <w:r w:rsidRPr="00944624" w:rsidR="006E5FE9">
        <w:t xml:space="preserve">  </w:t>
      </w:r>
      <w:r w:rsidR="004671EB">
        <w:t>We find that e</w:t>
      </w:r>
      <w:r w:rsidRPr="00944624" w:rsidR="008B5BD1">
        <w:t xml:space="preserve">lectronic payment </w:t>
      </w:r>
      <w:r w:rsidR="004671EB">
        <w:t xml:space="preserve">of fees </w:t>
      </w:r>
      <w:r w:rsidR="007A4472">
        <w:t xml:space="preserve">for </w:t>
      </w:r>
      <w:r w:rsidR="00BE6F5B">
        <w:t xml:space="preserve">applications and other filings </w:t>
      </w:r>
      <w:r w:rsidR="00DA0CCD">
        <w:t>p</w:t>
      </w:r>
      <w:r w:rsidR="00FF24DF">
        <w:t>rocessed by</w:t>
      </w:r>
      <w:r w:rsidR="000A7CCB">
        <w:t xml:space="preserve"> </w:t>
      </w:r>
      <w:r w:rsidR="008E3FF4">
        <w:t>M</w:t>
      </w:r>
      <w:r w:rsidR="00AD5A33">
        <w:t>B</w:t>
      </w:r>
      <w:r w:rsidR="004671EB">
        <w:t xml:space="preserve"> </w:t>
      </w:r>
      <w:r w:rsidR="00BD74C7">
        <w:t xml:space="preserve">reduces the </w:t>
      </w:r>
      <w:r w:rsidRPr="00944624" w:rsidR="00E27775">
        <w:t>agency’s expenditures</w:t>
      </w:r>
      <w:r w:rsidR="00076461">
        <w:t xml:space="preserve"> (</w:t>
      </w:r>
      <w:r w:rsidRPr="00944624" w:rsidR="00E27775">
        <w:t xml:space="preserve">including </w:t>
      </w:r>
      <w:r w:rsidR="00076461">
        <w:t xml:space="preserve">eliminating </w:t>
      </w:r>
      <w:r w:rsidRPr="00944624" w:rsidR="00E27775">
        <w:t>the annual fee for the bank’s services</w:t>
      </w:r>
      <w:r w:rsidR="00076461">
        <w:t>)</w:t>
      </w:r>
      <w:r w:rsidRPr="00944624" w:rsidR="00E27775">
        <w:t xml:space="preserve"> </w:t>
      </w:r>
      <w:r w:rsidR="00BD74C7">
        <w:t xml:space="preserve">and the cost of manually processing </w:t>
      </w:r>
      <w:r w:rsidRPr="00944624" w:rsidR="00E27775">
        <w:t>each transaction</w:t>
      </w:r>
      <w:r w:rsidRPr="00944624" w:rsidR="00FF580C">
        <w:t>, with l</w:t>
      </w:r>
      <w:r w:rsidR="005B45C5">
        <w:t>ittle or no inconvenience to the Commission’s</w:t>
      </w:r>
      <w:r w:rsidRPr="00944624" w:rsidR="00FF580C">
        <w:t xml:space="preserve"> regulatees</w:t>
      </w:r>
      <w:r w:rsidRPr="00944624" w:rsidR="006E5FE9">
        <w:t>, applicants</w:t>
      </w:r>
      <w:r w:rsidR="005B45C5">
        <w:t>,</w:t>
      </w:r>
      <w:r w:rsidRPr="00944624" w:rsidR="006E5FE9">
        <w:t xml:space="preserve"> and the public</w:t>
      </w:r>
      <w:r w:rsidRPr="00944624" w:rsidR="000C0446">
        <w:t>.</w:t>
      </w:r>
      <w:r>
        <w:rPr>
          <w:rStyle w:val="FootnoteReference"/>
          <w:sz w:val="22"/>
          <w:szCs w:val="22"/>
        </w:rPr>
        <w:footnoteReference w:id="9"/>
      </w:r>
      <w:r w:rsidRPr="00DD3A4C" w:rsidR="00D25666">
        <w:rPr>
          <w:szCs w:val="22"/>
        </w:rPr>
        <w:t xml:space="preserve">  </w:t>
      </w:r>
    </w:p>
    <w:p w:rsidR="004B6ECD" w:rsidRPr="00DD3A4C" w:rsidP="00325A3E" w14:paraId="7F9F6FFE" w14:textId="31B9EDE8">
      <w:pPr>
        <w:pStyle w:val="ParaNum"/>
      </w:pPr>
      <w:r w:rsidRPr="00DD3A4C">
        <w:t xml:space="preserve">Accordingly, </w:t>
      </w:r>
      <w:r w:rsidRPr="00DD3A4C" w:rsidR="00E27775">
        <w:t xml:space="preserve">we </w:t>
      </w:r>
      <w:r w:rsidRPr="00DD3A4C" w:rsidR="008536C8">
        <w:t xml:space="preserve">are </w:t>
      </w:r>
      <w:r w:rsidRPr="00DD3A4C" w:rsidR="00F606E1">
        <w:t xml:space="preserve">now </w:t>
      </w:r>
      <w:r w:rsidRPr="00DD3A4C" w:rsidR="00637EEC">
        <w:t>clos</w:t>
      </w:r>
      <w:r w:rsidRPr="00DD3A4C" w:rsidR="008536C8">
        <w:t>ing</w:t>
      </w:r>
      <w:r w:rsidRPr="00DD3A4C" w:rsidR="00637EEC">
        <w:t xml:space="preserve"> </w:t>
      </w:r>
      <w:r w:rsidRPr="00DD3A4C" w:rsidR="000A7CCB">
        <w:t>P.O. Box 9790</w:t>
      </w:r>
      <w:r w:rsidR="008E3FF4">
        <w:t>8</w:t>
      </w:r>
      <w:r w:rsidRPr="00DD3A4C" w:rsidR="000A7CCB">
        <w:t>9</w:t>
      </w:r>
      <w:r w:rsidRPr="00DD3A4C" w:rsidR="005C1B13">
        <w:t xml:space="preserve">.  With this Order, we amend our rules to reflect this change as indicated in the Appendix. </w:t>
      </w:r>
      <w:r w:rsidRPr="00DD3A4C">
        <w:t xml:space="preserve"> </w:t>
      </w:r>
      <w:r w:rsidRPr="00DD3A4C" w:rsidR="003B33E5">
        <w:t>We make these changes without notice and comment because they are rules of agency organization, procedure, or practice exempt from the general notice-and-comment requirements of the Administrative Procedure Act</w:t>
      </w:r>
      <w:r w:rsidRPr="00DD3A4C" w:rsidR="00FE081A">
        <w:t>.</w:t>
      </w:r>
      <w:r>
        <w:rPr>
          <w:rStyle w:val="FootnoteReference"/>
          <w:sz w:val="22"/>
          <w:szCs w:val="22"/>
        </w:rPr>
        <w:footnoteReference w:id="10"/>
      </w:r>
    </w:p>
    <w:p w:rsidR="00B4628C" w:rsidRPr="004B6ECD" w:rsidP="009B50F0" w14:paraId="22984DF9" w14:textId="0A960A5A">
      <w:pPr>
        <w:pStyle w:val="ParaNum"/>
      </w:pPr>
      <w:r w:rsidRPr="004B6ECD">
        <w:rPr>
          <w:i/>
        </w:rPr>
        <w:t>Implementation</w:t>
      </w:r>
      <w:r w:rsidRPr="004B6ECD">
        <w:t xml:space="preserve">. </w:t>
      </w:r>
      <w:r w:rsidRPr="004B6ECD" w:rsidR="003C3C9E">
        <w:t xml:space="preserve"> As a temporary transition measure, for </w:t>
      </w:r>
      <w:r w:rsidRPr="004B6ECD" w:rsidR="006B4428">
        <w:t>90</w:t>
      </w:r>
      <w:r w:rsidRPr="004B6ECD" w:rsidR="003C3C9E">
        <w:t xml:space="preserve"> days after publication of this order in the Federal Register, </w:t>
      </w:r>
      <w:r w:rsidR="007956F5">
        <w:t xml:space="preserve">U.S. Bank will continue to process </w:t>
      </w:r>
      <w:r w:rsidRPr="004B6ECD" w:rsidR="003C3C9E">
        <w:t xml:space="preserve">payments </w:t>
      </w:r>
      <w:r w:rsidR="000A7CCB">
        <w:t>to P.O. Box 9790</w:t>
      </w:r>
      <w:r w:rsidR="0063792A">
        <w:t>8</w:t>
      </w:r>
      <w:r w:rsidR="000A7CCB">
        <w:t>9</w:t>
      </w:r>
      <w:r w:rsidRPr="004B6ECD" w:rsidR="003C3C9E">
        <w:t xml:space="preserve">.  After that date, </w:t>
      </w:r>
      <w:r w:rsidRPr="004B6ECD">
        <w:t xml:space="preserve">payments for </w:t>
      </w:r>
      <w:r w:rsidR="0033222D">
        <w:t xml:space="preserve">these </w:t>
      </w:r>
      <w:r w:rsidR="0063792A">
        <w:t>M</w:t>
      </w:r>
      <w:r w:rsidR="00AD5A33">
        <w:t>B</w:t>
      </w:r>
      <w:r w:rsidR="0033222D">
        <w:t xml:space="preserve"> services </w:t>
      </w:r>
      <w:r w:rsidRPr="004B6ECD">
        <w:t>must be made in accordance with the procedures set forth on the Commission’s website,</w:t>
      </w:r>
      <w:r w:rsidR="009B50F0">
        <w:t xml:space="preserve"> </w:t>
      </w:r>
      <w:r w:rsidRPr="00670288" w:rsidR="009B50F0">
        <w:rPr>
          <w:szCs w:val="22"/>
        </w:rPr>
        <w:t>https://www.fcc.gov/licensing-databases/fees/application-processing-fees</w:t>
      </w:r>
      <w:r w:rsidR="009B50F0">
        <w:rPr>
          <w:szCs w:val="22"/>
        </w:rPr>
        <w:t xml:space="preserve"> (</w:t>
      </w:r>
      <w:r w:rsidR="0063792A">
        <w:rPr>
          <w:szCs w:val="22"/>
        </w:rPr>
        <w:t>Media</w:t>
      </w:r>
      <w:r w:rsidR="00AD5A33">
        <w:rPr>
          <w:szCs w:val="22"/>
        </w:rPr>
        <w:t xml:space="preserve"> Bureau</w:t>
      </w:r>
      <w:r w:rsidR="009B50F0">
        <w:rPr>
          <w:szCs w:val="22"/>
        </w:rPr>
        <w:t xml:space="preserve"> Fee Filing Guide). </w:t>
      </w:r>
      <w:r w:rsidR="007A011A">
        <w:rPr>
          <w:szCs w:val="22"/>
        </w:rPr>
        <w:t xml:space="preserve"> </w:t>
      </w:r>
      <w:r w:rsidR="009B50F0">
        <w:t xml:space="preserve">For </w:t>
      </w:r>
      <w:r w:rsidRPr="004B6ECD">
        <w:t xml:space="preserve">now, such payments will be made through Fee Filer, accessible at </w:t>
      </w:r>
      <w:r w:rsidRPr="00670288">
        <w:rPr>
          <w:szCs w:val="22"/>
        </w:rPr>
        <w:t>https://www.fcc.gov/licensing-databases/fees/fee-filer</w:t>
      </w:r>
      <w:r w:rsidRPr="004B6ECD">
        <w:t xml:space="preserve">.  As </w:t>
      </w:r>
      <w:r w:rsidRPr="004B6ECD">
        <w:t>we assess and implement U.S. Treasury initiatives toward an all-electronic payment system, we may transition to other secure payment systems with appropriate public notice and guidance</w:t>
      </w:r>
      <w:r w:rsidR="009B50F0">
        <w:t>.</w:t>
      </w:r>
      <w:r w:rsidRPr="004B6ECD">
        <w:t xml:space="preserve"> </w:t>
      </w:r>
    </w:p>
    <w:p w:rsidR="006244E5" w:rsidRPr="00B9347F" w:rsidP="00081187" w14:paraId="63B62EE8" w14:textId="0B246A52">
      <w:pPr>
        <w:pStyle w:val="ParaNum"/>
        <w:widowControl/>
        <w:rPr>
          <w:i/>
          <w:szCs w:val="22"/>
        </w:rPr>
      </w:pPr>
      <w:r w:rsidRPr="00B9347F">
        <w:rPr>
          <w:i/>
          <w:szCs w:val="22"/>
        </w:rPr>
        <w:t>Regulatory Flexibility Act, Paperwork Reduction Act, and Congressional Review Act</w:t>
      </w:r>
      <w:r w:rsidRPr="00B9347F">
        <w:rPr>
          <w:szCs w:val="22"/>
        </w:rPr>
        <w:t>. Section 603 of the Regulatory Flexibility Act, as amended, requires a regulatory flexibility analysis in notice and comment rulemaking proceedings.</w:t>
      </w:r>
      <w:r>
        <w:rPr>
          <w:rStyle w:val="FootnoteReference"/>
          <w:sz w:val="22"/>
          <w:szCs w:val="22"/>
        </w:rPr>
        <w:footnoteReference w:id="11"/>
      </w:r>
      <w:r w:rsidRPr="00B9347F" w:rsidR="002B0795">
        <w:rPr>
          <w:szCs w:val="22"/>
        </w:rPr>
        <w:t xml:space="preserve"> </w:t>
      </w:r>
      <w:r w:rsidRPr="00B9347F" w:rsidR="00D200C6">
        <w:rPr>
          <w:szCs w:val="22"/>
        </w:rPr>
        <w:t xml:space="preserve"> </w:t>
      </w:r>
      <w:r w:rsidRPr="00B9347F">
        <w:rPr>
          <w:szCs w:val="22"/>
        </w:rPr>
        <w:t xml:space="preserve">As we are adopting these rules without notice and comment, no regulatory flexibility analysis is required. </w:t>
      </w:r>
      <w:r w:rsidRPr="00B9347F" w:rsidR="00D200C6">
        <w:rPr>
          <w:szCs w:val="22"/>
        </w:rPr>
        <w:t xml:space="preserve"> </w:t>
      </w:r>
      <w:r w:rsidRPr="00B9347F">
        <w:rPr>
          <w:szCs w:val="22"/>
        </w:rPr>
        <w:t>This document does not contain any new proposed information collection(s) subject to the Paperwork Reduction Act of 1995.</w:t>
      </w:r>
      <w:r>
        <w:rPr>
          <w:rStyle w:val="FootnoteReference"/>
          <w:sz w:val="22"/>
          <w:szCs w:val="22"/>
        </w:rPr>
        <w:footnoteReference w:id="12"/>
      </w:r>
      <w:r w:rsidRPr="00B9347F" w:rsidR="002B0795">
        <w:rPr>
          <w:szCs w:val="22"/>
        </w:rPr>
        <w:t xml:space="preserve">  </w:t>
      </w:r>
      <w:r w:rsidRPr="00B9347F">
        <w:rPr>
          <w:szCs w:val="22"/>
        </w:rPr>
        <w:t>In addition, therefore, it does not contain any new or modified “information collection burden for small business concerns with fewer than 25 employees,” pursuant to the Small Business Paperwork Relief Act of 2002.</w:t>
      </w:r>
      <w:r>
        <w:rPr>
          <w:rStyle w:val="FootnoteReference"/>
          <w:sz w:val="22"/>
          <w:szCs w:val="22"/>
        </w:rPr>
        <w:footnoteReference w:id="13"/>
      </w:r>
      <w:r w:rsidRPr="00B9347F" w:rsidR="002B0795">
        <w:rPr>
          <w:szCs w:val="22"/>
        </w:rPr>
        <w:t xml:space="preserve">  </w:t>
      </w:r>
      <w:r w:rsidRPr="00B9347F" w:rsidR="006A0FFD">
        <w:rPr>
          <w:szCs w:val="22"/>
        </w:rPr>
        <w:t xml:space="preserve">The Commission will not send a copy of this Order to Congress and the Government Accountability Office pursuant to the Congressional Review Act, </w:t>
      </w:r>
      <w:r w:rsidRPr="00B9347F" w:rsidR="006A0FFD">
        <w:rPr>
          <w:i/>
          <w:szCs w:val="22"/>
        </w:rPr>
        <w:t>see</w:t>
      </w:r>
      <w:r w:rsidRPr="00B9347F" w:rsidR="006A0FFD">
        <w:rPr>
          <w:szCs w:val="22"/>
        </w:rPr>
        <w:t xml:space="preserve"> 5 U.S.C. § 801(a)(1)(A)</w:t>
      </w:r>
      <w:r w:rsidRPr="00B9347F">
        <w:rPr>
          <w:szCs w:val="22"/>
        </w:rPr>
        <w:t>, because the adopted rules are rules of agency organization, procedure, or practice that do not “substantially affect the rights or obligations of non-agency parties.</w:t>
      </w:r>
      <w:r w:rsidRPr="00B9347F" w:rsidR="00306DC3">
        <w:rPr>
          <w:szCs w:val="22"/>
        </w:rPr>
        <w:t>”</w:t>
      </w:r>
      <w:r>
        <w:rPr>
          <w:rStyle w:val="FootnoteReference"/>
          <w:sz w:val="22"/>
          <w:szCs w:val="22"/>
        </w:rPr>
        <w:footnoteReference w:id="14"/>
      </w:r>
      <w:r w:rsidRPr="00B9347F">
        <w:rPr>
          <w:i/>
          <w:szCs w:val="22"/>
        </w:rPr>
        <w:br w:type="page"/>
      </w:r>
    </w:p>
    <w:p w:rsidR="00AC73E3" w:rsidP="004B6ECD" w14:paraId="7A01030A" w14:textId="2C9C6A21">
      <w:pPr>
        <w:pStyle w:val="ParaNum"/>
        <w:rPr>
          <w:szCs w:val="22"/>
        </w:rPr>
      </w:pPr>
      <w:r>
        <w:t>ACCORDINGLY, IT IS ORDERED, that pursuant to Sections 4(i)</w:t>
      </w:r>
      <w:r w:rsidR="00F02029">
        <w:t xml:space="preserve">, </w:t>
      </w:r>
      <w:r>
        <w:t>4(j)</w:t>
      </w:r>
      <w:r w:rsidR="00F02029">
        <w:t xml:space="preserve">, </w:t>
      </w:r>
      <w:r w:rsidR="00DF4B06">
        <w:t xml:space="preserve">and </w:t>
      </w:r>
      <w:r w:rsidR="00F02029">
        <w:t>158</w:t>
      </w:r>
      <w:r>
        <w:t xml:space="preserve"> of the Communications Act of 1934, as amended, 47 U.S.C. §§ 154(i), 154(j), </w:t>
      </w:r>
      <w:r w:rsidR="00DF4B06">
        <w:t xml:space="preserve">and </w:t>
      </w:r>
      <w:r w:rsidR="00F02029">
        <w:t xml:space="preserve">158, </w:t>
      </w:r>
      <w:r>
        <w:t>this ORDER is hereby ADOPTED and the rules set forth in the Appendix are hereby AMENDED effective 30 days after publication in the Federal Register.</w:t>
      </w:r>
      <w:r w:rsidRPr="00944624" w:rsidR="002B0795">
        <w:rPr>
          <w:szCs w:val="22"/>
        </w:rPr>
        <w:t xml:space="preserve"> </w:t>
      </w:r>
    </w:p>
    <w:p w:rsidR="009B5CC1" w:rsidRPr="00944624" w:rsidP="00681FEF" w14:paraId="13DE92CB" w14:textId="77777777">
      <w:pPr>
        <w:pStyle w:val="ParaNum"/>
        <w:numPr>
          <w:ilvl w:val="0"/>
          <w:numId w:val="0"/>
        </w:numPr>
        <w:ind w:left="720"/>
        <w:rPr>
          <w:szCs w:val="22"/>
        </w:rPr>
      </w:pPr>
    </w:p>
    <w:p w:rsidR="00B1165B" w:rsidP="005B45C5" w14:paraId="5CB22879" w14:textId="77777777">
      <w:r w:rsidRPr="00944624">
        <w:rPr>
          <w:szCs w:val="22"/>
        </w:rPr>
        <w:tab/>
      </w:r>
      <w:r w:rsidRPr="00944624">
        <w:rPr>
          <w:szCs w:val="22"/>
        </w:rPr>
        <w:tab/>
      </w:r>
      <w:r w:rsidRPr="00944624">
        <w:rPr>
          <w:szCs w:val="22"/>
        </w:rPr>
        <w:tab/>
      </w:r>
      <w:r w:rsidRPr="00944624">
        <w:rPr>
          <w:szCs w:val="22"/>
        </w:rPr>
        <w:tab/>
      </w:r>
      <w:r w:rsidRPr="00944624">
        <w:rPr>
          <w:szCs w:val="22"/>
        </w:rPr>
        <w:tab/>
      </w:r>
      <w:r w:rsidRPr="00944624">
        <w:rPr>
          <w:szCs w:val="22"/>
        </w:rPr>
        <w:tab/>
      </w:r>
      <w:r>
        <w:t>FEDERAL COMMUNICATIONS COMMISSION</w:t>
      </w:r>
    </w:p>
    <w:p w:rsidR="00B1165B" w:rsidP="005B45C5" w14:paraId="39C782AC" w14:textId="77777777"/>
    <w:p w:rsidR="00B1165B" w:rsidP="005B45C5" w14:paraId="35ECDCB9" w14:textId="77777777"/>
    <w:p w:rsidR="00B1165B" w:rsidP="005B45C5" w14:paraId="5ADC6FAF" w14:textId="77777777"/>
    <w:p w:rsidR="00B1165B" w:rsidP="005B45C5" w14:paraId="55B57B8B" w14:textId="77777777"/>
    <w:p w:rsidR="00B1165B" w:rsidP="005B45C5" w14:paraId="2E515DB6" w14:textId="77777777">
      <w:r>
        <w:tab/>
      </w:r>
      <w:r>
        <w:tab/>
      </w:r>
      <w:r>
        <w:tab/>
      </w:r>
      <w:r>
        <w:tab/>
      </w:r>
      <w:r>
        <w:tab/>
      </w:r>
      <w:r>
        <w:tab/>
        <w:t>Marlene H. Dortch</w:t>
      </w:r>
    </w:p>
    <w:p w:rsidR="00B1165B" w:rsidP="005B45C5" w14:paraId="0284DD45" w14:textId="77777777">
      <w:r>
        <w:tab/>
      </w:r>
      <w:r>
        <w:tab/>
      </w:r>
      <w:r>
        <w:tab/>
      </w:r>
      <w:r>
        <w:tab/>
      </w:r>
      <w:r>
        <w:tab/>
      </w:r>
      <w:r>
        <w:tab/>
        <w:t>Secretary</w:t>
      </w:r>
    </w:p>
    <w:p w:rsidR="00B1165B" w:rsidP="00B1165B" w14:paraId="3E2964DA" w14:textId="77777777">
      <w:r>
        <w:tab/>
      </w:r>
    </w:p>
    <w:p w:rsidR="00BA139C" w:rsidP="00D65E63" w14:paraId="550ECF4C" w14:textId="77777777">
      <w:pPr>
        <w:autoSpaceDE w:val="0"/>
        <w:autoSpaceDN w:val="0"/>
        <w:adjustRightInd w:val="0"/>
        <w:spacing w:after="120"/>
        <w:rPr>
          <w:b/>
          <w:caps/>
          <w:szCs w:val="22"/>
        </w:rPr>
        <w:sectPr w:rsidSect="0017214C">
          <w:headerReference w:type="default" r:id="rId5"/>
          <w:headerReference w:type="first" r:id="rId6"/>
          <w:footerReference w:type="first" r:id="rId7"/>
          <w:pgSz w:w="12240" w:h="15840"/>
          <w:pgMar w:top="1440" w:right="1440" w:bottom="720" w:left="1440" w:header="720" w:footer="720" w:gutter="0"/>
          <w:cols w:space="720"/>
          <w:titlePg/>
          <w:docGrid w:linePitch="360"/>
        </w:sectPr>
      </w:pPr>
    </w:p>
    <w:p w:rsidR="00AC73E3" w:rsidRPr="00944624" w:rsidP="002A3DEA" w14:paraId="343367C2" w14:textId="77777777">
      <w:pPr>
        <w:autoSpaceDE w:val="0"/>
        <w:autoSpaceDN w:val="0"/>
        <w:adjustRightInd w:val="0"/>
        <w:spacing w:after="120"/>
        <w:jc w:val="center"/>
        <w:rPr>
          <w:b/>
          <w:caps/>
          <w:szCs w:val="22"/>
        </w:rPr>
      </w:pPr>
      <w:r w:rsidRPr="00944624">
        <w:rPr>
          <w:b/>
          <w:caps/>
          <w:szCs w:val="22"/>
        </w:rPr>
        <w:t>Appendix</w:t>
      </w:r>
    </w:p>
    <w:p w:rsidR="00AC73E3" w:rsidRPr="00944624" w:rsidP="002A3DEA" w14:paraId="33204C74" w14:textId="77777777">
      <w:pPr>
        <w:autoSpaceDE w:val="0"/>
        <w:autoSpaceDN w:val="0"/>
        <w:adjustRightInd w:val="0"/>
        <w:jc w:val="center"/>
        <w:rPr>
          <w:b/>
          <w:szCs w:val="22"/>
        </w:rPr>
      </w:pPr>
      <w:r w:rsidRPr="00944624">
        <w:rPr>
          <w:b/>
          <w:szCs w:val="22"/>
        </w:rPr>
        <w:t>Final Rules</w:t>
      </w:r>
    </w:p>
    <w:p w:rsidR="00AC73E3" w:rsidRPr="00944624" w:rsidP="002A3DEA" w14:paraId="7921C2D9" w14:textId="77777777">
      <w:pPr>
        <w:pStyle w:val="ParaNum"/>
        <w:numPr>
          <w:ilvl w:val="0"/>
          <w:numId w:val="0"/>
        </w:numPr>
        <w:ind w:left="720"/>
        <w:rPr>
          <w:szCs w:val="22"/>
        </w:rPr>
      </w:pPr>
    </w:p>
    <w:p w:rsidR="00223CB3" w:rsidRPr="00944624" w:rsidP="002A3DEA" w14:paraId="1F3CEE54" w14:textId="77777777">
      <w:pPr>
        <w:pStyle w:val="ParaNum"/>
        <w:numPr>
          <w:ilvl w:val="0"/>
          <w:numId w:val="0"/>
        </w:numPr>
        <w:spacing w:after="0"/>
        <w:rPr>
          <w:szCs w:val="22"/>
        </w:rPr>
      </w:pPr>
    </w:p>
    <w:p w:rsidR="00504021" w:rsidRPr="00325D16" w:rsidP="002A3DEA" w14:paraId="7F8FCAC7" w14:textId="77777777">
      <w:pPr>
        <w:autoSpaceDE w:val="0"/>
        <w:autoSpaceDN w:val="0"/>
        <w:adjustRightInd w:val="0"/>
        <w:rPr>
          <w:szCs w:val="22"/>
        </w:rPr>
      </w:pPr>
      <w:r w:rsidRPr="00944624">
        <w:rPr>
          <w:szCs w:val="22"/>
        </w:rPr>
        <w:t xml:space="preserve">Title 47 of the Code of Federal </w:t>
      </w:r>
      <w:r w:rsidRPr="00325D16">
        <w:rPr>
          <w:szCs w:val="22"/>
        </w:rPr>
        <w:t>Regulations, Part 1, is amended as follows:</w:t>
      </w:r>
    </w:p>
    <w:p w:rsidR="00504021" w:rsidRPr="00325D16" w:rsidP="002A3DEA" w14:paraId="4A633252" w14:textId="77777777">
      <w:pPr>
        <w:pStyle w:val="ParaNum"/>
        <w:numPr>
          <w:ilvl w:val="0"/>
          <w:numId w:val="0"/>
        </w:numPr>
        <w:spacing w:after="0"/>
        <w:rPr>
          <w:szCs w:val="22"/>
        </w:rPr>
      </w:pPr>
    </w:p>
    <w:p w:rsidR="00504021" w:rsidRPr="00325D16" w:rsidP="002A3DEA" w14:paraId="5A8E61B5" w14:textId="77777777">
      <w:pPr>
        <w:pStyle w:val="ParaNum"/>
        <w:numPr>
          <w:ilvl w:val="0"/>
          <w:numId w:val="0"/>
        </w:numPr>
        <w:spacing w:after="0"/>
        <w:rPr>
          <w:szCs w:val="22"/>
        </w:rPr>
      </w:pPr>
      <w:r w:rsidRPr="00325D16">
        <w:rPr>
          <w:szCs w:val="22"/>
        </w:rPr>
        <w:t>PART 1 — PRACTICE AND PROCEDURE</w:t>
      </w:r>
    </w:p>
    <w:p w:rsidR="00504021" w:rsidRPr="00325D16" w:rsidP="002A3DEA" w14:paraId="23474881" w14:textId="77777777">
      <w:pPr>
        <w:pStyle w:val="ParaNum"/>
        <w:numPr>
          <w:ilvl w:val="0"/>
          <w:numId w:val="0"/>
        </w:numPr>
        <w:spacing w:after="0"/>
        <w:rPr>
          <w:szCs w:val="22"/>
        </w:rPr>
      </w:pPr>
    </w:p>
    <w:p w:rsidR="00325D16" w:rsidRPr="00325D16" w:rsidP="00325D16" w14:paraId="00B537FC" w14:textId="7E4B3978">
      <w:pPr>
        <w:pStyle w:val="ListParagraph"/>
        <w:widowControl/>
        <w:numPr>
          <w:ilvl w:val="0"/>
          <w:numId w:val="35"/>
        </w:numPr>
        <w:contextualSpacing w:val="0"/>
        <w:rPr>
          <w:snapToGrid/>
          <w:kern w:val="0"/>
          <w:szCs w:val="22"/>
        </w:rPr>
      </w:pPr>
      <w:r w:rsidRPr="00325D16">
        <w:rPr>
          <w:szCs w:val="22"/>
        </w:rPr>
        <w:t xml:space="preserve">The authority citation for part 1 </w:t>
      </w:r>
      <w:r w:rsidR="00471BC2">
        <w:rPr>
          <w:szCs w:val="22"/>
        </w:rPr>
        <w:t>continues</w:t>
      </w:r>
      <w:r w:rsidRPr="00325D16">
        <w:rPr>
          <w:szCs w:val="22"/>
        </w:rPr>
        <w:t xml:space="preserve"> to read as follows:</w:t>
      </w:r>
      <w:r>
        <w:rPr>
          <w:szCs w:val="22"/>
        </w:rPr>
        <w:t xml:space="preserve">  </w:t>
      </w:r>
    </w:p>
    <w:p w:rsidR="00325D16" w:rsidRPr="00325D16" w:rsidP="00325D16" w14:paraId="43317E16" w14:textId="77777777">
      <w:pPr>
        <w:ind w:left="360"/>
        <w:rPr>
          <w:smallCaps/>
          <w:szCs w:val="22"/>
          <w:shd w:val="clear" w:color="auto" w:fill="FFFFFF"/>
        </w:rPr>
      </w:pPr>
    </w:p>
    <w:p w:rsidR="006244E5" w:rsidRPr="00471BC2" w:rsidP="00471BC2" w14:paraId="0C4CDF98" w14:textId="195F2CFC">
      <w:pPr>
        <w:spacing w:after="120"/>
        <w:rPr>
          <w:rFonts w:eastAsia="Calibri"/>
          <w:szCs w:val="22"/>
        </w:rPr>
      </w:pPr>
      <w:r w:rsidRPr="00325D16">
        <w:rPr>
          <w:smallCaps/>
          <w:szCs w:val="22"/>
          <w:shd w:val="clear" w:color="auto" w:fill="FFFFFF"/>
        </w:rPr>
        <w:t>Authority:</w:t>
      </w:r>
      <w:r w:rsidRPr="00325D16">
        <w:rPr>
          <w:szCs w:val="22"/>
          <w:shd w:val="clear" w:color="auto" w:fill="FFFFFF"/>
        </w:rPr>
        <w:t> 47 U.S.C. chs. 2, 5, 9, 13; 28 U.S.C. 2461</w:t>
      </w:r>
      <w:r>
        <w:rPr>
          <w:szCs w:val="22"/>
          <w:shd w:val="clear" w:color="auto" w:fill="FFFFFF"/>
        </w:rPr>
        <w:t xml:space="preserve"> note</w:t>
      </w:r>
      <w:r w:rsidRPr="00325D16">
        <w:rPr>
          <w:szCs w:val="22"/>
          <w:shd w:val="clear" w:color="auto" w:fill="FFFFFF"/>
        </w:rPr>
        <w:t>, unless otherwise noted.</w:t>
      </w:r>
    </w:p>
    <w:p w:rsidR="00B53DC3" w:rsidRPr="00325D16" w:rsidP="002A3DEA" w14:paraId="1EE16294" w14:textId="77777777">
      <w:pPr>
        <w:pStyle w:val="ParaNum"/>
        <w:numPr>
          <w:ilvl w:val="0"/>
          <w:numId w:val="0"/>
        </w:numPr>
        <w:spacing w:after="0"/>
        <w:rPr>
          <w:szCs w:val="22"/>
        </w:rPr>
      </w:pPr>
    </w:p>
    <w:p w:rsidR="00AC73E3" w:rsidRPr="00325D16" w:rsidP="00325D16" w14:paraId="478F8B47" w14:textId="69B5E71B">
      <w:pPr>
        <w:pStyle w:val="ParaNum"/>
        <w:numPr>
          <w:ilvl w:val="0"/>
          <w:numId w:val="35"/>
        </w:numPr>
        <w:spacing w:after="0"/>
        <w:rPr>
          <w:szCs w:val="22"/>
        </w:rPr>
      </w:pPr>
      <w:r w:rsidRPr="00325D16">
        <w:rPr>
          <w:szCs w:val="22"/>
        </w:rPr>
        <w:t xml:space="preserve">Amend </w:t>
      </w:r>
      <w:r w:rsidR="0063792A">
        <w:rPr>
          <w:szCs w:val="22"/>
        </w:rPr>
        <w:t xml:space="preserve">the first paragraph of </w:t>
      </w:r>
      <w:r w:rsidRPr="00325D16">
        <w:rPr>
          <w:szCs w:val="22"/>
        </w:rPr>
        <w:t>§ 1</w:t>
      </w:r>
      <w:r w:rsidRPr="00325D16">
        <w:rPr>
          <w:szCs w:val="22"/>
        </w:rPr>
        <w:t>.</w:t>
      </w:r>
      <w:r w:rsidRPr="00325D16" w:rsidR="00680B8C">
        <w:rPr>
          <w:szCs w:val="22"/>
        </w:rPr>
        <w:t>110</w:t>
      </w:r>
      <w:r w:rsidR="0063792A">
        <w:rPr>
          <w:szCs w:val="22"/>
        </w:rPr>
        <w:t>4</w:t>
      </w:r>
      <w:r w:rsidRPr="00325D16">
        <w:rPr>
          <w:szCs w:val="22"/>
        </w:rPr>
        <w:t xml:space="preserve"> as follows:</w:t>
      </w:r>
    </w:p>
    <w:p w:rsidR="00B53DC3" w:rsidRPr="00944624" w:rsidP="002A3DEA" w14:paraId="68DEEF84" w14:textId="77777777">
      <w:pPr>
        <w:pStyle w:val="ParaNum"/>
        <w:numPr>
          <w:ilvl w:val="0"/>
          <w:numId w:val="0"/>
        </w:numPr>
        <w:spacing w:after="0"/>
        <w:rPr>
          <w:b/>
          <w:szCs w:val="22"/>
        </w:rPr>
      </w:pPr>
    </w:p>
    <w:p w:rsidR="00C80CE0" w:rsidRPr="00944624" w:rsidP="002A3DEA" w14:paraId="4B979B28" w14:textId="60FC7169">
      <w:pPr>
        <w:pStyle w:val="ParaNum"/>
        <w:numPr>
          <w:ilvl w:val="0"/>
          <w:numId w:val="0"/>
        </w:numPr>
        <w:spacing w:after="0"/>
        <w:rPr>
          <w:szCs w:val="22"/>
        </w:rPr>
      </w:pPr>
      <w:r>
        <w:rPr>
          <w:szCs w:val="22"/>
        </w:rPr>
        <w:t>§ 1.110</w:t>
      </w:r>
      <w:r w:rsidR="0063792A">
        <w:rPr>
          <w:szCs w:val="22"/>
        </w:rPr>
        <w:t>4</w:t>
      </w:r>
      <w:r w:rsidRPr="00944624">
        <w:rPr>
          <w:szCs w:val="22"/>
        </w:rPr>
        <w:t xml:space="preserve"> Schedule of charges for </w:t>
      </w:r>
      <w:r w:rsidR="00AD5A33">
        <w:rPr>
          <w:szCs w:val="22"/>
        </w:rPr>
        <w:t xml:space="preserve">applications and other filings </w:t>
      </w:r>
      <w:r w:rsidR="0057475A">
        <w:rPr>
          <w:szCs w:val="22"/>
        </w:rPr>
        <w:t xml:space="preserve">for </w:t>
      </w:r>
      <w:r w:rsidRPr="0063792A" w:rsidR="0063792A">
        <w:rPr>
          <w:szCs w:val="22"/>
        </w:rPr>
        <w:t>media services.</w:t>
      </w:r>
    </w:p>
    <w:p w:rsidR="00B53DC3" w:rsidP="002A3DEA" w14:paraId="12281F35" w14:textId="77777777">
      <w:pPr>
        <w:pStyle w:val="ParaNum"/>
        <w:numPr>
          <w:ilvl w:val="0"/>
          <w:numId w:val="0"/>
        </w:numPr>
        <w:spacing w:after="0"/>
        <w:rPr>
          <w:szCs w:val="22"/>
        </w:rPr>
      </w:pPr>
    </w:p>
    <w:p w:rsidR="0057475A" w:rsidP="0057475A" w14:paraId="2841E748" w14:textId="39580D91">
      <w:pPr>
        <w:pStyle w:val="ParaNum"/>
        <w:numPr>
          <w:ilvl w:val="0"/>
          <w:numId w:val="0"/>
        </w:numPr>
        <w:spacing w:after="0"/>
        <w:rPr>
          <w:szCs w:val="22"/>
        </w:rPr>
      </w:pPr>
      <w:r w:rsidRPr="00944624">
        <w:rPr>
          <w:szCs w:val="22"/>
        </w:rPr>
        <w:t>Remit payment for these services</w:t>
      </w:r>
      <w:r>
        <w:rPr>
          <w:szCs w:val="22"/>
        </w:rPr>
        <w:t xml:space="preserve"> </w:t>
      </w:r>
      <w:r w:rsidRPr="00944624">
        <w:rPr>
          <w:color w:val="000000"/>
          <w:szCs w:val="22"/>
        </w:rPr>
        <w:t>electronically using the Commission’s electronic payment system</w:t>
      </w:r>
      <w:r w:rsidRPr="00944624">
        <w:rPr>
          <w:szCs w:val="22"/>
        </w:rPr>
        <w:t xml:space="preserve"> </w:t>
      </w:r>
      <w:r w:rsidRPr="00944624">
        <w:rPr>
          <w:color w:val="000000"/>
          <w:szCs w:val="22"/>
        </w:rPr>
        <w:t>in accordance with t</w:t>
      </w:r>
      <w:r w:rsidRPr="00944624">
        <w:rPr>
          <w:szCs w:val="22"/>
        </w:rPr>
        <w:t xml:space="preserve">he procedures set forth on the Commission’s web site, </w:t>
      </w:r>
      <w:hyperlink r:id="rId8" w:history="1">
        <w:r w:rsidRPr="00F91A4C">
          <w:rPr>
            <w:rStyle w:val="Hyperlink"/>
            <w:szCs w:val="22"/>
          </w:rPr>
          <w:t>www.fcc.gov/licensing-databases/fees</w:t>
        </w:r>
      </w:hyperlink>
      <w:r>
        <w:rPr>
          <w:szCs w:val="22"/>
        </w:rPr>
        <w:t>.</w:t>
      </w:r>
      <w:r w:rsidR="0063792A">
        <w:rPr>
          <w:szCs w:val="22"/>
        </w:rPr>
        <w:t xml:space="preserve"> </w:t>
      </w:r>
      <w:r w:rsidR="00B01E4F">
        <w:rPr>
          <w:szCs w:val="22"/>
        </w:rPr>
        <w:t xml:space="preserve"> </w:t>
      </w:r>
      <w:r w:rsidRPr="0063792A" w:rsidR="0063792A">
        <w:rPr>
          <w:szCs w:val="22"/>
        </w:rPr>
        <w:t xml:space="preserve">The asterisk (*) indicates that multiple stations and multiple fee submissions are acceptable within the same </w:t>
      </w:r>
      <w:r w:rsidR="0063792A">
        <w:rPr>
          <w:szCs w:val="22"/>
        </w:rPr>
        <w:t>payment</w:t>
      </w:r>
      <w:r w:rsidRPr="0063792A" w:rsidR="0063792A">
        <w:rPr>
          <w:szCs w:val="22"/>
        </w:rPr>
        <w:t>.</w:t>
      </w:r>
      <w:r w:rsidR="00F6133C">
        <w:rPr>
          <w:szCs w:val="22"/>
        </w:rPr>
        <w:t xml:space="preserve">  </w:t>
      </w:r>
    </w:p>
    <w:p w:rsidR="00D65E63" w:rsidP="002A3DEA" w14:paraId="03528363" w14:textId="77777777">
      <w:pPr>
        <w:pStyle w:val="ParaNum"/>
        <w:numPr>
          <w:ilvl w:val="0"/>
          <w:numId w:val="0"/>
        </w:numPr>
        <w:spacing w:after="0"/>
        <w:rPr>
          <w:szCs w:val="22"/>
        </w:rPr>
      </w:pPr>
    </w:p>
    <w:p w:rsidR="00766BA4" w:rsidP="002A3DEA" w14:paraId="0F87125B" w14:textId="77777777">
      <w:pPr>
        <w:pStyle w:val="ParaNum"/>
        <w:numPr>
          <w:ilvl w:val="0"/>
          <w:numId w:val="0"/>
        </w:numPr>
        <w:spacing w:after="0"/>
        <w:rPr>
          <w:szCs w:val="22"/>
        </w:rPr>
      </w:pPr>
      <w:r>
        <w:rPr>
          <w:szCs w:val="22"/>
        </w:rPr>
        <w:t>* * *</w:t>
      </w:r>
    </w:p>
    <w:p w:rsidR="00B53DC3" w:rsidP="002A3DEA" w14:paraId="4BD7F90A" w14:textId="77777777">
      <w:pPr>
        <w:pStyle w:val="ParaNum"/>
        <w:numPr>
          <w:ilvl w:val="0"/>
          <w:numId w:val="0"/>
        </w:numPr>
        <w:spacing w:after="0"/>
        <w:rPr>
          <w:szCs w:val="22"/>
        </w:rPr>
      </w:pPr>
    </w:p>
    <w:p w:rsidR="00C80CE0" w:rsidP="002A3DEA" w14:paraId="3779C628" w14:textId="77777777">
      <w:pPr>
        <w:pStyle w:val="ParaNum"/>
        <w:numPr>
          <w:ilvl w:val="0"/>
          <w:numId w:val="0"/>
        </w:numPr>
        <w:spacing w:after="0"/>
        <w:rPr>
          <w:szCs w:val="22"/>
        </w:rPr>
      </w:pPr>
      <w:r w:rsidRPr="00944624">
        <w:rPr>
          <w:szCs w:val="22"/>
        </w:rPr>
        <w:t>* * * * *</w:t>
      </w:r>
    </w:p>
    <w:p w:rsidR="00F55919" w:rsidP="002A3DEA" w14:paraId="55B3B7FC" w14:textId="77777777">
      <w:pPr>
        <w:pStyle w:val="ParaNum"/>
        <w:numPr>
          <w:ilvl w:val="0"/>
          <w:numId w:val="0"/>
        </w:numPr>
        <w:spacing w:after="0"/>
        <w:rPr>
          <w:szCs w:val="22"/>
        </w:rPr>
      </w:pPr>
    </w:p>
    <w:p w:rsidR="008E454E" w:rsidRPr="008E454E" w:rsidP="00F55919" w14:paraId="566D9B6A" w14:textId="77777777">
      <w:pPr>
        <w:pStyle w:val="ParaNum"/>
        <w:numPr>
          <w:ilvl w:val="0"/>
          <w:numId w:val="0"/>
        </w:numPr>
        <w:spacing w:after="0"/>
        <w:rPr>
          <w:strike/>
          <w:szCs w:val="22"/>
        </w:rPr>
      </w:pPr>
    </w:p>
    <w:sectPr w:rsidSect="007B587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14:paraId="12773C5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0421" w:rsidP="00A362CD" w14:paraId="08B946F2" w14:textId="77777777">
      <w:r>
        <w:separator/>
      </w:r>
    </w:p>
  </w:footnote>
  <w:footnote w:type="continuationSeparator" w:id="1">
    <w:p w:rsidR="00F80421" w14:paraId="1FCEDB4F" w14:textId="77777777">
      <w:pPr>
        <w:rPr>
          <w:sz w:val="20"/>
        </w:rPr>
      </w:pPr>
      <w:r>
        <w:rPr>
          <w:sz w:val="20"/>
        </w:rPr>
        <w:t xml:space="preserve">(Continued from previous page)  </w:t>
      </w:r>
      <w:r>
        <w:rPr>
          <w:sz w:val="20"/>
        </w:rPr>
        <w:separator/>
      </w:r>
    </w:p>
  </w:footnote>
  <w:footnote w:type="continuationNotice" w:id="2">
    <w:p w:rsidR="00F80421" w14:paraId="2F86CE85" w14:textId="77777777">
      <w:pPr>
        <w:rPr>
          <w:sz w:val="20"/>
        </w:rPr>
      </w:pPr>
    </w:p>
  </w:footnote>
  <w:footnote w:id="3">
    <w:p w:rsidR="005B45C5" w:rsidP="006C062A" w14:paraId="235BEA79" w14:textId="19D20B88">
      <w:pPr>
        <w:pStyle w:val="FootnoteText"/>
      </w:pPr>
      <w:r>
        <w:rPr>
          <w:rStyle w:val="FootnoteReference"/>
        </w:rPr>
        <w:footnoteRef/>
      </w:r>
      <w:r w:rsidR="0033222D">
        <w:t xml:space="preserve"> 47 CFR § 1.110</w:t>
      </w:r>
      <w:r w:rsidR="009E54EF">
        <w:t>4</w:t>
      </w:r>
      <w:r w:rsidRPr="00F05DBD">
        <w:t>.</w:t>
      </w:r>
    </w:p>
  </w:footnote>
  <w:footnote w:id="4">
    <w:p w:rsidR="004913DB" w:rsidP="004913DB" w14:paraId="183EFBED" w14:textId="3A467335">
      <w:pPr>
        <w:pStyle w:val="FootnoteText"/>
      </w:pPr>
      <w:r>
        <w:rPr>
          <w:rStyle w:val="FootnoteReference"/>
        </w:rPr>
        <w:footnoteRef/>
      </w:r>
      <w:r>
        <w:t xml:space="preserve"> Our rules and other Commission documents refer to </w:t>
      </w:r>
      <w:r w:rsidR="002360DA">
        <w:t xml:space="preserve">a series of </w:t>
      </w:r>
      <w:r>
        <w:t xml:space="preserve">P.O. </w:t>
      </w:r>
      <w:r w:rsidRPr="0068519E">
        <w:t>Box</w:t>
      </w:r>
      <w:r w:rsidR="002360DA">
        <w:t>es</w:t>
      </w:r>
      <w:r w:rsidRPr="0068519E">
        <w:t xml:space="preserve"> used for the collection of fees a</w:t>
      </w:r>
      <w:r>
        <w:t>s</w:t>
      </w:r>
      <w:r w:rsidRPr="0068519E">
        <w:t xml:space="preserve"> “lockbox</w:t>
      </w:r>
      <w:r w:rsidR="002360DA">
        <w:t>es</w:t>
      </w:r>
      <w:r>
        <w:t>.</w:t>
      </w:r>
      <w:r w:rsidRPr="0068519E">
        <w:t xml:space="preserve">” </w:t>
      </w:r>
      <w:r w:rsidR="00873465">
        <w:t xml:space="preserve"> </w:t>
      </w:r>
      <w:r w:rsidRPr="002360DA" w:rsidR="002360DA">
        <w:t xml:space="preserve">These P.O. </w:t>
      </w:r>
      <w:r w:rsidR="00B15DAA">
        <w:t>B</w:t>
      </w:r>
      <w:r w:rsidRPr="002360DA" w:rsidR="002360DA">
        <w:t xml:space="preserve">oxes are located at U.S. Bank in St. Louis, Missouri.  Once a payment is received, it is processed and recorded by the bank.  </w:t>
      </w:r>
    </w:p>
  </w:footnote>
  <w:footnote w:id="5">
    <w:p w:rsidR="006A6CB7" w:rsidP="006A6CB7" w14:paraId="0FED8308" w14:textId="333C82B3">
      <w:pPr>
        <w:pStyle w:val="FootnoteText"/>
      </w:pPr>
      <w:r>
        <w:rPr>
          <w:rStyle w:val="FootnoteReference"/>
        </w:rPr>
        <w:footnoteRef/>
      </w:r>
      <w:r>
        <w:t xml:space="preserve"> These</w:t>
      </w:r>
      <w:r w:rsidR="002360DA">
        <w:t xml:space="preserve"> categories of filings </w:t>
      </w:r>
      <w:r>
        <w:t xml:space="preserve">are: (1) </w:t>
      </w:r>
      <w:r w:rsidR="009E54EF">
        <w:t>Commercial TV Services</w:t>
      </w:r>
      <w:r>
        <w:t xml:space="preserve">; (2) </w:t>
      </w:r>
      <w:r w:rsidR="009E54EF">
        <w:t>Commercial AM Radio Stations</w:t>
      </w:r>
      <w:r>
        <w:t xml:space="preserve">; (3) </w:t>
      </w:r>
      <w:r w:rsidR="009E54EF">
        <w:t>Commercial FM Radio Stations</w:t>
      </w:r>
      <w:r>
        <w:t xml:space="preserve">; (4) </w:t>
      </w:r>
      <w:r w:rsidR="009E54EF">
        <w:t>FM Translators</w:t>
      </w:r>
      <w:r>
        <w:t xml:space="preserve">; (5) </w:t>
      </w:r>
      <w:r w:rsidR="009E54EF">
        <w:t>TV Translators and LPTV Stations</w:t>
      </w:r>
      <w:r>
        <w:t xml:space="preserve">; (6) </w:t>
      </w:r>
      <w:r w:rsidR="009E54EF">
        <w:t>FM Booster Stations</w:t>
      </w:r>
      <w:r>
        <w:t xml:space="preserve">; (7) </w:t>
      </w:r>
      <w:r w:rsidR="009E54EF">
        <w:t>TV Booster Stations</w:t>
      </w:r>
      <w:r>
        <w:t xml:space="preserve">; (8) </w:t>
      </w:r>
      <w:r w:rsidR="009E54EF">
        <w:t>Class A TV Services</w:t>
      </w:r>
      <w:r>
        <w:t xml:space="preserve">; </w:t>
      </w:r>
      <w:r w:rsidR="009E54EF">
        <w:t xml:space="preserve">and </w:t>
      </w:r>
      <w:r>
        <w:t xml:space="preserve">(9) </w:t>
      </w:r>
      <w:r w:rsidR="009E54EF">
        <w:t>Cable Television Services</w:t>
      </w:r>
      <w:r>
        <w:t>.</w:t>
      </w:r>
      <w:r w:rsidR="00211120">
        <w:t xml:space="preserve">  </w:t>
      </w:r>
      <w:r w:rsidRPr="00211120" w:rsidR="00211120">
        <w:t xml:space="preserve">We note that there is currently an open Commission proceeding that proposes </w:t>
      </w:r>
      <w:r w:rsidRPr="0059512C" w:rsidR="00211120">
        <w:rPr>
          <w:szCs w:val="22"/>
        </w:rPr>
        <w:t>changes to the Commission’s existing fee schedule</w:t>
      </w:r>
      <w:r w:rsidRPr="00211120" w:rsidR="00211120">
        <w:t xml:space="preserve"> </w:t>
      </w:r>
      <w:r w:rsidR="004077B3">
        <w:t xml:space="preserve">including changes to the categories within media services. </w:t>
      </w:r>
      <w:r w:rsidR="002D78E0">
        <w:t xml:space="preserve"> </w:t>
      </w:r>
      <w:r w:rsidRPr="0074318B" w:rsidR="002D78E0">
        <w:rPr>
          <w:i/>
          <w:iCs/>
          <w:spacing w:val="-2"/>
          <w:szCs w:val="22"/>
        </w:rPr>
        <w:t>Amendment of the Schedule of Application Fees Set Forth in Sections 1.1102 through 1.1109 of the Commission’s Rules</w:t>
      </w:r>
      <w:r w:rsidRPr="00211120" w:rsidR="002D78E0">
        <w:t xml:space="preserve">, </w:t>
      </w:r>
      <w:r w:rsidR="002D78E0">
        <w:t xml:space="preserve">MD Docket No. 20-270, </w:t>
      </w:r>
      <w:r w:rsidRPr="00211120" w:rsidR="002D78E0">
        <w:t xml:space="preserve">Notice of Proposed Rulemaking, </w:t>
      </w:r>
      <w:r w:rsidR="002D78E0">
        <w:t>FCC 20-116 (Aug. 26, 2020).</w:t>
      </w:r>
      <w:r w:rsidR="004077B3">
        <w:t xml:space="preserve"> </w:t>
      </w:r>
      <w:r w:rsidR="00584FA8">
        <w:t xml:space="preserve"> </w:t>
      </w:r>
      <w:r w:rsidR="004077B3">
        <w:t xml:space="preserve">The </w:t>
      </w:r>
      <w:r w:rsidR="002D78E0">
        <w:t>rule amendments</w:t>
      </w:r>
      <w:r w:rsidR="004077B3">
        <w:t xml:space="preserve"> made in this Order regarding the method for making payments for applications and other filings does not implicate matters under consideration in that proceeding.  </w:t>
      </w:r>
    </w:p>
  </w:footnote>
  <w:footnote w:id="6">
    <w:p w:rsidR="005B45C5" w:rsidRPr="00F05DBD" w:rsidP="00BA1C32" w14:paraId="43537004" w14:textId="3C190F98">
      <w:pPr>
        <w:pStyle w:val="FootnoteText"/>
      </w:pPr>
      <w:r w:rsidRPr="00F05DBD">
        <w:rPr>
          <w:rStyle w:val="FootnoteReference"/>
        </w:rPr>
        <w:footnoteRef/>
      </w:r>
      <w:r w:rsidR="0033222D">
        <w:t xml:space="preserve"> 47 C</w:t>
      </w:r>
      <w:r w:rsidR="007960B1">
        <w:t>.</w:t>
      </w:r>
      <w:r w:rsidR="0033222D">
        <w:t>F</w:t>
      </w:r>
      <w:r w:rsidR="007960B1">
        <w:t>.</w:t>
      </w:r>
      <w:r w:rsidR="0033222D">
        <w:t>R</w:t>
      </w:r>
      <w:r w:rsidR="007960B1">
        <w:t>.</w:t>
      </w:r>
      <w:r w:rsidR="0033222D">
        <w:t xml:space="preserve"> § 1.110</w:t>
      </w:r>
      <w:r w:rsidR="008E3FF4">
        <w:t>4</w:t>
      </w:r>
      <w:r w:rsidRPr="00F05DBD">
        <w:t>.</w:t>
      </w:r>
    </w:p>
  </w:footnote>
  <w:footnote w:id="7">
    <w:p w:rsidR="005B45C5" w:rsidRPr="001C5D45" w:rsidP="00E35FDA" w14:paraId="72FD16C7" w14:textId="77777777">
      <w:pPr>
        <w:pStyle w:val="FootnoteText"/>
        <w:rPr>
          <w:i/>
        </w:rPr>
      </w:pPr>
      <w:r>
        <w:rPr>
          <w:rStyle w:val="FootnoteReference"/>
        </w:rPr>
        <w:footnoteRef/>
      </w:r>
      <w:r>
        <w:t xml:space="preserve"> </w:t>
      </w:r>
      <w:r>
        <w:rPr>
          <w:i/>
        </w:rPr>
        <w:t xml:space="preserve">Id. </w:t>
      </w:r>
    </w:p>
  </w:footnote>
  <w:footnote w:id="8">
    <w:p w:rsidR="005B45C5" w:rsidRPr="00F805EE" w:rsidP="009129A3" w14:paraId="725FBB83" w14:textId="72653703">
      <w:pPr>
        <w:pStyle w:val="FootnoteText"/>
        <w:rPr>
          <w:b/>
        </w:rPr>
      </w:pPr>
      <w:r>
        <w:rPr>
          <w:rStyle w:val="FootnoteReference"/>
        </w:rPr>
        <w:footnoteRef/>
      </w:r>
      <w:r>
        <w:t xml:space="preserve"> </w:t>
      </w:r>
      <w:r w:rsidR="00DF4B06">
        <w:rPr>
          <w:i/>
        </w:rPr>
        <w:t>See</w:t>
      </w:r>
      <w:r w:rsidR="00DF4B06">
        <w:t xml:space="preserve">, e.g., </w:t>
      </w:r>
      <w:r w:rsidRPr="00650DF3" w:rsidR="00DF4B06">
        <w:rPr>
          <w:i/>
        </w:rPr>
        <w:t>Amendment of Part 1</w:t>
      </w:r>
      <w:r w:rsidR="00DF4B06">
        <w:rPr>
          <w:i/>
        </w:rPr>
        <w:t xml:space="preserve"> o</w:t>
      </w:r>
      <w:r w:rsidRPr="00650DF3" w:rsidR="00DF4B06">
        <w:rPr>
          <w:i/>
        </w:rPr>
        <w:t>f the Commission</w:t>
      </w:r>
      <w:r w:rsidR="00DF4B06">
        <w:rPr>
          <w:i/>
        </w:rPr>
        <w:t>’</w:t>
      </w:r>
      <w:r w:rsidRPr="00650DF3" w:rsidR="00DF4B06">
        <w:rPr>
          <w:i/>
        </w:rPr>
        <w:t>s Rules</w:t>
      </w:r>
      <w:r w:rsidRPr="00FD7522" w:rsidR="00DF4B06">
        <w:t xml:space="preserve">, </w:t>
      </w:r>
      <w:r w:rsidR="009129A3">
        <w:t xml:space="preserve">Order, </w:t>
      </w:r>
      <w:r w:rsidRPr="00FD7522" w:rsidR="00DF4B06">
        <w:t>MD Docket No. 1</w:t>
      </w:r>
      <w:r w:rsidR="00DF4B06">
        <w:t>9</w:t>
      </w:r>
      <w:r w:rsidRPr="00FD7522" w:rsidR="00DF4B06">
        <w:t>-</w:t>
      </w:r>
      <w:r w:rsidR="00DF4B06">
        <w:t>40</w:t>
      </w:r>
      <w:r w:rsidRPr="00FD7522" w:rsidR="00DF4B06">
        <w:t xml:space="preserve">, </w:t>
      </w:r>
      <w:r w:rsidRPr="009129A3" w:rsidR="009129A3">
        <w:t>34 FCC Rcd. 1506</w:t>
      </w:r>
      <w:r w:rsidRPr="00AD3CB0" w:rsidR="00DF4B06">
        <w:t xml:space="preserve"> </w:t>
      </w:r>
      <w:r w:rsidRPr="00FD7522" w:rsidR="00DF4B06">
        <w:t>(201</w:t>
      </w:r>
      <w:r w:rsidR="00DF4B06">
        <w:t>9</w:t>
      </w:r>
      <w:r w:rsidRPr="00FD7522" w:rsidR="00DF4B06">
        <w:t>)</w:t>
      </w:r>
      <w:r w:rsidR="00DF4B06">
        <w:t xml:space="preserve"> (providing the history of the ongoing transition to electronic payments at the FCC)</w:t>
      </w:r>
      <w:r w:rsidRPr="00FD7522" w:rsidR="00FD7522">
        <w:t>.</w:t>
      </w:r>
      <w:r w:rsidR="00503B68">
        <w:t xml:space="preserve">  </w:t>
      </w:r>
      <w:r w:rsidR="009129A3">
        <w:t xml:space="preserve">Our most recent order closing a lockbox was issued in March of 2020.  </w:t>
      </w:r>
      <w:r w:rsidRPr="00B9347F" w:rsidR="009129A3">
        <w:rPr>
          <w:i/>
          <w:iCs/>
        </w:rPr>
        <w:t>Amendment of Part 1 of the Commission’s Rules</w:t>
      </w:r>
      <w:r w:rsidR="009129A3">
        <w:t xml:space="preserve">, Order, MD Docket No. 20-64, </w:t>
      </w:r>
      <w:r w:rsidRPr="009129A3" w:rsidR="009129A3">
        <w:t>2020 WL 1081544</w:t>
      </w:r>
      <w:r w:rsidR="009129A3">
        <w:t xml:space="preserve"> (March 4, 2020).</w:t>
      </w:r>
    </w:p>
  </w:footnote>
  <w:footnote w:id="9">
    <w:p w:rsidR="005B45C5" w14:paraId="5DA98E18" w14:textId="4CABF8BE">
      <w:pPr>
        <w:pStyle w:val="FootnoteText"/>
      </w:pPr>
      <w:r>
        <w:rPr>
          <w:rStyle w:val="FootnoteReference"/>
        </w:rPr>
        <w:footnoteRef/>
      </w:r>
      <w:r>
        <w:t xml:space="preserve"> </w:t>
      </w:r>
      <w:r w:rsidRPr="00F805EE">
        <w:rPr>
          <w:i/>
        </w:rPr>
        <w:t>See</w:t>
      </w:r>
      <w:r w:rsidRPr="00577E60">
        <w:t xml:space="preserve"> </w:t>
      </w:r>
      <w:r w:rsidRPr="00577E60" w:rsidR="00C76287">
        <w:t>Treasury Financial Manual, Bulletin No. 20</w:t>
      </w:r>
      <w:r w:rsidR="00C76287">
        <w:t>20</w:t>
      </w:r>
      <w:r w:rsidRPr="00577E60" w:rsidR="00C76287">
        <w:t>-</w:t>
      </w:r>
      <w:r w:rsidR="00C76287">
        <w:t>04</w:t>
      </w:r>
      <w:r w:rsidRPr="00577E60" w:rsidR="00C76287">
        <w:t xml:space="preserve">, “Agency No-Cash or No-Check Policies,” released on </w:t>
      </w:r>
      <w:r w:rsidR="00C76287">
        <w:t>November</w:t>
      </w:r>
      <w:r w:rsidRPr="00577E60" w:rsidR="00C76287">
        <w:t xml:space="preserve"> </w:t>
      </w:r>
      <w:r w:rsidR="00C76287">
        <w:t>4</w:t>
      </w:r>
      <w:r w:rsidRPr="00577E60" w:rsidR="00C76287">
        <w:t>, 201</w:t>
      </w:r>
      <w:r w:rsidR="00C76287">
        <w:t xml:space="preserve">9 </w:t>
      </w:r>
      <w:r w:rsidRPr="00577E60" w:rsidR="00C76287">
        <w:t>(explaining the circumstances under which agencies may decide not to accept payments made in cash or by check</w:t>
      </w:r>
      <w:r w:rsidRPr="00160AB9" w:rsidR="00C76287">
        <w:t>)</w:t>
      </w:r>
      <w:r w:rsidR="00C76287">
        <w:t xml:space="preserve">, </w:t>
      </w:r>
      <w:r w:rsidRPr="00F3346F" w:rsidR="00C76287">
        <w:t>a</w:t>
      </w:r>
      <w:r w:rsidRPr="004671EB" w:rsidR="00C76287">
        <w:t xml:space="preserve">vailable at </w:t>
      </w:r>
      <w:r w:rsidRPr="00753814" w:rsidR="00C76287">
        <w:t xml:space="preserve">https://tfm.fiscal.treasury.gov/v1/bull/20-04.pdf </w:t>
      </w:r>
      <w:r w:rsidRPr="00577E60" w:rsidR="00C76287">
        <w:t xml:space="preserve">(last visited </w:t>
      </w:r>
      <w:r w:rsidR="00C76287">
        <w:t>December 16, 2019</w:t>
      </w:r>
      <w:r w:rsidRPr="00577E60" w:rsidR="00C76287">
        <w:t>);</w:t>
      </w:r>
      <w:r w:rsidRPr="00577E60">
        <w:t xml:space="preserve"> </w:t>
      </w:r>
      <w:r w:rsidRPr="0092315F">
        <w:rPr>
          <w:i/>
        </w:rPr>
        <w:t>see also</w:t>
      </w:r>
      <w:r w:rsidRPr="00577E60">
        <w:t xml:space="preserve"> </w:t>
      </w:r>
      <w:r w:rsidRPr="00670288">
        <w:t>https://www.gpo.gov/fdsys/pkg/FR-2011-06-16/pdf/2011-15181.pdf</w:t>
      </w:r>
      <w:r>
        <w:t>.</w:t>
      </w:r>
    </w:p>
  </w:footnote>
  <w:footnote w:id="10">
    <w:p w:rsidR="005B45C5" w:rsidP="00FE081A" w14:paraId="4CBD1226" w14:textId="77777777">
      <w:pPr>
        <w:pStyle w:val="FootnoteText"/>
      </w:pPr>
      <w:r>
        <w:rPr>
          <w:rStyle w:val="FootnoteReference"/>
        </w:rPr>
        <w:footnoteRef/>
      </w:r>
      <w:r>
        <w:t xml:space="preserve"> </w:t>
      </w:r>
      <w:r>
        <w:rPr>
          <w:shd w:val="clear" w:color="auto" w:fill="FFFFFF"/>
        </w:rPr>
        <w:t xml:space="preserve">5 U.S.C. </w:t>
      </w:r>
      <w:r w:rsidRPr="00F05DBD">
        <w:t>§</w:t>
      </w:r>
      <w:r>
        <w:t xml:space="preserve"> </w:t>
      </w:r>
      <w:r>
        <w:rPr>
          <w:shd w:val="clear" w:color="auto" w:fill="FFFFFF"/>
        </w:rPr>
        <w:t>553(b)(A).</w:t>
      </w:r>
    </w:p>
  </w:footnote>
  <w:footnote w:id="11">
    <w:p w:rsidR="005B45C5" w:rsidP="002B0795" w14:paraId="0C6E1712" w14:textId="77777777">
      <w:pPr>
        <w:pStyle w:val="FootnoteText"/>
      </w:pPr>
      <w:r>
        <w:rPr>
          <w:rStyle w:val="FootnoteReference"/>
        </w:rPr>
        <w:footnoteRef/>
      </w:r>
      <w:r>
        <w:t xml:space="preserve"> 5 U.S.C. § 603(a).</w:t>
      </w:r>
    </w:p>
  </w:footnote>
  <w:footnote w:id="12">
    <w:p w:rsidR="005B45C5" w:rsidP="002B0795" w14:paraId="7677CA27" w14:textId="77777777">
      <w:pPr>
        <w:pStyle w:val="FootnoteText"/>
      </w:pPr>
      <w:r>
        <w:rPr>
          <w:rStyle w:val="FootnoteReference"/>
        </w:rPr>
        <w:footnoteRef/>
      </w:r>
      <w:r>
        <w:t xml:space="preserve"> 44 U.S.C. §§ 3501-3520.</w:t>
      </w:r>
    </w:p>
  </w:footnote>
  <w:footnote w:id="13">
    <w:p w:rsidR="005B45C5" w14:paraId="6C933858" w14:textId="77777777">
      <w:pPr>
        <w:pStyle w:val="FootnoteText"/>
      </w:pPr>
      <w:r>
        <w:rPr>
          <w:rStyle w:val="FootnoteReference"/>
        </w:rPr>
        <w:footnoteRef/>
      </w:r>
      <w:r>
        <w:t xml:space="preserve"> </w:t>
      </w:r>
      <w:r w:rsidRPr="004F2E95">
        <w:rPr>
          <w:i/>
        </w:rPr>
        <w:t xml:space="preserve">See </w:t>
      </w:r>
      <w:r w:rsidRPr="002B0795">
        <w:t>44 U.S.C. § 3506(c)(4).</w:t>
      </w:r>
    </w:p>
  </w:footnote>
  <w:footnote w:id="14">
    <w:p w:rsidR="005B45C5" w:rsidP="002B0795" w14:paraId="66E583AC" w14:textId="77777777">
      <w:pPr>
        <w:pStyle w:val="FootnoteText"/>
      </w:pPr>
      <w:r>
        <w:rPr>
          <w:rStyle w:val="FootnoteReference"/>
        </w:rPr>
        <w:footnoteRef/>
      </w:r>
      <w:r>
        <w:t xml:space="preserve"> 5 U.S.C. § 804(3)(C) (rules subject to the Congressional Review Act do not include “any rule of agency organization, procedure, or practice that does not substantially affect the rights or obligations of non-agency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RPr="00BF73D1" w:rsidP="0017214C" w14:paraId="24B1A883" w14:textId="4D21EB51">
    <w:pPr>
      <w:tabs>
        <w:tab w:val="center" w:pos="4680"/>
        <w:tab w:val="right" w:pos="9360"/>
      </w:tabs>
    </w:pPr>
    <w:r w:rsidRPr="00A362CD">
      <w:rPr>
        <w:b/>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A362CD">
      <w:rPr>
        <w:b/>
      </w:rPr>
      <w:tab/>
      <w:t>Federal Communications Commission</w:t>
    </w:r>
    <w:r w:rsidRPr="00A362CD">
      <w:rPr>
        <w:b/>
      </w:rPr>
      <w:tab/>
    </w:r>
    <w:r w:rsidRPr="00497EA8">
      <w:rPr>
        <w:b/>
        <w:spacing w:val="-2"/>
      </w:rPr>
      <w:t xml:space="preserve">FCC </w:t>
    </w:r>
    <w:r w:rsidR="0063792A">
      <w:rPr>
        <w:b/>
        <w:spacing w:val="-2"/>
      </w:rPr>
      <w:t>20</w:t>
    </w:r>
    <w:r w:rsidRPr="00497EA8">
      <w:rPr>
        <w:b/>
        <w:spacing w:val="-2"/>
      </w:rPr>
      <w:t>-</w:t>
    </w:r>
    <w:r w:rsidR="00471357">
      <w:rPr>
        <w:b/>
        <w:spacing w:val="-2"/>
      </w:rPr>
      <w:t>172</w:t>
    </w:r>
  </w:p>
  <w:p w:rsidR="005B45C5" w:rsidP="0017214C" w14:paraId="4E9A65C2"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RPr="00BF73D1" w:rsidP="002D62DA" w14:paraId="2B4DB762" w14:textId="48E3FE86">
    <w:pPr>
      <w:tabs>
        <w:tab w:val="center" w:pos="4680"/>
        <w:tab w:val="right" w:pos="9360"/>
      </w:tabs>
    </w:pPr>
    <w:r w:rsidRPr="00A362CD">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A362CD">
      <w:rPr>
        <w:b/>
      </w:rPr>
      <w:tab/>
      <w:t>Federal Communications Commission</w:t>
    </w:r>
    <w:r w:rsidRPr="00A362CD">
      <w:rPr>
        <w:b/>
      </w:rPr>
      <w:tab/>
    </w:r>
    <w:r w:rsidRPr="00497EA8">
      <w:rPr>
        <w:b/>
        <w:spacing w:val="-2"/>
      </w:rPr>
      <w:t xml:space="preserve">FCC </w:t>
    </w:r>
    <w:r w:rsidR="009E54EF">
      <w:rPr>
        <w:b/>
        <w:spacing w:val="-2"/>
      </w:rPr>
      <w:t>20</w:t>
    </w:r>
    <w:r w:rsidRPr="00497EA8">
      <w:rPr>
        <w:b/>
        <w:spacing w:val="-2"/>
      </w:rPr>
      <w:t>-</w:t>
    </w:r>
    <w:r w:rsidR="00471357">
      <w:rPr>
        <w:b/>
        <w:spacing w:val="-2"/>
      </w:rPr>
      <w:t>172</w:t>
    </w:r>
  </w:p>
  <w:p w:rsidR="005B45C5" w14:paraId="5F80EA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8E2DEE"/>
    <w:multiLevelType w:val="hybridMultilevel"/>
    <w:tmpl w:val="770A5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F40FF"/>
    <w:multiLevelType w:val="hybridMultilevel"/>
    <w:tmpl w:val="F65A9F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CF05E3"/>
    <w:multiLevelType w:val="hybridMultilevel"/>
    <w:tmpl w:val="4C328A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8A210C2"/>
    <w:multiLevelType w:val="hybridMultilevel"/>
    <w:tmpl w:val="770A5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5B5594F"/>
    <w:multiLevelType w:val="hybridMultilevel"/>
    <w:tmpl w:val="0E926A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2">
    <w:nsid w:val="65E67F41"/>
    <w:multiLevelType w:val="hybridMultilevel"/>
    <w:tmpl w:val="EED2A1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4"/>
  </w:num>
  <w:num w:numId="5">
    <w:abstractNumId w:val="8"/>
  </w:num>
  <w:num w:numId="6">
    <w:abstractNumId w:val="5"/>
  </w:num>
  <w:num w:numId="7">
    <w:abstractNumId w:val="0"/>
  </w:num>
  <w:num w:numId="8">
    <w:abstractNumId w:val="10"/>
  </w:num>
  <w:num w:numId="9">
    <w:abstractNumId w:val="10"/>
  </w:num>
  <w:num w:numId="10">
    <w:abstractNumId w:val="10"/>
  </w:num>
  <w:num w:numId="11">
    <w:abstractNumId w:val="10"/>
  </w:num>
  <w:num w:numId="12">
    <w:abstractNumId w:val="10"/>
  </w:num>
  <w:num w:numId="13">
    <w:abstractNumId w:val="3"/>
  </w:num>
  <w:num w:numId="14">
    <w:abstractNumId w:val="2"/>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9"/>
  </w:num>
  <w:num w:numId="34">
    <w:abstractNumId w:val="12"/>
  </w:num>
  <w:num w:numId="35">
    <w:abstractNumId w:val="7"/>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0A"/>
    <w:rsid w:val="00001EE3"/>
    <w:rsid w:val="00002018"/>
    <w:rsid w:val="00002895"/>
    <w:rsid w:val="00002B96"/>
    <w:rsid w:val="00005518"/>
    <w:rsid w:val="00005F30"/>
    <w:rsid w:val="0000697D"/>
    <w:rsid w:val="00006E23"/>
    <w:rsid w:val="000079C3"/>
    <w:rsid w:val="00011BB1"/>
    <w:rsid w:val="00013186"/>
    <w:rsid w:val="0001377A"/>
    <w:rsid w:val="00013A8A"/>
    <w:rsid w:val="00013C5D"/>
    <w:rsid w:val="00014775"/>
    <w:rsid w:val="0001615B"/>
    <w:rsid w:val="000200B6"/>
    <w:rsid w:val="00020C65"/>
    <w:rsid w:val="0002101E"/>
    <w:rsid w:val="000215D6"/>
    <w:rsid w:val="00021656"/>
    <w:rsid w:val="00022F28"/>
    <w:rsid w:val="000252F7"/>
    <w:rsid w:val="000256AD"/>
    <w:rsid w:val="000259A5"/>
    <w:rsid w:val="00026315"/>
    <w:rsid w:val="00026BE5"/>
    <w:rsid w:val="000300AE"/>
    <w:rsid w:val="000303C1"/>
    <w:rsid w:val="000332CB"/>
    <w:rsid w:val="00033EB7"/>
    <w:rsid w:val="00034CE0"/>
    <w:rsid w:val="000369EB"/>
    <w:rsid w:val="00040A44"/>
    <w:rsid w:val="00044CC8"/>
    <w:rsid w:val="00045240"/>
    <w:rsid w:val="0004710B"/>
    <w:rsid w:val="000476A8"/>
    <w:rsid w:val="00050044"/>
    <w:rsid w:val="00053398"/>
    <w:rsid w:val="0005365F"/>
    <w:rsid w:val="00053A73"/>
    <w:rsid w:val="00053E54"/>
    <w:rsid w:val="000546F9"/>
    <w:rsid w:val="000549A9"/>
    <w:rsid w:val="00055084"/>
    <w:rsid w:val="00056935"/>
    <w:rsid w:val="000614E3"/>
    <w:rsid w:val="00061E49"/>
    <w:rsid w:val="00062077"/>
    <w:rsid w:val="000622FC"/>
    <w:rsid w:val="00063293"/>
    <w:rsid w:val="00064186"/>
    <w:rsid w:val="00065EA6"/>
    <w:rsid w:val="00067836"/>
    <w:rsid w:val="000718F5"/>
    <w:rsid w:val="00072E09"/>
    <w:rsid w:val="00073897"/>
    <w:rsid w:val="00073ABE"/>
    <w:rsid w:val="0007453B"/>
    <w:rsid w:val="00076109"/>
    <w:rsid w:val="00076461"/>
    <w:rsid w:val="00077164"/>
    <w:rsid w:val="00081187"/>
    <w:rsid w:val="0008368E"/>
    <w:rsid w:val="0008377C"/>
    <w:rsid w:val="000852D3"/>
    <w:rsid w:val="000862DA"/>
    <w:rsid w:val="00086EB3"/>
    <w:rsid w:val="0008743D"/>
    <w:rsid w:val="00087748"/>
    <w:rsid w:val="00087B46"/>
    <w:rsid w:val="000908EC"/>
    <w:rsid w:val="00090A21"/>
    <w:rsid w:val="00090B6C"/>
    <w:rsid w:val="00092576"/>
    <w:rsid w:val="000927BE"/>
    <w:rsid w:val="0009421C"/>
    <w:rsid w:val="000947AC"/>
    <w:rsid w:val="00097657"/>
    <w:rsid w:val="000A0E43"/>
    <w:rsid w:val="000A22D3"/>
    <w:rsid w:val="000A2C67"/>
    <w:rsid w:val="000A6772"/>
    <w:rsid w:val="000A6D1C"/>
    <w:rsid w:val="000A7CCB"/>
    <w:rsid w:val="000B32FA"/>
    <w:rsid w:val="000B3584"/>
    <w:rsid w:val="000B3A00"/>
    <w:rsid w:val="000B3E17"/>
    <w:rsid w:val="000B3FF7"/>
    <w:rsid w:val="000B451D"/>
    <w:rsid w:val="000B45F3"/>
    <w:rsid w:val="000B4A18"/>
    <w:rsid w:val="000B5654"/>
    <w:rsid w:val="000B65A4"/>
    <w:rsid w:val="000B70BA"/>
    <w:rsid w:val="000C02CB"/>
    <w:rsid w:val="000C0446"/>
    <w:rsid w:val="000C174E"/>
    <w:rsid w:val="000C1BDE"/>
    <w:rsid w:val="000C31C7"/>
    <w:rsid w:val="000C577B"/>
    <w:rsid w:val="000C6AD0"/>
    <w:rsid w:val="000C7058"/>
    <w:rsid w:val="000C7492"/>
    <w:rsid w:val="000C7E0A"/>
    <w:rsid w:val="000D03BB"/>
    <w:rsid w:val="000D0AA5"/>
    <w:rsid w:val="000D1C33"/>
    <w:rsid w:val="000D424F"/>
    <w:rsid w:val="000D45E3"/>
    <w:rsid w:val="000D4743"/>
    <w:rsid w:val="000D4DC7"/>
    <w:rsid w:val="000D4EDF"/>
    <w:rsid w:val="000D661B"/>
    <w:rsid w:val="000D707C"/>
    <w:rsid w:val="000E0CF3"/>
    <w:rsid w:val="000E18AE"/>
    <w:rsid w:val="000E3BEA"/>
    <w:rsid w:val="000E46B3"/>
    <w:rsid w:val="000E4B59"/>
    <w:rsid w:val="000E6E5E"/>
    <w:rsid w:val="000E7CEB"/>
    <w:rsid w:val="000F22BB"/>
    <w:rsid w:val="000F4334"/>
    <w:rsid w:val="000F5478"/>
    <w:rsid w:val="000F6ACD"/>
    <w:rsid w:val="000F6F8D"/>
    <w:rsid w:val="000F7C20"/>
    <w:rsid w:val="001003CF"/>
    <w:rsid w:val="0010184C"/>
    <w:rsid w:val="0010298F"/>
    <w:rsid w:val="00104BC2"/>
    <w:rsid w:val="001062F8"/>
    <w:rsid w:val="00106EE9"/>
    <w:rsid w:val="0010798F"/>
    <w:rsid w:val="00110942"/>
    <w:rsid w:val="00111615"/>
    <w:rsid w:val="00111B93"/>
    <w:rsid w:val="00112570"/>
    <w:rsid w:val="00112BD9"/>
    <w:rsid w:val="00113273"/>
    <w:rsid w:val="001148DE"/>
    <w:rsid w:val="00114B94"/>
    <w:rsid w:val="0011535E"/>
    <w:rsid w:val="00115943"/>
    <w:rsid w:val="00117605"/>
    <w:rsid w:val="00117612"/>
    <w:rsid w:val="0011766E"/>
    <w:rsid w:val="00120760"/>
    <w:rsid w:val="001215E1"/>
    <w:rsid w:val="0012206B"/>
    <w:rsid w:val="0012315C"/>
    <w:rsid w:val="001243E6"/>
    <w:rsid w:val="001264DA"/>
    <w:rsid w:val="00127A98"/>
    <w:rsid w:val="0013154A"/>
    <w:rsid w:val="00132314"/>
    <w:rsid w:val="0013238E"/>
    <w:rsid w:val="00134FA2"/>
    <w:rsid w:val="001351A5"/>
    <w:rsid w:val="00142AC7"/>
    <w:rsid w:val="001431AC"/>
    <w:rsid w:val="00144319"/>
    <w:rsid w:val="0014445F"/>
    <w:rsid w:val="00144EE8"/>
    <w:rsid w:val="001455F1"/>
    <w:rsid w:val="00145B5C"/>
    <w:rsid w:val="0014641D"/>
    <w:rsid w:val="00146B55"/>
    <w:rsid w:val="0015011B"/>
    <w:rsid w:val="00150958"/>
    <w:rsid w:val="00152297"/>
    <w:rsid w:val="00152664"/>
    <w:rsid w:val="00152C61"/>
    <w:rsid w:val="00152EB9"/>
    <w:rsid w:val="00153AA4"/>
    <w:rsid w:val="00155768"/>
    <w:rsid w:val="001564F2"/>
    <w:rsid w:val="0016015C"/>
    <w:rsid w:val="00160AB9"/>
    <w:rsid w:val="00161ECE"/>
    <w:rsid w:val="00163041"/>
    <w:rsid w:val="001635FF"/>
    <w:rsid w:val="001636EF"/>
    <w:rsid w:val="00163C97"/>
    <w:rsid w:val="00163E67"/>
    <w:rsid w:val="00163F49"/>
    <w:rsid w:val="0016605A"/>
    <w:rsid w:val="00166A8F"/>
    <w:rsid w:val="00166B49"/>
    <w:rsid w:val="00166DF2"/>
    <w:rsid w:val="00166F29"/>
    <w:rsid w:val="00170656"/>
    <w:rsid w:val="00171AE3"/>
    <w:rsid w:val="0017214C"/>
    <w:rsid w:val="00174060"/>
    <w:rsid w:val="001803AB"/>
    <w:rsid w:val="00180A8B"/>
    <w:rsid w:val="00182B9A"/>
    <w:rsid w:val="00182D23"/>
    <w:rsid w:val="0018476D"/>
    <w:rsid w:val="00184C60"/>
    <w:rsid w:val="00186AD3"/>
    <w:rsid w:val="00187613"/>
    <w:rsid w:val="001877CF"/>
    <w:rsid w:val="00187C56"/>
    <w:rsid w:val="00190165"/>
    <w:rsid w:val="001910B7"/>
    <w:rsid w:val="00192169"/>
    <w:rsid w:val="001922CC"/>
    <w:rsid w:val="00193633"/>
    <w:rsid w:val="0019500C"/>
    <w:rsid w:val="0019524B"/>
    <w:rsid w:val="001A1B9E"/>
    <w:rsid w:val="001A2123"/>
    <w:rsid w:val="001A26D0"/>
    <w:rsid w:val="001A3D01"/>
    <w:rsid w:val="001A5229"/>
    <w:rsid w:val="001A5864"/>
    <w:rsid w:val="001A6195"/>
    <w:rsid w:val="001A68E4"/>
    <w:rsid w:val="001A6E12"/>
    <w:rsid w:val="001A74C5"/>
    <w:rsid w:val="001B168C"/>
    <w:rsid w:val="001B2EAF"/>
    <w:rsid w:val="001B4668"/>
    <w:rsid w:val="001B48F3"/>
    <w:rsid w:val="001B510C"/>
    <w:rsid w:val="001B67D1"/>
    <w:rsid w:val="001B6BA1"/>
    <w:rsid w:val="001C09BC"/>
    <w:rsid w:val="001C0A2B"/>
    <w:rsid w:val="001C0BD6"/>
    <w:rsid w:val="001C11BF"/>
    <w:rsid w:val="001C1264"/>
    <w:rsid w:val="001C25C3"/>
    <w:rsid w:val="001C2CF4"/>
    <w:rsid w:val="001C42B3"/>
    <w:rsid w:val="001C5D45"/>
    <w:rsid w:val="001C7C81"/>
    <w:rsid w:val="001C7DDF"/>
    <w:rsid w:val="001C7F2D"/>
    <w:rsid w:val="001D0C2B"/>
    <w:rsid w:val="001D0D9E"/>
    <w:rsid w:val="001D1A87"/>
    <w:rsid w:val="001D2F54"/>
    <w:rsid w:val="001D361C"/>
    <w:rsid w:val="001D4F07"/>
    <w:rsid w:val="001E0228"/>
    <w:rsid w:val="001E0B6C"/>
    <w:rsid w:val="001E0FE8"/>
    <w:rsid w:val="001E17B9"/>
    <w:rsid w:val="001E45C0"/>
    <w:rsid w:val="001E471A"/>
    <w:rsid w:val="001E58D9"/>
    <w:rsid w:val="001E6A7C"/>
    <w:rsid w:val="001E7118"/>
    <w:rsid w:val="001F0284"/>
    <w:rsid w:val="001F05C8"/>
    <w:rsid w:val="001F19B6"/>
    <w:rsid w:val="001F1F8C"/>
    <w:rsid w:val="001F352B"/>
    <w:rsid w:val="001F3DFB"/>
    <w:rsid w:val="001F4AF5"/>
    <w:rsid w:val="001F7974"/>
    <w:rsid w:val="00200023"/>
    <w:rsid w:val="00200752"/>
    <w:rsid w:val="002024C2"/>
    <w:rsid w:val="0020267C"/>
    <w:rsid w:val="00204618"/>
    <w:rsid w:val="00204ECE"/>
    <w:rsid w:val="00205477"/>
    <w:rsid w:val="00205CF4"/>
    <w:rsid w:val="0020609A"/>
    <w:rsid w:val="00207895"/>
    <w:rsid w:val="00211120"/>
    <w:rsid w:val="00211133"/>
    <w:rsid w:val="002114A7"/>
    <w:rsid w:val="00211B15"/>
    <w:rsid w:val="00213734"/>
    <w:rsid w:val="00215D9A"/>
    <w:rsid w:val="00217480"/>
    <w:rsid w:val="00217FF9"/>
    <w:rsid w:val="00220662"/>
    <w:rsid w:val="00220E36"/>
    <w:rsid w:val="00221CE4"/>
    <w:rsid w:val="00222753"/>
    <w:rsid w:val="0022355F"/>
    <w:rsid w:val="00223684"/>
    <w:rsid w:val="00223CB3"/>
    <w:rsid w:val="002256A6"/>
    <w:rsid w:val="0022758E"/>
    <w:rsid w:val="00230672"/>
    <w:rsid w:val="002309D8"/>
    <w:rsid w:val="002311B4"/>
    <w:rsid w:val="002314D6"/>
    <w:rsid w:val="00231517"/>
    <w:rsid w:val="0023302F"/>
    <w:rsid w:val="0023357B"/>
    <w:rsid w:val="0023570A"/>
    <w:rsid w:val="002360DA"/>
    <w:rsid w:val="002364D1"/>
    <w:rsid w:val="002409CE"/>
    <w:rsid w:val="00243E60"/>
    <w:rsid w:val="002442FE"/>
    <w:rsid w:val="00244585"/>
    <w:rsid w:val="00245B3F"/>
    <w:rsid w:val="002461AE"/>
    <w:rsid w:val="00247F7A"/>
    <w:rsid w:val="00251AC9"/>
    <w:rsid w:val="00251AD3"/>
    <w:rsid w:val="00251B0D"/>
    <w:rsid w:val="00254B3B"/>
    <w:rsid w:val="00255603"/>
    <w:rsid w:val="00256304"/>
    <w:rsid w:val="002567C5"/>
    <w:rsid w:val="0025792D"/>
    <w:rsid w:val="0026263C"/>
    <w:rsid w:val="00263366"/>
    <w:rsid w:val="00265106"/>
    <w:rsid w:val="00265631"/>
    <w:rsid w:val="00265835"/>
    <w:rsid w:val="00265A6A"/>
    <w:rsid w:val="00266152"/>
    <w:rsid w:val="00266F8B"/>
    <w:rsid w:val="00267512"/>
    <w:rsid w:val="002712E2"/>
    <w:rsid w:val="00271E1D"/>
    <w:rsid w:val="00276A0A"/>
    <w:rsid w:val="00276F42"/>
    <w:rsid w:val="00280BDE"/>
    <w:rsid w:val="0028120F"/>
    <w:rsid w:val="00282D03"/>
    <w:rsid w:val="00282FAA"/>
    <w:rsid w:val="00284A73"/>
    <w:rsid w:val="0028533A"/>
    <w:rsid w:val="00285C9C"/>
    <w:rsid w:val="00286953"/>
    <w:rsid w:val="00287D36"/>
    <w:rsid w:val="00287DB6"/>
    <w:rsid w:val="00293AFA"/>
    <w:rsid w:val="00293D1D"/>
    <w:rsid w:val="00294F94"/>
    <w:rsid w:val="00296A52"/>
    <w:rsid w:val="00297134"/>
    <w:rsid w:val="00297446"/>
    <w:rsid w:val="00297BB7"/>
    <w:rsid w:val="002A02C4"/>
    <w:rsid w:val="002A142E"/>
    <w:rsid w:val="002A1AEA"/>
    <w:rsid w:val="002A1C8D"/>
    <w:rsid w:val="002A1F92"/>
    <w:rsid w:val="002A3DEA"/>
    <w:rsid w:val="002A533C"/>
    <w:rsid w:val="002A598B"/>
    <w:rsid w:val="002A5FF0"/>
    <w:rsid w:val="002B0795"/>
    <w:rsid w:val="002B1039"/>
    <w:rsid w:val="002B1B6C"/>
    <w:rsid w:val="002B2505"/>
    <w:rsid w:val="002B37EC"/>
    <w:rsid w:val="002B4558"/>
    <w:rsid w:val="002B715D"/>
    <w:rsid w:val="002B7420"/>
    <w:rsid w:val="002B7822"/>
    <w:rsid w:val="002B788E"/>
    <w:rsid w:val="002B7AA0"/>
    <w:rsid w:val="002C021E"/>
    <w:rsid w:val="002C17F0"/>
    <w:rsid w:val="002C1F4B"/>
    <w:rsid w:val="002C2024"/>
    <w:rsid w:val="002C2645"/>
    <w:rsid w:val="002C2B5F"/>
    <w:rsid w:val="002C307C"/>
    <w:rsid w:val="002C47EF"/>
    <w:rsid w:val="002C4F91"/>
    <w:rsid w:val="002C523F"/>
    <w:rsid w:val="002C6943"/>
    <w:rsid w:val="002C6D0A"/>
    <w:rsid w:val="002D1D6F"/>
    <w:rsid w:val="002D33B4"/>
    <w:rsid w:val="002D4B92"/>
    <w:rsid w:val="002D4C3D"/>
    <w:rsid w:val="002D57D9"/>
    <w:rsid w:val="002D57F7"/>
    <w:rsid w:val="002D62DA"/>
    <w:rsid w:val="002D68C8"/>
    <w:rsid w:val="002D6BE6"/>
    <w:rsid w:val="002D6F16"/>
    <w:rsid w:val="002D78E0"/>
    <w:rsid w:val="002E16CF"/>
    <w:rsid w:val="002E2000"/>
    <w:rsid w:val="002E2831"/>
    <w:rsid w:val="002E4B8E"/>
    <w:rsid w:val="002F068A"/>
    <w:rsid w:val="002F1783"/>
    <w:rsid w:val="002F1BEB"/>
    <w:rsid w:val="002F36A5"/>
    <w:rsid w:val="002F4E26"/>
    <w:rsid w:val="002F5A8B"/>
    <w:rsid w:val="002F7A6F"/>
    <w:rsid w:val="00300039"/>
    <w:rsid w:val="00300476"/>
    <w:rsid w:val="003007DB"/>
    <w:rsid w:val="00301B65"/>
    <w:rsid w:val="00302CEA"/>
    <w:rsid w:val="003033EB"/>
    <w:rsid w:val="00303528"/>
    <w:rsid w:val="00303CA2"/>
    <w:rsid w:val="00304CBA"/>
    <w:rsid w:val="00306ACC"/>
    <w:rsid w:val="00306DC3"/>
    <w:rsid w:val="003105B2"/>
    <w:rsid w:val="0031090B"/>
    <w:rsid w:val="003119B7"/>
    <w:rsid w:val="00312007"/>
    <w:rsid w:val="00312531"/>
    <w:rsid w:val="00312564"/>
    <w:rsid w:val="00313091"/>
    <w:rsid w:val="00315E2C"/>
    <w:rsid w:val="0031753E"/>
    <w:rsid w:val="003177FD"/>
    <w:rsid w:val="00317A33"/>
    <w:rsid w:val="00320316"/>
    <w:rsid w:val="00324D8B"/>
    <w:rsid w:val="00325201"/>
    <w:rsid w:val="00325A3E"/>
    <w:rsid w:val="00325A52"/>
    <w:rsid w:val="00325D16"/>
    <w:rsid w:val="003262A5"/>
    <w:rsid w:val="003264F0"/>
    <w:rsid w:val="003268B0"/>
    <w:rsid w:val="00326D80"/>
    <w:rsid w:val="0033033F"/>
    <w:rsid w:val="0033222D"/>
    <w:rsid w:val="003329FA"/>
    <w:rsid w:val="00335BA8"/>
    <w:rsid w:val="0033740A"/>
    <w:rsid w:val="00337F4C"/>
    <w:rsid w:val="00340441"/>
    <w:rsid w:val="003405A9"/>
    <w:rsid w:val="00341079"/>
    <w:rsid w:val="0034120C"/>
    <w:rsid w:val="003413C1"/>
    <w:rsid w:val="00342097"/>
    <w:rsid w:val="0034231B"/>
    <w:rsid w:val="00342902"/>
    <w:rsid w:val="00343049"/>
    <w:rsid w:val="0034315C"/>
    <w:rsid w:val="0034480D"/>
    <w:rsid w:val="00344FE6"/>
    <w:rsid w:val="00345059"/>
    <w:rsid w:val="00346DAD"/>
    <w:rsid w:val="003476EE"/>
    <w:rsid w:val="00347D7A"/>
    <w:rsid w:val="0035001B"/>
    <w:rsid w:val="00352354"/>
    <w:rsid w:val="00352C1E"/>
    <w:rsid w:val="00353076"/>
    <w:rsid w:val="0035338F"/>
    <w:rsid w:val="00353430"/>
    <w:rsid w:val="0035396C"/>
    <w:rsid w:val="00353C48"/>
    <w:rsid w:val="00357D4B"/>
    <w:rsid w:val="0036073C"/>
    <w:rsid w:val="003614A6"/>
    <w:rsid w:val="003615CE"/>
    <w:rsid w:val="00361FE3"/>
    <w:rsid w:val="00363A2B"/>
    <w:rsid w:val="00363C9A"/>
    <w:rsid w:val="003653B0"/>
    <w:rsid w:val="00365994"/>
    <w:rsid w:val="003667D2"/>
    <w:rsid w:val="003671D5"/>
    <w:rsid w:val="00367345"/>
    <w:rsid w:val="00367C39"/>
    <w:rsid w:val="00370922"/>
    <w:rsid w:val="00372820"/>
    <w:rsid w:val="00373067"/>
    <w:rsid w:val="003743A2"/>
    <w:rsid w:val="00374B5E"/>
    <w:rsid w:val="00376A01"/>
    <w:rsid w:val="003770BD"/>
    <w:rsid w:val="00377319"/>
    <w:rsid w:val="003800E2"/>
    <w:rsid w:val="003803CC"/>
    <w:rsid w:val="003808B6"/>
    <w:rsid w:val="00380FDC"/>
    <w:rsid w:val="003810DC"/>
    <w:rsid w:val="003824D6"/>
    <w:rsid w:val="00383522"/>
    <w:rsid w:val="003855CD"/>
    <w:rsid w:val="003871EF"/>
    <w:rsid w:val="003879B8"/>
    <w:rsid w:val="00390441"/>
    <w:rsid w:val="00390679"/>
    <w:rsid w:val="003906B8"/>
    <w:rsid w:val="00390A11"/>
    <w:rsid w:val="0039116B"/>
    <w:rsid w:val="0039165A"/>
    <w:rsid w:val="00391F9A"/>
    <w:rsid w:val="00394486"/>
    <w:rsid w:val="003955B0"/>
    <w:rsid w:val="00395695"/>
    <w:rsid w:val="00397B21"/>
    <w:rsid w:val="00397BDE"/>
    <w:rsid w:val="003A048D"/>
    <w:rsid w:val="003A04F6"/>
    <w:rsid w:val="003A3F23"/>
    <w:rsid w:val="003A4D2C"/>
    <w:rsid w:val="003A6622"/>
    <w:rsid w:val="003A7FD0"/>
    <w:rsid w:val="003B1018"/>
    <w:rsid w:val="003B2901"/>
    <w:rsid w:val="003B33E5"/>
    <w:rsid w:val="003B3C81"/>
    <w:rsid w:val="003B44DD"/>
    <w:rsid w:val="003B48BE"/>
    <w:rsid w:val="003B56DA"/>
    <w:rsid w:val="003B588E"/>
    <w:rsid w:val="003B5B9E"/>
    <w:rsid w:val="003B5F1C"/>
    <w:rsid w:val="003B6144"/>
    <w:rsid w:val="003B6391"/>
    <w:rsid w:val="003B7EE8"/>
    <w:rsid w:val="003C1608"/>
    <w:rsid w:val="003C3C9E"/>
    <w:rsid w:val="003C4932"/>
    <w:rsid w:val="003C52FA"/>
    <w:rsid w:val="003C656E"/>
    <w:rsid w:val="003C73DF"/>
    <w:rsid w:val="003D034D"/>
    <w:rsid w:val="003D2FC2"/>
    <w:rsid w:val="003D32B9"/>
    <w:rsid w:val="003D32CC"/>
    <w:rsid w:val="003D49D9"/>
    <w:rsid w:val="003D5DC1"/>
    <w:rsid w:val="003D6EE9"/>
    <w:rsid w:val="003E1247"/>
    <w:rsid w:val="003E1B56"/>
    <w:rsid w:val="003E4736"/>
    <w:rsid w:val="003E7059"/>
    <w:rsid w:val="003F5080"/>
    <w:rsid w:val="004004AF"/>
    <w:rsid w:val="00400713"/>
    <w:rsid w:val="00400D7B"/>
    <w:rsid w:val="00400E84"/>
    <w:rsid w:val="00402345"/>
    <w:rsid w:val="00402F74"/>
    <w:rsid w:val="0040386D"/>
    <w:rsid w:val="00404394"/>
    <w:rsid w:val="00404DF2"/>
    <w:rsid w:val="00406492"/>
    <w:rsid w:val="00406A60"/>
    <w:rsid w:val="004077B3"/>
    <w:rsid w:val="00407A30"/>
    <w:rsid w:val="004115E7"/>
    <w:rsid w:val="004117A0"/>
    <w:rsid w:val="00411AC6"/>
    <w:rsid w:val="00413288"/>
    <w:rsid w:val="004132EB"/>
    <w:rsid w:val="00413A72"/>
    <w:rsid w:val="004147CE"/>
    <w:rsid w:val="0041497D"/>
    <w:rsid w:val="0041531F"/>
    <w:rsid w:val="0041575D"/>
    <w:rsid w:val="00416DDC"/>
    <w:rsid w:val="004171C2"/>
    <w:rsid w:val="004172B4"/>
    <w:rsid w:val="00417418"/>
    <w:rsid w:val="0041780E"/>
    <w:rsid w:val="0042029D"/>
    <w:rsid w:val="00420D95"/>
    <w:rsid w:val="004210A9"/>
    <w:rsid w:val="00422755"/>
    <w:rsid w:val="00423466"/>
    <w:rsid w:val="004246C8"/>
    <w:rsid w:val="00424AE1"/>
    <w:rsid w:val="00424DD5"/>
    <w:rsid w:val="00426BBD"/>
    <w:rsid w:val="004300AD"/>
    <w:rsid w:val="00432B94"/>
    <w:rsid w:val="004335AA"/>
    <w:rsid w:val="00433A7F"/>
    <w:rsid w:val="00433F0D"/>
    <w:rsid w:val="00435690"/>
    <w:rsid w:val="00435C8D"/>
    <w:rsid w:val="0044102A"/>
    <w:rsid w:val="00441383"/>
    <w:rsid w:val="00441702"/>
    <w:rsid w:val="00444726"/>
    <w:rsid w:val="00444CA1"/>
    <w:rsid w:val="0044521F"/>
    <w:rsid w:val="00445310"/>
    <w:rsid w:val="0044639B"/>
    <w:rsid w:val="00446758"/>
    <w:rsid w:val="00446C54"/>
    <w:rsid w:val="00447B99"/>
    <w:rsid w:val="00450AB6"/>
    <w:rsid w:val="00450B56"/>
    <w:rsid w:val="00451ACE"/>
    <w:rsid w:val="00452531"/>
    <w:rsid w:val="0045278F"/>
    <w:rsid w:val="00453EEF"/>
    <w:rsid w:val="00454377"/>
    <w:rsid w:val="00454DDA"/>
    <w:rsid w:val="00456136"/>
    <w:rsid w:val="00456571"/>
    <w:rsid w:val="0045672F"/>
    <w:rsid w:val="00457472"/>
    <w:rsid w:val="004577DB"/>
    <w:rsid w:val="00460890"/>
    <w:rsid w:val="00461DDE"/>
    <w:rsid w:val="004625AB"/>
    <w:rsid w:val="004634BC"/>
    <w:rsid w:val="004646F9"/>
    <w:rsid w:val="00464F31"/>
    <w:rsid w:val="00465134"/>
    <w:rsid w:val="00466022"/>
    <w:rsid w:val="004671EB"/>
    <w:rsid w:val="0046763A"/>
    <w:rsid w:val="00467DF0"/>
    <w:rsid w:val="00471357"/>
    <w:rsid w:val="00471BC2"/>
    <w:rsid w:val="004733F1"/>
    <w:rsid w:val="00474A7D"/>
    <w:rsid w:val="004834BC"/>
    <w:rsid w:val="004855BF"/>
    <w:rsid w:val="00485DC6"/>
    <w:rsid w:val="00487BCD"/>
    <w:rsid w:val="004910D7"/>
    <w:rsid w:val="004913DB"/>
    <w:rsid w:val="004918C2"/>
    <w:rsid w:val="004925EE"/>
    <w:rsid w:val="0049368D"/>
    <w:rsid w:val="00494130"/>
    <w:rsid w:val="0049433A"/>
    <w:rsid w:val="0049505A"/>
    <w:rsid w:val="0049563A"/>
    <w:rsid w:val="00495FE8"/>
    <w:rsid w:val="004963B5"/>
    <w:rsid w:val="00496881"/>
    <w:rsid w:val="00497E32"/>
    <w:rsid w:val="00497EA8"/>
    <w:rsid w:val="004A0A88"/>
    <w:rsid w:val="004A0EB3"/>
    <w:rsid w:val="004A1764"/>
    <w:rsid w:val="004A2BB3"/>
    <w:rsid w:val="004A2C13"/>
    <w:rsid w:val="004A35AF"/>
    <w:rsid w:val="004A4263"/>
    <w:rsid w:val="004A6DEC"/>
    <w:rsid w:val="004A7E41"/>
    <w:rsid w:val="004A7E7E"/>
    <w:rsid w:val="004B01EB"/>
    <w:rsid w:val="004B021A"/>
    <w:rsid w:val="004B0E4A"/>
    <w:rsid w:val="004B2090"/>
    <w:rsid w:val="004B22DB"/>
    <w:rsid w:val="004B370A"/>
    <w:rsid w:val="004B3719"/>
    <w:rsid w:val="004B37F7"/>
    <w:rsid w:val="004B49A4"/>
    <w:rsid w:val="004B6ECD"/>
    <w:rsid w:val="004B7615"/>
    <w:rsid w:val="004C1181"/>
    <w:rsid w:val="004C1D60"/>
    <w:rsid w:val="004C2B8E"/>
    <w:rsid w:val="004C33EC"/>
    <w:rsid w:val="004C7B90"/>
    <w:rsid w:val="004D034A"/>
    <w:rsid w:val="004D1009"/>
    <w:rsid w:val="004D1652"/>
    <w:rsid w:val="004D189B"/>
    <w:rsid w:val="004D26B0"/>
    <w:rsid w:val="004D42D6"/>
    <w:rsid w:val="004D478D"/>
    <w:rsid w:val="004D50F4"/>
    <w:rsid w:val="004D647D"/>
    <w:rsid w:val="004D698A"/>
    <w:rsid w:val="004E07DB"/>
    <w:rsid w:val="004E2738"/>
    <w:rsid w:val="004E33C3"/>
    <w:rsid w:val="004E46FE"/>
    <w:rsid w:val="004E54D5"/>
    <w:rsid w:val="004E599C"/>
    <w:rsid w:val="004E635E"/>
    <w:rsid w:val="004E69C2"/>
    <w:rsid w:val="004E701D"/>
    <w:rsid w:val="004F2BDD"/>
    <w:rsid w:val="004F2E95"/>
    <w:rsid w:val="004F432F"/>
    <w:rsid w:val="004F46B8"/>
    <w:rsid w:val="004F5F28"/>
    <w:rsid w:val="004F60A8"/>
    <w:rsid w:val="004F7518"/>
    <w:rsid w:val="004F79FB"/>
    <w:rsid w:val="004F7E13"/>
    <w:rsid w:val="00503758"/>
    <w:rsid w:val="00503B68"/>
    <w:rsid w:val="00504021"/>
    <w:rsid w:val="005045B5"/>
    <w:rsid w:val="00506F9E"/>
    <w:rsid w:val="00507651"/>
    <w:rsid w:val="0051007C"/>
    <w:rsid w:val="005107A3"/>
    <w:rsid w:val="005112EE"/>
    <w:rsid w:val="0051488A"/>
    <w:rsid w:val="00515570"/>
    <w:rsid w:val="00515F53"/>
    <w:rsid w:val="00516426"/>
    <w:rsid w:val="00516989"/>
    <w:rsid w:val="005172C6"/>
    <w:rsid w:val="00517750"/>
    <w:rsid w:val="00522E98"/>
    <w:rsid w:val="00523571"/>
    <w:rsid w:val="00524328"/>
    <w:rsid w:val="00524681"/>
    <w:rsid w:val="005247A9"/>
    <w:rsid w:val="00524AC7"/>
    <w:rsid w:val="00524CC3"/>
    <w:rsid w:val="00525619"/>
    <w:rsid w:val="00525B82"/>
    <w:rsid w:val="005268F1"/>
    <w:rsid w:val="00526A5D"/>
    <w:rsid w:val="00526BC1"/>
    <w:rsid w:val="00526C46"/>
    <w:rsid w:val="005279B1"/>
    <w:rsid w:val="005300ED"/>
    <w:rsid w:val="005304DB"/>
    <w:rsid w:val="00530DDA"/>
    <w:rsid w:val="0053123F"/>
    <w:rsid w:val="00533607"/>
    <w:rsid w:val="005336F0"/>
    <w:rsid w:val="00533745"/>
    <w:rsid w:val="00533CB9"/>
    <w:rsid w:val="005375C7"/>
    <w:rsid w:val="005405AB"/>
    <w:rsid w:val="00541001"/>
    <w:rsid w:val="0054154F"/>
    <w:rsid w:val="00542DF8"/>
    <w:rsid w:val="00543380"/>
    <w:rsid w:val="0054387A"/>
    <w:rsid w:val="00543DA2"/>
    <w:rsid w:val="00546653"/>
    <w:rsid w:val="00550049"/>
    <w:rsid w:val="005505E4"/>
    <w:rsid w:val="00551420"/>
    <w:rsid w:val="00551AD4"/>
    <w:rsid w:val="00551BAB"/>
    <w:rsid w:val="005539FE"/>
    <w:rsid w:val="0055436A"/>
    <w:rsid w:val="00555FE3"/>
    <w:rsid w:val="00556FFF"/>
    <w:rsid w:val="00557083"/>
    <w:rsid w:val="00560A38"/>
    <w:rsid w:val="005619BC"/>
    <w:rsid w:val="00562DCB"/>
    <w:rsid w:val="00562F1F"/>
    <w:rsid w:val="0056477A"/>
    <w:rsid w:val="00564E08"/>
    <w:rsid w:val="00564F59"/>
    <w:rsid w:val="00565C67"/>
    <w:rsid w:val="00565E50"/>
    <w:rsid w:val="00566709"/>
    <w:rsid w:val="00570178"/>
    <w:rsid w:val="00570F3C"/>
    <w:rsid w:val="005712FE"/>
    <w:rsid w:val="00571BF1"/>
    <w:rsid w:val="005723A7"/>
    <w:rsid w:val="00572C7C"/>
    <w:rsid w:val="00573496"/>
    <w:rsid w:val="00573BA7"/>
    <w:rsid w:val="00573DEB"/>
    <w:rsid w:val="0057475A"/>
    <w:rsid w:val="005749BD"/>
    <w:rsid w:val="00574C96"/>
    <w:rsid w:val="00575B3A"/>
    <w:rsid w:val="00575C18"/>
    <w:rsid w:val="00575FA9"/>
    <w:rsid w:val="00576358"/>
    <w:rsid w:val="00577E60"/>
    <w:rsid w:val="00580608"/>
    <w:rsid w:val="00581E32"/>
    <w:rsid w:val="00584088"/>
    <w:rsid w:val="00584FA8"/>
    <w:rsid w:val="0058563F"/>
    <w:rsid w:val="005856E4"/>
    <w:rsid w:val="005864BE"/>
    <w:rsid w:val="00586733"/>
    <w:rsid w:val="005871DA"/>
    <w:rsid w:val="00587F8A"/>
    <w:rsid w:val="00590F09"/>
    <w:rsid w:val="00591577"/>
    <w:rsid w:val="00591B28"/>
    <w:rsid w:val="00594118"/>
    <w:rsid w:val="0059512C"/>
    <w:rsid w:val="00595225"/>
    <w:rsid w:val="00596126"/>
    <w:rsid w:val="00596E11"/>
    <w:rsid w:val="005974A2"/>
    <w:rsid w:val="005A057C"/>
    <w:rsid w:val="005A0C50"/>
    <w:rsid w:val="005A1244"/>
    <w:rsid w:val="005A1B70"/>
    <w:rsid w:val="005A1BCA"/>
    <w:rsid w:val="005A2769"/>
    <w:rsid w:val="005A2C2D"/>
    <w:rsid w:val="005A67DE"/>
    <w:rsid w:val="005B03BC"/>
    <w:rsid w:val="005B0A32"/>
    <w:rsid w:val="005B1506"/>
    <w:rsid w:val="005B2F9F"/>
    <w:rsid w:val="005B45C5"/>
    <w:rsid w:val="005B54D6"/>
    <w:rsid w:val="005B686A"/>
    <w:rsid w:val="005C0295"/>
    <w:rsid w:val="005C0349"/>
    <w:rsid w:val="005C0437"/>
    <w:rsid w:val="005C1B13"/>
    <w:rsid w:val="005C2234"/>
    <w:rsid w:val="005C2D6B"/>
    <w:rsid w:val="005C34DE"/>
    <w:rsid w:val="005C3D22"/>
    <w:rsid w:val="005C603A"/>
    <w:rsid w:val="005C6109"/>
    <w:rsid w:val="005C70D2"/>
    <w:rsid w:val="005D0EDC"/>
    <w:rsid w:val="005D11E5"/>
    <w:rsid w:val="005D189C"/>
    <w:rsid w:val="005D1AFD"/>
    <w:rsid w:val="005D23A1"/>
    <w:rsid w:val="005D37A5"/>
    <w:rsid w:val="005D3DD1"/>
    <w:rsid w:val="005D6161"/>
    <w:rsid w:val="005E1458"/>
    <w:rsid w:val="005E17FD"/>
    <w:rsid w:val="005E1E2C"/>
    <w:rsid w:val="005E214C"/>
    <w:rsid w:val="005E266E"/>
    <w:rsid w:val="005E3604"/>
    <w:rsid w:val="005E3CE7"/>
    <w:rsid w:val="005E4E7A"/>
    <w:rsid w:val="005E536C"/>
    <w:rsid w:val="005E5A35"/>
    <w:rsid w:val="005E6B2B"/>
    <w:rsid w:val="005E7AFA"/>
    <w:rsid w:val="005F3617"/>
    <w:rsid w:val="005F39A8"/>
    <w:rsid w:val="005F4388"/>
    <w:rsid w:val="005F553C"/>
    <w:rsid w:val="005F5CB5"/>
    <w:rsid w:val="005F5E53"/>
    <w:rsid w:val="005F5E69"/>
    <w:rsid w:val="005F6230"/>
    <w:rsid w:val="005F66F2"/>
    <w:rsid w:val="005F7C33"/>
    <w:rsid w:val="00600EA2"/>
    <w:rsid w:val="00601769"/>
    <w:rsid w:val="00601A51"/>
    <w:rsid w:val="00602624"/>
    <w:rsid w:val="006028DB"/>
    <w:rsid w:val="006057B0"/>
    <w:rsid w:val="00606758"/>
    <w:rsid w:val="00606C48"/>
    <w:rsid w:val="00607CEC"/>
    <w:rsid w:val="00611AE0"/>
    <w:rsid w:val="00611C14"/>
    <w:rsid w:val="0061240F"/>
    <w:rsid w:val="00613FEC"/>
    <w:rsid w:val="006146A6"/>
    <w:rsid w:val="0061580E"/>
    <w:rsid w:val="00615EB2"/>
    <w:rsid w:val="0062014B"/>
    <w:rsid w:val="006210B5"/>
    <w:rsid w:val="006210DB"/>
    <w:rsid w:val="00621F3D"/>
    <w:rsid w:val="006229C5"/>
    <w:rsid w:val="006244E5"/>
    <w:rsid w:val="00625234"/>
    <w:rsid w:val="006253BB"/>
    <w:rsid w:val="006253CE"/>
    <w:rsid w:val="00625FE8"/>
    <w:rsid w:val="006268C7"/>
    <w:rsid w:val="00627E46"/>
    <w:rsid w:val="00630431"/>
    <w:rsid w:val="00630AB8"/>
    <w:rsid w:val="00630E8D"/>
    <w:rsid w:val="00630FDE"/>
    <w:rsid w:val="006310B2"/>
    <w:rsid w:val="00631BC2"/>
    <w:rsid w:val="00631E86"/>
    <w:rsid w:val="00633C43"/>
    <w:rsid w:val="00635DD5"/>
    <w:rsid w:val="00636335"/>
    <w:rsid w:val="00637337"/>
    <w:rsid w:val="0063792A"/>
    <w:rsid w:val="00637CC5"/>
    <w:rsid w:val="00637EEC"/>
    <w:rsid w:val="00640CB5"/>
    <w:rsid w:val="00641289"/>
    <w:rsid w:val="0064233F"/>
    <w:rsid w:val="00643A6A"/>
    <w:rsid w:val="00644504"/>
    <w:rsid w:val="0064654A"/>
    <w:rsid w:val="0064730E"/>
    <w:rsid w:val="006473F8"/>
    <w:rsid w:val="00650014"/>
    <w:rsid w:val="00650A10"/>
    <w:rsid w:val="00650DF3"/>
    <w:rsid w:val="0065198A"/>
    <w:rsid w:val="006557C2"/>
    <w:rsid w:val="0065638E"/>
    <w:rsid w:val="0065704B"/>
    <w:rsid w:val="00657B64"/>
    <w:rsid w:val="00657BFC"/>
    <w:rsid w:val="006602B9"/>
    <w:rsid w:val="006603BF"/>
    <w:rsid w:val="00660D9A"/>
    <w:rsid w:val="00661851"/>
    <w:rsid w:val="00661A7F"/>
    <w:rsid w:val="00662277"/>
    <w:rsid w:val="00663E56"/>
    <w:rsid w:val="00666061"/>
    <w:rsid w:val="00670288"/>
    <w:rsid w:val="00672B5D"/>
    <w:rsid w:val="00673EEE"/>
    <w:rsid w:val="00675ABA"/>
    <w:rsid w:val="00676C00"/>
    <w:rsid w:val="00677189"/>
    <w:rsid w:val="0067782B"/>
    <w:rsid w:val="00680B8C"/>
    <w:rsid w:val="00681FEF"/>
    <w:rsid w:val="00682056"/>
    <w:rsid w:val="00682992"/>
    <w:rsid w:val="00683A50"/>
    <w:rsid w:val="00683D87"/>
    <w:rsid w:val="006850F4"/>
    <w:rsid w:val="0068519E"/>
    <w:rsid w:val="006856CD"/>
    <w:rsid w:val="00685B8E"/>
    <w:rsid w:val="006869A3"/>
    <w:rsid w:val="006877FF"/>
    <w:rsid w:val="00687C1D"/>
    <w:rsid w:val="006908B5"/>
    <w:rsid w:val="0069103C"/>
    <w:rsid w:val="00693056"/>
    <w:rsid w:val="00696116"/>
    <w:rsid w:val="00696E16"/>
    <w:rsid w:val="00697240"/>
    <w:rsid w:val="006A020C"/>
    <w:rsid w:val="006A058C"/>
    <w:rsid w:val="006A0FFD"/>
    <w:rsid w:val="006A374B"/>
    <w:rsid w:val="006A3C9A"/>
    <w:rsid w:val="006A3E33"/>
    <w:rsid w:val="006A4D7E"/>
    <w:rsid w:val="006A4FF1"/>
    <w:rsid w:val="006A6CB7"/>
    <w:rsid w:val="006A76B5"/>
    <w:rsid w:val="006B008F"/>
    <w:rsid w:val="006B06A6"/>
    <w:rsid w:val="006B0C58"/>
    <w:rsid w:val="006B0CAE"/>
    <w:rsid w:val="006B1466"/>
    <w:rsid w:val="006B1835"/>
    <w:rsid w:val="006B1BD9"/>
    <w:rsid w:val="006B3317"/>
    <w:rsid w:val="006B3F31"/>
    <w:rsid w:val="006B4428"/>
    <w:rsid w:val="006B4689"/>
    <w:rsid w:val="006B4C29"/>
    <w:rsid w:val="006B6750"/>
    <w:rsid w:val="006B69E8"/>
    <w:rsid w:val="006B715D"/>
    <w:rsid w:val="006B7D86"/>
    <w:rsid w:val="006C062A"/>
    <w:rsid w:val="006C1F37"/>
    <w:rsid w:val="006C2010"/>
    <w:rsid w:val="006C2D01"/>
    <w:rsid w:val="006C39A1"/>
    <w:rsid w:val="006C444E"/>
    <w:rsid w:val="006C5084"/>
    <w:rsid w:val="006C7D82"/>
    <w:rsid w:val="006C7EC6"/>
    <w:rsid w:val="006D2F89"/>
    <w:rsid w:val="006D30FD"/>
    <w:rsid w:val="006D58B2"/>
    <w:rsid w:val="006D7BEF"/>
    <w:rsid w:val="006E2260"/>
    <w:rsid w:val="006E3360"/>
    <w:rsid w:val="006E39B6"/>
    <w:rsid w:val="006E5114"/>
    <w:rsid w:val="006E5FE9"/>
    <w:rsid w:val="006E60DE"/>
    <w:rsid w:val="006E7BBE"/>
    <w:rsid w:val="006F0124"/>
    <w:rsid w:val="006F07DA"/>
    <w:rsid w:val="006F1044"/>
    <w:rsid w:val="006F284F"/>
    <w:rsid w:val="006F2A54"/>
    <w:rsid w:val="006F3640"/>
    <w:rsid w:val="006F374E"/>
    <w:rsid w:val="006F3863"/>
    <w:rsid w:val="006F5A90"/>
    <w:rsid w:val="006F687E"/>
    <w:rsid w:val="006F7003"/>
    <w:rsid w:val="00702206"/>
    <w:rsid w:val="00703248"/>
    <w:rsid w:val="007035B0"/>
    <w:rsid w:val="00703DD5"/>
    <w:rsid w:val="007041EC"/>
    <w:rsid w:val="007050D3"/>
    <w:rsid w:val="0070722B"/>
    <w:rsid w:val="0070742A"/>
    <w:rsid w:val="0071198B"/>
    <w:rsid w:val="00713A5E"/>
    <w:rsid w:val="00713FA5"/>
    <w:rsid w:val="0071468E"/>
    <w:rsid w:val="007161A8"/>
    <w:rsid w:val="00716727"/>
    <w:rsid w:val="00717650"/>
    <w:rsid w:val="007201C5"/>
    <w:rsid w:val="0072198C"/>
    <w:rsid w:val="00722111"/>
    <w:rsid w:val="00723D9F"/>
    <w:rsid w:val="00723F94"/>
    <w:rsid w:val="00724720"/>
    <w:rsid w:val="00724859"/>
    <w:rsid w:val="007257A2"/>
    <w:rsid w:val="00726111"/>
    <w:rsid w:val="00726588"/>
    <w:rsid w:val="00727F5A"/>
    <w:rsid w:val="0073074D"/>
    <w:rsid w:val="00732242"/>
    <w:rsid w:val="007334D4"/>
    <w:rsid w:val="00734D7C"/>
    <w:rsid w:val="00734DDA"/>
    <w:rsid w:val="00735B4A"/>
    <w:rsid w:val="0073626E"/>
    <w:rsid w:val="00736C13"/>
    <w:rsid w:val="0073797C"/>
    <w:rsid w:val="00737EC5"/>
    <w:rsid w:val="00740BAB"/>
    <w:rsid w:val="007417F0"/>
    <w:rsid w:val="00741901"/>
    <w:rsid w:val="00743157"/>
    <w:rsid w:val="0074318B"/>
    <w:rsid w:val="007439E7"/>
    <w:rsid w:val="00746C19"/>
    <w:rsid w:val="00746D5A"/>
    <w:rsid w:val="007474CD"/>
    <w:rsid w:val="00751955"/>
    <w:rsid w:val="007520F2"/>
    <w:rsid w:val="007527A2"/>
    <w:rsid w:val="00753814"/>
    <w:rsid w:val="00753D19"/>
    <w:rsid w:val="0075569F"/>
    <w:rsid w:val="00755E39"/>
    <w:rsid w:val="0075636A"/>
    <w:rsid w:val="007565A7"/>
    <w:rsid w:val="0075770E"/>
    <w:rsid w:val="0076064B"/>
    <w:rsid w:val="00760730"/>
    <w:rsid w:val="00760988"/>
    <w:rsid w:val="00760BAA"/>
    <w:rsid w:val="00761432"/>
    <w:rsid w:val="007614EB"/>
    <w:rsid w:val="00762097"/>
    <w:rsid w:val="00766BA4"/>
    <w:rsid w:val="007678C0"/>
    <w:rsid w:val="00767B2D"/>
    <w:rsid w:val="0077035E"/>
    <w:rsid w:val="00770CC9"/>
    <w:rsid w:val="00771862"/>
    <w:rsid w:val="00771D46"/>
    <w:rsid w:val="00777000"/>
    <w:rsid w:val="007771D1"/>
    <w:rsid w:val="007777B2"/>
    <w:rsid w:val="00777A62"/>
    <w:rsid w:val="00777DA4"/>
    <w:rsid w:val="0078163D"/>
    <w:rsid w:val="00782147"/>
    <w:rsid w:val="007838D3"/>
    <w:rsid w:val="00783B06"/>
    <w:rsid w:val="0078446A"/>
    <w:rsid w:val="0078533C"/>
    <w:rsid w:val="007879EF"/>
    <w:rsid w:val="0079037D"/>
    <w:rsid w:val="0079098B"/>
    <w:rsid w:val="007922B7"/>
    <w:rsid w:val="00792883"/>
    <w:rsid w:val="00792AC7"/>
    <w:rsid w:val="00794F86"/>
    <w:rsid w:val="007956F5"/>
    <w:rsid w:val="007960B1"/>
    <w:rsid w:val="007961BB"/>
    <w:rsid w:val="00797481"/>
    <w:rsid w:val="007977E5"/>
    <w:rsid w:val="00797D60"/>
    <w:rsid w:val="00797D7A"/>
    <w:rsid w:val="007A011A"/>
    <w:rsid w:val="007A03BD"/>
    <w:rsid w:val="007A0FF5"/>
    <w:rsid w:val="007A1175"/>
    <w:rsid w:val="007A1F7F"/>
    <w:rsid w:val="007A2D12"/>
    <w:rsid w:val="007A4411"/>
    <w:rsid w:val="007A4472"/>
    <w:rsid w:val="007A4AC5"/>
    <w:rsid w:val="007A531C"/>
    <w:rsid w:val="007A63BD"/>
    <w:rsid w:val="007A6CD8"/>
    <w:rsid w:val="007A73AA"/>
    <w:rsid w:val="007A7729"/>
    <w:rsid w:val="007A795D"/>
    <w:rsid w:val="007B39DA"/>
    <w:rsid w:val="007B4470"/>
    <w:rsid w:val="007B509C"/>
    <w:rsid w:val="007B587F"/>
    <w:rsid w:val="007B6765"/>
    <w:rsid w:val="007B6AFE"/>
    <w:rsid w:val="007B7268"/>
    <w:rsid w:val="007C085A"/>
    <w:rsid w:val="007C0A74"/>
    <w:rsid w:val="007C285C"/>
    <w:rsid w:val="007C2A20"/>
    <w:rsid w:val="007C4586"/>
    <w:rsid w:val="007C4A08"/>
    <w:rsid w:val="007C550D"/>
    <w:rsid w:val="007C5ABF"/>
    <w:rsid w:val="007C5E69"/>
    <w:rsid w:val="007D05F7"/>
    <w:rsid w:val="007D0F41"/>
    <w:rsid w:val="007D11E6"/>
    <w:rsid w:val="007D23CB"/>
    <w:rsid w:val="007D33D5"/>
    <w:rsid w:val="007D3D4E"/>
    <w:rsid w:val="007D5179"/>
    <w:rsid w:val="007D57AE"/>
    <w:rsid w:val="007D63CF"/>
    <w:rsid w:val="007D6B77"/>
    <w:rsid w:val="007E0E76"/>
    <w:rsid w:val="007E182F"/>
    <w:rsid w:val="007E2AB3"/>
    <w:rsid w:val="007E4EAA"/>
    <w:rsid w:val="007E524A"/>
    <w:rsid w:val="007F0417"/>
    <w:rsid w:val="007F2170"/>
    <w:rsid w:val="007F2D82"/>
    <w:rsid w:val="007F325D"/>
    <w:rsid w:val="007F3438"/>
    <w:rsid w:val="007F4217"/>
    <w:rsid w:val="007F4B07"/>
    <w:rsid w:val="007F4D8C"/>
    <w:rsid w:val="007F547C"/>
    <w:rsid w:val="007F5FE3"/>
    <w:rsid w:val="007F6194"/>
    <w:rsid w:val="007F64A2"/>
    <w:rsid w:val="007F66DD"/>
    <w:rsid w:val="007F67DB"/>
    <w:rsid w:val="007F792D"/>
    <w:rsid w:val="008016C8"/>
    <w:rsid w:val="008040C6"/>
    <w:rsid w:val="008056B4"/>
    <w:rsid w:val="0080660B"/>
    <w:rsid w:val="008067A7"/>
    <w:rsid w:val="008117A2"/>
    <w:rsid w:val="0081406A"/>
    <w:rsid w:val="0081406B"/>
    <w:rsid w:val="008142D6"/>
    <w:rsid w:val="00814308"/>
    <w:rsid w:val="008147A1"/>
    <w:rsid w:val="00814E86"/>
    <w:rsid w:val="00817852"/>
    <w:rsid w:val="00817D1F"/>
    <w:rsid w:val="008211C5"/>
    <w:rsid w:val="008217C9"/>
    <w:rsid w:val="00821F5E"/>
    <w:rsid w:val="0082312C"/>
    <w:rsid w:val="0082356E"/>
    <w:rsid w:val="00823BCE"/>
    <w:rsid w:val="00825039"/>
    <w:rsid w:val="00825070"/>
    <w:rsid w:val="00825724"/>
    <w:rsid w:val="00827001"/>
    <w:rsid w:val="00827848"/>
    <w:rsid w:val="00830564"/>
    <w:rsid w:val="00830674"/>
    <w:rsid w:val="00830DDA"/>
    <w:rsid w:val="00831B21"/>
    <w:rsid w:val="0083256F"/>
    <w:rsid w:val="00833DDF"/>
    <w:rsid w:val="00834392"/>
    <w:rsid w:val="008366CC"/>
    <w:rsid w:val="00844370"/>
    <w:rsid w:val="00844E4D"/>
    <w:rsid w:val="008455E9"/>
    <w:rsid w:val="008509CF"/>
    <w:rsid w:val="008512D7"/>
    <w:rsid w:val="008536C8"/>
    <w:rsid w:val="00854AB3"/>
    <w:rsid w:val="008573AA"/>
    <w:rsid w:val="00860EDB"/>
    <w:rsid w:val="00861522"/>
    <w:rsid w:val="008616B2"/>
    <w:rsid w:val="0086208B"/>
    <w:rsid w:val="008629ED"/>
    <w:rsid w:val="00864E6E"/>
    <w:rsid w:val="00865943"/>
    <w:rsid w:val="00865DAD"/>
    <w:rsid w:val="008708B5"/>
    <w:rsid w:val="0087337C"/>
    <w:rsid w:val="00873465"/>
    <w:rsid w:val="00873E14"/>
    <w:rsid w:val="00874C4C"/>
    <w:rsid w:val="00874CFC"/>
    <w:rsid w:val="00874F33"/>
    <w:rsid w:val="008754AA"/>
    <w:rsid w:val="00875C37"/>
    <w:rsid w:val="00875D63"/>
    <w:rsid w:val="00875F31"/>
    <w:rsid w:val="008761A9"/>
    <w:rsid w:val="008769E5"/>
    <w:rsid w:val="00876D17"/>
    <w:rsid w:val="00877FCC"/>
    <w:rsid w:val="00881022"/>
    <w:rsid w:val="00882389"/>
    <w:rsid w:val="008825D0"/>
    <w:rsid w:val="00882B00"/>
    <w:rsid w:val="00882DB9"/>
    <w:rsid w:val="00882EF6"/>
    <w:rsid w:val="008832AF"/>
    <w:rsid w:val="00885C35"/>
    <w:rsid w:val="00886976"/>
    <w:rsid w:val="0088702E"/>
    <w:rsid w:val="008912E2"/>
    <w:rsid w:val="00891353"/>
    <w:rsid w:val="00892C00"/>
    <w:rsid w:val="00893697"/>
    <w:rsid w:val="00894067"/>
    <w:rsid w:val="00894579"/>
    <w:rsid w:val="008A1FB7"/>
    <w:rsid w:val="008A2027"/>
    <w:rsid w:val="008A2EBD"/>
    <w:rsid w:val="008A3068"/>
    <w:rsid w:val="008A5225"/>
    <w:rsid w:val="008A744A"/>
    <w:rsid w:val="008A7535"/>
    <w:rsid w:val="008A7A60"/>
    <w:rsid w:val="008B06D1"/>
    <w:rsid w:val="008B098B"/>
    <w:rsid w:val="008B0E98"/>
    <w:rsid w:val="008B180A"/>
    <w:rsid w:val="008B1C94"/>
    <w:rsid w:val="008B3A60"/>
    <w:rsid w:val="008B476B"/>
    <w:rsid w:val="008B4CE4"/>
    <w:rsid w:val="008B54F6"/>
    <w:rsid w:val="008B5BD1"/>
    <w:rsid w:val="008B6A72"/>
    <w:rsid w:val="008B7F75"/>
    <w:rsid w:val="008C08A4"/>
    <w:rsid w:val="008C1EF0"/>
    <w:rsid w:val="008C2F8E"/>
    <w:rsid w:val="008C4C65"/>
    <w:rsid w:val="008C51C4"/>
    <w:rsid w:val="008C56EC"/>
    <w:rsid w:val="008C7224"/>
    <w:rsid w:val="008C770D"/>
    <w:rsid w:val="008D11C8"/>
    <w:rsid w:val="008D255C"/>
    <w:rsid w:val="008D3329"/>
    <w:rsid w:val="008D356F"/>
    <w:rsid w:val="008D36FF"/>
    <w:rsid w:val="008D49CD"/>
    <w:rsid w:val="008E1DAB"/>
    <w:rsid w:val="008E3DAE"/>
    <w:rsid w:val="008E3FF4"/>
    <w:rsid w:val="008E454E"/>
    <w:rsid w:val="008E49B7"/>
    <w:rsid w:val="008E4AF9"/>
    <w:rsid w:val="008E4D9E"/>
    <w:rsid w:val="008E6887"/>
    <w:rsid w:val="008E7460"/>
    <w:rsid w:val="008F04C3"/>
    <w:rsid w:val="008F0C60"/>
    <w:rsid w:val="008F1209"/>
    <w:rsid w:val="008F1EBF"/>
    <w:rsid w:val="008F29D6"/>
    <w:rsid w:val="008F2C30"/>
    <w:rsid w:val="008F3060"/>
    <w:rsid w:val="008F31D5"/>
    <w:rsid w:val="008F33F7"/>
    <w:rsid w:val="008F47EA"/>
    <w:rsid w:val="008F5519"/>
    <w:rsid w:val="008F59F3"/>
    <w:rsid w:val="008F5D7B"/>
    <w:rsid w:val="008F6CDF"/>
    <w:rsid w:val="00900656"/>
    <w:rsid w:val="00900F1A"/>
    <w:rsid w:val="00901467"/>
    <w:rsid w:val="00901AC8"/>
    <w:rsid w:val="00901FCB"/>
    <w:rsid w:val="009024F0"/>
    <w:rsid w:val="00903078"/>
    <w:rsid w:val="00906AB3"/>
    <w:rsid w:val="009072A6"/>
    <w:rsid w:val="00907B8F"/>
    <w:rsid w:val="00907E6B"/>
    <w:rsid w:val="009105FA"/>
    <w:rsid w:val="009110CD"/>
    <w:rsid w:val="009112E0"/>
    <w:rsid w:val="009118B6"/>
    <w:rsid w:val="009129A3"/>
    <w:rsid w:val="0091402B"/>
    <w:rsid w:val="00914D57"/>
    <w:rsid w:val="0091609A"/>
    <w:rsid w:val="009167FE"/>
    <w:rsid w:val="00920258"/>
    <w:rsid w:val="009220D1"/>
    <w:rsid w:val="00922506"/>
    <w:rsid w:val="00922F66"/>
    <w:rsid w:val="0092315F"/>
    <w:rsid w:val="00924273"/>
    <w:rsid w:val="00926420"/>
    <w:rsid w:val="00927625"/>
    <w:rsid w:val="00927CC0"/>
    <w:rsid w:val="00927D2C"/>
    <w:rsid w:val="00930414"/>
    <w:rsid w:val="009305E2"/>
    <w:rsid w:val="00932E72"/>
    <w:rsid w:val="00934300"/>
    <w:rsid w:val="00937F53"/>
    <w:rsid w:val="009407CF"/>
    <w:rsid w:val="009409C6"/>
    <w:rsid w:val="00940D01"/>
    <w:rsid w:val="00941679"/>
    <w:rsid w:val="00942B34"/>
    <w:rsid w:val="009435AB"/>
    <w:rsid w:val="009440B0"/>
    <w:rsid w:val="00944624"/>
    <w:rsid w:val="00944BFD"/>
    <w:rsid w:val="00953FD5"/>
    <w:rsid w:val="00954051"/>
    <w:rsid w:val="009540E2"/>
    <w:rsid w:val="00954830"/>
    <w:rsid w:val="0095571D"/>
    <w:rsid w:val="00956123"/>
    <w:rsid w:val="00956D8C"/>
    <w:rsid w:val="00960465"/>
    <w:rsid w:val="0096214F"/>
    <w:rsid w:val="00963A39"/>
    <w:rsid w:val="00963D94"/>
    <w:rsid w:val="00963E0B"/>
    <w:rsid w:val="00965FCB"/>
    <w:rsid w:val="00966327"/>
    <w:rsid w:val="00966F14"/>
    <w:rsid w:val="00967C41"/>
    <w:rsid w:val="00971B29"/>
    <w:rsid w:val="009727B1"/>
    <w:rsid w:val="00972A3F"/>
    <w:rsid w:val="00973678"/>
    <w:rsid w:val="00973938"/>
    <w:rsid w:val="00973A39"/>
    <w:rsid w:val="00973EFE"/>
    <w:rsid w:val="00974D20"/>
    <w:rsid w:val="0097763B"/>
    <w:rsid w:val="00981C4D"/>
    <w:rsid w:val="00982061"/>
    <w:rsid w:val="00982337"/>
    <w:rsid w:val="00983442"/>
    <w:rsid w:val="009848DA"/>
    <w:rsid w:val="00985EB9"/>
    <w:rsid w:val="00986703"/>
    <w:rsid w:val="009868E8"/>
    <w:rsid w:val="009876C1"/>
    <w:rsid w:val="009876EF"/>
    <w:rsid w:val="00987C98"/>
    <w:rsid w:val="00987D50"/>
    <w:rsid w:val="00990BEF"/>
    <w:rsid w:val="0099146C"/>
    <w:rsid w:val="00991F58"/>
    <w:rsid w:val="00993636"/>
    <w:rsid w:val="0099445D"/>
    <w:rsid w:val="00994974"/>
    <w:rsid w:val="009962D3"/>
    <w:rsid w:val="009963B6"/>
    <w:rsid w:val="0099698F"/>
    <w:rsid w:val="00996FE7"/>
    <w:rsid w:val="0099700A"/>
    <w:rsid w:val="009A0259"/>
    <w:rsid w:val="009A0331"/>
    <w:rsid w:val="009A0819"/>
    <w:rsid w:val="009A3344"/>
    <w:rsid w:val="009A3359"/>
    <w:rsid w:val="009A3D68"/>
    <w:rsid w:val="009A5CE3"/>
    <w:rsid w:val="009A642D"/>
    <w:rsid w:val="009A6776"/>
    <w:rsid w:val="009A6F9A"/>
    <w:rsid w:val="009A7548"/>
    <w:rsid w:val="009A79BA"/>
    <w:rsid w:val="009A7D8C"/>
    <w:rsid w:val="009A7ED5"/>
    <w:rsid w:val="009B160C"/>
    <w:rsid w:val="009B1950"/>
    <w:rsid w:val="009B3E75"/>
    <w:rsid w:val="009B3F98"/>
    <w:rsid w:val="009B50F0"/>
    <w:rsid w:val="009B5CC1"/>
    <w:rsid w:val="009B63F7"/>
    <w:rsid w:val="009B747C"/>
    <w:rsid w:val="009C0FC7"/>
    <w:rsid w:val="009C6E79"/>
    <w:rsid w:val="009D0799"/>
    <w:rsid w:val="009D0982"/>
    <w:rsid w:val="009D0FD7"/>
    <w:rsid w:val="009D14A5"/>
    <w:rsid w:val="009D1800"/>
    <w:rsid w:val="009D1B0B"/>
    <w:rsid w:val="009D24B4"/>
    <w:rsid w:val="009D2D85"/>
    <w:rsid w:val="009D3652"/>
    <w:rsid w:val="009D3DFC"/>
    <w:rsid w:val="009D3FF2"/>
    <w:rsid w:val="009D4A7E"/>
    <w:rsid w:val="009D5322"/>
    <w:rsid w:val="009D658A"/>
    <w:rsid w:val="009D6FA0"/>
    <w:rsid w:val="009D7758"/>
    <w:rsid w:val="009E090A"/>
    <w:rsid w:val="009E2FCC"/>
    <w:rsid w:val="009E3086"/>
    <w:rsid w:val="009E355D"/>
    <w:rsid w:val="009E54EF"/>
    <w:rsid w:val="009E5647"/>
    <w:rsid w:val="009E7CE7"/>
    <w:rsid w:val="009F07E1"/>
    <w:rsid w:val="009F0B7D"/>
    <w:rsid w:val="009F2F6C"/>
    <w:rsid w:val="009F3425"/>
    <w:rsid w:val="009F43F7"/>
    <w:rsid w:val="009F5915"/>
    <w:rsid w:val="009F5F02"/>
    <w:rsid w:val="009F678B"/>
    <w:rsid w:val="009F6BC3"/>
    <w:rsid w:val="009F70A1"/>
    <w:rsid w:val="00A0030C"/>
    <w:rsid w:val="00A011BF"/>
    <w:rsid w:val="00A047D3"/>
    <w:rsid w:val="00A05CAF"/>
    <w:rsid w:val="00A05CE4"/>
    <w:rsid w:val="00A065DD"/>
    <w:rsid w:val="00A06D68"/>
    <w:rsid w:val="00A06F1B"/>
    <w:rsid w:val="00A07391"/>
    <w:rsid w:val="00A10204"/>
    <w:rsid w:val="00A143BE"/>
    <w:rsid w:val="00A174EE"/>
    <w:rsid w:val="00A23993"/>
    <w:rsid w:val="00A259AB"/>
    <w:rsid w:val="00A27677"/>
    <w:rsid w:val="00A30092"/>
    <w:rsid w:val="00A30E35"/>
    <w:rsid w:val="00A325A9"/>
    <w:rsid w:val="00A32A89"/>
    <w:rsid w:val="00A35327"/>
    <w:rsid w:val="00A35852"/>
    <w:rsid w:val="00A362CD"/>
    <w:rsid w:val="00A3649F"/>
    <w:rsid w:val="00A3775D"/>
    <w:rsid w:val="00A37AB0"/>
    <w:rsid w:val="00A40080"/>
    <w:rsid w:val="00A404A1"/>
    <w:rsid w:val="00A44695"/>
    <w:rsid w:val="00A458D2"/>
    <w:rsid w:val="00A47A1C"/>
    <w:rsid w:val="00A5204C"/>
    <w:rsid w:val="00A53832"/>
    <w:rsid w:val="00A557D5"/>
    <w:rsid w:val="00A5739D"/>
    <w:rsid w:val="00A6036D"/>
    <w:rsid w:val="00A60E88"/>
    <w:rsid w:val="00A617C4"/>
    <w:rsid w:val="00A62F04"/>
    <w:rsid w:val="00A635B2"/>
    <w:rsid w:val="00A63760"/>
    <w:rsid w:val="00A647B6"/>
    <w:rsid w:val="00A64B5A"/>
    <w:rsid w:val="00A64BC1"/>
    <w:rsid w:val="00A653B7"/>
    <w:rsid w:val="00A65DD2"/>
    <w:rsid w:val="00A7143E"/>
    <w:rsid w:val="00A71F58"/>
    <w:rsid w:val="00A737F8"/>
    <w:rsid w:val="00A73AE4"/>
    <w:rsid w:val="00A74386"/>
    <w:rsid w:val="00A76347"/>
    <w:rsid w:val="00A769F0"/>
    <w:rsid w:val="00A77F89"/>
    <w:rsid w:val="00A8041C"/>
    <w:rsid w:val="00A81965"/>
    <w:rsid w:val="00A81AEE"/>
    <w:rsid w:val="00A81F0E"/>
    <w:rsid w:val="00A8334F"/>
    <w:rsid w:val="00A862FE"/>
    <w:rsid w:val="00A86DD7"/>
    <w:rsid w:val="00A86E6E"/>
    <w:rsid w:val="00A87F24"/>
    <w:rsid w:val="00A90786"/>
    <w:rsid w:val="00A91F20"/>
    <w:rsid w:val="00A92604"/>
    <w:rsid w:val="00A93F84"/>
    <w:rsid w:val="00A94A67"/>
    <w:rsid w:val="00A9642F"/>
    <w:rsid w:val="00A97151"/>
    <w:rsid w:val="00AA0A8A"/>
    <w:rsid w:val="00AA0B23"/>
    <w:rsid w:val="00AA1775"/>
    <w:rsid w:val="00AA2313"/>
    <w:rsid w:val="00AA2A9F"/>
    <w:rsid w:val="00AA3EBD"/>
    <w:rsid w:val="00AA58DB"/>
    <w:rsid w:val="00AA5EAC"/>
    <w:rsid w:val="00AA7CF8"/>
    <w:rsid w:val="00AB02BE"/>
    <w:rsid w:val="00AB0863"/>
    <w:rsid w:val="00AB2DA6"/>
    <w:rsid w:val="00AB3DD9"/>
    <w:rsid w:val="00AC0357"/>
    <w:rsid w:val="00AC106F"/>
    <w:rsid w:val="00AC2397"/>
    <w:rsid w:val="00AC2F63"/>
    <w:rsid w:val="00AC3569"/>
    <w:rsid w:val="00AC4BAE"/>
    <w:rsid w:val="00AC4C54"/>
    <w:rsid w:val="00AC6683"/>
    <w:rsid w:val="00AC6858"/>
    <w:rsid w:val="00AC73E3"/>
    <w:rsid w:val="00AC78C9"/>
    <w:rsid w:val="00AD3942"/>
    <w:rsid w:val="00AD3CB0"/>
    <w:rsid w:val="00AD4308"/>
    <w:rsid w:val="00AD5A33"/>
    <w:rsid w:val="00AD5D31"/>
    <w:rsid w:val="00AD6711"/>
    <w:rsid w:val="00AD6A7C"/>
    <w:rsid w:val="00AE0793"/>
    <w:rsid w:val="00AE18EF"/>
    <w:rsid w:val="00AE27F9"/>
    <w:rsid w:val="00AE2FEF"/>
    <w:rsid w:val="00AE389E"/>
    <w:rsid w:val="00AE4A40"/>
    <w:rsid w:val="00AE5263"/>
    <w:rsid w:val="00AE6BC1"/>
    <w:rsid w:val="00AE6BEF"/>
    <w:rsid w:val="00AE75CE"/>
    <w:rsid w:val="00AF08E4"/>
    <w:rsid w:val="00AF1526"/>
    <w:rsid w:val="00AF2FB3"/>
    <w:rsid w:val="00AF364E"/>
    <w:rsid w:val="00AF3775"/>
    <w:rsid w:val="00AF5300"/>
    <w:rsid w:val="00AF7B6E"/>
    <w:rsid w:val="00AF7B9B"/>
    <w:rsid w:val="00AF7CE8"/>
    <w:rsid w:val="00B0127D"/>
    <w:rsid w:val="00B01E4F"/>
    <w:rsid w:val="00B01E60"/>
    <w:rsid w:val="00B0206C"/>
    <w:rsid w:val="00B04F98"/>
    <w:rsid w:val="00B06B50"/>
    <w:rsid w:val="00B07F86"/>
    <w:rsid w:val="00B07F8D"/>
    <w:rsid w:val="00B1040B"/>
    <w:rsid w:val="00B1165B"/>
    <w:rsid w:val="00B11FDF"/>
    <w:rsid w:val="00B13BEA"/>
    <w:rsid w:val="00B14428"/>
    <w:rsid w:val="00B1477E"/>
    <w:rsid w:val="00B148C4"/>
    <w:rsid w:val="00B151BE"/>
    <w:rsid w:val="00B15DAA"/>
    <w:rsid w:val="00B15DFD"/>
    <w:rsid w:val="00B1620E"/>
    <w:rsid w:val="00B1677C"/>
    <w:rsid w:val="00B16AF8"/>
    <w:rsid w:val="00B16EAF"/>
    <w:rsid w:val="00B174F5"/>
    <w:rsid w:val="00B206C9"/>
    <w:rsid w:val="00B218FF"/>
    <w:rsid w:val="00B21CA3"/>
    <w:rsid w:val="00B22F0B"/>
    <w:rsid w:val="00B23725"/>
    <w:rsid w:val="00B2500E"/>
    <w:rsid w:val="00B25031"/>
    <w:rsid w:val="00B25C0C"/>
    <w:rsid w:val="00B27682"/>
    <w:rsid w:val="00B279CF"/>
    <w:rsid w:val="00B27A87"/>
    <w:rsid w:val="00B306D9"/>
    <w:rsid w:val="00B32B03"/>
    <w:rsid w:val="00B40D68"/>
    <w:rsid w:val="00B42FB4"/>
    <w:rsid w:val="00B447D3"/>
    <w:rsid w:val="00B45335"/>
    <w:rsid w:val="00B45620"/>
    <w:rsid w:val="00B4569C"/>
    <w:rsid w:val="00B4628C"/>
    <w:rsid w:val="00B4636F"/>
    <w:rsid w:val="00B463FE"/>
    <w:rsid w:val="00B46F7B"/>
    <w:rsid w:val="00B476A3"/>
    <w:rsid w:val="00B50420"/>
    <w:rsid w:val="00B5066E"/>
    <w:rsid w:val="00B52AB5"/>
    <w:rsid w:val="00B52C38"/>
    <w:rsid w:val="00B53DC3"/>
    <w:rsid w:val="00B53E13"/>
    <w:rsid w:val="00B54F6D"/>
    <w:rsid w:val="00B55230"/>
    <w:rsid w:val="00B55F93"/>
    <w:rsid w:val="00B60734"/>
    <w:rsid w:val="00B62C64"/>
    <w:rsid w:val="00B62D3A"/>
    <w:rsid w:val="00B63700"/>
    <w:rsid w:val="00B637B3"/>
    <w:rsid w:val="00B638E2"/>
    <w:rsid w:val="00B64126"/>
    <w:rsid w:val="00B66A50"/>
    <w:rsid w:val="00B66A73"/>
    <w:rsid w:val="00B702BE"/>
    <w:rsid w:val="00B718EB"/>
    <w:rsid w:val="00B736C3"/>
    <w:rsid w:val="00B76770"/>
    <w:rsid w:val="00B7749B"/>
    <w:rsid w:val="00B7769F"/>
    <w:rsid w:val="00B8280E"/>
    <w:rsid w:val="00B82BAF"/>
    <w:rsid w:val="00B847BA"/>
    <w:rsid w:val="00B84D25"/>
    <w:rsid w:val="00B84F93"/>
    <w:rsid w:val="00B8585C"/>
    <w:rsid w:val="00B85A0F"/>
    <w:rsid w:val="00B873EC"/>
    <w:rsid w:val="00B87606"/>
    <w:rsid w:val="00B87EA3"/>
    <w:rsid w:val="00B904DA"/>
    <w:rsid w:val="00B9347F"/>
    <w:rsid w:val="00B949C5"/>
    <w:rsid w:val="00B951F9"/>
    <w:rsid w:val="00B958A7"/>
    <w:rsid w:val="00B9625F"/>
    <w:rsid w:val="00B963A0"/>
    <w:rsid w:val="00B96FB3"/>
    <w:rsid w:val="00B97377"/>
    <w:rsid w:val="00B973BA"/>
    <w:rsid w:val="00B974A2"/>
    <w:rsid w:val="00BA0077"/>
    <w:rsid w:val="00BA139C"/>
    <w:rsid w:val="00BA1C32"/>
    <w:rsid w:val="00BA24FA"/>
    <w:rsid w:val="00BA350A"/>
    <w:rsid w:val="00BA38AD"/>
    <w:rsid w:val="00BA726E"/>
    <w:rsid w:val="00BA751E"/>
    <w:rsid w:val="00BB031A"/>
    <w:rsid w:val="00BB06AD"/>
    <w:rsid w:val="00BB203A"/>
    <w:rsid w:val="00BB225B"/>
    <w:rsid w:val="00BB229F"/>
    <w:rsid w:val="00BB2CE2"/>
    <w:rsid w:val="00BB66D9"/>
    <w:rsid w:val="00BB6B0E"/>
    <w:rsid w:val="00BB6BF1"/>
    <w:rsid w:val="00BC0168"/>
    <w:rsid w:val="00BC563F"/>
    <w:rsid w:val="00BC6674"/>
    <w:rsid w:val="00BC6C2C"/>
    <w:rsid w:val="00BC7690"/>
    <w:rsid w:val="00BD04A4"/>
    <w:rsid w:val="00BD263E"/>
    <w:rsid w:val="00BD32EA"/>
    <w:rsid w:val="00BD3708"/>
    <w:rsid w:val="00BD4225"/>
    <w:rsid w:val="00BD4A4F"/>
    <w:rsid w:val="00BD5159"/>
    <w:rsid w:val="00BD5808"/>
    <w:rsid w:val="00BD6253"/>
    <w:rsid w:val="00BD63D6"/>
    <w:rsid w:val="00BD6AFA"/>
    <w:rsid w:val="00BD74C7"/>
    <w:rsid w:val="00BE00B7"/>
    <w:rsid w:val="00BE015A"/>
    <w:rsid w:val="00BE04CC"/>
    <w:rsid w:val="00BE07AC"/>
    <w:rsid w:val="00BE25E7"/>
    <w:rsid w:val="00BE30F3"/>
    <w:rsid w:val="00BE332B"/>
    <w:rsid w:val="00BE52CF"/>
    <w:rsid w:val="00BE621C"/>
    <w:rsid w:val="00BE6977"/>
    <w:rsid w:val="00BE6A8B"/>
    <w:rsid w:val="00BE6F5B"/>
    <w:rsid w:val="00BF0FBD"/>
    <w:rsid w:val="00BF46BF"/>
    <w:rsid w:val="00BF557C"/>
    <w:rsid w:val="00BF5B46"/>
    <w:rsid w:val="00BF6061"/>
    <w:rsid w:val="00BF6216"/>
    <w:rsid w:val="00BF65AA"/>
    <w:rsid w:val="00BF6B2B"/>
    <w:rsid w:val="00BF73D1"/>
    <w:rsid w:val="00BF7FFA"/>
    <w:rsid w:val="00C00930"/>
    <w:rsid w:val="00C01128"/>
    <w:rsid w:val="00C019EA"/>
    <w:rsid w:val="00C01C9F"/>
    <w:rsid w:val="00C033EA"/>
    <w:rsid w:val="00C034B7"/>
    <w:rsid w:val="00C03D35"/>
    <w:rsid w:val="00C03FAF"/>
    <w:rsid w:val="00C05131"/>
    <w:rsid w:val="00C05D02"/>
    <w:rsid w:val="00C06068"/>
    <w:rsid w:val="00C07439"/>
    <w:rsid w:val="00C07AD5"/>
    <w:rsid w:val="00C107FE"/>
    <w:rsid w:val="00C1143A"/>
    <w:rsid w:val="00C11811"/>
    <w:rsid w:val="00C1428B"/>
    <w:rsid w:val="00C15B3D"/>
    <w:rsid w:val="00C178F9"/>
    <w:rsid w:val="00C17926"/>
    <w:rsid w:val="00C206EF"/>
    <w:rsid w:val="00C21540"/>
    <w:rsid w:val="00C21F80"/>
    <w:rsid w:val="00C232FF"/>
    <w:rsid w:val="00C2397F"/>
    <w:rsid w:val="00C267B7"/>
    <w:rsid w:val="00C26BB4"/>
    <w:rsid w:val="00C2755B"/>
    <w:rsid w:val="00C318A7"/>
    <w:rsid w:val="00C32A2B"/>
    <w:rsid w:val="00C3363D"/>
    <w:rsid w:val="00C33B4C"/>
    <w:rsid w:val="00C33F4E"/>
    <w:rsid w:val="00C342E2"/>
    <w:rsid w:val="00C36CD1"/>
    <w:rsid w:val="00C36CFF"/>
    <w:rsid w:val="00C411D6"/>
    <w:rsid w:val="00C41D4A"/>
    <w:rsid w:val="00C42518"/>
    <w:rsid w:val="00C432E1"/>
    <w:rsid w:val="00C447F0"/>
    <w:rsid w:val="00C4563C"/>
    <w:rsid w:val="00C45BEC"/>
    <w:rsid w:val="00C4747F"/>
    <w:rsid w:val="00C521EC"/>
    <w:rsid w:val="00C53141"/>
    <w:rsid w:val="00C534B4"/>
    <w:rsid w:val="00C57081"/>
    <w:rsid w:val="00C57DAD"/>
    <w:rsid w:val="00C60D40"/>
    <w:rsid w:val="00C61AEC"/>
    <w:rsid w:val="00C63831"/>
    <w:rsid w:val="00C63BE6"/>
    <w:rsid w:val="00C64179"/>
    <w:rsid w:val="00C6470B"/>
    <w:rsid w:val="00C658C2"/>
    <w:rsid w:val="00C65CF7"/>
    <w:rsid w:val="00C6683C"/>
    <w:rsid w:val="00C66E01"/>
    <w:rsid w:val="00C72918"/>
    <w:rsid w:val="00C72CC6"/>
    <w:rsid w:val="00C72D65"/>
    <w:rsid w:val="00C73DDC"/>
    <w:rsid w:val="00C747DE"/>
    <w:rsid w:val="00C75A48"/>
    <w:rsid w:val="00C76138"/>
    <w:rsid w:val="00C76287"/>
    <w:rsid w:val="00C763A8"/>
    <w:rsid w:val="00C76495"/>
    <w:rsid w:val="00C7696C"/>
    <w:rsid w:val="00C77158"/>
    <w:rsid w:val="00C77519"/>
    <w:rsid w:val="00C8011A"/>
    <w:rsid w:val="00C80566"/>
    <w:rsid w:val="00C80CC5"/>
    <w:rsid w:val="00C80CE0"/>
    <w:rsid w:val="00C815C1"/>
    <w:rsid w:val="00C82B25"/>
    <w:rsid w:val="00C83972"/>
    <w:rsid w:val="00C84650"/>
    <w:rsid w:val="00C85F0E"/>
    <w:rsid w:val="00C85F9E"/>
    <w:rsid w:val="00C87E90"/>
    <w:rsid w:val="00C90694"/>
    <w:rsid w:val="00C9470B"/>
    <w:rsid w:val="00C95546"/>
    <w:rsid w:val="00C955FF"/>
    <w:rsid w:val="00C95BFA"/>
    <w:rsid w:val="00C96019"/>
    <w:rsid w:val="00C965E2"/>
    <w:rsid w:val="00C966A4"/>
    <w:rsid w:val="00C97255"/>
    <w:rsid w:val="00C9739F"/>
    <w:rsid w:val="00C97DE1"/>
    <w:rsid w:val="00CA1075"/>
    <w:rsid w:val="00CA1EEC"/>
    <w:rsid w:val="00CA1FFC"/>
    <w:rsid w:val="00CA297F"/>
    <w:rsid w:val="00CA33B0"/>
    <w:rsid w:val="00CA49C3"/>
    <w:rsid w:val="00CA4BFB"/>
    <w:rsid w:val="00CA4C51"/>
    <w:rsid w:val="00CA550D"/>
    <w:rsid w:val="00CA5BAC"/>
    <w:rsid w:val="00CA5C64"/>
    <w:rsid w:val="00CA605D"/>
    <w:rsid w:val="00CA657A"/>
    <w:rsid w:val="00CA7051"/>
    <w:rsid w:val="00CA70BE"/>
    <w:rsid w:val="00CA7FD5"/>
    <w:rsid w:val="00CB0392"/>
    <w:rsid w:val="00CB03BA"/>
    <w:rsid w:val="00CB0900"/>
    <w:rsid w:val="00CB0D57"/>
    <w:rsid w:val="00CB15BF"/>
    <w:rsid w:val="00CB2DB8"/>
    <w:rsid w:val="00CB347A"/>
    <w:rsid w:val="00CB3825"/>
    <w:rsid w:val="00CB5450"/>
    <w:rsid w:val="00CB5DBC"/>
    <w:rsid w:val="00CB5F68"/>
    <w:rsid w:val="00CB685E"/>
    <w:rsid w:val="00CC10D9"/>
    <w:rsid w:val="00CC265B"/>
    <w:rsid w:val="00CC2CBD"/>
    <w:rsid w:val="00CC35DB"/>
    <w:rsid w:val="00CC49E6"/>
    <w:rsid w:val="00CC6BBD"/>
    <w:rsid w:val="00CC7299"/>
    <w:rsid w:val="00CC7467"/>
    <w:rsid w:val="00CC7791"/>
    <w:rsid w:val="00CC7C5E"/>
    <w:rsid w:val="00CD00AA"/>
    <w:rsid w:val="00CD030F"/>
    <w:rsid w:val="00CD34CC"/>
    <w:rsid w:val="00CD4E90"/>
    <w:rsid w:val="00CD4FB9"/>
    <w:rsid w:val="00CD5FC6"/>
    <w:rsid w:val="00CD6394"/>
    <w:rsid w:val="00CD6CD3"/>
    <w:rsid w:val="00CD744F"/>
    <w:rsid w:val="00CE1394"/>
    <w:rsid w:val="00CE150F"/>
    <w:rsid w:val="00CE1BCC"/>
    <w:rsid w:val="00CE22E0"/>
    <w:rsid w:val="00CE23CA"/>
    <w:rsid w:val="00CE2D25"/>
    <w:rsid w:val="00CE4D5C"/>
    <w:rsid w:val="00CE58EE"/>
    <w:rsid w:val="00CE5E06"/>
    <w:rsid w:val="00CE61B8"/>
    <w:rsid w:val="00CE7790"/>
    <w:rsid w:val="00CE7B88"/>
    <w:rsid w:val="00CF02C6"/>
    <w:rsid w:val="00CF0959"/>
    <w:rsid w:val="00CF0D18"/>
    <w:rsid w:val="00CF0DA0"/>
    <w:rsid w:val="00CF0EAC"/>
    <w:rsid w:val="00CF3568"/>
    <w:rsid w:val="00CF374D"/>
    <w:rsid w:val="00CF6820"/>
    <w:rsid w:val="00CF755D"/>
    <w:rsid w:val="00CF78D5"/>
    <w:rsid w:val="00D00836"/>
    <w:rsid w:val="00D0223B"/>
    <w:rsid w:val="00D0258F"/>
    <w:rsid w:val="00D02787"/>
    <w:rsid w:val="00D02D9B"/>
    <w:rsid w:val="00D02EAF"/>
    <w:rsid w:val="00D03505"/>
    <w:rsid w:val="00D03509"/>
    <w:rsid w:val="00D05197"/>
    <w:rsid w:val="00D10C70"/>
    <w:rsid w:val="00D1112D"/>
    <w:rsid w:val="00D11337"/>
    <w:rsid w:val="00D11DB2"/>
    <w:rsid w:val="00D121DE"/>
    <w:rsid w:val="00D12553"/>
    <w:rsid w:val="00D14FF4"/>
    <w:rsid w:val="00D150E2"/>
    <w:rsid w:val="00D15348"/>
    <w:rsid w:val="00D15E2E"/>
    <w:rsid w:val="00D17B74"/>
    <w:rsid w:val="00D200C6"/>
    <w:rsid w:val="00D20E9A"/>
    <w:rsid w:val="00D210D7"/>
    <w:rsid w:val="00D21D5A"/>
    <w:rsid w:val="00D2328E"/>
    <w:rsid w:val="00D23547"/>
    <w:rsid w:val="00D23D9D"/>
    <w:rsid w:val="00D24AD1"/>
    <w:rsid w:val="00D2556E"/>
    <w:rsid w:val="00D25666"/>
    <w:rsid w:val="00D25949"/>
    <w:rsid w:val="00D25DC9"/>
    <w:rsid w:val="00D2627C"/>
    <w:rsid w:val="00D26EA3"/>
    <w:rsid w:val="00D27F55"/>
    <w:rsid w:val="00D32287"/>
    <w:rsid w:val="00D33416"/>
    <w:rsid w:val="00D3344A"/>
    <w:rsid w:val="00D33D85"/>
    <w:rsid w:val="00D35285"/>
    <w:rsid w:val="00D37528"/>
    <w:rsid w:val="00D3760F"/>
    <w:rsid w:val="00D378B3"/>
    <w:rsid w:val="00D42C38"/>
    <w:rsid w:val="00D4377B"/>
    <w:rsid w:val="00D445A8"/>
    <w:rsid w:val="00D46233"/>
    <w:rsid w:val="00D53F7B"/>
    <w:rsid w:val="00D54474"/>
    <w:rsid w:val="00D5687D"/>
    <w:rsid w:val="00D578E7"/>
    <w:rsid w:val="00D606F2"/>
    <w:rsid w:val="00D61E11"/>
    <w:rsid w:val="00D61F95"/>
    <w:rsid w:val="00D63F52"/>
    <w:rsid w:val="00D651C4"/>
    <w:rsid w:val="00D65E63"/>
    <w:rsid w:val="00D67A95"/>
    <w:rsid w:val="00D705D8"/>
    <w:rsid w:val="00D716E6"/>
    <w:rsid w:val="00D72FE3"/>
    <w:rsid w:val="00D739AD"/>
    <w:rsid w:val="00D73E66"/>
    <w:rsid w:val="00D75365"/>
    <w:rsid w:val="00D764A7"/>
    <w:rsid w:val="00D76886"/>
    <w:rsid w:val="00D7776D"/>
    <w:rsid w:val="00D80970"/>
    <w:rsid w:val="00D811B5"/>
    <w:rsid w:val="00D81407"/>
    <w:rsid w:val="00D816DF"/>
    <w:rsid w:val="00D81B68"/>
    <w:rsid w:val="00D8267C"/>
    <w:rsid w:val="00D82F13"/>
    <w:rsid w:val="00D8359F"/>
    <w:rsid w:val="00D83CA6"/>
    <w:rsid w:val="00D844F5"/>
    <w:rsid w:val="00D8585F"/>
    <w:rsid w:val="00D86C56"/>
    <w:rsid w:val="00D870C8"/>
    <w:rsid w:val="00D87B3F"/>
    <w:rsid w:val="00D90536"/>
    <w:rsid w:val="00D926DB"/>
    <w:rsid w:val="00D949C3"/>
    <w:rsid w:val="00D962F9"/>
    <w:rsid w:val="00D9647E"/>
    <w:rsid w:val="00D974E8"/>
    <w:rsid w:val="00DA047D"/>
    <w:rsid w:val="00DA0CCD"/>
    <w:rsid w:val="00DA1AD2"/>
    <w:rsid w:val="00DA1C85"/>
    <w:rsid w:val="00DA259D"/>
    <w:rsid w:val="00DA3383"/>
    <w:rsid w:val="00DA3A12"/>
    <w:rsid w:val="00DA403E"/>
    <w:rsid w:val="00DA4FDD"/>
    <w:rsid w:val="00DA5B81"/>
    <w:rsid w:val="00DA629B"/>
    <w:rsid w:val="00DA681A"/>
    <w:rsid w:val="00DB0853"/>
    <w:rsid w:val="00DB1F6D"/>
    <w:rsid w:val="00DB266C"/>
    <w:rsid w:val="00DB3722"/>
    <w:rsid w:val="00DB3DCB"/>
    <w:rsid w:val="00DB3EB0"/>
    <w:rsid w:val="00DB447A"/>
    <w:rsid w:val="00DB47C8"/>
    <w:rsid w:val="00DB6195"/>
    <w:rsid w:val="00DC0A25"/>
    <w:rsid w:val="00DC1218"/>
    <w:rsid w:val="00DC1A71"/>
    <w:rsid w:val="00DC26B7"/>
    <w:rsid w:val="00DC39B8"/>
    <w:rsid w:val="00DC3E16"/>
    <w:rsid w:val="00DC497C"/>
    <w:rsid w:val="00DC56AC"/>
    <w:rsid w:val="00DC5F57"/>
    <w:rsid w:val="00DC5F75"/>
    <w:rsid w:val="00DC72BB"/>
    <w:rsid w:val="00DC7382"/>
    <w:rsid w:val="00DC7A03"/>
    <w:rsid w:val="00DD37DF"/>
    <w:rsid w:val="00DD37E8"/>
    <w:rsid w:val="00DD3A4C"/>
    <w:rsid w:val="00DD410B"/>
    <w:rsid w:val="00DD52FA"/>
    <w:rsid w:val="00DD72D1"/>
    <w:rsid w:val="00DE00A2"/>
    <w:rsid w:val="00DE026D"/>
    <w:rsid w:val="00DE0331"/>
    <w:rsid w:val="00DE0704"/>
    <w:rsid w:val="00DE28FA"/>
    <w:rsid w:val="00DE4521"/>
    <w:rsid w:val="00DE49CB"/>
    <w:rsid w:val="00DE4AD2"/>
    <w:rsid w:val="00DE69EC"/>
    <w:rsid w:val="00DE7B0F"/>
    <w:rsid w:val="00DF089C"/>
    <w:rsid w:val="00DF09ED"/>
    <w:rsid w:val="00DF26A7"/>
    <w:rsid w:val="00DF308D"/>
    <w:rsid w:val="00DF3B98"/>
    <w:rsid w:val="00DF4B06"/>
    <w:rsid w:val="00DF6932"/>
    <w:rsid w:val="00DF75B8"/>
    <w:rsid w:val="00E01CA9"/>
    <w:rsid w:val="00E050EA"/>
    <w:rsid w:val="00E054C3"/>
    <w:rsid w:val="00E07AF5"/>
    <w:rsid w:val="00E1009D"/>
    <w:rsid w:val="00E11485"/>
    <w:rsid w:val="00E125F3"/>
    <w:rsid w:val="00E1265A"/>
    <w:rsid w:val="00E12B47"/>
    <w:rsid w:val="00E13A71"/>
    <w:rsid w:val="00E13AF8"/>
    <w:rsid w:val="00E15E03"/>
    <w:rsid w:val="00E1604A"/>
    <w:rsid w:val="00E17C8E"/>
    <w:rsid w:val="00E20210"/>
    <w:rsid w:val="00E20AC2"/>
    <w:rsid w:val="00E212B8"/>
    <w:rsid w:val="00E246E7"/>
    <w:rsid w:val="00E2539D"/>
    <w:rsid w:val="00E25E06"/>
    <w:rsid w:val="00E26528"/>
    <w:rsid w:val="00E27775"/>
    <w:rsid w:val="00E27F9E"/>
    <w:rsid w:val="00E32857"/>
    <w:rsid w:val="00E3351E"/>
    <w:rsid w:val="00E33928"/>
    <w:rsid w:val="00E35FDA"/>
    <w:rsid w:val="00E36435"/>
    <w:rsid w:val="00E374F7"/>
    <w:rsid w:val="00E41741"/>
    <w:rsid w:val="00E41973"/>
    <w:rsid w:val="00E4217E"/>
    <w:rsid w:val="00E4524B"/>
    <w:rsid w:val="00E454CC"/>
    <w:rsid w:val="00E46BED"/>
    <w:rsid w:val="00E46F23"/>
    <w:rsid w:val="00E47334"/>
    <w:rsid w:val="00E47A83"/>
    <w:rsid w:val="00E519A3"/>
    <w:rsid w:val="00E52568"/>
    <w:rsid w:val="00E54F02"/>
    <w:rsid w:val="00E55672"/>
    <w:rsid w:val="00E55901"/>
    <w:rsid w:val="00E57919"/>
    <w:rsid w:val="00E57A5F"/>
    <w:rsid w:val="00E57C44"/>
    <w:rsid w:val="00E612F9"/>
    <w:rsid w:val="00E63848"/>
    <w:rsid w:val="00E6480E"/>
    <w:rsid w:val="00E64BE8"/>
    <w:rsid w:val="00E6581D"/>
    <w:rsid w:val="00E66E86"/>
    <w:rsid w:val="00E67431"/>
    <w:rsid w:val="00E71F10"/>
    <w:rsid w:val="00E7302A"/>
    <w:rsid w:val="00E73E57"/>
    <w:rsid w:val="00E74B61"/>
    <w:rsid w:val="00E74DA1"/>
    <w:rsid w:val="00E756B0"/>
    <w:rsid w:val="00E75837"/>
    <w:rsid w:val="00E80692"/>
    <w:rsid w:val="00E819E2"/>
    <w:rsid w:val="00E81A92"/>
    <w:rsid w:val="00E81AC8"/>
    <w:rsid w:val="00E81FF2"/>
    <w:rsid w:val="00E8324B"/>
    <w:rsid w:val="00E84A2B"/>
    <w:rsid w:val="00E86360"/>
    <w:rsid w:val="00E8636F"/>
    <w:rsid w:val="00E91214"/>
    <w:rsid w:val="00E91A1F"/>
    <w:rsid w:val="00E92C42"/>
    <w:rsid w:val="00E9356A"/>
    <w:rsid w:val="00E94BB4"/>
    <w:rsid w:val="00E97183"/>
    <w:rsid w:val="00EA471F"/>
    <w:rsid w:val="00EA483E"/>
    <w:rsid w:val="00EA49AE"/>
    <w:rsid w:val="00EA50F7"/>
    <w:rsid w:val="00EA6F7B"/>
    <w:rsid w:val="00EA7336"/>
    <w:rsid w:val="00EB2C30"/>
    <w:rsid w:val="00EB324A"/>
    <w:rsid w:val="00EB40BF"/>
    <w:rsid w:val="00EB4535"/>
    <w:rsid w:val="00EB509A"/>
    <w:rsid w:val="00EB5127"/>
    <w:rsid w:val="00EB56CD"/>
    <w:rsid w:val="00EC006F"/>
    <w:rsid w:val="00EC178D"/>
    <w:rsid w:val="00EC1BD5"/>
    <w:rsid w:val="00EC41B7"/>
    <w:rsid w:val="00EC436B"/>
    <w:rsid w:val="00EC4A67"/>
    <w:rsid w:val="00EC5942"/>
    <w:rsid w:val="00EC7846"/>
    <w:rsid w:val="00EC79FB"/>
    <w:rsid w:val="00EC7CE0"/>
    <w:rsid w:val="00ED00F4"/>
    <w:rsid w:val="00ED0CB0"/>
    <w:rsid w:val="00ED1FBB"/>
    <w:rsid w:val="00ED2AA8"/>
    <w:rsid w:val="00ED37A1"/>
    <w:rsid w:val="00ED4666"/>
    <w:rsid w:val="00ED4B01"/>
    <w:rsid w:val="00ED4C70"/>
    <w:rsid w:val="00ED6966"/>
    <w:rsid w:val="00EE40ED"/>
    <w:rsid w:val="00EE6641"/>
    <w:rsid w:val="00EF2255"/>
    <w:rsid w:val="00EF3D69"/>
    <w:rsid w:val="00EF525C"/>
    <w:rsid w:val="00EF5982"/>
    <w:rsid w:val="00EF5C98"/>
    <w:rsid w:val="00EF6256"/>
    <w:rsid w:val="00EF6E4C"/>
    <w:rsid w:val="00EF70C9"/>
    <w:rsid w:val="00EF735E"/>
    <w:rsid w:val="00EF7922"/>
    <w:rsid w:val="00F02029"/>
    <w:rsid w:val="00F0312A"/>
    <w:rsid w:val="00F03397"/>
    <w:rsid w:val="00F03B3D"/>
    <w:rsid w:val="00F03B41"/>
    <w:rsid w:val="00F042F8"/>
    <w:rsid w:val="00F04332"/>
    <w:rsid w:val="00F05686"/>
    <w:rsid w:val="00F05DBD"/>
    <w:rsid w:val="00F05E57"/>
    <w:rsid w:val="00F10994"/>
    <w:rsid w:val="00F10EA9"/>
    <w:rsid w:val="00F114AE"/>
    <w:rsid w:val="00F11635"/>
    <w:rsid w:val="00F12A86"/>
    <w:rsid w:val="00F12FA6"/>
    <w:rsid w:val="00F130CC"/>
    <w:rsid w:val="00F1333C"/>
    <w:rsid w:val="00F13514"/>
    <w:rsid w:val="00F138AD"/>
    <w:rsid w:val="00F13CB3"/>
    <w:rsid w:val="00F15BF7"/>
    <w:rsid w:val="00F169F4"/>
    <w:rsid w:val="00F20957"/>
    <w:rsid w:val="00F2129D"/>
    <w:rsid w:val="00F21BB8"/>
    <w:rsid w:val="00F22268"/>
    <w:rsid w:val="00F23238"/>
    <w:rsid w:val="00F2511C"/>
    <w:rsid w:val="00F256AB"/>
    <w:rsid w:val="00F27294"/>
    <w:rsid w:val="00F2786B"/>
    <w:rsid w:val="00F30AD5"/>
    <w:rsid w:val="00F3346F"/>
    <w:rsid w:val="00F34181"/>
    <w:rsid w:val="00F36141"/>
    <w:rsid w:val="00F37378"/>
    <w:rsid w:val="00F3769B"/>
    <w:rsid w:val="00F377C2"/>
    <w:rsid w:val="00F37F5C"/>
    <w:rsid w:val="00F40532"/>
    <w:rsid w:val="00F41743"/>
    <w:rsid w:val="00F418D6"/>
    <w:rsid w:val="00F43AC0"/>
    <w:rsid w:val="00F4464F"/>
    <w:rsid w:val="00F45F31"/>
    <w:rsid w:val="00F47101"/>
    <w:rsid w:val="00F4752A"/>
    <w:rsid w:val="00F52258"/>
    <w:rsid w:val="00F532C8"/>
    <w:rsid w:val="00F55919"/>
    <w:rsid w:val="00F567D1"/>
    <w:rsid w:val="00F56993"/>
    <w:rsid w:val="00F56F3A"/>
    <w:rsid w:val="00F5728D"/>
    <w:rsid w:val="00F606E1"/>
    <w:rsid w:val="00F6133C"/>
    <w:rsid w:val="00F62DAC"/>
    <w:rsid w:val="00F63988"/>
    <w:rsid w:val="00F6750F"/>
    <w:rsid w:val="00F6764D"/>
    <w:rsid w:val="00F7102A"/>
    <w:rsid w:val="00F712F0"/>
    <w:rsid w:val="00F73E93"/>
    <w:rsid w:val="00F74194"/>
    <w:rsid w:val="00F742D3"/>
    <w:rsid w:val="00F762EA"/>
    <w:rsid w:val="00F76961"/>
    <w:rsid w:val="00F76CDC"/>
    <w:rsid w:val="00F77A2A"/>
    <w:rsid w:val="00F80020"/>
    <w:rsid w:val="00F803AD"/>
    <w:rsid w:val="00F803FC"/>
    <w:rsid w:val="00F80421"/>
    <w:rsid w:val="00F805EE"/>
    <w:rsid w:val="00F80FF3"/>
    <w:rsid w:val="00F81244"/>
    <w:rsid w:val="00F81C50"/>
    <w:rsid w:val="00F81CD2"/>
    <w:rsid w:val="00F82D45"/>
    <w:rsid w:val="00F83326"/>
    <w:rsid w:val="00F83642"/>
    <w:rsid w:val="00F86636"/>
    <w:rsid w:val="00F86C33"/>
    <w:rsid w:val="00F87466"/>
    <w:rsid w:val="00F901E4"/>
    <w:rsid w:val="00F91365"/>
    <w:rsid w:val="00F91A4C"/>
    <w:rsid w:val="00F91C99"/>
    <w:rsid w:val="00F91F6F"/>
    <w:rsid w:val="00F921DF"/>
    <w:rsid w:val="00F924AA"/>
    <w:rsid w:val="00F94105"/>
    <w:rsid w:val="00F94867"/>
    <w:rsid w:val="00FA06F5"/>
    <w:rsid w:val="00FA2F3A"/>
    <w:rsid w:val="00FA2F8C"/>
    <w:rsid w:val="00FA3C85"/>
    <w:rsid w:val="00FA40F2"/>
    <w:rsid w:val="00FA4706"/>
    <w:rsid w:val="00FA480C"/>
    <w:rsid w:val="00FA5147"/>
    <w:rsid w:val="00FA55FC"/>
    <w:rsid w:val="00FA6540"/>
    <w:rsid w:val="00FA70B0"/>
    <w:rsid w:val="00FA73A4"/>
    <w:rsid w:val="00FA74CC"/>
    <w:rsid w:val="00FA7599"/>
    <w:rsid w:val="00FA78A7"/>
    <w:rsid w:val="00FB06F5"/>
    <w:rsid w:val="00FB099C"/>
    <w:rsid w:val="00FB0FA5"/>
    <w:rsid w:val="00FB108F"/>
    <w:rsid w:val="00FB20B8"/>
    <w:rsid w:val="00FB258B"/>
    <w:rsid w:val="00FB3483"/>
    <w:rsid w:val="00FB4FFF"/>
    <w:rsid w:val="00FC1137"/>
    <w:rsid w:val="00FC3250"/>
    <w:rsid w:val="00FC4721"/>
    <w:rsid w:val="00FC4F13"/>
    <w:rsid w:val="00FC5524"/>
    <w:rsid w:val="00FC79C5"/>
    <w:rsid w:val="00FC7F1F"/>
    <w:rsid w:val="00FC7FBE"/>
    <w:rsid w:val="00FD02EF"/>
    <w:rsid w:val="00FD1D8F"/>
    <w:rsid w:val="00FD2211"/>
    <w:rsid w:val="00FD2C72"/>
    <w:rsid w:val="00FD2F50"/>
    <w:rsid w:val="00FD31CE"/>
    <w:rsid w:val="00FD7522"/>
    <w:rsid w:val="00FE081A"/>
    <w:rsid w:val="00FE1DC9"/>
    <w:rsid w:val="00FE3E22"/>
    <w:rsid w:val="00FE50B0"/>
    <w:rsid w:val="00FE7663"/>
    <w:rsid w:val="00FF0BC9"/>
    <w:rsid w:val="00FF24DF"/>
    <w:rsid w:val="00FF2E96"/>
    <w:rsid w:val="00FF323F"/>
    <w:rsid w:val="00FF5426"/>
    <w:rsid w:val="00FF580C"/>
    <w:rsid w:val="00FF5D2B"/>
    <w:rsid w:val="00FF654D"/>
    <w:rsid w:val="00FF71C7"/>
    <w:rsid w:val="00FF7A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9CEE8F77-8F87-4A0D-87A0-BADBC7AE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930"/>
    <w:pPr>
      <w:widowControl w:val="0"/>
    </w:pPr>
    <w:rPr>
      <w:snapToGrid w:val="0"/>
      <w:kern w:val="28"/>
      <w:szCs w:val="20"/>
    </w:rPr>
  </w:style>
  <w:style w:type="paragraph" w:styleId="Heading1">
    <w:name w:val="heading 1"/>
    <w:basedOn w:val="Normal"/>
    <w:next w:val="ParaNum"/>
    <w:link w:val="Heading1Char"/>
    <w:qFormat/>
    <w:rsid w:val="00C0093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00930"/>
    <w:pPr>
      <w:keepNext/>
      <w:numPr>
        <w:ilvl w:val="1"/>
        <w:numId w:val="2"/>
      </w:numPr>
      <w:spacing w:after="120"/>
      <w:outlineLvl w:val="1"/>
    </w:pPr>
    <w:rPr>
      <w:b/>
    </w:rPr>
  </w:style>
  <w:style w:type="paragraph" w:styleId="Heading3">
    <w:name w:val="heading 3"/>
    <w:basedOn w:val="Normal"/>
    <w:next w:val="ParaNum"/>
    <w:link w:val="Heading3Char"/>
    <w:qFormat/>
    <w:rsid w:val="00C00930"/>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0093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C00930"/>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C0093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C0093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C0093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0093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09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0930"/>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C00930"/>
    <w:pPr>
      <w:numPr>
        <w:numId w:val="1"/>
      </w:numPr>
      <w:tabs>
        <w:tab w:val="clear" w:pos="1080"/>
        <w:tab w:val="num" w:pos="1440"/>
      </w:tabs>
      <w:spacing w:after="120"/>
    </w:pPr>
  </w:style>
  <w:style w:type="paragraph" w:styleId="EndnoteText">
    <w:name w:val="endnote text"/>
    <w:basedOn w:val="Normal"/>
    <w:link w:val="EndnoteTextChar"/>
    <w:semiHidden/>
    <w:rsid w:val="00C00930"/>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C00930"/>
    <w:rPr>
      <w:vertAlign w:val="superscript"/>
    </w:rPr>
  </w:style>
  <w:style w:type="paragraph" w:styleId="FootnoteText">
    <w:name w:val="footnote text"/>
    <w:aliases w:val="Footnote Text Char Ch,Footnote Text Char Char Char4 Char,Footnote Text Char1,Footnote Text Char2,Footnote Text Char4 Char1 Char,Footnote Text Char4 Char1 Char Char Char Char,Footnote Text Char7 Char,Footnote Text Char7 Char Char Char Char"/>
    <w:link w:val="FootnoteTextChar"/>
    <w:rsid w:val="00C00930"/>
    <w:pPr>
      <w:spacing w:after="120"/>
    </w:pPr>
    <w:rPr>
      <w:sz w:val="20"/>
      <w:szCs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locked/>
    <w:rsid w:val="009D2D85"/>
    <w:rPr>
      <w:sz w:val="20"/>
      <w:szCs w:val="20"/>
    </w:rPr>
  </w:style>
  <w:style w:type="character" w:styleId="FootnoteReference">
    <w:name w:val="footnote reference"/>
    <w:aliases w:val="(NECG) Footnote Reference,Appel note de bas de p,FR,Footnote Reference/,Footnote Reference1,Style 12,Style 124,Style 13,Style 17,Style 3,Style 4,Style 6,Style 7,fr,o"/>
    <w:rsid w:val="00C00930"/>
    <w:rPr>
      <w:rFonts w:ascii="Times New Roman" w:hAnsi="Times New Roman"/>
      <w:dstrike w:val="0"/>
      <w:color w:val="auto"/>
      <w:sz w:val="20"/>
      <w:vertAlign w:val="superscript"/>
    </w:rPr>
  </w:style>
  <w:style w:type="paragraph" w:styleId="TOC1">
    <w:name w:val="toc 1"/>
    <w:basedOn w:val="Normal"/>
    <w:next w:val="Normal"/>
    <w:semiHidden/>
    <w:rsid w:val="00C0093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00930"/>
    <w:pPr>
      <w:tabs>
        <w:tab w:val="left" w:pos="720"/>
        <w:tab w:val="right" w:leader="dot" w:pos="9360"/>
      </w:tabs>
      <w:suppressAutoHyphens/>
      <w:ind w:left="720" w:right="720" w:hanging="360"/>
    </w:pPr>
    <w:rPr>
      <w:noProof/>
    </w:rPr>
  </w:style>
  <w:style w:type="paragraph" w:styleId="TOC3">
    <w:name w:val="toc 3"/>
    <w:basedOn w:val="Normal"/>
    <w:next w:val="Normal"/>
    <w:semiHidden/>
    <w:rsid w:val="00C009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009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009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0093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0093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0093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0093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00930"/>
    <w:pPr>
      <w:tabs>
        <w:tab w:val="right" w:pos="9360"/>
      </w:tabs>
      <w:suppressAutoHyphens/>
    </w:pPr>
  </w:style>
  <w:style w:type="character" w:customStyle="1" w:styleId="EquationCaption">
    <w:name w:val="_Equation Caption"/>
    <w:rsid w:val="00C00930"/>
  </w:style>
  <w:style w:type="paragraph" w:styleId="Header">
    <w:name w:val="header"/>
    <w:basedOn w:val="Normal"/>
    <w:link w:val="HeaderChar"/>
    <w:autoRedefine/>
    <w:rsid w:val="00C00930"/>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uiPriority w:val="99"/>
    <w:rsid w:val="00C00930"/>
    <w:pPr>
      <w:tabs>
        <w:tab w:val="center" w:pos="4320"/>
        <w:tab w:val="right" w:pos="8640"/>
      </w:tabs>
    </w:pPr>
  </w:style>
  <w:style w:type="character" w:customStyle="1" w:styleId="FooterChar">
    <w:name w:val="Footer Char"/>
    <w:link w:val="Footer"/>
    <w:uiPriority w:val="99"/>
    <w:locked/>
    <w:rsid w:val="00C00930"/>
    <w:rPr>
      <w:snapToGrid w:val="0"/>
      <w:kern w:val="28"/>
      <w:szCs w:val="20"/>
    </w:rPr>
  </w:style>
  <w:style w:type="character" w:styleId="PageNumber">
    <w:name w:val="page number"/>
    <w:basedOn w:val="DefaultParagraphFont"/>
    <w:rsid w:val="00C00930"/>
  </w:style>
  <w:style w:type="paragraph" w:styleId="BlockText">
    <w:name w:val="Block Text"/>
    <w:basedOn w:val="Normal"/>
    <w:rsid w:val="00C00930"/>
    <w:pPr>
      <w:spacing w:after="240"/>
      <w:ind w:left="1440" w:right="1440"/>
    </w:pPr>
  </w:style>
  <w:style w:type="paragraph" w:customStyle="1" w:styleId="Paratitle">
    <w:name w:val="Para title"/>
    <w:basedOn w:val="Normal"/>
    <w:rsid w:val="00C00930"/>
    <w:pPr>
      <w:tabs>
        <w:tab w:val="center" w:pos="9270"/>
      </w:tabs>
      <w:spacing w:after="240"/>
    </w:pPr>
    <w:rPr>
      <w:spacing w:val="-2"/>
    </w:rPr>
  </w:style>
  <w:style w:type="paragraph" w:customStyle="1" w:styleId="Bullet">
    <w:name w:val="Bullet"/>
    <w:basedOn w:val="Normal"/>
    <w:rsid w:val="00C00930"/>
    <w:pPr>
      <w:tabs>
        <w:tab w:val="left" w:pos="2160"/>
      </w:tabs>
      <w:spacing w:after="220"/>
      <w:ind w:left="2160" w:hanging="720"/>
    </w:pPr>
  </w:style>
  <w:style w:type="paragraph" w:customStyle="1" w:styleId="TableFormat">
    <w:name w:val="TableFormat"/>
    <w:basedOn w:val="Bullet"/>
    <w:rsid w:val="00C00930"/>
    <w:pPr>
      <w:tabs>
        <w:tab w:val="clear" w:pos="2160"/>
        <w:tab w:val="left" w:pos="5040"/>
      </w:tabs>
      <w:ind w:left="5040" w:hanging="3600"/>
    </w:pPr>
  </w:style>
  <w:style w:type="paragraph" w:customStyle="1" w:styleId="TOCTitle">
    <w:name w:val="TOC Title"/>
    <w:basedOn w:val="Normal"/>
    <w:rsid w:val="00C009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00930"/>
    <w:pPr>
      <w:jc w:val="center"/>
    </w:pPr>
    <w:rPr>
      <w:rFonts w:ascii="Times New Roman Bold" w:hAnsi="Times New Roman Bold"/>
      <w:b/>
      <w:bCs/>
      <w:caps/>
      <w:szCs w:val="22"/>
    </w:rPr>
  </w:style>
  <w:style w:type="character" w:styleId="Hyperlink">
    <w:name w:val="Hyperlink"/>
    <w:rsid w:val="00C00930"/>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
      </w:numPr>
    </w:pPr>
    <w:rPr>
      <w:sz w:val="20"/>
    </w:rPr>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 w:type="character" w:customStyle="1" w:styleId="apple-converted-space">
    <w:name w:val="apple-converted-space"/>
    <w:basedOn w:val="DefaultParagraphFont"/>
    <w:rsid w:val="002409CE"/>
  </w:style>
  <w:style w:type="character" w:customStyle="1" w:styleId="cosearchterm">
    <w:name w:val="co_searchterm"/>
    <w:basedOn w:val="DefaultParagraphFont"/>
    <w:rsid w:val="002409CE"/>
  </w:style>
  <w:style w:type="character" w:customStyle="1" w:styleId="contents">
    <w:name w:val="contents"/>
    <w:basedOn w:val="DefaultParagraphFont"/>
    <w:rsid w:val="004246C8"/>
  </w:style>
  <w:style w:type="character" w:customStyle="1" w:styleId="sectno">
    <w:name w:val="sectno"/>
    <w:basedOn w:val="DefaultParagraphFont"/>
    <w:rsid w:val="004246C8"/>
  </w:style>
  <w:style w:type="character" w:customStyle="1" w:styleId="subject">
    <w:name w:val="subject"/>
    <w:basedOn w:val="DefaultParagraphFont"/>
    <w:rsid w:val="004246C8"/>
  </w:style>
  <w:style w:type="character" w:styleId="FollowedHyperlink">
    <w:name w:val="FollowedHyperlink"/>
    <w:basedOn w:val="DefaultParagraphFont"/>
    <w:uiPriority w:val="99"/>
    <w:semiHidden/>
    <w:unhideWhenUsed/>
    <w:locked/>
    <w:rsid w:val="00E74B61"/>
    <w:rPr>
      <w:color w:val="800080" w:themeColor="followedHyperlink"/>
      <w:u w:val="single"/>
    </w:rPr>
  </w:style>
  <w:style w:type="character" w:styleId="Emphasis">
    <w:name w:val="Emphasis"/>
    <w:basedOn w:val="DefaultParagraphFont"/>
    <w:uiPriority w:val="20"/>
    <w:qFormat/>
    <w:rsid w:val="00365994"/>
    <w:rPr>
      <w:i/>
      <w:iCs/>
    </w:rPr>
  </w:style>
  <w:style w:type="character" w:customStyle="1" w:styleId="UnresolvedMention">
    <w:name w:val="Unresolved Mention"/>
    <w:basedOn w:val="DefaultParagraphFont"/>
    <w:uiPriority w:val="99"/>
    <w:semiHidden/>
    <w:unhideWhenUsed/>
    <w:rsid w:val="00D65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yperlink" Target="http://www.fcc.gov/licensing-databases/fees" TargetMode="Externa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