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rsidRPr="00AD595B">
            <w:pPr>
              <w:tabs>
                <w:tab w:val="center" w:pos="4680"/>
              </w:tabs>
              <w:suppressAutoHyphens/>
              <w:rPr>
                <w:spacing w:val="-2"/>
              </w:rPr>
            </w:pPr>
            <w:r w:rsidRPr="00AD595B">
              <w:rPr>
                <w:spacing w:val="-2"/>
              </w:rPr>
              <w:t>In the Matter of</w:t>
            </w:r>
          </w:p>
          <w:p w:rsidR="00B73EEF" w:rsidRPr="00AD595B" w:rsidP="00B73EEF">
            <w:pPr>
              <w:tabs>
                <w:tab w:val="center" w:pos="4680"/>
              </w:tabs>
              <w:suppressAutoHyphens/>
              <w:rPr>
                <w:spacing w:val="-2"/>
              </w:rPr>
            </w:pPr>
          </w:p>
          <w:p w:rsidR="00B73EEF" w:rsidRPr="00AD595B" w:rsidP="00B73EEF">
            <w:pPr>
              <w:tabs>
                <w:tab w:val="center" w:pos="4680"/>
              </w:tabs>
              <w:suppressAutoHyphens/>
              <w:rPr>
                <w:spacing w:val="-2"/>
              </w:rPr>
            </w:pPr>
            <w:r w:rsidRPr="00AD595B">
              <w:rPr>
                <w:spacing w:val="-2"/>
              </w:rPr>
              <w:t xml:space="preserve">Unlicensed </w:t>
            </w:r>
            <w:r w:rsidRPr="00AD595B" w:rsidR="003A5A6E">
              <w:rPr>
                <w:spacing w:val="-2"/>
              </w:rPr>
              <w:t xml:space="preserve">White Space Device </w:t>
            </w:r>
            <w:r w:rsidRPr="00AD595B">
              <w:rPr>
                <w:spacing w:val="-2"/>
              </w:rPr>
              <w:t>Operations in the Television Bands</w:t>
            </w:r>
          </w:p>
          <w:p w:rsidR="004C2EE3" w:rsidP="00B73EEF">
            <w:pPr>
              <w:tabs>
                <w:tab w:val="center" w:pos="4680"/>
              </w:tabs>
              <w:suppressAutoHyphens/>
              <w:rPr>
                <w:spacing w:val="-2"/>
              </w:rPr>
            </w:pPr>
          </w:p>
          <w:p w:rsidR="003B1A29" w:rsidRPr="00AD595B" w:rsidP="00B73EEF">
            <w:pPr>
              <w:tabs>
                <w:tab w:val="center" w:pos="4680"/>
              </w:tabs>
              <w:suppressAutoHyphens/>
              <w:rPr>
                <w:spacing w:val="-2"/>
              </w:rPr>
            </w:pPr>
          </w:p>
        </w:tc>
        <w:tc>
          <w:tcPr>
            <w:tcW w:w="630" w:type="dxa"/>
          </w:tcPr>
          <w:p w:rsidR="004C2EE3" w:rsidRPr="00AD595B">
            <w:pPr>
              <w:tabs>
                <w:tab w:val="center" w:pos="4680"/>
              </w:tabs>
              <w:suppressAutoHyphens/>
              <w:rPr>
                <w:b/>
                <w:spacing w:val="-2"/>
              </w:rPr>
            </w:pPr>
            <w:r w:rsidRPr="00AD595B">
              <w:rPr>
                <w:b/>
                <w:spacing w:val="-2"/>
              </w:rPr>
              <w:t>)</w:t>
            </w:r>
          </w:p>
          <w:p w:rsidR="004C2EE3" w:rsidRPr="00AD595B">
            <w:pPr>
              <w:tabs>
                <w:tab w:val="center" w:pos="4680"/>
              </w:tabs>
              <w:suppressAutoHyphens/>
              <w:rPr>
                <w:b/>
                <w:spacing w:val="-2"/>
              </w:rPr>
            </w:pPr>
            <w:r w:rsidRPr="00AD595B">
              <w:rPr>
                <w:b/>
                <w:spacing w:val="-2"/>
              </w:rPr>
              <w:t>)</w:t>
            </w:r>
          </w:p>
          <w:p w:rsidR="004C2EE3" w:rsidRPr="00AD595B">
            <w:pPr>
              <w:tabs>
                <w:tab w:val="center" w:pos="4680"/>
              </w:tabs>
              <w:suppressAutoHyphens/>
              <w:rPr>
                <w:b/>
                <w:spacing w:val="-2"/>
              </w:rPr>
            </w:pPr>
            <w:r w:rsidRPr="00AD595B">
              <w:rPr>
                <w:b/>
                <w:spacing w:val="-2"/>
              </w:rPr>
              <w:t>)</w:t>
            </w:r>
          </w:p>
          <w:p w:rsidR="004C2EE3" w:rsidRPr="00AD595B">
            <w:pPr>
              <w:tabs>
                <w:tab w:val="center" w:pos="4680"/>
              </w:tabs>
              <w:suppressAutoHyphens/>
              <w:rPr>
                <w:b/>
                <w:spacing w:val="-2"/>
              </w:rPr>
            </w:pPr>
            <w:r w:rsidRPr="00AD595B">
              <w:rPr>
                <w:b/>
                <w:spacing w:val="-2"/>
              </w:rPr>
              <w:t>)</w:t>
            </w:r>
          </w:p>
          <w:p w:rsidR="00B73EEF" w:rsidRPr="00AD595B" w:rsidP="0074305C">
            <w:pPr>
              <w:tabs>
                <w:tab w:val="center" w:pos="4680"/>
              </w:tabs>
              <w:suppressAutoHyphens/>
              <w:rPr>
                <w:spacing w:val="-2"/>
              </w:rPr>
            </w:pPr>
          </w:p>
        </w:tc>
        <w:tc>
          <w:tcPr>
            <w:tcW w:w="4248" w:type="dxa"/>
          </w:tcPr>
          <w:p w:rsidR="004C2EE3" w:rsidRPr="00AD595B">
            <w:pPr>
              <w:tabs>
                <w:tab w:val="center" w:pos="4680"/>
              </w:tabs>
              <w:suppressAutoHyphens/>
              <w:rPr>
                <w:spacing w:val="-2"/>
              </w:rPr>
            </w:pPr>
          </w:p>
          <w:p w:rsidR="004C2EE3" w:rsidRPr="00AD595B">
            <w:pPr>
              <w:pStyle w:val="TOAHeading"/>
              <w:tabs>
                <w:tab w:val="center" w:pos="4680"/>
                <w:tab w:val="clear" w:pos="9360"/>
              </w:tabs>
              <w:rPr>
                <w:spacing w:val="-2"/>
              </w:rPr>
            </w:pPr>
          </w:p>
          <w:p w:rsidR="00B73EEF" w:rsidRPr="00AD595B" w:rsidP="00B73EEF">
            <w:pPr>
              <w:pStyle w:val="TOAHeading"/>
              <w:tabs>
                <w:tab w:val="center" w:pos="4680"/>
              </w:tabs>
              <w:rPr>
                <w:spacing w:val="-2"/>
              </w:rPr>
            </w:pPr>
            <w:r w:rsidRPr="00AD595B">
              <w:rPr>
                <w:spacing w:val="-2"/>
              </w:rPr>
              <w:t xml:space="preserve">ET Docket No. </w:t>
            </w:r>
            <w:r w:rsidRPr="00AD595B" w:rsidR="0024362F">
              <w:rPr>
                <w:spacing w:val="-2"/>
              </w:rPr>
              <w:t>20-</w:t>
            </w:r>
            <w:r w:rsidR="004409F6">
              <w:rPr>
                <w:spacing w:val="-2"/>
              </w:rPr>
              <w:t>36</w:t>
            </w:r>
          </w:p>
          <w:p w:rsidR="00B73EEF" w:rsidRPr="00AD595B" w:rsidP="00B73EEF">
            <w:pPr>
              <w:pStyle w:val="TOAHeading"/>
              <w:tabs>
                <w:tab w:val="center" w:pos="4680"/>
              </w:tabs>
              <w:rPr>
                <w:spacing w:val="-2"/>
              </w:rPr>
            </w:pPr>
          </w:p>
          <w:p w:rsidR="004C2EE3" w:rsidRPr="00AD595B" w:rsidP="00B73EEF">
            <w:pPr>
              <w:tabs>
                <w:tab w:val="center" w:pos="4680"/>
              </w:tabs>
              <w:suppressAutoHyphens/>
              <w:rPr>
                <w:spacing w:val="-2"/>
              </w:rPr>
            </w:pPr>
          </w:p>
        </w:tc>
      </w:tr>
    </w:tbl>
    <w:p w:rsidR="00841AB1" w:rsidP="00F021FA">
      <w:pPr>
        <w:pStyle w:val="StyleBoldCentered"/>
      </w:pPr>
      <w:r>
        <w:t>notice of proposed rulemaking</w:t>
      </w:r>
    </w:p>
    <w:p w:rsidR="004C2EE3">
      <w:pPr>
        <w:tabs>
          <w:tab w:val="left" w:pos="-720"/>
        </w:tabs>
        <w:suppressAutoHyphens/>
        <w:spacing w:line="227" w:lineRule="auto"/>
        <w:rPr>
          <w:spacing w:val="-2"/>
        </w:rPr>
      </w:pPr>
    </w:p>
    <w:p w:rsidR="00822CE0" w:rsidP="00A05F1A">
      <w:pPr>
        <w:tabs>
          <w:tab w:val="left" w:pos="720"/>
          <w:tab w:val="right" w:pos="9360"/>
        </w:tabs>
        <w:suppressAutoHyphens/>
        <w:spacing w:line="227" w:lineRule="auto"/>
      </w:pPr>
      <w:r>
        <w:rPr>
          <w:b/>
          <w:spacing w:val="-2"/>
        </w:rPr>
        <w:t xml:space="preserve">Adopted:  </w:t>
      </w:r>
      <w:r w:rsidR="00A05F1A">
        <w:rPr>
          <w:b/>
          <w:spacing w:val="-2"/>
        </w:rPr>
        <w:t>February 28, 2020</w:t>
      </w:r>
      <w:r>
        <w:rPr>
          <w:b/>
          <w:spacing w:val="-2"/>
        </w:rPr>
        <w:tab/>
      </w:r>
      <w:r>
        <w:rPr>
          <w:b/>
          <w:spacing w:val="-2"/>
        </w:rPr>
        <w:t>Released</w:t>
      </w:r>
      <w:r>
        <w:rPr>
          <w:b/>
          <w:spacing w:val="-2"/>
        </w:rPr>
        <w:t>:</w:t>
      </w:r>
      <w:r>
        <w:rPr>
          <w:b/>
          <w:spacing w:val="-2"/>
        </w:rPr>
        <w:t xml:space="preserve"> </w:t>
      </w:r>
      <w:r>
        <w:rPr>
          <w:b/>
          <w:spacing w:val="-2"/>
        </w:rPr>
        <w:t xml:space="preserve"> </w:t>
      </w:r>
      <w:r w:rsidR="00A05F1A">
        <w:rPr>
          <w:b/>
          <w:spacing w:val="-2"/>
        </w:rPr>
        <w:t xml:space="preserve">March </w:t>
      </w:r>
      <w:r w:rsidR="00117210">
        <w:rPr>
          <w:b/>
          <w:spacing w:val="-2"/>
        </w:rPr>
        <w:t>2</w:t>
      </w:r>
      <w:r w:rsidR="00A05F1A">
        <w:rPr>
          <w:b/>
          <w:spacing w:val="-2"/>
        </w:rPr>
        <w:t>, 2020</w:t>
      </w:r>
      <w:r w:rsidR="00A05F1A">
        <w:rPr>
          <w:b/>
          <w:spacing w:val="-2"/>
        </w:rPr>
        <w:br/>
      </w:r>
    </w:p>
    <w:p w:rsidR="00557213" w:rsidRPr="007C20F4" w:rsidP="00557213">
      <w:pPr>
        <w:rPr>
          <w:b/>
        </w:rPr>
      </w:pPr>
      <w:r w:rsidRPr="007C20F4">
        <w:rPr>
          <w:b/>
        </w:rPr>
        <w:t>Comment Date:</w:t>
      </w:r>
      <w:r>
        <w:rPr>
          <w:b/>
        </w:rPr>
        <w:t xml:space="preserve">  </w:t>
      </w:r>
      <w:r w:rsidR="00D1790E">
        <w:rPr>
          <w:b/>
        </w:rPr>
        <w:t xml:space="preserve">30 </w:t>
      </w:r>
      <w:r>
        <w:rPr>
          <w:b/>
        </w:rPr>
        <w:t>days after Federal Register publication</w:t>
      </w:r>
    </w:p>
    <w:p w:rsidR="00557213" w:rsidP="00557213">
      <w:pPr>
        <w:rPr>
          <w:b/>
        </w:rPr>
      </w:pPr>
      <w:r w:rsidRPr="007C20F4">
        <w:rPr>
          <w:b/>
        </w:rPr>
        <w:t xml:space="preserve">Reply Comment Date: </w:t>
      </w:r>
      <w:r>
        <w:rPr>
          <w:b/>
        </w:rPr>
        <w:t xml:space="preserve"> </w:t>
      </w:r>
      <w:r w:rsidR="00D1790E">
        <w:rPr>
          <w:b/>
        </w:rPr>
        <w:t xml:space="preserve">60 </w:t>
      </w:r>
      <w:r>
        <w:rPr>
          <w:b/>
        </w:rPr>
        <w:t>days after Federal Register publication</w:t>
      </w:r>
    </w:p>
    <w:p w:rsidR="00557213"/>
    <w:p w:rsidR="004C2EE3" w:rsidRPr="004056C0">
      <w:pPr>
        <w:rPr>
          <w:snapToGrid/>
          <w:kern w:val="0"/>
        </w:rPr>
      </w:pPr>
      <w:r>
        <w:t xml:space="preserve">By </w:t>
      </w:r>
      <w:r w:rsidR="004E4A22">
        <w:t>the</w:t>
      </w:r>
      <w:r w:rsidR="002A2D2E">
        <w:t xml:space="preserve"> </w:t>
      </w:r>
      <w:r w:rsidR="00B73EEF">
        <w:rPr>
          <w:spacing w:val="-2"/>
        </w:rPr>
        <w:t>Commission</w:t>
      </w:r>
      <w:r>
        <w:rPr>
          <w:spacing w:val="-2"/>
        </w:rPr>
        <w:t>:</w:t>
      </w:r>
      <w:r w:rsidR="00154C10">
        <w:rPr>
          <w:spacing w:val="-2"/>
        </w:rPr>
        <w:t xml:space="preserve"> </w:t>
      </w:r>
      <w:r w:rsidR="004056C0">
        <w:rPr>
          <w:spacing w:val="-2"/>
        </w:rPr>
        <w:t xml:space="preserve"> </w:t>
      </w:r>
      <w:r w:rsidR="004056C0">
        <w:t>Chairman Pai and Commissioners O’Rielly, Carr, Rosenworcel and Starks issuing separate statements.</w:t>
      </w:r>
    </w:p>
    <w:p w:rsidR="00B45A42" w:rsidP="00B45A42">
      <w:pPr>
        <w:pStyle w:val="TOCTitle"/>
      </w:pPr>
      <w:bookmarkStart w:id="0" w:name="TOChere"/>
      <w:r>
        <w:t>Table of Contents</w:t>
      </w:r>
    </w:p>
    <w:p w:rsidR="00B45A42" w:rsidP="00B45A42">
      <w:pPr>
        <w:pStyle w:val="Paratitle"/>
      </w:pPr>
      <w:r>
        <w:t>Heading</w:t>
      </w:r>
      <w:r>
        <w:tab/>
        <w:t>Paragraph #</w:t>
      </w:r>
      <w:bookmarkStart w:id="1" w:name="start_here"/>
      <w:bookmarkEnd w:id="1"/>
    </w:p>
    <w:p w:rsidR="00B45A42" w:rsidP="00B45A42">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B45A42" w:rsidP="00B45A42">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2</w:t>
      </w:r>
    </w:p>
    <w:p w:rsidR="00B45A42" w:rsidP="00B45A42">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8</w:t>
      </w:r>
    </w:p>
    <w:p w:rsidR="00B45A42" w:rsidP="00B45A4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Fixed white space devices in rural areas in the TV bands</w:t>
      </w:r>
      <w:r>
        <w:tab/>
        <w:t>9</w:t>
      </w:r>
    </w:p>
    <w:p w:rsidR="00B45A42" w:rsidP="00B45A4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Higher power limits</w:t>
      </w:r>
      <w:r>
        <w:tab/>
        <w:t>10</w:t>
      </w:r>
    </w:p>
    <w:p w:rsidR="00B45A42" w:rsidP="00B45A4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Higher antenna height above average terrain limits</w:t>
      </w:r>
      <w:r>
        <w:tab/>
        <w:t>15</w:t>
      </w:r>
    </w:p>
    <w:p w:rsidR="00B45A42" w:rsidP="00B45A4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Separation distances</w:t>
      </w:r>
      <w:r>
        <w:tab/>
        <w:t>27</w:t>
      </w:r>
    </w:p>
    <w:p w:rsidR="00B45A42" w:rsidP="00B45A4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Definition of “less congested” area</w:t>
      </w:r>
      <w:r>
        <w:tab/>
        <w:t>35</w:t>
      </w:r>
    </w:p>
    <w:p w:rsidR="00B45A42" w:rsidP="00B45A4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Higher power mobile operation within “geo-fenced” areas</w:t>
      </w:r>
      <w:r>
        <w:tab/>
        <w:t>37</w:t>
      </w:r>
    </w:p>
    <w:p w:rsidR="00B45A42" w:rsidP="00B45A42">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Narrowband IoT operations</w:t>
      </w:r>
      <w:r>
        <w:tab/>
        <w:t>43</w:t>
      </w:r>
    </w:p>
    <w:p w:rsidR="00B45A42" w:rsidP="00B45A42">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Higher power on adjacent channels</w:t>
      </w:r>
      <w:r>
        <w:tab/>
        <w:t>50</w:t>
      </w:r>
    </w:p>
    <w:p w:rsidR="00B45A42" w:rsidP="00B45A42">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53</w:t>
      </w:r>
    </w:p>
    <w:p w:rsidR="00B45A42" w:rsidP="00B45A42">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58</w:t>
      </w:r>
    </w:p>
    <w:bookmarkEnd w:id="0"/>
    <w:p w:rsidR="00AE4B24" w:rsidRPr="00AE4B24" w:rsidP="00B45A42">
      <w:pPr>
        <w:pStyle w:val="Paratitle"/>
      </w:pPr>
      <w:r>
        <w:rPr>
          <w:caps/>
        </w:rPr>
        <w:br/>
      </w:r>
      <w:r w:rsidRPr="00B45A42">
        <w:t>Appendix</w:t>
      </w:r>
      <w:r w:rsidRPr="00AE4B24">
        <w:t xml:space="preserve"> A – </w:t>
      </w:r>
      <w:r>
        <w:t>Proposed</w:t>
      </w:r>
      <w:r w:rsidRPr="00AE4B24">
        <w:t xml:space="preserve"> Rules</w:t>
      </w:r>
      <w:r>
        <w:br/>
      </w:r>
      <w:r w:rsidRPr="00B45A42">
        <w:t>Appendix</w:t>
      </w:r>
      <w:r w:rsidRPr="00AE4B24">
        <w:t xml:space="preserve"> B – List of Parties Filing Comments</w:t>
      </w:r>
      <w:r>
        <w:br/>
      </w:r>
      <w:r w:rsidRPr="00B45A42">
        <w:t>Appendix</w:t>
      </w:r>
      <w:r w:rsidRPr="00AE4B24">
        <w:t xml:space="preserve"> C – </w:t>
      </w:r>
      <w:r>
        <w:t>Initial</w:t>
      </w:r>
      <w:r w:rsidRPr="00AE4B24">
        <w:t xml:space="preserve"> Regulatory Flexibility Analysis</w:t>
      </w:r>
    </w:p>
    <w:p w:rsidR="00AE4B24">
      <w:pPr>
        <w:rPr>
          <w:spacing w:val="-2"/>
        </w:rPr>
      </w:pPr>
    </w:p>
    <w:p w:rsidR="00412FC5" w:rsidP="00C36B4C">
      <w:pPr>
        <w:pStyle w:val="Heading1"/>
      </w:pPr>
      <w:bookmarkStart w:id="2" w:name="_Toc15973984"/>
      <w:bookmarkStart w:id="3" w:name="_Toc16172269"/>
      <w:bookmarkStart w:id="4" w:name="_Toc17356045"/>
      <w:bookmarkStart w:id="5" w:name="_Toc17362396"/>
      <w:bookmarkStart w:id="6" w:name="_Toc21593282"/>
      <w:bookmarkStart w:id="7" w:name="_Toc22213756"/>
      <w:bookmarkStart w:id="8" w:name="_Toc22628835"/>
      <w:bookmarkStart w:id="9" w:name="_Toc22740307"/>
      <w:bookmarkStart w:id="10" w:name="_Toc22822470"/>
      <w:bookmarkStart w:id="11" w:name="_Toc30693979"/>
      <w:bookmarkStart w:id="12" w:name="_Toc31721166"/>
      <w:bookmarkStart w:id="13" w:name="_Toc33614414"/>
      <w:r>
        <w:t>introduction</w:t>
      </w:r>
      <w:bookmarkEnd w:id="2"/>
      <w:bookmarkEnd w:id="3"/>
      <w:bookmarkEnd w:id="4"/>
      <w:bookmarkEnd w:id="5"/>
      <w:bookmarkEnd w:id="6"/>
      <w:bookmarkEnd w:id="7"/>
      <w:bookmarkEnd w:id="8"/>
      <w:bookmarkEnd w:id="9"/>
      <w:bookmarkEnd w:id="10"/>
      <w:bookmarkEnd w:id="11"/>
      <w:bookmarkEnd w:id="12"/>
      <w:bookmarkEnd w:id="13"/>
    </w:p>
    <w:p w:rsidR="00AE4B24" w:rsidP="00960993">
      <w:pPr>
        <w:pStyle w:val="ParaNum"/>
        <w:widowControl/>
      </w:pPr>
      <w:bookmarkStart w:id="14" w:name="_Hlk530493872"/>
      <w:r>
        <w:t>In th</w:t>
      </w:r>
      <w:r w:rsidR="00F5362E">
        <w:t>is</w:t>
      </w:r>
      <w:r>
        <w:t xml:space="preserve"> Notice of Proposed Rulemaking (NPRM)</w:t>
      </w:r>
      <w:r w:rsidR="008330B7">
        <w:t>,</w:t>
      </w:r>
      <w:r>
        <w:t xml:space="preserve"> we propose to </w:t>
      </w:r>
      <w:r w:rsidR="00F5362E">
        <w:t xml:space="preserve">revise </w:t>
      </w:r>
      <w:r>
        <w:t xml:space="preserve">our rules to </w:t>
      </w:r>
      <w:r w:rsidR="00C61224">
        <w:t>provide additional opportunities for</w:t>
      </w:r>
      <w:r>
        <w:t xml:space="preserve"> </w:t>
      </w:r>
      <w:r w:rsidR="00734AD6">
        <w:t>unlicensed w</w:t>
      </w:r>
      <w:r>
        <w:t xml:space="preserve">hite </w:t>
      </w:r>
      <w:r w:rsidR="00734AD6">
        <w:t>s</w:t>
      </w:r>
      <w:r>
        <w:t xml:space="preserve">pace devices </w:t>
      </w:r>
      <w:r w:rsidR="00BB0E87">
        <w:t xml:space="preserve">operating in the broadcast television bands (TV bands) </w:t>
      </w:r>
      <w:r>
        <w:t xml:space="preserve">to </w:t>
      </w:r>
      <w:r w:rsidR="008330B7">
        <w:t xml:space="preserve">deliver </w:t>
      </w:r>
      <w:r>
        <w:t xml:space="preserve">wireless broadband services </w:t>
      </w:r>
      <w:r w:rsidR="00C61224">
        <w:t xml:space="preserve">in </w:t>
      </w:r>
      <w:r>
        <w:t xml:space="preserve">rural areas and </w:t>
      </w:r>
      <w:r w:rsidR="00C019E9">
        <w:t xml:space="preserve">applications associated with the Internet of Things (IoT).  This region of the spectrum has excellent propagation characteristics that make it particularly attractive for </w:t>
      </w:r>
      <w:r w:rsidR="008330B7">
        <w:t xml:space="preserve">delivering </w:t>
      </w:r>
      <w:r w:rsidR="00030127">
        <w:t xml:space="preserve">communications </w:t>
      </w:r>
      <w:r w:rsidR="00C019E9">
        <w:t xml:space="preserve">services over </w:t>
      </w:r>
      <w:r w:rsidR="00A72F6A">
        <w:t>long</w:t>
      </w:r>
      <w:r w:rsidR="00C019E9">
        <w:t xml:space="preserve"> distances, </w:t>
      </w:r>
      <w:r w:rsidR="00F5362E">
        <w:t xml:space="preserve">coping with </w:t>
      </w:r>
      <w:r w:rsidR="00C019E9">
        <w:t>variations in terrain</w:t>
      </w:r>
      <w:r w:rsidR="00802DF4">
        <w:t xml:space="preserve">, as well as </w:t>
      </w:r>
      <w:r w:rsidR="00F5362E">
        <w:t>providing coverage into and within</w:t>
      </w:r>
      <w:r w:rsidR="00C019E9">
        <w:t xml:space="preserve"> buildings.  </w:t>
      </w:r>
      <w:bookmarkEnd w:id="14"/>
      <w:r w:rsidR="004D4F68">
        <w:t xml:space="preserve">We offer </w:t>
      </w:r>
      <w:r w:rsidR="00F1343D">
        <w:t>several</w:t>
      </w:r>
      <w:r w:rsidR="004D4F68">
        <w:t xml:space="preserve"> proposals </w:t>
      </w:r>
      <w:r w:rsidR="004D4F68">
        <w:t xml:space="preserve">to spur continued </w:t>
      </w:r>
      <w:r w:rsidR="007860C0">
        <w:t xml:space="preserve">growth of the </w:t>
      </w:r>
      <w:r w:rsidR="004D4F68">
        <w:t xml:space="preserve">white space device </w:t>
      </w:r>
      <w:r w:rsidR="007860C0">
        <w:t xml:space="preserve">ecosystem, </w:t>
      </w:r>
      <w:r w:rsidR="004D4F68">
        <w:t>especially for providing affordable broadband service to rural and underserved communities</w:t>
      </w:r>
      <w:r w:rsidR="005A3459">
        <w:t xml:space="preserve"> that can help close the digital divide</w:t>
      </w:r>
      <w:r w:rsidR="004D4F68">
        <w:t>.</w:t>
      </w:r>
    </w:p>
    <w:p w:rsidR="00AE4B24" w:rsidP="00AE4B24">
      <w:pPr>
        <w:pStyle w:val="Heading1"/>
      </w:pPr>
      <w:bookmarkStart w:id="15" w:name="_Toc15973985"/>
      <w:bookmarkStart w:id="16" w:name="_Toc16172270"/>
      <w:bookmarkStart w:id="17" w:name="_Toc17356046"/>
      <w:bookmarkStart w:id="18" w:name="_Toc17362397"/>
      <w:bookmarkStart w:id="19" w:name="_Toc21593283"/>
      <w:bookmarkStart w:id="20" w:name="_Toc22213757"/>
      <w:bookmarkStart w:id="21" w:name="_Toc22628836"/>
      <w:bookmarkStart w:id="22" w:name="_Toc22740308"/>
      <w:bookmarkStart w:id="23" w:name="_Toc22822471"/>
      <w:bookmarkStart w:id="24" w:name="_Toc30693980"/>
      <w:bookmarkStart w:id="25" w:name="_Toc31721167"/>
      <w:bookmarkStart w:id="26" w:name="_Toc33614415"/>
      <w:r>
        <w:t>Background</w:t>
      </w:r>
      <w:bookmarkEnd w:id="15"/>
      <w:bookmarkEnd w:id="16"/>
      <w:bookmarkEnd w:id="17"/>
      <w:bookmarkEnd w:id="18"/>
      <w:bookmarkEnd w:id="19"/>
      <w:bookmarkEnd w:id="20"/>
      <w:bookmarkEnd w:id="21"/>
      <w:bookmarkEnd w:id="22"/>
      <w:bookmarkEnd w:id="23"/>
      <w:bookmarkEnd w:id="24"/>
      <w:bookmarkEnd w:id="25"/>
      <w:bookmarkEnd w:id="26"/>
    </w:p>
    <w:p w:rsidR="00CA432D" w:rsidRPr="00495CAB" w:rsidP="00E7741F">
      <w:pPr>
        <w:pStyle w:val="ParaNum"/>
      </w:pPr>
      <w:r>
        <w:t>Unlicensed w</w:t>
      </w:r>
      <w:r w:rsidRPr="008445F0" w:rsidR="00E7741F">
        <w:t xml:space="preserve">hite space devices can be used to provide a variety of wireless services, including broadband data.  Fixed white space devices are being deployed today </w:t>
      </w:r>
      <w:r w:rsidRPr="008445F0" w:rsidR="00C5005D">
        <w:t xml:space="preserve">by </w:t>
      </w:r>
      <w:r w:rsidR="00C5005D">
        <w:t>W</w:t>
      </w:r>
      <w:r w:rsidRPr="008445F0" w:rsidR="00C5005D">
        <w:t xml:space="preserve">ireless </w:t>
      </w:r>
      <w:r w:rsidR="00C5005D">
        <w:t>I</w:t>
      </w:r>
      <w:r w:rsidRPr="008445F0" w:rsidR="00C5005D">
        <w:t xml:space="preserve">nternet </w:t>
      </w:r>
      <w:r w:rsidR="00C5005D">
        <w:t>S</w:t>
      </w:r>
      <w:r w:rsidRPr="008445F0" w:rsidR="00C5005D">
        <w:t xml:space="preserve">ervice </w:t>
      </w:r>
      <w:r w:rsidR="00C5005D">
        <w:t>P</w:t>
      </w:r>
      <w:r w:rsidRPr="008445F0" w:rsidR="00C5005D">
        <w:t>roviders (WISPs)</w:t>
      </w:r>
      <w:r w:rsidRPr="008445F0" w:rsidR="00E7741F">
        <w:t xml:space="preserve"> to provide </w:t>
      </w:r>
      <w:r w:rsidR="00F1343D">
        <w:t>I</w:t>
      </w:r>
      <w:r w:rsidR="00E7741F">
        <w:t>nternet</w:t>
      </w:r>
      <w:r w:rsidRPr="008445F0" w:rsidR="00E7741F">
        <w:t xml:space="preserve"> connectivity</w:t>
      </w:r>
      <w:r w:rsidR="00813D06">
        <w:t xml:space="preserve"> in rural and underserved areas</w:t>
      </w:r>
      <w:r w:rsidRPr="008445F0" w:rsidR="00E7741F">
        <w:t xml:space="preserve">, </w:t>
      </w:r>
      <w:r w:rsidR="00C5005D">
        <w:t xml:space="preserve">including for </w:t>
      </w:r>
      <w:r w:rsidRPr="008445F0" w:rsidR="00E7741F">
        <w:t xml:space="preserve">schools and libraries.  </w:t>
      </w:r>
      <w:r w:rsidRPr="008445F0">
        <w:t>The Commission’s Part 15 rules allow unlicensed white space devices to operate at locations where frequencies are not in use by licensed services.</w:t>
      </w:r>
      <w:r>
        <w:rPr>
          <w:sz w:val="20"/>
          <w:vertAlign w:val="superscript"/>
        </w:rPr>
        <w:footnoteReference w:id="3"/>
      </w:r>
      <w:r w:rsidRPr="008445F0">
        <w:t xml:space="preserve">  </w:t>
      </w:r>
    </w:p>
    <w:p w:rsidR="007D6342" w:rsidRPr="00495CAB" w:rsidP="00E7741F">
      <w:pPr>
        <w:pStyle w:val="ParaNum"/>
      </w:pPr>
      <w:r>
        <w:t>In 2008, t</w:t>
      </w:r>
      <w:r w:rsidR="00B1439D">
        <w:t xml:space="preserve">he Commission first authorized unlicensed white space device operations, both fixed and personal/portable, in portions of the </w:t>
      </w:r>
      <w:r w:rsidR="00012689">
        <w:t xml:space="preserve">VHF and UHF broadcast </w:t>
      </w:r>
      <w:r w:rsidR="00777454">
        <w:t xml:space="preserve">television </w:t>
      </w:r>
      <w:r w:rsidR="00B1439D">
        <w:t xml:space="preserve">bands </w:t>
      </w:r>
      <w:r w:rsidR="00012689">
        <w:t xml:space="preserve">(TV bands) </w:t>
      </w:r>
      <w:r w:rsidR="00B1439D">
        <w:t xml:space="preserve">that were not being used by </w:t>
      </w:r>
      <w:r w:rsidR="00777454">
        <w:t>TV</w:t>
      </w:r>
      <w:r w:rsidR="00B1439D">
        <w:t xml:space="preserve"> broadcasters and associated services.</w:t>
      </w:r>
      <w:r>
        <w:rPr>
          <w:rStyle w:val="FootnoteReference"/>
        </w:rPr>
        <w:footnoteReference w:id="4"/>
      </w:r>
      <w:r w:rsidR="00B1439D">
        <w:t xml:space="preserve">  </w:t>
      </w:r>
      <w:r w:rsidR="00EF1F06">
        <w:t>In 2010</w:t>
      </w:r>
      <w:r w:rsidR="008765D9">
        <w:t>, 201</w:t>
      </w:r>
      <w:r w:rsidR="003D5C6A">
        <w:t>2</w:t>
      </w:r>
      <w:r w:rsidR="008765D9">
        <w:t>, and 201</w:t>
      </w:r>
      <w:r w:rsidR="003D5C6A">
        <w:t>5</w:t>
      </w:r>
      <w:r w:rsidR="00EF1F06">
        <w:t xml:space="preserve">, </w:t>
      </w:r>
      <w:r w:rsidR="00B1439D">
        <w:t xml:space="preserve">the Commission </w:t>
      </w:r>
      <w:r w:rsidR="00866B87">
        <w:t xml:space="preserve">took </w:t>
      </w:r>
      <w:r w:rsidR="008E13D8">
        <w:t xml:space="preserve">steps </w:t>
      </w:r>
      <w:r w:rsidR="00B1439D">
        <w:t>to promote additional opportunities for unlicensed white space devices to use spectrum in the TV bands.</w:t>
      </w:r>
      <w:r>
        <w:rPr>
          <w:rStyle w:val="FootnoteReference"/>
        </w:rPr>
        <w:footnoteReference w:id="5"/>
      </w:r>
      <w:r w:rsidR="00B1439D">
        <w:t xml:space="preserve">  </w:t>
      </w:r>
      <w:r w:rsidR="00330CDD">
        <w:t>T</w:t>
      </w:r>
      <w:r w:rsidRPr="008445F0" w:rsidR="00330CDD">
        <w:t xml:space="preserve">o </w:t>
      </w:r>
      <w:r w:rsidRPr="008445F0" w:rsidR="00665E73">
        <w:t xml:space="preserve">prevent harmful interference to broadcast television </w:t>
      </w:r>
      <w:r w:rsidR="00330CDD">
        <w:t xml:space="preserve">reception </w:t>
      </w:r>
      <w:r w:rsidRPr="008445F0" w:rsidR="00665E73">
        <w:t xml:space="preserve">and other protected users, white space devices obtain a list of available channels and operating power levels that may be used at their </w:t>
      </w:r>
      <w:r w:rsidR="00665E73">
        <w:t xml:space="preserve">particular </w:t>
      </w:r>
      <w:r w:rsidRPr="008445F0" w:rsidR="00665E73">
        <w:t xml:space="preserve">location from databases administered by private entities </w:t>
      </w:r>
      <w:r w:rsidR="00665E73">
        <w:t xml:space="preserve">approved </w:t>
      </w:r>
      <w:r w:rsidRPr="008445F0" w:rsidR="00665E73">
        <w:t>by the Commission.</w:t>
      </w:r>
      <w:r>
        <w:rPr>
          <w:sz w:val="20"/>
          <w:vertAlign w:val="superscript"/>
        </w:rPr>
        <w:footnoteReference w:id="6"/>
      </w:r>
      <w:r w:rsidRPr="008445F0" w:rsidR="00665E73">
        <w:t xml:space="preserve">  Fixed white space devices must incorporate a geo-location capability and a means to access a database.</w:t>
      </w:r>
      <w:r>
        <w:rPr>
          <w:sz w:val="20"/>
          <w:vertAlign w:val="superscript"/>
        </w:rPr>
        <w:footnoteReference w:id="7"/>
      </w:r>
      <w:r w:rsidRPr="008445F0" w:rsidR="00665E73">
        <w:t xml:space="preserve">  Portable white space devices can either acquire </w:t>
      </w:r>
      <w:r w:rsidR="00665E73">
        <w:t xml:space="preserve">a </w:t>
      </w:r>
      <w:r w:rsidRPr="008445F0" w:rsidR="00665E73">
        <w:t xml:space="preserve">list of available channels via </w:t>
      </w:r>
      <w:r w:rsidR="00665E73">
        <w:t>another device (Mode I), or themselves include</w:t>
      </w:r>
      <w:r w:rsidRPr="008445F0" w:rsidR="00665E73">
        <w:t xml:space="preserve"> geo-location and database access capabilities </w:t>
      </w:r>
      <w:r w:rsidR="00665E73">
        <w:t>(</w:t>
      </w:r>
      <w:r w:rsidRPr="008445F0" w:rsidR="00665E73">
        <w:t>Mode II</w:t>
      </w:r>
      <w:r w:rsidR="00665E73">
        <w:t>).</w:t>
      </w:r>
      <w:r>
        <w:rPr>
          <w:sz w:val="20"/>
          <w:vertAlign w:val="superscript"/>
        </w:rPr>
        <w:footnoteReference w:id="8"/>
      </w:r>
    </w:p>
    <w:p w:rsidR="00E7741F" w:rsidRPr="00E7741F" w:rsidP="00E7741F">
      <w:pPr>
        <w:pStyle w:val="ParaNum"/>
      </w:pPr>
      <w:r>
        <w:t>In the</w:t>
      </w:r>
      <w:r w:rsidR="00330CDD">
        <w:t xml:space="preserve"> 2015</w:t>
      </w:r>
      <w:r>
        <w:t xml:space="preserve"> </w:t>
      </w:r>
      <w:r>
        <w:rPr>
          <w:i/>
        </w:rPr>
        <w:t xml:space="preserve">White Spaces </w:t>
      </w:r>
      <w:r w:rsidRPr="00AB1668">
        <w:rPr>
          <w:i/>
        </w:rPr>
        <w:t>Order</w:t>
      </w:r>
      <w:r>
        <w:t xml:space="preserve">, the </w:t>
      </w:r>
      <w:r w:rsidR="00B1439D">
        <w:t xml:space="preserve">Commission </w:t>
      </w:r>
      <w:r w:rsidR="009A1DB3">
        <w:t xml:space="preserve">took additional action </w:t>
      </w:r>
      <w:r w:rsidR="00B122AF">
        <w:t>to</w:t>
      </w:r>
      <w:r w:rsidR="00B1439D">
        <w:t xml:space="preserve"> promote white space device </w:t>
      </w:r>
      <w:r w:rsidR="00330CDD">
        <w:t xml:space="preserve">usage in </w:t>
      </w:r>
      <w:r w:rsidR="00B1439D">
        <w:t xml:space="preserve">the repacked TV bands </w:t>
      </w:r>
      <w:r>
        <w:t xml:space="preserve">following the </w:t>
      </w:r>
      <w:r w:rsidR="00BC1605">
        <w:t xml:space="preserve">broadcast TV </w:t>
      </w:r>
      <w:r w:rsidR="004258D4">
        <w:t xml:space="preserve">spectrum </w:t>
      </w:r>
      <w:r>
        <w:t>incentive auction</w:t>
      </w:r>
      <w:r w:rsidR="00BF15DB">
        <w:t xml:space="preserve">, and it also </w:t>
      </w:r>
      <w:r w:rsidR="00B1439D">
        <w:t>authoriz</w:t>
      </w:r>
      <w:r w:rsidR="00111B36">
        <w:t>ed</w:t>
      </w:r>
      <w:r w:rsidR="00B1439D">
        <w:t xml:space="preserve"> </w:t>
      </w:r>
      <w:r w:rsidR="00295FD5">
        <w:t xml:space="preserve">white space device </w:t>
      </w:r>
      <w:r w:rsidR="00E65BD6">
        <w:t xml:space="preserve">operations </w:t>
      </w:r>
      <w:r w:rsidR="00BF15DB">
        <w:t xml:space="preserve">in </w:t>
      </w:r>
      <w:r w:rsidR="00EF4F37">
        <w:t xml:space="preserve">the </w:t>
      </w:r>
      <w:r w:rsidRPr="00E7741F" w:rsidR="00EF4F37">
        <w:t>600 MHz duplex gap</w:t>
      </w:r>
      <w:r w:rsidR="00C67687">
        <w:t xml:space="preserve">, in </w:t>
      </w:r>
      <w:r w:rsidR="00A13C08">
        <w:t xml:space="preserve">unused spectrum in the </w:t>
      </w:r>
      <w:r w:rsidR="00EF4F37">
        <w:t xml:space="preserve">600 MHz service band </w:t>
      </w:r>
      <w:r w:rsidR="00A13C08">
        <w:t>(</w:t>
      </w:r>
      <w:r w:rsidR="00EF4F37">
        <w:t xml:space="preserve">at locations where </w:t>
      </w:r>
      <w:r w:rsidR="00EF6E50">
        <w:t xml:space="preserve">600 MHz service </w:t>
      </w:r>
      <w:r w:rsidR="00EF4F37">
        <w:t>licensees ha</w:t>
      </w:r>
      <w:r w:rsidR="00FB01BC">
        <w:t>d</w:t>
      </w:r>
      <w:r w:rsidR="00EF4F37">
        <w:t xml:space="preserve"> not commenced operations</w:t>
      </w:r>
      <w:r w:rsidR="00A13C08">
        <w:t>)</w:t>
      </w:r>
      <w:r w:rsidR="00F1343D">
        <w:t>,</w:t>
      </w:r>
      <w:r w:rsidR="00EF4F37">
        <w:t xml:space="preserve"> </w:t>
      </w:r>
      <w:r w:rsidRPr="00E7741F" w:rsidR="00EF4F37">
        <w:t xml:space="preserve">and </w:t>
      </w:r>
      <w:r w:rsidR="00C67687">
        <w:t>un</w:t>
      </w:r>
      <w:r w:rsidR="005D42E3">
        <w:t>u</w:t>
      </w:r>
      <w:r w:rsidR="00C67687">
        <w:t xml:space="preserve">sed portions of </w:t>
      </w:r>
      <w:r w:rsidRPr="00E7741F" w:rsidR="00EF4F37">
        <w:t>television channel 37</w:t>
      </w:r>
      <w:r w:rsidR="00FB01BC">
        <w:t xml:space="preserve"> (in areas that would not</w:t>
      </w:r>
      <w:r w:rsidR="00BC1605">
        <w:t xml:space="preserve"> interfere </w:t>
      </w:r>
      <w:r w:rsidR="00BA7137">
        <w:t xml:space="preserve">with </w:t>
      </w:r>
      <w:r w:rsidR="00791A51">
        <w:t xml:space="preserve">Radio Astronomy Service and </w:t>
      </w:r>
      <w:r w:rsidR="00BA7137">
        <w:t>Wireless Medical Telemetry Service</w:t>
      </w:r>
      <w:r w:rsidR="005420FD">
        <w:t xml:space="preserve"> </w:t>
      </w:r>
      <w:r w:rsidR="00EA318B">
        <w:t>incumbents</w:t>
      </w:r>
      <w:r w:rsidR="00BF73B5">
        <w:t>)</w:t>
      </w:r>
      <w:r w:rsidRPr="00E7741F" w:rsidR="00EF4F37">
        <w:t>.</w:t>
      </w:r>
      <w:r>
        <w:rPr>
          <w:rStyle w:val="FootnoteReference"/>
        </w:rPr>
        <w:footnoteReference w:id="9"/>
      </w:r>
      <w:r w:rsidRPr="008445F0">
        <w:t xml:space="preserve">   </w:t>
      </w:r>
    </w:p>
    <w:p w:rsidR="00E7741F" w:rsidRPr="00E2039E" w:rsidP="00177BA5">
      <w:pPr>
        <w:pStyle w:val="ParaNum"/>
      </w:pPr>
      <w:r>
        <w:t xml:space="preserve">In </w:t>
      </w:r>
      <w:r w:rsidR="00F116AA">
        <w:t xml:space="preserve">an effort to promote </w:t>
      </w:r>
      <w:r w:rsidR="00B57232">
        <w:t xml:space="preserve">more flexibility for </w:t>
      </w:r>
      <w:r w:rsidR="00B06D18">
        <w:t>white space device operators in rural areas,</w:t>
      </w:r>
      <w:r>
        <w:t xml:space="preserve"> the Commission </w:t>
      </w:r>
      <w:r w:rsidR="009C3999">
        <w:t>permitted fixed white space devices</w:t>
      </w:r>
      <w:r w:rsidR="009F7D62">
        <w:t xml:space="preserve">, </w:t>
      </w:r>
      <w:r w:rsidR="005D42E3">
        <w:t xml:space="preserve">which under then-existing rules were </w:t>
      </w:r>
      <w:r w:rsidR="009F7D62">
        <w:t>limited to</w:t>
      </w:r>
      <w:r w:rsidR="00C31BB0">
        <w:t xml:space="preserve"> no more than</w:t>
      </w:r>
      <w:r w:rsidR="009F7D62">
        <w:t xml:space="preserve"> </w:t>
      </w:r>
      <w:r w:rsidR="00E5315B">
        <w:t>4 watts EIRP,</w:t>
      </w:r>
      <w:r w:rsidR="009C3999">
        <w:t xml:space="preserve"> to operate at higher power levels </w:t>
      </w:r>
      <w:r w:rsidR="005170D9">
        <w:t>of up to 10 watts EIRP</w:t>
      </w:r>
      <w:r w:rsidR="00424900">
        <w:t xml:space="preserve"> </w:t>
      </w:r>
      <w:r w:rsidR="009C3999">
        <w:t xml:space="preserve">in “less congested” </w:t>
      </w:r>
      <w:r w:rsidR="009C3999">
        <w:t xml:space="preserve">areas, </w:t>
      </w:r>
      <w:r w:rsidR="00E228D1">
        <w:t xml:space="preserve">which are </w:t>
      </w:r>
      <w:r w:rsidR="009C3999">
        <w:t xml:space="preserve">defined as those areas where at least half the </w:t>
      </w:r>
      <w:r w:rsidR="00177BA5">
        <w:t xml:space="preserve">television </w:t>
      </w:r>
      <w:r w:rsidR="009C3999">
        <w:t xml:space="preserve">channels </w:t>
      </w:r>
      <w:r w:rsidRPr="00177BA5" w:rsidR="00177BA5">
        <w:t>are unused for broadcast services and available for white space use</w:t>
      </w:r>
      <w:r w:rsidR="009C3999">
        <w:t>.</w:t>
      </w:r>
      <w:r>
        <w:rPr>
          <w:rStyle w:val="FootnoteReference"/>
        </w:rPr>
        <w:footnoteReference w:id="10"/>
      </w:r>
      <w:r w:rsidR="009C3999">
        <w:t xml:space="preserve">  </w:t>
      </w:r>
      <w:r w:rsidR="004E40A1">
        <w:t>In that order, t</w:t>
      </w:r>
      <w:r w:rsidR="00BA7D9B">
        <w:t xml:space="preserve">he Commission </w:t>
      </w:r>
      <w:r w:rsidR="009225D3">
        <w:t xml:space="preserve">retained the existing </w:t>
      </w:r>
      <w:r w:rsidR="007323AE">
        <w:t xml:space="preserve">requirement that fixed devices operate </w:t>
      </w:r>
      <w:r w:rsidR="00F46B2B">
        <w:t xml:space="preserve">on antennas that are </w:t>
      </w:r>
      <w:r w:rsidR="007323AE">
        <w:t>no more than 30 me</w:t>
      </w:r>
      <w:r w:rsidR="00765EA2">
        <w:t>ters</w:t>
      </w:r>
      <w:r w:rsidR="007323AE">
        <w:t xml:space="preserve"> above ground</w:t>
      </w:r>
      <w:r w:rsidR="009A59DE">
        <w:t xml:space="preserve"> </w:t>
      </w:r>
      <w:r w:rsidR="009225D3">
        <w:t xml:space="preserve">and no more than 250 meters </w:t>
      </w:r>
      <w:r w:rsidR="00A13231">
        <w:t xml:space="preserve">height </w:t>
      </w:r>
      <w:r w:rsidR="009C3999">
        <w:t xml:space="preserve">above average terrain </w:t>
      </w:r>
      <w:r w:rsidR="007C4508">
        <w:t>(HAAT)</w:t>
      </w:r>
      <w:r w:rsidR="00F020E1">
        <w:t>.</w:t>
      </w:r>
      <w:r>
        <w:rPr>
          <w:rStyle w:val="FootnoteReference"/>
        </w:rPr>
        <w:footnoteReference w:id="11"/>
      </w:r>
      <w:r w:rsidR="00F020E1">
        <w:t xml:space="preserve">  </w:t>
      </w:r>
      <w:r w:rsidR="00A060D9">
        <w:t xml:space="preserve">Most recently, </w:t>
      </w:r>
      <w:r w:rsidR="00FA77C6">
        <w:t xml:space="preserve">in </w:t>
      </w:r>
      <w:r w:rsidR="00146242">
        <w:t>March 2019</w:t>
      </w:r>
      <w:r w:rsidR="005C7931">
        <w:t>,</w:t>
      </w:r>
      <w:r w:rsidR="00146242">
        <w:t xml:space="preserve"> the Commission adopted </w:t>
      </w:r>
      <w:r w:rsidR="006B2029">
        <w:t>the</w:t>
      </w:r>
      <w:r w:rsidR="00A060D9">
        <w:t xml:space="preserve"> </w:t>
      </w:r>
      <w:r w:rsidR="00A060D9">
        <w:rPr>
          <w:i/>
        </w:rPr>
        <w:t>White Spaces Report and Order and Order on Reconsideration</w:t>
      </w:r>
      <w:r w:rsidR="005C7931">
        <w:rPr>
          <w:iCs/>
        </w:rPr>
        <w:t>,</w:t>
      </w:r>
      <w:r w:rsidR="00146242">
        <w:t xml:space="preserve"> in which it </w:t>
      </w:r>
      <w:r w:rsidR="006F5C52">
        <w:t>provided additional flexibil</w:t>
      </w:r>
      <w:r w:rsidR="00DB14D0">
        <w:t>i</w:t>
      </w:r>
      <w:r w:rsidR="006F5C52">
        <w:t xml:space="preserve">ty for fixed white space devices </w:t>
      </w:r>
      <w:r w:rsidR="00DB14D0">
        <w:t>to operate at up to 100 meters</w:t>
      </w:r>
      <w:r w:rsidR="00BE5BF6">
        <w:t xml:space="preserve"> above ground</w:t>
      </w:r>
      <w:r w:rsidR="00DB14D0">
        <w:t xml:space="preserve"> in “less congested” areas</w:t>
      </w:r>
      <w:r w:rsidR="00A13231">
        <w:t>,</w:t>
      </w:r>
      <w:r w:rsidR="00BE5BF6">
        <w:t xml:space="preserve"> </w:t>
      </w:r>
      <w:r w:rsidR="00CC6971">
        <w:t xml:space="preserve">but </w:t>
      </w:r>
      <w:r w:rsidR="00100E42">
        <w:t>retain</w:t>
      </w:r>
      <w:r w:rsidR="00CC6971">
        <w:t>ed</w:t>
      </w:r>
      <w:r w:rsidR="00894BB3">
        <w:t xml:space="preserve"> the 250 meter HAAT </w:t>
      </w:r>
      <w:r w:rsidR="00A13231">
        <w:t>limitation based on the record before it</w:t>
      </w:r>
      <w:r w:rsidR="00DB14D0">
        <w:t>.</w:t>
      </w:r>
      <w:r>
        <w:rPr>
          <w:rStyle w:val="FootnoteReference"/>
        </w:rPr>
        <w:footnoteReference w:id="12"/>
      </w:r>
      <w:r w:rsidR="008A46FC">
        <w:t xml:space="preserve"> </w:t>
      </w:r>
    </w:p>
    <w:p w:rsidR="00F1343D" w:rsidP="007A46B4">
      <w:pPr>
        <w:pStyle w:val="ParaNum"/>
        <w:rPr>
          <w:color w:val="231F20"/>
        </w:rPr>
      </w:pPr>
      <w:r w:rsidRPr="00657E94">
        <w:t xml:space="preserve">On </w:t>
      </w:r>
      <w:r>
        <w:t>May 3</w:t>
      </w:r>
      <w:r w:rsidRPr="00657E94">
        <w:t>, 201</w:t>
      </w:r>
      <w:r>
        <w:t>9</w:t>
      </w:r>
      <w:r w:rsidRPr="00657E94">
        <w:t xml:space="preserve">, </w:t>
      </w:r>
      <w:r>
        <w:t>Microsoft Corporation</w:t>
      </w:r>
      <w:r w:rsidRPr="00657E94">
        <w:t xml:space="preserve"> filed a </w:t>
      </w:r>
      <w:r w:rsidRPr="009C3999">
        <w:t xml:space="preserve">petition for rulemaking requesting that the Commission </w:t>
      </w:r>
      <w:r w:rsidR="002812B2">
        <w:t>provide additional flexibility</w:t>
      </w:r>
      <w:r w:rsidR="005D3BFA">
        <w:t xml:space="preserve"> for white space device</w:t>
      </w:r>
      <w:r w:rsidR="004E40A1">
        <w:t xml:space="preserve"> operations </w:t>
      </w:r>
      <w:r w:rsidR="005D3BFA">
        <w:t>in the TV bands</w:t>
      </w:r>
      <w:r w:rsidRPr="009C3999">
        <w:t>.</w:t>
      </w:r>
      <w:r>
        <w:rPr>
          <w:rStyle w:val="FootnoteReference"/>
        </w:rPr>
        <w:footnoteReference w:id="13"/>
      </w:r>
      <w:r w:rsidRPr="009C3999">
        <w:t xml:space="preserve">  Specifically, </w:t>
      </w:r>
      <w:r w:rsidR="003B46EC">
        <w:t xml:space="preserve">Microsoft </w:t>
      </w:r>
      <w:r w:rsidRPr="009C3999">
        <w:t xml:space="preserve">requests that the Commission: </w:t>
      </w:r>
      <w:r w:rsidR="00455BBB">
        <w:t>(</w:t>
      </w:r>
      <w:r w:rsidRPr="009C3999">
        <w:t xml:space="preserve">1) permit </w:t>
      </w:r>
      <w:r w:rsidR="00737850">
        <w:t xml:space="preserve">fixed devices </w:t>
      </w:r>
      <w:r w:rsidR="008318A7">
        <w:t xml:space="preserve">in </w:t>
      </w:r>
      <w:r w:rsidR="005D3BFA">
        <w:t>“</w:t>
      </w:r>
      <w:r w:rsidR="008318A7">
        <w:t>less congested</w:t>
      </w:r>
      <w:r w:rsidR="005D3BFA">
        <w:t>”</w:t>
      </w:r>
      <w:r w:rsidR="008318A7">
        <w:t xml:space="preserve"> areas </w:t>
      </w:r>
      <w:r w:rsidR="00737850">
        <w:t xml:space="preserve">to operate at </w:t>
      </w:r>
      <w:r w:rsidRPr="009C3999">
        <w:t>higher radiated power</w:t>
      </w:r>
      <w:r w:rsidR="00CB7E45">
        <w:t>,</w:t>
      </w:r>
      <w:r w:rsidR="005170D9">
        <w:t xml:space="preserve"> up to 16 watts EIRP</w:t>
      </w:r>
      <w:r w:rsidR="00CB7E45">
        <w:t>,</w:t>
      </w:r>
      <w:r w:rsidRPr="009C3999">
        <w:t xml:space="preserve"> to support expansion </w:t>
      </w:r>
      <w:r w:rsidR="00D6354E">
        <w:t xml:space="preserve">of broadband </w:t>
      </w:r>
      <w:r w:rsidRPr="009C3999">
        <w:t xml:space="preserve">in rural America, </w:t>
      </w:r>
      <w:r w:rsidR="00AC3E34">
        <w:t>(</w:t>
      </w:r>
      <w:r w:rsidRPr="009C3999">
        <w:t>2) permit fixed device</w:t>
      </w:r>
      <w:r w:rsidR="002334B1">
        <w:t>s</w:t>
      </w:r>
      <w:r w:rsidRPr="009C3999">
        <w:t xml:space="preserve"> </w:t>
      </w:r>
      <w:r w:rsidR="002334B1">
        <w:t xml:space="preserve">to </w:t>
      </w:r>
      <w:r w:rsidRPr="009C3999">
        <w:t>opera</w:t>
      </w:r>
      <w:r w:rsidR="00E43566">
        <w:t>te</w:t>
      </w:r>
      <w:r w:rsidRPr="009C3999">
        <w:t xml:space="preserve"> </w:t>
      </w:r>
      <w:r w:rsidR="001F3BAF">
        <w:t xml:space="preserve">with </w:t>
      </w:r>
      <w:r w:rsidR="005B6679">
        <w:t xml:space="preserve">higher </w:t>
      </w:r>
      <w:r w:rsidRPr="009C3999">
        <w:t>HAAT</w:t>
      </w:r>
      <w:r w:rsidR="00330CDD">
        <w:t xml:space="preserve">, </w:t>
      </w:r>
      <w:r w:rsidRPr="009C3999" w:rsidR="00330CDD">
        <w:t>up to 500 meters</w:t>
      </w:r>
      <w:r w:rsidR="005B6679">
        <w:t>,</w:t>
      </w:r>
      <w:r w:rsidRPr="009C3999">
        <w:t xml:space="preserve"> to improve rural coverage, </w:t>
      </w:r>
      <w:r w:rsidR="00F01296">
        <w:t>(</w:t>
      </w:r>
      <w:r w:rsidRPr="009C3999">
        <w:t>3)</w:t>
      </w:r>
      <w:r w:rsidR="00E63926">
        <w:t xml:space="preserve"> </w:t>
      </w:r>
      <w:r w:rsidRPr="009C3999">
        <w:t xml:space="preserve">examine the possibility of authorizing higher-power operations on first-adjacent channels to </w:t>
      </w:r>
      <w:r w:rsidR="00CD2539">
        <w:t>TV operations</w:t>
      </w:r>
      <w:r w:rsidRPr="009C3999">
        <w:t>, with appropriate safeguards to prevent harmful interference,</w:t>
      </w:r>
      <w:r w:rsidR="005420FD">
        <w:t xml:space="preserve"> </w:t>
      </w:r>
      <w:r w:rsidR="00C24D39">
        <w:t xml:space="preserve">(4) </w:t>
      </w:r>
      <w:r w:rsidRPr="009C3999" w:rsidR="00D62EBF">
        <w:t xml:space="preserve">permit </w:t>
      </w:r>
      <w:r w:rsidR="00DA205F">
        <w:t>higher power mobile</w:t>
      </w:r>
      <w:r w:rsidRPr="009C3999" w:rsidR="00D62EBF">
        <w:t xml:space="preserve"> operations within geo</w:t>
      </w:r>
      <w:r w:rsidR="00756C8C">
        <w:t>-</w:t>
      </w:r>
      <w:r w:rsidRPr="009C3999" w:rsidR="00D62EBF">
        <w:t>fenced areas</w:t>
      </w:r>
      <w:r w:rsidR="005C7931">
        <w:t>,</w:t>
      </w:r>
      <w:r w:rsidR="00D62EBF">
        <w:t xml:space="preserve"> </w:t>
      </w:r>
      <w:r w:rsidR="008A6898">
        <w:t>and (5</w:t>
      </w:r>
      <w:r w:rsidRPr="009C3999">
        <w:t xml:space="preserve">) adjust </w:t>
      </w:r>
      <w:r w:rsidR="005170D9">
        <w:t>the</w:t>
      </w:r>
      <w:r w:rsidRPr="009C3999">
        <w:t xml:space="preserve"> rules to support narrowband IoT</w:t>
      </w:r>
      <w:r w:rsidR="00573F09">
        <w:t xml:space="preserve"> white space devices</w:t>
      </w:r>
      <w:r w:rsidR="003D5C6A">
        <w:t>.</w:t>
      </w:r>
      <w:r>
        <w:rPr>
          <w:rStyle w:val="FootnoteReference"/>
        </w:rPr>
        <w:footnoteReference w:id="14"/>
      </w:r>
      <w:r w:rsidR="00792142">
        <w:rPr>
          <w:color w:val="231F20"/>
        </w:rPr>
        <w:t xml:space="preserve">  </w:t>
      </w:r>
    </w:p>
    <w:p w:rsidR="00AE4B24" w:rsidRPr="007A46B4" w:rsidP="007A46B4">
      <w:pPr>
        <w:pStyle w:val="ParaNum"/>
        <w:rPr>
          <w:color w:val="231F20"/>
        </w:rPr>
      </w:pPr>
      <w:r>
        <w:rPr>
          <w:color w:val="231F20"/>
        </w:rPr>
        <w:t>The</w:t>
      </w:r>
      <w:r w:rsidR="006D0043">
        <w:rPr>
          <w:color w:val="231F20"/>
        </w:rPr>
        <w:t xml:space="preserve"> C</w:t>
      </w:r>
      <w:r w:rsidRPr="001C44AA" w:rsidR="006D0043">
        <w:t>ommission</w:t>
      </w:r>
      <w:r w:rsidR="006D0043">
        <w:rPr>
          <w:color w:val="231F20"/>
        </w:rPr>
        <w:t xml:space="preserve"> </w:t>
      </w:r>
      <w:r>
        <w:rPr>
          <w:color w:val="231F20"/>
        </w:rPr>
        <w:t>sought</w:t>
      </w:r>
      <w:r w:rsidR="007A46B4">
        <w:rPr>
          <w:color w:val="231F20"/>
        </w:rPr>
        <w:t xml:space="preserve"> </w:t>
      </w:r>
      <w:r w:rsidR="006D0043">
        <w:rPr>
          <w:color w:val="231F20"/>
        </w:rPr>
        <w:t>comment on the petition</w:t>
      </w:r>
      <w:r w:rsidR="007A46B4">
        <w:rPr>
          <w:color w:val="231F20"/>
        </w:rPr>
        <w:t>,</w:t>
      </w:r>
      <w:r>
        <w:rPr>
          <w:rStyle w:val="FootnoteReference"/>
          <w:color w:val="231F20"/>
        </w:rPr>
        <w:footnoteReference w:id="15"/>
      </w:r>
      <w:r w:rsidR="00D405F1">
        <w:rPr>
          <w:color w:val="231F20"/>
        </w:rPr>
        <w:t xml:space="preserve"> </w:t>
      </w:r>
      <w:r>
        <w:rPr>
          <w:color w:val="231F20"/>
        </w:rPr>
        <w:t xml:space="preserve">and </w:t>
      </w:r>
      <w:r w:rsidR="004506CB">
        <w:rPr>
          <w:color w:val="231F20"/>
        </w:rPr>
        <w:t>21</w:t>
      </w:r>
      <w:r w:rsidR="006D0043">
        <w:rPr>
          <w:color w:val="231F20"/>
        </w:rPr>
        <w:t xml:space="preserve"> parties filed comments </w:t>
      </w:r>
      <w:r w:rsidRPr="002D7587" w:rsidR="006D0043">
        <w:rPr>
          <w:color w:val="231F20"/>
        </w:rPr>
        <w:t xml:space="preserve">and </w:t>
      </w:r>
      <w:r w:rsidR="004506CB">
        <w:rPr>
          <w:color w:val="231F20"/>
        </w:rPr>
        <w:t>16</w:t>
      </w:r>
      <w:r w:rsidRPr="002D7587" w:rsidR="006D0043">
        <w:rPr>
          <w:color w:val="231F20"/>
        </w:rPr>
        <w:t xml:space="preserve"> </w:t>
      </w:r>
      <w:r w:rsidRPr="00D1400B" w:rsidR="006D0043">
        <w:t>parties</w:t>
      </w:r>
      <w:r w:rsidRPr="002D7587" w:rsidR="006D0043">
        <w:rPr>
          <w:color w:val="231F20"/>
        </w:rPr>
        <w:t xml:space="preserve"> filed</w:t>
      </w:r>
      <w:r w:rsidR="006D0043">
        <w:rPr>
          <w:color w:val="231F20"/>
        </w:rPr>
        <w:t xml:space="preserve"> reply comments.</w:t>
      </w:r>
      <w:r w:rsidRPr="008D465B" w:rsidR="008D465B">
        <w:rPr>
          <w:color w:val="231F20"/>
        </w:rPr>
        <w:t xml:space="preserve"> </w:t>
      </w:r>
      <w:r w:rsidR="00964A26">
        <w:rPr>
          <w:color w:val="231F20"/>
        </w:rPr>
        <w:t xml:space="preserve"> </w:t>
      </w:r>
      <w:r w:rsidR="008D465B">
        <w:rPr>
          <w:color w:val="231F20"/>
        </w:rPr>
        <w:t xml:space="preserve">These commenters include </w:t>
      </w:r>
      <w:r w:rsidR="00964A26">
        <w:rPr>
          <w:color w:val="231F20"/>
        </w:rPr>
        <w:t xml:space="preserve">several proponents of </w:t>
      </w:r>
      <w:r w:rsidR="008D465B">
        <w:rPr>
          <w:color w:val="231F20"/>
        </w:rPr>
        <w:t>white space device operations</w:t>
      </w:r>
      <w:r w:rsidR="009B1703">
        <w:rPr>
          <w:color w:val="231F20"/>
        </w:rPr>
        <w:t xml:space="preserve"> generally supporting Microsoft’s proposals</w:t>
      </w:r>
      <w:r w:rsidR="008D465B">
        <w:rPr>
          <w:color w:val="231F20"/>
        </w:rPr>
        <w:t>, the National Association of Broadcasters</w:t>
      </w:r>
      <w:r w:rsidR="003A332C">
        <w:rPr>
          <w:color w:val="231F20"/>
        </w:rPr>
        <w:t xml:space="preserve"> (NAB)</w:t>
      </w:r>
      <w:r w:rsidR="008D465B">
        <w:rPr>
          <w:color w:val="231F20"/>
        </w:rPr>
        <w:t xml:space="preserve">, </w:t>
      </w:r>
      <w:r w:rsidR="004E1B15">
        <w:rPr>
          <w:color w:val="231F20"/>
        </w:rPr>
        <w:t xml:space="preserve">commenters concerned about </w:t>
      </w:r>
      <w:r w:rsidR="00CD2539">
        <w:rPr>
          <w:color w:val="231F20"/>
        </w:rPr>
        <w:t xml:space="preserve">protecting </w:t>
      </w:r>
      <w:r w:rsidR="004E1B15">
        <w:rPr>
          <w:color w:val="231F20"/>
        </w:rPr>
        <w:t xml:space="preserve">Wireless Medical Telemetry Service operations on Channel 37, and </w:t>
      </w:r>
      <w:r w:rsidR="008D465B">
        <w:rPr>
          <w:color w:val="231F20"/>
        </w:rPr>
        <w:t>commenters</w:t>
      </w:r>
      <w:r w:rsidR="00D152F4">
        <w:rPr>
          <w:color w:val="231F20"/>
        </w:rPr>
        <w:t xml:space="preserve"> concerned about </w:t>
      </w:r>
      <w:r w:rsidR="00CD2539">
        <w:rPr>
          <w:color w:val="231F20"/>
        </w:rPr>
        <w:t xml:space="preserve">the </w:t>
      </w:r>
      <w:r w:rsidR="00FC2134">
        <w:rPr>
          <w:color w:val="231F20"/>
        </w:rPr>
        <w:t xml:space="preserve">potential effect of </w:t>
      </w:r>
      <w:r w:rsidR="00A118EE">
        <w:rPr>
          <w:color w:val="231F20"/>
        </w:rPr>
        <w:t xml:space="preserve">Microsoft’s </w:t>
      </w:r>
      <w:r w:rsidR="00FC2134">
        <w:rPr>
          <w:color w:val="231F20"/>
        </w:rPr>
        <w:t xml:space="preserve">proposals on </w:t>
      </w:r>
      <w:r w:rsidR="00D152F4">
        <w:rPr>
          <w:color w:val="231F20"/>
        </w:rPr>
        <w:t xml:space="preserve">wireless microphone </w:t>
      </w:r>
      <w:r w:rsidR="00256032">
        <w:rPr>
          <w:color w:val="231F20"/>
        </w:rPr>
        <w:t xml:space="preserve">users that </w:t>
      </w:r>
      <w:r w:rsidR="00482AD7">
        <w:rPr>
          <w:color w:val="231F20"/>
        </w:rPr>
        <w:t xml:space="preserve">also operate on </w:t>
      </w:r>
      <w:r w:rsidR="00CD2539">
        <w:rPr>
          <w:color w:val="231F20"/>
        </w:rPr>
        <w:t xml:space="preserve">TV broadcast </w:t>
      </w:r>
      <w:r w:rsidR="00482AD7">
        <w:rPr>
          <w:color w:val="231F20"/>
        </w:rPr>
        <w:t xml:space="preserve">spectrum not </w:t>
      </w:r>
      <w:r w:rsidR="000B1F27">
        <w:rPr>
          <w:color w:val="231F20"/>
        </w:rPr>
        <w:t>being used by other authorized services</w:t>
      </w:r>
      <w:r w:rsidR="00B6738D">
        <w:rPr>
          <w:color w:val="231F20"/>
        </w:rPr>
        <w:t>.</w:t>
      </w:r>
      <w:r w:rsidR="006D0043">
        <w:rPr>
          <w:color w:val="231F20"/>
        </w:rPr>
        <w:t xml:space="preserve"> </w:t>
      </w:r>
    </w:p>
    <w:p w:rsidR="00AE4B24" w:rsidP="00AE4B24">
      <w:pPr>
        <w:pStyle w:val="Heading1"/>
      </w:pPr>
      <w:bookmarkStart w:id="28" w:name="_Toc15973986"/>
      <w:bookmarkStart w:id="29" w:name="_Toc16172271"/>
      <w:bookmarkStart w:id="30" w:name="_Toc17356047"/>
      <w:bookmarkStart w:id="31" w:name="_Toc17362398"/>
      <w:bookmarkStart w:id="32" w:name="_Toc21593284"/>
      <w:bookmarkStart w:id="33" w:name="_Toc22213758"/>
      <w:bookmarkStart w:id="34" w:name="_Toc22628837"/>
      <w:bookmarkStart w:id="35" w:name="_Toc22740309"/>
      <w:bookmarkStart w:id="36" w:name="_Toc22822472"/>
      <w:bookmarkStart w:id="37" w:name="_Toc30693981"/>
      <w:bookmarkStart w:id="38" w:name="_Toc31721168"/>
      <w:bookmarkStart w:id="39" w:name="_Toc33614416"/>
      <w:r>
        <w:t>Discussion</w:t>
      </w:r>
      <w:bookmarkEnd w:id="28"/>
      <w:bookmarkEnd w:id="29"/>
      <w:bookmarkEnd w:id="30"/>
      <w:bookmarkEnd w:id="31"/>
      <w:bookmarkEnd w:id="32"/>
      <w:bookmarkEnd w:id="33"/>
      <w:bookmarkEnd w:id="34"/>
      <w:bookmarkEnd w:id="35"/>
      <w:bookmarkEnd w:id="36"/>
      <w:bookmarkEnd w:id="37"/>
      <w:bookmarkEnd w:id="38"/>
      <w:bookmarkEnd w:id="39"/>
    </w:p>
    <w:p w:rsidR="00AE4B24" w:rsidP="00F1343D">
      <w:pPr>
        <w:pStyle w:val="ParaNum"/>
        <w:widowControl/>
      </w:pPr>
      <w:r>
        <w:t>W</w:t>
      </w:r>
      <w:r w:rsidR="00496B90">
        <w:t xml:space="preserve">e propose </w:t>
      </w:r>
      <w:r w:rsidR="00177BA5">
        <w:t xml:space="preserve">targeted </w:t>
      </w:r>
      <w:r w:rsidR="00496B90">
        <w:t xml:space="preserve">changes to the white space device rules </w:t>
      </w:r>
      <w:r w:rsidR="00E64509">
        <w:t xml:space="preserve">in the TV bands </w:t>
      </w:r>
      <w:r w:rsidR="00904071">
        <w:t>to</w:t>
      </w:r>
      <w:r w:rsidR="00C90765">
        <w:t xml:space="preserve"> provide improved broadband coverage </w:t>
      </w:r>
      <w:r w:rsidR="00904071">
        <w:t xml:space="preserve">that will </w:t>
      </w:r>
      <w:r w:rsidR="00C90765">
        <w:t xml:space="preserve">benefit </w:t>
      </w:r>
      <w:r w:rsidR="002E28BA">
        <w:t xml:space="preserve">American consumers </w:t>
      </w:r>
      <w:r w:rsidR="00C90765">
        <w:t>in rural and underserved areas</w:t>
      </w:r>
      <w:r w:rsidR="00496B90">
        <w:t xml:space="preserve">. </w:t>
      </w:r>
      <w:r w:rsidR="00D34677">
        <w:t xml:space="preserve"> </w:t>
      </w:r>
      <w:r w:rsidR="00496B90">
        <w:t xml:space="preserve">Specifically, we propose to permit higher </w:t>
      </w:r>
      <w:r w:rsidR="00C90765">
        <w:t xml:space="preserve">transmit </w:t>
      </w:r>
      <w:r w:rsidR="00496B90">
        <w:t xml:space="preserve">power and </w:t>
      </w:r>
      <w:r w:rsidR="00D20D23">
        <w:t xml:space="preserve">higher </w:t>
      </w:r>
      <w:r w:rsidR="00496B90">
        <w:t>antenna HAAT for fixed white space devices</w:t>
      </w:r>
      <w:r w:rsidR="00C769AF">
        <w:t xml:space="preserve"> </w:t>
      </w:r>
      <w:r w:rsidR="000B24EF">
        <w:t>in “</w:t>
      </w:r>
      <w:r w:rsidR="00C769AF">
        <w:t>less congested</w:t>
      </w:r>
      <w:r w:rsidR="000B24EF">
        <w:t>”</w:t>
      </w:r>
      <w:r w:rsidR="00C769AF">
        <w:t xml:space="preserve"> </w:t>
      </w:r>
      <w:r w:rsidR="00CD2539">
        <w:t xml:space="preserve">geographic </w:t>
      </w:r>
      <w:r w:rsidR="00C769AF">
        <w:t>areas</w:t>
      </w:r>
      <w:r w:rsidR="006E64CF">
        <w:t xml:space="preserve">.  In addition, we propose </w:t>
      </w:r>
      <w:r w:rsidR="00496B90">
        <w:t xml:space="preserve">to permit </w:t>
      </w:r>
      <w:r w:rsidR="00DA205F">
        <w:t>higher power mobile</w:t>
      </w:r>
      <w:r w:rsidR="00496B90">
        <w:t xml:space="preserve"> operation </w:t>
      </w:r>
      <w:r w:rsidR="00B10E3C">
        <w:t xml:space="preserve">within </w:t>
      </w:r>
      <w:r w:rsidR="00671C4D">
        <w:t>“</w:t>
      </w:r>
      <w:r w:rsidR="00B10E3C">
        <w:t>geo</w:t>
      </w:r>
      <w:r w:rsidR="005420FD">
        <w:t>-</w:t>
      </w:r>
      <w:r w:rsidR="00B10E3C">
        <w:t>fenced</w:t>
      </w:r>
      <w:r w:rsidR="00671C4D">
        <w:t>”</w:t>
      </w:r>
      <w:r w:rsidR="00B10E3C">
        <w:t xml:space="preserve"> </w:t>
      </w:r>
      <w:r w:rsidR="008C6BE3">
        <w:t>areas</w:t>
      </w:r>
      <w:r w:rsidR="00C90765">
        <w:t>.</w:t>
      </w:r>
      <w:r>
        <w:rPr>
          <w:rStyle w:val="FootnoteReference"/>
        </w:rPr>
        <w:footnoteReference w:id="16"/>
      </w:r>
      <w:r w:rsidR="00C90765">
        <w:t xml:space="preserve">  We also propose </w:t>
      </w:r>
      <w:r w:rsidR="004B3E38">
        <w:t xml:space="preserve">rule </w:t>
      </w:r>
      <w:r w:rsidR="004864EA">
        <w:t xml:space="preserve">revisions </w:t>
      </w:r>
      <w:r w:rsidR="00FD1195">
        <w:t>designed to</w:t>
      </w:r>
      <w:r w:rsidR="00C90765">
        <w:t xml:space="preserve"> </w:t>
      </w:r>
      <w:r w:rsidR="00FD1195">
        <w:t>facilitate</w:t>
      </w:r>
      <w:r w:rsidR="00C90765">
        <w:t xml:space="preserve"> the </w:t>
      </w:r>
      <w:r w:rsidR="00C90765">
        <w:t xml:space="preserve">development of new and innovative narrowband IoT services.  </w:t>
      </w:r>
      <w:r w:rsidR="005553ED">
        <w:t>W</w:t>
      </w:r>
      <w:r w:rsidR="00C90765">
        <w:t xml:space="preserve">e </w:t>
      </w:r>
      <w:r w:rsidR="00CD2539">
        <w:t xml:space="preserve">also </w:t>
      </w:r>
      <w:r w:rsidR="00C90765">
        <w:t xml:space="preserve">seek comment on methods that could be used to allow higher power operation </w:t>
      </w:r>
      <w:r w:rsidR="00281F62">
        <w:t xml:space="preserve">by white space devices </w:t>
      </w:r>
      <w:r w:rsidR="00C90765">
        <w:t xml:space="preserve">when </w:t>
      </w:r>
      <w:r w:rsidR="00BA3D6F">
        <w:t xml:space="preserve">operating within the service contour of an </w:t>
      </w:r>
      <w:r w:rsidR="00C90765">
        <w:t>adjacent channel</w:t>
      </w:r>
      <w:r w:rsidR="00BA3D6F">
        <w:t xml:space="preserve"> TV station</w:t>
      </w:r>
      <w:r w:rsidR="00C90765">
        <w:t>.</w:t>
      </w:r>
      <w:r w:rsidR="00BB0E87">
        <w:t xml:space="preserve">  We do not propose any</w:t>
      </w:r>
      <w:r w:rsidR="0061342C">
        <w:t xml:space="preserve"> rule</w:t>
      </w:r>
      <w:r w:rsidR="00BB0E87">
        <w:t xml:space="preserve"> revisions for white space device operations </w:t>
      </w:r>
      <w:r w:rsidR="00D1790E">
        <w:t xml:space="preserve">above TV channel 35, including </w:t>
      </w:r>
      <w:r w:rsidR="00BB0E87">
        <w:t>in the 600 MHz duplex gap or 600 MHz service band.</w:t>
      </w:r>
    </w:p>
    <w:p w:rsidR="005F5FA9" w:rsidP="008C62D5">
      <w:pPr>
        <w:pStyle w:val="Heading2"/>
      </w:pPr>
      <w:bookmarkStart w:id="40" w:name="_Toc16172272"/>
      <w:bookmarkStart w:id="41" w:name="_Toc17356048"/>
      <w:bookmarkStart w:id="42" w:name="_Toc17362399"/>
      <w:bookmarkStart w:id="43" w:name="_Toc21593285"/>
      <w:bookmarkStart w:id="44" w:name="_Toc22213759"/>
      <w:bookmarkStart w:id="45" w:name="_Toc22628838"/>
      <w:bookmarkStart w:id="46" w:name="_Toc22740310"/>
      <w:bookmarkStart w:id="47" w:name="_Toc22822473"/>
      <w:bookmarkStart w:id="48" w:name="_Toc30693982"/>
      <w:bookmarkStart w:id="49" w:name="_Toc31721169"/>
      <w:bookmarkStart w:id="50" w:name="_Toc33614417"/>
      <w:r>
        <w:t>Fixed white space devices</w:t>
      </w:r>
      <w:r>
        <w:t xml:space="preserve"> in </w:t>
      </w:r>
      <w:r w:rsidR="00D70509">
        <w:t>rural</w:t>
      </w:r>
      <w:r>
        <w:t xml:space="preserve"> areas</w:t>
      </w:r>
      <w:bookmarkEnd w:id="40"/>
      <w:bookmarkEnd w:id="41"/>
      <w:bookmarkEnd w:id="42"/>
      <w:bookmarkEnd w:id="43"/>
      <w:bookmarkEnd w:id="44"/>
      <w:bookmarkEnd w:id="45"/>
      <w:bookmarkEnd w:id="46"/>
      <w:bookmarkEnd w:id="47"/>
      <w:r w:rsidR="004A6147">
        <w:t xml:space="preserve"> </w:t>
      </w:r>
      <w:r w:rsidR="005420FD">
        <w:t>in</w:t>
      </w:r>
      <w:r w:rsidR="004A6147">
        <w:t xml:space="preserve"> the TV bands</w:t>
      </w:r>
      <w:bookmarkEnd w:id="48"/>
      <w:bookmarkEnd w:id="49"/>
      <w:bookmarkEnd w:id="50"/>
    </w:p>
    <w:p w:rsidR="00D70509" w:rsidRPr="00D70509" w:rsidP="00D70509">
      <w:pPr>
        <w:pStyle w:val="ParaNum"/>
      </w:pPr>
      <w:r>
        <w:t xml:space="preserve">We </w:t>
      </w:r>
      <w:r>
        <w:t xml:space="preserve">propose </w:t>
      </w:r>
      <w:r>
        <w:t xml:space="preserve">rule </w:t>
      </w:r>
      <w:r>
        <w:t xml:space="preserve">changes for fixed white space </w:t>
      </w:r>
      <w:r>
        <w:t xml:space="preserve">devices </w:t>
      </w:r>
      <w:r w:rsidR="008C62D5">
        <w:t xml:space="preserve">that operate in the TV bands in order </w:t>
      </w:r>
      <w:r>
        <w:t xml:space="preserve">to enable improved broadband </w:t>
      </w:r>
      <w:r w:rsidR="007F4541">
        <w:t>service</w:t>
      </w:r>
      <w:r>
        <w:t xml:space="preserve"> in </w:t>
      </w:r>
      <w:r w:rsidR="00BA73CE">
        <w:t>rural areas</w:t>
      </w:r>
      <w:r w:rsidR="00E15707">
        <w:t xml:space="preserve"> and underserved areas, defined</w:t>
      </w:r>
      <w:r w:rsidR="009816C7">
        <w:t xml:space="preserve"> as </w:t>
      </w:r>
      <w:r w:rsidR="00E15707">
        <w:t>“</w:t>
      </w:r>
      <w:r>
        <w:t>less congested</w:t>
      </w:r>
      <w:r w:rsidR="00E15707">
        <w:t>”</w:t>
      </w:r>
      <w:r>
        <w:t xml:space="preserve"> areas</w:t>
      </w:r>
      <w:r w:rsidR="00E15707">
        <w:t xml:space="preserve"> in our rules</w:t>
      </w:r>
      <w:r>
        <w:t xml:space="preserve">.  Specifically, we propose to increase the maximum permissible </w:t>
      </w:r>
      <w:r>
        <w:t xml:space="preserve">radiated </w:t>
      </w:r>
      <w:r>
        <w:t xml:space="preserve">power from 10 to 16 watts EIRP </w:t>
      </w:r>
      <w:r w:rsidR="00667958">
        <w:t xml:space="preserve">in these areas, </w:t>
      </w:r>
      <w:r>
        <w:t xml:space="preserve">and </w:t>
      </w:r>
      <w:r w:rsidR="00667958">
        <w:t xml:space="preserve">to increase </w:t>
      </w:r>
      <w:r>
        <w:t>the maximum permissible antenna HAAT from 250 meters to 500 meters.</w:t>
      </w:r>
      <w:r>
        <w:rPr>
          <w:rStyle w:val="FootnoteReference"/>
        </w:rPr>
        <w:footnoteReference w:id="17"/>
      </w:r>
      <w:r>
        <w:t xml:space="preserve">  </w:t>
      </w:r>
      <w:r w:rsidR="000F7A38">
        <w:t xml:space="preserve">Because the </w:t>
      </w:r>
      <w:r w:rsidR="001F3BAF">
        <w:t xml:space="preserve">maximum transmission </w:t>
      </w:r>
      <w:r w:rsidR="000F7A38">
        <w:t>range of a white space device is a function of both the power and</w:t>
      </w:r>
      <w:r w:rsidR="00310FB4">
        <w:t xml:space="preserve"> </w:t>
      </w:r>
      <w:r w:rsidR="001F3BAF">
        <w:t xml:space="preserve">antenna </w:t>
      </w:r>
      <w:r w:rsidR="00310FB4">
        <w:t xml:space="preserve">HAAT, these changes will enable white space devices to provide broadband service </w:t>
      </w:r>
      <w:r w:rsidR="00BF6A17">
        <w:t>over larger areas</w:t>
      </w:r>
      <w:r w:rsidR="00310FB4">
        <w:t xml:space="preserve">.  </w:t>
      </w:r>
      <w:r w:rsidR="008E2142">
        <w:t xml:space="preserve">Given these proposed </w:t>
      </w:r>
      <w:r w:rsidR="00F220E9">
        <w:t xml:space="preserve">revisions, </w:t>
      </w:r>
      <w:r w:rsidR="008E2142">
        <w:t xml:space="preserve">we also propose to </w:t>
      </w:r>
      <w:r w:rsidR="00BF6A17">
        <w:t>protect other users of the TV bands</w:t>
      </w:r>
      <w:r w:rsidR="000D3E84">
        <w:t xml:space="preserve"> by</w:t>
      </w:r>
      <w:r w:rsidR="00BF6A17">
        <w:t xml:space="preserve"> </w:t>
      </w:r>
      <w:r w:rsidR="000674D0">
        <w:t>increas</w:t>
      </w:r>
      <w:r w:rsidR="000D3E84">
        <w:t>ing</w:t>
      </w:r>
      <w:r w:rsidR="000674D0">
        <w:t xml:space="preserve"> the</w:t>
      </w:r>
      <w:r w:rsidR="00310FB4">
        <w:t xml:space="preserve"> </w:t>
      </w:r>
      <w:r>
        <w:t xml:space="preserve">minimum required separation distances </w:t>
      </w:r>
      <w:r w:rsidR="00BF6A17">
        <w:t>from</w:t>
      </w:r>
      <w:r>
        <w:t xml:space="preserve"> </w:t>
      </w:r>
      <w:r w:rsidR="00CD2539">
        <w:t xml:space="preserve">protected </w:t>
      </w:r>
      <w:r>
        <w:t xml:space="preserve">TV </w:t>
      </w:r>
      <w:r w:rsidR="00CD2539">
        <w:t xml:space="preserve">service contours </w:t>
      </w:r>
      <w:r>
        <w:t>and other protected services</w:t>
      </w:r>
      <w:r w:rsidR="00310FB4">
        <w:t xml:space="preserve"> </w:t>
      </w:r>
      <w:r w:rsidR="00BF6A17">
        <w:t xml:space="preserve">for </w:t>
      </w:r>
      <w:r w:rsidR="00DF2692">
        <w:t xml:space="preserve">white </w:t>
      </w:r>
      <w:r w:rsidR="00BF4AA7">
        <w:t xml:space="preserve">space </w:t>
      </w:r>
      <w:r w:rsidR="00BF6A17">
        <w:t>devices</w:t>
      </w:r>
      <w:r w:rsidR="00310FB4">
        <w:t xml:space="preserve"> operating </w:t>
      </w:r>
      <w:r w:rsidR="00BF6A17">
        <w:t>at</w:t>
      </w:r>
      <w:r w:rsidR="00310FB4">
        <w:t xml:space="preserve"> </w:t>
      </w:r>
      <w:r w:rsidR="00BF6A17">
        <w:t xml:space="preserve">the proposed </w:t>
      </w:r>
      <w:r w:rsidR="00310FB4">
        <w:t>higher power and antenna height</w:t>
      </w:r>
      <w:r w:rsidR="00BF6A17">
        <w:t xml:space="preserve"> limits</w:t>
      </w:r>
      <w:r w:rsidR="002F7B2E">
        <w:t xml:space="preserve">, and we </w:t>
      </w:r>
      <w:r w:rsidR="00130FF4">
        <w:t xml:space="preserve">continue to </w:t>
      </w:r>
      <w:r w:rsidR="00CC3CA9">
        <w:t xml:space="preserve">protect Wireless Medical Telemetry Service </w:t>
      </w:r>
      <w:r w:rsidR="006B5ACE">
        <w:t xml:space="preserve">and </w:t>
      </w:r>
      <w:r w:rsidR="00551F67">
        <w:t>R</w:t>
      </w:r>
      <w:r w:rsidR="006B5ACE">
        <w:t xml:space="preserve">adio </w:t>
      </w:r>
      <w:r w:rsidR="00551F67">
        <w:t>A</w:t>
      </w:r>
      <w:r w:rsidR="006B5ACE">
        <w:t xml:space="preserve">stronomy </w:t>
      </w:r>
      <w:r w:rsidR="00551F67">
        <w:t>Service</w:t>
      </w:r>
      <w:r w:rsidR="00CC3CA9">
        <w:t xml:space="preserve"> </w:t>
      </w:r>
      <w:r w:rsidR="00E96FDD">
        <w:t xml:space="preserve">operations </w:t>
      </w:r>
      <w:r w:rsidR="00CC3CA9">
        <w:t xml:space="preserve">by </w:t>
      </w:r>
      <w:r w:rsidR="00D62015">
        <w:t xml:space="preserve">maintaining the current </w:t>
      </w:r>
      <w:r w:rsidR="00CC3CA9">
        <w:t xml:space="preserve">power </w:t>
      </w:r>
      <w:r w:rsidR="006B5ACE">
        <w:t xml:space="preserve">and HAAT </w:t>
      </w:r>
      <w:r w:rsidR="00726970">
        <w:t xml:space="preserve">limits </w:t>
      </w:r>
      <w:r w:rsidR="009144BF">
        <w:t xml:space="preserve">on </w:t>
      </w:r>
      <w:r w:rsidRPr="00FD6FAA" w:rsidR="009144BF">
        <w:t>Channel 36</w:t>
      </w:r>
      <w:r>
        <w:t>.</w:t>
      </w:r>
      <w:r>
        <w:rPr>
          <w:rStyle w:val="FootnoteReference"/>
        </w:rPr>
        <w:footnoteReference w:id="18"/>
      </w:r>
      <w:r w:rsidR="008C62D5">
        <w:t xml:space="preserve">  We seek comment on the benefits or costs of these proposed changes with respect to white space device users and to authorized users.</w:t>
      </w:r>
    </w:p>
    <w:p w:rsidR="005F5FA9" w:rsidP="00E21FFC">
      <w:pPr>
        <w:pStyle w:val="Heading3"/>
      </w:pPr>
      <w:bookmarkStart w:id="51" w:name="_Toc16172273"/>
      <w:bookmarkStart w:id="52" w:name="_Toc17356049"/>
      <w:bookmarkStart w:id="53" w:name="_Toc17362400"/>
      <w:bookmarkStart w:id="54" w:name="_Toc21593286"/>
      <w:bookmarkStart w:id="55" w:name="_Toc22213760"/>
      <w:bookmarkStart w:id="56" w:name="_Toc22628839"/>
      <w:bookmarkStart w:id="57" w:name="_Toc22740311"/>
      <w:bookmarkStart w:id="58" w:name="_Toc22822474"/>
      <w:bookmarkStart w:id="59" w:name="_Toc30693983"/>
      <w:bookmarkStart w:id="60" w:name="_Toc31721170"/>
      <w:bookmarkStart w:id="61" w:name="_Toc33614418"/>
      <w:r>
        <w:t>Higher</w:t>
      </w:r>
      <w:r w:rsidR="00D70509">
        <w:t xml:space="preserve"> power limits</w:t>
      </w:r>
      <w:bookmarkEnd w:id="51"/>
      <w:bookmarkEnd w:id="52"/>
      <w:bookmarkEnd w:id="53"/>
      <w:bookmarkEnd w:id="54"/>
      <w:bookmarkEnd w:id="55"/>
      <w:bookmarkEnd w:id="56"/>
      <w:bookmarkEnd w:id="57"/>
      <w:bookmarkEnd w:id="58"/>
      <w:bookmarkEnd w:id="59"/>
      <w:bookmarkEnd w:id="60"/>
      <w:bookmarkEnd w:id="61"/>
    </w:p>
    <w:p w:rsidR="00EC7944" w:rsidP="00A70B77">
      <w:pPr>
        <w:pStyle w:val="ParaNum"/>
      </w:pPr>
      <w:r>
        <w:t xml:space="preserve">The rules currently permit fixed white space devices </w:t>
      </w:r>
      <w:r w:rsidR="0036304F">
        <w:t xml:space="preserve">in the TV bands </w:t>
      </w:r>
      <w:r>
        <w:t>to operate with a maximum of four watts EIRP in any area, provided the device meets minimum separation distances from co-channel and adjacent channel users in the band.</w:t>
      </w:r>
      <w:r>
        <w:rPr>
          <w:rStyle w:val="FootnoteReference"/>
        </w:rPr>
        <w:footnoteReference w:id="19"/>
      </w:r>
      <w:r>
        <w:t xml:space="preserve">  In addition, a fixed white space device may operate with a higher power of up to 10 watts EIRP </w:t>
      </w:r>
      <w:r w:rsidR="003A3568">
        <w:t xml:space="preserve">in the TV bands (except Channel 36) </w:t>
      </w:r>
      <w:r>
        <w:t xml:space="preserve">in “less congested” areas, defined as those areas where at least half the </w:t>
      </w:r>
      <w:r w:rsidR="00276E44">
        <w:t xml:space="preserve">television </w:t>
      </w:r>
      <w:r>
        <w:t>channels in the band of operation (i.e., low VHF, high VHF or UHF) are not in use, and the fixed device complies with increased separation distances from other users in the band.</w:t>
      </w:r>
      <w:r>
        <w:rPr>
          <w:rStyle w:val="FootnoteReference"/>
        </w:rPr>
        <w:footnoteReference w:id="20"/>
      </w:r>
      <w:r w:rsidR="00BC4716">
        <w:t xml:space="preserve">  Fixed white space devices are limited to </w:t>
      </w:r>
      <w:r w:rsidR="00DF0AF8">
        <w:t xml:space="preserve">one-watt </w:t>
      </w:r>
      <w:r w:rsidR="00BC4716">
        <w:t>maximum conducted transmitter power</w:t>
      </w:r>
      <w:r w:rsidR="00DF0AF8">
        <w:t xml:space="preserve"> requiring radiated </w:t>
      </w:r>
      <w:r w:rsidR="00BC4716">
        <w:t xml:space="preserve">power levels above one-watt EIRP </w:t>
      </w:r>
      <w:r w:rsidR="00DF0AF8">
        <w:t xml:space="preserve">to </w:t>
      </w:r>
      <w:r w:rsidR="00BC4716">
        <w:t xml:space="preserve">use an antenna with directional gain, e.g., 6 </w:t>
      </w:r>
      <w:r w:rsidR="00BC4716">
        <w:t>dBi</w:t>
      </w:r>
      <w:r w:rsidR="00BC4716">
        <w:t xml:space="preserve"> to produce four watts EIRP, and 10 </w:t>
      </w:r>
      <w:r w:rsidR="00BC4716">
        <w:t>dBi</w:t>
      </w:r>
      <w:r w:rsidR="00BC4716">
        <w:t xml:space="preserve"> to produce 10 watts EIRP.</w:t>
      </w:r>
      <w:r>
        <w:rPr>
          <w:rStyle w:val="FootnoteReference"/>
        </w:rPr>
        <w:footnoteReference w:id="21"/>
      </w:r>
      <w:r w:rsidR="00BC4716">
        <w:t xml:space="preserve">  </w:t>
      </w:r>
    </w:p>
    <w:p w:rsidR="00E870FE" w:rsidP="006B5ACE">
      <w:pPr>
        <w:pStyle w:val="ParaNum"/>
      </w:pPr>
      <w:r>
        <w:t xml:space="preserve">In its petition, </w:t>
      </w:r>
      <w:r w:rsidR="00BC4716">
        <w:t xml:space="preserve">Microsoft requests that the Commission </w:t>
      </w:r>
      <w:r w:rsidR="00276E44">
        <w:t xml:space="preserve">increase </w:t>
      </w:r>
      <w:r w:rsidR="00DF0AF8">
        <w:t xml:space="preserve">the radiated </w:t>
      </w:r>
      <w:r w:rsidR="00276E44">
        <w:t xml:space="preserve">limit to </w:t>
      </w:r>
      <w:r w:rsidR="00BC4716">
        <w:t xml:space="preserve">permit fixed device </w:t>
      </w:r>
      <w:r w:rsidR="00276E44">
        <w:t xml:space="preserve">operation </w:t>
      </w:r>
      <w:r w:rsidR="00BC4716">
        <w:t xml:space="preserve">with a maximum of 16 watts </w:t>
      </w:r>
      <w:r w:rsidR="00276E44">
        <w:t xml:space="preserve">EIRP </w:t>
      </w:r>
      <w:r w:rsidR="00BC4716">
        <w:t xml:space="preserve">in </w:t>
      </w:r>
      <w:r w:rsidR="00DF4C85">
        <w:t>“</w:t>
      </w:r>
      <w:r w:rsidR="00BC4716">
        <w:t>less congested</w:t>
      </w:r>
      <w:r w:rsidR="00DF4C85">
        <w:t>”</w:t>
      </w:r>
      <w:r w:rsidR="00BC4716">
        <w:t xml:space="preserve"> areas</w:t>
      </w:r>
      <w:r w:rsidR="001F3BAF">
        <w:t>.</w:t>
      </w:r>
      <w:r>
        <w:rPr>
          <w:rStyle w:val="FootnoteReference"/>
        </w:rPr>
        <w:footnoteReference w:id="22"/>
      </w:r>
      <w:r w:rsidR="00DD519F">
        <w:t xml:space="preserve">  </w:t>
      </w:r>
      <w:r w:rsidR="005F282B">
        <w:t>A</w:t>
      </w:r>
      <w:r w:rsidR="00CC1B4F">
        <w:t>dvocates of white space device operations</w:t>
      </w:r>
      <w:r w:rsidR="005F282B">
        <w:t xml:space="preserve"> support </w:t>
      </w:r>
      <w:r>
        <w:t>this request</w:t>
      </w:r>
      <w:r w:rsidR="00140923">
        <w:t>.</w:t>
      </w:r>
      <w:r>
        <w:rPr>
          <w:rStyle w:val="FootnoteReference"/>
        </w:rPr>
        <w:footnoteReference w:id="23"/>
      </w:r>
      <w:r w:rsidR="00D43FE6">
        <w:t xml:space="preserve"> </w:t>
      </w:r>
      <w:r>
        <w:t xml:space="preserve"> </w:t>
      </w:r>
      <w:r w:rsidR="002F5F8D">
        <w:t xml:space="preserve">NAB, commenting on behalf of potentially affected broadcasters, indicates that it does not oppose this </w:t>
      </w:r>
      <w:r w:rsidR="00EA5D2B">
        <w:t>proposal</w:t>
      </w:r>
      <w:r w:rsidR="002F5F8D">
        <w:t xml:space="preserve"> provided </w:t>
      </w:r>
      <w:r w:rsidR="003C1F58">
        <w:t xml:space="preserve">appropriate separation </w:t>
      </w:r>
      <w:r w:rsidR="003C1F58">
        <w:t>distances are established to protect broadcasters</w:t>
      </w:r>
      <w:r w:rsidR="002F5F8D">
        <w:t>.</w:t>
      </w:r>
      <w:r>
        <w:rPr>
          <w:rStyle w:val="FootnoteReference"/>
        </w:rPr>
        <w:footnoteReference w:id="24"/>
      </w:r>
      <w:r w:rsidR="002F5F8D">
        <w:t xml:space="preserve"> </w:t>
      </w:r>
      <w:r w:rsidR="00AC6692">
        <w:t xml:space="preserve"> Similarly, </w:t>
      </w:r>
      <w:r w:rsidR="00270A97">
        <w:t>Sennheiser</w:t>
      </w:r>
      <w:r w:rsidR="00AC6692">
        <w:t xml:space="preserve"> </w:t>
      </w:r>
      <w:r w:rsidR="005C7931">
        <w:t xml:space="preserve">does </w:t>
      </w:r>
      <w:r w:rsidR="00DB494E">
        <w:t xml:space="preserve">not oppose revision provided the separation distances </w:t>
      </w:r>
      <w:r w:rsidR="005C7931">
        <w:t xml:space="preserve">are </w:t>
      </w:r>
      <w:r w:rsidR="005701FC">
        <w:t xml:space="preserve">revised to protect </w:t>
      </w:r>
      <w:r w:rsidR="00DF0AF8">
        <w:t xml:space="preserve">microphone </w:t>
      </w:r>
      <w:r w:rsidR="00FE5174">
        <w:t>operation</w:t>
      </w:r>
      <w:r w:rsidR="00AC6692">
        <w:t>s</w:t>
      </w:r>
      <w:r w:rsidR="00FE5174">
        <w:t>.</w:t>
      </w:r>
      <w:r>
        <w:rPr>
          <w:rStyle w:val="FootnoteReference"/>
        </w:rPr>
        <w:footnoteReference w:id="25"/>
      </w:r>
      <w:r w:rsidR="00FE5174">
        <w:t xml:space="preserve">  </w:t>
      </w:r>
      <w:r w:rsidR="0075086A">
        <w:t>Commenters supporti</w:t>
      </w:r>
      <w:r w:rsidR="00177C0D">
        <w:t xml:space="preserve">ng Wireless Medical Telemetry Service </w:t>
      </w:r>
      <w:r w:rsidR="00333E40">
        <w:t xml:space="preserve">(WMTS) </w:t>
      </w:r>
      <w:r w:rsidR="00177C0D">
        <w:t>operations on Channel 37 oppose any revision</w:t>
      </w:r>
      <w:r w:rsidR="00333E40">
        <w:t xml:space="preserve"> that would </w:t>
      </w:r>
      <w:r w:rsidR="0098495D">
        <w:t>c</w:t>
      </w:r>
      <w:r w:rsidR="00975D4D">
        <w:t xml:space="preserve">hange the existing power limits </w:t>
      </w:r>
      <w:r w:rsidR="003812CC">
        <w:t xml:space="preserve">for white space device operations either on </w:t>
      </w:r>
      <w:r w:rsidR="00975D4D">
        <w:t>Channel 3</w:t>
      </w:r>
      <w:r w:rsidR="00DA7F87">
        <w:t>7</w:t>
      </w:r>
      <w:r w:rsidR="00333E40">
        <w:t xml:space="preserve"> </w:t>
      </w:r>
      <w:r w:rsidR="003812CC">
        <w:t xml:space="preserve">or on </w:t>
      </w:r>
      <w:r w:rsidR="00DA7F87">
        <w:t xml:space="preserve">adjacent </w:t>
      </w:r>
      <w:r w:rsidR="003812CC">
        <w:t>Channel</w:t>
      </w:r>
      <w:r w:rsidR="00DA7F87">
        <w:t>s</w:t>
      </w:r>
      <w:r w:rsidR="003812CC">
        <w:t xml:space="preserve"> 3</w:t>
      </w:r>
      <w:r w:rsidR="00DA7F87">
        <w:t>6 and 38</w:t>
      </w:r>
      <w:r w:rsidR="003812CC">
        <w:t>.</w:t>
      </w:r>
      <w:r>
        <w:rPr>
          <w:rStyle w:val="FootnoteReference"/>
        </w:rPr>
        <w:footnoteReference w:id="26"/>
      </w:r>
      <w:r w:rsidR="00972749">
        <w:t xml:space="preserve"> </w:t>
      </w:r>
    </w:p>
    <w:p w:rsidR="00A1670E" w:rsidP="006B5ACE">
      <w:pPr>
        <w:pStyle w:val="ParaNum"/>
      </w:pPr>
      <w:r>
        <w:t>W</w:t>
      </w:r>
      <w:r w:rsidR="00BC4716">
        <w:t xml:space="preserve">e propose to permit fixed devices to operate </w:t>
      </w:r>
      <w:r w:rsidR="009D5DE7">
        <w:t>in the TV bands</w:t>
      </w:r>
      <w:r>
        <w:t xml:space="preserve">, </w:t>
      </w:r>
      <w:r w:rsidR="00D1790E">
        <w:t>up to Channel 35</w:t>
      </w:r>
      <w:r>
        <w:t>,</w:t>
      </w:r>
      <w:r w:rsidR="009D5DE7">
        <w:t xml:space="preserve"> </w:t>
      </w:r>
      <w:r w:rsidR="00BC4716">
        <w:t xml:space="preserve">with a maximum </w:t>
      </w:r>
      <w:r w:rsidR="00DF0AF8">
        <w:t xml:space="preserve">16 watts </w:t>
      </w:r>
      <w:r w:rsidR="00BC4716">
        <w:t xml:space="preserve">EIRP </w:t>
      </w:r>
      <w:r w:rsidR="00DF0AF8">
        <w:t>(12 dBW)</w:t>
      </w:r>
      <w:r w:rsidR="00DA205F">
        <w:t xml:space="preserve"> </w:t>
      </w:r>
      <w:r w:rsidR="00F4645D">
        <w:t>in</w:t>
      </w:r>
      <w:r w:rsidR="00BC4716">
        <w:t xml:space="preserve"> </w:t>
      </w:r>
      <w:r w:rsidR="00A57876">
        <w:t>“</w:t>
      </w:r>
      <w:r w:rsidR="00BC4716">
        <w:t>less congested</w:t>
      </w:r>
      <w:r w:rsidR="00A57876">
        <w:t>”</w:t>
      </w:r>
      <w:r w:rsidR="00BC4716">
        <w:t xml:space="preserve"> areas</w:t>
      </w:r>
      <w:r w:rsidR="002D0324">
        <w:t>.</w:t>
      </w:r>
      <w:r>
        <w:rPr>
          <w:rStyle w:val="FootnoteReference"/>
        </w:rPr>
        <w:footnoteReference w:id="27"/>
      </w:r>
      <w:r w:rsidR="00F23A62">
        <w:t xml:space="preserve"> </w:t>
      </w:r>
      <w:r w:rsidR="00DF0AF8">
        <w:t xml:space="preserve"> </w:t>
      </w:r>
      <w:r w:rsidR="00270A97">
        <w:t>T</w:t>
      </w:r>
      <w:r w:rsidR="00BC4716">
        <w:t>his change</w:t>
      </w:r>
      <w:r w:rsidR="00062A14">
        <w:t xml:space="preserve"> will permit fixed devices used in less congested</w:t>
      </w:r>
      <w:r w:rsidR="00B3173D">
        <w:t>, including rural,</w:t>
      </w:r>
      <w:r w:rsidR="00062A14">
        <w:t xml:space="preserve"> areas to reach </w:t>
      </w:r>
      <w:r w:rsidR="00195660">
        <w:t xml:space="preserve">users at </w:t>
      </w:r>
      <w:r w:rsidR="00062A14">
        <w:t xml:space="preserve">greater distances, thus enabling improved broadband coverage </w:t>
      </w:r>
      <w:r w:rsidR="00DF0AF8">
        <w:t xml:space="preserve">at less cost </w:t>
      </w:r>
      <w:r w:rsidR="00B3173D">
        <w:t>in these hard</w:t>
      </w:r>
      <w:r w:rsidR="003361F3">
        <w:t>-</w:t>
      </w:r>
      <w:r w:rsidR="00B3173D">
        <w:t>to</w:t>
      </w:r>
      <w:r w:rsidR="003361F3">
        <w:t>-</w:t>
      </w:r>
      <w:r w:rsidR="00B3173D">
        <w:t xml:space="preserve">reach </w:t>
      </w:r>
      <w:r w:rsidR="00D367EC">
        <w:t>areas</w:t>
      </w:r>
      <w:r w:rsidR="00062A14">
        <w:t xml:space="preserve">.  </w:t>
      </w:r>
      <w:r w:rsidR="00582371">
        <w:t xml:space="preserve">Higher power will also enable signals to better penetrate </w:t>
      </w:r>
      <w:r w:rsidR="000A5CCD">
        <w:t>foliage, buildings</w:t>
      </w:r>
      <w:r w:rsidR="003361F3">
        <w:t>,</w:t>
      </w:r>
      <w:r w:rsidR="000A5CCD">
        <w:t xml:space="preserve"> and other obstacles, thus providing improved coverage at locations where there is not a direct line-of-sight to the transmitter. </w:t>
      </w:r>
      <w:r w:rsidR="0091569B">
        <w:t xml:space="preserve"> </w:t>
      </w:r>
      <w:r w:rsidR="00E125AF">
        <w:t xml:space="preserve">  </w:t>
      </w:r>
    </w:p>
    <w:p w:rsidR="00BC4716" w:rsidP="000A3FAE">
      <w:pPr>
        <w:pStyle w:val="ParaNum"/>
        <w:widowControl/>
      </w:pPr>
      <w:r>
        <w:t>Specifically, w</w:t>
      </w:r>
      <w:r w:rsidR="00062A14">
        <w:t xml:space="preserve">e propose to maintain the one-watt transmitter </w:t>
      </w:r>
      <w:r w:rsidR="00B3173D">
        <w:t xml:space="preserve">conducted </w:t>
      </w:r>
      <w:r w:rsidR="00062A14">
        <w:t>power limit for fixed devices and require that</w:t>
      </w:r>
      <w:r w:rsidR="00B3173D">
        <w:t xml:space="preserve"> the</w:t>
      </w:r>
      <w:r w:rsidR="00062A14">
        <w:t xml:space="preserve"> higher power be achieved </w:t>
      </w:r>
      <w:r w:rsidR="00DF0AF8">
        <w:t xml:space="preserve">by using </w:t>
      </w:r>
      <w:r w:rsidR="00062A14">
        <w:t xml:space="preserve">higher gain antennas, </w:t>
      </w:r>
      <w:r w:rsidR="00BF6A17">
        <w:t>i.e.</w:t>
      </w:r>
      <w:r w:rsidR="00062A14">
        <w:t xml:space="preserve">, 12 </w:t>
      </w:r>
      <w:r w:rsidR="00062A14">
        <w:t>dBi</w:t>
      </w:r>
      <w:r w:rsidR="00062A14">
        <w:t xml:space="preserve"> </w:t>
      </w:r>
      <w:r w:rsidR="00BF6A17">
        <w:t>to produce 16 watts EIRP with</w:t>
      </w:r>
      <w:r w:rsidR="00062A14">
        <w:t xml:space="preserve"> one-watt transmitter</w:t>
      </w:r>
      <w:r w:rsidR="00BF6A17">
        <w:t xml:space="preserve"> power</w:t>
      </w:r>
      <w:r w:rsidR="00062A14">
        <w:t xml:space="preserve">. </w:t>
      </w:r>
      <w:r w:rsidR="00B3173D">
        <w:t xml:space="preserve"> </w:t>
      </w:r>
      <w:r w:rsidR="00062A14">
        <w:t xml:space="preserve">Because higher gain antennas are more highly directional, this proposed requirement will </w:t>
      </w:r>
      <w:r w:rsidR="005549F2">
        <w:t xml:space="preserve">improve </w:t>
      </w:r>
      <w:r w:rsidR="00B3173D">
        <w:t xml:space="preserve">spectrum </w:t>
      </w:r>
      <w:r w:rsidR="005549F2">
        <w:t xml:space="preserve">efficiency </w:t>
      </w:r>
      <w:r w:rsidR="002F25A1">
        <w:t xml:space="preserve">by ensuring that less </w:t>
      </w:r>
      <w:r w:rsidR="005549F2">
        <w:t xml:space="preserve">white space device </w:t>
      </w:r>
      <w:r w:rsidR="002F25A1">
        <w:t xml:space="preserve">energy is directed outside the main </w:t>
      </w:r>
      <w:r w:rsidR="00B3173D">
        <w:t xml:space="preserve">antenna </w:t>
      </w:r>
      <w:r w:rsidR="002F25A1">
        <w:t xml:space="preserve">beam than would be the case if we permitted higher transmitter power </w:t>
      </w:r>
      <w:r w:rsidR="001F3BAF">
        <w:t xml:space="preserve">using </w:t>
      </w:r>
      <w:r w:rsidR="002F25A1">
        <w:t>lower gain</w:t>
      </w:r>
      <w:r w:rsidR="00195660">
        <w:t>, less directional</w:t>
      </w:r>
      <w:r w:rsidR="002F25A1">
        <w:t xml:space="preserve"> antennas.</w:t>
      </w:r>
      <w:r w:rsidR="00062A14">
        <w:t xml:space="preserve">  We also propose that in cases where an antenna with a gain higher than 12 dB is used, the transmitter power must be reduced below one-watt by the amount in dB that the antenna gain exceeds 12 </w:t>
      </w:r>
      <w:r w:rsidR="00062A14">
        <w:t>dBi</w:t>
      </w:r>
      <w:r w:rsidR="00062A14">
        <w:t xml:space="preserve">.  </w:t>
      </w:r>
      <w:r w:rsidR="002F25A1">
        <w:t xml:space="preserve">This requirement will ensure that the EIRP from a fixed device does not exceed the </w:t>
      </w:r>
      <w:r w:rsidR="00BA3D6F">
        <w:t xml:space="preserve">proposed </w:t>
      </w:r>
      <w:r w:rsidR="00195660">
        <w:t>16-watt</w:t>
      </w:r>
      <w:r w:rsidR="002F25A1">
        <w:t xml:space="preserve"> limit</w:t>
      </w:r>
      <w:r w:rsidR="00195660">
        <w:t xml:space="preserve"> if </w:t>
      </w:r>
      <w:r w:rsidR="00BF6A17">
        <w:t xml:space="preserve">a </w:t>
      </w:r>
      <w:r w:rsidR="00195660">
        <w:t xml:space="preserve">very high gain antenna </w:t>
      </w:r>
      <w:r w:rsidR="00BF6A17">
        <w:t>is</w:t>
      </w:r>
      <w:r w:rsidR="00195660">
        <w:t xml:space="preserve"> used</w:t>
      </w:r>
      <w:r w:rsidRPr="005549F2" w:rsidR="00195660">
        <w:t>.</w:t>
      </w:r>
      <w:r w:rsidRPr="005549F2" w:rsidR="008A2B78">
        <w:t xml:space="preserve">  </w:t>
      </w:r>
      <w:r w:rsidR="002D68D8">
        <w:t xml:space="preserve">To </w:t>
      </w:r>
      <w:r w:rsidR="00BA3D6F">
        <w:t xml:space="preserve">maintain </w:t>
      </w:r>
      <w:r w:rsidR="002D68D8">
        <w:t>protect</w:t>
      </w:r>
      <w:r w:rsidR="00BA3D6F">
        <w:t>ion for</w:t>
      </w:r>
      <w:r w:rsidR="002D68D8">
        <w:t xml:space="preserve"> Wireless Medical Telemetry Service </w:t>
      </w:r>
      <w:r w:rsidR="006740C5">
        <w:t xml:space="preserve">and radio astronomy </w:t>
      </w:r>
      <w:r w:rsidR="002D68D8">
        <w:t xml:space="preserve">operations on Channel 37, we </w:t>
      </w:r>
      <w:r w:rsidR="00270A97">
        <w:t>do not</w:t>
      </w:r>
      <w:r w:rsidR="002D68D8">
        <w:t xml:space="preserve"> </w:t>
      </w:r>
      <w:r w:rsidR="00905056">
        <w:t xml:space="preserve">propose </w:t>
      </w:r>
      <w:r w:rsidR="002D68D8">
        <w:t xml:space="preserve">to </w:t>
      </w:r>
      <w:r w:rsidR="00BD5087">
        <w:t xml:space="preserve">revise our current rules to permit higher power operations </w:t>
      </w:r>
      <w:r w:rsidR="00D348FD">
        <w:t>in Channel 36</w:t>
      </w:r>
      <w:r w:rsidR="00270A97">
        <w:t xml:space="preserve"> </w:t>
      </w:r>
      <w:r w:rsidR="00D1790E">
        <w:t xml:space="preserve">or higher </w:t>
      </w:r>
      <w:r w:rsidR="00270A97">
        <w:t>at this time</w:t>
      </w:r>
      <w:r w:rsidR="00D348FD">
        <w:t>.</w:t>
      </w:r>
      <w:bookmarkStart w:id="63" w:name="_Ref31286758"/>
      <w:r>
        <w:rPr>
          <w:rStyle w:val="FootnoteReference"/>
        </w:rPr>
        <w:footnoteReference w:id="28"/>
      </w:r>
      <w:bookmarkEnd w:id="63"/>
    </w:p>
    <w:p w:rsidR="00841AD0" w:rsidRPr="00A70B77" w:rsidP="00A70B77">
      <w:pPr>
        <w:pStyle w:val="ParaNum"/>
      </w:pPr>
      <w:r>
        <w:t xml:space="preserve">We seek comment on </w:t>
      </w:r>
      <w:r w:rsidR="00506466">
        <w:t>our</w:t>
      </w:r>
      <w:r w:rsidR="00910F67">
        <w:t xml:space="preserve"> </w:t>
      </w:r>
      <w:r>
        <w:t>proposal</w:t>
      </w:r>
      <w:r w:rsidR="00506466">
        <w:t xml:space="preserve"> for permitting higher power operations </w:t>
      </w:r>
      <w:r w:rsidR="001C1D4F">
        <w:t>in the TV bands (</w:t>
      </w:r>
      <w:r w:rsidR="00270A97">
        <w:t xml:space="preserve">Channels </w:t>
      </w:r>
      <w:r w:rsidR="00905056">
        <w:t>2</w:t>
      </w:r>
      <w:r w:rsidR="00270A97">
        <w:t>-35</w:t>
      </w:r>
      <w:r w:rsidR="001C1D4F">
        <w:t>)</w:t>
      </w:r>
      <w:r>
        <w:t xml:space="preserve">.  Should we allow </w:t>
      </w:r>
      <w:r w:rsidR="00910F67">
        <w:t xml:space="preserve">the maximum radiated </w:t>
      </w:r>
      <w:r>
        <w:t>power level</w:t>
      </w:r>
      <w:r w:rsidR="00910F67">
        <w:t xml:space="preserve"> to increase from </w:t>
      </w:r>
      <w:r>
        <w:t xml:space="preserve">10 watts EIRP </w:t>
      </w:r>
      <w:r w:rsidR="00910F67">
        <w:t xml:space="preserve">to </w:t>
      </w:r>
      <w:r>
        <w:t xml:space="preserve">16 watts EIRP </w:t>
      </w:r>
      <w:r w:rsidR="00910F67">
        <w:t xml:space="preserve">in less congested areas?  Would a different maximum from that proposed be more </w:t>
      </w:r>
      <w:r w:rsidR="008A2B78">
        <w:t xml:space="preserve">appropriate </w:t>
      </w:r>
      <w:r w:rsidR="00910F67">
        <w:t>to enable service to rural areas</w:t>
      </w:r>
      <w:r>
        <w:t xml:space="preserve">?  Should we allow even higher power levels under certain circumstances, and if so, </w:t>
      </w:r>
      <w:r w:rsidR="008A2B78">
        <w:t xml:space="preserve">what power levels and </w:t>
      </w:r>
      <w:r>
        <w:t xml:space="preserve">under what circumstances?  </w:t>
      </w:r>
      <w:r w:rsidR="00910F67">
        <w:t xml:space="preserve">How does </w:t>
      </w:r>
      <w:r>
        <w:t>the proposed antenna gain</w:t>
      </w:r>
      <w:r w:rsidR="00BD2EEC">
        <w:t xml:space="preserve"> requirement </w:t>
      </w:r>
      <w:r w:rsidR="00910F67">
        <w:t>affect the ability to serve rural areas</w:t>
      </w:r>
      <w:r w:rsidR="00BD2EEC">
        <w:t>?</w:t>
      </w:r>
      <w:r w:rsidR="00910F67">
        <w:t xml:space="preserve">  Should that requirement be relaxed or tightened?  What are the trade-offs, both technically and economically</w:t>
      </w:r>
      <w:r w:rsidR="003361F3">
        <w:t>,</w:t>
      </w:r>
      <w:r w:rsidR="00910F67">
        <w:t xml:space="preserve"> regarding the potential for causing interference versus the ability to serve more areas?  </w:t>
      </w:r>
    </w:p>
    <w:p w:rsidR="00A70B77" w:rsidRPr="00A70B77" w:rsidP="000F7A38">
      <w:pPr>
        <w:pStyle w:val="Heading3"/>
      </w:pPr>
      <w:bookmarkStart w:id="64" w:name="_Toc16172274"/>
      <w:bookmarkStart w:id="65" w:name="_Toc17356050"/>
      <w:bookmarkStart w:id="66" w:name="_Toc17362401"/>
      <w:bookmarkStart w:id="67" w:name="_Toc21593287"/>
      <w:bookmarkStart w:id="68" w:name="_Toc22213761"/>
      <w:bookmarkStart w:id="69" w:name="_Toc22628840"/>
      <w:bookmarkStart w:id="70" w:name="_Toc22740312"/>
      <w:bookmarkStart w:id="71" w:name="_Toc22822475"/>
      <w:bookmarkStart w:id="72" w:name="_Toc30693984"/>
      <w:bookmarkStart w:id="73" w:name="_Toc31721171"/>
      <w:bookmarkStart w:id="74" w:name="_Toc33614419"/>
      <w:bookmarkStart w:id="75" w:name="_Hlk31287892"/>
      <w:r>
        <w:t xml:space="preserve">Higher </w:t>
      </w:r>
      <w:bookmarkEnd w:id="64"/>
      <w:bookmarkEnd w:id="65"/>
      <w:r>
        <w:t>antenna height above average terrain</w:t>
      </w:r>
      <w:bookmarkEnd w:id="66"/>
      <w:bookmarkEnd w:id="67"/>
      <w:bookmarkEnd w:id="68"/>
      <w:bookmarkEnd w:id="69"/>
      <w:r w:rsidR="00932064">
        <w:t xml:space="preserve"> limits</w:t>
      </w:r>
      <w:bookmarkEnd w:id="70"/>
      <w:bookmarkEnd w:id="71"/>
      <w:bookmarkEnd w:id="72"/>
      <w:bookmarkEnd w:id="73"/>
      <w:bookmarkEnd w:id="74"/>
    </w:p>
    <w:p w:rsidR="00E955C8" w:rsidP="00E21FFC">
      <w:pPr>
        <w:pStyle w:val="ParaNum"/>
      </w:pPr>
      <w:r w:rsidRPr="00DF334A">
        <w:t xml:space="preserve">The rules currently permit fixed white space devices to operate with a maximum </w:t>
      </w:r>
      <w:r w:rsidRPr="00DF334A" w:rsidR="001976C4">
        <w:t>250 meter</w:t>
      </w:r>
      <w:r w:rsidR="001976C4">
        <w:t xml:space="preserve"> </w:t>
      </w:r>
      <w:r w:rsidRPr="00DF334A">
        <w:t xml:space="preserve">antenna </w:t>
      </w:r>
      <w:r w:rsidR="000674D0">
        <w:t>HAAT</w:t>
      </w:r>
      <w:r w:rsidRPr="00DF334A">
        <w:t>.</w:t>
      </w:r>
      <w:r>
        <w:rPr>
          <w:rStyle w:val="FootnoteReference"/>
        </w:rPr>
        <w:footnoteReference w:id="29"/>
      </w:r>
      <w:r>
        <w:t xml:space="preserve"> </w:t>
      </w:r>
      <w:r w:rsidR="000F7A38">
        <w:t xml:space="preserve"> </w:t>
      </w:r>
      <w:r>
        <w:t xml:space="preserve">If a fixed white space device antenna </w:t>
      </w:r>
      <w:r w:rsidR="001976C4">
        <w:t xml:space="preserve">HAAT </w:t>
      </w:r>
      <w:r>
        <w:t xml:space="preserve">exceeds 250 meters, the white </w:t>
      </w:r>
      <w:r>
        <w:t xml:space="preserve">space database will not provide a list of available channels to the device and the device </w:t>
      </w:r>
      <w:r w:rsidR="00CE4FF3">
        <w:t xml:space="preserve">is </w:t>
      </w:r>
      <w:r>
        <w:t xml:space="preserve">not </w:t>
      </w:r>
      <w:r w:rsidR="00CE4FF3">
        <w:t xml:space="preserve">permitted to </w:t>
      </w:r>
      <w:r>
        <w:t xml:space="preserve">operate.  </w:t>
      </w:r>
      <w:r w:rsidR="0054334A">
        <w:t xml:space="preserve">This requirement was adopted </w:t>
      </w:r>
      <w:r>
        <w:t>to limit the distance at which interference to other users of the TV bands could occur.</w:t>
      </w:r>
      <w:r>
        <w:rPr>
          <w:rStyle w:val="FootnoteReference"/>
        </w:rPr>
        <w:footnoteReference w:id="30"/>
      </w:r>
      <w:r>
        <w:t xml:space="preserve">  However, an antenna HAAT limit also precludes white space devices from operating at certain locations, e.</w:t>
      </w:r>
      <w:r w:rsidR="00A67AD8">
        <w:t>g.</w:t>
      </w:r>
      <w:r>
        <w:t xml:space="preserve">, those where the </w:t>
      </w:r>
      <w:r w:rsidR="001976C4">
        <w:t xml:space="preserve">ground </w:t>
      </w:r>
      <w:r>
        <w:t xml:space="preserve">HAAT </w:t>
      </w:r>
      <w:r w:rsidR="00D367EC">
        <w:t xml:space="preserve">already </w:t>
      </w:r>
      <w:r>
        <w:t>exceeds 250 meters.</w:t>
      </w:r>
      <w:r w:rsidR="00087C2D">
        <w:t xml:space="preserve">  In the </w:t>
      </w:r>
      <w:r w:rsidR="00087C2D">
        <w:rPr>
          <w:i/>
        </w:rPr>
        <w:t>White Spaces Order on Reconsideration</w:t>
      </w:r>
      <w:r w:rsidR="00087C2D">
        <w:t xml:space="preserve">, the Commission upheld its previous decision to maintain a </w:t>
      </w:r>
      <w:r w:rsidR="00C345D9">
        <w:t>250</w:t>
      </w:r>
      <w:r w:rsidR="00260073">
        <w:t>-</w:t>
      </w:r>
      <w:r w:rsidR="00C345D9">
        <w:t xml:space="preserve">meter </w:t>
      </w:r>
      <w:r w:rsidR="00087C2D">
        <w:t>antenna HAAT limit</w:t>
      </w:r>
      <w:r w:rsidR="00D758BC">
        <w:t xml:space="preserve"> </w:t>
      </w:r>
      <w:r w:rsidR="00087C2D">
        <w:t xml:space="preserve">but stated that it </w:t>
      </w:r>
      <w:r w:rsidR="003361F3">
        <w:t>might</w:t>
      </w:r>
      <w:r w:rsidRPr="00087C2D" w:rsidR="003361F3">
        <w:t xml:space="preserve"> </w:t>
      </w:r>
      <w:r w:rsidRPr="00087C2D" w:rsidR="00087C2D">
        <w:t xml:space="preserve">consider </w:t>
      </w:r>
      <w:r w:rsidR="00087C2D">
        <w:t xml:space="preserve">increasing the limit </w:t>
      </w:r>
      <w:r w:rsidRPr="00087C2D" w:rsidR="00087C2D">
        <w:t xml:space="preserve">in the future if </w:t>
      </w:r>
      <w:r w:rsidR="00932064">
        <w:t xml:space="preserve">there </w:t>
      </w:r>
      <w:r w:rsidR="003361F3">
        <w:t xml:space="preserve">were </w:t>
      </w:r>
      <w:r w:rsidR="00932064">
        <w:t>a</w:t>
      </w:r>
      <w:r w:rsidRPr="00087C2D" w:rsidR="00087C2D">
        <w:t xml:space="preserve"> more complete record addressing this issue</w:t>
      </w:r>
      <w:r w:rsidR="00087C2D">
        <w:t>.</w:t>
      </w:r>
      <w:r>
        <w:rPr>
          <w:rStyle w:val="FootnoteReference"/>
        </w:rPr>
        <w:footnoteReference w:id="31"/>
      </w:r>
      <w:r w:rsidR="00CF2BB1">
        <w:t xml:space="preserve">  </w:t>
      </w:r>
    </w:p>
    <w:p w:rsidR="00E21FFC" w:rsidP="00E21FFC">
      <w:pPr>
        <w:pStyle w:val="ParaNum"/>
      </w:pPr>
      <w:r>
        <w:t xml:space="preserve">We now revisit the issue based on a more complete record.  </w:t>
      </w:r>
      <w:r w:rsidR="00CF2BB1">
        <w:t>Microsoft</w:t>
      </w:r>
      <w:r>
        <w:t xml:space="preserve"> argues that </w:t>
      </w:r>
      <w:r w:rsidR="00525681">
        <w:t xml:space="preserve">a higher HAAT limit </w:t>
      </w:r>
      <w:r w:rsidR="00797FC8">
        <w:t>subject to</w:t>
      </w:r>
      <w:r w:rsidR="00525681">
        <w:t xml:space="preserve"> </w:t>
      </w:r>
      <w:r w:rsidR="00CA7EF2">
        <w:t xml:space="preserve">certain coordination </w:t>
      </w:r>
      <w:r w:rsidR="00525681">
        <w:t>conditions</w:t>
      </w:r>
      <w:r w:rsidR="00A67AD8">
        <w:t xml:space="preserve"> </w:t>
      </w:r>
      <w:r>
        <w:t>would</w:t>
      </w:r>
      <w:r w:rsidR="00A67AD8">
        <w:t xml:space="preserve"> reduce the likelihood of </w:t>
      </w:r>
      <w:r w:rsidR="00C345D9">
        <w:t xml:space="preserve">harmful </w:t>
      </w:r>
      <w:r w:rsidR="00A67AD8">
        <w:t>interference</w:t>
      </w:r>
      <w:r w:rsidR="00CF2BB1">
        <w:t>.</w:t>
      </w:r>
      <w:r>
        <w:rPr>
          <w:rStyle w:val="FootnoteReference"/>
        </w:rPr>
        <w:footnoteReference w:id="32"/>
      </w:r>
      <w:r w:rsidRPr="008119D7" w:rsidR="008119D7">
        <w:t xml:space="preserve"> </w:t>
      </w:r>
      <w:r w:rsidR="008119D7">
        <w:t xml:space="preserve"> NAB </w:t>
      </w:r>
      <w:r w:rsidR="003B2DAD">
        <w:t xml:space="preserve">expresses support for </w:t>
      </w:r>
      <w:r w:rsidR="003D329F">
        <w:t>such a change provided that the Commission adopt</w:t>
      </w:r>
      <w:r w:rsidR="00260073">
        <w:t>s</w:t>
      </w:r>
      <w:r w:rsidR="00DD38A5">
        <w:t xml:space="preserve"> a special coordination requirement for all fixed white space device operations above</w:t>
      </w:r>
      <w:r w:rsidR="00787305">
        <w:t xml:space="preserve"> 250 meters</w:t>
      </w:r>
      <w:r w:rsidR="00D758BC">
        <w:t xml:space="preserve"> HAAT</w:t>
      </w:r>
      <w:r w:rsidR="00787305">
        <w:t xml:space="preserve"> and </w:t>
      </w:r>
      <w:r w:rsidR="0090618D">
        <w:t xml:space="preserve">also </w:t>
      </w:r>
      <w:r w:rsidR="00787305">
        <w:t>adjust</w:t>
      </w:r>
      <w:r w:rsidR="00D758BC">
        <w:t>s</w:t>
      </w:r>
      <w:r w:rsidR="00787305">
        <w:t xml:space="preserve"> the separation distances to protect broadcasters.</w:t>
      </w:r>
      <w:r>
        <w:rPr>
          <w:rStyle w:val="FootnoteReference"/>
        </w:rPr>
        <w:footnoteReference w:id="33"/>
      </w:r>
      <w:r w:rsidR="00787305">
        <w:t xml:space="preserve"> </w:t>
      </w:r>
      <w:r w:rsidR="00746DD0">
        <w:t xml:space="preserve"> </w:t>
      </w:r>
      <w:r>
        <w:t>Sennheiser</w:t>
      </w:r>
      <w:r w:rsidR="00411F95">
        <w:t xml:space="preserve"> </w:t>
      </w:r>
      <w:r w:rsidR="003361F3">
        <w:t xml:space="preserve">does </w:t>
      </w:r>
      <w:r w:rsidR="00411F95">
        <w:t xml:space="preserve">not oppose </w:t>
      </w:r>
      <w:r w:rsidR="00D758BC">
        <w:t xml:space="preserve">this </w:t>
      </w:r>
      <w:r w:rsidR="00411F95">
        <w:t xml:space="preserve">revision provided the separation distances </w:t>
      </w:r>
      <w:r w:rsidR="003361F3">
        <w:t xml:space="preserve">are </w:t>
      </w:r>
      <w:r w:rsidR="00411F95">
        <w:t xml:space="preserve">revised to protect </w:t>
      </w:r>
      <w:r w:rsidR="00D758BC">
        <w:t xml:space="preserve">microphone </w:t>
      </w:r>
      <w:r w:rsidR="00411F95">
        <w:t>operations.</w:t>
      </w:r>
      <w:r>
        <w:rPr>
          <w:rStyle w:val="FootnoteReference"/>
        </w:rPr>
        <w:footnoteReference w:id="34"/>
      </w:r>
      <w:r w:rsidR="00411F95">
        <w:t xml:space="preserve"> </w:t>
      </w:r>
      <w:r w:rsidR="00787305">
        <w:t xml:space="preserve"> </w:t>
      </w:r>
      <w:r w:rsidR="00DA7F87">
        <w:t>WMTS interests do not oppose a</w:t>
      </w:r>
      <w:r w:rsidR="00860603">
        <w:t>n</w:t>
      </w:r>
      <w:r w:rsidR="00DA7F87">
        <w:t xml:space="preserve"> </w:t>
      </w:r>
      <w:r w:rsidR="00D758BC">
        <w:t xml:space="preserve">HAAT limit </w:t>
      </w:r>
      <w:r w:rsidR="00DA7F87">
        <w:t>provided it does not apply on Channel 37 or adjacent Channels 36 and 38.</w:t>
      </w:r>
      <w:r>
        <w:rPr>
          <w:rStyle w:val="FootnoteReference"/>
        </w:rPr>
        <w:footnoteReference w:id="35"/>
      </w:r>
      <w:r w:rsidR="00847E54">
        <w:t xml:space="preserve">  </w:t>
      </w:r>
    </w:p>
    <w:p w:rsidR="00B530A2" w:rsidP="000A5CCD">
      <w:pPr>
        <w:pStyle w:val="ParaNum"/>
      </w:pPr>
      <w:r>
        <w:t xml:space="preserve">We propose to increase the maximum </w:t>
      </w:r>
      <w:r w:rsidR="008F113D">
        <w:t xml:space="preserve">permissible </w:t>
      </w:r>
      <w:r>
        <w:t xml:space="preserve">antenna HAAT for fixed white space devices </w:t>
      </w:r>
      <w:r w:rsidR="00905056">
        <w:t xml:space="preserve">operating on channels 2-35 </w:t>
      </w:r>
      <w:r>
        <w:t>from 250 meters to 500 meters</w:t>
      </w:r>
      <w:r w:rsidR="00993597">
        <w:t xml:space="preserve"> and </w:t>
      </w:r>
      <w:r w:rsidR="00677210">
        <w:t>seek comment on appropriate procedures</w:t>
      </w:r>
      <w:r w:rsidR="00E45D4D">
        <w:t xml:space="preserve"> that may be necessary to </w:t>
      </w:r>
      <w:r w:rsidR="00B92D40">
        <w:t xml:space="preserve">ensure that </w:t>
      </w:r>
      <w:r w:rsidR="00325D41">
        <w:t xml:space="preserve">broadcaster operations </w:t>
      </w:r>
      <w:r w:rsidR="00DA7F87">
        <w:t xml:space="preserve">and other entities in the TV bands </w:t>
      </w:r>
      <w:r w:rsidR="00325D41">
        <w:t xml:space="preserve">are protected.  </w:t>
      </w:r>
      <w:r>
        <w:t xml:space="preserve">As commenters note, </w:t>
      </w:r>
      <w:r w:rsidR="00DE5CE1">
        <w:t xml:space="preserve">increasing permissible antenna HAAT </w:t>
      </w:r>
      <w:r>
        <w:t xml:space="preserve">will </w:t>
      </w:r>
      <w:r w:rsidR="00A8547C">
        <w:t xml:space="preserve">improve broadband coverage in rural areas </w:t>
      </w:r>
      <w:r w:rsidR="008F113D">
        <w:t>by enabling signal</w:t>
      </w:r>
      <w:r w:rsidR="00D367EC">
        <w:t>s</w:t>
      </w:r>
      <w:r w:rsidR="008F113D">
        <w:t xml:space="preserve"> to </w:t>
      </w:r>
      <w:r w:rsidR="008C0597">
        <w:t xml:space="preserve">reach </w:t>
      </w:r>
      <w:r w:rsidR="008F113D">
        <w:t xml:space="preserve">greater distances </w:t>
      </w:r>
      <w:r w:rsidR="00A8547C">
        <w:t>and will enable fixed white space</w:t>
      </w:r>
      <w:r w:rsidR="008F113D">
        <w:t xml:space="preserve"> devices</w:t>
      </w:r>
      <w:r w:rsidR="00A8547C">
        <w:t xml:space="preserve"> to </w:t>
      </w:r>
      <w:r w:rsidR="00EF778A">
        <w:t>operate at locations where they are not currently permitted due to the 250-meter HAAT limit, such as existing towers located at higher elevations.</w:t>
      </w:r>
      <w:r>
        <w:rPr>
          <w:rStyle w:val="FootnoteReference"/>
        </w:rPr>
        <w:footnoteReference w:id="36"/>
      </w:r>
      <w:r w:rsidR="008E7605">
        <w:t xml:space="preserve"> </w:t>
      </w:r>
      <w:r w:rsidR="000A5CCD">
        <w:t xml:space="preserve"> </w:t>
      </w:r>
      <w:r w:rsidR="00C26800">
        <w:t>We also note that Microsoft, NAB and wireless interests agree that 500 meters is an appropriate maximum HAAT for fixed white space devices.</w:t>
      </w:r>
      <w:r>
        <w:rPr>
          <w:rStyle w:val="FootnoteReference"/>
        </w:rPr>
        <w:footnoteReference w:id="37"/>
      </w:r>
      <w:r w:rsidR="00C26800">
        <w:t xml:space="preserve">  </w:t>
      </w:r>
      <w:r w:rsidR="000A5CCD">
        <w:t xml:space="preserve">In addition, operation from a higher antenna site can help increase coverage by permitting devices </w:t>
      </w:r>
      <w:r w:rsidR="009F1330">
        <w:t xml:space="preserve">to operate </w:t>
      </w:r>
      <w:r w:rsidR="000A5CCD">
        <w:t xml:space="preserve">above the tree line to avoid </w:t>
      </w:r>
      <w:r w:rsidR="009F1330">
        <w:t xml:space="preserve">signal </w:t>
      </w:r>
      <w:r w:rsidR="000A5CCD">
        <w:t>loss</w:t>
      </w:r>
      <w:r w:rsidR="009F1330">
        <w:t>es</w:t>
      </w:r>
      <w:r w:rsidR="000A5CCD">
        <w:t xml:space="preserve"> through leaves</w:t>
      </w:r>
      <w:r w:rsidR="009F1330">
        <w:t xml:space="preserve"> </w:t>
      </w:r>
      <w:r w:rsidR="000A5CCD">
        <w:t xml:space="preserve">and </w:t>
      </w:r>
      <w:r w:rsidR="009F1330">
        <w:t xml:space="preserve">to </w:t>
      </w:r>
      <w:r w:rsidR="000A5CCD">
        <w:t>avoid clutter</w:t>
      </w:r>
      <w:r w:rsidR="009F1330">
        <w:t xml:space="preserve"> such as buildings</w:t>
      </w:r>
      <w:r w:rsidR="000A5CCD">
        <w:t xml:space="preserve">.  </w:t>
      </w:r>
      <w:r w:rsidR="006740C5">
        <w:t>To protect Wireless Medical Telemetry Service and radio astronomy operations on Channel 37, we do not propose to revise our rules to permit operation with a higher HAAT in Channel 36</w:t>
      </w:r>
      <w:r w:rsidR="00D1790E">
        <w:t xml:space="preserve"> or higher</w:t>
      </w:r>
      <w:r w:rsidR="006740C5">
        <w:t>.</w:t>
      </w:r>
      <w:r>
        <w:rPr>
          <w:rStyle w:val="FootnoteReference"/>
        </w:rPr>
        <w:footnoteReference w:id="38"/>
      </w:r>
    </w:p>
    <w:p w:rsidR="00895A6E" w:rsidP="00761B3C">
      <w:pPr>
        <w:pStyle w:val="ParaNum"/>
        <w:widowControl/>
      </w:pPr>
      <w:r>
        <w:t xml:space="preserve">We seek comment on </w:t>
      </w:r>
      <w:r w:rsidR="00E64B9D">
        <w:t>this proposal</w:t>
      </w:r>
      <w:r>
        <w:t xml:space="preserve">.  What are the benefits of a higher HAAT limit in terms of improved rural coverage and increased transmitter site </w:t>
      </w:r>
      <w:r w:rsidR="00FA2799">
        <w:t xml:space="preserve">availability </w:t>
      </w:r>
      <w:r>
        <w:t>in high elevation</w:t>
      </w:r>
      <w:r w:rsidR="00FA2799">
        <w:t xml:space="preserve"> areas</w:t>
      </w:r>
      <w:r>
        <w:t xml:space="preserve">?  Will the increased </w:t>
      </w:r>
      <w:r w:rsidR="00FA2799">
        <w:t xml:space="preserve">fixed white space device </w:t>
      </w:r>
      <w:r>
        <w:t xml:space="preserve">transmission range </w:t>
      </w:r>
      <w:r w:rsidR="00FA2799">
        <w:t>associated</w:t>
      </w:r>
      <w:r w:rsidR="00FA2799">
        <w:t xml:space="preserve"> with higher </w:t>
      </w:r>
      <w:r>
        <w:t>HAAT</w:t>
      </w:r>
      <w:r w:rsidR="00FA2799">
        <w:t>s</w:t>
      </w:r>
      <w:r>
        <w:t xml:space="preserve"> limit opportunities for </w:t>
      </w:r>
      <w:r w:rsidR="0061342C">
        <w:t xml:space="preserve">spectrum </w:t>
      </w:r>
      <w:r>
        <w:t>sharing with other white space devices?</w:t>
      </w:r>
      <w:r w:rsidR="00FA2799">
        <w:t xml:space="preserve">  Would an upper HAAT limit other than 500 meters be more appropriate?</w:t>
      </w:r>
      <w:r>
        <w:t xml:space="preserve">  </w:t>
      </w:r>
      <w:r w:rsidR="00FA2799">
        <w:t xml:space="preserve">Should </w:t>
      </w:r>
      <w:r>
        <w:t>white space device</w:t>
      </w:r>
      <w:r w:rsidR="0061342C">
        <w:t xml:space="preserve"> operation</w:t>
      </w:r>
      <w:r>
        <w:t>s at HAAT</w:t>
      </w:r>
      <w:r w:rsidR="0061342C">
        <w:t>s</w:t>
      </w:r>
      <w:r>
        <w:t xml:space="preserve"> greater than 250 meters</w:t>
      </w:r>
      <w:r w:rsidR="00FA2799">
        <w:t xml:space="preserve"> be limited</w:t>
      </w:r>
      <w:r>
        <w:t xml:space="preserve"> to less congested areas? </w:t>
      </w:r>
    </w:p>
    <w:p w:rsidR="00921F2A" w:rsidP="00102707">
      <w:pPr>
        <w:pStyle w:val="ParaNum"/>
      </w:pPr>
      <w:r>
        <w:t xml:space="preserve">We </w:t>
      </w:r>
      <w:r w:rsidR="00171BB6">
        <w:t xml:space="preserve">also </w:t>
      </w:r>
      <w:r>
        <w:t>seek comment on whether</w:t>
      </w:r>
      <w:r w:rsidR="0095730A">
        <w:t>, as suggested by Microsoft,</w:t>
      </w:r>
      <w:r>
        <w:t xml:space="preserve"> we should require </w:t>
      </w:r>
      <w:r w:rsidR="00487D2D">
        <w:t xml:space="preserve">a </w:t>
      </w:r>
      <w:r>
        <w:t xml:space="preserve">coordination procedure </w:t>
      </w:r>
      <w:r w:rsidR="0095730A">
        <w:t xml:space="preserve">between white space devices and </w:t>
      </w:r>
      <w:r w:rsidR="008C7A71">
        <w:t>broadcast licen</w:t>
      </w:r>
      <w:r w:rsidR="00032302">
        <w:t xml:space="preserve">sees </w:t>
      </w:r>
      <w:r w:rsidR="0095730A">
        <w:t xml:space="preserve">when </w:t>
      </w:r>
      <w:r>
        <w:t xml:space="preserve">white space devices </w:t>
      </w:r>
      <w:r w:rsidR="0095730A">
        <w:t xml:space="preserve">operate </w:t>
      </w:r>
      <w:r>
        <w:t>with HAATs exceeding 250 meters</w:t>
      </w:r>
      <w:r w:rsidR="00565F76">
        <w:t xml:space="preserve">. </w:t>
      </w:r>
      <w:r w:rsidR="00D1790E">
        <w:t xml:space="preserve"> </w:t>
      </w:r>
      <w:r w:rsidR="00565F76">
        <w:t>Microsoft’s proposed coordination procedures comprise several steps including notifying a white space administrators, notifying broadcast licensees, operating on a test basis on a 30 days trial authorization, as well as a process to submit claims of harmful interference, investigate such claims, and upon satisfactorily addressing any such claims, permit authorization on a permanent basis</w:t>
      </w:r>
      <w:r>
        <w:t>.</w:t>
      </w:r>
      <w:r>
        <w:rPr>
          <w:rStyle w:val="FootnoteReference"/>
        </w:rPr>
        <w:footnoteReference w:id="39"/>
      </w:r>
      <w:r w:rsidR="005B56A8">
        <w:t xml:space="preserve">  </w:t>
      </w:r>
      <w:r w:rsidR="00D13DF9">
        <w:t xml:space="preserve">While we </w:t>
      </w:r>
      <w:r>
        <w:t xml:space="preserve">recognize that </w:t>
      </w:r>
      <w:r w:rsidR="00565F76">
        <w:t xml:space="preserve"> </w:t>
      </w:r>
      <w:r w:rsidR="00D13DF9">
        <w:t>this</w:t>
      </w:r>
      <w:r>
        <w:t xml:space="preserve"> proposed procedure is designed to address NAB’s concerns that white space devices operating at higher power and antenna heights could cause harmful interference to TV service</w:t>
      </w:r>
      <w:r w:rsidR="00D13DF9">
        <w:t>, w</w:t>
      </w:r>
      <w:r>
        <w:t xml:space="preserve">e are concerned about the </w:t>
      </w:r>
      <w:r w:rsidR="005B56A8">
        <w:t xml:space="preserve">procedure’s </w:t>
      </w:r>
      <w:r>
        <w:t xml:space="preserve">complexity and whether such procedures are </w:t>
      </w:r>
      <w:r w:rsidR="005B56A8">
        <w:t xml:space="preserve">even </w:t>
      </w:r>
      <w:r>
        <w:t>warranted given the existing obligations of unlicensed devices to protect authorized radio services.</w:t>
      </w:r>
      <w:r>
        <w:rPr>
          <w:rStyle w:val="FootnoteReference"/>
        </w:rPr>
        <w:footnoteReference w:id="40"/>
      </w:r>
      <w:r>
        <w:t xml:space="preserve">  </w:t>
      </w:r>
    </w:p>
    <w:p w:rsidR="00171BB6" w:rsidP="00921F2A">
      <w:pPr>
        <w:pStyle w:val="ParaNum"/>
      </w:pPr>
      <w:r>
        <w:t>We</w:t>
      </w:r>
      <w:r w:rsidR="00921F2A">
        <w:t xml:space="preserve"> believe </w:t>
      </w:r>
      <w:r>
        <w:t xml:space="preserve">that a simpler </w:t>
      </w:r>
      <w:r w:rsidR="00921F2A">
        <w:t>alternative to Microsoft’s suggested coordination procedure could be used to achieve the same results.  Specifically, an alternative procedure could require a party wishing to operate a fixed white space device at HAATs greater than 250 meters to notify potentially affected protected entities of their intended operation at least 48 hours in advance.</w:t>
      </w:r>
      <w:r>
        <w:rPr>
          <w:rStyle w:val="FootnoteReference"/>
        </w:rPr>
        <w:footnoteReference w:id="41"/>
      </w:r>
      <w:r w:rsidR="00921F2A">
        <w:t xml:space="preserve">  The notification </w:t>
      </w:r>
      <w:r w:rsidR="001A2157">
        <w:t xml:space="preserve">would </w:t>
      </w:r>
      <w:r w:rsidR="00921F2A">
        <w:t>include the prospective white space device operator’s contact information, geographic coordinates of the antenna, antenna height above ground and average terrain, EIRP and channel(s) of operation.</w:t>
      </w:r>
      <w:r>
        <w:rPr>
          <w:rStyle w:val="FootnoteReference"/>
        </w:rPr>
        <w:footnoteReference w:id="42"/>
      </w:r>
      <w:r w:rsidR="00921F2A">
        <w:t xml:space="preserve">  </w:t>
      </w:r>
      <w:r w:rsidR="001A2157">
        <w:t>While e</w:t>
      </w:r>
      <w:r w:rsidR="00921F2A">
        <w:t xml:space="preserve">ntities would be expected to acknowledge receipt of the notification, if a response is not received within 48 hours, the party installing the fixed white space device </w:t>
      </w:r>
      <w:r w:rsidR="001A2157">
        <w:t xml:space="preserve">would be permitted to </w:t>
      </w:r>
      <w:r w:rsidR="00921F2A">
        <w:t xml:space="preserve">commence operation.  Operators of fixed white space devices with HAATs greater than 250 meters </w:t>
      </w:r>
      <w:r w:rsidR="001A2157">
        <w:t xml:space="preserve">would be required to </w:t>
      </w:r>
      <w:r w:rsidR="00921F2A">
        <w:t xml:space="preserve">provide information upon request to a potentially affected protected entity on the white space devices’ operational hours to help licensees determine whether a white space device </w:t>
      </w:r>
      <w:r w:rsidR="001A2157">
        <w:t xml:space="preserve">was </w:t>
      </w:r>
      <w:r w:rsidR="00921F2A">
        <w:t xml:space="preserve">causing harmful interference. </w:t>
      </w:r>
      <w:r w:rsidR="008E7605">
        <w:t xml:space="preserve"> </w:t>
      </w:r>
      <w:r w:rsidR="00921F2A">
        <w:t>For notification purposes</w:t>
      </w:r>
      <w:r w:rsidR="00251FDA">
        <w:t>,</w:t>
      </w:r>
      <w:r w:rsidR="00921F2A">
        <w:t xml:space="preserve"> we would define a potentially affected station consistent with Microsoft’s proposal</w:t>
      </w:r>
      <w:r w:rsidR="006A15C6">
        <w:t>—</w:t>
      </w:r>
      <w:r w:rsidR="001A2157">
        <w:t>i.e.</w:t>
      </w:r>
      <w:r w:rsidR="007238AC">
        <w:t>,</w:t>
      </w:r>
      <w:r w:rsidR="001A2157">
        <w:t xml:space="preserve"> a station would </w:t>
      </w:r>
      <w:r w:rsidR="007238AC">
        <w:t>receive</w:t>
      </w:r>
      <w:r w:rsidR="001A2157">
        <w:t xml:space="preserve"> notification </w:t>
      </w:r>
      <w:r w:rsidR="007238AC">
        <w:t>that</w:t>
      </w:r>
      <w:r w:rsidR="001A2157">
        <w:t xml:space="preserve"> its broadcast contour was within</w:t>
      </w:r>
      <w:r w:rsidR="00921F2A">
        <w:t xml:space="preserve"> the separation distance corresponding to an assumed HAAT 50 meters higher than the actual deployment.  To accommodate actual deployments exceeding 450 meters where Microsoft did not provide a separation distance, we would add an additional row </w:t>
      </w:r>
      <w:r>
        <w:t xml:space="preserve">to the table of separation distances </w:t>
      </w:r>
      <w:r w:rsidR="00921F2A">
        <w:t xml:space="preserve">with relevant values.  </w:t>
      </w:r>
    </w:p>
    <w:p w:rsidR="00921F2A" w:rsidP="00921F2A">
      <w:pPr>
        <w:pStyle w:val="ParaNum"/>
      </w:pPr>
      <w:bookmarkStart w:id="76" w:name="_Hlk31363058"/>
      <w:r>
        <w:t xml:space="preserve">We seek comment on this procedure.  </w:t>
      </w:r>
      <w:r w:rsidR="00E64509">
        <w:t>A</w:t>
      </w:r>
      <w:r>
        <w:t>s a threshold</w:t>
      </w:r>
      <w:r w:rsidR="00260073">
        <w:t>,</w:t>
      </w:r>
      <w:r>
        <w:t xml:space="preserve"> </w:t>
      </w:r>
      <w:r w:rsidR="00E64509">
        <w:t>is</w:t>
      </w:r>
      <w:r>
        <w:t xml:space="preserve"> such a procedure even necessary</w:t>
      </w:r>
      <w:r w:rsidR="00E64509">
        <w:t xml:space="preserve">?  </w:t>
      </w:r>
      <w:r w:rsidR="00264E7E">
        <w:t>If so</w:t>
      </w:r>
      <w:r>
        <w:t xml:space="preserve">, would </w:t>
      </w:r>
      <w:r w:rsidR="00264E7E">
        <w:t>the proposed procedure</w:t>
      </w:r>
      <w:r>
        <w:t xml:space="preserve"> strike the proper balance between ensuring interference protection for protected entities and providing </w:t>
      </w:r>
      <w:r w:rsidR="00264E7E">
        <w:t>white space device operators with the</w:t>
      </w:r>
      <w:r>
        <w:t xml:space="preserve"> ability to deploy devices with high HAATs </w:t>
      </w:r>
      <w:r w:rsidR="00264E7E">
        <w:t>in a timely manner</w:t>
      </w:r>
      <w:r>
        <w:t xml:space="preserve">?  Are there other alternatives that would satisfy the same </w:t>
      </w:r>
      <w:r>
        <w:t xml:space="preserve">requirements?  Should protected entities be defined as described above or is there a better definition?  </w:t>
      </w:r>
      <w:r w:rsidR="00251FDA">
        <w:t xml:space="preserve">What method of communication should a white space device operator use to contact licensees, e.g., e-mail or other electronic messaging, written mail, fax, telephone, etc.? </w:t>
      </w:r>
      <w:r w:rsidR="008779C5">
        <w:t xml:space="preserve"> </w:t>
      </w:r>
      <w:r>
        <w:t>How would any of these coordination/notification procedures affect the white space database operation?  Could they be implemented quickly?  What costs would be involved?</w:t>
      </w:r>
    </w:p>
    <w:bookmarkEnd w:id="76"/>
    <w:p w:rsidR="00921F2A" w:rsidP="00921F2A">
      <w:pPr>
        <w:pStyle w:val="ParaNum"/>
      </w:pPr>
      <w:r>
        <w:t>Under any coordination</w:t>
      </w:r>
      <w:r w:rsidR="00285C65">
        <w:t xml:space="preserve"> and/or </w:t>
      </w:r>
      <w:r>
        <w:t xml:space="preserve">notification </w:t>
      </w:r>
      <w:r w:rsidR="007A3C01">
        <w:t>procedure</w:t>
      </w:r>
      <w:r>
        <w:t xml:space="preserve">, previously coordinated devices would require new coordination/notification if a fixed white space device is moved more than 100 meters, or when an increase is made to the EIRP or HAAT that increases the minimum required separation distance from the contours of co-channel or adjacent channel TV stations.  </w:t>
      </w:r>
      <w:r w:rsidR="00072E5C">
        <w:t xml:space="preserve">These proposed </w:t>
      </w:r>
      <w:r w:rsidR="00B257B1">
        <w:t>requirements</w:t>
      </w:r>
      <w:r w:rsidR="00072E5C">
        <w:t xml:space="preserve"> are for the purpose of determining when a white space device operator must notify potentially affected stations of changes in the operating parameters of a device with an HAAT above 250 meters; we are not proposing to alter the current requirement that a fixed white space device must notify the database of changes in location of greater than 50 meters or in the antenna height above ground.</w:t>
      </w:r>
      <w:r>
        <w:rPr>
          <w:rStyle w:val="FootnoteReference"/>
        </w:rPr>
        <w:footnoteReference w:id="43"/>
      </w:r>
      <w:r w:rsidR="00072E5C">
        <w:t xml:space="preserve"> </w:t>
      </w:r>
      <w:r w:rsidR="00B12214">
        <w:t>T</w:t>
      </w:r>
      <w:r>
        <w:t xml:space="preserve">he fixed white space device would need to obtain a new list of available channels when moved more than 100 meters.  We recognize that Microsoft proposed </w:t>
      </w:r>
      <w:r w:rsidR="00584568">
        <w:t xml:space="preserve">to </w:t>
      </w:r>
      <w:r>
        <w:t>base new coordination requirements on a 50 meter distance (consistent with existing rules)</w:t>
      </w:r>
      <w:r w:rsidR="009812A9">
        <w:t>,</w:t>
      </w:r>
      <w:r>
        <w:rPr>
          <w:rStyle w:val="FootnoteReference"/>
        </w:rPr>
        <w:footnoteReference w:id="44"/>
      </w:r>
      <w:r>
        <w:t xml:space="preserve"> but because Microsoft’s proposed distances in the tables of required separations from TV station contours are rounded to the nearest 0.1 kilometer (100 meters), we see no reason to require a new coordination for changes less than this amount.  We also note that the HAAT levels in the proposed table of separation distances is defined in 50-meter steps for HAAT’s above 250 meters.  Thus, there would be no need to require new coordination/notification for small HAAT increases </w:t>
      </w:r>
      <w:r w:rsidR="00B12214">
        <w:t>within a</w:t>
      </w:r>
      <w:r>
        <w:t xml:space="preserve"> 50</w:t>
      </w:r>
      <w:r w:rsidR="00B12214">
        <w:t>-</w:t>
      </w:r>
      <w:r>
        <w:t>meter</w:t>
      </w:r>
      <w:r w:rsidR="00B12214">
        <w:t xml:space="preserve"> </w:t>
      </w:r>
      <w:r>
        <w:t>s</w:t>
      </w:r>
      <w:r w:rsidR="00B12214">
        <w:t>tep</w:t>
      </w:r>
      <w:r>
        <w:t>.  We seek comment on this proposal.</w:t>
      </w:r>
    </w:p>
    <w:p w:rsidR="00921F2A" w:rsidP="00921F2A">
      <w:pPr>
        <w:pStyle w:val="ParaNum"/>
      </w:pPr>
      <w:r>
        <w:t>We are not proposing that white space devices operate during a specific test or trial period as suggested by Microsoft.</w:t>
      </w:r>
      <w:r>
        <w:rPr>
          <w:rStyle w:val="FootnoteReference"/>
        </w:rPr>
        <w:footnoteReference w:id="45"/>
      </w:r>
      <w:r>
        <w:t xml:space="preserve">  </w:t>
      </w:r>
      <w:r w:rsidR="00262DDB">
        <w:t>White</w:t>
      </w:r>
      <w:r>
        <w:t xml:space="preserve"> space devices, like all other unlicensed devices, must not cause harmful interference to authorized services and must cease interference if harmful interference occurs.</w:t>
      </w:r>
      <w:r>
        <w:rPr>
          <w:rStyle w:val="FootnoteReference"/>
        </w:rPr>
        <w:footnoteReference w:id="46"/>
      </w:r>
      <w:r>
        <w:t xml:space="preserve">  Additionally, licensees can bring claims of harmful interference to the Commission or the party operating unlicensed devices at any time, so </w:t>
      </w:r>
      <w:r w:rsidR="001C12C5">
        <w:t>we do not believe that</w:t>
      </w:r>
      <w:r>
        <w:t xml:space="preserve"> a 30-day trial period is necessary.</w:t>
      </w:r>
      <w:r w:rsidR="00B257B1">
        <w:t xml:space="preserve"> </w:t>
      </w:r>
      <w:r w:rsidR="00F7536C">
        <w:t xml:space="preserve"> </w:t>
      </w:r>
      <w:r w:rsidR="00B257B1">
        <w:t>We seek comment on this view.</w:t>
      </w:r>
    </w:p>
    <w:p w:rsidR="008F358A" w:rsidP="00102707">
      <w:pPr>
        <w:pStyle w:val="ParaNum"/>
      </w:pPr>
      <w:r>
        <w:rPr>
          <w:i/>
          <w:iCs/>
        </w:rPr>
        <w:t xml:space="preserve">Antenna height above ground.  </w:t>
      </w:r>
      <w:r>
        <w:t xml:space="preserve">In a related matter, </w:t>
      </w:r>
      <w:r w:rsidR="007238AC">
        <w:t>w</w:t>
      </w:r>
      <w:r w:rsidR="005F2F9A">
        <w:t xml:space="preserve">e seek comment on whether we should increase or remove the limit on antenna height above ground level.  </w:t>
      </w:r>
      <w:r>
        <w:t xml:space="preserve">The Commission previously increased the maximum permissible antenna height above ground from 30 meters to 100 meters in “less congested” areas in the </w:t>
      </w:r>
      <w:r w:rsidRPr="00B41EDA">
        <w:rPr>
          <w:i/>
          <w:iCs/>
        </w:rPr>
        <w:t>White Spaces Order on Reconsideration</w:t>
      </w:r>
      <w:r>
        <w:t>.</w:t>
      </w:r>
      <w:r>
        <w:rPr>
          <w:rStyle w:val="FootnoteReference"/>
        </w:rPr>
        <w:footnoteReference w:id="47"/>
      </w:r>
      <w:r>
        <w:t xml:space="preserve"> </w:t>
      </w:r>
      <w:r w:rsidR="00B96EAF">
        <w:t xml:space="preserve"> </w:t>
      </w:r>
      <w:r>
        <w:t>The Commission took this action to improve wireless broadband service to persons in rural and other underserved areas, noting that a 100-meter antenna height above ground limit will benefit wireless broadband providers and users by permitting antennas to be mounted on towers or other structures at heights sufficient to clear intervening obstacles such as trees and hills that would attenuate the transmitted signal, thereby increasing the range at which the signal can be received.</w:t>
      </w:r>
      <w:r>
        <w:rPr>
          <w:rStyle w:val="FootnoteReference"/>
        </w:rPr>
        <w:footnoteReference w:id="48"/>
      </w:r>
      <w:r w:rsidR="00561989">
        <w:t xml:space="preserve">  The Commission made no changes to the</w:t>
      </w:r>
      <w:r w:rsidR="00B96EAF">
        <w:t xml:space="preserve"> rule limiting</w:t>
      </w:r>
      <w:r w:rsidR="00561989">
        <w:t xml:space="preserve"> maximum antenna HAAT </w:t>
      </w:r>
      <w:r w:rsidR="00B96EAF">
        <w:t xml:space="preserve">to </w:t>
      </w:r>
      <w:r w:rsidR="00561989">
        <w:t>250 meters at that time.</w:t>
      </w:r>
      <w:r>
        <w:rPr>
          <w:rStyle w:val="FootnoteReference"/>
        </w:rPr>
        <w:footnoteReference w:id="49"/>
      </w:r>
    </w:p>
    <w:p w:rsidR="00561989" w:rsidP="00102707">
      <w:pPr>
        <w:pStyle w:val="ParaNum"/>
      </w:pPr>
      <w:r>
        <w:t>In light of</w:t>
      </w:r>
      <w:r>
        <w:t xml:space="preserve"> our proposal to increase the maximum antenna HAAT to 500 meters in this </w:t>
      </w:r>
      <w:r>
        <w:rPr>
          <w:i/>
          <w:iCs/>
        </w:rPr>
        <w:t>NPRM</w:t>
      </w:r>
      <w:r>
        <w:t xml:space="preserve">, </w:t>
      </w:r>
      <w:r w:rsidR="00B96EAF">
        <w:t>we</w:t>
      </w:r>
      <w:r>
        <w:t xml:space="preserve"> believe it is appropriate to </w:t>
      </w:r>
      <w:r w:rsidR="00B96EAF">
        <w:t xml:space="preserve">re-examine the </w:t>
      </w:r>
      <w:r>
        <w:t xml:space="preserve">antenna height above ground limit.  </w:t>
      </w:r>
      <w:r w:rsidR="001C12C5">
        <w:t>A</w:t>
      </w:r>
      <w:r>
        <w:t>ntenna height</w:t>
      </w:r>
      <w:r w:rsidR="00811F44">
        <w:t>s</w:t>
      </w:r>
      <w:r>
        <w:t xml:space="preserve"> </w:t>
      </w:r>
      <w:r>
        <w:t xml:space="preserve">above ground and </w:t>
      </w:r>
      <w:r w:rsidR="00811F44">
        <w:t>average terrain</w:t>
      </w:r>
      <w:r>
        <w:t xml:space="preserve"> are directly related, in that any change </w:t>
      </w:r>
      <w:r w:rsidR="00B96EAF">
        <w:t xml:space="preserve">to a station’s </w:t>
      </w:r>
      <w:r>
        <w:t xml:space="preserve">antenna height above ground changes </w:t>
      </w:r>
      <w:r w:rsidR="00B96EAF">
        <w:t xml:space="preserve">its </w:t>
      </w:r>
      <w:r>
        <w:t>HAAT by the same amount, e.g., a 30-meter increase in height above ground increases the HAAT by 30 meters.  However, we note that limit</w:t>
      </w:r>
      <w:r w:rsidR="00B96EAF">
        <w:t>ing</w:t>
      </w:r>
      <w:r>
        <w:t xml:space="preserve"> the antenna height above ground </w:t>
      </w:r>
      <w:r w:rsidR="00B96EAF">
        <w:t>may</w:t>
      </w:r>
      <w:r>
        <w:t xml:space="preserve"> also</w:t>
      </w:r>
      <w:r w:rsidR="008254E0">
        <w:t xml:space="preserve"> limit the maximum achievable HAAT in </w:t>
      </w:r>
      <w:r w:rsidRPr="00761B3C" w:rsidR="008254E0">
        <w:t xml:space="preserve">areas </w:t>
      </w:r>
      <w:r w:rsidRPr="00761B3C" w:rsidR="00811F44">
        <w:t xml:space="preserve">where the terrain is flat </w:t>
      </w:r>
      <w:r w:rsidR="008254E0">
        <w:t xml:space="preserve">since in those areas the HAAT will be approximately the same </w:t>
      </w:r>
      <w:r w:rsidR="00811F44">
        <w:t xml:space="preserve">as, or not significantly higher than, </w:t>
      </w:r>
      <w:r w:rsidR="008254E0">
        <w:t>the antenna height above ground.  Therefore, the antenna height above ground limit (30 or 100 meters) may preclude white space device operators from taking advantage of the higher HAAT limit we are proposing</w:t>
      </w:r>
      <w:r w:rsidR="009014D9">
        <w:t xml:space="preserve">, or even the current </w:t>
      </w:r>
      <w:r w:rsidR="00811F44">
        <w:t>250-meter</w:t>
      </w:r>
      <w:r w:rsidR="009014D9">
        <w:t xml:space="preserve"> limit</w:t>
      </w:r>
      <w:r w:rsidR="008254E0">
        <w:t>.</w:t>
      </w:r>
      <w:r>
        <w:t xml:space="preserve"> </w:t>
      </w:r>
      <w:r w:rsidR="00B96EAF">
        <w:t xml:space="preserve"> Moreover, we note that the distance separation rules to protect TV reception are based on HAAT, not antenna height above ground level.</w:t>
      </w:r>
    </w:p>
    <w:p w:rsidR="00CF0244" w:rsidRPr="000A5CCD" w:rsidP="00921F2A">
      <w:pPr>
        <w:pStyle w:val="ParaNum"/>
      </w:pPr>
      <w:r>
        <w:t xml:space="preserve">Accordingly, we seek comment on whether we should make any changes to the antenna height above ground limit.  </w:t>
      </w:r>
      <w:r w:rsidR="00413633">
        <w:t xml:space="preserve">Does the current antenna above ground limit restrict flexibility to design and deploy white space networks?  </w:t>
      </w:r>
      <w:r w:rsidR="005F2F9A">
        <w:t xml:space="preserve">Should we increase the antenna height above ground limit, and if so, by how much? </w:t>
      </w:r>
      <w:r w:rsidR="008E7605">
        <w:t xml:space="preserve"> </w:t>
      </w:r>
      <w:r w:rsidR="005F2F9A">
        <w:t xml:space="preserve">Should we remove </w:t>
      </w:r>
      <w:r w:rsidR="00F34D38">
        <w:t>the height above ground level limit</w:t>
      </w:r>
      <w:r w:rsidR="005F2F9A">
        <w:t xml:space="preserve"> completely</w:t>
      </w:r>
      <w:r w:rsidR="00F34D38">
        <w:t xml:space="preserve"> and rely only on HAAT</w:t>
      </w:r>
      <w:r w:rsidR="005F2F9A">
        <w:t xml:space="preserve">?  </w:t>
      </w:r>
      <w:r w:rsidR="00F34D38">
        <w:t>Given that the separation distances are based only on HAAT</w:t>
      </w:r>
      <w:r w:rsidR="001C12C5">
        <w:t xml:space="preserve"> and not the antenna height above ground</w:t>
      </w:r>
      <w:r w:rsidR="00F34D38">
        <w:t xml:space="preserve">, what effect, if any, would such a change have on the potential of causing harmful interference to a protected service?  </w:t>
      </w:r>
      <w:r w:rsidR="005F2F9A">
        <w:t xml:space="preserve">If we modify or remove the antenna height above ground limit, </w:t>
      </w:r>
      <w:r w:rsidR="00F34D38">
        <w:t xml:space="preserve">should the modified rules apply across the entire U.S. or only in certain </w:t>
      </w:r>
      <w:r w:rsidR="005F2F9A">
        <w:t xml:space="preserve">areas </w:t>
      </w:r>
      <w:r w:rsidR="00F34D38">
        <w:t>(e.g., “less congested areas</w:t>
      </w:r>
      <w:r w:rsidR="00C24BB2">
        <w:t>”</w:t>
      </w:r>
      <w:r w:rsidR="00F34D38">
        <w:t>)</w:t>
      </w:r>
      <w:r w:rsidR="005F2F9A">
        <w:t>?</w:t>
      </w:r>
    </w:p>
    <w:p w:rsidR="005F5FA9" w:rsidP="00E21FFC">
      <w:pPr>
        <w:pStyle w:val="Heading3"/>
      </w:pPr>
      <w:bookmarkStart w:id="77" w:name="_Toc16172275"/>
      <w:bookmarkStart w:id="78" w:name="_Toc17356051"/>
      <w:bookmarkStart w:id="79" w:name="_Toc17362402"/>
      <w:bookmarkStart w:id="80" w:name="_Toc21593288"/>
      <w:bookmarkStart w:id="81" w:name="_Toc22213762"/>
      <w:bookmarkStart w:id="82" w:name="_Toc22628841"/>
      <w:bookmarkStart w:id="83" w:name="_Toc22740313"/>
      <w:bookmarkStart w:id="84" w:name="_Toc22822476"/>
      <w:bookmarkStart w:id="85" w:name="_Toc30693985"/>
      <w:bookmarkStart w:id="86" w:name="_Toc31721172"/>
      <w:bookmarkStart w:id="87" w:name="_Toc33614420"/>
      <w:bookmarkEnd w:id="75"/>
      <w:r>
        <w:t>S</w:t>
      </w:r>
      <w:r>
        <w:t>eparation distances</w:t>
      </w:r>
      <w:bookmarkEnd w:id="77"/>
      <w:bookmarkEnd w:id="78"/>
      <w:bookmarkEnd w:id="79"/>
      <w:bookmarkEnd w:id="80"/>
      <w:bookmarkEnd w:id="81"/>
      <w:bookmarkEnd w:id="82"/>
      <w:bookmarkEnd w:id="83"/>
      <w:bookmarkEnd w:id="84"/>
      <w:bookmarkEnd w:id="85"/>
      <w:bookmarkEnd w:id="86"/>
      <w:bookmarkEnd w:id="87"/>
    </w:p>
    <w:p w:rsidR="00876726" w:rsidP="00A70B77">
      <w:pPr>
        <w:pStyle w:val="ParaNum"/>
      </w:pPr>
      <w:r>
        <w:t xml:space="preserve">Because </w:t>
      </w:r>
      <w:r w:rsidR="00992FD7">
        <w:t>white space device operations must protect</w:t>
      </w:r>
      <w:r w:rsidR="004F5024">
        <w:t xml:space="preserve"> other authorized services from harmful interference, </w:t>
      </w:r>
      <w:r w:rsidR="000B142C">
        <w:t xml:space="preserve">with </w:t>
      </w:r>
      <w:r w:rsidR="00D92F5F">
        <w:t xml:space="preserve">our proposed </w:t>
      </w:r>
      <w:r>
        <w:t xml:space="preserve">increases in </w:t>
      </w:r>
      <w:r w:rsidR="00581E89">
        <w:t xml:space="preserve">fixed white space device </w:t>
      </w:r>
      <w:r>
        <w:t xml:space="preserve">maximum permissible </w:t>
      </w:r>
      <w:r w:rsidR="005E369B">
        <w:t xml:space="preserve">radiated </w:t>
      </w:r>
      <w:r>
        <w:t>power and antenna HAAT</w:t>
      </w:r>
      <w:r w:rsidR="002B5208">
        <w:t xml:space="preserve"> in the TV bands</w:t>
      </w:r>
      <w:r w:rsidR="00581E89">
        <w:t>,</w:t>
      </w:r>
      <w:r w:rsidR="002B5208">
        <w:t xml:space="preserve"> </w:t>
      </w:r>
      <w:r>
        <w:t xml:space="preserve">we </w:t>
      </w:r>
      <w:r w:rsidR="00291D7F">
        <w:t xml:space="preserve">also </w:t>
      </w:r>
      <w:r>
        <w:t>propose increases in the minimum required separation distances between white space devices operating at higher power</w:t>
      </w:r>
      <w:r w:rsidR="00DD6E8D">
        <w:t>/</w:t>
      </w:r>
      <w:r>
        <w:t xml:space="preserve">HAAT </w:t>
      </w:r>
      <w:r w:rsidR="008806B6">
        <w:t xml:space="preserve">in order to protect these </w:t>
      </w:r>
      <w:r w:rsidR="00501989">
        <w:t xml:space="preserve">other authorized </w:t>
      </w:r>
      <w:r w:rsidR="00A81F37">
        <w:t>services</w:t>
      </w:r>
      <w:r w:rsidR="008806B6">
        <w:t xml:space="preserve"> from harmful interference</w:t>
      </w:r>
      <w:r w:rsidR="007126AB">
        <w:t>.</w:t>
      </w:r>
    </w:p>
    <w:p w:rsidR="00A70B77" w:rsidP="00A70B77">
      <w:pPr>
        <w:pStyle w:val="ParaNum"/>
      </w:pPr>
      <w:r>
        <w:rPr>
          <w:i/>
        </w:rPr>
        <w:t xml:space="preserve">Protecting </w:t>
      </w:r>
      <w:r w:rsidR="00840345">
        <w:rPr>
          <w:i/>
        </w:rPr>
        <w:t xml:space="preserve">TV </w:t>
      </w:r>
      <w:r w:rsidR="00656F21">
        <w:rPr>
          <w:i/>
        </w:rPr>
        <w:t>broadcasters</w:t>
      </w:r>
      <w:r w:rsidR="00840345">
        <w:rPr>
          <w:i/>
        </w:rPr>
        <w:t xml:space="preserve">.  </w:t>
      </w:r>
      <w:r w:rsidR="00431CBC">
        <w:t xml:space="preserve">We propose to apply the same methodology used by the </w:t>
      </w:r>
      <w:r w:rsidR="00F976A0">
        <w:t xml:space="preserve">Commission in its </w:t>
      </w:r>
      <w:r w:rsidR="00DE5FDB">
        <w:t xml:space="preserve">2015 </w:t>
      </w:r>
      <w:r w:rsidR="00DE5FDB">
        <w:rPr>
          <w:i/>
        </w:rPr>
        <w:t xml:space="preserve">White Spaces Order </w:t>
      </w:r>
      <w:r w:rsidR="00DE5FDB">
        <w:t xml:space="preserve">and </w:t>
      </w:r>
      <w:r w:rsidR="009578CC">
        <w:t>earlier</w:t>
      </w:r>
      <w:r w:rsidR="00F25B6D">
        <w:t xml:space="preserve"> </w:t>
      </w:r>
      <w:r w:rsidR="00464EBE">
        <w:t xml:space="preserve">for determining the minimum required separation distances </w:t>
      </w:r>
      <w:r w:rsidR="00896501">
        <w:t>from TV station protected contours</w:t>
      </w:r>
      <w:r w:rsidR="00464EBE">
        <w:t>.</w:t>
      </w:r>
      <w:r>
        <w:rPr>
          <w:rStyle w:val="FootnoteReference"/>
        </w:rPr>
        <w:footnoteReference w:id="50"/>
      </w:r>
      <w:r w:rsidR="00896501">
        <w:t xml:space="preserve">  </w:t>
      </w:r>
      <w:r w:rsidR="00123338">
        <w:t xml:space="preserve">The proposed table of separation distances from co-channel TV station contours, as modified to include a </w:t>
      </w:r>
      <w:r w:rsidR="005E369B">
        <w:t xml:space="preserve">16-watt </w:t>
      </w:r>
      <w:r w:rsidR="00123338">
        <w:t>power level and HAAT values up to 500 meters</w:t>
      </w:r>
      <w:r w:rsidR="00844EB1">
        <w:t>,</w:t>
      </w:r>
      <w:r w:rsidR="00123338">
        <w:t xml:space="preserve"> is as follows</w:t>
      </w:r>
      <w:r w:rsidR="00D40BCD">
        <w:t>. When an HAAT value falls on the boundary between two rows, e.g., 100 meters, the row with the greater separation distances shall be used, e.g., the row for 100-150 meters.</w:t>
      </w:r>
    </w:p>
    <w:p w:rsidR="00761B3C" w:rsidP="00761B3C">
      <w:pPr>
        <w:pStyle w:val="ParaNum"/>
        <w:numPr>
          <w:ilvl w:val="0"/>
          <w:numId w:val="0"/>
        </w:numPr>
        <w:ind w:firstLine="720"/>
      </w:pPr>
    </w:p>
    <w:p w:rsidR="00761B3C" w:rsidP="00761B3C">
      <w:pPr>
        <w:pStyle w:val="ParaNum"/>
        <w:numPr>
          <w:ilvl w:val="0"/>
          <w:numId w:val="0"/>
        </w:numPr>
        <w:ind w:firstLine="720"/>
      </w:pPr>
    </w:p>
    <w:tbl>
      <w:tblPr>
        <w:tblpPr w:leftFromText="180" w:rightFromText="180" w:vertAnchor="text" w:tblpXSpec="center" w:tblpY="1"/>
        <w:tblOverlap w:val="never"/>
        <w:tblW w:w="9360" w:type="dxa"/>
        <w:tblCellSpacing w:w="7" w:type="dxa"/>
        <w:tblBorders>
          <w:top w:val="outset" w:sz="8" w:space="0" w:color="auto"/>
          <w:left w:val="outset" w:sz="8" w:space="0" w:color="auto"/>
          <w:bottom w:val="outset" w:sz="8" w:space="0" w:color="auto"/>
          <w:right w:val="outset" w:sz="8" w:space="0" w:color="auto"/>
          <w:insideH w:val="outset" w:sz="8" w:space="0" w:color="auto"/>
          <w:insideV w:val="outset" w:sz="8" w:space="0" w:color="auto"/>
        </w:tblBorders>
        <w:tblLayout w:type="fixed"/>
        <w:tblLook w:val="00A0"/>
      </w:tblPr>
      <w:tblGrid>
        <w:gridCol w:w="1272"/>
        <w:gridCol w:w="1037"/>
        <w:gridCol w:w="956"/>
        <w:gridCol w:w="956"/>
        <w:gridCol w:w="956"/>
        <w:gridCol w:w="1035"/>
        <w:gridCol w:w="1033"/>
        <w:gridCol w:w="1057"/>
        <w:gridCol w:w="1058"/>
      </w:tblGrid>
      <w:tr w:rsidTr="00DA384D">
        <w:tblPrEx>
          <w:tblW w:w="9360" w:type="dxa"/>
          <w:tblCellSpacing w:w="7" w:type="dxa"/>
          <w:tblBorders>
            <w:top w:val="outset" w:sz="8" w:space="0" w:color="auto"/>
            <w:left w:val="outset" w:sz="8" w:space="0" w:color="auto"/>
            <w:bottom w:val="outset" w:sz="8" w:space="0" w:color="auto"/>
            <w:right w:val="outset" w:sz="8" w:space="0" w:color="auto"/>
            <w:insideH w:val="outset" w:sz="8" w:space="0" w:color="auto"/>
            <w:insideV w:val="outset" w:sz="8" w:space="0" w:color="auto"/>
          </w:tblBorders>
          <w:tblLayout w:type="fixed"/>
          <w:tblLook w:val="00A0"/>
        </w:tblPrEx>
        <w:trPr>
          <w:trHeight w:val="720"/>
          <w:tblCellSpacing w:w="7" w:type="dxa"/>
        </w:trPr>
        <w:tc>
          <w:tcPr>
            <w:tcW w:w="9332" w:type="dxa"/>
            <w:gridSpan w:val="9"/>
            <w:tcMar>
              <w:top w:w="15" w:type="dxa"/>
              <w:left w:w="15" w:type="dxa"/>
              <w:bottom w:w="15" w:type="dxa"/>
              <w:right w:w="15" w:type="dxa"/>
            </w:tcMar>
            <w:vAlign w:val="center"/>
          </w:tcPr>
          <w:p w:rsidR="00DA384D" w:rsidRPr="00AD595B" w:rsidP="00DA384D">
            <w:pPr>
              <w:keepNext/>
              <w:keepLines/>
              <w:jc w:val="center"/>
              <w:rPr>
                <w:b/>
                <w:bCs/>
              </w:rPr>
            </w:pPr>
            <w:r w:rsidRPr="00AD595B">
              <w:rPr>
                <w:b/>
                <w:bCs/>
              </w:rPr>
              <w:t>Fixed White Space Devices</w:t>
            </w:r>
          </w:p>
        </w:tc>
      </w:tr>
      <w:tr w:rsidTr="00DA384D">
        <w:tblPrEx>
          <w:tblW w:w="9360" w:type="dxa"/>
          <w:tblCellSpacing w:w="7" w:type="dxa"/>
          <w:tblLayout w:type="fixed"/>
          <w:tblLook w:val="00A0"/>
        </w:tblPrEx>
        <w:trPr>
          <w:trHeight w:val="720"/>
          <w:tblCellSpacing w:w="7" w:type="dxa"/>
        </w:trPr>
        <w:tc>
          <w:tcPr>
            <w:tcW w:w="1251" w:type="dxa"/>
            <w:vMerge w:val="restart"/>
            <w:tcMar>
              <w:top w:w="15" w:type="dxa"/>
              <w:left w:w="15" w:type="dxa"/>
              <w:bottom w:w="15" w:type="dxa"/>
              <w:right w:w="15" w:type="dxa"/>
            </w:tcMar>
            <w:vAlign w:val="center"/>
          </w:tcPr>
          <w:p w:rsidR="00231EA4" w:rsidRPr="00AD595B" w:rsidP="00DA384D">
            <w:pPr>
              <w:keepNext/>
              <w:keepLines/>
              <w:jc w:val="center"/>
              <w:rPr>
                <w:b/>
                <w:bCs/>
              </w:rPr>
            </w:pPr>
            <w:bookmarkStart w:id="89" w:name="_Hlk22738656"/>
            <w:r w:rsidRPr="00AD595B">
              <w:rPr>
                <w:b/>
                <w:bCs/>
              </w:rPr>
              <w:t>Antenna height above average terrain of unlicensed devices</w:t>
            </w:r>
          </w:p>
          <w:p w:rsidR="00231EA4" w:rsidRPr="00AD595B" w:rsidP="00DA384D">
            <w:pPr>
              <w:keepNext/>
              <w:keepLines/>
              <w:jc w:val="center"/>
              <w:rPr>
                <w:b/>
                <w:bCs/>
              </w:rPr>
            </w:pPr>
            <w:r w:rsidRPr="00AD595B">
              <w:rPr>
                <w:b/>
                <w:bCs/>
              </w:rPr>
              <w:t>(meters)</w:t>
            </w:r>
          </w:p>
        </w:tc>
        <w:tc>
          <w:tcPr>
            <w:tcW w:w="8067" w:type="dxa"/>
            <w:gridSpan w:val="8"/>
            <w:tcMar>
              <w:top w:w="15" w:type="dxa"/>
              <w:left w:w="15" w:type="dxa"/>
              <w:bottom w:w="15" w:type="dxa"/>
              <w:right w:w="15" w:type="dxa"/>
            </w:tcMar>
            <w:vAlign w:val="center"/>
          </w:tcPr>
          <w:p w:rsidR="00231EA4" w:rsidRPr="00AD595B" w:rsidP="00DA384D">
            <w:pPr>
              <w:keepNext/>
              <w:keepLines/>
              <w:jc w:val="center"/>
              <w:rPr>
                <w:b/>
                <w:bCs/>
              </w:rPr>
            </w:pPr>
            <w:r w:rsidRPr="00AD595B">
              <w:rPr>
                <w:b/>
                <w:bCs/>
              </w:rPr>
              <w:t>Required separation in kilometers from co-channel digital or analog TV (full service or low power) protected contour</w:t>
            </w:r>
            <w:r w:rsidRPr="00AD595B" w:rsidR="00263DE7">
              <w:rPr>
                <w:b/>
                <w:bCs/>
              </w:rPr>
              <w:t xml:space="preserve"> based on fixed white space device </w:t>
            </w:r>
            <w:r w:rsidRPr="00AD595B" w:rsidR="00EA445B">
              <w:rPr>
                <w:b/>
                <w:bCs/>
              </w:rPr>
              <w:t>EIRP</w:t>
            </w:r>
          </w:p>
        </w:tc>
      </w:tr>
      <w:tr w:rsidTr="00DA384D">
        <w:tblPrEx>
          <w:tblW w:w="9360" w:type="dxa"/>
          <w:tblCellSpacing w:w="7" w:type="dxa"/>
          <w:tblLayout w:type="fixed"/>
          <w:tblLook w:val="00A0"/>
        </w:tblPrEx>
        <w:trPr>
          <w:tblCellSpacing w:w="7" w:type="dxa"/>
        </w:trPr>
        <w:tc>
          <w:tcPr>
            <w:tcW w:w="1251" w:type="dxa"/>
            <w:vMerge/>
            <w:vAlign w:val="center"/>
          </w:tcPr>
          <w:p w:rsidR="00231EA4" w:rsidRPr="00AD595B" w:rsidP="00DA384D">
            <w:pPr>
              <w:keepNext/>
              <w:keepLines/>
              <w:rPr>
                <w:b/>
                <w:bCs/>
              </w:rPr>
            </w:pPr>
          </w:p>
        </w:tc>
        <w:tc>
          <w:tcPr>
            <w:tcW w:w="1023" w:type="dxa"/>
            <w:tcMar>
              <w:top w:w="15" w:type="dxa"/>
              <w:left w:w="15" w:type="dxa"/>
              <w:bottom w:w="15" w:type="dxa"/>
              <w:right w:w="15" w:type="dxa"/>
            </w:tcMar>
            <w:vAlign w:val="center"/>
          </w:tcPr>
          <w:p w:rsidR="00231EA4" w:rsidRPr="00AD595B" w:rsidP="00DA384D">
            <w:pPr>
              <w:keepNext/>
              <w:keepLines/>
              <w:jc w:val="center"/>
              <w:rPr>
                <w:b/>
                <w:bCs/>
              </w:rPr>
            </w:pPr>
            <w:r w:rsidRPr="00AD595B">
              <w:rPr>
                <w:b/>
                <w:bCs/>
              </w:rPr>
              <w:t>16 dBm</w:t>
            </w:r>
          </w:p>
          <w:p w:rsidR="00231EA4" w:rsidRPr="00AD595B" w:rsidP="00DA384D">
            <w:pPr>
              <w:keepNext/>
              <w:keepLines/>
              <w:jc w:val="center"/>
              <w:rPr>
                <w:b/>
                <w:bCs/>
              </w:rPr>
            </w:pPr>
            <w:r w:rsidRPr="00AD595B">
              <w:rPr>
                <w:b/>
                <w:bCs/>
              </w:rPr>
              <w:t xml:space="preserve">(40 </w:t>
            </w:r>
            <w:r w:rsidRPr="00AD595B">
              <w:rPr>
                <w:b/>
                <w:bCs/>
              </w:rPr>
              <w:t>mW</w:t>
            </w:r>
            <w:r w:rsidRPr="00AD595B">
              <w:rPr>
                <w:b/>
                <w:bCs/>
              </w:rPr>
              <w:t>)</w:t>
            </w:r>
          </w:p>
        </w:tc>
        <w:tc>
          <w:tcPr>
            <w:tcW w:w="942" w:type="dxa"/>
            <w:tcMar>
              <w:top w:w="15" w:type="dxa"/>
              <w:left w:w="15" w:type="dxa"/>
              <w:bottom w:w="15" w:type="dxa"/>
              <w:right w:w="15" w:type="dxa"/>
            </w:tcMar>
            <w:vAlign w:val="center"/>
          </w:tcPr>
          <w:p w:rsidR="00231EA4" w:rsidRPr="00AD595B" w:rsidP="00DA384D">
            <w:pPr>
              <w:keepNext/>
              <w:keepLines/>
              <w:jc w:val="center"/>
              <w:rPr>
                <w:b/>
                <w:bCs/>
              </w:rPr>
            </w:pPr>
            <w:r w:rsidRPr="00AD595B">
              <w:rPr>
                <w:b/>
                <w:bCs/>
              </w:rPr>
              <w:t>20 dBm</w:t>
            </w:r>
          </w:p>
          <w:p w:rsidR="00231EA4" w:rsidRPr="00AD595B" w:rsidP="00DA384D">
            <w:pPr>
              <w:keepNext/>
              <w:keepLines/>
              <w:jc w:val="center"/>
              <w:rPr>
                <w:b/>
                <w:bCs/>
              </w:rPr>
            </w:pPr>
            <w:r w:rsidRPr="00AD595B">
              <w:rPr>
                <w:b/>
                <w:bCs/>
              </w:rPr>
              <w:t xml:space="preserve">(100 </w:t>
            </w:r>
            <w:r w:rsidRPr="00AD595B">
              <w:rPr>
                <w:b/>
                <w:bCs/>
              </w:rPr>
              <w:t>mW</w:t>
            </w:r>
            <w:r w:rsidRPr="00AD595B">
              <w:rPr>
                <w:b/>
                <w:bCs/>
              </w:rPr>
              <w:t>)</w:t>
            </w:r>
          </w:p>
        </w:tc>
        <w:tc>
          <w:tcPr>
            <w:tcW w:w="942" w:type="dxa"/>
            <w:tcMar>
              <w:top w:w="15" w:type="dxa"/>
              <w:left w:w="15" w:type="dxa"/>
              <w:bottom w:w="15" w:type="dxa"/>
              <w:right w:w="15" w:type="dxa"/>
            </w:tcMar>
            <w:vAlign w:val="center"/>
          </w:tcPr>
          <w:p w:rsidR="00231EA4" w:rsidRPr="00AD595B" w:rsidP="00DA384D">
            <w:pPr>
              <w:keepNext/>
              <w:keepLines/>
              <w:jc w:val="center"/>
              <w:rPr>
                <w:b/>
                <w:bCs/>
              </w:rPr>
            </w:pPr>
            <w:r w:rsidRPr="00AD595B">
              <w:rPr>
                <w:b/>
                <w:bCs/>
              </w:rPr>
              <w:t>24 dBm</w:t>
            </w:r>
          </w:p>
          <w:p w:rsidR="00231EA4" w:rsidRPr="00AD595B" w:rsidP="00DA384D">
            <w:pPr>
              <w:keepNext/>
              <w:keepLines/>
              <w:jc w:val="center"/>
              <w:rPr>
                <w:b/>
                <w:bCs/>
              </w:rPr>
            </w:pPr>
            <w:r w:rsidRPr="00AD595B">
              <w:rPr>
                <w:b/>
                <w:bCs/>
              </w:rPr>
              <w:t xml:space="preserve">(250 </w:t>
            </w:r>
            <w:r w:rsidRPr="00AD595B">
              <w:rPr>
                <w:b/>
                <w:bCs/>
              </w:rPr>
              <w:t>mW</w:t>
            </w:r>
            <w:r w:rsidRPr="00AD595B">
              <w:rPr>
                <w:b/>
                <w:bCs/>
              </w:rPr>
              <w:t>)</w:t>
            </w:r>
          </w:p>
        </w:tc>
        <w:tc>
          <w:tcPr>
            <w:tcW w:w="942" w:type="dxa"/>
            <w:tcMar>
              <w:top w:w="15" w:type="dxa"/>
              <w:left w:w="15" w:type="dxa"/>
              <w:bottom w:w="15" w:type="dxa"/>
              <w:right w:w="15" w:type="dxa"/>
            </w:tcMar>
            <w:vAlign w:val="center"/>
          </w:tcPr>
          <w:p w:rsidR="00231EA4" w:rsidRPr="00AD595B" w:rsidP="00DA384D">
            <w:pPr>
              <w:keepNext/>
              <w:keepLines/>
              <w:jc w:val="center"/>
              <w:rPr>
                <w:b/>
                <w:bCs/>
              </w:rPr>
            </w:pPr>
            <w:r w:rsidRPr="00AD595B">
              <w:rPr>
                <w:b/>
                <w:bCs/>
              </w:rPr>
              <w:t>28 dBm</w:t>
            </w:r>
          </w:p>
          <w:p w:rsidR="00231EA4" w:rsidRPr="00AD595B" w:rsidP="00DA384D">
            <w:pPr>
              <w:keepNext/>
              <w:keepLines/>
              <w:jc w:val="center"/>
              <w:rPr>
                <w:b/>
                <w:bCs/>
              </w:rPr>
            </w:pPr>
            <w:r w:rsidRPr="00AD595B">
              <w:rPr>
                <w:b/>
                <w:bCs/>
              </w:rPr>
              <w:t xml:space="preserve">(625 </w:t>
            </w:r>
            <w:r w:rsidRPr="00AD595B">
              <w:rPr>
                <w:b/>
                <w:bCs/>
              </w:rPr>
              <w:t>mW</w:t>
            </w:r>
            <w:r w:rsidRPr="00AD595B">
              <w:rPr>
                <w:b/>
                <w:bCs/>
              </w:rPr>
              <w:t>)</w:t>
            </w:r>
          </w:p>
        </w:tc>
        <w:tc>
          <w:tcPr>
            <w:tcW w:w="1021" w:type="dxa"/>
            <w:tcMar>
              <w:top w:w="15" w:type="dxa"/>
              <w:left w:w="15" w:type="dxa"/>
              <w:bottom w:w="15" w:type="dxa"/>
              <w:right w:w="15" w:type="dxa"/>
            </w:tcMar>
            <w:vAlign w:val="center"/>
          </w:tcPr>
          <w:p w:rsidR="00231EA4" w:rsidRPr="00AD595B" w:rsidP="00DA384D">
            <w:pPr>
              <w:keepNext/>
              <w:keepLines/>
              <w:jc w:val="center"/>
              <w:rPr>
                <w:b/>
                <w:bCs/>
              </w:rPr>
            </w:pPr>
            <w:r w:rsidRPr="00AD595B">
              <w:rPr>
                <w:b/>
                <w:bCs/>
              </w:rPr>
              <w:t>32 dBm</w:t>
            </w:r>
          </w:p>
          <w:p w:rsidR="00231EA4" w:rsidRPr="00AD595B" w:rsidP="00DA384D">
            <w:pPr>
              <w:keepNext/>
              <w:keepLines/>
              <w:jc w:val="center"/>
              <w:rPr>
                <w:b/>
                <w:bCs/>
              </w:rPr>
            </w:pPr>
            <w:r w:rsidRPr="00AD595B">
              <w:rPr>
                <w:b/>
                <w:bCs/>
              </w:rPr>
              <w:t xml:space="preserve">(1600 </w:t>
            </w:r>
            <w:r w:rsidRPr="00AD595B">
              <w:rPr>
                <w:b/>
                <w:bCs/>
              </w:rPr>
              <w:t>mW</w:t>
            </w:r>
            <w:r w:rsidRPr="00AD595B">
              <w:rPr>
                <w:b/>
                <w:bCs/>
              </w:rPr>
              <w:t>)</w:t>
            </w:r>
          </w:p>
        </w:tc>
        <w:tc>
          <w:tcPr>
            <w:tcW w:w="1019" w:type="dxa"/>
            <w:tcMar>
              <w:top w:w="15" w:type="dxa"/>
              <w:left w:w="15" w:type="dxa"/>
              <w:bottom w:w="15" w:type="dxa"/>
              <w:right w:w="15" w:type="dxa"/>
            </w:tcMar>
            <w:vAlign w:val="center"/>
          </w:tcPr>
          <w:p w:rsidR="00231EA4" w:rsidRPr="00AD595B" w:rsidP="00DA384D">
            <w:pPr>
              <w:keepNext/>
              <w:keepLines/>
              <w:jc w:val="center"/>
              <w:rPr>
                <w:b/>
                <w:bCs/>
              </w:rPr>
            </w:pPr>
            <w:r w:rsidRPr="00AD595B">
              <w:rPr>
                <w:b/>
                <w:bCs/>
              </w:rPr>
              <w:t>36 dBm</w:t>
            </w:r>
          </w:p>
          <w:p w:rsidR="00231EA4" w:rsidRPr="00AD595B" w:rsidP="00DA384D">
            <w:pPr>
              <w:keepNext/>
              <w:keepLines/>
              <w:jc w:val="center"/>
              <w:rPr>
                <w:b/>
                <w:bCs/>
              </w:rPr>
            </w:pPr>
            <w:r w:rsidRPr="00AD595B">
              <w:rPr>
                <w:b/>
                <w:bCs/>
              </w:rPr>
              <w:t>(4 W)</w:t>
            </w:r>
          </w:p>
        </w:tc>
        <w:tc>
          <w:tcPr>
            <w:tcW w:w="1043" w:type="dxa"/>
            <w:vAlign w:val="center"/>
          </w:tcPr>
          <w:p w:rsidR="00231EA4" w:rsidRPr="00AD595B" w:rsidP="00DA384D">
            <w:pPr>
              <w:keepNext/>
              <w:keepLines/>
              <w:jc w:val="center"/>
              <w:rPr>
                <w:b/>
                <w:bCs/>
              </w:rPr>
            </w:pPr>
            <w:r w:rsidRPr="00AD595B">
              <w:rPr>
                <w:b/>
                <w:bCs/>
              </w:rPr>
              <w:t>40 dBm</w:t>
            </w:r>
          </w:p>
          <w:p w:rsidR="00231EA4" w:rsidRPr="00AD595B" w:rsidP="00DA384D">
            <w:pPr>
              <w:keepNext/>
              <w:keepLines/>
              <w:jc w:val="center"/>
              <w:rPr>
                <w:b/>
                <w:bCs/>
              </w:rPr>
            </w:pPr>
            <w:r w:rsidRPr="00AD595B">
              <w:rPr>
                <w:b/>
                <w:bCs/>
              </w:rPr>
              <w:t>(10 W)</w:t>
            </w:r>
          </w:p>
        </w:tc>
        <w:tc>
          <w:tcPr>
            <w:tcW w:w="1037" w:type="dxa"/>
            <w:shd w:val="clear" w:color="auto" w:fill="auto"/>
            <w:vAlign w:val="center"/>
          </w:tcPr>
          <w:p w:rsidR="00231EA4" w:rsidRPr="00AD595B" w:rsidP="00DA384D">
            <w:pPr>
              <w:keepNext/>
              <w:keepLines/>
              <w:rPr>
                <w:b/>
                <w:bCs/>
              </w:rPr>
            </w:pPr>
            <w:r w:rsidRPr="00AD595B">
              <w:rPr>
                <w:b/>
                <w:bCs/>
              </w:rPr>
              <w:t>42 dBm</w:t>
            </w:r>
          </w:p>
          <w:p w:rsidR="00231EA4" w:rsidRPr="00AD595B" w:rsidP="00DA384D">
            <w:pPr>
              <w:keepNext/>
              <w:keepLines/>
              <w:rPr>
                <w:b/>
                <w:bCs/>
              </w:rPr>
            </w:pPr>
            <w:r w:rsidRPr="00AD595B">
              <w:rPr>
                <w:b/>
                <w:bCs/>
              </w:rPr>
              <w:t xml:space="preserve"> (16 W)</w:t>
            </w:r>
          </w:p>
        </w:tc>
      </w:tr>
      <w:tr w:rsidTr="00DA384D">
        <w:tblPrEx>
          <w:tblW w:w="9360" w:type="dxa"/>
          <w:tblCellSpacing w:w="7" w:type="dxa"/>
          <w:tblLayout w:type="fixed"/>
          <w:tblLook w:val="00A0"/>
        </w:tblPrEx>
        <w:trPr>
          <w:tblCellSpacing w:w="7" w:type="dxa"/>
        </w:trPr>
        <w:tc>
          <w:tcPr>
            <w:tcW w:w="1251" w:type="dxa"/>
            <w:tcMar>
              <w:top w:w="15" w:type="dxa"/>
              <w:left w:w="15" w:type="dxa"/>
              <w:bottom w:w="15" w:type="dxa"/>
              <w:right w:w="15" w:type="dxa"/>
            </w:tcMar>
            <w:vAlign w:val="center"/>
          </w:tcPr>
          <w:p w:rsidR="00231EA4" w:rsidRPr="00AD595B" w:rsidP="00DA384D">
            <w:pPr>
              <w:keepNext/>
              <w:keepLines/>
              <w:jc w:val="center"/>
            </w:pPr>
            <w:r w:rsidRPr="00AD595B">
              <w:t>Less than 3</w:t>
            </w:r>
          </w:p>
        </w:tc>
        <w:tc>
          <w:tcPr>
            <w:tcW w:w="1023" w:type="dxa"/>
            <w:tcMar>
              <w:top w:w="15" w:type="dxa"/>
              <w:left w:w="15" w:type="dxa"/>
              <w:bottom w:w="15" w:type="dxa"/>
              <w:right w:w="15" w:type="dxa"/>
            </w:tcMar>
            <w:vAlign w:val="center"/>
          </w:tcPr>
          <w:p w:rsidR="00231EA4" w:rsidRPr="00AD595B" w:rsidP="00DA384D">
            <w:pPr>
              <w:keepNext/>
              <w:keepLines/>
              <w:jc w:val="center"/>
            </w:pPr>
            <w:r w:rsidRPr="00AD595B">
              <w:rPr>
                <w:color w:val="000000"/>
              </w:rPr>
              <w:t>1.3</w:t>
            </w:r>
          </w:p>
        </w:tc>
        <w:tc>
          <w:tcPr>
            <w:tcW w:w="942" w:type="dxa"/>
            <w:tcMar>
              <w:top w:w="15" w:type="dxa"/>
              <w:left w:w="15" w:type="dxa"/>
              <w:bottom w:w="15" w:type="dxa"/>
              <w:right w:w="15" w:type="dxa"/>
            </w:tcMar>
            <w:vAlign w:val="center"/>
          </w:tcPr>
          <w:p w:rsidR="00231EA4" w:rsidRPr="00AD595B" w:rsidP="00DA384D">
            <w:pPr>
              <w:keepNext/>
              <w:keepLines/>
              <w:jc w:val="center"/>
            </w:pPr>
            <w:r w:rsidRPr="00AD595B">
              <w:rPr>
                <w:color w:val="000000"/>
              </w:rPr>
              <w:t>1.7</w:t>
            </w:r>
          </w:p>
        </w:tc>
        <w:tc>
          <w:tcPr>
            <w:tcW w:w="942" w:type="dxa"/>
            <w:tcMar>
              <w:top w:w="15" w:type="dxa"/>
              <w:left w:w="15" w:type="dxa"/>
              <w:bottom w:w="15" w:type="dxa"/>
              <w:right w:w="15" w:type="dxa"/>
            </w:tcMar>
            <w:vAlign w:val="center"/>
          </w:tcPr>
          <w:p w:rsidR="00231EA4" w:rsidRPr="00AD595B" w:rsidP="00DA384D">
            <w:pPr>
              <w:keepNext/>
              <w:keepLines/>
              <w:jc w:val="center"/>
            </w:pPr>
            <w:r w:rsidRPr="00AD595B">
              <w:rPr>
                <w:color w:val="000000"/>
              </w:rPr>
              <w:t>2.1</w:t>
            </w:r>
          </w:p>
        </w:tc>
        <w:tc>
          <w:tcPr>
            <w:tcW w:w="942" w:type="dxa"/>
            <w:tcMar>
              <w:top w:w="15" w:type="dxa"/>
              <w:left w:w="15" w:type="dxa"/>
              <w:bottom w:w="15" w:type="dxa"/>
              <w:right w:w="15" w:type="dxa"/>
            </w:tcMar>
            <w:vAlign w:val="center"/>
          </w:tcPr>
          <w:p w:rsidR="00231EA4" w:rsidRPr="00AD595B" w:rsidP="00DA384D">
            <w:pPr>
              <w:keepNext/>
              <w:keepLines/>
              <w:jc w:val="center"/>
            </w:pPr>
            <w:r w:rsidRPr="00AD595B">
              <w:rPr>
                <w:color w:val="000000"/>
              </w:rPr>
              <w:t>2.7</w:t>
            </w:r>
          </w:p>
        </w:tc>
        <w:tc>
          <w:tcPr>
            <w:tcW w:w="1021" w:type="dxa"/>
            <w:tcMar>
              <w:top w:w="15" w:type="dxa"/>
              <w:left w:w="15" w:type="dxa"/>
              <w:bottom w:w="15" w:type="dxa"/>
              <w:right w:w="15" w:type="dxa"/>
            </w:tcMar>
            <w:vAlign w:val="center"/>
          </w:tcPr>
          <w:p w:rsidR="00231EA4" w:rsidRPr="00AD595B" w:rsidP="00DA384D">
            <w:pPr>
              <w:keepNext/>
              <w:keepLines/>
              <w:jc w:val="center"/>
            </w:pPr>
            <w:r w:rsidRPr="00AD595B">
              <w:rPr>
                <w:color w:val="000000"/>
              </w:rPr>
              <w:t>3.3</w:t>
            </w:r>
          </w:p>
        </w:tc>
        <w:tc>
          <w:tcPr>
            <w:tcW w:w="1019" w:type="dxa"/>
            <w:tcMar>
              <w:top w:w="15" w:type="dxa"/>
              <w:left w:w="15" w:type="dxa"/>
              <w:bottom w:w="15" w:type="dxa"/>
              <w:right w:w="15" w:type="dxa"/>
            </w:tcMar>
            <w:vAlign w:val="center"/>
          </w:tcPr>
          <w:p w:rsidR="00231EA4" w:rsidRPr="00AD595B" w:rsidP="00DA384D">
            <w:pPr>
              <w:keepNext/>
              <w:keepLines/>
              <w:jc w:val="center"/>
            </w:pPr>
            <w:r w:rsidRPr="00AD595B">
              <w:t>4.0</w:t>
            </w:r>
          </w:p>
        </w:tc>
        <w:tc>
          <w:tcPr>
            <w:tcW w:w="1043" w:type="dxa"/>
            <w:vAlign w:val="center"/>
          </w:tcPr>
          <w:p w:rsidR="00231EA4" w:rsidRPr="00AD595B" w:rsidP="00DA384D">
            <w:pPr>
              <w:keepNext/>
              <w:keepLines/>
              <w:jc w:val="center"/>
            </w:pPr>
            <w:r w:rsidRPr="00AD595B">
              <w:t>4.5</w:t>
            </w:r>
          </w:p>
        </w:tc>
        <w:tc>
          <w:tcPr>
            <w:tcW w:w="1037" w:type="dxa"/>
          </w:tcPr>
          <w:p w:rsidR="00231EA4" w:rsidRPr="00AD595B" w:rsidP="00DA384D">
            <w:pPr>
              <w:keepNext/>
              <w:keepLines/>
              <w:jc w:val="center"/>
            </w:pPr>
            <w:r w:rsidRPr="00AD595B">
              <w:t>5.0</w:t>
            </w:r>
          </w:p>
        </w:tc>
      </w:tr>
      <w:tr w:rsidTr="00DA384D">
        <w:tblPrEx>
          <w:tblW w:w="9360" w:type="dxa"/>
          <w:tblCellSpacing w:w="7" w:type="dxa"/>
          <w:tblLayout w:type="fixed"/>
          <w:tblLook w:val="00A0"/>
        </w:tblPrEx>
        <w:trPr>
          <w:tblCellSpacing w:w="7" w:type="dxa"/>
        </w:trPr>
        <w:tc>
          <w:tcPr>
            <w:tcW w:w="1251" w:type="dxa"/>
            <w:tcMar>
              <w:top w:w="15" w:type="dxa"/>
              <w:left w:w="15" w:type="dxa"/>
              <w:bottom w:w="15" w:type="dxa"/>
              <w:right w:w="15" w:type="dxa"/>
            </w:tcMar>
            <w:vAlign w:val="center"/>
          </w:tcPr>
          <w:p w:rsidR="00231EA4" w:rsidRPr="00AD595B" w:rsidP="00DA384D">
            <w:pPr>
              <w:keepNext/>
              <w:keepLines/>
              <w:jc w:val="center"/>
            </w:pPr>
            <w:r w:rsidRPr="00AD595B">
              <w:t xml:space="preserve">3 - 10 </w:t>
            </w:r>
          </w:p>
        </w:tc>
        <w:tc>
          <w:tcPr>
            <w:tcW w:w="1023" w:type="dxa"/>
            <w:tcMar>
              <w:top w:w="15" w:type="dxa"/>
              <w:left w:w="15" w:type="dxa"/>
              <w:bottom w:w="15" w:type="dxa"/>
              <w:right w:w="15" w:type="dxa"/>
            </w:tcMar>
            <w:vAlign w:val="center"/>
          </w:tcPr>
          <w:p w:rsidR="00231EA4" w:rsidRPr="00AD595B" w:rsidP="00DA384D">
            <w:pPr>
              <w:keepNext/>
              <w:keepLines/>
              <w:jc w:val="center"/>
            </w:pPr>
            <w:r w:rsidRPr="00AD595B">
              <w:rPr>
                <w:color w:val="000000"/>
              </w:rPr>
              <w:t>2.4</w:t>
            </w:r>
          </w:p>
        </w:tc>
        <w:tc>
          <w:tcPr>
            <w:tcW w:w="942" w:type="dxa"/>
            <w:tcMar>
              <w:top w:w="15" w:type="dxa"/>
              <w:left w:w="15" w:type="dxa"/>
              <w:bottom w:w="15" w:type="dxa"/>
              <w:right w:w="15" w:type="dxa"/>
            </w:tcMar>
            <w:vAlign w:val="center"/>
          </w:tcPr>
          <w:p w:rsidR="00231EA4" w:rsidRPr="00AD595B" w:rsidP="00DA384D">
            <w:pPr>
              <w:keepNext/>
              <w:keepLines/>
              <w:jc w:val="center"/>
            </w:pPr>
            <w:r w:rsidRPr="00AD595B">
              <w:rPr>
                <w:color w:val="000000"/>
              </w:rPr>
              <w:t>3.1</w:t>
            </w:r>
          </w:p>
        </w:tc>
        <w:tc>
          <w:tcPr>
            <w:tcW w:w="942" w:type="dxa"/>
            <w:tcMar>
              <w:top w:w="15" w:type="dxa"/>
              <w:left w:w="15" w:type="dxa"/>
              <w:bottom w:w="15" w:type="dxa"/>
              <w:right w:w="15" w:type="dxa"/>
            </w:tcMar>
            <w:vAlign w:val="center"/>
          </w:tcPr>
          <w:p w:rsidR="00231EA4" w:rsidRPr="00AD595B" w:rsidP="00DA384D">
            <w:pPr>
              <w:keepNext/>
              <w:keepLines/>
              <w:jc w:val="center"/>
            </w:pPr>
            <w:r w:rsidRPr="00AD595B">
              <w:rPr>
                <w:color w:val="000000"/>
              </w:rPr>
              <w:t>3.8</w:t>
            </w:r>
          </w:p>
        </w:tc>
        <w:tc>
          <w:tcPr>
            <w:tcW w:w="942" w:type="dxa"/>
            <w:tcMar>
              <w:top w:w="15" w:type="dxa"/>
              <w:left w:w="15" w:type="dxa"/>
              <w:bottom w:w="15" w:type="dxa"/>
              <w:right w:w="15" w:type="dxa"/>
            </w:tcMar>
            <w:vAlign w:val="center"/>
          </w:tcPr>
          <w:p w:rsidR="00231EA4" w:rsidRPr="00AD595B" w:rsidP="00DA384D">
            <w:pPr>
              <w:keepNext/>
              <w:keepLines/>
              <w:jc w:val="center"/>
            </w:pPr>
            <w:r w:rsidRPr="00AD595B">
              <w:rPr>
                <w:color w:val="000000"/>
              </w:rPr>
              <w:t>4.8</w:t>
            </w:r>
          </w:p>
        </w:tc>
        <w:tc>
          <w:tcPr>
            <w:tcW w:w="1021" w:type="dxa"/>
            <w:tcMar>
              <w:top w:w="15" w:type="dxa"/>
              <w:left w:w="15" w:type="dxa"/>
              <w:bottom w:w="15" w:type="dxa"/>
              <w:right w:w="15" w:type="dxa"/>
            </w:tcMar>
            <w:vAlign w:val="center"/>
          </w:tcPr>
          <w:p w:rsidR="00231EA4" w:rsidRPr="00AD595B" w:rsidP="00DA384D">
            <w:pPr>
              <w:keepNext/>
              <w:keepLines/>
              <w:jc w:val="center"/>
            </w:pPr>
            <w:r w:rsidRPr="00AD595B">
              <w:rPr>
                <w:color w:val="000000"/>
              </w:rPr>
              <w:t>6.1</w:t>
            </w:r>
          </w:p>
        </w:tc>
        <w:tc>
          <w:tcPr>
            <w:tcW w:w="1019" w:type="dxa"/>
            <w:tcMar>
              <w:top w:w="15" w:type="dxa"/>
              <w:left w:w="15" w:type="dxa"/>
              <w:bottom w:w="15" w:type="dxa"/>
              <w:right w:w="15" w:type="dxa"/>
            </w:tcMar>
            <w:vAlign w:val="center"/>
          </w:tcPr>
          <w:p w:rsidR="00231EA4" w:rsidRPr="00AD595B" w:rsidP="00DA384D">
            <w:pPr>
              <w:keepNext/>
              <w:keepLines/>
              <w:jc w:val="center"/>
            </w:pPr>
            <w:r w:rsidRPr="00AD595B">
              <w:t>7.3</w:t>
            </w:r>
          </w:p>
        </w:tc>
        <w:tc>
          <w:tcPr>
            <w:tcW w:w="1043" w:type="dxa"/>
            <w:vAlign w:val="center"/>
          </w:tcPr>
          <w:p w:rsidR="00231EA4" w:rsidRPr="00AD595B" w:rsidP="00DA384D">
            <w:pPr>
              <w:keepNext/>
              <w:keepLines/>
              <w:jc w:val="center"/>
            </w:pPr>
            <w:r w:rsidRPr="00AD595B">
              <w:t>8.5</w:t>
            </w:r>
          </w:p>
        </w:tc>
        <w:tc>
          <w:tcPr>
            <w:tcW w:w="1037" w:type="dxa"/>
          </w:tcPr>
          <w:p w:rsidR="00231EA4" w:rsidRPr="00AD595B" w:rsidP="00DA384D">
            <w:pPr>
              <w:keepNext/>
              <w:keepLines/>
              <w:jc w:val="center"/>
            </w:pPr>
            <w:r w:rsidRPr="00AD595B">
              <w:t>9.4</w:t>
            </w:r>
          </w:p>
        </w:tc>
      </w:tr>
      <w:tr w:rsidTr="00DA384D">
        <w:tblPrEx>
          <w:tblW w:w="9360" w:type="dxa"/>
          <w:tblCellSpacing w:w="7" w:type="dxa"/>
          <w:tblLayout w:type="fixed"/>
          <w:tblLook w:val="00A0"/>
        </w:tblPrEx>
        <w:trPr>
          <w:tblCellSpacing w:w="7" w:type="dxa"/>
        </w:trPr>
        <w:tc>
          <w:tcPr>
            <w:tcW w:w="1251" w:type="dxa"/>
            <w:tcMar>
              <w:top w:w="15" w:type="dxa"/>
              <w:left w:w="15" w:type="dxa"/>
              <w:bottom w:w="15" w:type="dxa"/>
              <w:right w:w="15" w:type="dxa"/>
            </w:tcMar>
            <w:vAlign w:val="center"/>
          </w:tcPr>
          <w:p w:rsidR="00231EA4" w:rsidRPr="00AD595B" w:rsidP="00DA384D">
            <w:pPr>
              <w:keepNext/>
              <w:keepLines/>
              <w:jc w:val="center"/>
            </w:pPr>
            <w:r w:rsidRPr="00AD595B">
              <w:t>10 - 30</w:t>
            </w:r>
          </w:p>
        </w:tc>
        <w:tc>
          <w:tcPr>
            <w:tcW w:w="1023" w:type="dxa"/>
            <w:tcMar>
              <w:top w:w="15" w:type="dxa"/>
              <w:left w:w="15" w:type="dxa"/>
              <w:bottom w:w="15" w:type="dxa"/>
              <w:right w:w="15" w:type="dxa"/>
            </w:tcMar>
            <w:vAlign w:val="center"/>
          </w:tcPr>
          <w:p w:rsidR="00231EA4" w:rsidRPr="00AD595B" w:rsidP="00DA384D">
            <w:pPr>
              <w:keepNext/>
              <w:keepLines/>
              <w:jc w:val="center"/>
            </w:pPr>
            <w:r w:rsidRPr="00AD595B">
              <w:rPr>
                <w:color w:val="000000"/>
              </w:rPr>
              <w:t>4.2</w:t>
            </w:r>
          </w:p>
        </w:tc>
        <w:tc>
          <w:tcPr>
            <w:tcW w:w="942" w:type="dxa"/>
            <w:tcMar>
              <w:top w:w="15" w:type="dxa"/>
              <w:left w:w="15" w:type="dxa"/>
              <w:bottom w:w="15" w:type="dxa"/>
              <w:right w:w="15" w:type="dxa"/>
            </w:tcMar>
            <w:vAlign w:val="center"/>
          </w:tcPr>
          <w:p w:rsidR="00231EA4" w:rsidRPr="00AD595B" w:rsidP="00DA384D">
            <w:pPr>
              <w:keepNext/>
              <w:keepLines/>
              <w:jc w:val="center"/>
            </w:pPr>
            <w:r w:rsidRPr="00AD595B">
              <w:rPr>
                <w:color w:val="000000"/>
              </w:rPr>
              <w:t>5.1</w:t>
            </w:r>
          </w:p>
        </w:tc>
        <w:tc>
          <w:tcPr>
            <w:tcW w:w="942" w:type="dxa"/>
            <w:tcMar>
              <w:top w:w="15" w:type="dxa"/>
              <w:left w:w="15" w:type="dxa"/>
              <w:bottom w:w="15" w:type="dxa"/>
              <w:right w:w="15" w:type="dxa"/>
            </w:tcMar>
            <w:vAlign w:val="center"/>
          </w:tcPr>
          <w:p w:rsidR="00231EA4" w:rsidRPr="00AD595B" w:rsidP="00DA384D">
            <w:pPr>
              <w:keepNext/>
              <w:keepLines/>
              <w:jc w:val="center"/>
            </w:pPr>
            <w:r w:rsidRPr="00AD595B">
              <w:rPr>
                <w:color w:val="000000"/>
              </w:rPr>
              <w:t>6.0</w:t>
            </w:r>
          </w:p>
        </w:tc>
        <w:tc>
          <w:tcPr>
            <w:tcW w:w="942" w:type="dxa"/>
            <w:tcMar>
              <w:top w:w="15" w:type="dxa"/>
              <w:left w:w="15" w:type="dxa"/>
              <w:bottom w:w="15" w:type="dxa"/>
              <w:right w:w="15" w:type="dxa"/>
            </w:tcMar>
            <w:vAlign w:val="center"/>
          </w:tcPr>
          <w:p w:rsidR="00231EA4" w:rsidRPr="00AD595B" w:rsidP="00DA384D">
            <w:pPr>
              <w:keepNext/>
              <w:keepLines/>
              <w:jc w:val="center"/>
            </w:pPr>
            <w:r w:rsidRPr="00AD595B">
              <w:rPr>
                <w:color w:val="000000"/>
              </w:rPr>
              <w:t>7.1</w:t>
            </w:r>
          </w:p>
        </w:tc>
        <w:tc>
          <w:tcPr>
            <w:tcW w:w="1021" w:type="dxa"/>
            <w:tcMar>
              <w:top w:w="15" w:type="dxa"/>
              <w:left w:w="15" w:type="dxa"/>
              <w:bottom w:w="15" w:type="dxa"/>
              <w:right w:w="15" w:type="dxa"/>
            </w:tcMar>
            <w:vAlign w:val="center"/>
          </w:tcPr>
          <w:p w:rsidR="00231EA4" w:rsidRPr="00AD595B" w:rsidP="00DA384D">
            <w:pPr>
              <w:keepNext/>
              <w:keepLines/>
              <w:jc w:val="center"/>
            </w:pPr>
            <w:r w:rsidRPr="00AD595B">
              <w:rPr>
                <w:color w:val="000000"/>
              </w:rPr>
              <w:t>8.9</w:t>
            </w:r>
          </w:p>
        </w:tc>
        <w:tc>
          <w:tcPr>
            <w:tcW w:w="1019" w:type="dxa"/>
            <w:tcMar>
              <w:top w:w="15" w:type="dxa"/>
              <w:left w:w="15" w:type="dxa"/>
              <w:bottom w:w="15" w:type="dxa"/>
              <w:right w:w="15" w:type="dxa"/>
            </w:tcMar>
            <w:vAlign w:val="center"/>
          </w:tcPr>
          <w:p w:rsidR="00231EA4" w:rsidRPr="00AD595B" w:rsidP="00DA384D">
            <w:pPr>
              <w:keepNext/>
              <w:keepLines/>
              <w:jc w:val="center"/>
            </w:pPr>
            <w:r w:rsidRPr="00AD595B">
              <w:t>11.1</w:t>
            </w:r>
          </w:p>
        </w:tc>
        <w:tc>
          <w:tcPr>
            <w:tcW w:w="1043" w:type="dxa"/>
            <w:vAlign w:val="center"/>
          </w:tcPr>
          <w:p w:rsidR="00231EA4" w:rsidRPr="00AD595B" w:rsidP="00DA384D">
            <w:pPr>
              <w:keepNext/>
              <w:keepLines/>
              <w:jc w:val="center"/>
            </w:pPr>
            <w:r w:rsidRPr="00AD595B">
              <w:t>13.9</w:t>
            </w:r>
          </w:p>
        </w:tc>
        <w:tc>
          <w:tcPr>
            <w:tcW w:w="1037" w:type="dxa"/>
          </w:tcPr>
          <w:p w:rsidR="00231EA4" w:rsidRPr="00AD595B" w:rsidP="00DA384D">
            <w:pPr>
              <w:keepNext/>
              <w:keepLines/>
              <w:jc w:val="center"/>
            </w:pPr>
            <w:r w:rsidRPr="00AD595B">
              <w:t>15.3</w:t>
            </w:r>
          </w:p>
        </w:tc>
      </w:tr>
      <w:tr w:rsidTr="00DA384D">
        <w:tblPrEx>
          <w:tblW w:w="9360" w:type="dxa"/>
          <w:tblCellSpacing w:w="7" w:type="dxa"/>
          <w:tblLayout w:type="fixed"/>
          <w:tblLook w:val="00A0"/>
        </w:tblPrEx>
        <w:trPr>
          <w:tblCellSpacing w:w="7" w:type="dxa"/>
        </w:trPr>
        <w:tc>
          <w:tcPr>
            <w:tcW w:w="1251" w:type="dxa"/>
            <w:tcMar>
              <w:top w:w="15" w:type="dxa"/>
              <w:left w:w="15" w:type="dxa"/>
              <w:bottom w:w="15" w:type="dxa"/>
              <w:right w:w="15" w:type="dxa"/>
            </w:tcMar>
            <w:vAlign w:val="center"/>
          </w:tcPr>
          <w:p w:rsidR="00231EA4" w:rsidRPr="00AD595B" w:rsidP="00DA384D">
            <w:pPr>
              <w:keepNext/>
              <w:keepLines/>
              <w:jc w:val="center"/>
            </w:pPr>
            <w:r w:rsidRPr="00AD595B">
              <w:t>30 - 50</w:t>
            </w:r>
          </w:p>
        </w:tc>
        <w:tc>
          <w:tcPr>
            <w:tcW w:w="1023" w:type="dxa"/>
            <w:tcMar>
              <w:top w:w="15" w:type="dxa"/>
              <w:left w:w="15" w:type="dxa"/>
              <w:bottom w:w="15" w:type="dxa"/>
              <w:right w:w="15" w:type="dxa"/>
            </w:tcMar>
            <w:vAlign w:val="center"/>
          </w:tcPr>
          <w:p w:rsidR="00231EA4" w:rsidRPr="00AD595B" w:rsidP="00DA384D">
            <w:pPr>
              <w:keepNext/>
              <w:keepLines/>
              <w:jc w:val="center"/>
            </w:pPr>
            <w:r w:rsidRPr="00AD595B">
              <w:rPr>
                <w:color w:val="000000"/>
              </w:rPr>
              <w:t>5.4</w:t>
            </w:r>
          </w:p>
        </w:tc>
        <w:tc>
          <w:tcPr>
            <w:tcW w:w="942" w:type="dxa"/>
            <w:tcMar>
              <w:top w:w="15" w:type="dxa"/>
              <w:left w:w="15" w:type="dxa"/>
              <w:bottom w:w="15" w:type="dxa"/>
              <w:right w:w="15" w:type="dxa"/>
            </w:tcMar>
            <w:vAlign w:val="center"/>
          </w:tcPr>
          <w:p w:rsidR="00231EA4" w:rsidRPr="00AD595B" w:rsidP="00DA384D">
            <w:pPr>
              <w:keepNext/>
              <w:keepLines/>
              <w:jc w:val="center"/>
            </w:pPr>
            <w:r w:rsidRPr="00AD595B">
              <w:rPr>
                <w:color w:val="000000"/>
              </w:rPr>
              <w:t>6.5</w:t>
            </w:r>
          </w:p>
        </w:tc>
        <w:tc>
          <w:tcPr>
            <w:tcW w:w="942" w:type="dxa"/>
            <w:tcMar>
              <w:top w:w="15" w:type="dxa"/>
              <w:left w:w="15" w:type="dxa"/>
              <w:bottom w:w="15" w:type="dxa"/>
              <w:right w:w="15" w:type="dxa"/>
            </w:tcMar>
            <w:vAlign w:val="center"/>
          </w:tcPr>
          <w:p w:rsidR="00231EA4" w:rsidRPr="00AD595B" w:rsidP="00DA384D">
            <w:pPr>
              <w:keepNext/>
              <w:keepLines/>
              <w:jc w:val="center"/>
            </w:pPr>
            <w:r w:rsidRPr="00AD595B">
              <w:rPr>
                <w:color w:val="000000"/>
              </w:rPr>
              <w:t>7.7</w:t>
            </w:r>
          </w:p>
        </w:tc>
        <w:tc>
          <w:tcPr>
            <w:tcW w:w="942" w:type="dxa"/>
            <w:tcMar>
              <w:top w:w="15" w:type="dxa"/>
              <w:left w:w="15" w:type="dxa"/>
              <w:bottom w:w="15" w:type="dxa"/>
              <w:right w:w="15" w:type="dxa"/>
            </w:tcMar>
            <w:vAlign w:val="center"/>
          </w:tcPr>
          <w:p w:rsidR="00231EA4" w:rsidRPr="00AD595B" w:rsidP="00DA384D">
            <w:pPr>
              <w:keepNext/>
              <w:keepLines/>
              <w:jc w:val="center"/>
            </w:pPr>
            <w:r w:rsidRPr="00AD595B">
              <w:rPr>
                <w:color w:val="000000"/>
              </w:rPr>
              <w:t>9.2</w:t>
            </w:r>
          </w:p>
        </w:tc>
        <w:tc>
          <w:tcPr>
            <w:tcW w:w="1021" w:type="dxa"/>
            <w:tcMar>
              <w:top w:w="15" w:type="dxa"/>
              <w:left w:w="15" w:type="dxa"/>
              <w:bottom w:w="15" w:type="dxa"/>
              <w:right w:w="15" w:type="dxa"/>
            </w:tcMar>
            <w:vAlign w:val="center"/>
          </w:tcPr>
          <w:p w:rsidR="00231EA4" w:rsidRPr="00AD595B" w:rsidP="00DA384D">
            <w:pPr>
              <w:keepNext/>
              <w:keepLines/>
              <w:jc w:val="center"/>
            </w:pPr>
            <w:r w:rsidRPr="00AD595B">
              <w:rPr>
                <w:color w:val="000000"/>
              </w:rPr>
              <w:t>11.5</w:t>
            </w:r>
          </w:p>
        </w:tc>
        <w:tc>
          <w:tcPr>
            <w:tcW w:w="1019" w:type="dxa"/>
            <w:tcMar>
              <w:top w:w="15" w:type="dxa"/>
              <w:left w:w="15" w:type="dxa"/>
              <w:bottom w:w="15" w:type="dxa"/>
              <w:right w:w="15" w:type="dxa"/>
            </w:tcMar>
            <w:vAlign w:val="center"/>
          </w:tcPr>
          <w:p w:rsidR="00231EA4" w:rsidRPr="00AD595B" w:rsidP="00DA384D">
            <w:pPr>
              <w:keepNext/>
              <w:keepLines/>
              <w:jc w:val="center"/>
            </w:pPr>
            <w:r w:rsidRPr="00AD595B">
              <w:t>14.3</w:t>
            </w:r>
          </w:p>
        </w:tc>
        <w:tc>
          <w:tcPr>
            <w:tcW w:w="1043" w:type="dxa"/>
            <w:vAlign w:val="center"/>
          </w:tcPr>
          <w:p w:rsidR="00231EA4" w:rsidRPr="00AD595B" w:rsidP="00DA384D">
            <w:pPr>
              <w:keepNext/>
              <w:keepLines/>
              <w:jc w:val="center"/>
            </w:pPr>
            <w:r w:rsidRPr="00AD595B">
              <w:t>19.1</w:t>
            </w:r>
          </w:p>
        </w:tc>
        <w:tc>
          <w:tcPr>
            <w:tcW w:w="1037" w:type="dxa"/>
          </w:tcPr>
          <w:p w:rsidR="00231EA4" w:rsidRPr="00AD595B" w:rsidP="00DA384D">
            <w:pPr>
              <w:keepNext/>
              <w:keepLines/>
              <w:jc w:val="center"/>
            </w:pPr>
            <w:r w:rsidRPr="00AD595B">
              <w:t>20.9</w:t>
            </w:r>
          </w:p>
        </w:tc>
      </w:tr>
      <w:tr w:rsidTr="00DA384D">
        <w:tblPrEx>
          <w:tblW w:w="9360" w:type="dxa"/>
          <w:tblCellSpacing w:w="7" w:type="dxa"/>
          <w:tblLayout w:type="fixed"/>
          <w:tblLook w:val="00A0"/>
        </w:tblPrEx>
        <w:trPr>
          <w:tblCellSpacing w:w="7" w:type="dxa"/>
        </w:trPr>
        <w:tc>
          <w:tcPr>
            <w:tcW w:w="1251" w:type="dxa"/>
            <w:tcMar>
              <w:top w:w="15" w:type="dxa"/>
              <w:left w:w="15" w:type="dxa"/>
              <w:bottom w:w="15" w:type="dxa"/>
              <w:right w:w="15" w:type="dxa"/>
            </w:tcMar>
            <w:vAlign w:val="center"/>
          </w:tcPr>
          <w:p w:rsidR="00231EA4" w:rsidRPr="00AD595B" w:rsidP="00DA384D">
            <w:pPr>
              <w:keepNext/>
              <w:keepLines/>
              <w:jc w:val="center"/>
            </w:pPr>
            <w:r w:rsidRPr="00AD595B">
              <w:t>50 - 75</w:t>
            </w:r>
          </w:p>
        </w:tc>
        <w:tc>
          <w:tcPr>
            <w:tcW w:w="1023" w:type="dxa"/>
            <w:tcMar>
              <w:top w:w="15" w:type="dxa"/>
              <w:left w:w="15" w:type="dxa"/>
              <w:bottom w:w="15" w:type="dxa"/>
              <w:right w:w="15" w:type="dxa"/>
            </w:tcMar>
            <w:vAlign w:val="center"/>
          </w:tcPr>
          <w:p w:rsidR="00231EA4" w:rsidRPr="00AD595B" w:rsidP="00DA384D">
            <w:pPr>
              <w:keepNext/>
              <w:keepLines/>
              <w:jc w:val="center"/>
            </w:pPr>
            <w:r w:rsidRPr="00AD595B">
              <w:rPr>
                <w:color w:val="000000"/>
              </w:rPr>
              <w:t>6.6</w:t>
            </w:r>
          </w:p>
        </w:tc>
        <w:tc>
          <w:tcPr>
            <w:tcW w:w="942" w:type="dxa"/>
            <w:tcMar>
              <w:top w:w="15" w:type="dxa"/>
              <w:left w:w="15" w:type="dxa"/>
              <w:bottom w:w="15" w:type="dxa"/>
              <w:right w:w="15" w:type="dxa"/>
            </w:tcMar>
            <w:vAlign w:val="center"/>
          </w:tcPr>
          <w:p w:rsidR="00231EA4" w:rsidRPr="00AD595B" w:rsidP="00DA384D">
            <w:pPr>
              <w:keepNext/>
              <w:keepLines/>
              <w:jc w:val="center"/>
            </w:pPr>
            <w:r w:rsidRPr="00AD595B">
              <w:rPr>
                <w:color w:val="000000"/>
              </w:rPr>
              <w:t>7.9</w:t>
            </w:r>
          </w:p>
        </w:tc>
        <w:tc>
          <w:tcPr>
            <w:tcW w:w="942" w:type="dxa"/>
            <w:tcMar>
              <w:top w:w="15" w:type="dxa"/>
              <w:left w:w="15" w:type="dxa"/>
              <w:bottom w:w="15" w:type="dxa"/>
              <w:right w:w="15" w:type="dxa"/>
            </w:tcMar>
            <w:vAlign w:val="center"/>
          </w:tcPr>
          <w:p w:rsidR="00231EA4" w:rsidRPr="00AD595B" w:rsidP="00DA384D">
            <w:pPr>
              <w:keepNext/>
              <w:keepLines/>
              <w:jc w:val="center"/>
            </w:pPr>
            <w:r w:rsidRPr="00AD595B">
              <w:rPr>
                <w:color w:val="000000"/>
              </w:rPr>
              <w:t>9.4</w:t>
            </w:r>
          </w:p>
        </w:tc>
        <w:tc>
          <w:tcPr>
            <w:tcW w:w="942" w:type="dxa"/>
            <w:tcMar>
              <w:top w:w="15" w:type="dxa"/>
              <w:left w:w="15" w:type="dxa"/>
              <w:bottom w:w="15" w:type="dxa"/>
              <w:right w:w="15" w:type="dxa"/>
            </w:tcMar>
            <w:vAlign w:val="center"/>
          </w:tcPr>
          <w:p w:rsidR="00231EA4" w:rsidRPr="00AD595B" w:rsidP="00DA384D">
            <w:pPr>
              <w:keepNext/>
              <w:keepLines/>
              <w:jc w:val="center"/>
            </w:pPr>
            <w:r w:rsidRPr="00AD595B">
              <w:rPr>
                <w:color w:val="000000"/>
              </w:rPr>
              <w:t>11.1</w:t>
            </w:r>
          </w:p>
        </w:tc>
        <w:tc>
          <w:tcPr>
            <w:tcW w:w="1021" w:type="dxa"/>
            <w:tcMar>
              <w:top w:w="15" w:type="dxa"/>
              <w:left w:w="15" w:type="dxa"/>
              <w:bottom w:w="15" w:type="dxa"/>
              <w:right w:w="15" w:type="dxa"/>
            </w:tcMar>
            <w:vAlign w:val="center"/>
          </w:tcPr>
          <w:p w:rsidR="00231EA4" w:rsidRPr="00AD595B" w:rsidP="00DA384D">
            <w:pPr>
              <w:keepNext/>
              <w:keepLines/>
              <w:jc w:val="center"/>
            </w:pPr>
            <w:r w:rsidRPr="00AD595B">
              <w:rPr>
                <w:color w:val="000000"/>
              </w:rPr>
              <w:t>13.9</w:t>
            </w:r>
          </w:p>
        </w:tc>
        <w:tc>
          <w:tcPr>
            <w:tcW w:w="1019" w:type="dxa"/>
            <w:tcMar>
              <w:top w:w="15" w:type="dxa"/>
              <w:left w:w="15" w:type="dxa"/>
              <w:bottom w:w="15" w:type="dxa"/>
              <w:right w:w="15" w:type="dxa"/>
            </w:tcMar>
            <w:vAlign w:val="center"/>
          </w:tcPr>
          <w:p w:rsidR="00231EA4" w:rsidRPr="00AD595B" w:rsidP="00DA384D">
            <w:pPr>
              <w:keepNext/>
              <w:keepLines/>
              <w:jc w:val="center"/>
            </w:pPr>
            <w:r w:rsidRPr="00AD595B">
              <w:t>18.0</w:t>
            </w:r>
          </w:p>
        </w:tc>
        <w:tc>
          <w:tcPr>
            <w:tcW w:w="1043" w:type="dxa"/>
            <w:vAlign w:val="center"/>
          </w:tcPr>
          <w:p w:rsidR="00231EA4" w:rsidRPr="00AD595B" w:rsidP="00DA384D">
            <w:pPr>
              <w:keepNext/>
              <w:keepLines/>
              <w:jc w:val="center"/>
            </w:pPr>
            <w:r w:rsidRPr="00AD595B">
              <w:t>23.8</w:t>
            </w:r>
          </w:p>
        </w:tc>
        <w:tc>
          <w:tcPr>
            <w:tcW w:w="1037" w:type="dxa"/>
          </w:tcPr>
          <w:p w:rsidR="00231EA4" w:rsidRPr="00AD595B" w:rsidP="00DA384D">
            <w:pPr>
              <w:keepNext/>
              <w:keepLines/>
              <w:jc w:val="center"/>
            </w:pPr>
            <w:r w:rsidRPr="00AD595B">
              <w:t>26.2</w:t>
            </w:r>
          </w:p>
        </w:tc>
      </w:tr>
      <w:tr w:rsidTr="00DA384D">
        <w:tblPrEx>
          <w:tblW w:w="9360" w:type="dxa"/>
          <w:tblCellSpacing w:w="7" w:type="dxa"/>
          <w:tblLayout w:type="fixed"/>
          <w:tblLook w:val="00A0"/>
        </w:tblPrEx>
        <w:trPr>
          <w:tblCellSpacing w:w="7" w:type="dxa"/>
        </w:trPr>
        <w:tc>
          <w:tcPr>
            <w:tcW w:w="1251" w:type="dxa"/>
            <w:tcMar>
              <w:top w:w="15" w:type="dxa"/>
              <w:left w:w="15" w:type="dxa"/>
              <w:bottom w:w="15" w:type="dxa"/>
              <w:right w:w="15" w:type="dxa"/>
            </w:tcMar>
            <w:vAlign w:val="center"/>
          </w:tcPr>
          <w:p w:rsidR="00231EA4" w:rsidRPr="00AD595B" w:rsidP="00DA384D">
            <w:pPr>
              <w:keepNext/>
              <w:keepLines/>
              <w:jc w:val="center"/>
            </w:pPr>
            <w:r w:rsidRPr="00AD595B">
              <w:t>75 - 100</w:t>
            </w:r>
          </w:p>
        </w:tc>
        <w:tc>
          <w:tcPr>
            <w:tcW w:w="1023" w:type="dxa"/>
            <w:tcMar>
              <w:top w:w="15" w:type="dxa"/>
              <w:left w:w="15" w:type="dxa"/>
              <w:bottom w:w="15" w:type="dxa"/>
              <w:right w:w="15" w:type="dxa"/>
            </w:tcMar>
            <w:vAlign w:val="center"/>
          </w:tcPr>
          <w:p w:rsidR="00231EA4" w:rsidRPr="00AD595B" w:rsidP="00DA384D">
            <w:pPr>
              <w:keepNext/>
              <w:keepLines/>
              <w:jc w:val="center"/>
            </w:pPr>
            <w:r w:rsidRPr="00AD595B">
              <w:rPr>
                <w:color w:val="000000"/>
              </w:rPr>
              <w:t>7.7</w:t>
            </w:r>
          </w:p>
        </w:tc>
        <w:tc>
          <w:tcPr>
            <w:tcW w:w="942" w:type="dxa"/>
            <w:tcMar>
              <w:top w:w="15" w:type="dxa"/>
              <w:left w:w="15" w:type="dxa"/>
              <w:bottom w:w="15" w:type="dxa"/>
              <w:right w:w="15" w:type="dxa"/>
            </w:tcMar>
            <w:vAlign w:val="center"/>
          </w:tcPr>
          <w:p w:rsidR="00231EA4" w:rsidRPr="00AD595B" w:rsidP="00DA384D">
            <w:pPr>
              <w:keepNext/>
              <w:keepLines/>
              <w:jc w:val="center"/>
            </w:pPr>
            <w:r w:rsidRPr="00AD595B">
              <w:rPr>
                <w:color w:val="000000"/>
              </w:rPr>
              <w:t>9.2</w:t>
            </w:r>
          </w:p>
        </w:tc>
        <w:tc>
          <w:tcPr>
            <w:tcW w:w="942" w:type="dxa"/>
            <w:tcMar>
              <w:top w:w="15" w:type="dxa"/>
              <w:left w:w="15" w:type="dxa"/>
              <w:bottom w:w="15" w:type="dxa"/>
              <w:right w:w="15" w:type="dxa"/>
            </w:tcMar>
            <w:vAlign w:val="center"/>
          </w:tcPr>
          <w:p w:rsidR="00231EA4" w:rsidRPr="00AD595B" w:rsidP="00DA384D">
            <w:pPr>
              <w:keepNext/>
              <w:keepLines/>
              <w:jc w:val="center"/>
            </w:pPr>
            <w:r w:rsidRPr="00AD595B">
              <w:rPr>
                <w:color w:val="000000"/>
              </w:rPr>
              <w:t>10.9</w:t>
            </w:r>
          </w:p>
        </w:tc>
        <w:tc>
          <w:tcPr>
            <w:tcW w:w="942" w:type="dxa"/>
            <w:tcMar>
              <w:top w:w="15" w:type="dxa"/>
              <w:left w:w="15" w:type="dxa"/>
              <w:bottom w:w="15" w:type="dxa"/>
              <w:right w:w="15" w:type="dxa"/>
            </w:tcMar>
            <w:vAlign w:val="center"/>
          </w:tcPr>
          <w:p w:rsidR="00231EA4" w:rsidRPr="00AD595B" w:rsidP="00DA384D">
            <w:pPr>
              <w:keepNext/>
              <w:keepLines/>
              <w:jc w:val="center"/>
            </w:pPr>
            <w:r w:rsidRPr="00AD595B">
              <w:rPr>
                <w:color w:val="000000"/>
              </w:rPr>
              <w:t>12.8</w:t>
            </w:r>
          </w:p>
        </w:tc>
        <w:tc>
          <w:tcPr>
            <w:tcW w:w="1021" w:type="dxa"/>
            <w:tcMar>
              <w:top w:w="15" w:type="dxa"/>
              <w:left w:w="15" w:type="dxa"/>
              <w:bottom w:w="15" w:type="dxa"/>
              <w:right w:w="15" w:type="dxa"/>
            </w:tcMar>
            <w:vAlign w:val="center"/>
          </w:tcPr>
          <w:p w:rsidR="00231EA4" w:rsidRPr="00AD595B" w:rsidP="00DA384D">
            <w:pPr>
              <w:keepNext/>
              <w:keepLines/>
              <w:jc w:val="center"/>
            </w:pPr>
            <w:r w:rsidRPr="00AD595B">
              <w:rPr>
                <w:color w:val="000000"/>
              </w:rPr>
              <w:t>17.2</w:t>
            </w:r>
          </w:p>
        </w:tc>
        <w:tc>
          <w:tcPr>
            <w:tcW w:w="1019" w:type="dxa"/>
            <w:tcMar>
              <w:top w:w="15" w:type="dxa"/>
              <w:left w:w="15" w:type="dxa"/>
              <w:bottom w:w="15" w:type="dxa"/>
              <w:right w:w="15" w:type="dxa"/>
            </w:tcMar>
            <w:vAlign w:val="center"/>
          </w:tcPr>
          <w:p w:rsidR="00231EA4" w:rsidRPr="00AD595B" w:rsidP="00DA384D">
            <w:pPr>
              <w:keepNext/>
              <w:keepLines/>
              <w:jc w:val="center"/>
            </w:pPr>
            <w:r w:rsidRPr="00AD595B">
              <w:t>21.1</w:t>
            </w:r>
          </w:p>
        </w:tc>
        <w:tc>
          <w:tcPr>
            <w:tcW w:w="1043" w:type="dxa"/>
            <w:vAlign w:val="center"/>
          </w:tcPr>
          <w:p w:rsidR="00231EA4" w:rsidRPr="00AD595B" w:rsidP="00DA384D">
            <w:pPr>
              <w:keepNext/>
              <w:keepLines/>
              <w:jc w:val="center"/>
            </w:pPr>
            <w:r w:rsidRPr="00AD595B">
              <w:t>27.2</w:t>
            </w:r>
          </w:p>
        </w:tc>
        <w:tc>
          <w:tcPr>
            <w:tcW w:w="1037" w:type="dxa"/>
          </w:tcPr>
          <w:p w:rsidR="00231EA4" w:rsidRPr="00AD595B" w:rsidP="00DA384D">
            <w:pPr>
              <w:keepNext/>
              <w:keepLines/>
              <w:jc w:val="center"/>
            </w:pPr>
            <w:r w:rsidRPr="00AD595B">
              <w:t>30.1</w:t>
            </w:r>
          </w:p>
        </w:tc>
      </w:tr>
      <w:tr w:rsidTr="00DA384D">
        <w:tblPrEx>
          <w:tblW w:w="9360" w:type="dxa"/>
          <w:tblCellSpacing w:w="7" w:type="dxa"/>
          <w:tblLayout w:type="fixed"/>
          <w:tblLook w:val="00A0"/>
        </w:tblPrEx>
        <w:trPr>
          <w:tblCellSpacing w:w="7" w:type="dxa"/>
        </w:trPr>
        <w:tc>
          <w:tcPr>
            <w:tcW w:w="1251" w:type="dxa"/>
            <w:tcMar>
              <w:top w:w="15" w:type="dxa"/>
              <w:left w:w="15" w:type="dxa"/>
              <w:bottom w:w="15" w:type="dxa"/>
              <w:right w:w="15" w:type="dxa"/>
            </w:tcMar>
            <w:vAlign w:val="center"/>
          </w:tcPr>
          <w:p w:rsidR="00231EA4" w:rsidRPr="00AD595B" w:rsidP="00DA384D">
            <w:pPr>
              <w:keepNext/>
              <w:keepLines/>
              <w:jc w:val="center"/>
            </w:pPr>
            <w:r w:rsidRPr="00AD595B">
              <w:t>100 - 150</w:t>
            </w:r>
          </w:p>
        </w:tc>
        <w:tc>
          <w:tcPr>
            <w:tcW w:w="1023" w:type="dxa"/>
            <w:tcMar>
              <w:top w:w="15" w:type="dxa"/>
              <w:left w:w="15" w:type="dxa"/>
              <w:bottom w:w="15" w:type="dxa"/>
              <w:right w:w="15" w:type="dxa"/>
            </w:tcMar>
            <w:vAlign w:val="center"/>
          </w:tcPr>
          <w:p w:rsidR="00231EA4" w:rsidRPr="00AD595B" w:rsidP="00DA384D">
            <w:pPr>
              <w:keepNext/>
              <w:keepLines/>
              <w:jc w:val="center"/>
            </w:pPr>
            <w:r w:rsidRPr="00AD595B">
              <w:rPr>
                <w:color w:val="000000"/>
              </w:rPr>
              <w:t>9.4</w:t>
            </w:r>
          </w:p>
        </w:tc>
        <w:tc>
          <w:tcPr>
            <w:tcW w:w="942" w:type="dxa"/>
            <w:tcMar>
              <w:top w:w="15" w:type="dxa"/>
              <w:left w:w="15" w:type="dxa"/>
              <w:bottom w:w="15" w:type="dxa"/>
              <w:right w:w="15" w:type="dxa"/>
            </w:tcMar>
            <w:vAlign w:val="center"/>
          </w:tcPr>
          <w:p w:rsidR="00231EA4" w:rsidRPr="00AD595B" w:rsidP="00DA384D">
            <w:pPr>
              <w:keepNext/>
              <w:keepLines/>
              <w:jc w:val="center"/>
            </w:pPr>
            <w:r w:rsidRPr="00AD595B">
              <w:rPr>
                <w:color w:val="000000"/>
              </w:rPr>
              <w:t>11.1</w:t>
            </w:r>
          </w:p>
        </w:tc>
        <w:tc>
          <w:tcPr>
            <w:tcW w:w="942" w:type="dxa"/>
            <w:tcMar>
              <w:top w:w="15" w:type="dxa"/>
              <w:left w:w="15" w:type="dxa"/>
              <w:bottom w:w="15" w:type="dxa"/>
              <w:right w:w="15" w:type="dxa"/>
            </w:tcMar>
            <w:vAlign w:val="center"/>
          </w:tcPr>
          <w:p w:rsidR="00231EA4" w:rsidRPr="00AD595B" w:rsidP="00DA384D">
            <w:pPr>
              <w:keepNext/>
              <w:keepLines/>
              <w:jc w:val="center"/>
            </w:pPr>
            <w:r w:rsidRPr="00AD595B">
              <w:rPr>
                <w:color w:val="000000"/>
              </w:rPr>
              <w:t>13.2</w:t>
            </w:r>
          </w:p>
        </w:tc>
        <w:tc>
          <w:tcPr>
            <w:tcW w:w="942" w:type="dxa"/>
            <w:tcMar>
              <w:top w:w="15" w:type="dxa"/>
              <w:left w:w="15" w:type="dxa"/>
              <w:bottom w:w="15" w:type="dxa"/>
              <w:right w:w="15" w:type="dxa"/>
            </w:tcMar>
            <w:vAlign w:val="center"/>
          </w:tcPr>
          <w:p w:rsidR="00231EA4" w:rsidRPr="00AD595B" w:rsidP="00DA384D">
            <w:pPr>
              <w:keepNext/>
              <w:keepLines/>
              <w:jc w:val="center"/>
            </w:pPr>
            <w:r w:rsidRPr="00AD595B">
              <w:rPr>
                <w:color w:val="000000"/>
              </w:rPr>
              <w:t>16.5</w:t>
            </w:r>
          </w:p>
        </w:tc>
        <w:tc>
          <w:tcPr>
            <w:tcW w:w="1021" w:type="dxa"/>
            <w:tcMar>
              <w:top w:w="15" w:type="dxa"/>
              <w:left w:w="15" w:type="dxa"/>
              <w:bottom w:w="15" w:type="dxa"/>
              <w:right w:w="15" w:type="dxa"/>
            </w:tcMar>
            <w:vAlign w:val="center"/>
          </w:tcPr>
          <w:p w:rsidR="00231EA4" w:rsidRPr="00AD595B" w:rsidP="00DA384D">
            <w:pPr>
              <w:keepNext/>
              <w:keepLines/>
              <w:jc w:val="center"/>
            </w:pPr>
            <w:r w:rsidRPr="00AD595B">
              <w:rPr>
                <w:color w:val="000000"/>
              </w:rPr>
              <w:t>21.4</w:t>
            </w:r>
          </w:p>
        </w:tc>
        <w:tc>
          <w:tcPr>
            <w:tcW w:w="1019" w:type="dxa"/>
            <w:tcMar>
              <w:top w:w="15" w:type="dxa"/>
              <w:left w:w="15" w:type="dxa"/>
              <w:bottom w:w="15" w:type="dxa"/>
              <w:right w:w="15" w:type="dxa"/>
            </w:tcMar>
            <w:vAlign w:val="center"/>
          </w:tcPr>
          <w:p w:rsidR="00231EA4" w:rsidRPr="00AD595B" w:rsidP="00DA384D">
            <w:pPr>
              <w:keepNext/>
              <w:keepLines/>
              <w:jc w:val="center"/>
            </w:pPr>
            <w:r w:rsidRPr="00AD595B">
              <w:t>25.3</w:t>
            </w:r>
          </w:p>
        </w:tc>
        <w:tc>
          <w:tcPr>
            <w:tcW w:w="1043" w:type="dxa"/>
            <w:vAlign w:val="center"/>
          </w:tcPr>
          <w:p w:rsidR="00231EA4" w:rsidRPr="00AD595B" w:rsidP="00DA384D">
            <w:pPr>
              <w:keepNext/>
              <w:keepLines/>
              <w:jc w:val="center"/>
            </w:pPr>
            <w:r w:rsidRPr="00AD595B">
              <w:t>32.3</w:t>
            </w:r>
          </w:p>
        </w:tc>
        <w:tc>
          <w:tcPr>
            <w:tcW w:w="1037" w:type="dxa"/>
          </w:tcPr>
          <w:p w:rsidR="00231EA4" w:rsidRPr="00AD595B" w:rsidP="00DA384D">
            <w:pPr>
              <w:keepNext/>
              <w:keepLines/>
              <w:jc w:val="center"/>
            </w:pPr>
            <w:r w:rsidRPr="00AD595B">
              <w:t>35.5</w:t>
            </w:r>
          </w:p>
        </w:tc>
      </w:tr>
      <w:tr w:rsidTr="00DA384D">
        <w:tblPrEx>
          <w:tblW w:w="9360" w:type="dxa"/>
          <w:tblCellSpacing w:w="7" w:type="dxa"/>
          <w:tblLayout w:type="fixed"/>
          <w:tblLook w:val="00A0"/>
        </w:tblPrEx>
        <w:trPr>
          <w:tblCellSpacing w:w="7" w:type="dxa"/>
        </w:trPr>
        <w:tc>
          <w:tcPr>
            <w:tcW w:w="1251" w:type="dxa"/>
            <w:tcMar>
              <w:top w:w="15" w:type="dxa"/>
              <w:left w:w="15" w:type="dxa"/>
              <w:bottom w:w="15" w:type="dxa"/>
              <w:right w:w="15" w:type="dxa"/>
            </w:tcMar>
            <w:vAlign w:val="center"/>
          </w:tcPr>
          <w:p w:rsidR="00231EA4" w:rsidRPr="00AD595B" w:rsidP="00DA384D">
            <w:pPr>
              <w:keepNext/>
              <w:keepLines/>
              <w:jc w:val="center"/>
            </w:pPr>
            <w:r w:rsidRPr="00AD595B">
              <w:t>150 - 200</w:t>
            </w:r>
          </w:p>
        </w:tc>
        <w:tc>
          <w:tcPr>
            <w:tcW w:w="1023" w:type="dxa"/>
            <w:tcMar>
              <w:top w:w="15" w:type="dxa"/>
              <w:left w:w="15" w:type="dxa"/>
              <w:bottom w:w="15" w:type="dxa"/>
              <w:right w:w="15" w:type="dxa"/>
            </w:tcMar>
            <w:vAlign w:val="center"/>
          </w:tcPr>
          <w:p w:rsidR="00231EA4" w:rsidRPr="00AD595B" w:rsidP="00DA384D">
            <w:pPr>
              <w:keepNext/>
              <w:keepLines/>
              <w:jc w:val="center"/>
            </w:pPr>
            <w:r w:rsidRPr="00AD595B">
              <w:rPr>
                <w:color w:val="000000"/>
              </w:rPr>
              <w:t>10.9</w:t>
            </w:r>
          </w:p>
        </w:tc>
        <w:tc>
          <w:tcPr>
            <w:tcW w:w="942" w:type="dxa"/>
            <w:tcMar>
              <w:top w:w="15" w:type="dxa"/>
              <w:left w:w="15" w:type="dxa"/>
              <w:bottom w:w="15" w:type="dxa"/>
              <w:right w:w="15" w:type="dxa"/>
            </w:tcMar>
            <w:vAlign w:val="center"/>
          </w:tcPr>
          <w:p w:rsidR="00231EA4" w:rsidRPr="00AD595B" w:rsidP="00DA384D">
            <w:pPr>
              <w:keepNext/>
              <w:keepLines/>
              <w:jc w:val="center"/>
            </w:pPr>
            <w:r w:rsidRPr="00AD595B">
              <w:rPr>
                <w:color w:val="000000"/>
              </w:rPr>
              <w:t>12.7</w:t>
            </w:r>
          </w:p>
        </w:tc>
        <w:tc>
          <w:tcPr>
            <w:tcW w:w="942" w:type="dxa"/>
            <w:tcMar>
              <w:top w:w="15" w:type="dxa"/>
              <w:left w:w="15" w:type="dxa"/>
              <w:bottom w:w="15" w:type="dxa"/>
              <w:right w:w="15" w:type="dxa"/>
            </w:tcMar>
            <w:vAlign w:val="center"/>
          </w:tcPr>
          <w:p w:rsidR="00231EA4" w:rsidRPr="00AD595B" w:rsidP="00DA384D">
            <w:pPr>
              <w:keepNext/>
              <w:keepLines/>
              <w:jc w:val="center"/>
            </w:pPr>
            <w:r w:rsidRPr="00AD595B">
              <w:rPr>
                <w:color w:val="000000"/>
              </w:rPr>
              <w:t>15.8</w:t>
            </w:r>
          </w:p>
        </w:tc>
        <w:tc>
          <w:tcPr>
            <w:tcW w:w="942" w:type="dxa"/>
            <w:tcMar>
              <w:top w:w="15" w:type="dxa"/>
              <w:left w:w="15" w:type="dxa"/>
              <w:bottom w:w="15" w:type="dxa"/>
              <w:right w:w="15" w:type="dxa"/>
            </w:tcMar>
            <w:vAlign w:val="center"/>
          </w:tcPr>
          <w:p w:rsidR="00231EA4" w:rsidRPr="00AD595B" w:rsidP="00DA384D">
            <w:pPr>
              <w:keepNext/>
              <w:keepLines/>
              <w:jc w:val="center"/>
            </w:pPr>
            <w:r w:rsidRPr="00AD595B">
              <w:rPr>
                <w:color w:val="000000"/>
              </w:rPr>
              <w:t>19.5</w:t>
            </w:r>
          </w:p>
        </w:tc>
        <w:tc>
          <w:tcPr>
            <w:tcW w:w="1021" w:type="dxa"/>
            <w:tcMar>
              <w:top w:w="15" w:type="dxa"/>
              <w:left w:w="15" w:type="dxa"/>
              <w:bottom w:w="15" w:type="dxa"/>
              <w:right w:w="15" w:type="dxa"/>
            </w:tcMar>
            <w:vAlign w:val="center"/>
          </w:tcPr>
          <w:p w:rsidR="00231EA4" w:rsidRPr="00AD595B" w:rsidP="00DA384D">
            <w:pPr>
              <w:keepNext/>
              <w:keepLines/>
              <w:jc w:val="center"/>
            </w:pPr>
            <w:r w:rsidRPr="00AD595B">
              <w:rPr>
                <w:color w:val="000000"/>
              </w:rPr>
              <w:t>24.7</w:t>
            </w:r>
          </w:p>
        </w:tc>
        <w:tc>
          <w:tcPr>
            <w:tcW w:w="1019" w:type="dxa"/>
            <w:tcMar>
              <w:top w:w="15" w:type="dxa"/>
              <w:left w:w="15" w:type="dxa"/>
              <w:bottom w:w="15" w:type="dxa"/>
              <w:right w:w="15" w:type="dxa"/>
            </w:tcMar>
            <w:vAlign w:val="center"/>
          </w:tcPr>
          <w:p w:rsidR="00231EA4" w:rsidRPr="00AD595B" w:rsidP="00DA384D">
            <w:pPr>
              <w:keepNext/>
              <w:keepLines/>
              <w:jc w:val="center"/>
            </w:pPr>
            <w:r w:rsidRPr="00AD595B">
              <w:t>28.5</w:t>
            </w:r>
          </w:p>
        </w:tc>
        <w:tc>
          <w:tcPr>
            <w:tcW w:w="1043" w:type="dxa"/>
            <w:vAlign w:val="center"/>
          </w:tcPr>
          <w:p w:rsidR="00231EA4" w:rsidRPr="00AD595B" w:rsidP="00DA384D">
            <w:pPr>
              <w:keepNext/>
              <w:keepLines/>
              <w:jc w:val="center"/>
            </w:pPr>
            <w:r w:rsidRPr="00AD595B">
              <w:t>36.4</w:t>
            </w:r>
          </w:p>
        </w:tc>
        <w:tc>
          <w:tcPr>
            <w:tcW w:w="1037" w:type="dxa"/>
          </w:tcPr>
          <w:p w:rsidR="00231EA4" w:rsidRPr="00AD595B" w:rsidP="00DA384D">
            <w:pPr>
              <w:keepNext/>
              <w:keepLines/>
              <w:jc w:val="center"/>
            </w:pPr>
            <w:r w:rsidRPr="00AD595B">
              <w:t>39.5</w:t>
            </w:r>
          </w:p>
        </w:tc>
      </w:tr>
      <w:tr w:rsidTr="00DA384D">
        <w:tblPrEx>
          <w:tblW w:w="9360" w:type="dxa"/>
          <w:tblCellSpacing w:w="7" w:type="dxa"/>
          <w:tblLayout w:type="fixed"/>
          <w:tblLook w:val="00A0"/>
        </w:tblPrEx>
        <w:trPr>
          <w:tblCellSpacing w:w="7" w:type="dxa"/>
        </w:trPr>
        <w:tc>
          <w:tcPr>
            <w:tcW w:w="1251" w:type="dxa"/>
            <w:tcMar>
              <w:top w:w="15" w:type="dxa"/>
              <w:left w:w="15" w:type="dxa"/>
              <w:bottom w:w="15" w:type="dxa"/>
              <w:right w:w="15" w:type="dxa"/>
            </w:tcMar>
            <w:vAlign w:val="center"/>
          </w:tcPr>
          <w:p w:rsidR="00231EA4" w:rsidRPr="00AD595B" w:rsidP="00DA384D">
            <w:pPr>
              <w:keepNext/>
              <w:keepLines/>
              <w:jc w:val="center"/>
            </w:pPr>
            <w:r w:rsidRPr="00AD595B">
              <w:t>200 - 250</w:t>
            </w:r>
          </w:p>
        </w:tc>
        <w:tc>
          <w:tcPr>
            <w:tcW w:w="1023" w:type="dxa"/>
            <w:tcMar>
              <w:top w:w="15" w:type="dxa"/>
              <w:left w:w="15" w:type="dxa"/>
              <w:bottom w:w="15" w:type="dxa"/>
              <w:right w:w="15" w:type="dxa"/>
            </w:tcMar>
            <w:vAlign w:val="center"/>
          </w:tcPr>
          <w:p w:rsidR="00231EA4" w:rsidRPr="00AD595B" w:rsidP="00DA384D">
            <w:pPr>
              <w:keepNext/>
              <w:keepLines/>
              <w:jc w:val="center"/>
            </w:pPr>
            <w:r w:rsidRPr="00AD595B">
              <w:rPr>
                <w:color w:val="000000"/>
              </w:rPr>
              <w:t>12.1</w:t>
            </w:r>
          </w:p>
        </w:tc>
        <w:tc>
          <w:tcPr>
            <w:tcW w:w="942" w:type="dxa"/>
            <w:tcMar>
              <w:top w:w="15" w:type="dxa"/>
              <w:left w:w="15" w:type="dxa"/>
              <w:bottom w:w="15" w:type="dxa"/>
              <w:right w:w="15" w:type="dxa"/>
            </w:tcMar>
            <w:vAlign w:val="center"/>
          </w:tcPr>
          <w:p w:rsidR="00231EA4" w:rsidRPr="00AD595B" w:rsidP="00DA384D">
            <w:pPr>
              <w:keepNext/>
              <w:keepLines/>
              <w:jc w:val="center"/>
            </w:pPr>
            <w:r w:rsidRPr="00AD595B">
              <w:rPr>
                <w:color w:val="000000"/>
              </w:rPr>
              <w:t>14.3</w:t>
            </w:r>
          </w:p>
        </w:tc>
        <w:tc>
          <w:tcPr>
            <w:tcW w:w="942" w:type="dxa"/>
            <w:tcMar>
              <w:top w:w="15" w:type="dxa"/>
              <w:left w:w="15" w:type="dxa"/>
              <w:bottom w:w="15" w:type="dxa"/>
              <w:right w:w="15" w:type="dxa"/>
            </w:tcMar>
            <w:vAlign w:val="center"/>
          </w:tcPr>
          <w:p w:rsidR="00231EA4" w:rsidRPr="00AD595B" w:rsidP="00DA384D">
            <w:pPr>
              <w:keepNext/>
              <w:keepLines/>
              <w:jc w:val="center"/>
            </w:pPr>
            <w:r w:rsidRPr="00AD595B">
              <w:rPr>
                <w:color w:val="000000"/>
              </w:rPr>
              <w:t>18.2</w:t>
            </w:r>
          </w:p>
        </w:tc>
        <w:tc>
          <w:tcPr>
            <w:tcW w:w="942" w:type="dxa"/>
            <w:tcMar>
              <w:top w:w="15" w:type="dxa"/>
              <w:left w:w="15" w:type="dxa"/>
              <w:bottom w:w="15" w:type="dxa"/>
              <w:right w:w="15" w:type="dxa"/>
            </w:tcMar>
            <w:vAlign w:val="center"/>
          </w:tcPr>
          <w:p w:rsidR="00231EA4" w:rsidRPr="00AD595B" w:rsidP="00DA384D">
            <w:pPr>
              <w:keepNext/>
              <w:keepLines/>
              <w:jc w:val="center"/>
            </w:pPr>
            <w:r w:rsidRPr="00AD595B">
              <w:rPr>
                <w:color w:val="000000"/>
              </w:rPr>
              <w:t>22.0</w:t>
            </w:r>
          </w:p>
        </w:tc>
        <w:tc>
          <w:tcPr>
            <w:tcW w:w="1021" w:type="dxa"/>
            <w:tcMar>
              <w:top w:w="15" w:type="dxa"/>
              <w:left w:w="15" w:type="dxa"/>
              <w:bottom w:w="15" w:type="dxa"/>
              <w:right w:w="15" w:type="dxa"/>
            </w:tcMar>
            <w:vAlign w:val="center"/>
          </w:tcPr>
          <w:p w:rsidR="00231EA4" w:rsidRPr="00AD595B" w:rsidP="00DA384D">
            <w:pPr>
              <w:keepNext/>
              <w:keepLines/>
              <w:jc w:val="center"/>
            </w:pPr>
            <w:r w:rsidRPr="00AD595B">
              <w:rPr>
                <w:color w:val="000000"/>
              </w:rPr>
              <w:t>27.3</w:t>
            </w:r>
          </w:p>
        </w:tc>
        <w:tc>
          <w:tcPr>
            <w:tcW w:w="1019" w:type="dxa"/>
            <w:tcMar>
              <w:top w:w="15" w:type="dxa"/>
              <w:left w:w="15" w:type="dxa"/>
              <w:bottom w:w="15" w:type="dxa"/>
              <w:right w:w="15" w:type="dxa"/>
            </w:tcMar>
            <w:vAlign w:val="center"/>
          </w:tcPr>
          <w:p w:rsidR="00231EA4" w:rsidRPr="00AD595B" w:rsidP="00DA384D">
            <w:pPr>
              <w:keepNext/>
              <w:keepLines/>
              <w:jc w:val="center"/>
            </w:pPr>
            <w:r w:rsidRPr="00AD595B">
              <w:t>31.2</w:t>
            </w:r>
          </w:p>
        </w:tc>
        <w:tc>
          <w:tcPr>
            <w:tcW w:w="1043" w:type="dxa"/>
            <w:vAlign w:val="center"/>
          </w:tcPr>
          <w:p w:rsidR="00231EA4" w:rsidRPr="00AD595B" w:rsidP="00DA384D">
            <w:pPr>
              <w:keepNext/>
              <w:keepLines/>
              <w:jc w:val="center"/>
            </w:pPr>
            <w:r w:rsidRPr="00AD595B">
              <w:t>39.5</w:t>
            </w:r>
          </w:p>
        </w:tc>
        <w:tc>
          <w:tcPr>
            <w:tcW w:w="1037" w:type="dxa"/>
          </w:tcPr>
          <w:p w:rsidR="00231EA4" w:rsidRPr="00AD595B" w:rsidP="00DA384D">
            <w:pPr>
              <w:keepNext/>
              <w:keepLines/>
              <w:jc w:val="center"/>
            </w:pPr>
            <w:r w:rsidRPr="00AD595B">
              <w:t>42.5</w:t>
            </w:r>
          </w:p>
        </w:tc>
      </w:tr>
      <w:tr w:rsidTr="00DA384D">
        <w:tblPrEx>
          <w:tblW w:w="9360" w:type="dxa"/>
          <w:tblCellSpacing w:w="7" w:type="dxa"/>
          <w:tblLayout w:type="fixed"/>
          <w:tblLook w:val="00A0"/>
        </w:tblPrEx>
        <w:trPr>
          <w:tblCellSpacing w:w="7" w:type="dxa"/>
        </w:trPr>
        <w:tc>
          <w:tcPr>
            <w:tcW w:w="1251" w:type="dxa"/>
            <w:tcMar>
              <w:top w:w="15" w:type="dxa"/>
              <w:left w:w="15" w:type="dxa"/>
              <w:bottom w:w="15" w:type="dxa"/>
              <w:right w:w="15" w:type="dxa"/>
            </w:tcMar>
            <w:vAlign w:val="center"/>
          </w:tcPr>
          <w:p w:rsidR="00231EA4" w:rsidRPr="00AD595B" w:rsidP="00DA384D">
            <w:pPr>
              <w:keepNext/>
              <w:keepLines/>
              <w:jc w:val="center"/>
            </w:pPr>
            <w:r w:rsidRPr="00AD595B">
              <w:t>250 - 300</w:t>
            </w:r>
          </w:p>
        </w:tc>
        <w:tc>
          <w:tcPr>
            <w:tcW w:w="1023" w:type="dxa"/>
            <w:tcMar>
              <w:top w:w="15" w:type="dxa"/>
              <w:left w:w="15" w:type="dxa"/>
              <w:bottom w:w="15" w:type="dxa"/>
              <w:right w:w="15" w:type="dxa"/>
            </w:tcMar>
            <w:vAlign w:val="center"/>
          </w:tcPr>
          <w:p w:rsidR="00231EA4" w:rsidRPr="00AD595B" w:rsidP="00DA384D">
            <w:pPr>
              <w:keepNext/>
              <w:keepLines/>
              <w:jc w:val="center"/>
              <w:rPr>
                <w:color w:val="000000"/>
              </w:rPr>
            </w:pPr>
            <w:r w:rsidRPr="00AD595B">
              <w:rPr>
                <w:color w:val="000000"/>
              </w:rPr>
              <w:t>13.9</w:t>
            </w:r>
          </w:p>
        </w:tc>
        <w:tc>
          <w:tcPr>
            <w:tcW w:w="942" w:type="dxa"/>
            <w:tcMar>
              <w:top w:w="15" w:type="dxa"/>
              <w:left w:w="15" w:type="dxa"/>
              <w:bottom w:w="15" w:type="dxa"/>
              <w:right w:w="15" w:type="dxa"/>
            </w:tcMar>
            <w:vAlign w:val="center"/>
          </w:tcPr>
          <w:p w:rsidR="00231EA4" w:rsidRPr="00AD595B" w:rsidP="00DA384D">
            <w:pPr>
              <w:keepNext/>
              <w:keepLines/>
              <w:jc w:val="center"/>
              <w:rPr>
                <w:color w:val="000000"/>
              </w:rPr>
            </w:pPr>
            <w:r w:rsidRPr="00AD595B">
              <w:rPr>
                <w:color w:val="000000"/>
              </w:rPr>
              <w:t>16.4</w:t>
            </w:r>
          </w:p>
        </w:tc>
        <w:tc>
          <w:tcPr>
            <w:tcW w:w="942" w:type="dxa"/>
            <w:tcMar>
              <w:top w:w="15" w:type="dxa"/>
              <w:left w:w="15" w:type="dxa"/>
              <w:bottom w:w="15" w:type="dxa"/>
              <w:right w:w="15" w:type="dxa"/>
            </w:tcMar>
            <w:vAlign w:val="center"/>
          </w:tcPr>
          <w:p w:rsidR="00231EA4" w:rsidRPr="00AD595B" w:rsidP="00DA384D">
            <w:pPr>
              <w:keepNext/>
              <w:keepLines/>
              <w:jc w:val="center"/>
              <w:rPr>
                <w:color w:val="000000"/>
              </w:rPr>
            </w:pPr>
            <w:r w:rsidRPr="00AD595B">
              <w:rPr>
                <w:color w:val="000000"/>
              </w:rPr>
              <w:t>20.0</w:t>
            </w:r>
          </w:p>
        </w:tc>
        <w:tc>
          <w:tcPr>
            <w:tcW w:w="942" w:type="dxa"/>
            <w:tcMar>
              <w:top w:w="15" w:type="dxa"/>
              <w:left w:w="15" w:type="dxa"/>
              <w:bottom w:w="15" w:type="dxa"/>
              <w:right w:w="15" w:type="dxa"/>
            </w:tcMar>
            <w:vAlign w:val="center"/>
          </w:tcPr>
          <w:p w:rsidR="00231EA4" w:rsidRPr="00AD595B" w:rsidP="00DA384D">
            <w:pPr>
              <w:keepNext/>
              <w:keepLines/>
              <w:jc w:val="center"/>
              <w:rPr>
                <w:color w:val="000000"/>
              </w:rPr>
            </w:pPr>
            <w:r w:rsidRPr="00AD595B">
              <w:rPr>
                <w:color w:val="000000"/>
              </w:rPr>
              <w:t>23.9</w:t>
            </w:r>
          </w:p>
        </w:tc>
        <w:tc>
          <w:tcPr>
            <w:tcW w:w="1021" w:type="dxa"/>
            <w:tcMar>
              <w:top w:w="15" w:type="dxa"/>
              <w:left w:w="15" w:type="dxa"/>
              <w:bottom w:w="15" w:type="dxa"/>
              <w:right w:w="15" w:type="dxa"/>
            </w:tcMar>
            <w:vAlign w:val="center"/>
          </w:tcPr>
          <w:p w:rsidR="00231EA4" w:rsidRPr="00AD595B" w:rsidP="00DA384D">
            <w:pPr>
              <w:keepNext/>
              <w:keepLines/>
              <w:jc w:val="center"/>
              <w:rPr>
                <w:color w:val="000000"/>
              </w:rPr>
            </w:pPr>
            <w:r w:rsidRPr="00AD595B">
              <w:rPr>
                <w:color w:val="000000"/>
              </w:rPr>
              <w:t>29.4</w:t>
            </w:r>
          </w:p>
        </w:tc>
        <w:tc>
          <w:tcPr>
            <w:tcW w:w="1019" w:type="dxa"/>
            <w:tcMar>
              <w:top w:w="15" w:type="dxa"/>
              <w:left w:w="15" w:type="dxa"/>
              <w:bottom w:w="15" w:type="dxa"/>
              <w:right w:w="15" w:type="dxa"/>
            </w:tcMar>
            <w:vAlign w:val="center"/>
          </w:tcPr>
          <w:p w:rsidR="00231EA4" w:rsidRPr="00AD595B" w:rsidP="00DA384D">
            <w:pPr>
              <w:keepNext/>
              <w:keepLines/>
              <w:jc w:val="center"/>
            </w:pPr>
            <w:r w:rsidRPr="00AD595B">
              <w:t>35.4</w:t>
            </w:r>
          </w:p>
        </w:tc>
        <w:tc>
          <w:tcPr>
            <w:tcW w:w="1043" w:type="dxa"/>
            <w:vAlign w:val="center"/>
          </w:tcPr>
          <w:p w:rsidR="00231EA4" w:rsidRPr="00AD595B" w:rsidP="00DA384D">
            <w:pPr>
              <w:keepNext/>
              <w:keepLines/>
              <w:jc w:val="center"/>
            </w:pPr>
            <w:r w:rsidRPr="00AD595B">
              <w:t>42.1</w:t>
            </w:r>
          </w:p>
        </w:tc>
        <w:tc>
          <w:tcPr>
            <w:tcW w:w="1037" w:type="dxa"/>
          </w:tcPr>
          <w:p w:rsidR="00231EA4" w:rsidRPr="00AD595B" w:rsidP="00DA384D">
            <w:pPr>
              <w:keepNext/>
              <w:keepLines/>
              <w:jc w:val="center"/>
            </w:pPr>
            <w:r w:rsidRPr="00AD595B">
              <w:t>45.9</w:t>
            </w:r>
          </w:p>
        </w:tc>
      </w:tr>
      <w:tr w:rsidTr="00DA384D">
        <w:tblPrEx>
          <w:tblW w:w="9360" w:type="dxa"/>
          <w:tblCellSpacing w:w="7" w:type="dxa"/>
          <w:tblLayout w:type="fixed"/>
          <w:tblLook w:val="00A0"/>
        </w:tblPrEx>
        <w:trPr>
          <w:tblCellSpacing w:w="7" w:type="dxa"/>
        </w:trPr>
        <w:tc>
          <w:tcPr>
            <w:tcW w:w="1251" w:type="dxa"/>
            <w:tcMar>
              <w:top w:w="15" w:type="dxa"/>
              <w:left w:w="15" w:type="dxa"/>
              <w:bottom w:w="15" w:type="dxa"/>
              <w:right w:w="15" w:type="dxa"/>
            </w:tcMar>
            <w:vAlign w:val="center"/>
          </w:tcPr>
          <w:p w:rsidR="00231EA4" w:rsidRPr="00AD595B" w:rsidP="00DA384D">
            <w:pPr>
              <w:keepNext/>
              <w:keepLines/>
              <w:jc w:val="center"/>
            </w:pPr>
            <w:r w:rsidRPr="00AD595B">
              <w:t>300 - 350</w:t>
            </w:r>
          </w:p>
        </w:tc>
        <w:tc>
          <w:tcPr>
            <w:tcW w:w="1023" w:type="dxa"/>
            <w:tcMar>
              <w:top w:w="15" w:type="dxa"/>
              <w:left w:w="15" w:type="dxa"/>
              <w:bottom w:w="15" w:type="dxa"/>
              <w:right w:w="15" w:type="dxa"/>
            </w:tcMar>
            <w:vAlign w:val="center"/>
          </w:tcPr>
          <w:p w:rsidR="00231EA4" w:rsidRPr="00AD595B" w:rsidP="00DA384D">
            <w:pPr>
              <w:keepNext/>
              <w:keepLines/>
              <w:jc w:val="center"/>
              <w:rPr>
                <w:color w:val="000000"/>
              </w:rPr>
            </w:pPr>
            <w:r w:rsidRPr="00AD595B">
              <w:rPr>
                <w:color w:val="000000"/>
              </w:rPr>
              <w:t>15.3</w:t>
            </w:r>
          </w:p>
        </w:tc>
        <w:tc>
          <w:tcPr>
            <w:tcW w:w="942" w:type="dxa"/>
            <w:tcMar>
              <w:top w:w="15" w:type="dxa"/>
              <w:left w:w="15" w:type="dxa"/>
              <w:bottom w:w="15" w:type="dxa"/>
              <w:right w:w="15" w:type="dxa"/>
            </w:tcMar>
            <w:vAlign w:val="center"/>
          </w:tcPr>
          <w:p w:rsidR="00231EA4" w:rsidRPr="00AD595B" w:rsidP="00DA384D">
            <w:pPr>
              <w:keepNext/>
              <w:keepLines/>
              <w:jc w:val="center"/>
              <w:rPr>
                <w:color w:val="000000"/>
              </w:rPr>
            </w:pPr>
            <w:r w:rsidRPr="00AD595B">
              <w:rPr>
                <w:color w:val="000000"/>
              </w:rPr>
              <w:t>17.9</w:t>
            </w:r>
          </w:p>
        </w:tc>
        <w:tc>
          <w:tcPr>
            <w:tcW w:w="942" w:type="dxa"/>
            <w:tcMar>
              <w:top w:w="15" w:type="dxa"/>
              <w:left w:w="15" w:type="dxa"/>
              <w:bottom w:w="15" w:type="dxa"/>
              <w:right w:w="15" w:type="dxa"/>
            </w:tcMar>
            <w:vAlign w:val="center"/>
          </w:tcPr>
          <w:p w:rsidR="00231EA4" w:rsidRPr="00AD595B" w:rsidP="00DA384D">
            <w:pPr>
              <w:keepNext/>
              <w:keepLines/>
              <w:jc w:val="center"/>
              <w:rPr>
                <w:color w:val="000000"/>
              </w:rPr>
            </w:pPr>
            <w:r w:rsidRPr="00AD595B">
              <w:rPr>
                <w:color w:val="000000"/>
              </w:rPr>
              <w:t>21.7</w:t>
            </w:r>
          </w:p>
        </w:tc>
        <w:tc>
          <w:tcPr>
            <w:tcW w:w="942" w:type="dxa"/>
            <w:tcMar>
              <w:top w:w="15" w:type="dxa"/>
              <w:left w:w="15" w:type="dxa"/>
              <w:bottom w:w="15" w:type="dxa"/>
              <w:right w:w="15" w:type="dxa"/>
            </w:tcMar>
            <w:vAlign w:val="center"/>
          </w:tcPr>
          <w:p w:rsidR="00231EA4" w:rsidRPr="00AD595B" w:rsidP="00DA384D">
            <w:pPr>
              <w:keepNext/>
              <w:keepLines/>
              <w:jc w:val="center"/>
              <w:rPr>
                <w:color w:val="000000"/>
              </w:rPr>
            </w:pPr>
            <w:r w:rsidRPr="00AD595B">
              <w:rPr>
                <w:color w:val="000000"/>
              </w:rPr>
              <w:t>25.7</w:t>
            </w:r>
          </w:p>
        </w:tc>
        <w:tc>
          <w:tcPr>
            <w:tcW w:w="1021" w:type="dxa"/>
            <w:tcMar>
              <w:top w:w="15" w:type="dxa"/>
              <w:left w:w="15" w:type="dxa"/>
              <w:bottom w:w="15" w:type="dxa"/>
              <w:right w:w="15" w:type="dxa"/>
            </w:tcMar>
            <w:vAlign w:val="center"/>
          </w:tcPr>
          <w:p w:rsidR="00231EA4" w:rsidRPr="00AD595B" w:rsidP="00DA384D">
            <w:pPr>
              <w:keepNext/>
              <w:keepLines/>
              <w:jc w:val="center"/>
              <w:rPr>
                <w:color w:val="000000"/>
              </w:rPr>
            </w:pPr>
            <w:r w:rsidRPr="00AD595B">
              <w:rPr>
                <w:color w:val="000000"/>
              </w:rPr>
              <w:t>31.4</w:t>
            </w:r>
          </w:p>
        </w:tc>
        <w:tc>
          <w:tcPr>
            <w:tcW w:w="1019" w:type="dxa"/>
            <w:tcMar>
              <w:top w:w="15" w:type="dxa"/>
              <w:left w:w="15" w:type="dxa"/>
              <w:bottom w:w="15" w:type="dxa"/>
              <w:right w:w="15" w:type="dxa"/>
            </w:tcMar>
            <w:vAlign w:val="center"/>
          </w:tcPr>
          <w:p w:rsidR="00231EA4" w:rsidRPr="00AD595B" w:rsidP="00DA384D">
            <w:pPr>
              <w:keepNext/>
              <w:keepLines/>
              <w:jc w:val="center"/>
            </w:pPr>
            <w:r w:rsidRPr="00AD595B">
              <w:t>37.6</w:t>
            </w:r>
          </w:p>
        </w:tc>
        <w:tc>
          <w:tcPr>
            <w:tcW w:w="1043" w:type="dxa"/>
            <w:vAlign w:val="center"/>
          </w:tcPr>
          <w:p w:rsidR="00231EA4" w:rsidRPr="00AD595B" w:rsidP="00DA384D">
            <w:pPr>
              <w:keepNext/>
              <w:keepLines/>
              <w:jc w:val="center"/>
            </w:pPr>
            <w:r w:rsidRPr="00AD595B">
              <w:t>44.5</w:t>
            </w:r>
          </w:p>
        </w:tc>
        <w:tc>
          <w:tcPr>
            <w:tcW w:w="1037" w:type="dxa"/>
          </w:tcPr>
          <w:p w:rsidR="00231EA4" w:rsidRPr="00AD595B" w:rsidP="00DA384D">
            <w:pPr>
              <w:keepNext/>
              <w:keepLines/>
              <w:jc w:val="center"/>
            </w:pPr>
            <w:r w:rsidRPr="00AD595B">
              <w:t>48.4</w:t>
            </w:r>
          </w:p>
        </w:tc>
      </w:tr>
      <w:tr w:rsidTr="00DA384D">
        <w:tblPrEx>
          <w:tblW w:w="9360" w:type="dxa"/>
          <w:tblCellSpacing w:w="7" w:type="dxa"/>
          <w:tblLayout w:type="fixed"/>
          <w:tblLook w:val="00A0"/>
        </w:tblPrEx>
        <w:trPr>
          <w:tblCellSpacing w:w="7" w:type="dxa"/>
        </w:trPr>
        <w:tc>
          <w:tcPr>
            <w:tcW w:w="1251" w:type="dxa"/>
            <w:tcMar>
              <w:top w:w="15" w:type="dxa"/>
              <w:left w:w="15" w:type="dxa"/>
              <w:bottom w:w="15" w:type="dxa"/>
              <w:right w:w="15" w:type="dxa"/>
            </w:tcMar>
            <w:vAlign w:val="center"/>
          </w:tcPr>
          <w:p w:rsidR="00231EA4" w:rsidRPr="00AD595B" w:rsidP="00DA384D">
            <w:pPr>
              <w:keepNext/>
              <w:keepLines/>
              <w:jc w:val="center"/>
            </w:pPr>
            <w:r w:rsidRPr="00AD595B">
              <w:t>350 - 400</w:t>
            </w:r>
          </w:p>
        </w:tc>
        <w:tc>
          <w:tcPr>
            <w:tcW w:w="1023" w:type="dxa"/>
            <w:tcMar>
              <w:top w:w="15" w:type="dxa"/>
              <w:left w:w="15" w:type="dxa"/>
              <w:bottom w:w="15" w:type="dxa"/>
              <w:right w:w="15" w:type="dxa"/>
            </w:tcMar>
            <w:vAlign w:val="center"/>
          </w:tcPr>
          <w:p w:rsidR="00231EA4" w:rsidRPr="00AD595B" w:rsidP="00DA384D">
            <w:pPr>
              <w:keepNext/>
              <w:keepLines/>
              <w:jc w:val="center"/>
              <w:rPr>
                <w:color w:val="000000"/>
              </w:rPr>
            </w:pPr>
            <w:r w:rsidRPr="00AD595B">
              <w:rPr>
                <w:color w:val="000000"/>
              </w:rPr>
              <w:t>16.6</w:t>
            </w:r>
          </w:p>
        </w:tc>
        <w:tc>
          <w:tcPr>
            <w:tcW w:w="942" w:type="dxa"/>
            <w:tcMar>
              <w:top w:w="15" w:type="dxa"/>
              <w:left w:w="15" w:type="dxa"/>
              <w:bottom w:w="15" w:type="dxa"/>
              <w:right w:w="15" w:type="dxa"/>
            </w:tcMar>
            <w:vAlign w:val="center"/>
          </w:tcPr>
          <w:p w:rsidR="00231EA4" w:rsidRPr="00AD595B" w:rsidP="00DA384D">
            <w:pPr>
              <w:keepNext/>
              <w:keepLines/>
              <w:jc w:val="center"/>
              <w:rPr>
                <w:color w:val="000000"/>
              </w:rPr>
            </w:pPr>
            <w:r w:rsidRPr="00AD595B">
              <w:rPr>
                <w:color w:val="000000"/>
              </w:rPr>
              <w:t>19.3</w:t>
            </w:r>
          </w:p>
        </w:tc>
        <w:tc>
          <w:tcPr>
            <w:tcW w:w="942" w:type="dxa"/>
            <w:tcMar>
              <w:top w:w="15" w:type="dxa"/>
              <w:left w:w="15" w:type="dxa"/>
              <w:bottom w:w="15" w:type="dxa"/>
              <w:right w:w="15" w:type="dxa"/>
            </w:tcMar>
            <w:vAlign w:val="center"/>
          </w:tcPr>
          <w:p w:rsidR="00231EA4" w:rsidRPr="00AD595B" w:rsidP="00DA384D">
            <w:pPr>
              <w:keepNext/>
              <w:keepLines/>
              <w:jc w:val="center"/>
              <w:rPr>
                <w:color w:val="000000"/>
              </w:rPr>
            </w:pPr>
            <w:r w:rsidRPr="00AD595B">
              <w:rPr>
                <w:color w:val="000000"/>
              </w:rPr>
              <w:t>23.2</w:t>
            </w:r>
          </w:p>
        </w:tc>
        <w:tc>
          <w:tcPr>
            <w:tcW w:w="942" w:type="dxa"/>
            <w:tcMar>
              <w:top w:w="15" w:type="dxa"/>
              <w:left w:w="15" w:type="dxa"/>
              <w:bottom w:w="15" w:type="dxa"/>
              <w:right w:w="15" w:type="dxa"/>
            </w:tcMar>
            <w:vAlign w:val="center"/>
          </w:tcPr>
          <w:p w:rsidR="00231EA4" w:rsidRPr="00AD595B" w:rsidP="00DA384D">
            <w:pPr>
              <w:keepNext/>
              <w:keepLines/>
              <w:jc w:val="center"/>
              <w:rPr>
                <w:color w:val="000000"/>
              </w:rPr>
            </w:pPr>
            <w:r w:rsidRPr="00AD595B">
              <w:rPr>
                <w:color w:val="000000"/>
              </w:rPr>
              <w:t>27.3</w:t>
            </w:r>
          </w:p>
        </w:tc>
        <w:tc>
          <w:tcPr>
            <w:tcW w:w="1021" w:type="dxa"/>
            <w:tcMar>
              <w:top w:w="15" w:type="dxa"/>
              <w:left w:w="15" w:type="dxa"/>
              <w:bottom w:w="15" w:type="dxa"/>
              <w:right w:w="15" w:type="dxa"/>
            </w:tcMar>
            <w:vAlign w:val="center"/>
          </w:tcPr>
          <w:p w:rsidR="00231EA4" w:rsidRPr="00AD595B" w:rsidP="00DA384D">
            <w:pPr>
              <w:keepNext/>
              <w:keepLines/>
              <w:jc w:val="center"/>
              <w:rPr>
                <w:color w:val="000000"/>
              </w:rPr>
            </w:pPr>
            <w:r w:rsidRPr="00AD595B">
              <w:rPr>
                <w:color w:val="000000"/>
              </w:rPr>
              <w:t>33.3</w:t>
            </w:r>
          </w:p>
        </w:tc>
        <w:tc>
          <w:tcPr>
            <w:tcW w:w="1019" w:type="dxa"/>
            <w:tcMar>
              <w:top w:w="15" w:type="dxa"/>
              <w:left w:w="15" w:type="dxa"/>
              <w:bottom w:w="15" w:type="dxa"/>
              <w:right w:w="15" w:type="dxa"/>
            </w:tcMar>
            <w:vAlign w:val="center"/>
          </w:tcPr>
          <w:p w:rsidR="00231EA4" w:rsidRPr="00AD595B" w:rsidP="00DA384D">
            <w:pPr>
              <w:keepNext/>
              <w:keepLines/>
              <w:jc w:val="center"/>
            </w:pPr>
            <w:r w:rsidRPr="00AD595B">
              <w:t>39.7</w:t>
            </w:r>
          </w:p>
        </w:tc>
        <w:tc>
          <w:tcPr>
            <w:tcW w:w="1043" w:type="dxa"/>
            <w:vAlign w:val="center"/>
          </w:tcPr>
          <w:p w:rsidR="00231EA4" w:rsidRPr="00AD595B" w:rsidP="00DA384D">
            <w:pPr>
              <w:keepNext/>
              <w:keepLines/>
              <w:jc w:val="center"/>
            </w:pPr>
            <w:r w:rsidRPr="00AD595B">
              <w:t>46.9</w:t>
            </w:r>
          </w:p>
        </w:tc>
        <w:tc>
          <w:tcPr>
            <w:tcW w:w="1037" w:type="dxa"/>
          </w:tcPr>
          <w:p w:rsidR="00231EA4" w:rsidRPr="00AD595B" w:rsidP="00DA384D">
            <w:pPr>
              <w:keepNext/>
              <w:keepLines/>
              <w:jc w:val="center"/>
            </w:pPr>
            <w:r w:rsidRPr="00AD595B">
              <w:t>51.0</w:t>
            </w:r>
          </w:p>
        </w:tc>
      </w:tr>
      <w:tr w:rsidTr="00DA384D">
        <w:tblPrEx>
          <w:tblW w:w="9360" w:type="dxa"/>
          <w:tblCellSpacing w:w="7" w:type="dxa"/>
          <w:tblLayout w:type="fixed"/>
          <w:tblLook w:val="00A0"/>
        </w:tblPrEx>
        <w:trPr>
          <w:tblCellSpacing w:w="7" w:type="dxa"/>
        </w:trPr>
        <w:tc>
          <w:tcPr>
            <w:tcW w:w="1251" w:type="dxa"/>
            <w:tcMar>
              <w:top w:w="15" w:type="dxa"/>
              <w:left w:w="15" w:type="dxa"/>
              <w:bottom w:w="15" w:type="dxa"/>
              <w:right w:w="15" w:type="dxa"/>
            </w:tcMar>
            <w:vAlign w:val="center"/>
          </w:tcPr>
          <w:p w:rsidR="00231EA4" w:rsidRPr="00AD595B" w:rsidP="00DA384D">
            <w:pPr>
              <w:keepNext/>
              <w:keepLines/>
              <w:jc w:val="center"/>
            </w:pPr>
            <w:r w:rsidRPr="00AD595B">
              <w:t>400 - 450</w:t>
            </w:r>
          </w:p>
        </w:tc>
        <w:tc>
          <w:tcPr>
            <w:tcW w:w="1023" w:type="dxa"/>
            <w:tcMar>
              <w:top w:w="15" w:type="dxa"/>
              <w:left w:w="15" w:type="dxa"/>
              <w:bottom w:w="15" w:type="dxa"/>
              <w:right w:w="15" w:type="dxa"/>
            </w:tcMar>
            <w:vAlign w:val="center"/>
          </w:tcPr>
          <w:p w:rsidR="00231EA4" w:rsidRPr="00AD595B" w:rsidP="00DA384D">
            <w:pPr>
              <w:keepNext/>
              <w:keepLines/>
              <w:jc w:val="center"/>
              <w:rPr>
                <w:color w:val="000000"/>
              </w:rPr>
            </w:pPr>
            <w:r w:rsidRPr="00AD595B">
              <w:rPr>
                <w:color w:val="000000"/>
              </w:rPr>
              <w:t>17.6</w:t>
            </w:r>
          </w:p>
        </w:tc>
        <w:tc>
          <w:tcPr>
            <w:tcW w:w="942" w:type="dxa"/>
            <w:tcMar>
              <w:top w:w="15" w:type="dxa"/>
              <w:left w:w="15" w:type="dxa"/>
              <w:bottom w:w="15" w:type="dxa"/>
              <w:right w:w="15" w:type="dxa"/>
            </w:tcMar>
            <w:vAlign w:val="center"/>
          </w:tcPr>
          <w:p w:rsidR="00231EA4" w:rsidRPr="00AD595B" w:rsidP="00DA384D">
            <w:pPr>
              <w:keepNext/>
              <w:keepLines/>
              <w:jc w:val="center"/>
              <w:rPr>
                <w:color w:val="000000"/>
              </w:rPr>
            </w:pPr>
            <w:r w:rsidRPr="00AD595B">
              <w:rPr>
                <w:color w:val="000000"/>
              </w:rPr>
              <w:t>20.4</w:t>
            </w:r>
          </w:p>
        </w:tc>
        <w:tc>
          <w:tcPr>
            <w:tcW w:w="942" w:type="dxa"/>
            <w:tcMar>
              <w:top w:w="15" w:type="dxa"/>
              <w:left w:w="15" w:type="dxa"/>
              <w:bottom w:w="15" w:type="dxa"/>
              <w:right w:w="15" w:type="dxa"/>
            </w:tcMar>
            <w:vAlign w:val="center"/>
          </w:tcPr>
          <w:p w:rsidR="00231EA4" w:rsidRPr="00AD595B" w:rsidP="00DA384D">
            <w:pPr>
              <w:keepNext/>
              <w:keepLines/>
              <w:jc w:val="center"/>
              <w:rPr>
                <w:color w:val="000000"/>
              </w:rPr>
            </w:pPr>
            <w:r w:rsidRPr="00AD595B">
              <w:rPr>
                <w:color w:val="000000"/>
              </w:rPr>
              <w:t>24.4</w:t>
            </w:r>
          </w:p>
        </w:tc>
        <w:tc>
          <w:tcPr>
            <w:tcW w:w="942" w:type="dxa"/>
            <w:tcMar>
              <w:top w:w="15" w:type="dxa"/>
              <w:left w:w="15" w:type="dxa"/>
              <w:bottom w:w="15" w:type="dxa"/>
              <w:right w:w="15" w:type="dxa"/>
            </w:tcMar>
            <w:vAlign w:val="center"/>
          </w:tcPr>
          <w:p w:rsidR="00231EA4" w:rsidRPr="00AD595B" w:rsidP="00DA384D">
            <w:pPr>
              <w:keepNext/>
              <w:keepLines/>
              <w:jc w:val="center"/>
              <w:rPr>
                <w:color w:val="000000"/>
              </w:rPr>
            </w:pPr>
            <w:r w:rsidRPr="00AD595B">
              <w:rPr>
                <w:color w:val="000000"/>
              </w:rPr>
              <w:t>28.7</w:t>
            </w:r>
          </w:p>
        </w:tc>
        <w:tc>
          <w:tcPr>
            <w:tcW w:w="1021" w:type="dxa"/>
            <w:tcMar>
              <w:top w:w="15" w:type="dxa"/>
              <w:left w:w="15" w:type="dxa"/>
              <w:bottom w:w="15" w:type="dxa"/>
              <w:right w:w="15" w:type="dxa"/>
            </w:tcMar>
            <w:vAlign w:val="center"/>
          </w:tcPr>
          <w:p w:rsidR="00231EA4" w:rsidRPr="00AD595B" w:rsidP="00DA384D">
            <w:pPr>
              <w:keepNext/>
              <w:keepLines/>
              <w:jc w:val="center"/>
              <w:rPr>
                <w:color w:val="000000"/>
              </w:rPr>
            </w:pPr>
            <w:r w:rsidRPr="00AD595B">
              <w:rPr>
                <w:color w:val="000000"/>
              </w:rPr>
              <w:t>35.1</w:t>
            </w:r>
          </w:p>
        </w:tc>
        <w:tc>
          <w:tcPr>
            <w:tcW w:w="1019" w:type="dxa"/>
            <w:tcMar>
              <w:top w:w="15" w:type="dxa"/>
              <w:left w:w="15" w:type="dxa"/>
              <w:bottom w:w="15" w:type="dxa"/>
              <w:right w:w="15" w:type="dxa"/>
            </w:tcMar>
            <w:vAlign w:val="center"/>
          </w:tcPr>
          <w:p w:rsidR="00231EA4" w:rsidRPr="00AD595B" w:rsidP="00DA384D">
            <w:pPr>
              <w:keepNext/>
              <w:keepLines/>
              <w:jc w:val="center"/>
            </w:pPr>
            <w:r w:rsidRPr="00AD595B">
              <w:t>41.9</w:t>
            </w:r>
          </w:p>
        </w:tc>
        <w:tc>
          <w:tcPr>
            <w:tcW w:w="1043" w:type="dxa"/>
            <w:vAlign w:val="center"/>
          </w:tcPr>
          <w:p w:rsidR="00231EA4" w:rsidRPr="00AD595B" w:rsidP="00DA384D">
            <w:pPr>
              <w:keepNext/>
              <w:keepLines/>
              <w:jc w:val="center"/>
            </w:pPr>
            <w:r w:rsidRPr="00AD595B">
              <w:t>49.4</w:t>
            </w:r>
          </w:p>
        </w:tc>
        <w:tc>
          <w:tcPr>
            <w:tcW w:w="1037" w:type="dxa"/>
          </w:tcPr>
          <w:p w:rsidR="00231EA4" w:rsidRPr="00AD595B" w:rsidP="00DA384D">
            <w:pPr>
              <w:keepNext/>
              <w:keepLines/>
              <w:jc w:val="center"/>
            </w:pPr>
            <w:r w:rsidRPr="00AD595B">
              <w:t>53.8</w:t>
            </w:r>
          </w:p>
        </w:tc>
      </w:tr>
      <w:tr w:rsidTr="00DA384D">
        <w:tblPrEx>
          <w:tblW w:w="9360" w:type="dxa"/>
          <w:tblCellSpacing w:w="7" w:type="dxa"/>
          <w:tblLayout w:type="fixed"/>
          <w:tblLook w:val="00A0"/>
        </w:tblPrEx>
        <w:trPr>
          <w:tblCellSpacing w:w="7" w:type="dxa"/>
        </w:trPr>
        <w:tc>
          <w:tcPr>
            <w:tcW w:w="1251" w:type="dxa"/>
            <w:tcMar>
              <w:top w:w="15" w:type="dxa"/>
              <w:left w:w="15" w:type="dxa"/>
              <w:bottom w:w="15" w:type="dxa"/>
              <w:right w:w="15" w:type="dxa"/>
            </w:tcMar>
            <w:vAlign w:val="center"/>
          </w:tcPr>
          <w:p w:rsidR="00231EA4" w:rsidRPr="00AD595B" w:rsidP="00DA384D">
            <w:pPr>
              <w:keepNext/>
              <w:keepLines/>
              <w:jc w:val="center"/>
            </w:pPr>
            <w:r w:rsidRPr="00AD595B">
              <w:t>450 - 500</w:t>
            </w:r>
          </w:p>
        </w:tc>
        <w:tc>
          <w:tcPr>
            <w:tcW w:w="1023" w:type="dxa"/>
            <w:tcMar>
              <w:top w:w="15" w:type="dxa"/>
              <w:left w:w="15" w:type="dxa"/>
              <w:bottom w:w="15" w:type="dxa"/>
              <w:right w:w="15" w:type="dxa"/>
            </w:tcMar>
            <w:vAlign w:val="center"/>
          </w:tcPr>
          <w:p w:rsidR="00231EA4" w:rsidRPr="00AD595B" w:rsidP="00DA384D">
            <w:pPr>
              <w:keepNext/>
              <w:keepLines/>
              <w:jc w:val="center"/>
              <w:rPr>
                <w:color w:val="000000"/>
              </w:rPr>
            </w:pPr>
            <w:r w:rsidRPr="00AD595B">
              <w:rPr>
                <w:color w:val="000000"/>
              </w:rPr>
              <w:t>18.3</w:t>
            </w:r>
          </w:p>
        </w:tc>
        <w:tc>
          <w:tcPr>
            <w:tcW w:w="942" w:type="dxa"/>
            <w:tcMar>
              <w:top w:w="15" w:type="dxa"/>
              <w:left w:w="15" w:type="dxa"/>
              <w:bottom w:w="15" w:type="dxa"/>
              <w:right w:w="15" w:type="dxa"/>
            </w:tcMar>
            <w:vAlign w:val="center"/>
          </w:tcPr>
          <w:p w:rsidR="00231EA4" w:rsidRPr="00AD595B" w:rsidP="00DA384D">
            <w:pPr>
              <w:keepNext/>
              <w:keepLines/>
              <w:jc w:val="center"/>
              <w:rPr>
                <w:color w:val="000000"/>
              </w:rPr>
            </w:pPr>
            <w:r w:rsidRPr="00AD595B">
              <w:rPr>
                <w:color w:val="000000"/>
              </w:rPr>
              <w:t>21.4</w:t>
            </w:r>
          </w:p>
        </w:tc>
        <w:tc>
          <w:tcPr>
            <w:tcW w:w="942" w:type="dxa"/>
            <w:tcMar>
              <w:top w:w="15" w:type="dxa"/>
              <w:left w:w="15" w:type="dxa"/>
              <w:bottom w:w="15" w:type="dxa"/>
              <w:right w:w="15" w:type="dxa"/>
            </w:tcMar>
            <w:vAlign w:val="center"/>
          </w:tcPr>
          <w:p w:rsidR="00231EA4" w:rsidRPr="00AD595B" w:rsidP="00DA384D">
            <w:pPr>
              <w:keepNext/>
              <w:keepLines/>
              <w:jc w:val="center"/>
              <w:rPr>
                <w:color w:val="000000"/>
              </w:rPr>
            </w:pPr>
            <w:r w:rsidRPr="00AD595B">
              <w:rPr>
                <w:color w:val="000000"/>
              </w:rPr>
              <w:t>25.5</w:t>
            </w:r>
          </w:p>
        </w:tc>
        <w:tc>
          <w:tcPr>
            <w:tcW w:w="942" w:type="dxa"/>
            <w:tcMar>
              <w:top w:w="15" w:type="dxa"/>
              <w:left w:w="15" w:type="dxa"/>
              <w:bottom w:w="15" w:type="dxa"/>
              <w:right w:w="15" w:type="dxa"/>
            </w:tcMar>
            <w:vAlign w:val="center"/>
          </w:tcPr>
          <w:p w:rsidR="00231EA4" w:rsidRPr="00AD595B" w:rsidP="00DA384D">
            <w:pPr>
              <w:keepNext/>
              <w:keepLines/>
              <w:jc w:val="center"/>
              <w:rPr>
                <w:color w:val="000000"/>
              </w:rPr>
            </w:pPr>
            <w:r w:rsidRPr="00AD595B">
              <w:rPr>
                <w:color w:val="000000"/>
              </w:rPr>
              <w:t>30.1</w:t>
            </w:r>
          </w:p>
        </w:tc>
        <w:tc>
          <w:tcPr>
            <w:tcW w:w="1021" w:type="dxa"/>
            <w:tcMar>
              <w:top w:w="15" w:type="dxa"/>
              <w:left w:w="15" w:type="dxa"/>
              <w:bottom w:w="15" w:type="dxa"/>
              <w:right w:w="15" w:type="dxa"/>
            </w:tcMar>
            <w:vAlign w:val="center"/>
          </w:tcPr>
          <w:p w:rsidR="00231EA4" w:rsidRPr="00AD595B" w:rsidP="00DA384D">
            <w:pPr>
              <w:keepNext/>
              <w:keepLines/>
              <w:jc w:val="center"/>
              <w:rPr>
                <w:color w:val="000000"/>
              </w:rPr>
            </w:pPr>
            <w:r w:rsidRPr="00AD595B">
              <w:rPr>
                <w:color w:val="000000"/>
              </w:rPr>
              <w:t>36.7</w:t>
            </w:r>
          </w:p>
        </w:tc>
        <w:tc>
          <w:tcPr>
            <w:tcW w:w="1019" w:type="dxa"/>
            <w:tcMar>
              <w:top w:w="15" w:type="dxa"/>
              <w:left w:w="15" w:type="dxa"/>
              <w:bottom w:w="15" w:type="dxa"/>
              <w:right w:w="15" w:type="dxa"/>
            </w:tcMar>
            <w:vAlign w:val="center"/>
          </w:tcPr>
          <w:p w:rsidR="00231EA4" w:rsidRPr="00AD595B" w:rsidP="00DA384D">
            <w:pPr>
              <w:keepNext/>
              <w:keepLines/>
              <w:jc w:val="center"/>
            </w:pPr>
            <w:r w:rsidRPr="00AD595B">
              <w:t>43.7</w:t>
            </w:r>
          </w:p>
        </w:tc>
        <w:tc>
          <w:tcPr>
            <w:tcW w:w="1043" w:type="dxa"/>
            <w:vAlign w:val="center"/>
          </w:tcPr>
          <w:p w:rsidR="00231EA4" w:rsidRPr="00AD595B" w:rsidP="00DA384D">
            <w:pPr>
              <w:keepNext/>
              <w:keepLines/>
              <w:jc w:val="center"/>
            </w:pPr>
            <w:r w:rsidRPr="00AD595B">
              <w:t>51.4</w:t>
            </w:r>
          </w:p>
        </w:tc>
        <w:tc>
          <w:tcPr>
            <w:tcW w:w="1037" w:type="dxa"/>
          </w:tcPr>
          <w:p w:rsidR="00231EA4" w:rsidRPr="00AD595B" w:rsidP="00DA384D">
            <w:pPr>
              <w:keepNext/>
              <w:keepLines/>
              <w:jc w:val="center"/>
            </w:pPr>
            <w:r w:rsidRPr="00AD595B">
              <w:t>55.9</w:t>
            </w:r>
          </w:p>
        </w:tc>
      </w:tr>
      <w:bookmarkEnd w:id="89"/>
    </w:tbl>
    <w:p w:rsidR="00123338" w:rsidP="00BA3094">
      <w:pPr>
        <w:pStyle w:val="ParaNum"/>
        <w:numPr>
          <w:ilvl w:val="0"/>
          <w:numId w:val="0"/>
        </w:numPr>
        <w:spacing w:after="0"/>
      </w:pPr>
    </w:p>
    <w:p w:rsidR="00231EA4" w:rsidP="00231EA4">
      <w:pPr>
        <w:pStyle w:val="ParaNum"/>
      </w:pPr>
      <w:bookmarkStart w:id="90" w:name="_Toc16172276"/>
      <w:bookmarkStart w:id="91" w:name="_Toc17356052"/>
      <w:bookmarkStart w:id="92" w:name="_Toc17362403"/>
      <w:r>
        <w:t xml:space="preserve">Similarly, </w:t>
      </w:r>
      <w:r w:rsidR="000F4C5F">
        <w:t>our</w:t>
      </w:r>
      <w:r>
        <w:t xml:space="preserve"> proposed table of separation distances from adjacent channel TV station contours, as modified to include a </w:t>
      </w:r>
      <w:r w:rsidR="00ED76FA">
        <w:t xml:space="preserve">16-watt </w:t>
      </w:r>
      <w:r>
        <w:t>power level and HAAT values up to 500 meters</w:t>
      </w:r>
      <w:r w:rsidR="00844EB1">
        <w:t>,</w:t>
      </w:r>
      <w:r>
        <w:t xml:space="preserve"> is as follows:</w:t>
      </w:r>
    </w:p>
    <w:tbl>
      <w:tblPr>
        <w:tblpPr w:leftFromText="180" w:rightFromText="180" w:vertAnchor="text" w:tblpXSpec="center" w:tblpY="1"/>
        <w:tblOverlap w:val="never"/>
        <w:tblW w:w="9360" w:type="dxa"/>
        <w:tblCellSpacing w:w="7" w:type="dxa"/>
        <w:tblBorders>
          <w:top w:val="outset" w:sz="8" w:space="0" w:color="auto"/>
          <w:left w:val="outset" w:sz="8" w:space="0" w:color="auto"/>
          <w:bottom w:val="outset" w:sz="8" w:space="0" w:color="auto"/>
          <w:right w:val="outset" w:sz="8" w:space="0" w:color="auto"/>
          <w:insideH w:val="outset" w:sz="8" w:space="0" w:color="auto"/>
          <w:insideV w:val="outset" w:sz="8" w:space="0" w:color="auto"/>
        </w:tblBorders>
        <w:tblLayout w:type="fixed"/>
        <w:tblLook w:val="00A0"/>
      </w:tblPr>
      <w:tblGrid>
        <w:gridCol w:w="1189"/>
        <w:gridCol w:w="1159"/>
        <w:gridCol w:w="1159"/>
        <w:gridCol w:w="1160"/>
        <w:gridCol w:w="1160"/>
        <w:gridCol w:w="1160"/>
        <w:gridCol w:w="1183"/>
        <w:gridCol w:w="1190"/>
      </w:tblGrid>
      <w:tr w:rsidTr="00DA384D">
        <w:tblPrEx>
          <w:tblW w:w="9360" w:type="dxa"/>
          <w:tblCellSpacing w:w="7" w:type="dxa"/>
          <w:tblBorders>
            <w:top w:val="outset" w:sz="8" w:space="0" w:color="auto"/>
            <w:left w:val="outset" w:sz="8" w:space="0" w:color="auto"/>
            <w:bottom w:val="outset" w:sz="8" w:space="0" w:color="auto"/>
            <w:right w:val="outset" w:sz="8" w:space="0" w:color="auto"/>
            <w:insideH w:val="outset" w:sz="8" w:space="0" w:color="auto"/>
            <w:insideV w:val="outset" w:sz="8" w:space="0" w:color="auto"/>
          </w:tblBorders>
          <w:tblLayout w:type="fixed"/>
          <w:tblLook w:val="00A0"/>
        </w:tblPrEx>
        <w:trPr>
          <w:trHeight w:val="720"/>
          <w:tblCellSpacing w:w="7" w:type="dxa"/>
        </w:trPr>
        <w:tc>
          <w:tcPr>
            <w:tcW w:w="9332" w:type="dxa"/>
            <w:gridSpan w:val="8"/>
            <w:vAlign w:val="center"/>
          </w:tcPr>
          <w:p w:rsidR="00DA384D" w:rsidRPr="00AD595B" w:rsidP="00DA384D">
            <w:pPr>
              <w:keepNext/>
              <w:keepLines/>
              <w:jc w:val="center"/>
              <w:rPr>
                <w:b/>
                <w:bCs/>
              </w:rPr>
            </w:pPr>
            <w:r w:rsidRPr="00AD595B">
              <w:rPr>
                <w:b/>
                <w:bCs/>
              </w:rPr>
              <w:t>Fixed White Space Devices</w:t>
            </w:r>
          </w:p>
        </w:tc>
      </w:tr>
      <w:tr w:rsidTr="00DA384D">
        <w:tblPrEx>
          <w:tblW w:w="9360" w:type="dxa"/>
          <w:tblCellSpacing w:w="7" w:type="dxa"/>
          <w:tblLayout w:type="fixed"/>
          <w:tblLook w:val="00A0"/>
        </w:tblPrEx>
        <w:trPr>
          <w:trHeight w:val="720"/>
          <w:tblCellSpacing w:w="7" w:type="dxa"/>
        </w:trPr>
        <w:tc>
          <w:tcPr>
            <w:tcW w:w="1168" w:type="dxa"/>
            <w:vMerge w:val="restart"/>
            <w:vAlign w:val="center"/>
          </w:tcPr>
          <w:p w:rsidR="00231EA4" w:rsidRPr="00AD595B" w:rsidP="00DA384D">
            <w:pPr>
              <w:keepNext/>
              <w:keepLines/>
              <w:jc w:val="center"/>
              <w:rPr>
                <w:b/>
                <w:bCs/>
              </w:rPr>
            </w:pPr>
            <w:bookmarkStart w:id="93" w:name="_Hlk22738890"/>
            <w:r w:rsidRPr="00AD595B">
              <w:rPr>
                <w:b/>
                <w:bCs/>
              </w:rPr>
              <w:t>Antenna height above average terrain of unlicensed devices</w:t>
            </w:r>
          </w:p>
          <w:p w:rsidR="00231EA4" w:rsidRPr="00AD595B" w:rsidP="00DA384D">
            <w:pPr>
              <w:keepNext/>
              <w:keepLines/>
              <w:jc w:val="center"/>
              <w:rPr>
                <w:b/>
                <w:bCs/>
              </w:rPr>
            </w:pPr>
            <w:r w:rsidRPr="00AD595B">
              <w:rPr>
                <w:b/>
                <w:bCs/>
              </w:rPr>
              <w:t>(meters)</w:t>
            </w:r>
          </w:p>
        </w:tc>
        <w:tc>
          <w:tcPr>
            <w:tcW w:w="8150" w:type="dxa"/>
            <w:gridSpan w:val="7"/>
            <w:tcMar>
              <w:top w:w="15" w:type="dxa"/>
              <w:left w:w="15" w:type="dxa"/>
              <w:bottom w:w="15" w:type="dxa"/>
              <w:right w:w="15" w:type="dxa"/>
            </w:tcMar>
            <w:vAlign w:val="center"/>
          </w:tcPr>
          <w:p w:rsidR="00231EA4" w:rsidRPr="00AD595B" w:rsidP="00DA384D">
            <w:pPr>
              <w:keepNext/>
              <w:keepLines/>
              <w:jc w:val="center"/>
              <w:rPr>
                <w:b/>
                <w:bCs/>
              </w:rPr>
            </w:pPr>
            <w:r w:rsidRPr="00AD595B">
              <w:rPr>
                <w:b/>
                <w:bCs/>
              </w:rPr>
              <w:t>Required separation in kilometers from adjacent channel digital or analog TV (full service or low power) protected contour</w:t>
            </w:r>
            <w:r w:rsidRPr="00AD595B" w:rsidR="00263DE7">
              <w:rPr>
                <w:b/>
                <w:bCs/>
              </w:rPr>
              <w:t xml:space="preserve"> based on white space device </w:t>
            </w:r>
            <w:r w:rsidRPr="00AD595B" w:rsidR="00EA445B">
              <w:rPr>
                <w:b/>
                <w:bCs/>
              </w:rPr>
              <w:t>EIRP</w:t>
            </w:r>
          </w:p>
        </w:tc>
      </w:tr>
      <w:tr w:rsidTr="00DA384D">
        <w:tblPrEx>
          <w:tblW w:w="9360" w:type="dxa"/>
          <w:tblCellSpacing w:w="7" w:type="dxa"/>
          <w:tblLayout w:type="fixed"/>
          <w:tblLook w:val="00A0"/>
        </w:tblPrEx>
        <w:trPr>
          <w:tblCellSpacing w:w="7" w:type="dxa"/>
        </w:trPr>
        <w:tc>
          <w:tcPr>
            <w:tcW w:w="1168" w:type="dxa"/>
            <w:vMerge/>
            <w:vAlign w:val="center"/>
          </w:tcPr>
          <w:p w:rsidR="00231EA4" w:rsidRPr="00AD595B" w:rsidP="00DA384D">
            <w:pPr>
              <w:keepNext/>
              <w:keepLines/>
              <w:jc w:val="center"/>
              <w:rPr>
                <w:b/>
                <w:bCs/>
              </w:rPr>
            </w:pPr>
          </w:p>
        </w:tc>
        <w:tc>
          <w:tcPr>
            <w:tcW w:w="1145" w:type="dxa"/>
            <w:tcMar>
              <w:top w:w="15" w:type="dxa"/>
              <w:left w:w="15" w:type="dxa"/>
              <w:bottom w:w="15" w:type="dxa"/>
              <w:right w:w="15" w:type="dxa"/>
            </w:tcMar>
            <w:vAlign w:val="center"/>
          </w:tcPr>
          <w:p w:rsidR="00231EA4" w:rsidRPr="00AD595B" w:rsidP="00DA384D">
            <w:pPr>
              <w:keepNext/>
              <w:keepLines/>
              <w:jc w:val="center"/>
              <w:rPr>
                <w:b/>
                <w:bCs/>
              </w:rPr>
            </w:pPr>
            <w:r w:rsidRPr="00AD595B">
              <w:rPr>
                <w:b/>
                <w:bCs/>
              </w:rPr>
              <w:t>20 dBm</w:t>
            </w:r>
          </w:p>
          <w:p w:rsidR="00231EA4" w:rsidRPr="00AD595B" w:rsidP="00DA384D">
            <w:pPr>
              <w:keepNext/>
              <w:keepLines/>
              <w:jc w:val="center"/>
              <w:rPr>
                <w:b/>
                <w:bCs/>
              </w:rPr>
            </w:pPr>
            <w:r w:rsidRPr="00AD595B">
              <w:rPr>
                <w:b/>
                <w:bCs/>
              </w:rPr>
              <w:t xml:space="preserve">(100 </w:t>
            </w:r>
            <w:r w:rsidRPr="00AD595B">
              <w:rPr>
                <w:b/>
                <w:bCs/>
              </w:rPr>
              <w:t>mW</w:t>
            </w:r>
            <w:r w:rsidRPr="00AD595B">
              <w:rPr>
                <w:b/>
                <w:bCs/>
              </w:rPr>
              <w:t>)</w:t>
            </w:r>
          </w:p>
        </w:tc>
        <w:tc>
          <w:tcPr>
            <w:tcW w:w="1145" w:type="dxa"/>
            <w:tcMar>
              <w:top w:w="15" w:type="dxa"/>
              <w:left w:w="15" w:type="dxa"/>
              <w:bottom w:w="15" w:type="dxa"/>
              <w:right w:w="15" w:type="dxa"/>
            </w:tcMar>
            <w:vAlign w:val="center"/>
          </w:tcPr>
          <w:p w:rsidR="00231EA4" w:rsidRPr="00AD595B" w:rsidP="00DA384D">
            <w:pPr>
              <w:keepNext/>
              <w:keepLines/>
              <w:jc w:val="center"/>
              <w:rPr>
                <w:b/>
                <w:bCs/>
              </w:rPr>
            </w:pPr>
            <w:r w:rsidRPr="00AD595B">
              <w:rPr>
                <w:b/>
                <w:bCs/>
              </w:rPr>
              <w:t>24 dBm</w:t>
            </w:r>
          </w:p>
          <w:p w:rsidR="00231EA4" w:rsidRPr="00AD595B" w:rsidP="00DA384D">
            <w:pPr>
              <w:keepNext/>
              <w:keepLines/>
              <w:jc w:val="center"/>
              <w:rPr>
                <w:b/>
                <w:bCs/>
              </w:rPr>
            </w:pPr>
            <w:r w:rsidRPr="00AD595B">
              <w:rPr>
                <w:b/>
                <w:bCs/>
              </w:rPr>
              <w:t xml:space="preserve">(250 </w:t>
            </w:r>
            <w:r w:rsidRPr="00AD595B">
              <w:rPr>
                <w:b/>
                <w:bCs/>
              </w:rPr>
              <w:t>mW</w:t>
            </w:r>
            <w:r w:rsidRPr="00AD595B">
              <w:rPr>
                <w:b/>
                <w:bCs/>
              </w:rPr>
              <w:t>)</w:t>
            </w:r>
          </w:p>
        </w:tc>
        <w:tc>
          <w:tcPr>
            <w:tcW w:w="1146" w:type="dxa"/>
            <w:tcMar>
              <w:top w:w="15" w:type="dxa"/>
              <w:left w:w="15" w:type="dxa"/>
              <w:bottom w:w="15" w:type="dxa"/>
              <w:right w:w="15" w:type="dxa"/>
            </w:tcMar>
            <w:vAlign w:val="center"/>
          </w:tcPr>
          <w:p w:rsidR="00231EA4" w:rsidRPr="00AD595B" w:rsidP="00DA384D">
            <w:pPr>
              <w:keepNext/>
              <w:keepLines/>
              <w:jc w:val="center"/>
              <w:rPr>
                <w:b/>
                <w:bCs/>
              </w:rPr>
            </w:pPr>
            <w:r w:rsidRPr="00AD595B">
              <w:rPr>
                <w:b/>
                <w:bCs/>
              </w:rPr>
              <w:t>28 dBm</w:t>
            </w:r>
          </w:p>
          <w:p w:rsidR="00231EA4" w:rsidRPr="00AD595B" w:rsidP="00DA384D">
            <w:pPr>
              <w:keepNext/>
              <w:keepLines/>
              <w:jc w:val="center"/>
              <w:rPr>
                <w:b/>
                <w:bCs/>
              </w:rPr>
            </w:pPr>
            <w:r w:rsidRPr="00AD595B">
              <w:rPr>
                <w:b/>
                <w:bCs/>
              </w:rPr>
              <w:t xml:space="preserve">(625 </w:t>
            </w:r>
            <w:r w:rsidRPr="00AD595B">
              <w:rPr>
                <w:b/>
                <w:bCs/>
              </w:rPr>
              <w:t>mW</w:t>
            </w:r>
            <w:r w:rsidRPr="00AD595B">
              <w:rPr>
                <w:b/>
                <w:bCs/>
              </w:rPr>
              <w:t>)</w:t>
            </w:r>
          </w:p>
        </w:tc>
        <w:tc>
          <w:tcPr>
            <w:tcW w:w="1146" w:type="dxa"/>
            <w:tcMar>
              <w:top w:w="15" w:type="dxa"/>
              <w:left w:w="15" w:type="dxa"/>
              <w:bottom w:w="15" w:type="dxa"/>
              <w:right w:w="15" w:type="dxa"/>
            </w:tcMar>
            <w:vAlign w:val="center"/>
          </w:tcPr>
          <w:p w:rsidR="00231EA4" w:rsidRPr="00AD595B" w:rsidP="00DA384D">
            <w:pPr>
              <w:keepNext/>
              <w:keepLines/>
              <w:jc w:val="center"/>
              <w:rPr>
                <w:b/>
                <w:bCs/>
              </w:rPr>
            </w:pPr>
            <w:r w:rsidRPr="00AD595B">
              <w:rPr>
                <w:b/>
                <w:bCs/>
              </w:rPr>
              <w:t>32 dBm</w:t>
            </w:r>
          </w:p>
          <w:p w:rsidR="00231EA4" w:rsidRPr="00AD595B" w:rsidP="00DA384D">
            <w:pPr>
              <w:keepNext/>
              <w:keepLines/>
              <w:jc w:val="center"/>
              <w:rPr>
                <w:b/>
                <w:bCs/>
              </w:rPr>
            </w:pPr>
            <w:r w:rsidRPr="00AD595B">
              <w:rPr>
                <w:b/>
                <w:bCs/>
              </w:rPr>
              <w:t xml:space="preserve">(1600 </w:t>
            </w:r>
            <w:r w:rsidRPr="00AD595B">
              <w:rPr>
                <w:b/>
                <w:bCs/>
              </w:rPr>
              <w:t>mW</w:t>
            </w:r>
            <w:r w:rsidRPr="00AD595B">
              <w:rPr>
                <w:b/>
                <w:bCs/>
              </w:rPr>
              <w:t>)</w:t>
            </w:r>
          </w:p>
        </w:tc>
        <w:tc>
          <w:tcPr>
            <w:tcW w:w="1146" w:type="dxa"/>
            <w:tcMar>
              <w:top w:w="15" w:type="dxa"/>
              <w:left w:w="15" w:type="dxa"/>
              <w:bottom w:w="15" w:type="dxa"/>
              <w:right w:w="15" w:type="dxa"/>
            </w:tcMar>
            <w:vAlign w:val="center"/>
          </w:tcPr>
          <w:p w:rsidR="00231EA4" w:rsidRPr="00AD595B" w:rsidP="00DA384D">
            <w:pPr>
              <w:keepNext/>
              <w:keepLines/>
              <w:jc w:val="center"/>
              <w:rPr>
                <w:b/>
                <w:bCs/>
              </w:rPr>
            </w:pPr>
            <w:r w:rsidRPr="00AD595B">
              <w:rPr>
                <w:b/>
                <w:bCs/>
              </w:rPr>
              <w:t>36 dBm</w:t>
            </w:r>
          </w:p>
          <w:p w:rsidR="00231EA4" w:rsidRPr="00AD595B" w:rsidP="00DA384D">
            <w:pPr>
              <w:keepNext/>
              <w:keepLines/>
              <w:jc w:val="center"/>
              <w:rPr>
                <w:b/>
                <w:bCs/>
              </w:rPr>
            </w:pPr>
            <w:r w:rsidRPr="00AD595B">
              <w:rPr>
                <w:b/>
                <w:bCs/>
              </w:rPr>
              <w:t>(4 W)</w:t>
            </w:r>
          </w:p>
        </w:tc>
        <w:tc>
          <w:tcPr>
            <w:tcW w:w="1169" w:type="dxa"/>
            <w:vAlign w:val="center"/>
          </w:tcPr>
          <w:p w:rsidR="00231EA4" w:rsidRPr="00AD595B" w:rsidP="00DA384D">
            <w:pPr>
              <w:keepNext/>
              <w:keepLines/>
              <w:jc w:val="center"/>
              <w:rPr>
                <w:b/>
                <w:bCs/>
              </w:rPr>
            </w:pPr>
            <w:r w:rsidRPr="00AD595B">
              <w:rPr>
                <w:b/>
                <w:bCs/>
              </w:rPr>
              <w:t>40 dBm</w:t>
            </w:r>
          </w:p>
          <w:p w:rsidR="00231EA4" w:rsidRPr="00AD595B" w:rsidP="00DA384D">
            <w:pPr>
              <w:keepNext/>
              <w:keepLines/>
              <w:jc w:val="center"/>
              <w:rPr>
                <w:b/>
                <w:bCs/>
              </w:rPr>
            </w:pPr>
            <w:r w:rsidRPr="00AD595B">
              <w:rPr>
                <w:b/>
                <w:bCs/>
              </w:rPr>
              <w:t>(10 W)</w:t>
            </w:r>
          </w:p>
        </w:tc>
        <w:tc>
          <w:tcPr>
            <w:tcW w:w="1169" w:type="dxa"/>
            <w:vAlign w:val="center"/>
          </w:tcPr>
          <w:p w:rsidR="00231EA4" w:rsidRPr="00AD595B" w:rsidP="00DA384D">
            <w:pPr>
              <w:keepNext/>
              <w:keepLines/>
              <w:jc w:val="center"/>
              <w:rPr>
                <w:b/>
                <w:bCs/>
              </w:rPr>
            </w:pPr>
            <w:r w:rsidRPr="00AD595B">
              <w:rPr>
                <w:b/>
                <w:bCs/>
              </w:rPr>
              <w:t>42 dBm</w:t>
            </w:r>
          </w:p>
          <w:p w:rsidR="00231EA4" w:rsidRPr="00AD595B" w:rsidP="00DA384D">
            <w:pPr>
              <w:keepNext/>
              <w:keepLines/>
              <w:jc w:val="center"/>
              <w:rPr>
                <w:b/>
                <w:bCs/>
              </w:rPr>
            </w:pPr>
            <w:r w:rsidRPr="00AD595B">
              <w:rPr>
                <w:b/>
                <w:bCs/>
              </w:rPr>
              <w:t>(16 W)</w:t>
            </w:r>
          </w:p>
        </w:tc>
      </w:tr>
      <w:tr w:rsidTr="003D4B64">
        <w:tblPrEx>
          <w:tblW w:w="9360" w:type="dxa"/>
          <w:tblCellSpacing w:w="7" w:type="dxa"/>
          <w:tblLayout w:type="fixed"/>
          <w:tblLook w:val="00A0"/>
        </w:tblPrEx>
        <w:trPr>
          <w:tblCellSpacing w:w="7" w:type="dxa"/>
        </w:trPr>
        <w:tc>
          <w:tcPr>
            <w:tcW w:w="1168" w:type="dxa"/>
            <w:vAlign w:val="center"/>
          </w:tcPr>
          <w:p w:rsidR="00231EA4" w:rsidRPr="00AD595B" w:rsidP="00DA384D">
            <w:pPr>
              <w:keepNext/>
              <w:keepLines/>
              <w:jc w:val="center"/>
            </w:pPr>
            <w:r w:rsidRPr="00AD595B">
              <w:t>Less than 3</w:t>
            </w:r>
          </w:p>
        </w:tc>
        <w:tc>
          <w:tcPr>
            <w:tcW w:w="1145" w:type="dxa"/>
            <w:tcMar>
              <w:top w:w="15" w:type="dxa"/>
              <w:left w:w="15" w:type="dxa"/>
              <w:bottom w:w="15" w:type="dxa"/>
              <w:right w:w="15" w:type="dxa"/>
            </w:tcMar>
            <w:vAlign w:val="center"/>
          </w:tcPr>
          <w:p w:rsidR="00231EA4" w:rsidRPr="00AD595B" w:rsidP="00DA384D">
            <w:pPr>
              <w:keepNext/>
              <w:keepLines/>
              <w:jc w:val="center"/>
            </w:pPr>
            <w:r w:rsidRPr="00AD595B">
              <w:t>0.1</w:t>
            </w:r>
          </w:p>
        </w:tc>
        <w:tc>
          <w:tcPr>
            <w:tcW w:w="1145" w:type="dxa"/>
            <w:tcMar>
              <w:top w:w="15" w:type="dxa"/>
              <w:left w:w="15" w:type="dxa"/>
              <w:bottom w:w="15" w:type="dxa"/>
              <w:right w:w="15" w:type="dxa"/>
            </w:tcMar>
            <w:vAlign w:val="center"/>
          </w:tcPr>
          <w:p w:rsidR="00231EA4" w:rsidRPr="00AD595B" w:rsidP="00DA384D">
            <w:pPr>
              <w:keepNext/>
              <w:keepLines/>
              <w:jc w:val="center"/>
            </w:pPr>
            <w:r w:rsidRPr="00AD595B">
              <w:t>0.1</w:t>
            </w:r>
          </w:p>
        </w:tc>
        <w:tc>
          <w:tcPr>
            <w:tcW w:w="1146" w:type="dxa"/>
            <w:tcMar>
              <w:top w:w="15" w:type="dxa"/>
              <w:left w:w="15" w:type="dxa"/>
              <w:bottom w:w="15" w:type="dxa"/>
              <w:right w:w="15" w:type="dxa"/>
            </w:tcMar>
            <w:vAlign w:val="center"/>
          </w:tcPr>
          <w:p w:rsidR="00231EA4" w:rsidRPr="00AD595B" w:rsidP="00DA384D">
            <w:pPr>
              <w:keepNext/>
              <w:keepLines/>
              <w:jc w:val="center"/>
            </w:pPr>
            <w:r w:rsidRPr="00AD595B">
              <w:t>0.1</w:t>
            </w:r>
          </w:p>
        </w:tc>
        <w:tc>
          <w:tcPr>
            <w:tcW w:w="1146" w:type="dxa"/>
            <w:tcMar>
              <w:top w:w="15" w:type="dxa"/>
              <w:left w:w="15" w:type="dxa"/>
              <w:bottom w:w="15" w:type="dxa"/>
              <w:right w:w="15" w:type="dxa"/>
            </w:tcMar>
            <w:vAlign w:val="center"/>
          </w:tcPr>
          <w:p w:rsidR="00231EA4" w:rsidRPr="00AD595B" w:rsidP="00DA384D">
            <w:pPr>
              <w:keepNext/>
              <w:keepLines/>
              <w:jc w:val="center"/>
            </w:pPr>
            <w:r w:rsidRPr="00AD595B">
              <w:t>0.1</w:t>
            </w:r>
          </w:p>
        </w:tc>
        <w:tc>
          <w:tcPr>
            <w:tcW w:w="1146" w:type="dxa"/>
            <w:tcMar>
              <w:top w:w="15" w:type="dxa"/>
              <w:left w:w="15" w:type="dxa"/>
              <w:bottom w:w="15" w:type="dxa"/>
              <w:right w:w="15" w:type="dxa"/>
            </w:tcMar>
            <w:vAlign w:val="center"/>
          </w:tcPr>
          <w:p w:rsidR="00231EA4" w:rsidRPr="00AD595B" w:rsidP="00DA384D">
            <w:pPr>
              <w:keepNext/>
              <w:keepLines/>
              <w:jc w:val="center"/>
            </w:pPr>
            <w:r w:rsidRPr="00AD595B">
              <w:t>0.2</w:t>
            </w:r>
          </w:p>
        </w:tc>
        <w:tc>
          <w:tcPr>
            <w:tcW w:w="1169" w:type="dxa"/>
            <w:vAlign w:val="center"/>
          </w:tcPr>
          <w:p w:rsidR="00231EA4" w:rsidRPr="00AD595B" w:rsidP="00DA384D">
            <w:pPr>
              <w:keepNext/>
              <w:keepLines/>
              <w:jc w:val="center"/>
            </w:pPr>
            <w:r w:rsidRPr="00AD595B">
              <w:t>0.2</w:t>
            </w:r>
          </w:p>
        </w:tc>
        <w:tc>
          <w:tcPr>
            <w:tcW w:w="1169" w:type="dxa"/>
            <w:vAlign w:val="center"/>
          </w:tcPr>
          <w:p w:rsidR="00231EA4" w:rsidRPr="00AD595B" w:rsidP="00DA384D">
            <w:pPr>
              <w:keepNext/>
              <w:keepLines/>
              <w:jc w:val="center"/>
            </w:pPr>
            <w:r w:rsidRPr="00AD595B">
              <w:t>0.3</w:t>
            </w:r>
          </w:p>
        </w:tc>
      </w:tr>
      <w:tr w:rsidTr="00DA384D">
        <w:tblPrEx>
          <w:tblW w:w="9360" w:type="dxa"/>
          <w:tblCellSpacing w:w="7" w:type="dxa"/>
          <w:tblLayout w:type="fixed"/>
          <w:tblLook w:val="00A0"/>
        </w:tblPrEx>
        <w:trPr>
          <w:tblCellSpacing w:w="7" w:type="dxa"/>
        </w:trPr>
        <w:tc>
          <w:tcPr>
            <w:tcW w:w="1168" w:type="dxa"/>
            <w:vAlign w:val="center"/>
          </w:tcPr>
          <w:p w:rsidR="00231EA4" w:rsidRPr="00AD595B" w:rsidP="00DA384D">
            <w:pPr>
              <w:keepNext/>
              <w:keepLines/>
              <w:jc w:val="center"/>
            </w:pPr>
            <w:r w:rsidRPr="00AD595B">
              <w:t>3 - 10</w:t>
            </w:r>
          </w:p>
        </w:tc>
        <w:tc>
          <w:tcPr>
            <w:tcW w:w="1145" w:type="dxa"/>
            <w:tcMar>
              <w:top w:w="15" w:type="dxa"/>
              <w:left w:w="15" w:type="dxa"/>
              <w:bottom w:w="15" w:type="dxa"/>
              <w:right w:w="15" w:type="dxa"/>
            </w:tcMar>
            <w:vAlign w:val="center"/>
          </w:tcPr>
          <w:p w:rsidR="00231EA4" w:rsidRPr="00AD595B" w:rsidP="00DA384D">
            <w:pPr>
              <w:keepNext/>
              <w:keepLines/>
              <w:jc w:val="center"/>
            </w:pPr>
            <w:r w:rsidRPr="00AD595B">
              <w:t>0.1</w:t>
            </w:r>
          </w:p>
        </w:tc>
        <w:tc>
          <w:tcPr>
            <w:tcW w:w="1145" w:type="dxa"/>
            <w:tcMar>
              <w:top w:w="15" w:type="dxa"/>
              <w:left w:w="15" w:type="dxa"/>
              <w:bottom w:w="15" w:type="dxa"/>
              <w:right w:w="15" w:type="dxa"/>
            </w:tcMar>
            <w:vAlign w:val="center"/>
          </w:tcPr>
          <w:p w:rsidR="00231EA4" w:rsidRPr="00AD595B" w:rsidP="00DA384D">
            <w:pPr>
              <w:keepNext/>
              <w:keepLines/>
              <w:jc w:val="center"/>
            </w:pPr>
            <w:r w:rsidRPr="00AD595B">
              <w:t>0.2</w:t>
            </w:r>
          </w:p>
        </w:tc>
        <w:tc>
          <w:tcPr>
            <w:tcW w:w="1146" w:type="dxa"/>
            <w:tcMar>
              <w:top w:w="15" w:type="dxa"/>
              <w:left w:w="15" w:type="dxa"/>
              <w:bottom w:w="15" w:type="dxa"/>
              <w:right w:w="15" w:type="dxa"/>
            </w:tcMar>
            <w:vAlign w:val="center"/>
          </w:tcPr>
          <w:p w:rsidR="00231EA4" w:rsidRPr="00AD595B" w:rsidP="00DA384D">
            <w:pPr>
              <w:keepNext/>
              <w:keepLines/>
              <w:jc w:val="center"/>
            </w:pPr>
            <w:r w:rsidRPr="00AD595B">
              <w:t>0.2</w:t>
            </w:r>
          </w:p>
        </w:tc>
        <w:tc>
          <w:tcPr>
            <w:tcW w:w="1146" w:type="dxa"/>
            <w:tcMar>
              <w:top w:w="15" w:type="dxa"/>
              <w:left w:w="15" w:type="dxa"/>
              <w:bottom w:w="15" w:type="dxa"/>
              <w:right w:w="15" w:type="dxa"/>
            </w:tcMar>
            <w:vAlign w:val="center"/>
          </w:tcPr>
          <w:p w:rsidR="00231EA4" w:rsidRPr="00AD595B" w:rsidP="00DA384D">
            <w:pPr>
              <w:keepNext/>
              <w:keepLines/>
              <w:jc w:val="center"/>
            </w:pPr>
            <w:r w:rsidRPr="00AD595B">
              <w:t>0.2</w:t>
            </w:r>
          </w:p>
        </w:tc>
        <w:tc>
          <w:tcPr>
            <w:tcW w:w="1146" w:type="dxa"/>
            <w:tcMar>
              <w:top w:w="15" w:type="dxa"/>
              <w:left w:w="15" w:type="dxa"/>
              <w:bottom w:w="15" w:type="dxa"/>
              <w:right w:w="15" w:type="dxa"/>
            </w:tcMar>
            <w:vAlign w:val="center"/>
          </w:tcPr>
          <w:p w:rsidR="00231EA4" w:rsidRPr="00AD595B" w:rsidP="00DA384D">
            <w:pPr>
              <w:keepNext/>
              <w:keepLines/>
              <w:jc w:val="center"/>
            </w:pPr>
            <w:r w:rsidRPr="00AD595B">
              <w:t>0.3</w:t>
            </w:r>
          </w:p>
        </w:tc>
        <w:tc>
          <w:tcPr>
            <w:tcW w:w="1169" w:type="dxa"/>
          </w:tcPr>
          <w:p w:rsidR="00231EA4" w:rsidRPr="00AD595B" w:rsidP="00DA384D">
            <w:pPr>
              <w:keepNext/>
              <w:keepLines/>
              <w:jc w:val="center"/>
            </w:pPr>
            <w:r w:rsidRPr="00AD595B">
              <w:t>0.4</w:t>
            </w:r>
          </w:p>
        </w:tc>
        <w:tc>
          <w:tcPr>
            <w:tcW w:w="1169" w:type="dxa"/>
          </w:tcPr>
          <w:p w:rsidR="00231EA4" w:rsidRPr="00AD595B" w:rsidP="00DA384D">
            <w:pPr>
              <w:keepNext/>
              <w:keepLines/>
              <w:jc w:val="center"/>
            </w:pPr>
            <w:r w:rsidRPr="00AD595B">
              <w:t>0.5</w:t>
            </w:r>
          </w:p>
        </w:tc>
      </w:tr>
      <w:tr w:rsidTr="00DA384D">
        <w:tblPrEx>
          <w:tblW w:w="9360" w:type="dxa"/>
          <w:tblCellSpacing w:w="7" w:type="dxa"/>
          <w:tblLayout w:type="fixed"/>
          <w:tblLook w:val="00A0"/>
        </w:tblPrEx>
        <w:trPr>
          <w:tblCellSpacing w:w="7" w:type="dxa"/>
        </w:trPr>
        <w:tc>
          <w:tcPr>
            <w:tcW w:w="1168" w:type="dxa"/>
            <w:vAlign w:val="center"/>
          </w:tcPr>
          <w:p w:rsidR="00231EA4" w:rsidRPr="00AD595B" w:rsidP="00DA384D">
            <w:pPr>
              <w:keepNext/>
              <w:keepLines/>
              <w:jc w:val="center"/>
            </w:pPr>
            <w:r w:rsidRPr="00AD595B">
              <w:t>10 - 30</w:t>
            </w:r>
          </w:p>
        </w:tc>
        <w:tc>
          <w:tcPr>
            <w:tcW w:w="1145" w:type="dxa"/>
            <w:tcMar>
              <w:top w:w="15" w:type="dxa"/>
              <w:left w:w="15" w:type="dxa"/>
              <w:bottom w:w="15" w:type="dxa"/>
              <w:right w:w="15" w:type="dxa"/>
            </w:tcMar>
            <w:vAlign w:val="center"/>
          </w:tcPr>
          <w:p w:rsidR="00231EA4" w:rsidRPr="00AD595B" w:rsidP="00DA384D">
            <w:pPr>
              <w:keepNext/>
              <w:keepLines/>
              <w:jc w:val="center"/>
            </w:pPr>
            <w:r w:rsidRPr="00AD595B">
              <w:t>0.2</w:t>
            </w:r>
          </w:p>
        </w:tc>
        <w:tc>
          <w:tcPr>
            <w:tcW w:w="1145" w:type="dxa"/>
            <w:tcMar>
              <w:top w:w="15" w:type="dxa"/>
              <w:left w:w="15" w:type="dxa"/>
              <w:bottom w:w="15" w:type="dxa"/>
              <w:right w:w="15" w:type="dxa"/>
            </w:tcMar>
            <w:vAlign w:val="center"/>
          </w:tcPr>
          <w:p w:rsidR="00231EA4" w:rsidRPr="00AD595B" w:rsidP="00DA384D">
            <w:pPr>
              <w:keepNext/>
              <w:keepLines/>
              <w:jc w:val="center"/>
            </w:pPr>
            <w:r w:rsidRPr="00AD595B">
              <w:t>0.3</w:t>
            </w:r>
          </w:p>
        </w:tc>
        <w:tc>
          <w:tcPr>
            <w:tcW w:w="1146" w:type="dxa"/>
            <w:tcMar>
              <w:top w:w="15" w:type="dxa"/>
              <w:left w:w="15" w:type="dxa"/>
              <w:bottom w:w="15" w:type="dxa"/>
              <w:right w:w="15" w:type="dxa"/>
            </w:tcMar>
            <w:vAlign w:val="center"/>
          </w:tcPr>
          <w:p w:rsidR="00231EA4" w:rsidRPr="00AD595B" w:rsidP="00DA384D">
            <w:pPr>
              <w:keepNext/>
              <w:keepLines/>
              <w:jc w:val="center"/>
            </w:pPr>
            <w:r w:rsidRPr="00AD595B">
              <w:t>0.3</w:t>
            </w:r>
          </w:p>
        </w:tc>
        <w:tc>
          <w:tcPr>
            <w:tcW w:w="1146" w:type="dxa"/>
            <w:tcMar>
              <w:top w:w="15" w:type="dxa"/>
              <w:left w:w="15" w:type="dxa"/>
              <w:bottom w:w="15" w:type="dxa"/>
              <w:right w:w="15" w:type="dxa"/>
            </w:tcMar>
            <w:vAlign w:val="center"/>
          </w:tcPr>
          <w:p w:rsidR="00231EA4" w:rsidRPr="00AD595B" w:rsidP="00DA384D">
            <w:pPr>
              <w:keepNext/>
              <w:keepLines/>
              <w:jc w:val="center"/>
            </w:pPr>
            <w:r w:rsidRPr="00AD595B">
              <w:t>0.4</w:t>
            </w:r>
          </w:p>
        </w:tc>
        <w:tc>
          <w:tcPr>
            <w:tcW w:w="1146" w:type="dxa"/>
            <w:tcMar>
              <w:top w:w="15" w:type="dxa"/>
              <w:left w:w="15" w:type="dxa"/>
              <w:bottom w:w="15" w:type="dxa"/>
              <w:right w:w="15" w:type="dxa"/>
            </w:tcMar>
            <w:vAlign w:val="center"/>
          </w:tcPr>
          <w:p w:rsidR="00231EA4" w:rsidRPr="00AD595B" w:rsidP="00DA384D">
            <w:pPr>
              <w:keepNext/>
              <w:keepLines/>
              <w:jc w:val="center"/>
            </w:pPr>
            <w:r w:rsidRPr="00AD595B">
              <w:t>0.5</w:t>
            </w:r>
          </w:p>
        </w:tc>
        <w:tc>
          <w:tcPr>
            <w:tcW w:w="1169" w:type="dxa"/>
          </w:tcPr>
          <w:p w:rsidR="00231EA4" w:rsidRPr="00AD595B" w:rsidP="00DA384D">
            <w:pPr>
              <w:keepNext/>
              <w:keepLines/>
              <w:jc w:val="center"/>
            </w:pPr>
            <w:r w:rsidRPr="00AD595B">
              <w:t>0.6</w:t>
            </w:r>
          </w:p>
        </w:tc>
        <w:tc>
          <w:tcPr>
            <w:tcW w:w="1169" w:type="dxa"/>
          </w:tcPr>
          <w:p w:rsidR="00231EA4" w:rsidRPr="00AD595B" w:rsidP="00DA384D">
            <w:pPr>
              <w:keepNext/>
              <w:keepLines/>
              <w:jc w:val="center"/>
            </w:pPr>
            <w:r w:rsidRPr="00AD595B">
              <w:t>0.7</w:t>
            </w:r>
          </w:p>
        </w:tc>
      </w:tr>
      <w:tr w:rsidTr="00DA384D">
        <w:tblPrEx>
          <w:tblW w:w="9360" w:type="dxa"/>
          <w:tblCellSpacing w:w="7" w:type="dxa"/>
          <w:tblLayout w:type="fixed"/>
          <w:tblLook w:val="00A0"/>
        </w:tblPrEx>
        <w:trPr>
          <w:tblCellSpacing w:w="7" w:type="dxa"/>
        </w:trPr>
        <w:tc>
          <w:tcPr>
            <w:tcW w:w="1168" w:type="dxa"/>
            <w:vAlign w:val="center"/>
          </w:tcPr>
          <w:p w:rsidR="00231EA4" w:rsidRPr="00AD595B" w:rsidP="00DA384D">
            <w:pPr>
              <w:keepNext/>
              <w:keepLines/>
              <w:jc w:val="center"/>
            </w:pPr>
            <w:r w:rsidRPr="00AD595B">
              <w:t>30 - 50</w:t>
            </w:r>
          </w:p>
        </w:tc>
        <w:tc>
          <w:tcPr>
            <w:tcW w:w="1145" w:type="dxa"/>
            <w:tcMar>
              <w:top w:w="15" w:type="dxa"/>
              <w:left w:w="15" w:type="dxa"/>
              <w:bottom w:w="15" w:type="dxa"/>
              <w:right w:w="15" w:type="dxa"/>
            </w:tcMar>
            <w:vAlign w:val="center"/>
          </w:tcPr>
          <w:p w:rsidR="00231EA4" w:rsidRPr="00AD595B" w:rsidP="00DA384D">
            <w:pPr>
              <w:keepNext/>
              <w:keepLines/>
              <w:jc w:val="center"/>
            </w:pPr>
            <w:r w:rsidRPr="00AD595B">
              <w:t>0.3</w:t>
            </w:r>
          </w:p>
        </w:tc>
        <w:tc>
          <w:tcPr>
            <w:tcW w:w="1145" w:type="dxa"/>
            <w:tcMar>
              <w:top w:w="15" w:type="dxa"/>
              <w:left w:w="15" w:type="dxa"/>
              <w:bottom w:w="15" w:type="dxa"/>
              <w:right w:w="15" w:type="dxa"/>
            </w:tcMar>
            <w:vAlign w:val="center"/>
          </w:tcPr>
          <w:p w:rsidR="00231EA4" w:rsidRPr="00AD595B" w:rsidP="00DA384D">
            <w:pPr>
              <w:keepNext/>
              <w:keepLines/>
              <w:jc w:val="center"/>
            </w:pPr>
            <w:r w:rsidRPr="00AD595B">
              <w:t>0.3</w:t>
            </w:r>
          </w:p>
        </w:tc>
        <w:tc>
          <w:tcPr>
            <w:tcW w:w="1146" w:type="dxa"/>
            <w:tcMar>
              <w:top w:w="15" w:type="dxa"/>
              <w:left w:w="15" w:type="dxa"/>
              <w:bottom w:w="15" w:type="dxa"/>
              <w:right w:w="15" w:type="dxa"/>
            </w:tcMar>
            <w:vAlign w:val="center"/>
          </w:tcPr>
          <w:p w:rsidR="00231EA4" w:rsidRPr="00AD595B" w:rsidP="00DA384D">
            <w:pPr>
              <w:keepNext/>
              <w:keepLines/>
              <w:jc w:val="center"/>
            </w:pPr>
            <w:r w:rsidRPr="00AD595B">
              <w:t>0.4</w:t>
            </w:r>
          </w:p>
        </w:tc>
        <w:tc>
          <w:tcPr>
            <w:tcW w:w="1146" w:type="dxa"/>
            <w:tcMar>
              <w:top w:w="15" w:type="dxa"/>
              <w:left w:w="15" w:type="dxa"/>
              <w:bottom w:w="15" w:type="dxa"/>
              <w:right w:w="15" w:type="dxa"/>
            </w:tcMar>
            <w:vAlign w:val="center"/>
          </w:tcPr>
          <w:p w:rsidR="00231EA4" w:rsidRPr="00AD595B" w:rsidP="00DA384D">
            <w:pPr>
              <w:keepNext/>
              <w:keepLines/>
              <w:jc w:val="center"/>
            </w:pPr>
            <w:r w:rsidRPr="00AD595B">
              <w:t>0.5</w:t>
            </w:r>
          </w:p>
        </w:tc>
        <w:tc>
          <w:tcPr>
            <w:tcW w:w="1146" w:type="dxa"/>
            <w:tcMar>
              <w:top w:w="15" w:type="dxa"/>
              <w:left w:w="15" w:type="dxa"/>
              <w:bottom w:w="15" w:type="dxa"/>
              <w:right w:w="15" w:type="dxa"/>
            </w:tcMar>
            <w:vAlign w:val="center"/>
          </w:tcPr>
          <w:p w:rsidR="00231EA4" w:rsidRPr="00AD595B" w:rsidP="00DA384D">
            <w:pPr>
              <w:keepNext/>
              <w:keepLines/>
              <w:jc w:val="center"/>
            </w:pPr>
            <w:r w:rsidRPr="00AD595B">
              <w:t>0.7</w:t>
            </w:r>
          </w:p>
        </w:tc>
        <w:tc>
          <w:tcPr>
            <w:tcW w:w="1169" w:type="dxa"/>
          </w:tcPr>
          <w:p w:rsidR="00231EA4" w:rsidRPr="00AD595B" w:rsidP="00DA384D">
            <w:pPr>
              <w:keepNext/>
              <w:keepLines/>
              <w:jc w:val="center"/>
            </w:pPr>
            <w:r w:rsidRPr="00AD595B">
              <w:t>0.8</w:t>
            </w:r>
          </w:p>
        </w:tc>
        <w:tc>
          <w:tcPr>
            <w:tcW w:w="1169" w:type="dxa"/>
          </w:tcPr>
          <w:p w:rsidR="00231EA4" w:rsidRPr="00AD595B" w:rsidP="00DA384D">
            <w:pPr>
              <w:keepNext/>
              <w:keepLines/>
              <w:jc w:val="center"/>
            </w:pPr>
            <w:r w:rsidRPr="00AD595B">
              <w:t>1.0</w:t>
            </w:r>
          </w:p>
        </w:tc>
      </w:tr>
      <w:tr w:rsidTr="00DA384D">
        <w:tblPrEx>
          <w:tblW w:w="9360" w:type="dxa"/>
          <w:tblCellSpacing w:w="7" w:type="dxa"/>
          <w:tblLayout w:type="fixed"/>
          <w:tblLook w:val="00A0"/>
        </w:tblPrEx>
        <w:trPr>
          <w:tblCellSpacing w:w="7" w:type="dxa"/>
        </w:trPr>
        <w:tc>
          <w:tcPr>
            <w:tcW w:w="1168" w:type="dxa"/>
            <w:vAlign w:val="center"/>
          </w:tcPr>
          <w:p w:rsidR="00231EA4" w:rsidRPr="00AD595B" w:rsidP="00DA384D">
            <w:pPr>
              <w:keepNext/>
              <w:keepLines/>
              <w:jc w:val="center"/>
            </w:pPr>
            <w:r w:rsidRPr="00AD595B">
              <w:t>50 - 75</w:t>
            </w:r>
          </w:p>
        </w:tc>
        <w:tc>
          <w:tcPr>
            <w:tcW w:w="1145" w:type="dxa"/>
            <w:tcMar>
              <w:top w:w="15" w:type="dxa"/>
              <w:left w:w="15" w:type="dxa"/>
              <w:bottom w:w="15" w:type="dxa"/>
              <w:right w:w="15" w:type="dxa"/>
            </w:tcMar>
            <w:vAlign w:val="center"/>
          </w:tcPr>
          <w:p w:rsidR="00231EA4" w:rsidRPr="00AD595B" w:rsidP="00DA384D">
            <w:pPr>
              <w:keepNext/>
              <w:keepLines/>
              <w:jc w:val="center"/>
            </w:pPr>
            <w:r w:rsidRPr="00AD595B">
              <w:t>0.3</w:t>
            </w:r>
          </w:p>
        </w:tc>
        <w:tc>
          <w:tcPr>
            <w:tcW w:w="1145" w:type="dxa"/>
            <w:tcMar>
              <w:top w:w="15" w:type="dxa"/>
              <w:left w:w="15" w:type="dxa"/>
              <w:bottom w:w="15" w:type="dxa"/>
              <w:right w:w="15" w:type="dxa"/>
            </w:tcMar>
            <w:vAlign w:val="center"/>
          </w:tcPr>
          <w:p w:rsidR="00231EA4" w:rsidRPr="00AD595B" w:rsidP="00DA384D">
            <w:pPr>
              <w:keepNext/>
              <w:keepLines/>
              <w:jc w:val="center"/>
            </w:pPr>
            <w:r w:rsidRPr="00AD595B">
              <w:t>0.4</w:t>
            </w:r>
          </w:p>
        </w:tc>
        <w:tc>
          <w:tcPr>
            <w:tcW w:w="1146" w:type="dxa"/>
            <w:tcMar>
              <w:top w:w="15" w:type="dxa"/>
              <w:left w:w="15" w:type="dxa"/>
              <w:bottom w:w="15" w:type="dxa"/>
              <w:right w:w="15" w:type="dxa"/>
            </w:tcMar>
            <w:vAlign w:val="center"/>
          </w:tcPr>
          <w:p w:rsidR="00231EA4" w:rsidRPr="00AD595B" w:rsidP="00DA384D">
            <w:pPr>
              <w:keepNext/>
              <w:keepLines/>
              <w:jc w:val="center"/>
            </w:pPr>
            <w:r w:rsidRPr="00AD595B">
              <w:t>0.5</w:t>
            </w:r>
          </w:p>
        </w:tc>
        <w:tc>
          <w:tcPr>
            <w:tcW w:w="1146" w:type="dxa"/>
            <w:tcMar>
              <w:top w:w="15" w:type="dxa"/>
              <w:left w:w="15" w:type="dxa"/>
              <w:bottom w:w="15" w:type="dxa"/>
              <w:right w:w="15" w:type="dxa"/>
            </w:tcMar>
            <w:vAlign w:val="center"/>
          </w:tcPr>
          <w:p w:rsidR="00231EA4" w:rsidRPr="00AD595B" w:rsidP="00DA384D">
            <w:pPr>
              <w:keepNext/>
              <w:keepLines/>
              <w:jc w:val="center"/>
            </w:pPr>
            <w:r w:rsidRPr="00AD595B">
              <w:t>0.7</w:t>
            </w:r>
          </w:p>
        </w:tc>
        <w:tc>
          <w:tcPr>
            <w:tcW w:w="1146" w:type="dxa"/>
            <w:tcMar>
              <w:top w:w="15" w:type="dxa"/>
              <w:left w:w="15" w:type="dxa"/>
              <w:bottom w:w="15" w:type="dxa"/>
              <w:right w:w="15" w:type="dxa"/>
            </w:tcMar>
            <w:vAlign w:val="center"/>
          </w:tcPr>
          <w:p w:rsidR="00231EA4" w:rsidRPr="00AD595B" w:rsidP="00DA384D">
            <w:pPr>
              <w:keepNext/>
              <w:keepLines/>
              <w:jc w:val="center"/>
            </w:pPr>
            <w:r w:rsidRPr="00AD595B">
              <w:t>0.8</w:t>
            </w:r>
          </w:p>
        </w:tc>
        <w:tc>
          <w:tcPr>
            <w:tcW w:w="1169" w:type="dxa"/>
          </w:tcPr>
          <w:p w:rsidR="00231EA4" w:rsidRPr="00AD595B" w:rsidP="00DA384D">
            <w:pPr>
              <w:keepNext/>
              <w:keepLines/>
              <w:jc w:val="center"/>
            </w:pPr>
            <w:r w:rsidRPr="00AD595B">
              <w:t>0.9</w:t>
            </w:r>
          </w:p>
        </w:tc>
        <w:tc>
          <w:tcPr>
            <w:tcW w:w="1169" w:type="dxa"/>
          </w:tcPr>
          <w:p w:rsidR="00231EA4" w:rsidRPr="00AD595B" w:rsidP="00DA384D">
            <w:pPr>
              <w:keepNext/>
              <w:keepLines/>
              <w:jc w:val="center"/>
            </w:pPr>
            <w:r w:rsidRPr="00AD595B">
              <w:t>1.0</w:t>
            </w:r>
          </w:p>
        </w:tc>
      </w:tr>
      <w:tr w:rsidTr="00DA384D">
        <w:tblPrEx>
          <w:tblW w:w="9360" w:type="dxa"/>
          <w:tblCellSpacing w:w="7" w:type="dxa"/>
          <w:tblLayout w:type="fixed"/>
          <w:tblLook w:val="00A0"/>
        </w:tblPrEx>
        <w:trPr>
          <w:tblCellSpacing w:w="7" w:type="dxa"/>
        </w:trPr>
        <w:tc>
          <w:tcPr>
            <w:tcW w:w="1168" w:type="dxa"/>
            <w:vAlign w:val="center"/>
          </w:tcPr>
          <w:p w:rsidR="00231EA4" w:rsidRPr="00AD595B" w:rsidP="00DA384D">
            <w:pPr>
              <w:jc w:val="center"/>
            </w:pPr>
            <w:r w:rsidRPr="00AD595B">
              <w:t>75 - 100</w:t>
            </w:r>
          </w:p>
        </w:tc>
        <w:tc>
          <w:tcPr>
            <w:tcW w:w="1145" w:type="dxa"/>
            <w:tcMar>
              <w:top w:w="15" w:type="dxa"/>
              <w:left w:w="15" w:type="dxa"/>
              <w:bottom w:w="15" w:type="dxa"/>
              <w:right w:w="15" w:type="dxa"/>
            </w:tcMar>
            <w:vAlign w:val="center"/>
          </w:tcPr>
          <w:p w:rsidR="00231EA4" w:rsidRPr="00AD595B" w:rsidP="00DA384D">
            <w:pPr>
              <w:jc w:val="center"/>
            </w:pPr>
            <w:r w:rsidRPr="00AD595B">
              <w:t>0.4</w:t>
            </w:r>
          </w:p>
        </w:tc>
        <w:tc>
          <w:tcPr>
            <w:tcW w:w="1145" w:type="dxa"/>
            <w:tcMar>
              <w:top w:w="15" w:type="dxa"/>
              <w:left w:w="15" w:type="dxa"/>
              <w:bottom w:w="15" w:type="dxa"/>
              <w:right w:w="15" w:type="dxa"/>
            </w:tcMar>
            <w:vAlign w:val="center"/>
          </w:tcPr>
          <w:p w:rsidR="00231EA4" w:rsidRPr="00AD595B" w:rsidP="00DA384D">
            <w:pPr>
              <w:jc w:val="center"/>
            </w:pPr>
            <w:r w:rsidRPr="00AD595B">
              <w:t>0.5</w:t>
            </w:r>
          </w:p>
        </w:tc>
        <w:tc>
          <w:tcPr>
            <w:tcW w:w="1146" w:type="dxa"/>
            <w:tcMar>
              <w:top w:w="15" w:type="dxa"/>
              <w:left w:w="15" w:type="dxa"/>
              <w:bottom w:w="15" w:type="dxa"/>
              <w:right w:w="15" w:type="dxa"/>
            </w:tcMar>
            <w:vAlign w:val="center"/>
          </w:tcPr>
          <w:p w:rsidR="00231EA4" w:rsidRPr="00AD595B" w:rsidP="00DA384D">
            <w:pPr>
              <w:jc w:val="center"/>
            </w:pPr>
            <w:r w:rsidRPr="00AD595B">
              <w:t>0.6</w:t>
            </w:r>
          </w:p>
        </w:tc>
        <w:tc>
          <w:tcPr>
            <w:tcW w:w="1146" w:type="dxa"/>
            <w:tcMar>
              <w:top w:w="15" w:type="dxa"/>
              <w:left w:w="15" w:type="dxa"/>
              <w:bottom w:w="15" w:type="dxa"/>
              <w:right w:w="15" w:type="dxa"/>
            </w:tcMar>
            <w:vAlign w:val="center"/>
          </w:tcPr>
          <w:p w:rsidR="00231EA4" w:rsidRPr="00AD595B" w:rsidP="00DA384D">
            <w:pPr>
              <w:jc w:val="center"/>
            </w:pPr>
            <w:r w:rsidRPr="00AD595B">
              <w:t>0.8</w:t>
            </w:r>
          </w:p>
        </w:tc>
        <w:tc>
          <w:tcPr>
            <w:tcW w:w="1146" w:type="dxa"/>
            <w:tcMar>
              <w:top w:w="15" w:type="dxa"/>
              <w:left w:w="15" w:type="dxa"/>
              <w:bottom w:w="15" w:type="dxa"/>
              <w:right w:w="15" w:type="dxa"/>
            </w:tcMar>
            <w:vAlign w:val="center"/>
          </w:tcPr>
          <w:p w:rsidR="00231EA4" w:rsidRPr="00AD595B" w:rsidP="00DA384D">
            <w:pPr>
              <w:jc w:val="center"/>
            </w:pPr>
            <w:r w:rsidRPr="00AD595B">
              <w:t>1.0</w:t>
            </w:r>
          </w:p>
        </w:tc>
        <w:tc>
          <w:tcPr>
            <w:tcW w:w="1169" w:type="dxa"/>
          </w:tcPr>
          <w:p w:rsidR="00231EA4" w:rsidRPr="00AD595B" w:rsidP="00DA384D">
            <w:pPr>
              <w:jc w:val="center"/>
            </w:pPr>
            <w:r w:rsidRPr="00AD595B">
              <w:t>1.1</w:t>
            </w:r>
          </w:p>
        </w:tc>
        <w:tc>
          <w:tcPr>
            <w:tcW w:w="1169" w:type="dxa"/>
          </w:tcPr>
          <w:p w:rsidR="00231EA4" w:rsidRPr="00AD595B" w:rsidP="00DA384D">
            <w:pPr>
              <w:jc w:val="center"/>
            </w:pPr>
            <w:r w:rsidRPr="00AD595B">
              <w:t>1.3</w:t>
            </w:r>
          </w:p>
        </w:tc>
      </w:tr>
      <w:tr w:rsidTr="00DA384D">
        <w:tblPrEx>
          <w:tblW w:w="9360" w:type="dxa"/>
          <w:tblCellSpacing w:w="7" w:type="dxa"/>
          <w:tblLayout w:type="fixed"/>
          <w:tblLook w:val="00A0"/>
        </w:tblPrEx>
        <w:trPr>
          <w:tblCellSpacing w:w="7" w:type="dxa"/>
        </w:trPr>
        <w:tc>
          <w:tcPr>
            <w:tcW w:w="1168" w:type="dxa"/>
            <w:vAlign w:val="center"/>
          </w:tcPr>
          <w:p w:rsidR="00231EA4" w:rsidRPr="00AD595B" w:rsidP="00DA384D">
            <w:pPr>
              <w:jc w:val="center"/>
            </w:pPr>
            <w:r w:rsidRPr="00AD595B">
              <w:t>100 - 150</w:t>
            </w:r>
          </w:p>
        </w:tc>
        <w:tc>
          <w:tcPr>
            <w:tcW w:w="1145" w:type="dxa"/>
            <w:tcMar>
              <w:top w:w="15" w:type="dxa"/>
              <w:left w:w="15" w:type="dxa"/>
              <w:bottom w:w="15" w:type="dxa"/>
              <w:right w:w="15" w:type="dxa"/>
            </w:tcMar>
            <w:vAlign w:val="center"/>
          </w:tcPr>
          <w:p w:rsidR="00231EA4" w:rsidRPr="00AD595B" w:rsidP="00DA384D">
            <w:pPr>
              <w:jc w:val="center"/>
            </w:pPr>
            <w:r w:rsidRPr="00AD595B">
              <w:t>0.5</w:t>
            </w:r>
          </w:p>
        </w:tc>
        <w:tc>
          <w:tcPr>
            <w:tcW w:w="1145" w:type="dxa"/>
            <w:tcMar>
              <w:top w:w="15" w:type="dxa"/>
              <w:left w:w="15" w:type="dxa"/>
              <w:bottom w:w="15" w:type="dxa"/>
              <w:right w:w="15" w:type="dxa"/>
            </w:tcMar>
            <w:vAlign w:val="center"/>
          </w:tcPr>
          <w:p w:rsidR="00231EA4" w:rsidRPr="00AD595B" w:rsidP="00DA384D">
            <w:pPr>
              <w:jc w:val="center"/>
            </w:pPr>
            <w:r w:rsidRPr="00AD595B">
              <w:t>0.6</w:t>
            </w:r>
          </w:p>
        </w:tc>
        <w:tc>
          <w:tcPr>
            <w:tcW w:w="1146" w:type="dxa"/>
            <w:tcMar>
              <w:top w:w="15" w:type="dxa"/>
              <w:left w:w="15" w:type="dxa"/>
              <w:bottom w:w="15" w:type="dxa"/>
              <w:right w:w="15" w:type="dxa"/>
            </w:tcMar>
            <w:vAlign w:val="center"/>
          </w:tcPr>
          <w:p w:rsidR="00231EA4" w:rsidRPr="00AD595B" w:rsidP="00DA384D">
            <w:pPr>
              <w:jc w:val="center"/>
            </w:pPr>
            <w:r w:rsidRPr="00AD595B">
              <w:t>0.8</w:t>
            </w:r>
          </w:p>
        </w:tc>
        <w:tc>
          <w:tcPr>
            <w:tcW w:w="1146" w:type="dxa"/>
            <w:tcMar>
              <w:top w:w="15" w:type="dxa"/>
              <w:left w:w="15" w:type="dxa"/>
              <w:bottom w:w="15" w:type="dxa"/>
              <w:right w:w="15" w:type="dxa"/>
            </w:tcMar>
            <w:vAlign w:val="center"/>
          </w:tcPr>
          <w:p w:rsidR="00231EA4" w:rsidRPr="00AD595B" w:rsidP="00DA384D">
            <w:pPr>
              <w:jc w:val="center"/>
            </w:pPr>
            <w:r w:rsidRPr="00AD595B">
              <w:t>0.9</w:t>
            </w:r>
          </w:p>
        </w:tc>
        <w:tc>
          <w:tcPr>
            <w:tcW w:w="1146" w:type="dxa"/>
            <w:tcMar>
              <w:top w:w="15" w:type="dxa"/>
              <w:left w:w="15" w:type="dxa"/>
              <w:bottom w:w="15" w:type="dxa"/>
              <w:right w:w="15" w:type="dxa"/>
            </w:tcMar>
            <w:vAlign w:val="center"/>
          </w:tcPr>
          <w:p w:rsidR="00231EA4" w:rsidRPr="00AD595B" w:rsidP="00DA384D">
            <w:pPr>
              <w:jc w:val="center"/>
            </w:pPr>
            <w:r w:rsidRPr="00AD595B">
              <w:t>1.2</w:t>
            </w:r>
          </w:p>
        </w:tc>
        <w:tc>
          <w:tcPr>
            <w:tcW w:w="1169" w:type="dxa"/>
          </w:tcPr>
          <w:p w:rsidR="00231EA4" w:rsidRPr="00AD595B" w:rsidP="00DA384D">
            <w:pPr>
              <w:jc w:val="center"/>
            </w:pPr>
            <w:r w:rsidRPr="00AD595B">
              <w:t>1.3</w:t>
            </w:r>
          </w:p>
        </w:tc>
        <w:tc>
          <w:tcPr>
            <w:tcW w:w="1169" w:type="dxa"/>
          </w:tcPr>
          <w:p w:rsidR="00231EA4" w:rsidRPr="00AD595B" w:rsidP="00DA384D">
            <w:pPr>
              <w:jc w:val="center"/>
            </w:pPr>
            <w:r w:rsidRPr="00AD595B">
              <w:t>1.5</w:t>
            </w:r>
          </w:p>
        </w:tc>
      </w:tr>
      <w:tr w:rsidTr="00DA384D">
        <w:tblPrEx>
          <w:tblW w:w="9360" w:type="dxa"/>
          <w:tblCellSpacing w:w="7" w:type="dxa"/>
          <w:tblLayout w:type="fixed"/>
          <w:tblLook w:val="00A0"/>
        </w:tblPrEx>
        <w:trPr>
          <w:tblCellSpacing w:w="7" w:type="dxa"/>
        </w:trPr>
        <w:tc>
          <w:tcPr>
            <w:tcW w:w="1168" w:type="dxa"/>
            <w:vAlign w:val="center"/>
          </w:tcPr>
          <w:p w:rsidR="00231EA4" w:rsidRPr="00AD595B" w:rsidP="00DA384D">
            <w:pPr>
              <w:jc w:val="center"/>
            </w:pPr>
            <w:r w:rsidRPr="00AD595B">
              <w:t>150 - 200</w:t>
            </w:r>
          </w:p>
        </w:tc>
        <w:tc>
          <w:tcPr>
            <w:tcW w:w="1145" w:type="dxa"/>
            <w:tcMar>
              <w:top w:w="15" w:type="dxa"/>
              <w:left w:w="15" w:type="dxa"/>
              <w:bottom w:w="15" w:type="dxa"/>
              <w:right w:w="15" w:type="dxa"/>
            </w:tcMar>
            <w:vAlign w:val="center"/>
          </w:tcPr>
          <w:p w:rsidR="00231EA4" w:rsidRPr="00AD595B" w:rsidP="00DA384D">
            <w:pPr>
              <w:jc w:val="center"/>
            </w:pPr>
            <w:r w:rsidRPr="00AD595B">
              <w:t>0.5</w:t>
            </w:r>
          </w:p>
        </w:tc>
        <w:tc>
          <w:tcPr>
            <w:tcW w:w="1145" w:type="dxa"/>
            <w:tcMar>
              <w:top w:w="15" w:type="dxa"/>
              <w:left w:w="15" w:type="dxa"/>
              <w:bottom w:w="15" w:type="dxa"/>
              <w:right w:w="15" w:type="dxa"/>
            </w:tcMar>
            <w:vAlign w:val="center"/>
          </w:tcPr>
          <w:p w:rsidR="00231EA4" w:rsidRPr="00AD595B" w:rsidP="00DA384D">
            <w:pPr>
              <w:jc w:val="center"/>
            </w:pPr>
            <w:r w:rsidRPr="00AD595B">
              <w:t>0.7</w:t>
            </w:r>
          </w:p>
        </w:tc>
        <w:tc>
          <w:tcPr>
            <w:tcW w:w="1146" w:type="dxa"/>
            <w:tcMar>
              <w:top w:w="15" w:type="dxa"/>
              <w:left w:w="15" w:type="dxa"/>
              <w:bottom w:w="15" w:type="dxa"/>
              <w:right w:w="15" w:type="dxa"/>
            </w:tcMar>
            <w:vAlign w:val="center"/>
          </w:tcPr>
          <w:p w:rsidR="00231EA4" w:rsidRPr="00AD595B" w:rsidP="00DA384D">
            <w:pPr>
              <w:jc w:val="center"/>
            </w:pPr>
            <w:r w:rsidRPr="00AD595B">
              <w:t>0.9</w:t>
            </w:r>
          </w:p>
        </w:tc>
        <w:tc>
          <w:tcPr>
            <w:tcW w:w="1146" w:type="dxa"/>
            <w:tcMar>
              <w:top w:w="15" w:type="dxa"/>
              <w:left w:w="15" w:type="dxa"/>
              <w:bottom w:w="15" w:type="dxa"/>
              <w:right w:w="15" w:type="dxa"/>
            </w:tcMar>
            <w:vAlign w:val="center"/>
          </w:tcPr>
          <w:p w:rsidR="00231EA4" w:rsidRPr="00AD595B" w:rsidP="00DA384D">
            <w:pPr>
              <w:jc w:val="center"/>
            </w:pPr>
            <w:r w:rsidRPr="00AD595B">
              <w:t>1.1</w:t>
            </w:r>
          </w:p>
        </w:tc>
        <w:tc>
          <w:tcPr>
            <w:tcW w:w="1146" w:type="dxa"/>
            <w:tcMar>
              <w:top w:w="15" w:type="dxa"/>
              <w:left w:w="15" w:type="dxa"/>
              <w:bottom w:w="15" w:type="dxa"/>
              <w:right w:w="15" w:type="dxa"/>
            </w:tcMar>
            <w:vAlign w:val="center"/>
          </w:tcPr>
          <w:p w:rsidR="00231EA4" w:rsidRPr="00AD595B" w:rsidP="00DA384D">
            <w:pPr>
              <w:jc w:val="center"/>
            </w:pPr>
            <w:r w:rsidRPr="00AD595B">
              <w:t>1.4</w:t>
            </w:r>
          </w:p>
        </w:tc>
        <w:tc>
          <w:tcPr>
            <w:tcW w:w="1169" w:type="dxa"/>
          </w:tcPr>
          <w:p w:rsidR="00231EA4" w:rsidRPr="00AD595B" w:rsidP="00DA384D">
            <w:pPr>
              <w:jc w:val="center"/>
            </w:pPr>
            <w:r w:rsidRPr="00AD595B">
              <w:t>1.5</w:t>
            </w:r>
          </w:p>
        </w:tc>
        <w:tc>
          <w:tcPr>
            <w:tcW w:w="1169" w:type="dxa"/>
          </w:tcPr>
          <w:p w:rsidR="00231EA4" w:rsidRPr="00AD595B" w:rsidP="00DA384D">
            <w:pPr>
              <w:jc w:val="center"/>
            </w:pPr>
            <w:r w:rsidRPr="00AD595B">
              <w:t>1.7</w:t>
            </w:r>
          </w:p>
        </w:tc>
      </w:tr>
      <w:tr w:rsidTr="00DA384D">
        <w:tblPrEx>
          <w:tblW w:w="9360" w:type="dxa"/>
          <w:tblCellSpacing w:w="7" w:type="dxa"/>
          <w:tblLayout w:type="fixed"/>
          <w:tblLook w:val="00A0"/>
        </w:tblPrEx>
        <w:trPr>
          <w:tblCellSpacing w:w="7" w:type="dxa"/>
        </w:trPr>
        <w:tc>
          <w:tcPr>
            <w:tcW w:w="1168" w:type="dxa"/>
            <w:vAlign w:val="center"/>
          </w:tcPr>
          <w:p w:rsidR="00231EA4" w:rsidRPr="00AD595B" w:rsidP="00DA384D">
            <w:pPr>
              <w:jc w:val="center"/>
            </w:pPr>
            <w:r w:rsidRPr="00AD595B">
              <w:t>200 - 250</w:t>
            </w:r>
          </w:p>
        </w:tc>
        <w:tc>
          <w:tcPr>
            <w:tcW w:w="1145" w:type="dxa"/>
            <w:tcMar>
              <w:top w:w="15" w:type="dxa"/>
              <w:left w:w="15" w:type="dxa"/>
              <w:bottom w:w="15" w:type="dxa"/>
              <w:right w:w="15" w:type="dxa"/>
            </w:tcMar>
            <w:vAlign w:val="center"/>
          </w:tcPr>
          <w:p w:rsidR="00231EA4" w:rsidRPr="00AD595B" w:rsidP="00DA384D">
            <w:pPr>
              <w:jc w:val="center"/>
            </w:pPr>
            <w:r w:rsidRPr="00AD595B">
              <w:t>0.6</w:t>
            </w:r>
          </w:p>
        </w:tc>
        <w:tc>
          <w:tcPr>
            <w:tcW w:w="1145" w:type="dxa"/>
            <w:tcMar>
              <w:top w:w="15" w:type="dxa"/>
              <w:left w:w="15" w:type="dxa"/>
              <w:bottom w:w="15" w:type="dxa"/>
              <w:right w:w="15" w:type="dxa"/>
            </w:tcMar>
            <w:vAlign w:val="center"/>
          </w:tcPr>
          <w:p w:rsidR="00231EA4" w:rsidRPr="00AD595B" w:rsidP="00DA384D">
            <w:pPr>
              <w:jc w:val="center"/>
            </w:pPr>
            <w:r w:rsidRPr="00AD595B">
              <w:t>0.8</w:t>
            </w:r>
          </w:p>
        </w:tc>
        <w:tc>
          <w:tcPr>
            <w:tcW w:w="1146" w:type="dxa"/>
            <w:tcMar>
              <w:top w:w="15" w:type="dxa"/>
              <w:left w:w="15" w:type="dxa"/>
              <w:bottom w:w="15" w:type="dxa"/>
              <w:right w:w="15" w:type="dxa"/>
            </w:tcMar>
            <w:vAlign w:val="center"/>
          </w:tcPr>
          <w:p w:rsidR="00231EA4" w:rsidRPr="00AD595B" w:rsidP="00DA384D">
            <w:pPr>
              <w:jc w:val="center"/>
            </w:pPr>
            <w:r w:rsidRPr="00AD595B">
              <w:t>1.0</w:t>
            </w:r>
          </w:p>
        </w:tc>
        <w:tc>
          <w:tcPr>
            <w:tcW w:w="1146" w:type="dxa"/>
            <w:tcMar>
              <w:top w:w="15" w:type="dxa"/>
              <w:left w:w="15" w:type="dxa"/>
              <w:bottom w:w="15" w:type="dxa"/>
              <w:right w:w="15" w:type="dxa"/>
            </w:tcMar>
            <w:vAlign w:val="center"/>
          </w:tcPr>
          <w:p w:rsidR="00231EA4" w:rsidRPr="00AD595B" w:rsidP="00DA384D">
            <w:pPr>
              <w:jc w:val="center"/>
            </w:pPr>
            <w:r w:rsidRPr="00AD595B">
              <w:t>1.2</w:t>
            </w:r>
          </w:p>
        </w:tc>
        <w:tc>
          <w:tcPr>
            <w:tcW w:w="1146" w:type="dxa"/>
            <w:tcMar>
              <w:top w:w="15" w:type="dxa"/>
              <w:left w:w="15" w:type="dxa"/>
              <w:bottom w:w="15" w:type="dxa"/>
              <w:right w:w="15" w:type="dxa"/>
            </w:tcMar>
            <w:vAlign w:val="center"/>
          </w:tcPr>
          <w:p w:rsidR="00231EA4" w:rsidRPr="00AD595B" w:rsidP="00DA384D">
            <w:pPr>
              <w:jc w:val="center"/>
            </w:pPr>
            <w:r w:rsidRPr="00AD595B">
              <w:t>1.5</w:t>
            </w:r>
          </w:p>
        </w:tc>
        <w:tc>
          <w:tcPr>
            <w:tcW w:w="1169" w:type="dxa"/>
          </w:tcPr>
          <w:p w:rsidR="00231EA4" w:rsidRPr="00AD595B" w:rsidP="00DA384D">
            <w:pPr>
              <w:jc w:val="center"/>
            </w:pPr>
            <w:r w:rsidRPr="00AD595B">
              <w:t>1.7</w:t>
            </w:r>
          </w:p>
        </w:tc>
        <w:tc>
          <w:tcPr>
            <w:tcW w:w="1169" w:type="dxa"/>
          </w:tcPr>
          <w:p w:rsidR="00231EA4" w:rsidRPr="00AD595B" w:rsidP="00DA384D">
            <w:pPr>
              <w:jc w:val="center"/>
            </w:pPr>
            <w:r w:rsidRPr="00AD595B">
              <w:t>1.9</w:t>
            </w:r>
          </w:p>
        </w:tc>
      </w:tr>
      <w:tr w:rsidTr="00DA384D">
        <w:tblPrEx>
          <w:tblW w:w="9360" w:type="dxa"/>
          <w:tblCellSpacing w:w="7" w:type="dxa"/>
          <w:tblLayout w:type="fixed"/>
          <w:tblLook w:val="00A0"/>
        </w:tblPrEx>
        <w:trPr>
          <w:tblCellSpacing w:w="7" w:type="dxa"/>
        </w:trPr>
        <w:tc>
          <w:tcPr>
            <w:tcW w:w="1168" w:type="dxa"/>
          </w:tcPr>
          <w:p w:rsidR="00231EA4" w:rsidRPr="00AD595B" w:rsidP="00DA384D">
            <w:pPr>
              <w:jc w:val="center"/>
            </w:pPr>
            <w:r w:rsidRPr="00AD595B">
              <w:t>250 - 300</w:t>
            </w:r>
          </w:p>
        </w:tc>
        <w:tc>
          <w:tcPr>
            <w:tcW w:w="1145" w:type="dxa"/>
            <w:tcMar>
              <w:top w:w="15" w:type="dxa"/>
              <w:left w:w="15" w:type="dxa"/>
              <w:bottom w:w="15" w:type="dxa"/>
              <w:right w:w="15" w:type="dxa"/>
            </w:tcMar>
            <w:vAlign w:val="center"/>
          </w:tcPr>
          <w:p w:rsidR="00231EA4" w:rsidRPr="00AD595B" w:rsidP="00DA384D">
            <w:pPr>
              <w:jc w:val="center"/>
            </w:pPr>
            <w:r w:rsidRPr="00AD595B">
              <w:t>0.7</w:t>
            </w:r>
          </w:p>
        </w:tc>
        <w:tc>
          <w:tcPr>
            <w:tcW w:w="1145" w:type="dxa"/>
            <w:tcMar>
              <w:top w:w="15" w:type="dxa"/>
              <w:left w:w="15" w:type="dxa"/>
              <w:bottom w:w="15" w:type="dxa"/>
              <w:right w:w="15" w:type="dxa"/>
            </w:tcMar>
            <w:vAlign w:val="center"/>
          </w:tcPr>
          <w:p w:rsidR="00231EA4" w:rsidRPr="00AD595B" w:rsidP="00DA384D">
            <w:pPr>
              <w:jc w:val="center"/>
            </w:pPr>
            <w:r w:rsidRPr="00AD595B">
              <w:t>0.8</w:t>
            </w:r>
          </w:p>
        </w:tc>
        <w:tc>
          <w:tcPr>
            <w:tcW w:w="1146" w:type="dxa"/>
            <w:tcMar>
              <w:top w:w="15" w:type="dxa"/>
              <w:left w:w="15" w:type="dxa"/>
              <w:bottom w:w="15" w:type="dxa"/>
              <w:right w:w="15" w:type="dxa"/>
            </w:tcMar>
            <w:vAlign w:val="center"/>
          </w:tcPr>
          <w:p w:rsidR="00231EA4" w:rsidRPr="00AD595B" w:rsidP="00DA384D">
            <w:pPr>
              <w:jc w:val="center"/>
            </w:pPr>
            <w:r w:rsidRPr="00AD595B">
              <w:t>1.0</w:t>
            </w:r>
          </w:p>
        </w:tc>
        <w:tc>
          <w:tcPr>
            <w:tcW w:w="1146" w:type="dxa"/>
            <w:tcMar>
              <w:top w:w="15" w:type="dxa"/>
              <w:left w:w="15" w:type="dxa"/>
              <w:bottom w:w="15" w:type="dxa"/>
              <w:right w:w="15" w:type="dxa"/>
            </w:tcMar>
            <w:vAlign w:val="center"/>
          </w:tcPr>
          <w:p w:rsidR="00231EA4" w:rsidRPr="00AD595B" w:rsidP="00DA384D">
            <w:pPr>
              <w:jc w:val="center"/>
            </w:pPr>
            <w:r w:rsidRPr="00AD595B">
              <w:t>1.3</w:t>
            </w:r>
          </w:p>
        </w:tc>
        <w:tc>
          <w:tcPr>
            <w:tcW w:w="1146" w:type="dxa"/>
            <w:tcMar>
              <w:top w:w="15" w:type="dxa"/>
              <w:left w:w="15" w:type="dxa"/>
              <w:bottom w:w="15" w:type="dxa"/>
              <w:right w:w="15" w:type="dxa"/>
            </w:tcMar>
            <w:vAlign w:val="center"/>
          </w:tcPr>
          <w:p w:rsidR="00231EA4" w:rsidRPr="00AD595B" w:rsidP="00DA384D">
            <w:pPr>
              <w:jc w:val="center"/>
            </w:pPr>
            <w:r w:rsidRPr="00AD595B">
              <w:t>1.6</w:t>
            </w:r>
          </w:p>
        </w:tc>
        <w:tc>
          <w:tcPr>
            <w:tcW w:w="1169" w:type="dxa"/>
          </w:tcPr>
          <w:p w:rsidR="00231EA4" w:rsidRPr="00AD595B" w:rsidP="00DA384D">
            <w:pPr>
              <w:jc w:val="center"/>
            </w:pPr>
            <w:r w:rsidRPr="00AD595B">
              <w:t>2.1</w:t>
            </w:r>
          </w:p>
        </w:tc>
        <w:tc>
          <w:tcPr>
            <w:tcW w:w="1169" w:type="dxa"/>
          </w:tcPr>
          <w:p w:rsidR="00231EA4" w:rsidRPr="00AD595B" w:rsidP="00DA384D">
            <w:pPr>
              <w:jc w:val="center"/>
            </w:pPr>
            <w:r w:rsidRPr="00AD595B">
              <w:t>2.3</w:t>
            </w:r>
          </w:p>
        </w:tc>
      </w:tr>
      <w:tr w:rsidTr="00DA384D">
        <w:tblPrEx>
          <w:tblW w:w="9360" w:type="dxa"/>
          <w:tblCellSpacing w:w="7" w:type="dxa"/>
          <w:tblLayout w:type="fixed"/>
          <w:tblLook w:val="00A0"/>
        </w:tblPrEx>
        <w:trPr>
          <w:tblCellSpacing w:w="7" w:type="dxa"/>
        </w:trPr>
        <w:tc>
          <w:tcPr>
            <w:tcW w:w="1168" w:type="dxa"/>
          </w:tcPr>
          <w:p w:rsidR="00231EA4" w:rsidRPr="00AD595B" w:rsidP="00DA384D">
            <w:pPr>
              <w:jc w:val="center"/>
            </w:pPr>
            <w:r w:rsidRPr="00AD595B">
              <w:t>300 - 350</w:t>
            </w:r>
          </w:p>
        </w:tc>
        <w:tc>
          <w:tcPr>
            <w:tcW w:w="1145" w:type="dxa"/>
            <w:tcMar>
              <w:top w:w="15" w:type="dxa"/>
              <w:left w:w="15" w:type="dxa"/>
              <w:bottom w:w="15" w:type="dxa"/>
              <w:right w:w="15" w:type="dxa"/>
            </w:tcMar>
            <w:vAlign w:val="center"/>
          </w:tcPr>
          <w:p w:rsidR="00231EA4" w:rsidRPr="00AD595B" w:rsidP="00DA384D">
            <w:pPr>
              <w:jc w:val="center"/>
            </w:pPr>
            <w:r w:rsidRPr="00AD595B">
              <w:t>0.7</w:t>
            </w:r>
          </w:p>
        </w:tc>
        <w:tc>
          <w:tcPr>
            <w:tcW w:w="1145" w:type="dxa"/>
            <w:tcMar>
              <w:top w:w="15" w:type="dxa"/>
              <w:left w:w="15" w:type="dxa"/>
              <w:bottom w:w="15" w:type="dxa"/>
              <w:right w:w="15" w:type="dxa"/>
            </w:tcMar>
            <w:vAlign w:val="center"/>
          </w:tcPr>
          <w:p w:rsidR="00231EA4" w:rsidRPr="00AD595B" w:rsidP="00DA384D">
            <w:pPr>
              <w:jc w:val="center"/>
            </w:pPr>
            <w:r w:rsidRPr="00AD595B">
              <w:t>0.9</w:t>
            </w:r>
          </w:p>
        </w:tc>
        <w:tc>
          <w:tcPr>
            <w:tcW w:w="1146" w:type="dxa"/>
            <w:tcMar>
              <w:top w:w="15" w:type="dxa"/>
              <w:left w:w="15" w:type="dxa"/>
              <w:bottom w:w="15" w:type="dxa"/>
              <w:right w:w="15" w:type="dxa"/>
            </w:tcMar>
            <w:vAlign w:val="center"/>
          </w:tcPr>
          <w:p w:rsidR="00231EA4" w:rsidRPr="00AD595B" w:rsidP="00DA384D">
            <w:pPr>
              <w:jc w:val="center"/>
            </w:pPr>
            <w:r w:rsidRPr="00AD595B">
              <w:t>1.1</w:t>
            </w:r>
          </w:p>
        </w:tc>
        <w:tc>
          <w:tcPr>
            <w:tcW w:w="1146" w:type="dxa"/>
            <w:tcMar>
              <w:top w:w="15" w:type="dxa"/>
              <w:left w:w="15" w:type="dxa"/>
              <w:bottom w:w="15" w:type="dxa"/>
              <w:right w:w="15" w:type="dxa"/>
            </w:tcMar>
            <w:vAlign w:val="center"/>
          </w:tcPr>
          <w:p w:rsidR="00231EA4" w:rsidRPr="00AD595B" w:rsidP="00DA384D">
            <w:pPr>
              <w:jc w:val="center"/>
            </w:pPr>
            <w:r w:rsidRPr="00AD595B">
              <w:t>1.4</w:t>
            </w:r>
          </w:p>
        </w:tc>
        <w:tc>
          <w:tcPr>
            <w:tcW w:w="1146" w:type="dxa"/>
            <w:tcMar>
              <w:top w:w="15" w:type="dxa"/>
              <w:left w:w="15" w:type="dxa"/>
              <w:bottom w:w="15" w:type="dxa"/>
              <w:right w:w="15" w:type="dxa"/>
            </w:tcMar>
            <w:vAlign w:val="center"/>
          </w:tcPr>
          <w:p w:rsidR="00231EA4" w:rsidRPr="00AD595B" w:rsidP="00DA384D">
            <w:pPr>
              <w:jc w:val="center"/>
            </w:pPr>
            <w:r w:rsidRPr="00AD595B">
              <w:t>1.8</w:t>
            </w:r>
          </w:p>
        </w:tc>
        <w:tc>
          <w:tcPr>
            <w:tcW w:w="1169" w:type="dxa"/>
          </w:tcPr>
          <w:p w:rsidR="00231EA4" w:rsidRPr="00AD595B" w:rsidP="00DA384D">
            <w:pPr>
              <w:jc w:val="center"/>
            </w:pPr>
            <w:r w:rsidRPr="00AD595B">
              <w:t>2.2</w:t>
            </w:r>
          </w:p>
        </w:tc>
        <w:tc>
          <w:tcPr>
            <w:tcW w:w="1169" w:type="dxa"/>
          </w:tcPr>
          <w:p w:rsidR="00231EA4" w:rsidRPr="00AD595B" w:rsidP="00DA384D">
            <w:pPr>
              <w:jc w:val="center"/>
            </w:pPr>
            <w:r w:rsidRPr="00AD595B">
              <w:t>2.4</w:t>
            </w:r>
          </w:p>
        </w:tc>
      </w:tr>
      <w:tr w:rsidTr="00DA384D">
        <w:tblPrEx>
          <w:tblW w:w="9360" w:type="dxa"/>
          <w:tblCellSpacing w:w="7" w:type="dxa"/>
          <w:tblLayout w:type="fixed"/>
          <w:tblLook w:val="00A0"/>
        </w:tblPrEx>
        <w:trPr>
          <w:tblCellSpacing w:w="7" w:type="dxa"/>
        </w:trPr>
        <w:tc>
          <w:tcPr>
            <w:tcW w:w="1168" w:type="dxa"/>
          </w:tcPr>
          <w:p w:rsidR="00231EA4" w:rsidRPr="00AD595B" w:rsidP="00DA384D">
            <w:pPr>
              <w:jc w:val="center"/>
            </w:pPr>
            <w:r w:rsidRPr="00AD595B">
              <w:t>350 - 400</w:t>
            </w:r>
          </w:p>
        </w:tc>
        <w:tc>
          <w:tcPr>
            <w:tcW w:w="1145" w:type="dxa"/>
            <w:tcMar>
              <w:top w:w="15" w:type="dxa"/>
              <w:left w:w="15" w:type="dxa"/>
              <w:bottom w:w="15" w:type="dxa"/>
              <w:right w:w="15" w:type="dxa"/>
            </w:tcMar>
            <w:vAlign w:val="center"/>
          </w:tcPr>
          <w:p w:rsidR="00231EA4" w:rsidRPr="00AD595B" w:rsidP="00DA384D">
            <w:pPr>
              <w:jc w:val="center"/>
            </w:pPr>
            <w:r w:rsidRPr="00AD595B">
              <w:t>0.8</w:t>
            </w:r>
          </w:p>
        </w:tc>
        <w:tc>
          <w:tcPr>
            <w:tcW w:w="1145" w:type="dxa"/>
            <w:tcMar>
              <w:top w:w="15" w:type="dxa"/>
              <w:left w:w="15" w:type="dxa"/>
              <w:bottom w:w="15" w:type="dxa"/>
              <w:right w:w="15" w:type="dxa"/>
            </w:tcMar>
            <w:vAlign w:val="center"/>
          </w:tcPr>
          <w:p w:rsidR="00231EA4" w:rsidRPr="00AD595B" w:rsidP="00DA384D">
            <w:pPr>
              <w:jc w:val="center"/>
            </w:pPr>
            <w:r w:rsidRPr="00AD595B">
              <w:t>1.0</w:t>
            </w:r>
          </w:p>
        </w:tc>
        <w:tc>
          <w:tcPr>
            <w:tcW w:w="1146" w:type="dxa"/>
            <w:tcMar>
              <w:top w:w="15" w:type="dxa"/>
              <w:left w:w="15" w:type="dxa"/>
              <w:bottom w:w="15" w:type="dxa"/>
              <w:right w:w="15" w:type="dxa"/>
            </w:tcMar>
            <w:vAlign w:val="center"/>
          </w:tcPr>
          <w:p w:rsidR="00231EA4" w:rsidRPr="00AD595B" w:rsidP="00DA384D">
            <w:pPr>
              <w:jc w:val="center"/>
            </w:pPr>
            <w:r w:rsidRPr="00AD595B">
              <w:t>1.2</w:t>
            </w:r>
          </w:p>
        </w:tc>
        <w:tc>
          <w:tcPr>
            <w:tcW w:w="1146" w:type="dxa"/>
            <w:tcMar>
              <w:top w:w="15" w:type="dxa"/>
              <w:left w:w="15" w:type="dxa"/>
              <w:bottom w:w="15" w:type="dxa"/>
              <w:right w:w="15" w:type="dxa"/>
            </w:tcMar>
            <w:vAlign w:val="center"/>
          </w:tcPr>
          <w:p w:rsidR="00231EA4" w:rsidRPr="00AD595B" w:rsidP="00DA384D">
            <w:pPr>
              <w:jc w:val="center"/>
            </w:pPr>
            <w:r w:rsidRPr="00AD595B">
              <w:t>1.5</w:t>
            </w:r>
          </w:p>
        </w:tc>
        <w:tc>
          <w:tcPr>
            <w:tcW w:w="1146" w:type="dxa"/>
            <w:tcMar>
              <w:top w:w="15" w:type="dxa"/>
              <w:left w:w="15" w:type="dxa"/>
              <w:bottom w:w="15" w:type="dxa"/>
              <w:right w:w="15" w:type="dxa"/>
            </w:tcMar>
            <w:vAlign w:val="center"/>
          </w:tcPr>
          <w:p w:rsidR="00231EA4" w:rsidRPr="00AD595B" w:rsidP="00DA384D">
            <w:pPr>
              <w:jc w:val="center"/>
            </w:pPr>
            <w:r w:rsidRPr="00AD595B">
              <w:t>1.9</w:t>
            </w:r>
          </w:p>
        </w:tc>
        <w:tc>
          <w:tcPr>
            <w:tcW w:w="1169" w:type="dxa"/>
          </w:tcPr>
          <w:p w:rsidR="00231EA4" w:rsidRPr="00AD595B" w:rsidP="00DA384D">
            <w:pPr>
              <w:jc w:val="center"/>
            </w:pPr>
            <w:r w:rsidRPr="00AD595B">
              <w:t>2.4</w:t>
            </w:r>
          </w:p>
        </w:tc>
        <w:tc>
          <w:tcPr>
            <w:tcW w:w="1169" w:type="dxa"/>
          </w:tcPr>
          <w:p w:rsidR="00231EA4" w:rsidRPr="00AD595B" w:rsidP="00DA384D">
            <w:pPr>
              <w:jc w:val="center"/>
            </w:pPr>
            <w:r w:rsidRPr="00AD595B">
              <w:t>2.7</w:t>
            </w:r>
          </w:p>
        </w:tc>
      </w:tr>
      <w:tr w:rsidTr="00DA384D">
        <w:tblPrEx>
          <w:tblW w:w="9360" w:type="dxa"/>
          <w:tblCellSpacing w:w="7" w:type="dxa"/>
          <w:tblLayout w:type="fixed"/>
          <w:tblLook w:val="00A0"/>
        </w:tblPrEx>
        <w:trPr>
          <w:tblCellSpacing w:w="7" w:type="dxa"/>
        </w:trPr>
        <w:tc>
          <w:tcPr>
            <w:tcW w:w="1168" w:type="dxa"/>
          </w:tcPr>
          <w:p w:rsidR="00231EA4" w:rsidRPr="00AD595B" w:rsidP="00DA384D">
            <w:pPr>
              <w:jc w:val="center"/>
            </w:pPr>
            <w:r w:rsidRPr="00AD595B">
              <w:t>400 - 450</w:t>
            </w:r>
          </w:p>
        </w:tc>
        <w:tc>
          <w:tcPr>
            <w:tcW w:w="1145" w:type="dxa"/>
            <w:tcMar>
              <w:top w:w="15" w:type="dxa"/>
              <w:left w:w="15" w:type="dxa"/>
              <w:bottom w:w="15" w:type="dxa"/>
              <w:right w:w="15" w:type="dxa"/>
            </w:tcMar>
            <w:vAlign w:val="center"/>
          </w:tcPr>
          <w:p w:rsidR="00231EA4" w:rsidRPr="00AD595B" w:rsidP="00DA384D">
            <w:pPr>
              <w:jc w:val="center"/>
            </w:pPr>
            <w:r w:rsidRPr="00AD595B">
              <w:t>0.8</w:t>
            </w:r>
          </w:p>
        </w:tc>
        <w:tc>
          <w:tcPr>
            <w:tcW w:w="1145" w:type="dxa"/>
            <w:tcMar>
              <w:top w:w="15" w:type="dxa"/>
              <w:left w:w="15" w:type="dxa"/>
              <w:bottom w:w="15" w:type="dxa"/>
              <w:right w:w="15" w:type="dxa"/>
            </w:tcMar>
            <w:vAlign w:val="center"/>
          </w:tcPr>
          <w:p w:rsidR="00231EA4" w:rsidRPr="00AD595B" w:rsidP="00DA384D">
            <w:pPr>
              <w:jc w:val="center"/>
            </w:pPr>
            <w:r w:rsidRPr="00AD595B">
              <w:t>1.0</w:t>
            </w:r>
          </w:p>
        </w:tc>
        <w:tc>
          <w:tcPr>
            <w:tcW w:w="1146" w:type="dxa"/>
            <w:tcMar>
              <w:top w:w="15" w:type="dxa"/>
              <w:left w:w="15" w:type="dxa"/>
              <w:bottom w:w="15" w:type="dxa"/>
              <w:right w:w="15" w:type="dxa"/>
            </w:tcMar>
            <w:vAlign w:val="center"/>
          </w:tcPr>
          <w:p w:rsidR="00231EA4" w:rsidRPr="00AD595B" w:rsidP="00DA384D">
            <w:pPr>
              <w:jc w:val="center"/>
            </w:pPr>
            <w:r w:rsidRPr="00AD595B">
              <w:t>1.3</w:t>
            </w:r>
          </w:p>
        </w:tc>
        <w:tc>
          <w:tcPr>
            <w:tcW w:w="1146" w:type="dxa"/>
            <w:tcMar>
              <w:top w:w="15" w:type="dxa"/>
              <w:left w:w="15" w:type="dxa"/>
              <w:bottom w:w="15" w:type="dxa"/>
              <w:right w:w="15" w:type="dxa"/>
            </w:tcMar>
            <w:vAlign w:val="center"/>
          </w:tcPr>
          <w:p w:rsidR="00231EA4" w:rsidRPr="00AD595B" w:rsidP="00DA384D">
            <w:pPr>
              <w:jc w:val="center"/>
            </w:pPr>
            <w:r w:rsidRPr="00AD595B">
              <w:t>1.6</w:t>
            </w:r>
          </w:p>
        </w:tc>
        <w:tc>
          <w:tcPr>
            <w:tcW w:w="1146" w:type="dxa"/>
            <w:tcMar>
              <w:top w:w="15" w:type="dxa"/>
              <w:left w:w="15" w:type="dxa"/>
              <w:bottom w:w="15" w:type="dxa"/>
              <w:right w:w="15" w:type="dxa"/>
            </w:tcMar>
            <w:vAlign w:val="center"/>
          </w:tcPr>
          <w:p w:rsidR="00231EA4" w:rsidRPr="00AD595B" w:rsidP="00DA384D">
            <w:pPr>
              <w:jc w:val="center"/>
            </w:pPr>
            <w:r w:rsidRPr="00AD595B">
              <w:t>2.1</w:t>
            </w:r>
          </w:p>
        </w:tc>
        <w:tc>
          <w:tcPr>
            <w:tcW w:w="1169" w:type="dxa"/>
          </w:tcPr>
          <w:p w:rsidR="00231EA4" w:rsidRPr="00AD595B" w:rsidP="00DA384D">
            <w:pPr>
              <w:jc w:val="center"/>
            </w:pPr>
            <w:r w:rsidRPr="00AD595B">
              <w:t>2.6</w:t>
            </w:r>
          </w:p>
        </w:tc>
        <w:tc>
          <w:tcPr>
            <w:tcW w:w="1169" w:type="dxa"/>
          </w:tcPr>
          <w:p w:rsidR="00231EA4" w:rsidRPr="00AD595B" w:rsidP="00DA384D">
            <w:pPr>
              <w:jc w:val="center"/>
            </w:pPr>
            <w:r w:rsidRPr="00AD595B">
              <w:t>2.9</w:t>
            </w:r>
          </w:p>
        </w:tc>
      </w:tr>
      <w:tr w:rsidTr="00DA384D">
        <w:tblPrEx>
          <w:tblW w:w="9360" w:type="dxa"/>
          <w:tblCellSpacing w:w="7" w:type="dxa"/>
          <w:tblLayout w:type="fixed"/>
          <w:tblLook w:val="00A0"/>
        </w:tblPrEx>
        <w:trPr>
          <w:tblCellSpacing w:w="7" w:type="dxa"/>
        </w:trPr>
        <w:tc>
          <w:tcPr>
            <w:tcW w:w="1168" w:type="dxa"/>
          </w:tcPr>
          <w:p w:rsidR="00231EA4" w:rsidRPr="00AD595B" w:rsidP="00DA384D">
            <w:pPr>
              <w:jc w:val="center"/>
            </w:pPr>
            <w:r w:rsidRPr="00AD595B">
              <w:t>450 - 500</w:t>
            </w:r>
          </w:p>
        </w:tc>
        <w:tc>
          <w:tcPr>
            <w:tcW w:w="1145" w:type="dxa"/>
            <w:tcMar>
              <w:top w:w="15" w:type="dxa"/>
              <w:left w:w="15" w:type="dxa"/>
              <w:bottom w:w="15" w:type="dxa"/>
              <w:right w:w="15" w:type="dxa"/>
            </w:tcMar>
            <w:vAlign w:val="center"/>
          </w:tcPr>
          <w:p w:rsidR="00231EA4" w:rsidRPr="00AD595B" w:rsidP="00DA384D">
            <w:pPr>
              <w:jc w:val="center"/>
            </w:pPr>
            <w:r w:rsidRPr="00AD595B">
              <w:t>0.8</w:t>
            </w:r>
          </w:p>
        </w:tc>
        <w:tc>
          <w:tcPr>
            <w:tcW w:w="1145" w:type="dxa"/>
            <w:tcMar>
              <w:top w:w="15" w:type="dxa"/>
              <w:left w:w="15" w:type="dxa"/>
              <w:bottom w:w="15" w:type="dxa"/>
              <w:right w:w="15" w:type="dxa"/>
            </w:tcMar>
            <w:vAlign w:val="center"/>
          </w:tcPr>
          <w:p w:rsidR="00231EA4" w:rsidRPr="00AD595B" w:rsidP="00DA384D">
            <w:pPr>
              <w:jc w:val="center"/>
            </w:pPr>
            <w:r w:rsidRPr="00AD595B">
              <w:t>1.1</w:t>
            </w:r>
          </w:p>
        </w:tc>
        <w:tc>
          <w:tcPr>
            <w:tcW w:w="1146" w:type="dxa"/>
            <w:tcMar>
              <w:top w:w="15" w:type="dxa"/>
              <w:left w:w="15" w:type="dxa"/>
              <w:bottom w:w="15" w:type="dxa"/>
              <w:right w:w="15" w:type="dxa"/>
            </w:tcMar>
            <w:vAlign w:val="center"/>
          </w:tcPr>
          <w:p w:rsidR="00231EA4" w:rsidRPr="00AD595B" w:rsidP="00DA384D">
            <w:pPr>
              <w:jc w:val="center"/>
            </w:pPr>
            <w:r w:rsidRPr="00AD595B">
              <w:t>1.4</w:t>
            </w:r>
          </w:p>
        </w:tc>
        <w:tc>
          <w:tcPr>
            <w:tcW w:w="1146" w:type="dxa"/>
            <w:tcMar>
              <w:top w:w="15" w:type="dxa"/>
              <w:left w:w="15" w:type="dxa"/>
              <w:bottom w:w="15" w:type="dxa"/>
              <w:right w:w="15" w:type="dxa"/>
            </w:tcMar>
            <w:vAlign w:val="center"/>
          </w:tcPr>
          <w:p w:rsidR="00231EA4" w:rsidRPr="00AD595B" w:rsidP="00DA384D">
            <w:pPr>
              <w:jc w:val="center"/>
            </w:pPr>
            <w:r w:rsidRPr="00AD595B">
              <w:t>1.7</w:t>
            </w:r>
          </w:p>
        </w:tc>
        <w:tc>
          <w:tcPr>
            <w:tcW w:w="1146" w:type="dxa"/>
            <w:tcMar>
              <w:top w:w="15" w:type="dxa"/>
              <w:left w:w="15" w:type="dxa"/>
              <w:bottom w:w="15" w:type="dxa"/>
              <w:right w:w="15" w:type="dxa"/>
            </w:tcMar>
            <w:vAlign w:val="center"/>
          </w:tcPr>
          <w:p w:rsidR="00231EA4" w:rsidRPr="00AD595B" w:rsidP="00DA384D">
            <w:pPr>
              <w:jc w:val="center"/>
            </w:pPr>
            <w:r w:rsidRPr="00AD595B">
              <w:t>2.1</w:t>
            </w:r>
          </w:p>
        </w:tc>
        <w:tc>
          <w:tcPr>
            <w:tcW w:w="1169" w:type="dxa"/>
          </w:tcPr>
          <w:p w:rsidR="00231EA4" w:rsidRPr="00AD595B" w:rsidP="00DA384D">
            <w:pPr>
              <w:jc w:val="center"/>
            </w:pPr>
            <w:r w:rsidRPr="00AD595B">
              <w:t>2.7</w:t>
            </w:r>
          </w:p>
        </w:tc>
        <w:tc>
          <w:tcPr>
            <w:tcW w:w="1169" w:type="dxa"/>
          </w:tcPr>
          <w:p w:rsidR="00231EA4" w:rsidRPr="00AD595B" w:rsidP="00DA384D">
            <w:pPr>
              <w:jc w:val="center"/>
            </w:pPr>
            <w:r w:rsidRPr="00AD595B">
              <w:t>2.9</w:t>
            </w:r>
          </w:p>
        </w:tc>
      </w:tr>
      <w:bookmarkEnd w:id="93"/>
    </w:tbl>
    <w:p w:rsidR="00231EA4" w:rsidP="00BA3094">
      <w:pPr>
        <w:pStyle w:val="ParaNum"/>
        <w:numPr>
          <w:ilvl w:val="0"/>
          <w:numId w:val="0"/>
        </w:numPr>
        <w:spacing w:after="0"/>
        <w:ind w:left="720"/>
      </w:pPr>
    </w:p>
    <w:p w:rsidR="00231EA4" w:rsidP="00960993">
      <w:pPr>
        <w:pStyle w:val="ParaNum"/>
        <w:widowControl/>
      </w:pPr>
      <w:r>
        <w:t xml:space="preserve">We seek comment on </w:t>
      </w:r>
      <w:r w:rsidR="000F4C5F">
        <w:t>these</w:t>
      </w:r>
      <w:r>
        <w:t xml:space="preserve"> proposal</w:t>
      </w:r>
      <w:r w:rsidR="000F4C5F">
        <w:t>s</w:t>
      </w:r>
      <w:r>
        <w:t xml:space="preserve">.  Do the proposed separation distances for the higher power and antenna HAAT levels provide adequate protection to co-channel and adjacent channel TV service?  Are any other changes </w:t>
      </w:r>
      <w:r w:rsidR="00F07E1F">
        <w:t xml:space="preserve">necessary </w:t>
      </w:r>
      <w:r w:rsidR="00581E89">
        <w:t xml:space="preserve">to protect TV service </w:t>
      </w:r>
      <w:r w:rsidR="00F07E1F">
        <w:t>in light of</w:t>
      </w:r>
      <w:r w:rsidR="00F07E1F">
        <w:t xml:space="preserve"> the proposed power and HAAT levels?</w:t>
      </w:r>
    </w:p>
    <w:p w:rsidR="00042576" w:rsidP="00042576">
      <w:pPr>
        <w:pStyle w:val="ParaNum"/>
      </w:pPr>
      <w:r w:rsidRPr="004E6FBF">
        <w:rPr>
          <w:i/>
        </w:rPr>
        <w:t>Protection of other operations in the TV bands.</w:t>
      </w:r>
      <w:r>
        <w:t xml:space="preserve">  In addition to the broadcast television service, white space devices must protect certain other operations in the TV bands.  These include </w:t>
      </w:r>
      <w:r w:rsidR="00D93147">
        <w:t>TV transl</w:t>
      </w:r>
      <w:r w:rsidR="00892475">
        <w:t>ator</w:t>
      </w:r>
      <w:r w:rsidR="00581E89">
        <w:t xml:space="preserve"> receive sites</w:t>
      </w:r>
      <w:r w:rsidR="00892475">
        <w:t xml:space="preserve">, Low Power </w:t>
      </w:r>
      <w:r w:rsidR="009B7C0F">
        <w:t xml:space="preserve">TV </w:t>
      </w:r>
      <w:r w:rsidR="004B3226">
        <w:t>(including Class A)</w:t>
      </w:r>
      <w:r w:rsidR="008779C5">
        <w:t xml:space="preserve"> receive sites</w:t>
      </w:r>
      <w:r w:rsidR="009B7C0F">
        <w:t>,</w:t>
      </w:r>
      <w:r w:rsidR="00892475">
        <w:t xml:space="preserve"> </w:t>
      </w:r>
      <w:r w:rsidRPr="00E5138F">
        <w:t>Multi-channel Video Programming Distributor</w:t>
      </w:r>
      <w:r>
        <w:t xml:space="preserve"> (MVPD) receive sites, </w:t>
      </w:r>
      <w:r w:rsidR="0016314C">
        <w:t xml:space="preserve">fixed Broadcast Auxiliary Service (BAS) links, </w:t>
      </w:r>
      <w:r>
        <w:t xml:space="preserve">the private land mobile radio and commercial </w:t>
      </w:r>
      <w:r w:rsidR="009B006A">
        <w:t xml:space="preserve">mobile </w:t>
      </w:r>
      <w:r>
        <w:t xml:space="preserve">radio services (PLMRS/CMRS), and </w:t>
      </w:r>
      <w:r w:rsidR="008A55EC">
        <w:t>Low Power Auxiliary Station services (</w:t>
      </w:r>
      <w:r w:rsidR="009F512A">
        <w:t xml:space="preserve">referenced herein as </w:t>
      </w:r>
      <w:r w:rsidR="008A55EC">
        <w:t>l</w:t>
      </w:r>
      <w:r w:rsidR="007D369C">
        <w:t xml:space="preserve">icensed </w:t>
      </w:r>
      <w:r w:rsidR="00CE15CB">
        <w:t>wireless microphones</w:t>
      </w:r>
      <w:r w:rsidR="008A55EC">
        <w:t>)</w:t>
      </w:r>
      <w:r>
        <w:t>.</w:t>
      </w:r>
      <w:r>
        <w:rPr>
          <w:rStyle w:val="FootnoteReference"/>
        </w:rPr>
        <w:footnoteReference w:id="51"/>
      </w:r>
      <w:r>
        <w:t xml:space="preserve">  When the Commission increased the maximum power for fixed white space devices operating in less congested areas from </w:t>
      </w:r>
      <w:r w:rsidR="009B006A">
        <w:t>4</w:t>
      </w:r>
      <w:r>
        <w:t xml:space="preserve"> watts EIRP to 10 watts EIRP in </w:t>
      </w:r>
      <w:r w:rsidR="00FC563B">
        <w:t xml:space="preserve">the </w:t>
      </w:r>
      <w:r w:rsidR="00FC563B">
        <w:rPr>
          <w:i/>
        </w:rPr>
        <w:t xml:space="preserve">White Spaces Order </w:t>
      </w:r>
      <w:r w:rsidR="00FC563B">
        <w:t xml:space="preserve">in </w:t>
      </w:r>
      <w:r>
        <w:t xml:space="preserve">2015, it also slightly increased the minimum required separation distances from TV </w:t>
      </w:r>
      <w:r w:rsidR="00581E89">
        <w:t xml:space="preserve">translator </w:t>
      </w:r>
      <w:r>
        <w:t>receive sites, PLMRS/CMRS</w:t>
      </w:r>
      <w:r w:rsidR="009B006A">
        <w:t>,</w:t>
      </w:r>
      <w:r>
        <w:t xml:space="preserve"> and temporary BAS links.</w:t>
      </w:r>
      <w:r>
        <w:rPr>
          <w:rStyle w:val="FootnoteReference"/>
        </w:rPr>
        <w:footnoteReference w:id="52"/>
      </w:r>
      <w:r>
        <w:t xml:space="preserve">  Because we are now proposing to increase the maximum fixed white space device EIRP from 10 watts to 16 watts, and the maximum HAAT from 250 meters to 500 meters, we are proposing to make additional changes to the protection criteria for operations in the TV bands other than broadcasting. </w:t>
      </w:r>
    </w:p>
    <w:p w:rsidR="00042576" w:rsidP="00042576">
      <w:pPr>
        <w:pStyle w:val="ParaNum"/>
      </w:pPr>
      <w:r>
        <w:t>We propose changes to the keyhole shaped exclusion zone that is specified to protect the receive sites of TV translators, low power TV stations, Class A TV stations</w:t>
      </w:r>
      <w:r w:rsidR="000043CF">
        <w:t>,</w:t>
      </w:r>
      <w:r>
        <w:t xml:space="preserve"> MVPDs</w:t>
      </w:r>
      <w:r w:rsidR="000043CF">
        <w:t>, and BAS facilities</w:t>
      </w:r>
      <w:r w:rsidRPr="00581E89" w:rsidR="00581E89">
        <w:t xml:space="preserve"> </w:t>
      </w:r>
      <w:r w:rsidR="00581E89">
        <w:t>from white space devices</w:t>
      </w:r>
      <w:r>
        <w:t xml:space="preserve">. </w:t>
      </w:r>
      <w:r w:rsidR="00581E89">
        <w:t xml:space="preserve"> </w:t>
      </w:r>
      <w:r>
        <w:t>Under the current rules, white space devices are prohibited from operating co-channel and adjacent channel to the TV channel(s) being received by these facilities over an arc of ±30 degrees from a line between the receive site and each associated transmitter.  The protection zone extends to a maximum distance of 80 kilometers from the protected receiver toward its associated transmitter for co-channel operations and to 20 kilometers for adjacent channel operation.</w:t>
      </w:r>
      <w:r>
        <w:rPr>
          <w:rStyle w:val="FootnoteReference"/>
        </w:rPr>
        <w:footnoteReference w:id="53"/>
      </w:r>
      <w:r>
        <w:t xml:space="preserve">  In addition, to prevent interference from white space device signals outside the main beam of the protected receive antenna, white space devices are prohibited from operating within a circular area of 10.2 kilometers co-channel and 2.5 kilometers adjacent channel from the receive sites in all directions off the ±30 degree arc when a white space device operates at an EIRP between four and ten watts.  We believe the 80-kilometer co-channel and 20-kilometer adjacent channel protection distances are large enough to sufficiently protect these protected receive sites from interference from fixed devices operating at 16 watts EIRP.  However, to protect these sites from white space devices that are located outside the main beam, we believe a modest increase in distance is necessary.  We are therefore proposing to adjust those distances to prohibit fixed devices operating with EIRP</w:t>
      </w:r>
      <w:r w:rsidR="003E66E6">
        <w:t>s</w:t>
      </w:r>
      <w:r>
        <w:t xml:space="preserve"> greater than 10 watts from operating within </w:t>
      </w:r>
      <w:r w:rsidR="00D65BB6">
        <w:t xml:space="preserve">16.6 </w:t>
      </w:r>
      <w:r>
        <w:t xml:space="preserve">kilometers co-channel and </w:t>
      </w:r>
      <w:r w:rsidR="00D65BB6">
        <w:t xml:space="preserve">3.5 </w:t>
      </w:r>
      <w:r>
        <w:t xml:space="preserve">kilometers adjacent channel </w:t>
      </w:r>
      <w:r w:rsidR="003E66E6">
        <w:t>outside the ±</w:t>
      </w:r>
      <w:r w:rsidR="003E66E6">
        <w:t>30 degree</w:t>
      </w:r>
      <w:r w:rsidR="003E66E6">
        <w:t xml:space="preserve"> arc </w:t>
      </w:r>
      <w:r>
        <w:t xml:space="preserve">of the protected received site.  We seek comment on this proposal.  Is an increase in separation distances necessary within the main beam of the antenna, and </w:t>
      </w:r>
      <w:r w:rsidR="00923B3C">
        <w:t xml:space="preserve">if </w:t>
      </w:r>
      <w:r>
        <w:t>so, what are the appropriate distances and how should they be calculated?</w:t>
      </w:r>
      <w:r w:rsidRPr="003E66E6" w:rsidR="003E66E6">
        <w:t xml:space="preserve"> </w:t>
      </w:r>
      <w:r w:rsidR="003E66E6">
        <w:t xml:space="preserve"> Are increased separation distances necessary to protect receive sites outside the main beam of the receive antenna, and are the proposed separation distances appropriate?</w:t>
      </w:r>
    </w:p>
    <w:p w:rsidR="005D59B1" w:rsidP="00042576">
      <w:pPr>
        <w:pStyle w:val="ParaNum"/>
      </w:pPr>
      <w:r>
        <w:t>We also propose changes to the protection criteria for the private land mobile radio services and commercial mobile radio services (PLMRS/CMRS).  These services operate on TV channels 14-20 in 11 major markets and in some additional areas under rule waivers.</w:t>
      </w:r>
      <w:r>
        <w:rPr>
          <w:rStyle w:val="FootnoteReference"/>
        </w:rPr>
        <w:footnoteReference w:id="54"/>
      </w:r>
      <w:r>
        <w:t xml:space="preserve">  PLMRS/CMRS operations are protected from interference from white space devices through a circular exclusion zone extending from the center of each market, or from specific geographic coordinates for operations under a waiver.</w:t>
      </w:r>
      <w:r>
        <w:rPr>
          <w:rStyle w:val="FootnoteReference"/>
        </w:rPr>
        <w:footnoteReference w:id="55"/>
      </w:r>
      <w:r>
        <w:t xml:space="preserve">  </w:t>
      </w:r>
      <w:r>
        <w:t xml:space="preserve">These exclusion zones are based on the Commission’s methodology described in the </w:t>
      </w:r>
      <w:r w:rsidRPr="003A02D0">
        <w:rPr>
          <w:i/>
        </w:rPr>
        <w:t>White Spaces Second</w:t>
      </w:r>
      <w:r>
        <w:rPr>
          <w:i/>
        </w:rPr>
        <w:t xml:space="preserve"> Report and Order</w:t>
      </w:r>
      <w:r>
        <w:t>.</w:t>
      </w:r>
      <w:r>
        <w:rPr>
          <w:rStyle w:val="FootnoteReference"/>
        </w:rPr>
        <w:footnoteReference w:id="56"/>
      </w:r>
      <w:r>
        <w:t xml:space="preserve">  Using the same methodology the Commission previously used to determine the protection zones, we propose that fixed white space devices operating at more than 10 watts EIRP in less congested areas may not operate within a circular exclusion zone of </w:t>
      </w:r>
      <w:r w:rsidR="00CF3439">
        <w:t xml:space="preserve">139.2 </w:t>
      </w:r>
      <w:r>
        <w:t xml:space="preserve">kilometers co-channel and </w:t>
      </w:r>
      <w:r w:rsidR="00CF3439">
        <w:t xml:space="preserve">132.2 </w:t>
      </w:r>
      <w:r>
        <w:t xml:space="preserve">kilometers adjacent channel of the 11 major markets where PLMRS/CMRS stations are permitted to operate and within </w:t>
      </w:r>
      <w:r w:rsidR="00CF3439">
        <w:t xml:space="preserve">59.2 </w:t>
      </w:r>
      <w:r>
        <w:t xml:space="preserve">kilometers co-channel and </w:t>
      </w:r>
      <w:r w:rsidR="00CF3439">
        <w:t xml:space="preserve">52.2 </w:t>
      </w:r>
      <w:r>
        <w:t xml:space="preserve">kilometers adjacent channel of PLMRS/CMRS base stations operating outside the 11 major markets under a waiver.  We seek comment on these proposals.  Are the proposed separation distances appropriate to protect PLMRS/CMRS operations?  Should we define three sets of exclusion zones based on power levels, </w:t>
      </w:r>
      <w:r w:rsidR="00785CBC">
        <w:t>e.g.</w:t>
      </w:r>
      <w:r>
        <w:t xml:space="preserve">, up to four watts, between four and ten watts, and greater than ten watts, or should </w:t>
      </w:r>
      <w:r w:rsidR="003E66E6">
        <w:t xml:space="preserve">we </w:t>
      </w:r>
      <w:r>
        <w:t xml:space="preserve">combine </w:t>
      </w:r>
      <w:r w:rsidR="003E66E6">
        <w:t xml:space="preserve">two or more tiers </w:t>
      </w:r>
      <w:r>
        <w:t xml:space="preserve">for simplicity </w:t>
      </w:r>
      <w:r w:rsidR="003E66E6">
        <w:t xml:space="preserve">as </w:t>
      </w:r>
      <w:r>
        <w:t>there is not a large difference between them?</w:t>
      </w:r>
      <w:r w:rsidR="00E55C44">
        <w:t xml:space="preserve">  </w:t>
      </w:r>
      <w:r w:rsidRPr="00E55C44" w:rsidR="00E55C44">
        <w:t>What effect might these proposals have on implementing the statutory directive for the Commission to transition public safety operations out of T-Band and auction the spectrum for use by other services?</w:t>
      </w:r>
      <w:r>
        <w:rPr>
          <w:rStyle w:val="FootnoteReference"/>
        </w:rPr>
        <w:footnoteReference w:id="57"/>
      </w:r>
    </w:p>
    <w:p w:rsidR="002D1010" w:rsidP="00FB0AB9">
      <w:pPr>
        <w:pStyle w:val="ParaNum"/>
      </w:pPr>
      <w:r>
        <w:t>With regard to</w:t>
      </w:r>
      <w:r>
        <w:t xml:space="preserve"> licensed wireless microphones, we propose to increase the minimum required separation distance from fixed white space devices operating at power levels greater than 10 watts from one kilometer to 1.3 kilometers.  This proposed change is intended to provide the same </w:t>
      </w:r>
      <w:r w:rsidR="003E66E6">
        <w:t xml:space="preserve">protection </w:t>
      </w:r>
      <w:r>
        <w:t>level to licensed wireless microphones as the current rules.</w:t>
      </w:r>
      <w:r>
        <w:rPr>
          <w:rStyle w:val="FootnoteReference"/>
        </w:rPr>
        <w:footnoteReference w:id="58"/>
      </w:r>
      <w:r>
        <w:t xml:space="preserve">  We calculated this increased distance using the conservative assumption of free space propagation.</w:t>
      </w:r>
      <w:r>
        <w:rPr>
          <w:rStyle w:val="FootnoteReference"/>
        </w:rPr>
        <w:footnoteReference w:id="59"/>
      </w:r>
      <w:r>
        <w:t xml:space="preserve">  We seek comment on this proposal.  Is it necessary to increase the minimum required separation distance from licensed wireless microphones, and is our proposed distance appropriate?</w:t>
      </w:r>
    </w:p>
    <w:p w:rsidR="005F5FA9" w:rsidP="007238AC">
      <w:pPr>
        <w:pStyle w:val="Heading2"/>
      </w:pPr>
      <w:bookmarkStart w:id="94" w:name="_Toc21593289"/>
      <w:bookmarkStart w:id="95" w:name="_Toc22213763"/>
      <w:bookmarkStart w:id="96" w:name="_Toc22628842"/>
      <w:bookmarkStart w:id="97" w:name="_Toc22740314"/>
      <w:bookmarkStart w:id="98" w:name="_Toc22822477"/>
      <w:bookmarkStart w:id="99" w:name="_Toc30693986"/>
      <w:bookmarkStart w:id="100" w:name="_Toc31721173"/>
      <w:bookmarkStart w:id="101" w:name="_Toc33614421"/>
      <w:r>
        <w:t xml:space="preserve">Definition of </w:t>
      </w:r>
      <w:r w:rsidR="004751A5">
        <w:t>“</w:t>
      </w:r>
      <w:r>
        <w:t>less congested</w:t>
      </w:r>
      <w:r w:rsidR="004751A5">
        <w:t>”</w:t>
      </w:r>
      <w:r>
        <w:t xml:space="preserve"> area</w:t>
      </w:r>
      <w:bookmarkEnd w:id="90"/>
      <w:bookmarkEnd w:id="91"/>
      <w:bookmarkEnd w:id="92"/>
      <w:bookmarkEnd w:id="94"/>
      <w:bookmarkEnd w:id="95"/>
      <w:bookmarkEnd w:id="96"/>
      <w:bookmarkEnd w:id="97"/>
      <w:bookmarkEnd w:id="98"/>
      <w:bookmarkEnd w:id="99"/>
      <w:bookmarkEnd w:id="100"/>
      <w:bookmarkEnd w:id="101"/>
    </w:p>
    <w:p w:rsidR="00597FE1" w:rsidP="00902033">
      <w:pPr>
        <w:pStyle w:val="ParaNum"/>
      </w:pPr>
      <w:r>
        <w:t xml:space="preserve">To provide more flexibility to white space device operators in rural areas, the Commission in its 2015 </w:t>
      </w:r>
      <w:r w:rsidRPr="000D648C">
        <w:rPr>
          <w:i/>
        </w:rPr>
        <w:t xml:space="preserve">White Spaces Order </w:t>
      </w:r>
      <w:r>
        <w:t>modified the Part 15 rules to permit fixed white space device operators in “less congested” areas to operate beyond the 4 watt EIRP limit up to 10 watts EIRP to increase their service range and provide increased opportunities to serve more distant customers at less cost.</w:t>
      </w:r>
      <w:r>
        <w:rPr>
          <w:rStyle w:val="FootnoteReference"/>
        </w:rPr>
        <w:footnoteReference w:id="60"/>
      </w:r>
      <w:r>
        <w:t xml:space="preserve">  As defined and set forth in that order, fixed white space devices are allowed to operate in the low VHF, high VHF, and UHF </w:t>
      </w:r>
      <w:r w:rsidR="00C41996">
        <w:t xml:space="preserve">TV </w:t>
      </w:r>
      <w:r>
        <w:t xml:space="preserve">bands in “less congested” locations where within the band of intended </w:t>
      </w:r>
      <w:r>
        <w:t>operation at least half of the TV channels that will continue to be allocated and assigned only for broadcast service are unused for broadcast and other protected services and are available for white space device use.</w:t>
      </w:r>
      <w:r>
        <w:rPr>
          <w:rStyle w:val="FootnoteReference"/>
        </w:rPr>
        <w:footnoteReference w:id="61"/>
      </w:r>
      <w:r>
        <w:t xml:space="preserve">  </w:t>
      </w:r>
      <w:r w:rsidR="00E937F2">
        <w:t>The Commission chose th</w:t>
      </w:r>
      <w:r w:rsidR="00B61F0B">
        <w:t>is</w:t>
      </w:r>
      <w:r w:rsidR="00E937F2">
        <w:t xml:space="preserve"> definition of “less congested” because it identifies those locations where a large amount of spectrum is available for white space devices.</w:t>
      </w:r>
      <w:r>
        <w:rPr>
          <w:rStyle w:val="FootnoteReference"/>
        </w:rPr>
        <w:footnoteReference w:id="62"/>
      </w:r>
      <w:r w:rsidR="00E937F2">
        <w:t xml:space="preserve"> </w:t>
      </w:r>
      <w:r w:rsidR="00B61F0B">
        <w:t xml:space="preserve"> </w:t>
      </w:r>
      <w:r w:rsidR="00E937F2">
        <w:t>An area where the spectrum is “less congested” would typically be a rural or semi-rural area.  The Commission noted that a population-based metric may not correlate to the same areas.</w:t>
      </w:r>
      <w:r>
        <w:rPr>
          <w:rStyle w:val="FootnoteReference"/>
        </w:rPr>
        <w:footnoteReference w:id="63"/>
      </w:r>
    </w:p>
    <w:p w:rsidR="00A70B77" w:rsidP="002B395A">
      <w:pPr>
        <w:pStyle w:val="ParaNum"/>
      </w:pPr>
      <w:r>
        <w:t>We seek comment on whether any changes are necessary to the definition of “less congested” area</w:t>
      </w:r>
      <w:r w:rsidRPr="00597FE1">
        <w:t xml:space="preserve"> </w:t>
      </w:r>
      <w:r>
        <w:t xml:space="preserve">given the revised rules that we are proposing in this NPRM.  Is the current definition appropriate, i.e., that half the channels in the band of operation </w:t>
      </w:r>
      <w:r w:rsidR="00A25C19">
        <w:t xml:space="preserve">be </w:t>
      </w:r>
      <w:r>
        <w:t xml:space="preserve">vacant?  If not, what is </w:t>
      </w:r>
      <w:r w:rsidR="00A25C19">
        <w:t>an</w:t>
      </w:r>
      <w:r>
        <w:t xml:space="preserve"> appropriate metric for defining “less congested” area?  </w:t>
      </w:r>
      <w:r w:rsidR="00A25C19">
        <w:t xml:space="preserve">Because </w:t>
      </w:r>
      <w:r>
        <w:t xml:space="preserve">the number of vacant channels at a location can vary based on the EIRP and HAAT of a white space device, should we define vacant channels at a </w:t>
      </w:r>
      <w:r>
        <w:t>particular antenna</w:t>
      </w:r>
      <w:r>
        <w:t xml:space="preserve"> height and power level?  </w:t>
      </w:r>
      <w:r w:rsidR="0053293D">
        <w:t>Nominet expressed concern that</w:t>
      </w:r>
      <w:r w:rsidR="00B85419">
        <w:t xml:space="preserve"> </w:t>
      </w:r>
      <w:r w:rsidR="000618B2">
        <w:t xml:space="preserve">because </w:t>
      </w:r>
      <w:r w:rsidR="00B85419">
        <w:t>the required separation distances from TV station contours vary according to white space device</w:t>
      </w:r>
      <w:r w:rsidR="0053293D">
        <w:t xml:space="preserve"> HAAT, it can be difficult to determine the precise number of channels that may be vacant in any given area</w:t>
      </w:r>
      <w:r w:rsidR="00B85419">
        <w:t>.</w:t>
      </w:r>
      <w:r w:rsidR="0053293D">
        <w:t xml:space="preserve"> </w:t>
      </w:r>
      <w:r w:rsidR="00570C94">
        <w:t xml:space="preserve"> </w:t>
      </w:r>
      <w:r w:rsidR="0053293D">
        <w:t xml:space="preserve">Nominet proposes that the Commission revise the definition to one based on population density, which would </w:t>
      </w:r>
      <w:r w:rsidR="005F6CC3">
        <w:t xml:space="preserve">make it easier to determine where </w:t>
      </w:r>
      <w:r w:rsidR="00B85419">
        <w:t>devices</w:t>
      </w:r>
      <w:r w:rsidR="005F6CC3">
        <w:t xml:space="preserve"> that operate with higher </w:t>
      </w:r>
      <w:r w:rsidR="00B85419">
        <w:t xml:space="preserve">power or </w:t>
      </w:r>
      <w:r w:rsidR="005F6CC3">
        <w:t xml:space="preserve">antenna </w:t>
      </w:r>
      <w:r w:rsidR="00B85419">
        <w:t xml:space="preserve">height </w:t>
      </w:r>
      <w:r w:rsidR="005F6CC3">
        <w:t>can be deployed to serve more rural areas</w:t>
      </w:r>
      <w:r w:rsidR="00570C94">
        <w:t>.</w:t>
      </w:r>
      <w:r>
        <w:rPr>
          <w:rStyle w:val="FootnoteReference"/>
        </w:rPr>
        <w:footnoteReference w:id="64"/>
      </w:r>
      <w:r w:rsidR="005F6CC3">
        <w:t xml:space="preserve"> </w:t>
      </w:r>
      <w:r w:rsidR="0053293D">
        <w:t xml:space="preserve"> </w:t>
      </w:r>
      <w:r>
        <w:t>Should we instead base the definition</w:t>
      </w:r>
      <w:r w:rsidRPr="004264A3">
        <w:t xml:space="preserve"> </w:t>
      </w:r>
      <w:r>
        <w:t xml:space="preserve">of “less congested” on the population density of </w:t>
      </w:r>
      <w:r w:rsidR="00A25C19">
        <w:t>an</w:t>
      </w:r>
      <w:r>
        <w:t xml:space="preserve"> area where the white space device is located as suggested by Nominet?  </w:t>
      </w:r>
      <w:r w:rsidR="005F2F9A">
        <w:t xml:space="preserve">If we were to adopt a definition of “less congested” based on population density, what is the appropriate population density and how would the white space database determine whether a location meets the definition?  </w:t>
      </w:r>
      <w:r w:rsidR="00C41996">
        <w:t xml:space="preserve">How would such changes affect the availability of </w:t>
      </w:r>
      <w:r w:rsidR="005F2F9A">
        <w:t>“</w:t>
      </w:r>
      <w:r w:rsidR="00C41996">
        <w:t>less congested</w:t>
      </w:r>
      <w:r w:rsidR="005F2F9A">
        <w:t>”</w:t>
      </w:r>
      <w:r w:rsidR="00C41996">
        <w:t xml:space="preserve"> areas compared to those available today?  Would such areas be more pervasive? Or less?  Are there other technical requirements we could adopt in conjunction with a change to the definition of </w:t>
      </w:r>
      <w:r w:rsidR="001C4DF5">
        <w:t>“</w:t>
      </w:r>
      <w:r w:rsidR="00C41996">
        <w:t>less congested</w:t>
      </w:r>
      <w:r w:rsidR="001C4DF5">
        <w:t>”</w:t>
      </w:r>
      <w:r w:rsidR="00C41996">
        <w:t xml:space="preserve"> areas to reduce the potential of causing harmful interference when higher EIRP and HAATs are used? </w:t>
      </w:r>
      <w:r w:rsidR="008C62D5">
        <w:t xml:space="preserve"> </w:t>
      </w:r>
      <w:r w:rsidR="002E4833">
        <w:t>Finally, we request comment on the benefits or costs of any changes to the Commission’s current definition.</w:t>
      </w:r>
    </w:p>
    <w:p w:rsidR="005F5FA9" w:rsidP="008C62D5">
      <w:pPr>
        <w:pStyle w:val="Heading2"/>
      </w:pPr>
      <w:bookmarkStart w:id="102" w:name="_Toc16172277"/>
      <w:bookmarkStart w:id="103" w:name="_Toc17356053"/>
      <w:bookmarkStart w:id="104" w:name="_Toc17362404"/>
      <w:bookmarkStart w:id="105" w:name="_Toc21593290"/>
      <w:bookmarkStart w:id="106" w:name="_Toc22213764"/>
      <w:bookmarkStart w:id="107" w:name="_Toc22628843"/>
      <w:bookmarkStart w:id="108" w:name="_Toc22740315"/>
      <w:bookmarkStart w:id="109" w:name="_Toc22822478"/>
      <w:bookmarkStart w:id="110" w:name="_Toc30693987"/>
      <w:bookmarkStart w:id="111" w:name="_Toc31721174"/>
      <w:bookmarkStart w:id="112" w:name="_Toc33614422"/>
      <w:r>
        <w:t>Higher power</w:t>
      </w:r>
      <w:r>
        <w:t xml:space="preserve"> mobile </w:t>
      </w:r>
      <w:bookmarkEnd w:id="102"/>
      <w:bookmarkEnd w:id="103"/>
      <w:bookmarkEnd w:id="104"/>
      <w:bookmarkEnd w:id="105"/>
      <w:bookmarkEnd w:id="106"/>
      <w:bookmarkEnd w:id="107"/>
      <w:bookmarkEnd w:id="108"/>
      <w:bookmarkEnd w:id="109"/>
      <w:r>
        <w:t xml:space="preserve">operation </w:t>
      </w:r>
      <w:r w:rsidR="00A679AB">
        <w:t>within “geo</w:t>
      </w:r>
      <w:r w:rsidR="00756C8C">
        <w:t>-</w:t>
      </w:r>
      <w:r w:rsidR="00A679AB">
        <w:t>fenced” areas</w:t>
      </w:r>
      <w:bookmarkEnd w:id="110"/>
      <w:bookmarkEnd w:id="111"/>
      <w:bookmarkEnd w:id="112"/>
    </w:p>
    <w:p w:rsidR="00AB29DA" w:rsidP="00A70B77">
      <w:pPr>
        <w:pStyle w:val="ParaNum"/>
      </w:pPr>
      <w:r>
        <w:t xml:space="preserve">The white space rules permit two general classes of devices, fixed </w:t>
      </w:r>
      <w:r>
        <w:t xml:space="preserve">devices </w:t>
      </w:r>
      <w:r>
        <w:t xml:space="preserve">and </w:t>
      </w:r>
      <w:r w:rsidR="00493C9C">
        <w:t>personal/</w:t>
      </w:r>
      <w:r>
        <w:t>portable</w:t>
      </w:r>
      <w:r>
        <w:t xml:space="preserve"> devices</w:t>
      </w:r>
      <w:r>
        <w:t>.</w:t>
      </w:r>
      <w:r w:rsidR="00512036">
        <w:t xml:space="preserve">  </w:t>
      </w:r>
      <w:r w:rsidR="00FB6BDD">
        <w:t xml:space="preserve">As </w:t>
      </w:r>
      <w:r w:rsidR="00900EBA">
        <w:t>noted</w:t>
      </w:r>
      <w:r w:rsidR="00FB6BDD">
        <w:t xml:space="preserve"> above, u</w:t>
      </w:r>
      <w:r w:rsidR="00512036">
        <w:t xml:space="preserve">nder the current rules fixed </w:t>
      </w:r>
      <w:r>
        <w:t xml:space="preserve">white space </w:t>
      </w:r>
      <w:r w:rsidR="00512036">
        <w:t xml:space="preserve">devices may operate with up to four watts EIRP generally, and up to </w:t>
      </w:r>
      <w:r w:rsidR="000F4C5F">
        <w:t>10</w:t>
      </w:r>
      <w:r w:rsidR="00512036">
        <w:t xml:space="preserve"> watts in </w:t>
      </w:r>
      <w:r>
        <w:t>“</w:t>
      </w:r>
      <w:r w:rsidR="00512036">
        <w:t>less congested</w:t>
      </w:r>
      <w:r>
        <w:t>”</w:t>
      </w:r>
      <w:r w:rsidR="00512036">
        <w:t xml:space="preserve"> areas.  P</w:t>
      </w:r>
      <w:r w:rsidR="00493C9C">
        <w:t>ersonal/p</w:t>
      </w:r>
      <w:r w:rsidR="00512036">
        <w:t xml:space="preserve">ortable devices may operate with a maximum </w:t>
      </w:r>
      <w:r w:rsidR="00900EBA">
        <w:t>EIRP</w:t>
      </w:r>
      <w:r w:rsidR="00512036">
        <w:t xml:space="preserve"> of 100 milliwatts</w:t>
      </w:r>
      <w:r>
        <w:t>,</w:t>
      </w:r>
      <w:r>
        <w:rPr>
          <w:rStyle w:val="FootnoteReference"/>
        </w:rPr>
        <w:footnoteReference w:id="65"/>
      </w:r>
      <w:r w:rsidRPr="00875B12" w:rsidR="00875B12">
        <w:t xml:space="preserve"> may load channel availability information for multiple locations </w:t>
      </w:r>
      <w:r w:rsidR="00875B12">
        <w:t xml:space="preserve">from the white space database </w:t>
      </w:r>
      <w:r w:rsidRPr="00875B12" w:rsidR="00875B12">
        <w:t xml:space="preserve">and use that information to define a geographic area within which it can operate </w:t>
      </w:r>
      <w:r w:rsidR="00875B12">
        <w:t xml:space="preserve">on a mobile basis </w:t>
      </w:r>
      <w:r w:rsidRPr="00875B12" w:rsidR="00875B12">
        <w:t>on the same available channels at all locations</w:t>
      </w:r>
      <w:r w:rsidR="008779C5">
        <w:t>,</w:t>
      </w:r>
      <w:r w:rsidRPr="00875B12" w:rsidR="00875B12">
        <w:t xml:space="preserve"> </w:t>
      </w:r>
      <w:r w:rsidR="008779C5">
        <w:t xml:space="preserve">and </w:t>
      </w:r>
      <w:r>
        <w:t>they</w:t>
      </w:r>
      <w:r w:rsidRPr="00875B12" w:rsidR="00875B12">
        <w:t xml:space="preserve"> must contact the database again if </w:t>
      </w:r>
      <w:r>
        <w:t>they</w:t>
      </w:r>
      <w:r w:rsidRPr="00875B12">
        <w:t xml:space="preserve"> </w:t>
      </w:r>
      <w:r w:rsidRPr="00875B12" w:rsidR="00875B12">
        <w:t>move beyond the boundary of the area where the channel availability data is valid.</w:t>
      </w:r>
      <w:r>
        <w:rPr>
          <w:rStyle w:val="FootnoteReference"/>
        </w:rPr>
        <w:footnoteReference w:id="66"/>
      </w:r>
      <w:r w:rsidR="00916FE8">
        <w:t xml:space="preserve"> </w:t>
      </w:r>
    </w:p>
    <w:p w:rsidR="00493C9C" w:rsidP="00A70B77">
      <w:pPr>
        <w:pStyle w:val="ParaNum"/>
      </w:pPr>
      <w:r>
        <w:t xml:space="preserve">In its petition, </w:t>
      </w:r>
      <w:r>
        <w:t>Microsoft requests that the Commission permit the use of fixed devices on mobile platforms</w:t>
      </w:r>
      <w:r w:rsidR="008779C5">
        <w:t>,</w:t>
      </w:r>
      <w:r>
        <w:t xml:space="preserve"> </w:t>
      </w:r>
      <w:r w:rsidR="008779C5">
        <w:t xml:space="preserve">such as school buses or agricultural equipment, </w:t>
      </w:r>
      <w:r w:rsidR="00916FE8">
        <w:t>within “geo</w:t>
      </w:r>
      <w:r w:rsidR="00900EBA">
        <w:t>-</w:t>
      </w:r>
      <w:r w:rsidR="00916FE8">
        <w:t>fenced” areas</w:t>
      </w:r>
      <w:r w:rsidR="004F6460">
        <w:t xml:space="preserve">, i.e., defined </w:t>
      </w:r>
      <w:r w:rsidR="004F6460">
        <w:t>geographic areas over which a mobile device is permitted to operate</w:t>
      </w:r>
      <w:r w:rsidR="00127FE8">
        <w:t>.</w:t>
      </w:r>
      <w:r>
        <w:rPr>
          <w:rStyle w:val="FootnoteReference"/>
        </w:rPr>
        <w:footnoteReference w:id="67"/>
      </w:r>
      <w:r w:rsidR="009B006A">
        <w:t xml:space="preserve"> </w:t>
      </w:r>
      <w:r w:rsidR="00916FE8">
        <w:t xml:space="preserve"> </w:t>
      </w:r>
      <w:r w:rsidR="00127FE8">
        <w:t>This proposal is</w:t>
      </w:r>
      <w:r w:rsidR="00916FE8">
        <w:t xml:space="preserve"> analogous </w:t>
      </w:r>
      <w:r w:rsidR="00127FE8">
        <w:t xml:space="preserve">in many respects </w:t>
      </w:r>
      <w:r w:rsidR="00916FE8">
        <w:t xml:space="preserve">to </w:t>
      </w:r>
      <w:r w:rsidR="00127FE8">
        <w:t xml:space="preserve">the rules </w:t>
      </w:r>
      <w:r w:rsidR="00916FE8">
        <w:t>for personal/portable devices</w:t>
      </w:r>
      <w:r w:rsidRPr="00127FE8" w:rsidR="00127FE8">
        <w:t xml:space="preserve"> </w:t>
      </w:r>
      <w:r w:rsidR="00127FE8">
        <w:t>that are permitted to operate within a defined geographic area.  Microsoft, however, proposes to permit mobile white space devices to operate at higher power levels than the rules currently permit for personal/portable devices</w:t>
      </w:r>
      <w:r w:rsidR="00A25C19">
        <w:t xml:space="preserve"> (i.e., at the same power level as is permitted for fixed white space devices)</w:t>
      </w:r>
      <w:r w:rsidR="00127FE8">
        <w:t>, and proposes specific</w:t>
      </w:r>
      <w:r w:rsidR="00916FE8">
        <w:t xml:space="preserve"> additional restrictions to prevent harmful interference to users of the TV bands.</w:t>
      </w:r>
      <w:r>
        <w:rPr>
          <w:rStyle w:val="FootnoteReference"/>
        </w:rPr>
        <w:footnoteReference w:id="68"/>
      </w:r>
      <w:r w:rsidR="008F2B47">
        <w:t xml:space="preserve"> </w:t>
      </w:r>
      <w:r w:rsidRPr="00127FE8" w:rsidR="00127FE8">
        <w:t xml:space="preserve"> </w:t>
      </w:r>
      <w:r w:rsidR="00127FE8">
        <w:t>Advocates of white space device operations generally support Microsoft’s proposal.</w:t>
      </w:r>
      <w:r>
        <w:rPr>
          <w:rStyle w:val="FootnoteReference"/>
        </w:rPr>
        <w:footnoteReference w:id="69"/>
      </w:r>
    </w:p>
    <w:p w:rsidR="002E4833" w:rsidP="00916FE8">
      <w:pPr>
        <w:pStyle w:val="ParaNum"/>
      </w:pPr>
      <w:r>
        <w:t xml:space="preserve">We propose to allow white space devices to operate </w:t>
      </w:r>
      <w:r w:rsidR="00AC7DC4">
        <w:t xml:space="preserve">on TV Channels 2-35 </w:t>
      </w:r>
      <w:r>
        <w:t xml:space="preserve">on mobile platforms </w:t>
      </w:r>
      <w:r w:rsidR="004D54F7">
        <w:t xml:space="preserve">within </w:t>
      </w:r>
      <w:r w:rsidR="00880551">
        <w:t>geo</w:t>
      </w:r>
      <w:r w:rsidR="00756C8C">
        <w:t>-</w:t>
      </w:r>
      <w:r w:rsidR="00880551">
        <w:t>fenced areas</w:t>
      </w:r>
      <w:r w:rsidRPr="00AB29DA" w:rsidR="00AB29DA">
        <w:t xml:space="preserve"> </w:t>
      </w:r>
      <w:r w:rsidR="00503044">
        <w:t xml:space="preserve">at higher power levels than the rules currently permit for portable devices, </w:t>
      </w:r>
      <w:r w:rsidR="00AB29DA">
        <w:t xml:space="preserve">and propose to limit such operations to </w:t>
      </w:r>
      <w:r w:rsidR="001C4DF5">
        <w:t>“</w:t>
      </w:r>
      <w:r w:rsidR="00AB29DA">
        <w:t>less congested</w:t>
      </w:r>
      <w:r w:rsidR="001C4DF5">
        <w:t>”</w:t>
      </w:r>
      <w:r w:rsidR="00AB29DA">
        <w:t xml:space="preserve"> areas to limit the</w:t>
      </w:r>
      <w:r w:rsidR="00503044">
        <w:t>ir</w:t>
      </w:r>
      <w:r w:rsidR="00AB29DA">
        <w:t xml:space="preserve"> potential for </w:t>
      </w:r>
      <w:r w:rsidR="001C4DF5">
        <w:t xml:space="preserve">causing </w:t>
      </w:r>
      <w:r w:rsidR="00AB29DA">
        <w:t>harmful interference.</w:t>
      </w:r>
      <w:r>
        <w:t xml:space="preserve">  </w:t>
      </w:r>
      <w:r w:rsidR="00A50FD1">
        <w:t xml:space="preserve">Microsoft </w:t>
      </w:r>
      <w:r w:rsidR="00503044">
        <w:t>suggests</w:t>
      </w:r>
      <w:r w:rsidR="00A50FD1">
        <w:t xml:space="preserve"> that we permit fixed devices to operate on mobile platforms</w:t>
      </w:r>
      <w:r w:rsidR="00A25C19">
        <w:t>.</w:t>
      </w:r>
      <w:r w:rsidR="00A50FD1">
        <w:t xml:space="preserve"> </w:t>
      </w:r>
      <w:r w:rsidR="00A25C19">
        <w:t xml:space="preserve"> However, because fixed stations, by definition, are stations that communicate between fixed points (i.e., stations that do not move),</w:t>
      </w:r>
      <w:r>
        <w:rPr>
          <w:rStyle w:val="FootnoteReference"/>
        </w:rPr>
        <w:footnoteReference w:id="70"/>
      </w:r>
      <w:r w:rsidR="00A25C19">
        <w:t xml:space="preserve"> </w:t>
      </w:r>
      <w:r w:rsidR="00D24CD5">
        <w:t>we are instead proposing to</w:t>
      </w:r>
      <w:r w:rsidR="00A50FD1">
        <w:t xml:space="preserve"> allow </w:t>
      </w:r>
      <w:r w:rsidR="00A25C19">
        <w:t xml:space="preserve">mobile </w:t>
      </w:r>
      <w:r w:rsidR="00A50FD1">
        <w:t xml:space="preserve">Mode II personal/portable </w:t>
      </w:r>
      <w:r w:rsidR="00A25C19">
        <w:t xml:space="preserve">white space </w:t>
      </w:r>
      <w:r w:rsidR="00A50FD1">
        <w:t xml:space="preserve">devices to operate at higher power levels </w:t>
      </w:r>
      <w:r w:rsidR="00A25C19">
        <w:t xml:space="preserve">commensurate with that </w:t>
      </w:r>
      <w:r w:rsidR="00A50FD1">
        <w:t>allowed for fixed devices</w:t>
      </w:r>
      <w:r w:rsidR="00D24CD5">
        <w:t xml:space="preserve"> within “less congested” areas</w:t>
      </w:r>
      <w:r w:rsidR="002D493F">
        <w:t xml:space="preserve"> and limited to pre-cleared geo-fenced areas</w:t>
      </w:r>
      <w:r w:rsidR="00A50FD1">
        <w:t xml:space="preserve">.  </w:t>
      </w:r>
      <w:r w:rsidR="002D493F">
        <w:t xml:space="preserve">These </w:t>
      </w:r>
      <w:r w:rsidR="00AB29DA">
        <w:t xml:space="preserve">types of geo-fenced operations </w:t>
      </w:r>
      <w:r>
        <w:t xml:space="preserve">could benefit persons in rural areas by </w:t>
      </w:r>
      <w:r w:rsidR="00D24CD5">
        <w:t xml:space="preserve">enabling improved communications </w:t>
      </w:r>
      <w:r w:rsidR="007035BB">
        <w:t>on</w:t>
      </w:r>
      <w:r>
        <w:t xml:space="preserve"> </w:t>
      </w:r>
      <w:r w:rsidR="007035BB">
        <w:t>moving vehicles</w:t>
      </w:r>
      <w:r>
        <w:t xml:space="preserve"> such as school buses</w:t>
      </w:r>
      <w:r w:rsidR="00AB29DA">
        <w:t xml:space="preserve"> and</w:t>
      </w:r>
      <w:r>
        <w:t xml:space="preserve"> agricultural equipment, and </w:t>
      </w:r>
      <w:r w:rsidR="00D24CD5">
        <w:t>for applications such as monitoring</w:t>
      </w:r>
      <w:r w:rsidR="00AB29DA">
        <w:t xml:space="preserve"> roaming </w:t>
      </w:r>
      <w:r>
        <w:t>livestock</w:t>
      </w:r>
      <w:r w:rsidR="009B006A">
        <w:t>.</w:t>
      </w:r>
      <w:r>
        <w:rPr>
          <w:rStyle w:val="FootnoteReference"/>
        </w:rPr>
        <w:footnoteReference w:id="71"/>
      </w:r>
      <w:r w:rsidR="00954E6C">
        <w:t xml:space="preserve">  </w:t>
      </w:r>
      <w:r>
        <w:t>We seek comment on the benefits or costs of this proposal with respect to white space device users or other authorized users of the TV band spectrum.</w:t>
      </w:r>
    </w:p>
    <w:p w:rsidR="00916FE8" w:rsidP="00916FE8">
      <w:pPr>
        <w:pStyle w:val="ParaNum"/>
      </w:pPr>
      <w:r>
        <w:t>We note that the</w:t>
      </w:r>
      <w:r w:rsidR="00A973B8">
        <w:t xml:space="preserve"> Commission previously granted a</w:t>
      </w:r>
      <w:r w:rsidR="005F2F9A">
        <w:t xml:space="preserve">n experimental license to Microsoft to provide high speed wireless </w:t>
      </w:r>
      <w:r w:rsidR="00345379">
        <w:t xml:space="preserve">Internet </w:t>
      </w:r>
      <w:r w:rsidR="005F2F9A">
        <w:t>service to school buses and a</w:t>
      </w:r>
      <w:r w:rsidR="00A973B8">
        <w:t xml:space="preserve"> waiver to Deere </w:t>
      </w:r>
      <w:r w:rsidR="006F5235">
        <w:t>&amp;</w:t>
      </w:r>
      <w:r w:rsidR="00A973B8">
        <w:t xml:space="preserve"> Company to permit </w:t>
      </w:r>
      <w:r w:rsidR="005D6294">
        <w:t>operation of a white space device</w:t>
      </w:r>
      <w:r w:rsidR="00A973B8">
        <w:t xml:space="preserve"> on </w:t>
      </w:r>
      <w:r>
        <w:t>a mobile platform, specifically, off-road agricultural equipment.</w:t>
      </w:r>
      <w:r>
        <w:rPr>
          <w:rStyle w:val="FootnoteReference"/>
        </w:rPr>
        <w:footnoteReference w:id="72"/>
      </w:r>
      <w:r>
        <w:t xml:space="preserve">  W</w:t>
      </w:r>
      <w:r w:rsidR="00954E6C">
        <w:t xml:space="preserve">e propose to permit a </w:t>
      </w:r>
      <w:r w:rsidR="00D24CD5">
        <w:t xml:space="preserve">higher power Mode II </w:t>
      </w:r>
      <w:r w:rsidR="00954E6C">
        <w:t xml:space="preserve">white space </w:t>
      </w:r>
      <w:r>
        <w:t xml:space="preserve">device installed on a movable platform </w:t>
      </w:r>
      <w:r w:rsidR="00D24CD5">
        <w:t xml:space="preserve">to </w:t>
      </w:r>
      <w:r>
        <w:t>load channel availability information for multiple locations in the vicinity of its current location</w:t>
      </w:r>
      <w:r w:rsidR="00954E6C">
        <w:t xml:space="preserve"> and to </w:t>
      </w:r>
      <w:r>
        <w:t xml:space="preserve">use that information to define a </w:t>
      </w:r>
      <w:r w:rsidR="00880551">
        <w:t>geo</w:t>
      </w:r>
      <w:r w:rsidR="00756C8C">
        <w:t>-</w:t>
      </w:r>
      <w:r w:rsidR="00880551">
        <w:t xml:space="preserve">fenced area </w:t>
      </w:r>
      <w:r>
        <w:t xml:space="preserve">within which it can operate on the same available channels at all locations. </w:t>
      </w:r>
      <w:r w:rsidR="009B006A">
        <w:t xml:space="preserve"> </w:t>
      </w:r>
      <w:r w:rsidR="00C8079F">
        <w:t xml:space="preserve">Consistent with the requirements for </w:t>
      </w:r>
      <w:r w:rsidR="00575C56">
        <w:t xml:space="preserve">Mode II </w:t>
      </w:r>
      <w:r w:rsidR="00B44721">
        <w:t>personal/</w:t>
      </w:r>
      <w:r w:rsidR="00C8079F">
        <w:t>portable devices, we propose to require that the white space device’s location be checked at least once every 60 seconds while in operation, except while in sleep mode, i.e., in a mode in which the device is inactive but is not powered-down.</w:t>
      </w:r>
      <w:r>
        <w:rPr>
          <w:rStyle w:val="FootnoteReference"/>
        </w:rPr>
        <w:footnoteReference w:id="73"/>
      </w:r>
      <w:r w:rsidR="00C8079F">
        <w:t xml:space="preserve">  </w:t>
      </w:r>
      <w:r w:rsidR="00880551">
        <w:t>We recognize, however, that c</w:t>
      </w:r>
      <w:r w:rsidR="00077575">
        <w:t xml:space="preserve">hecks every 60 seconds may be insufficient to protect services in locations where coverage contours and usage </w:t>
      </w:r>
      <w:r w:rsidR="00B44721">
        <w:t>of</w:t>
      </w:r>
      <w:r w:rsidR="00077575">
        <w:t xml:space="preserve"> wireless microphones varies rapidly from one location to the next.  </w:t>
      </w:r>
      <w:r w:rsidR="00954E6C">
        <w:t xml:space="preserve">To limit the potential of </w:t>
      </w:r>
      <w:r w:rsidR="00C8079F">
        <w:t xml:space="preserve">movable </w:t>
      </w:r>
      <w:r w:rsidR="00954E6C">
        <w:t xml:space="preserve">devices to cause </w:t>
      </w:r>
      <w:r w:rsidR="00880551">
        <w:t xml:space="preserve">harmful </w:t>
      </w:r>
      <w:r w:rsidR="00954E6C">
        <w:t>interference, we propose that a</w:t>
      </w:r>
      <w:r>
        <w:t xml:space="preserve"> device may not </w:t>
      </w:r>
      <w:r>
        <w:t xml:space="preserve">use channel availability information for multiple locations if/when it moves </w:t>
      </w:r>
      <w:r w:rsidR="00767468">
        <w:t xml:space="preserve">closer than </w:t>
      </w:r>
      <w:r>
        <w:t xml:space="preserve">1.6 kilometers </w:t>
      </w:r>
      <w:r w:rsidR="00767468">
        <w:t xml:space="preserve">to </w:t>
      </w:r>
      <w:r>
        <w:t xml:space="preserve">the boundary of the </w:t>
      </w:r>
      <w:r w:rsidR="00767468">
        <w:t xml:space="preserve">geo-fenced </w:t>
      </w:r>
      <w:r>
        <w:t xml:space="preserve">area </w:t>
      </w:r>
      <w:r w:rsidR="000F4C5F">
        <w:t>in which</w:t>
      </w:r>
      <w:r>
        <w:t xml:space="preserve"> the </w:t>
      </w:r>
      <w:r w:rsidR="00767468">
        <w:t>device operates</w:t>
      </w:r>
      <w:r>
        <w:t xml:space="preserve">, or </w:t>
      </w:r>
      <w:r w:rsidR="00767468">
        <w:t xml:space="preserve">at any point </w:t>
      </w:r>
      <w:r>
        <w:t xml:space="preserve">outside that boundary. </w:t>
      </w:r>
      <w:r w:rsidR="00954E6C">
        <w:t xml:space="preserve"> Th</w:t>
      </w:r>
      <w:r w:rsidR="000F4C5F">
        <w:t>is</w:t>
      </w:r>
      <w:r w:rsidR="00954E6C">
        <w:t xml:space="preserve"> proposed limitation is designed to ensure that a device moving at </w:t>
      </w:r>
      <w:r w:rsidR="00C8079F">
        <w:t xml:space="preserve">60 miles </w:t>
      </w:r>
      <w:r w:rsidR="00954E6C">
        <w:t xml:space="preserve">per hour </w:t>
      </w:r>
      <w:r w:rsidR="003B568A">
        <w:t xml:space="preserve">(1.6 kilometers per minute) </w:t>
      </w:r>
      <w:r w:rsidR="00954E6C">
        <w:t>does not cross outside</w:t>
      </w:r>
      <w:r w:rsidR="00C8079F">
        <w:t xml:space="preserve"> the boundary between device re-checks of its location.</w:t>
      </w:r>
      <w:r w:rsidR="00077575">
        <w:t xml:space="preserve"> </w:t>
      </w:r>
      <w:r w:rsidR="00880551">
        <w:t xml:space="preserve"> </w:t>
      </w:r>
      <w:r w:rsidR="00767468">
        <w:t>We further propose</w:t>
      </w:r>
      <w:r w:rsidR="00597FE1">
        <w:t>, as recommended by NAB,</w:t>
      </w:r>
      <w:r w:rsidR="00954E6C">
        <w:t xml:space="preserve"> to prohibit o</w:t>
      </w:r>
      <w:r>
        <w:t>peration on board aircraft or satellite</w:t>
      </w:r>
      <w:r w:rsidR="00954E6C">
        <w:t>s to limit the range at which interference could occur.</w:t>
      </w:r>
      <w:r>
        <w:rPr>
          <w:rStyle w:val="FootnoteReference"/>
        </w:rPr>
        <w:footnoteReference w:id="74"/>
      </w:r>
    </w:p>
    <w:p w:rsidR="005C7F1E" w:rsidP="00916FE8">
      <w:pPr>
        <w:pStyle w:val="ParaNum"/>
      </w:pPr>
      <w:r>
        <w:t>We seek comment on these proposals.</w:t>
      </w:r>
      <w:r w:rsidR="00C8079F">
        <w:t xml:space="preserve">  Should we allow </w:t>
      </w:r>
      <w:r w:rsidR="00D24CD5">
        <w:t xml:space="preserve">Mode II </w:t>
      </w:r>
      <w:r w:rsidR="0097727F">
        <w:t xml:space="preserve">portable </w:t>
      </w:r>
      <w:r w:rsidR="00C8079F">
        <w:t xml:space="preserve">devices to operate </w:t>
      </w:r>
      <w:r w:rsidR="0097727F">
        <w:t>at higher power</w:t>
      </w:r>
      <w:r w:rsidR="00D24CD5">
        <w:t xml:space="preserve"> in “less congested” areas</w:t>
      </w:r>
      <w:r w:rsidR="00C8079F">
        <w:t xml:space="preserve">, and how would such operations benefit persons in </w:t>
      </w:r>
      <w:r w:rsidR="00D24CD5">
        <w:t xml:space="preserve">those </w:t>
      </w:r>
      <w:r w:rsidR="00C8079F">
        <w:t xml:space="preserve">areas? </w:t>
      </w:r>
      <w:r w:rsidR="009B006A">
        <w:t xml:space="preserve"> </w:t>
      </w:r>
      <w:r w:rsidR="00575C56">
        <w:t xml:space="preserve">Should we </w:t>
      </w:r>
      <w:r w:rsidR="00D24CD5">
        <w:t xml:space="preserve">instead </w:t>
      </w:r>
      <w:r w:rsidR="00575C56">
        <w:t>permit devices operating under the fixed device rules to operate on mobile platforms as suggest</w:t>
      </w:r>
      <w:r w:rsidR="00D24CD5">
        <w:t>ed</w:t>
      </w:r>
      <w:r w:rsidR="00575C56">
        <w:t xml:space="preserve"> by Microsoft and others? </w:t>
      </w:r>
      <w:r w:rsidR="00CB6910">
        <w:t xml:space="preserve"> What effect would either approach have on the equipment approval process for white space devices?  For example, could portable Mode II devices be approved at the higher power level for general usage because the database would limit the amount of power that they could use for operations in any specific area?</w:t>
      </w:r>
      <w:r>
        <w:rPr>
          <w:rStyle w:val="FootnoteReference"/>
        </w:rPr>
        <w:footnoteReference w:id="75"/>
      </w:r>
      <w:r w:rsidR="00CB6910">
        <w:t xml:space="preserve">  </w:t>
      </w:r>
      <w:r>
        <w:t>W</w:t>
      </w:r>
      <w:r w:rsidR="00517168">
        <w:t>hat antenna requirements should apply to higher power mobile devices?  We note that</w:t>
      </w:r>
      <w:r>
        <w:t xml:space="preserve"> under the current rules, fixed devices </w:t>
      </w:r>
      <w:r w:rsidR="00517168">
        <w:t>may use detachable antennas with high gain, whereas portable devices must use permanently attached antennas, which can have the effect of limiting antenna size and gain.</w:t>
      </w:r>
      <w:r>
        <w:rPr>
          <w:rStyle w:val="FootnoteReference"/>
        </w:rPr>
        <w:footnoteReference w:id="76"/>
      </w:r>
      <w:r w:rsidR="00517168">
        <w:t xml:space="preserve">  Should we allow higher power mobile devices to use detachable, higher gain antennas</w:t>
      </w:r>
      <w:r w:rsidR="00EE2B44">
        <w:t xml:space="preserve"> as we permit for fixed devices? Can technologies such as electronically steerable beams allow mobile devices to operate with higher gain, and therefore more highly directional, antennas?</w:t>
      </w:r>
      <w:r w:rsidR="00C81949">
        <w:t xml:space="preserve">  If we permit use of detachable antennas for higher power mobile white space devices, should we create a new class of white space devices, such as mobile white space devices</w:t>
      </w:r>
      <w:r w:rsidR="002C29E2">
        <w:t>,</w:t>
      </w:r>
      <w:r w:rsidR="00C81949">
        <w:t xml:space="preserve"> to distinguish such devices from personal/portable white space devices?  Are there other rules that need to be modified or limitations that should be imposed for such use?</w:t>
      </w:r>
    </w:p>
    <w:p w:rsidR="00954E6C" w:rsidRPr="00A70B77" w:rsidP="00916FE8">
      <w:pPr>
        <w:pStyle w:val="ParaNum"/>
      </w:pPr>
      <w:r>
        <w:t xml:space="preserve">We also seek comment on other requirements for higher power mobile white space devices.  </w:t>
      </w:r>
      <w:r w:rsidR="00C8079F">
        <w:t xml:space="preserve">Are the proposed </w:t>
      </w:r>
      <w:r w:rsidR="000F4C5F">
        <w:t xml:space="preserve">operational </w:t>
      </w:r>
      <w:r w:rsidR="00C8079F">
        <w:t xml:space="preserve">limitations </w:t>
      </w:r>
      <w:r w:rsidR="00C8079F">
        <w:t>sufficient</w:t>
      </w:r>
      <w:r w:rsidR="00C8079F">
        <w:t xml:space="preserve"> to protect other users of the TV bands, including </w:t>
      </w:r>
      <w:r w:rsidR="00767468">
        <w:t xml:space="preserve">television, cable </w:t>
      </w:r>
      <w:r w:rsidR="00767468">
        <w:t>headends</w:t>
      </w:r>
      <w:r w:rsidR="00767468">
        <w:t>, translator receive sites</w:t>
      </w:r>
      <w:r w:rsidR="00C8079F">
        <w:t xml:space="preserve"> and wireless microphone users?  Do we need to place limitations on the size of the area over which a </w:t>
      </w:r>
      <w:r w:rsidR="00D24CD5">
        <w:t xml:space="preserve">higher power </w:t>
      </w:r>
      <w:r w:rsidR="00C8079F">
        <w:t xml:space="preserve">mobile </w:t>
      </w:r>
      <w:r w:rsidR="0097727F">
        <w:t>device</w:t>
      </w:r>
      <w:r w:rsidR="00C8079F">
        <w:t xml:space="preserve"> could operate?  </w:t>
      </w:r>
      <w:r w:rsidR="002D493F">
        <w:t xml:space="preserve">Is four watts an appropriate maximum power to permit for such operations or should a different </w:t>
      </w:r>
      <w:r w:rsidR="00767468">
        <w:t xml:space="preserve">maximum power level be permitted </w:t>
      </w:r>
      <w:r w:rsidR="002D493F">
        <w:t>(</w:t>
      </w:r>
      <w:r w:rsidR="00767468">
        <w:t>e.g., 10 watts or 16 watts EIRP</w:t>
      </w:r>
      <w:r w:rsidR="002D493F">
        <w:t>)</w:t>
      </w:r>
      <w:r w:rsidR="00767468">
        <w:t xml:space="preserve">? </w:t>
      </w:r>
      <w:r w:rsidR="000372CC">
        <w:t xml:space="preserve"> </w:t>
      </w:r>
      <w:r w:rsidR="003D2996">
        <w:t>Would</w:t>
      </w:r>
      <w:r w:rsidR="00AC7DC4">
        <w:t xml:space="preserve"> mobile devices operating at </w:t>
      </w:r>
      <w:r w:rsidR="007178F5">
        <w:t>higher</w:t>
      </w:r>
      <w:r w:rsidR="00AC7DC4">
        <w:t xml:space="preserve"> power levels </w:t>
      </w:r>
      <w:r w:rsidR="007178F5">
        <w:t>be able to comply</w:t>
      </w:r>
      <w:r w:rsidR="003D2996">
        <w:t xml:space="preserve"> with the Commission’s</w:t>
      </w:r>
      <w:r w:rsidR="00AC7DC4">
        <w:t xml:space="preserve"> RF safety </w:t>
      </w:r>
      <w:r w:rsidR="003D2996">
        <w:t>requirement</w:t>
      </w:r>
      <w:r w:rsidR="00AC7DC4">
        <w:t>s?</w:t>
      </w:r>
      <w:r>
        <w:rPr>
          <w:rStyle w:val="FootnoteReference"/>
        </w:rPr>
        <w:footnoteReference w:id="77"/>
      </w:r>
      <w:r w:rsidR="00AC7DC4">
        <w:t xml:space="preserve">  </w:t>
      </w:r>
      <w:r w:rsidR="00C8079F">
        <w:t xml:space="preserve">Do we need to specify how </w:t>
      </w:r>
      <w:r w:rsidR="003B568A">
        <w:t>information on an</w:t>
      </w:r>
      <w:r w:rsidR="00C8079F">
        <w:t xml:space="preserve"> area will be provided to </w:t>
      </w:r>
      <w:r w:rsidR="003B568A">
        <w:t>t</w:t>
      </w:r>
      <w:r w:rsidR="00C8079F">
        <w:t>he white space database?</w:t>
      </w:r>
      <w:r>
        <w:rPr>
          <w:rStyle w:val="FootnoteReference"/>
        </w:rPr>
        <w:footnoteReference w:id="78"/>
      </w:r>
      <w:r w:rsidR="00C8079F">
        <w:t xml:space="preserve">  </w:t>
      </w:r>
      <w:r w:rsidR="002D493F">
        <w:t xml:space="preserve">Are any other safeguards needed to ensure that higher power mobile devices do not cause harmful interference to protected operations, especially operations that are close to, but outside, the edge of a pre-cleared geo-fenced area?  </w:t>
      </w:r>
      <w:r w:rsidR="009E5732">
        <w:t>Are there concerns about coexistence between higher power mobile white space devices and other mobile or fixed white space devices?</w:t>
      </w:r>
      <w:r w:rsidR="006A15C6">
        <w:t xml:space="preserve"> </w:t>
      </w:r>
      <w:r w:rsidR="009E5732">
        <w:t xml:space="preserve"> </w:t>
      </w:r>
      <w:r w:rsidR="00C8079F">
        <w:t>Is there a need to prohibit operation on board aircraft and satellites</w:t>
      </w:r>
      <w:r w:rsidR="00582371">
        <w:t xml:space="preserve"> or any other mobile platforms such as trains and boats</w:t>
      </w:r>
      <w:r w:rsidR="00C8079F">
        <w:t>?</w:t>
      </w:r>
      <w:r w:rsidR="00382801">
        <w:t xml:space="preserve"> </w:t>
      </w:r>
      <w:r w:rsidR="006A15C6">
        <w:t xml:space="preserve"> </w:t>
      </w:r>
      <w:r w:rsidR="00382801">
        <w:t xml:space="preserve">Should we limit operation of </w:t>
      </w:r>
      <w:r w:rsidR="00B44721">
        <w:t xml:space="preserve">higher power mobile </w:t>
      </w:r>
      <w:r w:rsidR="00382801">
        <w:t>devices</w:t>
      </w:r>
      <w:r w:rsidR="00F0486A">
        <w:t xml:space="preserve"> to less congested areas as </w:t>
      </w:r>
      <w:r w:rsidR="00767468">
        <w:t xml:space="preserve">we propose and as </w:t>
      </w:r>
      <w:r w:rsidR="00F0486A">
        <w:t>suggested by some commenters?</w:t>
      </w:r>
      <w:r>
        <w:rPr>
          <w:rStyle w:val="FootnoteReference"/>
        </w:rPr>
        <w:footnoteReference w:id="79"/>
      </w:r>
      <w:r w:rsidR="00CB6910">
        <w:t xml:space="preserve">  Are any changes to the white space databases needed to permit the proposed operation?  </w:t>
      </w:r>
    </w:p>
    <w:p w:rsidR="005F5FA9" w:rsidP="008C62D5">
      <w:pPr>
        <w:pStyle w:val="Heading2"/>
      </w:pPr>
      <w:bookmarkStart w:id="113" w:name="_Toc16172278"/>
      <w:bookmarkStart w:id="114" w:name="_Toc17356054"/>
      <w:bookmarkStart w:id="115" w:name="_Toc17362405"/>
      <w:bookmarkStart w:id="116" w:name="_Toc21593291"/>
      <w:bookmarkStart w:id="117" w:name="_Toc22213765"/>
      <w:bookmarkStart w:id="118" w:name="_Toc22628844"/>
      <w:bookmarkStart w:id="119" w:name="_Toc22740316"/>
      <w:bookmarkStart w:id="120" w:name="_Toc22822479"/>
      <w:bookmarkStart w:id="121" w:name="_Toc30693988"/>
      <w:bookmarkStart w:id="122" w:name="_Toc31721175"/>
      <w:bookmarkStart w:id="123" w:name="_Toc33614423"/>
      <w:r>
        <w:t>Narrowband IoT operations</w:t>
      </w:r>
      <w:bookmarkEnd w:id="113"/>
      <w:bookmarkEnd w:id="114"/>
      <w:bookmarkEnd w:id="115"/>
      <w:bookmarkEnd w:id="116"/>
      <w:bookmarkEnd w:id="117"/>
      <w:bookmarkEnd w:id="118"/>
      <w:bookmarkEnd w:id="119"/>
      <w:bookmarkEnd w:id="120"/>
      <w:bookmarkEnd w:id="121"/>
      <w:bookmarkEnd w:id="122"/>
      <w:bookmarkEnd w:id="123"/>
    </w:p>
    <w:p w:rsidR="00554345" w:rsidP="006F6D62">
      <w:pPr>
        <w:pStyle w:val="ParaNum"/>
      </w:pPr>
      <w:r>
        <w:t xml:space="preserve">Fixed white </w:t>
      </w:r>
      <w:r w:rsidR="0074305C">
        <w:t xml:space="preserve">space devices </w:t>
      </w:r>
      <w:r>
        <w:t xml:space="preserve">operating with </w:t>
      </w:r>
      <w:r w:rsidR="00712132">
        <w:t xml:space="preserve">four watts or greater </w:t>
      </w:r>
      <w:r>
        <w:t xml:space="preserve">EIRP </w:t>
      </w:r>
      <w:r w:rsidR="0074305C">
        <w:t xml:space="preserve">must comply with </w:t>
      </w:r>
      <w:r w:rsidR="00EA445B">
        <w:t xml:space="preserve">a </w:t>
      </w:r>
      <w:r w:rsidR="0074305C">
        <w:t xml:space="preserve">power spectral density (PSD) </w:t>
      </w:r>
      <w:r w:rsidR="00373FE3">
        <w:t xml:space="preserve">limit </w:t>
      </w:r>
      <w:r w:rsidR="00EA445B">
        <w:t xml:space="preserve">of </w:t>
      </w:r>
      <w:r w:rsidR="008F62CB">
        <w:t xml:space="preserve">12.6 dBm </w:t>
      </w:r>
      <w:r w:rsidR="002B5677">
        <w:t xml:space="preserve">per </w:t>
      </w:r>
      <w:r w:rsidR="008F62CB">
        <w:t>100 kilohertz</w:t>
      </w:r>
      <w:r w:rsidR="00DC08BE">
        <w:t>,</w:t>
      </w:r>
      <w:r w:rsidR="008F62CB">
        <w:t xml:space="preserve"> </w:t>
      </w:r>
      <w:r w:rsidR="000F4C5F">
        <w:t xml:space="preserve">which </w:t>
      </w:r>
      <w:r w:rsidR="002B5677">
        <w:t xml:space="preserve">limits total conducted power within any 6-megahertz television channel </w:t>
      </w:r>
      <w:r w:rsidR="000F4C5F">
        <w:t xml:space="preserve">to </w:t>
      </w:r>
      <w:r w:rsidR="00373FE3">
        <w:t>30 dBm.</w:t>
      </w:r>
      <w:r>
        <w:rPr>
          <w:rStyle w:val="FootnoteReference"/>
        </w:rPr>
        <w:footnoteReference w:id="80"/>
      </w:r>
      <w:r w:rsidR="00373FE3">
        <w:t xml:space="preserve">  The PSD limit is </w:t>
      </w:r>
      <w:r w:rsidR="002B5677">
        <w:t xml:space="preserve">proportionally </w:t>
      </w:r>
      <w:r w:rsidR="00373FE3">
        <w:t xml:space="preserve">lower for devices operating at lower </w:t>
      </w:r>
      <w:r w:rsidR="008F62CB">
        <w:t>EIRP</w:t>
      </w:r>
      <w:r w:rsidR="00373FE3">
        <w:t xml:space="preserve"> levels.</w:t>
      </w:r>
      <w:r>
        <w:rPr>
          <w:rStyle w:val="FootnoteReference"/>
        </w:rPr>
        <w:footnoteReference w:id="81"/>
      </w:r>
      <w:r w:rsidR="00373FE3">
        <w:t xml:space="preserve"> </w:t>
      </w:r>
      <w:r w:rsidR="000372CC">
        <w:t xml:space="preserve"> </w:t>
      </w:r>
      <w:r w:rsidR="0074305C">
        <w:t xml:space="preserve">The Commission </w:t>
      </w:r>
      <w:r w:rsidRPr="00A32217" w:rsidR="00A32217">
        <w:t>established PSD limits to prevent</w:t>
      </w:r>
      <w:r w:rsidRPr="00E52121" w:rsidR="00E52121">
        <w:t xml:space="preserve"> multiple </w:t>
      </w:r>
      <w:r w:rsidR="00E52121">
        <w:t xml:space="preserve">white space </w:t>
      </w:r>
      <w:r w:rsidRPr="00E52121" w:rsidR="00E52121">
        <w:t xml:space="preserve">devices </w:t>
      </w:r>
      <w:r w:rsidR="00DC08BE">
        <w:t xml:space="preserve">from </w:t>
      </w:r>
      <w:r w:rsidR="00345379">
        <w:t xml:space="preserve">operating at the maximum allowable power </w:t>
      </w:r>
      <w:r w:rsidRPr="00E52121" w:rsidR="00E52121">
        <w:t xml:space="preserve">with transmit bandwidths less than </w:t>
      </w:r>
      <w:r w:rsidR="00E52121">
        <w:t>six</w:t>
      </w:r>
      <w:r w:rsidRPr="00E52121" w:rsidR="00E52121">
        <w:t xml:space="preserve"> megahertz </w:t>
      </w:r>
      <w:r w:rsidR="00DC08BE">
        <w:t xml:space="preserve">within </w:t>
      </w:r>
      <w:r w:rsidRPr="00E52121" w:rsidR="00E52121">
        <w:t xml:space="preserve">a single </w:t>
      </w:r>
      <w:r w:rsidR="002B5677">
        <w:t xml:space="preserve">television </w:t>
      </w:r>
      <w:r w:rsidRPr="00E52121" w:rsidR="00E52121">
        <w:t xml:space="preserve">channel, </w:t>
      </w:r>
      <w:r w:rsidR="00E52121">
        <w:t xml:space="preserve">which </w:t>
      </w:r>
      <w:r w:rsidR="00DC08BE">
        <w:t xml:space="preserve">would </w:t>
      </w:r>
      <w:r w:rsidRPr="00E52121" w:rsidR="00E52121">
        <w:t xml:space="preserve">result in a total transmitted power within </w:t>
      </w:r>
      <w:r w:rsidR="002B5677">
        <w:t xml:space="preserve">that </w:t>
      </w:r>
      <w:r w:rsidRPr="00E52121" w:rsidR="00E52121">
        <w:t>channel significantly greater than the limit.</w:t>
      </w:r>
      <w:r>
        <w:rPr>
          <w:rStyle w:val="FootnoteReference"/>
        </w:rPr>
        <w:footnoteReference w:id="82"/>
      </w:r>
      <w:r w:rsidRPr="00E52121" w:rsidR="00E52121">
        <w:t xml:space="preserve">  </w:t>
      </w:r>
      <w:r w:rsidR="002B5677">
        <w:t xml:space="preserve">These </w:t>
      </w:r>
      <w:r w:rsidR="00DB2315">
        <w:t xml:space="preserve">PSD limits were </w:t>
      </w:r>
      <w:r w:rsidR="00DC08BE">
        <w:t>calculated based upon a single</w:t>
      </w:r>
      <w:r w:rsidR="00DB2315">
        <w:t xml:space="preserve"> white space device </w:t>
      </w:r>
      <w:r w:rsidR="00DC08BE">
        <w:t xml:space="preserve">spreading its energy </w:t>
      </w:r>
      <w:r w:rsidR="0066166F">
        <w:t xml:space="preserve">uniformly </w:t>
      </w:r>
      <w:r w:rsidR="00DC08BE">
        <w:t>across a</w:t>
      </w:r>
      <w:r w:rsidR="00DB2315">
        <w:t xml:space="preserve"> </w:t>
      </w:r>
      <w:r w:rsidR="002B5677">
        <w:t xml:space="preserve">6-megahertz television </w:t>
      </w:r>
      <w:r w:rsidR="00DB2315">
        <w:t>channel bandwidth</w:t>
      </w:r>
      <w:r w:rsidR="002B5677">
        <w:t>.</w:t>
      </w:r>
      <w:r w:rsidR="00DC08BE">
        <w:t xml:space="preserve"> The limit</w:t>
      </w:r>
      <w:r w:rsidR="0066166F">
        <w:t>s</w:t>
      </w:r>
      <w:r w:rsidR="00DC08BE">
        <w:t xml:space="preserve"> serve to limit the maximum power of white space devices with bandwidths of less than 6-megahertz, e.g., a white space device that operates</w:t>
      </w:r>
      <w:r w:rsidR="003951E6">
        <w:t xml:space="preserve"> with a bandwidth of half</w:t>
      </w:r>
      <w:r w:rsidR="00DC08BE">
        <w:t xml:space="preserve"> a </w:t>
      </w:r>
      <w:r w:rsidR="0066166F">
        <w:t>television</w:t>
      </w:r>
      <w:r w:rsidR="00DC08BE">
        <w:t xml:space="preserve"> channel would be limited to half </w:t>
      </w:r>
      <w:r w:rsidR="0066166F">
        <w:t xml:space="preserve">the </w:t>
      </w:r>
      <w:r w:rsidR="00DC08BE">
        <w:t>power</w:t>
      </w:r>
      <w:r w:rsidR="0066166F">
        <w:t xml:space="preserve"> of a device that operates across a full channel</w:t>
      </w:r>
      <w:r w:rsidR="00DC08BE">
        <w:t>.</w:t>
      </w:r>
    </w:p>
    <w:p w:rsidR="00FE65FB" w:rsidP="003F717F">
      <w:pPr>
        <w:pStyle w:val="ParaNum"/>
      </w:pPr>
      <w:r>
        <w:t xml:space="preserve">Microsoft contends that </w:t>
      </w:r>
      <w:r w:rsidR="00554345">
        <w:t xml:space="preserve">the current </w:t>
      </w:r>
      <w:r>
        <w:t>rule</w:t>
      </w:r>
      <w:r w:rsidR="00DB2315">
        <w:t xml:space="preserve"> </w:t>
      </w:r>
      <w:r w:rsidR="000F4C5F">
        <w:t>limits the usefulness of</w:t>
      </w:r>
      <w:r w:rsidR="00DB2315">
        <w:t xml:space="preserve"> white space device</w:t>
      </w:r>
      <w:r>
        <w:t>s</w:t>
      </w:r>
      <w:r w:rsidR="00DB2315">
        <w:t xml:space="preserve"> for narrowband applications such as IoT.</w:t>
      </w:r>
      <w:r>
        <w:rPr>
          <w:rStyle w:val="FootnoteReference"/>
        </w:rPr>
        <w:footnoteReference w:id="83"/>
      </w:r>
      <w:r w:rsidR="002D4AED">
        <w:t xml:space="preserve">  </w:t>
      </w:r>
      <w:r w:rsidR="002419B5">
        <w:t xml:space="preserve">In its petition, </w:t>
      </w:r>
      <w:r w:rsidR="006F6D62">
        <w:t xml:space="preserve">Microsoft </w:t>
      </w:r>
      <w:r w:rsidR="002419B5">
        <w:t>recommends</w:t>
      </w:r>
      <w:r w:rsidR="006F6D62">
        <w:t xml:space="preserve"> that the Commission address </w:t>
      </w:r>
      <w:r w:rsidR="002419B5">
        <w:t>this</w:t>
      </w:r>
      <w:r w:rsidR="006F6D62">
        <w:t xml:space="preserve"> issue and </w:t>
      </w:r>
      <w:r w:rsidR="00554345">
        <w:t xml:space="preserve">provide technical revisions and clarifications to </w:t>
      </w:r>
      <w:r w:rsidR="006F6D62">
        <w:t>support IoT</w:t>
      </w:r>
      <w:r w:rsidR="002419B5">
        <w:t xml:space="preserve"> </w:t>
      </w:r>
      <w:r w:rsidR="006F6D62">
        <w:t>investment and deployment with a small number of targeted rules to enable narrowband devices</w:t>
      </w:r>
      <w:r w:rsidR="002419B5">
        <w:t>.</w:t>
      </w:r>
      <w:r>
        <w:rPr>
          <w:rStyle w:val="FootnoteReference"/>
        </w:rPr>
        <w:footnoteReference w:id="84"/>
      </w:r>
      <w:r w:rsidR="00582371">
        <w:t xml:space="preserve"> </w:t>
      </w:r>
      <w:r w:rsidR="00712132">
        <w:t xml:space="preserve"> </w:t>
      </w:r>
      <w:r w:rsidR="00554345">
        <w:t xml:space="preserve">Microsoft states that IoT </w:t>
      </w:r>
      <w:r w:rsidR="00597FE1">
        <w:t xml:space="preserve">white space devices </w:t>
      </w:r>
      <w:r w:rsidR="00554345">
        <w:t>can leverage the greater range afforded by lower</w:t>
      </w:r>
      <w:r w:rsidR="00597FE1">
        <w:t xml:space="preserve"> </w:t>
      </w:r>
      <w:r w:rsidR="00554345">
        <w:t>transmission frequencies, better penetration through foliage, and non-line-of-sight operation to</w:t>
      </w:r>
      <w:r w:rsidR="00597FE1">
        <w:t xml:space="preserve"> </w:t>
      </w:r>
      <w:r w:rsidR="00554345">
        <w:t>also support large-scale environmental monitoring as well as applications in extractive industries</w:t>
      </w:r>
      <w:r w:rsidR="00597FE1">
        <w:t xml:space="preserve"> </w:t>
      </w:r>
      <w:r w:rsidR="00554345">
        <w:t>that operate predominantly in rural areas.</w:t>
      </w:r>
      <w:r>
        <w:rPr>
          <w:rStyle w:val="FootnoteReference"/>
        </w:rPr>
        <w:footnoteReference w:id="85"/>
      </w:r>
      <w:r w:rsidR="00597FE1">
        <w:t xml:space="preserve">  </w:t>
      </w:r>
      <w:r w:rsidR="00554345">
        <w:t>Microsoft proposes a definition for “narrowband” white space devices, requiring the limitation of bandwidth to no greater than 100 kHz, the incorporation of a listen-before-talk spectrum access mechanism, restriction to certain low-bandwidth data applications, and other restrictions, including prohibition from operation within 250 kHz of the band edge, and application of separation distances that apply to 4 W devices.</w:t>
      </w:r>
      <w:r>
        <w:rPr>
          <w:rStyle w:val="FootnoteReference"/>
        </w:rPr>
        <w:footnoteReference w:id="86"/>
      </w:r>
      <w:r w:rsidR="00554345">
        <w:t xml:space="preserve">  Advocates of white space device operations</w:t>
      </w:r>
      <w:r w:rsidR="00597FE1">
        <w:t xml:space="preserve"> generally </w:t>
      </w:r>
      <w:r w:rsidR="00582371">
        <w:t>support Microsoft’s request to modify the white space rules to accommodate narrowband IoT applications</w:t>
      </w:r>
      <w:r w:rsidR="00597FE1">
        <w:t xml:space="preserve">, with some </w:t>
      </w:r>
      <w:r w:rsidR="000D6D7C">
        <w:t>modifications</w:t>
      </w:r>
      <w:r w:rsidR="00582371">
        <w:t>.</w:t>
      </w:r>
      <w:r>
        <w:rPr>
          <w:rStyle w:val="FootnoteReference"/>
        </w:rPr>
        <w:footnoteReference w:id="87"/>
      </w:r>
      <w:r w:rsidRPr="0086246C" w:rsidR="0086246C">
        <w:t xml:space="preserve"> </w:t>
      </w:r>
      <w:r w:rsidR="00712132">
        <w:t xml:space="preserve"> </w:t>
      </w:r>
      <w:r w:rsidR="0086246C">
        <w:t>NAB also supports the proposal subject to the limitations that Microsoft specified.</w:t>
      </w:r>
      <w:r>
        <w:rPr>
          <w:rStyle w:val="FootnoteReference"/>
        </w:rPr>
        <w:footnoteReference w:id="88"/>
      </w:r>
      <w:r w:rsidR="0086246C">
        <w:t xml:space="preserve">  </w:t>
      </w:r>
      <w:r w:rsidR="00712132">
        <w:t>Radwin</w:t>
      </w:r>
      <w:r w:rsidR="00712132">
        <w:t xml:space="preserve">, in supporting the proposal, states </w:t>
      </w:r>
      <w:r w:rsidR="0086246C">
        <w:t>that the Commission must ensure that the rules include a spectrum management mechanism that provides coordination between broadband and narrowband white space device operations to enable sufficient space between narrowband sub-channels and broadband white space device operations that require full 6-megahertz channels.</w:t>
      </w:r>
      <w:r>
        <w:rPr>
          <w:rStyle w:val="FootnoteReference"/>
        </w:rPr>
        <w:footnoteReference w:id="89"/>
      </w:r>
      <w:r w:rsidR="0086246C">
        <w:t xml:space="preserve">  Commenters supporting wireless </w:t>
      </w:r>
      <w:r w:rsidR="0086246C">
        <w:t>microphone operations in the TV bands either oppose the proposal</w:t>
      </w:r>
      <w:r>
        <w:rPr>
          <w:rStyle w:val="FootnoteReference"/>
        </w:rPr>
        <w:footnoteReference w:id="90"/>
      </w:r>
      <w:r w:rsidR="0086246C">
        <w:t xml:space="preserve"> or state that narrowband devices should be subject to the same or similar emissions masks required for wireless microphone operations.</w:t>
      </w:r>
      <w:r>
        <w:rPr>
          <w:rStyle w:val="FootnoteReference"/>
        </w:rPr>
        <w:footnoteReference w:id="91"/>
      </w:r>
    </w:p>
    <w:p w:rsidR="007A6251" w:rsidP="003F717F">
      <w:pPr>
        <w:pStyle w:val="ParaNum"/>
      </w:pPr>
      <w:r>
        <w:t>We propose to modify the white space rules to facilitate the deployment of narrowband IoT devices.</w:t>
      </w:r>
      <w:r>
        <w:rPr>
          <w:rStyle w:val="FootnoteReference"/>
        </w:rPr>
        <w:footnoteReference w:id="92"/>
      </w:r>
      <w:r>
        <w:t xml:space="preserve">  </w:t>
      </w:r>
      <w:r w:rsidR="00597FE1">
        <w:t xml:space="preserve">TV band frequencies are better able to penetrate foliage and other obstacles than higher frequencies, thus providing improved transmission range for IoT devices. </w:t>
      </w:r>
      <w:r w:rsidR="0086246C">
        <w:t xml:space="preserve"> </w:t>
      </w:r>
      <w:r>
        <w:t>Specifically, we propose to define</w:t>
      </w:r>
      <w:r w:rsidR="003D654D">
        <w:t xml:space="preserve"> a</w:t>
      </w:r>
      <w:r>
        <w:t xml:space="preserve"> “narrowband white space device” as a type of fixed </w:t>
      </w:r>
      <w:r w:rsidR="00FC0308">
        <w:t xml:space="preserve">or personal/portable </w:t>
      </w:r>
      <w:r>
        <w:t>white space device operating in a bandwidth of no greater than 100 kHz</w:t>
      </w:r>
      <w:r w:rsidR="00E302DB">
        <w:t>.</w:t>
      </w:r>
      <w:r>
        <w:t xml:space="preserve"> </w:t>
      </w:r>
      <w:r w:rsidR="000372CC">
        <w:t xml:space="preserve"> </w:t>
      </w:r>
      <w:r>
        <w:t xml:space="preserve">We also propose that narrowband white space devices be client devices that communicate with a fixed </w:t>
      </w:r>
      <w:r w:rsidR="00DF768F">
        <w:t xml:space="preserve">or Mode II </w:t>
      </w:r>
      <w:r>
        <w:t>master device that contacts the white space database to obtain a list of available channels and operating powers at its location.</w:t>
      </w:r>
    </w:p>
    <w:p w:rsidR="007A6251" w:rsidP="00050EAF">
      <w:pPr>
        <w:pStyle w:val="ParaNum"/>
      </w:pPr>
      <w:r>
        <w:t xml:space="preserve">We propose to permit narrowband white space devices to operate with a conducted PSD of up to 12.6 dBm/100 kHz, which is the same level permitted for fixed devices that operate with the maximum permissible one-watt conducted power in a </w:t>
      </w:r>
      <w:r w:rsidR="00060DFC">
        <w:t>six megahertz</w:t>
      </w:r>
      <w:r>
        <w:t xml:space="preserve"> channel, and to require narrowband devices to comply with the same maximum antenna gain requirements as fixed devices.</w:t>
      </w:r>
      <w:r>
        <w:rPr>
          <w:rStyle w:val="FootnoteReference"/>
        </w:rPr>
        <w:footnoteReference w:id="93"/>
      </w:r>
      <w:r>
        <w:t xml:space="preserve">  We further propose to require narrowband white space devices to comply with an emission limit of -42.8 dBm into adjacent channels, i.e., outside of the six megahertz channel in which they operate.  These proposed requirements will </w:t>
      </w:r>
      <w:r w:rsidR="00E302DB">
        <w:t xml:space="preserve">clarify that </w:t>
      </w:r>
      <w:r w:rsidR="003078D1">
        <w:t xml:space="preserve">a white space device can operate with a single or several narrowband carriers rather than having to spread all of its energy across a six megahertz channel and will </w:t>
      </w:r>
      <w:r>
        <w:t xml:space="preserve">ensure that narrowband white space devices have no greater interference potential than </w:t>
      </w:r>
      <w:r w:rsidR="00060DFC">
        <w:t xml:space="preserve">wider bandwidth </w:t>
      </w:r>
      <w:r>
        <w:t xml:space="preserve">devices operating under the current rules. </w:t>
      </w:r>
      <w:r w:rsidR="00031A4A">
        <w:t xml:space="preserve"> T</w:t>
      </w:r>
      <w:r w:rsidR="003D654D">
        <w:t xml:space="preserve">o </w:t>
      </w:r>
      <w:r w:rsidR="00031A4A">
        <w:t>ensure</w:t>
      </w:r>
      <w:r w:rsidR="003D654D">
        <w:t xml:space="preserve"> that the total energy in a single TV channels does not cause harmful interference, we </w:t>
      </w:r>
      <w:r>
        <w:t xml:space="preserve">propose to limit each transmitter to a total </w:t>
      </w:r>
      <w:r w:rsidR="00DB0B80">
        <w:t xml:space="preserve">operation </w:t>
      </w:r>
      <w:r>
        <w:t>of ten seconds per hour.</w:t>
      </w:r>
      <w:r w:rsidRPr="000372CC" w:rsidR="006F395C">
        <w:rPr>
          <w:rStyle w:val="FootnoteReference"/>
          <w:sz w:val="22"/>
          <w:vertAlign w:val="baseline"/>
        </w:rPr>
        <w:t xml:space="preserve"> </w:t>
      </w:r>
      <w:r w:rsidR="006F395C">
        <w:t xml:space="preserve">  We believe that </w:t>
      </w:r>
      <w:r w:rsidR="00675FE0">
        <w:t>this proposal will</w:t>
      </w:r>
      <w:r w:rsidR="006F395C">
        <w:t xml:space="preserve"> prevent narrowband IoT devices from being used for data intensive applications</w:t>
      </w:r>
      <w:r w:rsidR="00675FE0">
        <w:t>, including continuous transmissions, transmissions of audio and video or remote control of toys</w:t>
      </w:r>
      <w:r w:rsidR="006F395C">
        <w:t>.</w:t>
      </w:r>
      <w:r>
        <w:rPr>
          <w:rStyle w:val="FootnoteReference"/>
        </w:rPr>
        <w:footnoteReference w:id="94"/>
      </w:r>
      <w:r w:rsidR="00675FE0">
        <w:t xml:space="preserve"> </w:t>
      </w:r>
      <w:r w:rsidRPr="003078D1" w:rsidR="003078D1">
        <w:t xml:space="preserve"> </w:t>
      </w:r>
    </w:p>
    <w:p w:rsidR="000372CC" w:rsidP="008B6F54">
      <w:pPr>
        <w:pStyle w:val="ParaNum"/>
        <w:widowControl/>
      </w:pPr>
      <w:r>
        <w:t>W</w:t>
      </w:r>
      <w:r w:rsidRPr="00B45CCC" w:rsidR="007A6251">
        <w:t xml:space="preserve">e propose to require narrowband devices to use a channel plan that limits total transmitted power in a six-megahertz channel to no higher than the existing limits for a </w:t>
      </w:r>
      <w:r w:rsidR="00902CDC">
        <w:t xml:space="preserve">four-watt EIRP </w:t>
      </w:r>
      <w:r w:rsidRPr="00B45CCC" w:rsidR="007A6251">
        <w:t xml:space="preserve">broadband white space device.  Specifically, we propose to require narrowband white space devices to operate at least 250 kilohertz from the edge of a six-megahertz TV channel, unless the adjacent channel is also vacant, and to permit narrowband white space devices to operate only on channels centered at integral multiples of 100 kHz </w:t>
      </w:r>
      <w:r w:rsidR="00902CDC">
        <w:t>between</w:t>
      </w:r>
      <w:r w:rsidRPr="00B45CCC" w:rsidR="007A6251">
        <w:t xml:space="preserve"> </w:t>
      </w:r>
      <w:r w:rsidR="00FC0308">
        <w:t>the</w:t>
      </w:r>
      <w:r w:rsidRPr="00B45CCC" w:rsidR="007A6251">
        <w:t xml:space="preserve"> 250 kHz guard bands.  The net effect of these proposed requirements is that narrowband devices </w:t>
      </w:r>
      <w:r w:rsidR="00C23000">
        <w:t>c</w:t>
      </w:r>
      <w:r w:rsidRPr="00B45CCC" w:rsidR="007A6251">
        <w:t xml:space="preserve">ould operate </w:t>
      </w:r>
      <w:r w:rsidR="00902CDC">
        <w:t xml:space="preserve">within 55 possible </w:t>
      </w:r>
      <w:r w:rsidR="00712132">
        <w:t>100-</w:t>
      </w:r>
      <w:r w:rsidR="00902CDC">
        <w:t>kilohertz</w:t>
      </w:r>
      <w:r w:rsidRPr="00B45CCC" w:rsidR="007A6251">
        <w:t xml:space="preserve"> channels in the center 5.5 </w:t>
      </w:r>
      <w:r w:rsidR="007A6251">
        <w:t>megahertz</w:t>
      </w:r>
      <w:r w:rsidRPr="00B45CCC" w:rsidR="007A6251">
        <w:t xml:space="preserve"> of each </w:t>
      </w:r>
      <w:r w:rsidR="007A6251">
        <w:t>six-megahertz</w:t>
      </w:r>
      <w:r w:rsidRPr="00B45CCC" w:rsidR="007A6251">
        <w:t xml:space="preserve"> channel.</w:t>
      </w:r>
      <w:r w:rsidR="00902CDC">
        <w:t xml:space="preserve">  Even in the event that all 55 narrowband channels within a six-megahertz channel were occupied simultaneously</w:t>
      </w:r>
      <w:r w:rsidR="0094228C">
        <w:t xml:space="preserve"> by devices operating at maximum power</w:t>
      </w:r>
      <w:r w:rsidR="00902CDC">
        <w:t>, the maximum conducted and radiated power within that six-megahertz channel would be no greater than for a fixed device operating with one-watt conducted power and four watts EIRP.</w:t>
      </w:r>
      <w:r>
        <w:rPr>
          <w:rStyle w:val="FootnoteReference"/>
        </w:rPr>
        <w:footnoteReference w:id="95"/>
      </w:r>
      <w:r w:rsidR="00712132">
        <w:t xml:space="preserve"> </w:t>
      </w:r>
      <w:r w:rsidRPr="003078D1">
        <w:t xml:space="preserve"> </w:t>
      </w:r>
    </w:p>
    <w:p w:rsidR="007A6251" w:rsidP="003B1A29">
      <w:pPr>
        <w:pStyle w:val="ParaNum"/>
        <w:widowControl/>
      </w:pPr>
      <w:r>
        <w:t>Microsoft also proposed to require narrowband devices to use a listen-before-talk mechanism.</w:t>
      </w:r>
      <w:r>
        <w:rPr>
          <w:rStyle w:val="FootnoteReference"/>
        </w:rPr>
        <w:footnoteReference w:id="96"/>
      </w:r>
      <w:r>
        <w:t xml:space="preserve"> We disagree.  We</w:t>
      </w:r>
      <w:r w:rsidR="003078D1">
        <w:t xml:space="preserve"> expect that manufacturers and standards groups will have an incentive to develop their own protocols to prevent multiple devices from transmitting simultaneously and interfering with each other</w:t>
      </w:r>
      <w:r>
        <w:t xml:space="preserve"> without a regulatory mandate</w:t>
      </w:r>
      <w:r w:rsidR="003078D1">
        <w:t>.</w:t>
      </w:r>
    </w:p>
    <w:p w:rsidR="002419B5" w:rsidRPr="00FE65FB" w:rsidP="007A6251">
      <w:pPr>
        <w:pStyle w:val="ParaNum"/>
      </w:pPr>
      <w:r>
        <w:t xml:space="preserve">We seek comment on these proposals.  Is the proposed definition of narrowband white space device appropriate for the intended IoT applications?  </w:t>
      </w:r>
      <w:r w:rsidR="008B35C7">
        <w:t>Should narrowband personal/portable devices be subject to lower emission limits than those proposed since the proposed limits are based on four</w:t>
      </w:r>
      <w:r w:rsidR="00E302DB">
        <w:t>-</w:t>
      </w:r>
      <w:r w:rsidR="008B35C7">
        <w:t xml:space="preserve">watt EIRP fixed devices?  </w:t>
      </w:r>
      <w:r w:rsidR="00E302DB">
        <w:t>Is</w:t>
      </w:r>
      <w:r w:rsidR="00712132">
        <w:t xml:space="preserve"> it</w:t>
      </w:r>
      <w:r w:rsidR="00E302DB">
        <w:t xml:space="preserve"> necessary for the Commission to require a</w:t>
      </w:r>
      <w:r>
        <w:t xml:space="preserve"> listen-before-talk spectrum access mechanism</w:t>
      </w:r>
      <w:r w:rsidR="00E302DB">
        <w:t xml:space="preserve"> to prevent harmful interference to protected services in the TV bands?</w:t>
      </w:r>
      <w:r w:rsidR="00712132">
        <w:t xml:space="preserve"> </w:t>
      </w:r>
      <w:r w:rsidR="00E302DB">
        <w:t xml:space="preserve"> If we were to require such a mechanism, what parameters would we need to specify</w:t>
      </w:r>
      <w:r>
        <w:t>, e.g., monitoring threshold, monitoring time, receiver bandwidth, receive antenna specifications?  If we require narrowband devices to operate as clients to a fixed device that contacts the white space database, is there a need to increase the minimum separation distances from co-channel and adjacent channel TV station</w:t>
      </w:r>
      <w:r w:rsidR="00060DFC">
        <w:t xml:space="preserve"> contour</w:t>
      </w:r>
      <w:r>
        <w:t>s as we require for personal/portable devices operating as clients?</w:t>
      </w:r>
      <w:r>
        <w:rPr>
          <w:rStyle w:val="FootnoteReference"/>
        </w:rPr>
        <w:footnoteReference w:id="97"/>
      </w:r>
      <w:r>
        <w:t xml:space="preserve">  Are the proposed maximum PSD, out-of-band emission and antenna gain limits appropriate for narrowband devices?  </w:t>
      </w:r>
      <w:r w:rsidR="00C92048">
        <w:t>Is the proposed data transmission limit of ten seconds per hour</w:t>
      </w:r>
      <w:r>
        <w:t xml:space="preserve"> necessary to prevent data intensive operations?  Is a channelization plan necessary, and if so, is the proposed plan appropriate?</w:t>
      </w:r>
      <w:r w:rsidRPr="0086246C" w:rsidR="0086246C">
        <w:t xml:space="preserve"> </w:t>
      </w:r>
      <w:r w:rsidR="0086246C">
        <w:t xml:space="preserve">Are any other revisions to the proposed rules appropriate to protect licensed wireless microphone operations given that such operations would be protected when registered in the white spaces database?  Finally, are </w:t>
      </w:r>
      <w:r w:rsidR="001D6451">
        <w:t xml:space="preserve">there </w:t>
      </w:r>
      <w:r w:rsidR="0086246C">
        <w:t>any other revisions to the rules for narrowband operations that should be adopted to protect any other authorized service that operate in the TV bands from harmful interference by narrowband white space devices?</w:t>
      </w:r>
    </w:p>
    <w:p w:rsidR="005F5FA9" w:rsidP="008C62D5">
      <w:pPr>
        <w:pStyle w:val="Heading2"/>
      </w:pPr>
      <w:bookmarkStart w:id="126" w:name="_Toc16172279"/>
      <w:bookmarkStart w:id="127" w:name="_Toc17356055"/>
      <w:bookmarkStart w:id="128" w:name="_Toc17362406"/>
      <w:bookmarkStart w:id="129" w:name="_Toc21593292"/>
      <w:bookmarkStart w:id="130" w:name="_Toc22213767"/>
      <w:bookmarkStart w:id="131" w:name="_Toc22628846"/>
      <w:bookmarkStart w:id="132" w:name="_Toc22740318"/>
      <w:bookmarkStart w:id="133" w:name="_Toc22822481"/>
      <w:bookmarkStart w:id="134" w:name="_Toc30693989"/>
      <w:bookmarkStart w:id="135" w:name="_Toc31721176"/>
      <w:bookmarkStart w:id="136" w:name="_Toc33614424"/>
      <w:r>
        <w:t>Higher power on adjacent channels</w:t>
      </w:r>
      <w:bookmarkEnd w:id="126"/>
      <w:bookmarkEnd w:id="127"/>
      <w:bookmarkEnd w:id="128"/>
      <w:bookmarkEnd w:id="129"/>
      <w:bookmarkEnd w:id="130"/>
      <w:bookmarkEnd w:id="131"/>
      <w:bookmarkEnd w:id="132"/>
      <w:bookmarkEnd w:id="133"/>
      <w:bookmarkEnd w:id="134"/>
      <w:bookmarkEnd w:id="135"/>
      <w:bookmarkEnd w:id="136"/>
    </w:p>
    <w:p w:rsidR="00D95707" w:rsidP="008B6F54">
      <w:pPr>
        <w:pStyle w:val="ParaNum"/>
        <w:widowControl/>
      </w:pPr>
      <w:r>
        <w:t xml:space="preserve">Among the requirements for </w:t>
      </w:r>
      <w:r w:rsidR="0063247D">
        <w:t>w</w:t>
      </w:r>
      <w:r>
        <w:t>hite space device</w:t>
      </w:r>
      <w:r w:rsidR="0063247D">
        <w:t xml:space="preserve"> operation</w:t>
      </w:r>
      <w:r>
        <w:t xml:space="preserve">s </w:t>
      </w:r>
      <w:r w:rsidR="0063247D">
        <w:t xml:space="preserve">are that </w:t>
      </w:r>
      <w:r w:rsidR="00B9097A">
        <w:t xml:space="preserve">operations above 40 milliwatts EIRP </w:t>
      </w:r>
      <w:r>
        <w:t>must generally operate outside the protected contours of adjacent channel TV stations.</w:t>
      </w:r>
      <w:r>
        <w:rPr>
          <w:rStyle w:val="FootnoteReference"/>
        </w:rPr>
        <w:footnoteReference w:id="98"/>
      </w:r>
      <w:r>
        <w:t xml:space="preserve">  </w:t>
      </w:r>
      <w:r w:rsidR="000372CC">
        <w:t>That’s because</w:t>
      </w:r>
      <w:r>
        <w:t xml:space="preserve"> a strong signal on an adjacent channel can cause interference to the reception of a channel being viewed.  The </w:t>
      </w:r>
      <w:r w:rsidR="0063247D">
        <w:t xml:space="preserve">general </w:t>
      </w:r>
      <w:r>
        <w:t xml:space="preserve">requirement </w:t>
      </w:r>
      <w:r w:rsidR="0063247D">
        <w:t xml:space="preserve">that all </w:t>
      </w:r>
      <w:r w:rsidR="00B9097A">
        <w:t xml:space="preserve">fixed </w:t>
      </w:r>
      <w:r w:rsidR="0063247D">
        <w:t>white space devices</w:t>
      </w:r>
      <w:r>
        <w:t xml:space="preserve"> avoid operation within adjacent channel </w:t>
      </w:r>
      <w:r w:rsidR="00BB545B">
        <w:t xml:space="preserve">protected contours </w:t>
      </w:r>
      <w:r>
        <w:t>means that</w:t>
      </w:r>
      <w:r w:rsidR="0063247D">
        <w:t>, as a practical matter,</w:t>
      </w:r>
      <w:r>
        <w:t xml:space="preserve"> a white space device may operate only at locations where there are three contiguous vacant channels, i.e., the channel used by the white space device plus both adjacent channels.  </w:t>
      </w:r>
      <w:r w:rsidR="008F53C2">
        <w:t xml:space="preserve">The Commission’s </w:t>
      </w:r>
      <w:r>
        <w:t xml:space="preserve">rules </w:t>
      </w:r>
      <w:r w:rsidR="008F53C2">
        <w:t xml:space="preserve">do, however, </w:t>
      </w:r>
      <w:r w:rsidR="00BB545B">
        <w:t>provide an exception for</w:t>
      </w:r>
      <w:r>
        <w:t xml:space="preserve"> </w:t>
      </w:r>
      <w:r w:rsidR="00344684">
        <w:t xml:space="preserve">operation of </w:t>
      </w:r>
      <w:r>
        <w:t>low power white space devices</w:t>
      </w:r>
      <w:r w:rsidR="00BB545B">
        <w:t xml:space="preserve"> </w:t>
      </w:r>
      <w:r w:rsidR="00344684">
        <w:t>on adjacent channels because of</w:t>
      </w:r>
      <w:r w:rsidR="00BB545B">
        <w:t xml:space="preserve"> the shorter distances at which interference </w:t>
      </w:r>
      <w:r w:rsidR="00067D04">
        <w:t xml:space="preserve">to the adjacent channel TV station </w:t>
      </w:r>
      <w:r w:rsidR="00BB545B">
        <w:t xml:space="preserve">could occur.  Specifically, </w:t>
      </w:r>
      <w:r>
        <w:t xml:space="preserve">fixed white space devices may operate </w:t>
      </w:r>
      <w:r w:rsidR="003376F9">
        <w:t xml:space="preserve">within the protected contour of adjacent channel TV stations </w:t>
      </w:r>
      <w:r>
        <w:t xml:space="preserve">with a power level of 100 milliwatts EIRP </w:t>
      </w:r>
      <w:r w:rsidR="00900EBA">
        <w:t>when the white space device operates in</w:t>
      </w:r>
      <w:r>
        <w:t xml:space="preserve"> a six-megahertz band centered on the boundary of two contiguous vacant channels</w:t>
      </w:r>
      <w:r w:rsidR="00C85B83">
        <w:t xml:space="preserve">, i.e., 50 milliwatts within a three-megahertz band </w:t>
      </w:r>
      <w:r w:rsidR="00FB0295">
        <w:t>i</w:t>
      </w:r>
      <w:r w:rsidR="00C85B83">
        <w:t>n each channel</w:t>
      </w:r>
      <w:r>
        <w:t>.</w:t>
      </w:r>
      <w:r>
        <w:rPr>
          <w:rStyle w:val="FootnoteReference"/>
        </w:rPr>
        <w:footnoteReference w:id="99"/>
      </w:r>
    </w:p>
    <w:p w:rsidR="007D14F0" w:rsidP="00A70B77">
      <w:pPr>
        <w:pStyle w:val="ParaNum"/>
      </w:pPr>
      <w:r>
        <w:t xml:space="preserve">Microsoft notes that, even in rural areas, there may not be three contiguous vacant channels available for use by white space devices, and it requests that the Commission examine the possibility of authorizing higher powered </w:t>
      </w:r>
      <w:r w:rsidR="00B9097A">
        <w:t xml:space="preserve">white space </w:t>
      </w:r>
      <w:r>
        <w:t xml:space="preserve">operations on the first adjacent channel to </w:t>
      </w:r>
      <w:r w:rsidR="00B9097A">
        <w:t xml:space="preserve">television broadcasting </w:t>
      </w:r>
      <w:r>
        <w:t>where appropriate interference safeguards can be established.</w:t>
      </w:r>
      <w:r>
        <w:rPr>
          <w:rStyle w:val="FootnoteReference"/>
        </w:rPr>
        <w:footnoteReference w:id="100"/>
      </w:r>
      <w:r>
        <w:t xml:space="preserve">  Commenters supporting white space device operations generally support the Commission examining potential means </w:t>
      </w:r>
      <w:r>
        <w:t>to enable higher powered white space device operations than currently permitted under the rules.</w:t>
      </w:r>
      <w:r>
        <w:rPr>
          <w:rStyle w:val="FootnoteReference"/>
        </w:rPr>
        <w:footnoteReference w:id="101"/>
      </w:r>
      <w:r>
        <w:t xml:space="preserve">  Microsoft and these commenters suggest ways that the Commission could potentially permit higher power operation of white space devices without causing harmful interference to TV reception when adjacent TV channels are occupied, such as more sophisticated computer models to determine the locations where higher power operation could be permitted, consideration of improved selectivity in next generation TV receivers, and tighter out-of-band emission limits.</w:t>
      </w:r>
      <w:r>
        <w:rPr>
          <w:rStyle w:val="FootnoteReference"/>
        </w:rPr>
        <w:footnoteReference w:id="102"/>
      </w:r>
      <w:r>
        <w:t xml:space="preserve">  NAB opposes any consideration by the Commission at this time, and states that assessing the potential impact on future next generation TV receivers is premature.</w:t>
      </w:r>
      <w:r>
        <w:rPr>
          <w:rStyle w:val="FootnoteReference"/>
        </w:rPr>
        <w:footnoteReference w:id="103"/>
      </w:r>
      <w:r>
        <w:t xml:space="preserve"> </w:t>
      </w:r>
      <w:r w:rsidR="00B9097A">
        <w:t xml:space="preserve"> </w:t>
      </w:r>
      <w:r>
        <w:t>Commenters supporting wireless microphone operations in the TV bands also oppose any changes to the operational rules for white space device operations on the first adjacent channel to broadcasters.</w:t>
      </w:r>
      <w:r>
        <w:rPr>
          <w:rStyle w:val="FootnoteReference"/>
        </w:rPr>
        <w:footnoteReference w:id="104"/>
      </w:r>
      <w:r>
        <w:t xml:space="preserve">  </w:t>
      </w:r>
    </w:p>
    <w:p w:rsidR="007D14F0" w:rsidP="00A70B77">
      <w:pPr>
        <w:pStyle w:val="ParaNum"/>
      </w:pPr>
      <w:r>
        <w:t>W</w:t>
      </w:r>
      <w:r w:rsidR="00E96C20">
        <w:t>e seek comment</w:t>
      </w:r>
      <w:r>
        <w:t xml:space="preserve"> on the ideas suggested by Microsoft and others</w:t>
      </w:r>
      <w:r w:rsidR="007A5DF7">
        <w:t xml:space="preserve"> to </w:t>
      </w:r>
      <w:r w:rsidR="00900EBA">
        <w:t>develop</w:t>
      </w:r>
      <w:r w:rsidR="007A5DF7">
        <w:t xml:space="preserve"> a record on this issue</w:t>
      </w:r>
      <w:r>
        <w:t xml:space="preserve">.  </w:t>
      </w:r>
      <w:r w:rsidR="001D6451">
        <w:t>C</w:t>
      </w:r>
      <w:r>
        <w:t xml:space="preserve">ould more sophisticated computer models, such as Longley-Rice, be used to permit higher power unlicensed operations on adjacent channels?  </w:t>
      </w:r>
      <w:r w:rsidR="001D6451">
        <w:t xml:space="preserve">If so, how?  </w:t>
      </w:r>
      <w:r>
        <w:t>Are they sufficiently precise to identify areas where the desired TV signal strength is sufficiently high that interference from adjacent channel white space devices is unlikely?  What specific technical parameters would need to be considered or specified</w:t>
      </w:r>
      <w:r w:rsidR="007A5DF7">
        <w:t xml:space="preserve"> in such calculations</w:t>
      </w:r>
      <w:r>
        <w:t>, e.g., desired TV signal strength,</w:t>
      </w:r>
      <w:r w:rsidR="007A5DF7">
        <w:t xml:space="preserve"> appropriate </w:t>
      </w:r>
      <w:r>
        <w:t>grid size</w:t>
      </w:r>
      <w:r w:rsidR="007A5DF7">
        <w:t xml:space="preserve"> for determining where interference could occur</w:t>
      </w:r>
      <w:r>
        <w:t xml:space="preserve">, desired-to-undesired signal ratios, white space device power and antenna height?  </w:t>
      </w:r>
      <w:r w:rsidR="007A5DF7">
        <w:t>Is there any information available on adjacent channel selectivity</w:t>
      </w:r>
      <w:r w:rsidR="00B41056">
        <w:t xml:space="preserve"> and interference rejection capabilities</w:t>
      </w:r>
      <w:r w:rsidR="007A5DF7">
        <w:t xml:space="preserve"> of next generation TV receivers, such as manufacturers’ specifications or actual measurement results?  Is there any indication that next generation TV receivers will in fact have better adjacent channel interference rejection than current receivers?  </w:t>
      </w:r>
      <w:r w:rsidR="00B41056">
        <w:t xml:space="preserve">We note that while some parties advocated for tighter out-of-band emission limits for white space devices, others </w:t>
      </w:r>
      <w:r w:rsidR="003155F1">
        <w:t>believe</w:t>
      </w:r>
      <w:r w:rsidR="00B41056">
        <w:t xml:space="preserve"> that the current limits are already </w:t>
      </w:r>
      <w:r w:rsidR="003155F1">
        <w:t xml:space="preserve">too </w:t>
      </w:r>
      <w:r w:rsidR="00B41056">
        <w:t>stringent.</w:t>
      </w:r>
      <w:r>
        <w:rPr>
          <w:rStyle w:val="FootnoteReference"/>
        </w:rPr>
        <w:footnoteReference w:id="105"/>
      </w:r>
      <w:r w:rsidR="00B41056">
        <w:t xml:space="preserve"> </w:t>
      </w:r>
      <w:r w:rsidR="007A5DF7">
        <w:t xml:space="preserve">Would tighter out-of-band emission limits for white space devices result in any reduction </w:t>
      </w:r>
      <w:r w:rsidR="00832407">
        <w:t>in</w:t>
      </w:r>
      <w:r w:rsidR="007A5DF7">
        <w:t xml:space="preserve"> the potential for interference to adjacent channel TV reception</w:t>
      </w:r>
      <w:r w:rsidR="00FB0295">
        <w:t>?</w:t>
      </w:r>
      <w:r w:rsidR="00EA53A8">
        <w:t xml:space="preserve">  Are there other factors we can consider or steps that users or white space databases can take to provide for more widespread use of white space devices near or within the contour of first adjacent television channels?  Commenters should provide technical detail and analysis supporting their position on this issue.</w:t>
      </w:r>
    </w:p>
    <w:p w:rsidR="00F74FC8" w:rsidP="00F74FC8">
      <w:pPr>
        <w:pStyle w:val="Heading1"/>
      </w:pPr>
      <w:bookmarkStart w:id="137" w:name="_Toc516135142"/>
      <w:bookmarkStart w:id="138" w:name="_Toc516500666"/>
      <w:bookmarkStart w:id="139" w:name="_Toc516502634"/>
      <w:bookmarkStart w:id="140" w:name="_Toc516502695"/>
      <w:bookmarkStart w:id="141" w:name="_Toc516503257"/>
      <w:bookmarkStart w:id="142" w:name="_Toc516599626"/>
      <w:bookmarkStart w:id="143" w:name="_Toc516759218"/>
      <w:bookmarkStart w:id="144" w:name="_Toc516761161"/>
      <w:bookmarkStart w:id="145" w:name="_Toc516847076"/>
      <w:bookmarkStart w:id="146" w:name="_Toc517082871"/>
      <w:bookmarkStart w:id="147" w:name="_Toc517106054"/>
      <w:bookmarkStart w:id="148" w:name="_Toc517126361"/>
      <w:bookmarkStart w:id="149" w:name="_Toc517181789"/>
      <w:bookmarkStart w:id="150" w:name="_Toc517220087"/>
      <w:bookmarkStart w:id="151" w:name="_Toc517260072"/>
      <w:bookmarkStart w:id="152" w:name="_Toc517261164"/>
      <w:bookmarkStart w:id="153" w:name="_Toc519004105"/>
      <w:bookmarkStart w:id="154" w:name="_Toc519181606"/>
      <w:bookmarkStart w:id="155" w:name="_Toc525651562"/>
      <w:bookmarkStart w:id="156" w:name="_Toc525652169"/>
      <w:bookmarkStart w:id="157" w:name="_Toc525652239"/>
      <w:bookmarkStart w:id="158" w:name="_Toc525652882"/>
      <w:bookmarkStart w:id="159" w:name="_Toc525653031"/>
      <w:bookmarkStart w:id="160" w:name="_Toc525653204"/>
      <w:bookmarkStart w:id="161" w:name="_Toc525675954"/>
      <w:bookmarkStart w:id="162" w:name="_Toc525676064"/>
      <w:bookmarkStart w:id="163" w:name="_Toc525909365"/>
      <w:bookmarkStart w:id="164" w:name="_Toc22628847"/>
      <w:bookmarkStart w:id="165" w:name="_Toc22740319"/>
      <w:bookmarkStart w:id="166" w:name="_Toc22822482"/>
      <w:bookmarkStart w:id="167" w:name="_Toc30693990"/>
      <w:bookmarkStart w:id="168" w:name="_Toc31721177"/>
      <w:bookmarkStart w:id="169" w:name="_Toc33614425"/>
      <w:bookmarkStart w:id="170" w:name="_Hlk22546673"/>
      <w:r>
        <w:t>Procedural Matters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bookmarkEnd w:id="170"/>
    <w:p w:rsidR="00F730E6" w:rsidRPr="00F730E6" w:rsidP="003B1A29">
      <w:pPr>
        <w:pStyle w:val="ParaNum"/>
        <w:widowControl/>
      </w:pPr>
      <w:r w:rsidRPr="00F730E6">
        <w:rPr>
          <w:i/>
        </w:rPr>
        <w:t>Paperwork Reduction Act Analysis.</w:t>
      </w:r>
      <w:r w:rsidR="007F10A4">
        <w:rPr>
          <w:iCs/>
        </w:rPr>
        <w:t xml:space="preserve">  </w:t>
      </w:r>
      <w:r>
        <w:t xml:space="preserve">This document contains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00F730E6">
        <w:rPr>
          <w:i/>
          <w:iCs/>
        </w:rPr>
        <w:t>see</w:t>
      </w:r>
      <w:r>
        <w:t xml:space="preserve"> 44 U.S.C. § 3506(c)(4), we seek specific comment on how we might further reduce the information collection burden for small business concerns with fewer than 25 employees.</w:t>
      </w:r>
    </w:p>
    <w:p w:rsidR="00F74FC8" w:rsidP="00F74FC8">
      <w:pPr>
        <w:pStyle w:val="ParaNum"/>
        <w:widowControl/>
      </w:pPr>
      <w:r w:rsidRPr="00064046">
        <w:rPr>
          <w:i/>
        </w:rPr>
        <w:t>Initial Regulatory Flexibility Analysis</w:t>
      </w:r>
      <w:r>
        <w:t>.</w:t>
      </w:r>
      <w:r w:rsidR="007F10A4">
        <w:t xml:space="preserve">  </w:t>
      </w:r>
      <w:r w:rsidRPr="007951BB">
        <w:t xml:space="preserve">As required by the </w:t>
      </w:r>
      <w:r>
        <w:t>Regulatory Flexibility Act</w:t>
      </w:r>
      <w:r w:rsidRPr="007951BB">
        <w:t>,</w:t>
      </w:r>
      <w:r>
        <w:rPr>
          <w:rStyle w:val="FootnoteReference"/>
        </w:rPr>
        <w:footnoteReference w:id="106"/>
      </w:r>
      <w:r w:rsidRPr="007951BB">
        <w:t xml:space="preserve"> the Commission has prepared an Initial Regulatory Flexibility Analysis (IRFA) of the possible significant economic impact on </w:t>
      </w:r>
      <w:r>
        <w:t xml:space="preserve">a substantial number of </w:t>
      </w:r>
      <w:r w:rsidRPr="007951BB">
        <w:t xml:space="preserve">small entities </w:t>
      </w:r>
      <w:r>
        <w:t>of the proposals</w:t>
      </w:r>
      <w:r w:rsidRPr="007951BB">
        <w:t xml:space="preserve"> </w:t>
      </w:r>
      <w:r>
        <w:t>addressed</w:t>
      </w:r>
      <w:r w:rsidRPr="007951BB">
        <w:t xml:space="preserve"> in </w:t>
      </w:r>
      <w:r>
        <w:t>this</w:t>
      </w:r>
      <w:r w:rsidRPr="007951BB">
        <w:t xml:space="preserve"> N</w:t>
      </w:r>
      <w:r>
        <w:t>otice</w:t>
      </w:r>
      <w:r w:rsidRPr="007951BB">
        <w:t xml:space="preserve">.  The </w:t>
      </w:r>
      <w:r>
        <w:t xml:space="preserve">IRFA </w:t>
      </w:r>
      <w:r w:rsidRPr="007951BB">
        <w:t xml:space="preserve">is found in </w:t>
      </w:r>
      <w:r w:rsidRPr="00FC2892">
        <w:t xml:space="preserve">Appendix </w:t>
      </w:r>
      <w:r w:rsidRPr="000B6EDF">
        <w:t>C</w:t>
      </w:r>
      <w:r w:rsidRPr="001D68CF">
        <w:t>.</w:t>
      </w:r>
      <w:r w:rsidRPr="007951BB">
        <w:t xml:space="preserve">  We request written public comment on the </w:t>
      </w:r>
      <w:r>
        <w:t>IRFA</w:t>
      </w:r>
      <w:r w:rsidRPr="007951BB">
        <w:t>.  Comments must be filed in accordance with the same</w:t>
      </w:r>
      <w:r>
        <w:t xml:space="preserve"> filing </w:t>
      </w:r>
      <w:r w:rsidRPr="007951BB">
        <w:t xml:space="preserve">deadlines as comments filed in response to the NPRM and must have a separate and distinct heading designating them as responses to the IRFA.  The Commission’s Consumer and Governmental Affairs Bureau, Reference Information Center, will send a copy of this </w:t>
      </w:r>
      <w:r>
        <w:t>Notice</w:t>
      </w:r>
      <w:r w:rsidRPr="007951BB">
        <w:t>, including the IRFA, to the Chief Counsel for Advocacy of the Small Business Administration</w:t>
      </w:r>
      <w:r>
        <w:t>, in accordance with the Regulatory Flexibility Act</w:t>
      </w:r>
      <w:r w:rsidRPr="007951BB">
        <w:t>.</w:t>
      </w:r>
      <w:r>
        <w:rPr>
          <w:rStyle w:val="FootnoteReference"/>
        </w:rPr>
        <w:footnoteReference w:id="107"/>
      </w:r>
    </w:p>
    <w:p w:rsidR="00694490" w:rsidRPr="00470D28" w:rsidP="00694490">
      <w:pPr>
        <w:pStyle w:val="ParaNum"/>
      </w:pPr>
      <w:bookmarkStart w:id="171" w:name="_Ref22658992"/>
      <w:r w:rsidRPr="00064046">
        <w:rPr>
          <w:i/>
        </w:rPr>
        <w:t>Filing Requirements</w:t>
      </w:r>
      <w:r>
        <w:t>.</w:t>
      </w:r>
      <w:r w:rsidR="007F10A4">
        <w:t xml:space="preserve">  </w:t>
      </w:r>
      <w:r w:rsidRPr="00470D28">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470D28">
        <w:rPr>
          <w:i/>
        </w:rPr>
        <w:t>See Electronic Filing of Documents in Rulemaking Proceedings</w:t>
      </w:r>
      <w:r w:rsidRPr="00470D28">
        <w:t>, 63 FR 24121 (1998).</w:t>
      </w:r>
      <w:bookmarkEnd w:id="171"/>
    </w:p>
    <w:p w:rsidR="00694490" w:rsidRPr="00694490" w:rsidP="00694490">
      <w:pPr>
        <w:numPr>
          <w:ilvl w:val="0"/>
          <w:numId w:val="16"/>
        </w:numPr>
      </w:pPr>
      <w:r w:rsidRPr="00694490">
        <w:t xml:space="preserve">Electronic Filers:  Comments may be filed electronically using the Internet by accessing the ECFS:  </w:t>
      </w:r>
      <w:hyperlink r:id="rId5" w:history="1">
        <w:r w:rsidRPr="00D20A00" w:rsidR="004A4C66">
          <w:rPr>
            <w:rStyle w:val="Hyperlink"/>
          </w:rPr>
          <w:t>http://www.fcc.gov/ecfs/</w:t>
        </w:r>
      </w:hyperlink>
      <w:r w:rsidRPr="00694490">
        <w:t xml:space="preserve">.  </w:t>
      </w:r>
    </w:p>
    <w:p w:rsidR="00694490" w:rsidRPr="00694490" w:rsidP="00694490"/>
    <w:p w:rsidR="00694490" w:rsidRPr="00694490" w:rsidP="00694490">
      <w:pPr>
        <w:numPr>
          <w:ilvl w:val="0"/>
          <w:numId w:val="13"/>
        </w:numPr>
      </w:pPr>
      <w:r w:rsidRPr="00694490">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694490" w:rsidRPr="00694490" w:rsidP="00694490"/>
    <w:p w:rsidR="00694490" w:rsidRPr="00694490" w:rsidP="00694490">
      <w:pPr>
        <w:numPr>
          <w:ilvl w:val="0"/>
          <w:numId w:val="13"/>
        </w:numPr>
      </w:pPr>
      <w:r w:rsidRPr="00694490">
        <w:t>Filings can be sent by hand or messenger delivery, by commercial overnight courier, or by first-class or overnight U.S. Postal Service mail.  All filings must be addressed to the Commission’s Secretary, Office of the Secretary, Federal Communications Commission.</w:t>
      </w:r>
    </w:p>
    <w:p w:rsidR="00694490" w:rsidRPr="00694490" w:rsidP="00694490"/>
    <w:p w:rsidR="00694490" w:rsidRPr="00694490" w:rsidP="00694490">
      <w:pPr>
        <w:numPr>
          <w:ilvl w:val="0"/>
          <w:numId w:val="15"/>
        </w:numPr>
      </w:pPr>
      <w:r w:rsidRPr="00694490">
        <w:t>All hand-delivered or messenger-delivered paper filings for the Commission’s Secretary must be delivered to FCC Headquarters at 445 12</w:t>
      </w:r>
      <w:r w:rsidRPr="00694490">
        <w:rPr>
          <w:vertAlign w:val="superscript"/>
        </w:rPr>
        <w:t>th</w:t>
      </w:r>
      <w:r w:rsidRPr="00694490">
        <w:t xml:space="preserve"> St., SW, Room TW-A325, Washington, DC 20554.  The filing hours are 8:00 a.m. to 7:00 p.m.   All hand deliveries must be held together with rubber bands or fasteners.  Any envelopes and boxes must be disposed of </w:t>
      </w:r>
      <w:r w:rsidRPr="00694490">
        <w:rPr>
          <w:u w:val="single"/>
        </w:rPr>
        <w:t>before</w:t>
      </w:r>
      <w:r w:rsidRPr="00694490">
        <w:t xml:space="preserve"> entering the building.  </w:t>
      </w:r>
    </w:p>
    <w:p w:rsidR="00694490" w:rsidRPr="00694490" w:rsidP="00694490">
      <w:pPr>
        <w:ind w:left="1080"/>
      </w:pPr>
    </w:p>
    <w:p w:rsidR="00694490" w:rsidRPr="00694490" w:rsidP="00694490">
      <w:pPr>
        <w:numPr>
          <w:ilvl w:val="0"/>
          <w:numId w:val="15"/>
        </w:numPr>
      </w:pPr>
      <w:r w:rsidRPr="00694490">
        <w:t>Commercial overnight mail (other than U.S. Postal Service Express Mail and Priority Mail) must be sent to 9050 Junction Drive, Annapolis Junction, MD 20701.</w:t>
      </w:r>
    </w:p>
    <w:p w:rsidR="00694490" w:rsidRPr="00694490" w:rsidP="00694490"/>
    <w:p w:rsidR="00694490" w:rsidRPr="00694490" w:rsidP="00694490">
      <w:pPr>
        <w:numPr>
          <w:ilvl w:val="0"/>
          <w:numId w:val="15"/>
        </w:numPr>
      </w:pPr>
      <w:r w:rsidRPr="00694490">
        <w:t>U.S. Postal Service first-class, Express, and Priority mail must be addressed to 445 12</w:t>
      </w:r>
      <w:r w:rsidRPr="00694490">
        <w:rPr>
          <w:vertAlign w:val="superscript"/>
        </w:rPr>
        <w:t>th</w:t>
      </w:r>
      <w:r w:rsidRPr="00694490">
        <w:t xml:space="preserve"> Street, SW, Washington DC  20554.</w:t>
      </w:r>
    </w:p>
    <w:p w:rsidR="00694490" w:rsidRPr="00470D28" w:rsidP="00694490">
      <w:pPr>
        <w:rPr>
          <w:sz w:val="24"/>
        </w:rPr>
      </w:pPr>
    </w:p>
    <w:p w:rsidR="00694490" w:rsidRPr="00470D28" w:rsidP="003B1A29">
      <w:pPr>
        <w:pStyle w:val="ParaNum"/>
        <w:widowControl/>
      </w:pPr>
      <w:r w:rsidRPr="00F74FC8">
        <w:rPr>
          <w:i/>
        </w:rPr>
        <w:t>People with Disabilities</w:t>
      </w:r>
      <w:r w:rsidR="00F74FC8">
        <w:rPr>
          <w:i/>
        </w:rPr>
        <w:t>.</w:t>
      </w:r>
      <w:r w:rsidR="007F10A4">
        <w:t xml:space="preserve">  </w:t>
      </w:r>
      <w:r w:rsidRPr="00470D28">
        <w:t xml:space="preserve">To request materials in accessible formats for people with disabilities (braille, large print, electronic files, audio format), send an e-mail to </w:t>
      </w:r>
      <w:hyperlink r:id="rId6" w:history="1">
        <w:r w:rsidRPr="00470D28">
          <w:rPr>
            <w:color w:val="0000FF"/>
            <w:u w:val="single"/>
          </w:rPr>
          <w:t>fcc504@fcc.gov</w:t>
        </w:r>
      </w:hyperlink>
      <w:r w:rsidRPr="00470D28">
        <w:t xml:space="preserve"> or call the Consumer &amp; Governmental Affairs Bureau at 202-418-0530 (voice), 202-418-0432 (tty).</w:t>
      </w:r>
    </w:p>
    <w:p w:rsidR="00F74FC8" w:rsidRPr="003211D8" w:rsidP="007B1FF9">
      <w:pPr>
        <w:pStyle w:val="ParaNum"/>
      </w:pPr>
      <w:r w:rsidRPr="000B6EDF">
        <w:rPr>
          <w:i/>
        </w:rPr>
        <w:t>Additional Information</w:t>
      </w:r>
      <w:r w:rsidRPr="000B6EDF">
        <w:t>.</w:t>
      </w:r>
      <w:r w:rsidR="007F10A4">
        <w:t xml:space="preserve">  </w:t>
      </w:r>
      <w:r w:rsidRPr="000B6EDF">
        <w:t xml:space="preserve">For additional information on this proceeding, contact </w:t>
      </w:r>
      <w:r>
        <w:t>Hugh L. Van Tuyl</w:t>
      </w:r>
      <w:r w:rsidRPr="000B6EDF">
        <w:t xml:space="preserve">, </w:t>
      </w:r>
      <w:hyperlink r:id="rId7" w:history="1">
        <w:r w:rsidRPr="00F8210E">
          <w:rPr>
            <w:rStyle w:val="Hyperlink"/>
          </w:rPr>
          <w:t>Hugh.VanTuyl@fcc.gov</w:t>
        </w:r>
      </w:hyperlink>
      <w:r>
        <w:t xml:space="preserve">, </w:t>
      </w:r>
      <w:r w:rsidRPr="000B6EDF">
        <w:t>(202) 418-</w:t>
      </w:r>
      <w:r>
        <w:t>7506</w:t>
      </w:r>
      <w:r w:rsidRPr="000B6EDF">
        <w:t>.</w:t>
      </w:r>
    </w:p>
    <w:p w:rsidR="003211D8" w:rsidP="003211D8">
      <w:pPr>
        <w:pStyle w:val="ListParagraph"/>
      </w:pPr>
    </w:p>
    <w:p w:rsidR="00170A5B" w:rsidRPr="00170A5B" w:rsidP="00170A5B">
      <w:pPr>
        <w:pStyle w:val="Heading1"/>
      </w:pPr>
      <w:bookmarkStart w:id="172" w:name="_Toc516135146"/>
      <w:bookmarkStart w:id="173" w:name="_Toc516500670"/>
      <w:bookmarkStart w:id="174" w:name="_Toc516502638"/>
      <w:bookmarkStart w:id="175" w:name="_Toc516502699"/>
      <w:bookmarkStart w:id="176" w:name="_Toc516503261"/>
      <w:bookmarkStart w:id="177" w:name="_Toc516599632"/>
      <w:bookmarkStart w:id="178" w:name="_Toc516759224"/>
      <w:bookmarkStart w:id="179" w:name="_Toc516761167"/>
      <w:bookmarkStart w:id="180" w:name="_Toc516847082"/>
      <w:bookmarkStart w:id="181" w:name="_Toc517082877"/>
      <w:bookmarkStart w:id="182" w:name="_Toc517106060"/>
      <w:bookmarkStart w:id="183" w:name="_Toc517126367"/>
      <w:bookmarkStart w:id="184" w:name="_Toc517181790"/>
      <w:bookmarkStart w:id="185" w:name="_Toc517220088"/>
      <w:bookmarkStart w:id="186" w:name="_Toc517260073"/>
      <w:bookmarkStart w:id="187" w:name="_Toc517261165"/>
      <w:bookmarkStart w:id="188" w:name="_Toc519004106"/>
      <w:bookmarkStart w:id="189" w:name="_Toc519181607"/>
      <w:bookmarkStart w:id="190" w:name="_Toc525651566"/>
      <w:bookmarkStart w:id="191" w:name="_Toc525652170"/>
      <w:bookmarkStart w:id="192" w:name="_Toc525652240"/>
      <w:bookmarkStart w:id="193" w:name="_Toc525652883"/>
      <w:bookmarkStart w:id="194" w:name="_Toc525653032"/>
      <w:bookmarkStart w:id="195" w:name="_Toc525653205"/>
      <w:bookmarkStart w:id="196" w:name="_Toc525675955"/>
      <w:bookmarkStart w:id="197" w:name="_Toc525676065"/>
      <w:bookmarkStart w:id="198" w:name="_Toc525909366"/>
      <w:bookmarkStart w:id="199" w:name="_Toc22628848"/>
      <w:bookmarkStart w:id="200" w:name="_Toc22740320"/>
      <w:bookmarkStart w:id="201" w:name="_Toc22822483"/>
      <w:bookmarkStart w:id="202" w:name="_Toc30693991"/>
      <w:bookmarkStart w:id="203" w:name="_Toc31721178"/>
      <w:bookmarkStart w:id="204" w:name="_Toc33614426"/>
      <w:r w:rsidRPr="00170A5B">
        <w:t>Ordering Clauses</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rsidR="00170A5B" w:rsidRPr="00E02A4A" w:rsidP="00170A5B">
      <w:pPr>
        <w:pStyle w:val="ParaNum"/>
      </w:pPr>
      <w:r w:rsidRPr="004409F6">
        <w:t>IT IS ORDERED, pursuant to the authority found in Sections 4(</w:t>
      </w:r>
      <w:r w:rsidRPr="004409F6">
        <w:t>i</w:t>
      </w:r>
      <w:r w:rsidRPr="004409F6">
        <w:t>), 201, 302, and 303 of the Communications Act of 1934, as amended, 47 U.S.C. §§ 154(</w:t>
      </w:r>
      <w:r w:rsidRPr="004409F6">
        <w:t>i</w:t>
      </w:r>
      <w:r w:rsidRPr="004409F6">
        <w:t>), 201, 302a, 303, and Section</w:t>
      </w:r>
      <w:r w:rsidRPr="004409F6" w:rsidR="004A4C66">
        <w:t>s 1.407 and</w:t>
      </w:r>
      <w:r w:rsidRPr="004409F6">
        <w:t xml:space="preserve"> 1.4</w:t>
      </w:r>
      <w:r w:rsidRPr="005C7F1E">
        <w:t>11 of the Commission’s Rules, 47 C.F.R §</w:t>
      </w:r>
      <w:r w:rsidRPr="005C7F1E" w:rsidR="004A4C66">
        <w:t>§</w:t>
      </w:r>
      <w:r w:rsidRPr="00517168" w:rsidR="004A4C66">
        <w:t xml:space="preserve"> 1.407 and</w:t>
      </w:r>
      <w:r w:rsidRPr="00517168">
        <w:t> 1.411, t</w:t>
      </w:r>
      <w:r w:rsidRPr="00EE2B44">
        <w:t xml:space="preserve">hat this </w:t>
      </w:r>
      <w:r w:rsidRPr="00EE2B44">
        <w:rPr>
          <w:i/>
          <w:iCs/>
        </w:rPr>
        <w:t>Notice of Pro</w:t>
      </w:r>
      <w:r w:rsidRPr="00C24BB2">
        <w:rPr>
          <w:i/>
          <w:iCs/>
        </w:rPr>
        <w:t xml:space="preserve">posed Rulemaking </w:t>
      </w:r>
      <w:r w:rsidRPr="00C24BB2">
        <w:t>IS HEREBY ADOPTED.</w:t>
      </w:r>
      <w:r w:rsidRPr="00C24BB2" w:rsidR="004A4C66">
        <w:t xml:space="preserve"> </w:t>
      </w:r>
      <w:r w:rsidRPr="00C24BB2" w:rsidR="001365B8">
        <w:t xml:space="preserve"> </w:t>
      </w:r>
      <w:r w:rsidRPr="00C24BB2" w:rsidR="004A4C66">
        <w:t>The petition for rulemaking of Microsoft Corporation</w:t>
      </w:r>
      <w:r w:rsidRPr="00C24BB2" w:rsidR="001365B8">
        <w:t>, ET Docket No. 14-</w:t>
      </w:r>
      <w:r w:rsidRPr="00C81949" w:rsidR="00F73D1B">
        <w:t xml:space="preserve">165 and RM-11840, </w:t>
      </w:r>
      <w:r w:rsidRPr="00C81949" w:rsidR="004A4C66">
        <w:t>is hereby GRANT</w:t>
      </w:r>
      <w:r w:rsidRPr="002C29E2" w:rsidR="004A4C66">
        <w:t>ED to the extent discussed herein</w:t>
      </w:r>
      <w:r w:rsidRPr="00971BB6" w:rsidR="004A4C66">
        <w:t xml:space="preserve">, and shall be consolidated into </w:t>
      </w:r>
      <w:r w:rsidRPr="00E02A4A" w:rsidR="004A4C66">
        <w:t>ET Docket No. 20-</w:t>
      </w:r>
      <w:r w:rsidR="004409F6">
        <w:t>36</w:t>
      </w:r>
      <w:r w:rsidRPr="00E02A4A" w:rsidR="004A4C66">
        <w:t>.</w:t>
      </w:r>
    </w:p>
    <w:p w:rsidR="00170A5B" w:rsidRPr="00170A5B" w:rsidP="00170A5B">
      <w:pPr>
        <w:pStyle w:val="ParaNum"/>
      </w:pPr>
      <w:r w:rsidRPr="00170A5B">
        <w:t xml:space="preserve">IT IS FURTHER ORDERED that NOTICE IS HEREBY GIVEN of the proposed regulatory changes described in this </w:t>
      </w:r>
      <w:r w:rsidRPr="00170A5B">
        <w:rPr>
          <w:i/>
          <w:iCs/>
        </w:rPr>
        <w:t>Notice of Proposed Rulemaking</w:t>
      </w:r>
      <w:r w:rsidRPr="00170A5B">
        <w:t>, and that comment is sought on these proposals.</w:t>
      </w:r>
    </w:p>
    <w:p w:rsidR="00170A5B" w:rsidRPr="00170A5B" w:rsidP="00170A5B">
      <w:pPr>
        <w:pStyle w:val="ParaNum"/>
      </w:pPr>
      <w:r w:rsidRPr="00170A5B">
        <w:t xml:space="preserve">IT IS FURTHER ORDERED that the Commission’s Consumer and Governmental Affairs Bureau, Reference Information Center, SHALL SEND a copy of this </w:t>
      </w:r>
      <w:r w:rsidRPr="00170A5B">
        <w:rPr>
          <w:i/>
          <w:iCs/>
        </w:rPr>
        <w:t>Notice of Proposed Rulemaking</w:t>
      </w:r>
      <w:r w:rsidRPr="00170A5B">
        <w:t>, including the Initial Regulatory Flexibility Analysis, to the Chief Counsel for Advocacy of the Small Business Administration.</w:t>
      </w:r>
    </w:p>
    <w:p w:rsidR="00170A5B" w:rsidRPr="00170A5B" w:rsidP="00170A5B">
      <w:pPr>
        <w:spacing w:after="120"/>
        <w:ind w:left="720"/>
      </w:pPr>
    </w:p>
    <w:p w:rsidR="00170A5B" w:rsidRPr="00170A5B" w:rsidP="00170A5B">
      <w:pPr>
        <w:keepNext/>
        <w:keepLines/>
      </w:pPr>
      <w:r w:rsidRPr="00170A5B">
        <w:tab/>
      </w:r>
      <w:r w:rsidRPr="00170A5B">
        <w:tab/>
      </w:r>
      <w:r w:rsidRPr="00170A5B">
        <w:tab/>
      </w:r>
      <w:r w:rsidRPr="00170A5B">
        <w:tab/>
      </w:r>
      <w:r w:rsidRPr="00170A5B">
        <w:tab/>
      </w:r>
      <w:r w:rsidRPr="00170A5B">
        <w:tab/>
        <w:t>FEDERAL COMMUNICATIONS COMMISSION</w:t>
      </w:r>
    </w:p>
    <w:p w:rsidR="00170A5B" w:rsidRPr="00170A5B" w:rsidP="00170A5B"/>
    <w:p w:rsidR="00170A5B" w:rsidRPr="00170A5B" w:rsidP="00170A5B"/>
    <w:p w:rsidR="00170A5B" w:rsidRPr="00170A5B" w:rsidP="00170A5B"/>
    <w:p w:rsidR="00170A5B" w:rsidRPr="00170A5B" w:rsidP="00170A5B"/>
    <w:p w:rsidR="00170A5B" w:rsidRPr="00170A5B" w:rsidP="00170A5B">
      <w:r w:rsidRPr="00170A5B">
        <w:tab/>
      </w:r>
      <w:r w:rsidRPr="00170A5B">
        <w:tab/>
      </w:r>
      <w:r w:rsidRPr="00170A5B">
        <w:tab/>
      </w:r>
      <w:r w:rsidRPr="00170A5B">
        <w:tab/>
      </w:r>
      <w:r w:rsidRPr="00170A5B">
        <w:tab/>
      </w:r>
      <w:r w:rsidRPr="00170A5B">
        <w:tab/>
        <w:t>Marlene H. Dortch</w:t>
      </w:r>
    </w:p>
    <w:p w:rsidR="00170A5B" w:rsidRPr="00170A5B" w:rsidP="00170A5B">
      <w:r w:rsidRPr="00170A5B">
        <w:tab/>
      </w:r>
      <w:r w:rsidRPr="00170A5B">
        <w:tab/>
      </w:r>
      <w:r w:rsidRPr="00170A5B">
        <w:tab/>
      </w:r>
      <w:r w:rsidRPr="00170A5B">
        <w:tab/>
      </w:r>
      <w:r w:rsidRPr="00170A5B">
        <w:tab/>
      </w:r>
      <w:r w:rsidRPr="00170A5B">
        <w:tab/>
        <w:t>Secretary</w:t>
      </w:r>
    </w:p>
    <w:p w:rsidR="00BA3094" w:rsidP="001B7907">
      <w:pPr>
        <w:tabs>
          <w:tab w:val="left" w:pos="5270"/>
        </w:tabs>
        <w:jc w:val="center"/>
        <w:sectPr w:rsidSect="00960993">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docGrid w:linePitch="299"/>
        </w:sectPr>
      </w:pPr>
    </w:p>
    <w:p w:rsidR="001B7907" w:rsidRPr="008445F0" w:rsidP="001B7907">
      <w:pPr>
        <w:tabs>
          <w:tab w:val="left" w:pos="5270"/>
        </w:tabs>
        <w:jc w:val="center"/>
        <w:rPr>
          <w:b/>
        </w:rPr>
      </w:pPr>
      <w:r w:rsidRPr="008445F0">
        <w:rPr>
          <w:b/>
        </w:rPr>
        <w:t>Appendix A</w:t>
      </w:r>
    </w:p>
    <w:p w:rsidR="001B7907" w:rsidRPr="008445F0" w:rsidP="001B7907">
      <w:pPr>
        <w:tabs>
          <w:tab w:val="left" w:pos="5270"/>
        </w:tabs>
        <w:jc w:val="center"/>
        <w:rPr>
          <w:b/>
        </w:rPr>
      </w:pPr>
    </w:p>
    <w:p w:rsidR="001B7907" w:rsidP="001B7907">
      <w:pPr>
        <w:tabs>
          <w:tab w:val="left" w:pos="5270"/>
        </w:tabs>
        <w:jc w:val="center"/>
        <w:rPr>
          <w:b/>
        </w:rPr>
      </w:pPr>
      <w:r>
        <w:rPr>
          <w:b/>
        </w:rPr>
        <w:t>Proposed</w:t>
      </w:r>
      <w:r w:rsidRPr="008445F0">
        <w:rPr>
          <w:b/>
        </w:rPr>
        <w:t xml:space="preserve"> Rules</w:t>
      </w:r>
    </w:p>
    <w:p w:rsidR="001B7907" w:rsidP="001B7907">
      <w:pPr>
        <w:tabs>
          <w:tab w:val="left" w:pos="5270"/>
        </w:tabs>
        <w:jc w:val="center"/>
      </w:pPr>
    </w:p>
    <w:p w:rsidR="003323C8" w:rsidRPr="00242878" w:rsidP="003323C8">
      <w:r w:rsidRPr="00242878">
        <w:t>Part 1</w:t>
      </w:r>
      <w:r>
        <w:t>5</w:t>
      </w:r>
      <w:r w:rsidRPr="00242878">
        <w:t xml:space="preserve"> of Title 47 of the Code of Federal Regulations is proposed to be amended as follows:</w:t>
      </w:r>
    </w:p>
    <w:p w:rsidR="003323C8" w:rsidP="003323C8">
      <w:pPr>
        <w:spacing w:after="120"/>
      </w:pPr>
    </w:p>
    <w:p w:rsidR="003323C8" w:rsidRPr="0052587D" w:rsidP="003323C8">
      <w:pPr>
        <w:spacing w:after="120"/>
        <w:rPr>
          <w:b/>
        </w:rPr>
      </w:pPr>
      <w:r w:rsidRPr="00E81709">
        <w:rPr>
          <w:b/>
        </w:rPr>
        <w:t>PART 15 – RADIO FREQUENCY DEVICES</w:t>
      </w:r>
    </w:p>
    <w:p w:rsidR="003323C8" w:rsidRPr="00E81709" w:rsidP="003323C8">
      <w:pPr>
        <w:tabs>
          <w:tab w:val="num" w:pos="1440"/>
        </w:tabs>
        <w:spacing w:after="120"/>
        <w:ind w:firstLine="720"/>
      </w:pPr>
      <w:r w:rsidRPr="00E81709">
        <w:t>The authority citation for Part 15 continues to read as follows:</w:t>
      </w:r>
    </w:p>
    <w:p w:rsidR="003323C8" w:rsidRPr="00E81709" w:rsidP="003323C8">
      <w:pPr>
        <w:spacing w:after="120"/>
        <w:rPr>
          <w:b/>
        </w:rPr>
      </w:pPr>
      <w:r w:rsidRPr="00E81709">
        <w:rPr>
          <w:b/>
        </w:rPr>
        <w:t>A</w:t>
      </w:r>
      <w:r>
        <w:rPr>
          <w:b/>
        </w:rPr>
        <w:t>UTHORITY</w:t>
      </w:r>
      <w:r w:rsidRPr="00E81709">
        <w:rPr>
          <w:b/>
        </w:rPr>
        <w:t xml:space="preserve">:  </w:t>
      </w:r>
      <w:r w:rsidRPr="00E81709">
        <w:t>47 U.S.C. 154, 302a, 303, 304, 307, 336, 544a, and 549.</w:t>
      </w:r>
    </w:p>
    <w:p w:rsidR="003323C8" w:rsidRPr="00E81709" w:rsidP="00235FC5">
      <w:pPr>
        <w:pStyle w:val="ParaNum"/>
        <w:numPr>
          <w:ilvl w:val="0"/>
          <w:numId w:val="19"/>
        </w:numPr>
      </w:pPr>
      <w:r>
        <w:t>Amend s</w:t>
      </w:r>
      <w:r w:rsidRPr="00E81709">
        <w:t>ection 15.</w:t>
      </w:r>
      <w:r w:rsidRPr="00564CEE" w:rsidR="007D4399">
        <w:t xml:space="preserve">703 by removing the paragraph </w:t>
      </w:r>
      <w:r w:rsidRPr="00564CEE" w:rsidR="009C1BF2">
        <w:t>designations</w:t>
      </w:r>
      <w:r w:rsidR="007D4399">
        <w:t xml:space="preserve"> and adding a new definition</w:t>
      </w:r>
      <w:r w:rsidRPr="00E81709">
        <w:t xml:space="preserve"> </w:t>
      </w:r>
      <w:r w:rsidR="00CB0A61">
        <w:t xml:space="preserve">in alphabetical order </w:t>
      </w:r>
      <w:r>
        <w:t xml:space="preserve">to read </w:t>
      </w:r>
      <w:r w:rsidRPr="00E81709">
        <w:t>as follows:</w:t>
      </w:r>
    </w:p>
    <w:p w:rsidR="003323C8" w:rsidRPr="00E81709" w:rsidP="003323C8">
      <w:pPr>
        <w:spacing w:after="120"/>
        <w:rPr>
          <w:u w:val="single"/>
        </w:rPr>
      </w:pPr>
      <w:r w:rsidRPr="00E81709">
        <w:rPr>
          <w:b/>
          <w:u w:val="single"/>
        </w:rPr>
        <w:t xml:space="preserve">§ </w:t>
      </w:r>
      <w:r w:rsidRPr="00E81709">
        <w:rPr>
          <w:b/>
          <w:u w:val="single"/>
        </w:rPr>
        <w:t>15.</w:t>
      </w:r>
      <w:r w:rsidR="007D4399">
        <w:rPr>
          <w:b/>
          <w:u w:val="single"/>
        </w:rPr>
        <w:t>703  Definitions</w:t>
      </w:r>
      <w:r w:rsidR="00870BEE">
        <w:rPr>
          <w:b/>
          <w:u w:val="single"/>
        </w:rPr>
        <w:t>.</w:t>
      </w:r>
    </w:p>
    <w:p w:rsidR="003323C8" w:rsidP="003323C8"/>
    <w:p w:rsidR="003323C8" w:rsidP="007D4399">
      <w:r>
        <w:t>* * * * *</w:t>
      </w:r>
    </w:p>
    <w:p w:rsidR="007D4399" w:rsidP="007D4399"/>
    <w:p w:rsidR="007D4399" w:rsidP="007D4399">
      <w:r>
        <w:rPr>
          <w:i/>
        </w:rPr>
        <w:t>Narrowband white space device.</w:t>
      </w:r>
      <w:r>
        <w:t xml:space="preserve"> </w:t>
      </w:r>
      <w:r w:rsidR="00870BEE">
        <w:t>A fixed or personal/portable white space device operating in a bandwidth of no greater than 100 kHz.</w:t>
      </w:r>
    </w:p>
    <w:p w:rsidR="00870BEE" w:rsidP="007D4399"/>
    <w:p w:rsidR="00870BEE" w:rsidRPr="007D4399" w:rsidP="007D4399">
      <w:r>
        <w:t>* * * * *</w:t>
      </w:r>
    </w:p>
    <w:p w:rsidR="007D4399" w:rsidP="003323C8">
      <w:pPr>
        <w:ind w:firstLine="720"/>
      </w:pPr>
    </w:p>
    <w:p w:rsidR="003323C8" w:rsidP="00235FC5">
      <w:pPr>
        <w:pStyle w:val="ParaNum"/>
        <w:numPr>
          <w:ilvl w:val="0"/>
          <w:numId w:val="19"/>
        </w:numPr>
      </w:pPr>
      <w:r>
        <w:t>Amend section 15.</w:t>
      </w:r>
      <w:r w:rsidR="00870BEE">
        <w:t>707</w:t>
      </w:r>
      <w:r>
        <w:t xml:space="preserve"> by adding new paragraph (</w:t>
      </w:r>
      <w:r w:rsidR="00870BEE">
        <w:t>c</w:t>
      </w:r>
      <w:r>
        <w:t>) to read as follows:</w:t>
      </w:r>
    </w:p>
    <w:p w:rsidR="00870BEE" w:rsidRPr="00E81709" w:rsidP="00870BEE">
      <w:pPr>
        <w:spacing w:after="120"/>
        <w:rPr>
          <w:u w:val="single"/>
        </w:rPr>
      </w:pPr>
      <w:r w:rsidRPr="00E81709">
        <w:rPr>
          <w:b/>
          <w:u w:val="single"/>
        </w:rPr>
        <w:t xml:space="preserve">§ </w:t>
      </w:r>
      <w:r w:rsidRPr="00E81709">
        <w:rPr>
          <w:b/>
          <w:u w:val="single"/>
        </w:rPr>
        <w:t>15.</w:t>
      </w:r>
      <w:r>
        <w:rPr>
          <w:b/>
          <w:u w:val="single"/>
        </w:rPr>
        <w:t xml:space="preserve">707  </w:t>
      </w:r>
      <w:r w:rsidRPr="00870BEE">
        <w:rPr>
          <w:b/>
          <w:u w:val="single"/>
        </w:rPr>
        <w:t>Permissible</w:t>
      </w:r>
      <w:r w:rsidRPr="00870BEE">
        <w:rPr>
          <w:b/>
          <w:u w:val="single"/>
        </w:rPr>
        <w:t xml:space="preserve"> channels of operation.</w:t>
      </w:r>
    </w:p>
    <w:p w:rsidR="007D4399" w:rsidP="003323C8">
      <w:pPr>
        <w:ind w:firstLine="720"/>
      </w:pPr>
    </w:p>
    <w:p w:rsidR="000062D3" w:rsidP="000062D3"/>
    <w:p w:rsidR="000062D3" w:rsidP="000062D3">
      <w:r>
        <w:t>* * * * *</w:t>
      </w:r>
    </w:p>
    <w:p w:rsidR="000062D3" w:rsidP="000062D3"/>
    <w:p w:rsidR="000062D3" w:rsidP="000062D3">
      <w:r>
        <w:t xml:space="preserve">(c) Narrowband white space devices may only operate on frequencies below </w:t>
      </w:r>
      <w:r w:rsidRPr="00946249">
        <w:t>608 MHz.</w:t>
      </w:r>
    </w:p>
    <w:p w:rsidR="00D1455F" w:rsidP="000062D3"/>
    <w:p w:rsidR="00D1455F" w:rsidP="00235FC5">
      <w:pPr>
        <w:pStyle w:val="ParaNum"/>
        <w:numPr>
          <w:ilvl w:val="0"/>
          <w:numId w:val="19"/>
        </w:numPr>
      </w:pPr>
      <w:r>
        <w:t>Amend s</w:t>
      </w:r>
      <w:r w:rsidRPr="00235FC5">
        <w:t>ection</w:t>
      </w:r>
      <w:r w:rsidRPr="00D1455F">
        <w:t xml:space="preserve"> 15.709 </w:t>
      </w:r>
      <w:r>
        <w:t xml:space="preserve">by </w:t>
      </w:r>
      <w:r w:rsidR="0070161E">
        <w:t xml:space="preserve">adding </w:t>
      </w:r>
      <w:r w:rsidRPr="00D1455F" w:rsidR="0070161E">
        <w:t xml:space="preserve">new </w:t>
      </w:r>
      <w:r w:rsidR="0070161E">
        <w:t>paragraph</w:t>
      </w:r>
      <w:r w:rsidRPr="00D1455F" w:rsidR="0070161E">
        <w:t xml:space="preserve"> (b)(4)</w:t>
      </w:r>
      <w:r w:rsidR="0070161E">
        <w:t xml:space="preserve"> </w:t>
      </w:r>
      <w:r w:rsidRPr="00D1455F" w:rsidR="0070161E">
        <w:t>a</w:t>
      </w:r>
      <w:r w:rsidR="0070161E">
        <w:t xml:space="preserve">nd </w:t>
      </w:r>
      <w:r>
        <w:t>revising paragraphs</w:t>
      </w:r>
      <w:r w:rsidRPr="00D1455F">
        <w:t xml:space="preserve"> (a)(2), (b)(1)(</w:t>
      </w:r>
      <w:r w:rsidRPr="00D1455F">
        <w:t>ii)</w:t>
      </w:r>
      <w:r w:rsidR="003F45CE">
        <w:t>-(</w:t>
      </w:r>
      <w:r w:rsidR="003F45CE">
        <w:t>iii)</w:t>
      </w:r>
      <w:r w:rsidRPr="00D1455F">
        <w:t xml:space="preserve">, (c)(2), (g)(1)(ii) </w:t>
      </w:r>
      <w:r>
        <w:t xml:space="preserve">to read </w:t>
      </w:r>
      <w:r w:rsidRPr="00D1455F">
        <w:t>as follows:</w:t>
      </w:r>
    </w:p>
    <w:p w:rsidR="00235FC5" w:rsidRPr="00D1455F" w:rsidP="00D1455F"/>
    <w:p w:rsidR="00D1455F" w:rsidRPr="00235FC5" w:rsidP="00D1455F">
      <w:pPr>
        <w:rPr>
          <w:b/>
          <w:u w:val="single"/>
        </w:rPr>
      </w:pPr>
      <w:r w:rsidRPr="00235FC5">
        <w:rPr>
          <w:b/>
          <w:u w:val="single"/>
        </w:rPr>
        <w:t>§ 15.709 General technical requirements.</w:t>
      </w:r>
    </w:p>
    <w:p w:rsidR="00235FC5" w:rsidRPr="00D1455F" w:rsidP="00D1455F"/>
    <w:p w:rsidR="00D1455F" w:rsidP="00D1455F">
      <w:r w:rsidRPr="00D1455F">
        <w:t>(a)</w:t>
      </w:r>
      <w:r w:rsidR="004E47D3">
        <w:t xml:space="preserve"> </w:t>
      </w:r>
      <w:r w:rsidR="00946249">
        <w:t>* * *</w:t>
      </w:r>
    </w:p>
    <w:p w:rsidR="003B378A" w:rsidRPr="00733895" w:rsidP="003B378A">
      <w:pPr>
        <w:shd w:val="clear" w:color="auto" w:fill="FFFFFF"/>
        <w:spacing w:before="100" w:beforeAutospacing="1" w:after="100" w:afterAutospacing="1"/>
        <w:rPr>
          <w:color w:val="000000"/>
        </w:rPr>
      </w:pPr>
      <w:r w:rsidRPr="00733895">
        <w:rPr>
          <w:color w:val="000000"/>
        </w:rPr>
        <w:t>(2) </w:t>
      </w:r>
      <w:r w:rsidRPr="00733895">
        <w:rPr>
          <w:i/>
          <w:iCs/>
          <w:color w:val="000000"/>
        </w:rPr>
        <w:t>TV bands and 600 MHz service band.</w:t>
      </w:r>
      <w:r w:rsidRPr="00733895">
        <w:rPr>
          <w:color w:val="000000"/>
        </w:rPr>
        <w:t> (</w:t>
      </w:r>
      <w:r w:rsidRPr="00733895">
        <w:rPr>
          <w:color w:val="000000"/>
        </w:rPr>
        <w:t>i</w:t>
      </w:r>
      <w:r w:rsidRPr="00733895">
        <w:rPr>
          <w:color w:val="000000"/>
        </w:rPr>
        <w:t>) (</w:t>
      </w:r>
      <w:r w:rsidR="0002280F">
        <w:rPr>
          <w:color w:val="000000"/>
        </w:rPr>
        <w:t>A</w:t>
      </w:r>
      <w:r w:rsidRPr="00733895">
        <w:rPr>
          <w:color w:val="000000"/>
        </w:rPr>
        <w:t xml:space="preserve">) Fixed devices in the TV bands below 602 </w:t>
      </w:r>
      <w:r w:rsidR="00BB61B2">
        <w:rPr>
          <w:color w:val="000000"/>
        </w:rPr>
        <w:t>MHz</w:t>
      </w:r>
      <w:r w:rsidR="00620D73">
        <w:rPr>
          <w:color w:val="000000"/>
        </w:rPr>
        <w:t>:</w:t>
      </w:r>
      <w:r w:rsidR="00BB61B2">
        <w:rPr>
          <w:color w:val="000000"/>
        </w:rPr>
        <w:t xml:space="preserve"> </w:t>
      </w:r>
      <w:r w:rsidR="00620D73">
        <w:rPr>
          <w:color w:val="000000"/>
        </w:rPr>
        <w:t>U</w:t>
      </w:r>
      <w:r w:rsidRPr="00733895">
        <w:rPr>
          <w:color w:val="000000"/>
        </w:rPr>
        <w:t xml:space="preserve">p to 4 W (36 dBm) EIRP, and up to 16 W (42 dBm) EIRP in less congested areas. </w:t>
      </w:r>
      <w:r w:rsidR="00BB61B2">
        <w:rPr>
          <w:color w:val="000000"/>
        </w:rPr>
        <w:t>Fixed devices in the 602-608 MHz band may operate with up to 4 W (36 dBm) EIRP.</w:t>
      </w:r>
    </w:p>
    <w:p w:rsidR="003B378A" w:rsidRPr="00733895" w:rsidP="00A05F1A">
      <w:pPr>
        <w:shd w:val="clear" w:color="auto" w:fill="FFFFFF"/>
        <w:rPr>
          <w:color w:val="000000"/>
        </w:rPr>
      </w:pPr>
      <w:r w:rsidRPr="00733895">
        <w:rPr>
          <w:color w:val="000000"/>
        </w:rPr>
        <w:t>(</w:t>
      </w:r>
      <w:r w:rsidR="0002280F">
        <w:rPr>
          <w:color w:val="000000"/>
        </w:rPr>
        <w:t>B</w:t>
      </w:r>
      <w:r w:rsidRPr="00733895">
        <w:rPr>
          <w:color w:val="000000"/>
        </w:rPr>
        <w:t>) Fixed devices in the 600 MHz service band</w:t>
      </w:r>
      <w:r w:rsidR="00BB61B2">
        <w:rPr>
          <w:color w:val="000000"/>
        </w:rPr>
        <w:t>s</w:t>
      </w:r>
      <w:r w:rsidRPr="00733895">
        <w:rPr>
          <w:color w:val="000000"/>
        </w:rPr>
        <w:t xml:space="preserve"> above 620 </w:t>
      </w:r>
      <w:r w:rsidR="00BB61B2">
        <w:rPr>
          <w:color w:val="000000"/>
        </w:rPr>
        <w:t>MHz</w:t>
      </w:r>
      <w:r w:rsidR="00620D73">
        <w:rPr>
          <w:color w:val="000000"/>
        </w:rPr>
        <w:t>:</w:t>
      </w:r>
      <w:r w:rsidR="00BB61B2">
        <w:rPr>
          <w:color w:val="000000"/>
        </w:rPr>
        <w:t xml:space="preserve"> </w:t>
      </w:r>
      <w:r w:rsidR="00620D73">
        <w:rPr>
          <w:color w:val="000000"/>
        </w:rPr>
        <w:t>U</w:t>
      </w:r>
      <w:r w:rsidRPr="00733895">
        <w:rPr>
          <w:color w:val="000000"/>
        </w:rPr>
        <w:t xml:space="preserve">p to 4 W (36 dBm) EIRP, and up to 10 W (40 dBm) EIRP in less congested areas. </w:t>
      </w:r>
      <w:r w:rsidR="00BB61B2">
        <w:rPr>
          <w:color w:val="000000"/>
        </w:rPr>
        <w:t>Fixed devices that operate in any portion of the 614-620 MHz band may operate with up to 4 W (36 dBm) EIRP.</w:t>
      </w:r>
    </w:p>
    <w:p w:rsidR="00946249" w:rsidP="00D1455F">
      <w:r w:rsidRPr="00D1455F">
        <w:t xml:space="preserve"> </w:t>
      </w:r>
    </w:p>
    <w:p w:rsidR="00946249" w:rsidRPr="00D1455F" w:rsidP="00D1455F">
      <w:r>
        <w:t>* * * * *</w:t>
      </w:r>
    </w:p>
    <w:p w:rsidR="00946249" w:rsidP="00D1455F"/>
    <w:p w:rsidR="00D1455F" w:rsidP="00D1455F">
      <w:r w:rsidRPr="00D1455F">
        <w:t>(b) * * *</w:t>
      </w:r>
      <w:r w:rsidR="00A05F1A">
        <w:br/>
      </w:r>
    </w:p>
    <w:p w:rsidR="00D1455F" w:rsidP="00D1455F">
      <w:r w:rsidRPr="00D1455F">
        <w:t>(1) * * *</w:t>
      </w:r>
    </w:p>
    <w:p w:rsidR="0000738A" w:rsidRPr="0000738A" w:rsidP="0000738A">
      <w:r w:rsidRPr="0000738A">
        <w:t xml:space="preserve">(ii) For operation at EIRP levels of 36 dBm (4,000 </w:t>
      </w:r>
      <w:r w:rsidRPr="0000738A">
        <w:t>mW</w:t>
      </w:r>
      <w:r w:rsidRPr="0000738A">
        <w:t xml:space="preserve">) or less, fixed white space devices may operate at EIRP levels between the values shown in the table in paragraph (b)(1)(iii) of this section provided that the conducted power and the conducted power spectral density (PSD) limits are linearly interpolated between the values shown and the adjacent channel emission limit of the higher value shown in the table is met. </w:t>
      </w:r>
      <w:r w:rsidRPr="00D1455F" w:rsidR="003F45CE">
        <w:t>Operation</w:t>
      </w:r>
      <w:r w:rsidR="003F45CE">
        <w:t xml:space="preserve"> </w:t>
      </w:r>
      <w:r w:rsidRPr="00D1455F" w:rsidR="003F45CE">
        <w:t xml:space="preserve">at EIRP levels above 36 dBm (4000 </w:t>
      </w:r>
      <w:r w:rsidRPr="00D1455F" w:rsidR="003F45CE">
        <w:t>mW</w:t>
      </w:r>
      <w:r w:rsidRPr="00D1455F" w:rsidR="003F45CE">
        <w:t xml:space="preserve">) but not greater than 40 dBm (10,000 </w:t>
      </w:r>
      <w:r w:rsidRPr="00D1455F" w:rsidR="003F45CE">
        <w:t>mW</w:t>
      </w:r>
      <w:r w:rsidRPr="00D1455F" w:rsidR="003F45CE">
        <w:t>) shall follow the</w:t>
      </w:r>
      <w:r w:rsidR="003F45CE">
        <w:t xml:space="preserve"> </w:t>
      </w:r>
      <w:r w:rsidRPr="00D1455F" w:rsidR="003F45CE">
        <w:t xml:space="preserve">requirements for 40 dBm (10,000 </w:t>
      </w:r>
      <w:r w:rsidRPr="00D1455F" w:rsidR="003F45CE">
        <w:t>mW</w:t>
      </w:r>
      <w:r w:rsidRPr="00D1455F" w:rsidR="003F45CE">
        <w:t xml:space="preserve">). Operation at EIRP levels above 40 dBm (10,000 </w:t>
      </w:r>
      <w:r w:rsidRPr="00D1455F" w:rsidR="003F45CE">
        <w:t>mW</w:t>
      </w:r>
      <w:r w:rsidRPr="00D1455F" w:rsidR="003F45CE">
        <w:t>) shall</w:t>
      </w:r>
      <w:r w:rsidR="003F45CE">
        <w:t xml:space="preserve"> </w:t>
      </w:r>
      <w:r w:rsidRPr="00D1455F" w:rsidR="003F45CE">
        <w:t xml:space="preserve">follow the requirements for 42 dBm (16,000 </w:t>
      </w:r>
      <w:r w:rsidRPr="00D1455F" w:rsidR="003F45CE">
        <w:t>mW</w:t>
      </w:r>
      <w:r w:rsidRPr="00D1455F" w:rsidR="003F45CE">
        <w:t>)</w:t>
      </w:r>
      <w:r w:rsidRPr="0000738A">
        <w:t>.</w:t>
      </w:r>
    </w:p>
    <w:p w:rsidR="0000738A" w:rsidRPr="0000738A" w:rsidP="0000738A"/>
    <w:p w:rsidR="0000738A" w:rsidRPr="0000738A" w:rsidP="0000738A">
      <w:r w:rsidRPr="0000738A">
        <w:t>(iii) The conducted power spectral density from a fixed white space device shall not be greater than the values shown in the table in this paragraph (b)(1)(iii) when measured in any 100 kHz band during any time interval of continuous transmission.</w:t>
      </w:r>
    </w:p>
    <w:p w:rsidR="0000738A" w:rsidRPr="0000738A" w:rsidP="0000738A"/>
    <w:p w:rsidR="0000738A" w:rsidRPr="003F45CE" w:rsidP="003F45CE">
      <w:pPr>
        <w:jc w:val="center"/>
        <w:rPr>
          <w:b/>
        </w:rPr>
      </w:pPr>
      <w:r w:rsidRPr="003F45CE">
        <w:rPr>
          <w:b/>
        </w:rPr>
        <w:t>Table 1 to Paragraph (b)(1)(iii)</w:t>
      </w:r>
    </w:p>
    <w:p w:rsidR="00946249" w:rsidP="00235FC5"/>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2160"/>
        <w:gridCol w:w="2160"/>
        <w:gridCol w:w="2376"/>
      </w:tblGrid>
      <w:tr w:rsidTr="007C4508">
        <w:tblPrEx>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jc w:val="center"/>
        </w:trPr>
        <w:tc>
          <w:tcPr>
            <w:tcW w:w="2376" w:type="dxa"/>
          </w:tcPr>
          <w:p w:rsidR="00174140" w:rsidRPr="00AD595B" w:rsidP="00174140">
            <w:pPr>
              <w:jc w:val="center"/>
              <w:rPr>
                <w:b/>
              </w:rPr>
            </w:pPr>
            <w:r w:rsidRPr="00AD595B">
              <w:rPr>
                <w:b/>
              </w:rPr>
              <w:t>EIRP</w:t>
            </w:r>
          </w:p>
          <w:p w:rsidR="00174140" w:rsidRPr="00AD595B" w:rsidP="00174140">
            <w:pPr>
              <w:snapToGrid w:val="0"/>
              <w:jc w:val="center"/>
              <w:rPr>
                <w:b/>
              </w:rPr>
            </w:pPr>
            <w:r w:rsidRPr="00AD595B">
              <w:rPr>
                <w:b/>
              </w:rPr>
              <w:t>(6 MHz)</w:t>
            </w:r>
          </w:p>
        </w:tc>
        <w:tc>
          <w:tcPr>
            <w:tcW w:w="2160" w:type="dxa"/>
          </w:tcPr>
          <w:p w:rsidR="00174140" w:rsidRPr="00AD595B" w:rsidP="00174140">
            <w:pPr>
              <w:snapToGrid w:val="0"/>
              <w:jc w:val="center"/>
              <w:rPr>
                <w:b/>
              </w:rPr>
            </w:pPr>
            <w:r w:rsidRPr="00AD595B">
              <w:rPr>
                <w:b/>
              </w:rPr>
              <w:t>Conducted power limit</w:t>
            </w:r>
          </w:p>
          <w:p w:rsidR="00174140" w:rsidRPr="00AD595B" w:rsidP="00174140">
            <w:pPr>
              <w:snapToGrid w:val="0"/>
              <w:jc w:val="center"/>
              <w:rPr>
                <w:b/>
              </w:rPr>
            </w:pPr>
            <w:r w:rsidRPr="00AD595B">
              <w:rPr>
                <w:b/>
              </w:rPr>
              <w:t>(6 MHz)</w:t>
            </w:r>
          </w:p>
        </w:tc>
        <w:tc>
          <w:tcPr>
            <w:tcW w:w="2160" w:type="dxa"/>
          </w:tcPr>
          <w:p w:rsidR="00174140" w:rsidRPr="00AD595B" w:rsidP="00174140">
            <w:pPr>
              <w:jc w:val="center"/>
              <w:rPr>
                <w:b/>
              </w:rPr>
            </w:pPr>
            <w:r w:rsidRPr="00AD595B">
              <w:rPr>
                <w:b/>
              </w:rPr>
              <w:t>Conducted PSD limit</w:t>
            </w:r>
            <w:r w:rsidRPr="00AD595B">
              <w:rPr>
                <w:b/>
                <w:vertAlign w:val="superscript"/>
              </w:rPr>
              <w:t>1</w:t>
            </w:r>
          </w:p>
          <w:p w:rsidR="00174140" w:rsidRPr="00AD595B" w:rsidP="00174140">
            <w:pPr>
              <w:snapToGrid w:val="0"/>
              <w:jc w:val="center"/>
              <w:rPr>
                <w:b/>
              </w:rPr>
            </w:pPr>
            <w:r w:rsidRPr="00AD595B">
              <w:rPr>
                <w:b/>
              </w:rPr>
              <w:t>(100 kHz)</w:t>
            </w:r>
          </w:p>
        </w:tc>
        <w:tc>
          <w:tcPr>
            <w:tcW w:w="2376" w:type="dxa"/>
          </w:tcPr>
          <w:p w:rsidR="00174140" w:rsidRPr="00AD595B" w:rsidP="00174140">
            <w:pPr>
              <w:snapToGrid w:val="0"/>
              <w:jc w:val="center"/>
              <w:rPr>
                <w:b/>
              </w:rPr>
            </w:pPr>
            <w:r w:rsidRPr="00AD595B">
              <w:rPr>
                <w:b/>
              </w:rPr>
              <w:t>Conducted adjacent channel emission limit</w:t>
            </w:r>
          </w:p>
          <w:p w:rsidR="00174140" w:rsidRPr="00AD595B" w:rsidP="00174140">
            <w:pPr>
              <w:snapToGrid w:val="0"/>
              <w:jc w:val="center"/>
              <w:rPr>
                <w:b/>
              </w:rPr>
            </w:pPr>
            <w:r w:rsidRPr="00AD595B">
              <w:rPr>
                <w:b/>
              </w:rPr>
              <w:t>(100 kHz)</w:t>
            </w:r>
          </w:p>
        </w:tc>
      </w:tr>
      <w:tr w:rsidTr="007C4508">
        <w:tblPrEx>
          <w:tblW w:w="9072" w:type="dxa"/>
          <w:jc w:val="center"/>
          <w:tblLook w:val="00A0"/>
        </w:tblPrEx>
        <w:trPr>
          <w:jc w:val="center"/>
        </w:trPr>
        <w:tc>
          <w:tcPr>
            <w:tcW w:w="2376" w:type="dxa"/>
          </w:tcPr>
          <w:p w:rsidR="00174140" w:rsidRPr="00AD595B" w:rsidP="00174140">
            <w:pPr>
              <w:snapToGrid w:val="0"/>
              <w:jc w:val="center"/>
            </w:pPr>
            <w:r w:rsidRPr="00AD595B">
              <w:t xml:space="preserve">16 dBm (40 </w:t>
            </w:r>
            <w:r w:rsidRPr="00AD595B">
              <w:t>mW</w:t>
            </w:r>
            <w:r w:rsidRPr="00AD595B">
              <w:t>)</w:t>
            </w:r>
          </w:p>
        </w:tc>
        <w:tc>
          <w:tcPr>
            <w:tcW w:w="2160" w:type="dxa"/>
          </w:tcPr>
          <w:p w:rsidR="00174140" w:rsidRPr="00AD595B" w:rsidP="00174140">
            <w:pPr>
              <w:snapToGrid w:val="0"/>
              <w:jc w:val="center"/>
            </w:pPr>
            <w:r w:rsidRPr="00AD595B">
              <w:t xml:space="preserve">10 dBm (10 </w:t>
            </w:r>
            <w:r w:rsidRPr="00AD595B">
              <w:t>mW</w:t>
            </w:r>
            <w:r w:rsidRPr="00AD595B">
              <w:t>)</w:t>
            </w:r>
          </w:p>
        </w:tc>
        <w:tc>
          <w:tcPr>
            <w:tcW w:w="2160" w:type="dxa"/>
          </w:tcPr>
          <w:p w:rsidR="00174140" w:rsidRPr="00AD595B" w:rsidP="00174140">
            <w:pPr>
              <w:snapToGrid w:val="0"/>
              <w:jc w:val="center"/>
            </w:pPr>
            <w:r w:rsidRPr="00AD595B">
              <w:t>-7.4 dBm</w:t>
            </w:r>
          </w:p>
        </w:tc>
        <w:tc>
          <w:tcPr>
            <w:tcW w:w="2376" w:type="dxa"/>
          </w:tcPr>
          <w:p w:rsidR="00174140" w:rsidRPr="00AD595B" w:rsidP="00174140">
            <w:pPr>
              <w:snapToGrid w:val="0"/>
              <w:jc w:val="center"/>
            </w:pPr>
            <w:r w:rsidRPr="00AD595B">
              <w:t>-62.8 dBm</w:t>
            </w:r>
          </w:p>
        </w:tc>
      </w:tr>
      <w:tr w:rsidTr="007C4508">
        <w:tblPrEx>
          <w:tblW w:w="9072" w:type="dxa"/>
          <w:jc w:val="center"/>
          <w:tblLook w:val="00A0"/>
        </w:tblPrEx>
        <w:trPr>
          <w:jc w:val="center"/>
        </w:trPr>
        <w:tc>
          <w:tcPr>
            <w:tcW w:w="2376" w:type="dxa"/>
          </w:tcPr>
          <w:p w:rsidR="00174140" w:rsidRPr="00AD595B" w:rsidP="00174140">
            <w:pPr>
              <w:snapToGrid w:val="0"/>
              <w:jc w:val="center"/>
            </w:pPr>
            <w:r w:rsidRPr="00AD595B">
              <w:t xml:space="preserve">20 dBm (100 </w:t>
            </w:r>
            <w:r w:rsidRPr="00AD595B">
              <w:t>mW</w:t>
            </w:r>
            <w:r w:rsidRPr="00AD595B">
              <w:t>)</w:t>
            </w:r>
          </w:p>
        </w:tc>
        <w:tc>
          <w:tcPr>
            <w:tcW w:w="2160" w:type="dxa"/>
          </w:tcPr>
          <w:p w:rsidR="00174140" w:rsidRPr="00AD595B" w:rsidP="00174140">
            <w:pPr>
              <w:snapToGrid w:val="0"/>
              <w:jc w:val="center"/>
            </w:pPr>
            <w:r w:rsidRPr="00AD595B">
              <w:t xml:space="preserve">14 dBm (25 </w:t>
            </w:r>
            <w:r w:rsidRPr="00AD595B">
              <w:t>mW</w:t>
            </w:r>
            <w:r w:rsidRPr="00AD595B">
              <w:t>)</w:t>
            </w:r>
          </w:p>
        </w:tc>
        <w:tc>
          <w:tcPr>
            <w:tcW w:w="2160" w:type="dxa"/>
          </w:tcPr>
          <w:p w:rsidR="00174140" w:rsidRPr="00AD595B" w:rsidP="00174140">
            <w:pPr>
              <w:snapToGrid w:val="0"/>
              <w:jc w:val="center"/>
            </w:pPr>
            <w:r w:rsidRPr="00AD595B">
              <w:t>-3.4 dBm</w:t>
            </w:r>
          </w:p>
        </w:tc>
        <w:tc>
          <w:tcPr>
            <w:tcW w:w="2376" w:type="dxa"/>
          </w:tcPr>
          <w:p w:rsidR="00174140" w:rsidRPr="00AD595B" w:rsidP="00174140">
            <w:pPr>
              <w:snapToGrid w:val="0"/>
              <w:jc w:val="center"/>
            </w:pPr>
            <w:r w:rsidRPr="00AD595B">
              <w:t>-58.8 dBm</w:t>
            </w:r>
          </w:p>
        </w:tc>
      </w:tr>
      <w:tr w:rsidTr="007C4508">
        <w:tblPrEx>
          <w:tblW w:w="9072" w:type="dxa"/>
          <w:jc w:val="center"/>
          <w:tblLook w:val="00A0"/>
        </w:tblPrEx>
        <w:trPr>
          <w:jc w:val="center"/>
        </w:trPr>
        <w:tc>
          <w:tcPr>
            <w:tcW w:w="2376" w:type="dxa"/>
          </w:tcPr>
          <w:p w:rsidR="00174140" w:rsidRPr="00AD595B" w:rsidP="00174140">
            <w:pPr>
              <w:snapToGrid w:val="0"/>
              <w:jc w:val="center"/>
            </w:pPr>
            <w:r w:rsidRPr="00AD595B">
              <w:t xml:space="preserve">24 dBm (250 </w:t>
            </w:r>
            <w:r w:rsidRPr="00AD595B">
              <w:t>mW</w:t>
            </w:r>
            <w:r w:rsidRPr="00AD595B">
              <w:t>)</w:t>
            </w:r>
          </w:p>
        </w:tc>
        <w:tc>
          <w:tcPr>
            <w:tcW w:w="2160" w:type="dxa"/>
          </w:tcPr>
          <w:p w:rsidR="00174140" w:rsidRPr="00AD595B" w:rsidP="00174140">
            <w:pPr>
              <w:snapToGrid w:val="0"/>
              <w:jc w:val="center"/>
            </w:pPr>
            <w:r w:rsidRPr="00AD595B">
              <w:t xml:space="preserve">18 dBm (63 </w:t>
            </w:r>
            <w:r w:rsidRPr="00AD595B">
              <w:t>mW</w:t>
            </w:r>
            <w:r w:rsidRPr="00AD595B">
              <w:t>)</w:t>
            </w:r>
          </w:p>
        </w:tc>
        <w:tc>
          <w:tcPr>
            <w:tcW w:w="2160" w:type="dxa"/>
          </w:tcPr>
          <w:p w:rsidR="00174140" w:rsidRPr="00AD595B" w:rsidP="00174140">
            <w:pPr>
              <w:snapToGrid w:val="0"/>
              <w:jc w:val="center"/>
            </w:pPr>
            <w:r w:rsidRPr="00AD595B">
              <w:t>0.6 dBm</w:t>
            </w:r>
          </w:p>
        </w:tc>
        <w:tc>
          <w:tcPr>
            <w:tcW w:w="2376" w:type="dxa"/>
          </w:tcPr>
          <w:p w:rsidR="00174140" w:rsidRPr="00AD595B" w:rsidP="00174140">
            <w:pPr>
              <w:snapToGrid w:val="0"/>
              <w:jc w:val="center"/>
            </w:pPr>
            <w:r w:rsidRPr="00AD595B">
              <w:t>-54.8 dBm</w:t>
            </w:r>
          </w:p>
        </w:tc>
      </w:tr>
      <w:tr w:rsidTr="007C4508">
        <w:tblPrEx>
          <w:tblW w:w="9072" w:type="dxa"/>
          <w:jc w:val="center"/>
          <w:tblLook w:val="00A0"/>
        </w:tblPrEx>
        <w:trPr>
          <w:jc w:val="center"/>
        </w:trPr>
        <w:tc>
          <w:tcPr>
            <w:tcW w:w="2376" w:type="dxa"/>
          </w:tcPr>
          <w:p w:rsidR="00174140" w:rsidRPr="00AD595B" w:rsidP="00174140">
            <w:pPr>
              <w:snapToGrid w:val="0"/>
              <w:jc w:val="center"/>
            </w:pPr>
            <w:r w:rsidRPr="00AD595B">
              <w:t xml:space="preserve">28 dBm (625 </w:t>
            </w:r>
            <w:r w:rsidRPr="00AD595B">
              <w:t>mW</w:t>
            </w:r>
            <w:r w:rsidRPr="00AD595B">
              <w:t>)</w:t>
            </w:r>
          </w:p>
        </w:tc>
        <w:tc>
          <w:tcPr>
            <w:tcW w:w="2160" w:type="dxa"/>
          </w:tcPr>
          <w:p w:rsidR="00174140" w:rsidRPr="00AD595B" w:rsidP="00174140">
            <w:pPr>
              <w:snapToGrid w:val="0"/>
              <w:jc w:val="center"/>
            </w:pPr>
            <w:r w:rsidRPr="00AD595B">
              <w:t xml:space="preserve">22 dBm (158 </w:t>
            </w:r>
            <w:r w:rsidRPr="00AD595B">
              <w:t>mW</w:t>
            </w:r>
            <w:r w:rsidRPr="00AD595B">
              <w:t>)</w:t>
            </w:r>
          </w:p>
        </w:tc>
        <w:tc>
          <w:tcPr>
            <w:tcW w:w="2160" w:type="dxa"/>
          </w:tcPr>
          <w:p w:rsidR="00174140" w:rsidRPr="00AD595B" w:rsidP="00174140">
            <w:pPr>
              <w:snapToGrid w:val="0"/>
              <w:jc w:val="center"/>
            </w:pPr>
            <w:r w:rsidRPr="00AD595B">
              <w:t>4.6 dBm</w:t>
            </w:r>
          </w:p>
        </w:tc>
        <w:tc>
          <w:tcPr>
            <w:tcW w:w="2376" w:type="dxa"/>
          </w:tcPr>
          <w:p w:rsidR="00174140" w:rsidRPr="00AD595B" w:rsidP="00174140">
            <w:pPr>
              <w:snapToGrid w:val="0"/>
              <w:jc w:val="center"/>
            </w:pPr>
            <w:r w:rsidRPr="00AD595B">
              <w:t>-50.8 dBm</w:t>
            </w:r>
          </w:p>
        </w:tc>
      </w:tr>
      <w:tr w:rsidTr="007C4508">
        <w:tblPrEx>
          <w:tblW w:w="9072" w:type="dxa"/>
          <w:jc w:val="center"/>
          <w:tblLook w:val="00A0"/>
        </w:tblPrEx>
        <w:trPr>
          <w:jc w:val="center"/>
        </w:trPr>
        <w:tc>
          <w:tcPr>
            <w:tcW w:w="2376" w:type="dxa"/>
          </w:tcPr>
          <w:p w:rsidR="00174140" w:rsidRPr="00AD595B" w:rsidP="00174140">
            <w:pPr>
              <w:snapToGrid w:val="0"/>
              <w:jc w:val="center"/>
            </w:pPr>
            <w:r w:rsidRPr="00AD595B">
              <w:t xml:space="preserve">32 dBm (1600 </w:t>
            </w:r>
            <w:r w:rsidRPr="00AD595B">
              <w:t>mW</w:t>
            </w:r>
            <w:r w:rsidRPr="00AD595B">
              <w:t>)</w:t>
            </w:r>
          </w:p>
        </w:tc>
        <w:tc>
          <w:tcPr>
            <w:tcW w:w="2160" w:type="dxa"/>
          </w:tcPr>
          <w:p w:rsidR="00174140" w:rsidRPr="00AD595B" w:rsidP="00174140">
            <w:pPr>
              <w:snapToGrid w:val="0"/>
              <w:jc w:val="center"/>
            </w:pPr>
            <w:r w:rsidRPr="00AD595B">
              <w:t xml:space="preserve">26 dBm (400 </w:t>
            </w:r>
            <w:r w:rsidRPr="00AD595B">
              <w:t>mW</w:t>
            </w:r>
            <w:r w:rsidRPr="00AD595B">
              <w:t>)</w:t>
            </w:r>
          </w:p>
        </w:tc>
        <w:tc>
          <w:tcPr>
            <w:tcW w:w="2160" w:type="dxa"/>
          </w:tcPr>
          <w:p w:rsidR="00174140" w:rsidRPr="00AD595B" w:rsidP="00174140">
            <w:pPr>
              <w:snapToGrid w:val="0"/>
              <w:jc w:val="center"/>
            </w:pPr>
            <w:r w:rsidRPr="00AD595B">
              <w:t>8.6 dBm</w:t>
            </w:r>
          </w:p>
        </w:tc>
        <w:tc>
          <w:tcPr>
            <w:tcW w:w="2376" w:type="dxa"/>
          </w:tcPr>
          <w:p w:rsidR="00174140" w:rsidRPr="00AD595B" w:rsidP="00174140">
            <w:pPr>
              <w:snapToGrid w:val="0"/>
              <w:jc w:val="center"/>
            </w:pPr>
            <w:r w:rsidRPr="00AD595B">
              <w:t>-46.8 dBm</w:t>
            </w:r>
          </w:p>
        </w:tc>
      </w:tr>
      <w:tr w:rsidTr="007C4508">
        <w:tblPrEx>
          <w:tblW w:w="9072" w:type="dxa"/>
          <w:jc w:val="center"/>
          <w:tblLook w:val="00A0"/>
        </w:tblPrEx>
        <w:trPr>
          <w:jc w:val="center"/>
        </w:trPr>
        <w:tc>
          <w:tcPr>
            <w:tcW w:w="2376" w:type="dxa"/>
          </w:tcPr>
          <w:p w:rsidR="00174140" w:rsidRPr="00AD595B" w:rsidP="00174140">
            <w:pPr>
              <w:snapToGrid w:val="0"/>
              <w:jc w:val="center"/>
            </w:pPr>
            <w:r w:rsidRPr="00AD595B">
              <w:t xml:space="preserve">36 dBm (4000 </w:t>
            </w:r>
            <w:r w:rsidRPr="00AD595B">
              <w:t>mW</w:t>
            </w:r>
            <w:r w:rsidRPr="00AD595B">
              <w:t>)</w:t>
            </w:r>
          </w:p>
        </w:tc>
        <w:tc>
          <w:tcPr>
            <w:tcW w:w="2160" w:type="dxa"/>
          </w:tcPr>
          <w:p w:rsidR="00174140" w:rsidRPr="00AD595B" w:rsidP="00174140">
            <w:pPr>
              <w:snapToGrid w:val="0"/>
              <w:jc w:val="center"/>
            </w:pPr>
            <w:r w:rsidRPr="00AD595B">
              <w:t xml:space="preserve">30 dBm (1000 </w:t>
            </w:r>
            <w:r w:rsidRPr="00AD595B">
              <w:t>mW</w:t>
            </w:r>
            <w:r w:rsidRPr="00AD595B">
              <w:t>)</w:t>
            </w:r>
          </w:p>
        </w:tc>
        <w:tc>
          <w:tcPr>
            <w:tcW w:w="2160" w:type="dxa"/>
          </w:tcPr>
          <w:p w:rsidR="00174140" w:rsidRPr="00AD595B" w:rsidP="00174140">
            <w:pPr>
              <w:snapToGrid w:val="0"/>
              <w:jc w:val="center"/>
            </w:pPr>
            <w:r w:rsidRPr="00AD595B">
              <w:t>12.6 dBm</w:t>
            </w:r>
          </w:p>
        </w:tc>
        <w:tc>
          <w:tcPr>
            <w:tcW w:w="2376" w:type="dxa"/>
          </w:tcPr>
          <w:p w:rsidR="00174140" w:rsidRPr="00AD595B" w:rsidP="00174140">
            <w:pPr>
              <w:snapToGrid w:val="0"/>
              <w:jc w:val="center"/>
            </w:pPr>
            <w:r w:rsidRPr="00AD595B">
              <w:t>-42.8 dBm</w:t>
            </w:r>
          </w:p>
        </w:tc>
      </w:tr>
      <w:tr w:rsidTr="007C4508">
        <w:tblPrEx>
          <w:tblW w:w="9072" w:type="dxa"/>
          <w:jc w:val="center"/>
          <w:tblLook w:val="00A0"/>
        </w:tblPrEx>
        <w:trPr>
          <w:jc w:val="center"/>
        </w:trPr>
        <w:tc>
          <w:tcPr>
            <w:tcW w:w="2376" w:type="dxa"/>
          </w:tcPr>
          <w:p w:rsidR="00174140" w:rsidRPr="00AD595B" w:rsidP="00174140">
            <w:pPr>
              <w:snapToGrid w:val="0"/>
              <w:jc w:val="center"/>
            </w:pPr>
            <w:r w:rsidRPr="00AD595B">
              <w:t xml:space="preserve">40 dBm (10000 </w:t>
            </w:r>
            <w:r w:rsidRPr="00AD595B">
              <w:t>mW</w:t>
            </w:r>
            <w:r w:rsidRPr="00AD595B">
              <w:t>)</w:t>
            </w:r>
          </w:p>
        </w:tc>
        <w:tc>
          <w:tcPr>
            <w:tcW w:w="2160" w:type="dxa"/>
          </w:tcPr>
          <w:p w:rsidR="00174140" w:rsidRPr="00AD595B" w:rsidP="00174140">
            <w:pPr>
              <w:snapToGrid w:val="0"/>
              <w:jc w:val="center"/>
            </w:pPr>
            <w:r w:rsidRPr="00AD595B">
              <w:t xml:space="preserve">30 dBm (1000 </w:t>
            </w:r>
            <w:r w:rsidRPr="00AD595B">
              <w:t>mW</w:t>
            </w:r>
            <w:r w:rsidRPr="00AD595B">
              <w:t>)</w:t>
            </w:r>
          </w:p>
        </w:tc>
        <w:tc>
          <w:tcPr>
            <w:tcW w:w="2160" w:type="dxa"/>
          </w:tcPr>
          <w:p w:rsidR="00174140" w:rsidRPr="00AD595B" w:rsidP="00174140">
            <w:pPr>
              <w:snapToGrid w:val="0"/>
              <w:jc w:val="center"/>
            </w:pPr>
            <w:r w:rsidRPr="00AD595B">
              <w:t>12.6 dBm</w:t>
            </w:r>
          </w:p>
        </w:tc>
        <w:tc>
          <w:tcPr>
            <w:tcW w:w="2376" w:type="dxa"/>
          </w:tcPr>
          <w:p w:rsidR="00174140" w:rsidRPr="00AD595B" w:rsidP="00174140">
            <w:pPr>
              <w:snapToGrid w:val="0"/>
              <w:jc w:val="center"/>
            </w:pPr>
            <w:r w:rsidRPr="00AD595B">
              <w:t>-42.8 dBm</w:t>
            </w:r>
          </w:p>
        </w:tc>
      </w:tr>
      <w:tr w:rsidTr="007C4508">
        <w:tblPrEx>
          <w:tblW w:w="9072" w:type="dxa"/>
          <w:jc w:val="center"/>
          <w:tblLook w:val="00A0"/>
        </w:tblPrEx>
        <w:trPr>
          <w:jc w:val="center"/>
        </w:trPr>
        <w:tc>
          <w:tcPr>
            <w:tcW w:w="2376" w:type="dxa"/>
          </w:tcPr>
          <w:p w:rsidR="00174140" w:rsidRPr="00AD595B" w:rsidP="00174140">
            <w:pPr>
              <w:snapToGrid w:val="0"/>
              <w:jc w:val="center"/>
            </w:pPr>
            <w:r w:rsidRPr="00AD595B">
              <w:t xml:space="preserve">42 dBm (16000 </w:t>
            </w:r>
            <w:r w:rsidRPr="00AD595B">
              <w:t>mW</w:t>
            </w:r>
            <w:r w:rsidRPr="00AD595B">
              <w:t>)</w:t>
            </w:r>
          </w:p>
        </w:tc>
        <w:tc>
          <w:tcPr>
            <w:tcW w:w="2160" w:type="dxa"/>
          </w:tcPr>
          <w:p w:rsidR="00174140" w:rsidRPr="00AD595B" w:rsidP="00174140">
            <w:pPr>
              <w:jc w:val="center"/>
            </w:pPr>
            <w:r w:rsidRPr="00AD595B">
              <w:t xml:space="preserve">30 dBm (1000 </w:t>
            </w:r>
            <w:r w:rsidRPr="00AD595B">
              <w:t>mW</w:t>
            </w:r>
            <w:r w:rsidRPr="00AD595B">
              <w:t>)</w:t>
            </w:r>
          </w:p>
        </w:tc>
        <w:tc>
          <w:tcPr>
            <w:tcW w:w="2160" w:type="dxa"/>
          </w:tcPr>
          <w:p w:rsidR="00174140" w:rsidRPr="00AD595B" w:rsidP="00174140">
            <w:pPr>
              <w:jc w:val="center"/>
            </w:pPr>
            <w:r w:rsidRPr="00AD595B">
              <w:t>12.6 dBm</w:t>
            </w:r>
          </w:p>
        </w:tc>
        <w:tc>
          <w:tcPr>
            <w:tcW w:w="2376" w:type="dxa"/>
          </w:tcPr>
          <w:p w:rsidR="00174140" w:rsidRPr="00AD595B" w:rsidP="00174140">
            <w:pPr>
              <w:jc w:val="center"/>
            </w:pPr>
            <w:r w:rsidRPr="00AD595B">
              <w:t>-42.8 dBm</w:t>
            </w:r>
          </w:p>
        </w:tc>
      </w:tr>
    </w:tbl>
    <w:p w:rsidR="00946249" w:rsidP="00235FC5"/>
    <w:p w:rsidR="00946249" w:rsidP="00235FC5">
      <w:r>
        <w:t>(2) * * *</w:t>
      </w:r>
    </w:p>
    <w:p w:rsidR="00946249" w:rsidP="00235FC5"/>
    <w:p w:rsidR="00946249" w:rsidP="00235FC5">
      <w:r>
        <w:t>(3) * * *</w:t>
      </w:r>
    </w:p>
    <w:p w:rsidR="00946249" w:rsidP="00235FC5"/>
    <w:p w:rsidR="00946249" w:rsidP="00946249">
      <w:r>
        <w:t xml:space="preserve">(4) </w:t>
      </w:r>
      <w:r w:rsidRPr="00946249">
        <w:rPr>
          <w:i/>
        </w:rPr>
        <w:t>Narrowband white space devices</w:t>
      </w:r>
      <w:r w:rsidRPr="00946249">
        <w:t>.</w:t>
      </w:r>
    </w:p>
    <w:p w:rsidR="0070161E" w:rsidRPr="00946249" w:rsidP="00946249"/>
    <w:p w:rsidR="00946249" w:rsidP="00946249">
      <w:r w:rsidRPr="00946249">
        <w:t>(</w:t>
      </w:r>
      <w:r w:rsidRPr="00946249">
        <w:t>i</w:t>
      </w:r>
      <w:r w:rsidRPr="00946249">
        <w:t>) Narrowband white space devices shall operate on channel sizes that are no more than 100 kHz.</w:t>
      </w:r>
      <w:r w:rsidR="0070161E">
        <w:t xml:space="preserve"> </w:t>
      </w:r>
      <w:r w:rsidRPr="00946249">
        <w:t xml:space="preserve">The </w:t>
      </w:r>
      <w:r w:rsidR="007C3757">
        <w:t>edge of a narrowband channel</w:t>
      </w:r>
      <w:r w:rsidRPr="00946249">
        <w:t xml:space="preserve"> shall be offset from the upper and lower </w:t>
      </w:r>
      <w:r w:rsidR="007C3757">
        <w:t xml:space="preserve">edge of the 6 MHz channel in which it operates </w:t>
      </w:r>
      <w:r w:rsidRPr="00946249">
        <w:t xml:space="preserve">by </w:t>
      </w:r>
      <w:r w:rsidR="007C3757">
        <w:t xml:space="preserve">at least </w:t>
      </w:r>
      <w:r w:rsidRPr="00946249">
        <w:t>250 kHz,</w:t>
      </w:r>
      <w:r w:rsidR="0070161E">
        <w:t xml:space="preserve"> </w:t>
      </w:r>
      <w:r w:rsidRPr="00946249">
        <w:t xml:space="preserve">except in the case where bonded 6 MHz channels share a common band edge. </w:t>
      </w:r>
      <w:r w:rsidR="00B70DBE">
        <w:t>N</w:t>
      </w:r>
      <w:r w:rsidR="007C3757">
        <w:t xml:space="preserve">arrowband </w:t>
      </w:r>
      <w:r w:rsidRPr="00946249">
        <w:t>channels</w:t>
      </w:r>
      <w:r w:rsidR="0070161E">
        <w:t xml:space="preserve"> </w:t>
      </w:r>
      <w:r w:rsidRPr="00946249">
        <w:t xml:space="preserve">of operation shall be </w:t>
      </w:r>
      <w:r w:rsidR="007C3757">
        <w:t xml:space="preserve">at </w:t>
      </w:r>
      <w:r w:rsidRPr="00946249">
        <w:t>integral multiple</w:t>
      </w:r>
      <w:r w:rsidR="007C3757">
        <w:t>s</w:t>
      </w:r>
      <w:r w:rsidRPr="00946249">
        <w:t xml:space="preserve"> of 100 kHz</w:t>
      </w:r>
      <w:r w:rsidR="007C3757">
        <w:t xml:space="preserve"> beginning at a 250 kHz offset from a 6 MHz channel’s edge, </w:t>
      </w:r>
      <w:r w:rsidR="00B70DBE">
        <w:t>or with no offset at the common band edge of two bonded 6 MHz channels.</w:t>
      </w:r>
    </w:p>
    <w:p w:rsidR="0070161E" w:rsidRPr="00946249" w:rsidP="00946249"/>
    <w:p w:rsidR="00946249" w:rsidP="00946249">
      <w:r w:rsidRPr="00946249">
        <w:t>(ii) The conducted power limit is 12.6 dBm in a 100 kHz segment. The EIRP limit is 18.6 dBm in a</w:t>
      </w:r>
      <w:r w:rsidR="0070161E">
        <w:t xml:space="preserve"> </w:t>
      </w:r>
      <w:r w:rsidRPr="00946249">
        <w:t>100 kHz segment. The conducted power spectral density limit is 12.6 dBm in any 100 kHz band</w:t>
      </w:r>
      <w:r w:rsidR="0070161E">
        <w:t xml:space="preserve"> </w:t>
      </w:r>
      <w:r w:rsidRPr="00946249">
        <w:t>during any time interval of continuous transmission.</w:t>
      </w:r>
    </w:p>
    <w:p w:rsidR="0070161E" w:rsidRPr="00946249" w:rsidP="00946249"/>
    <w:p w:rsidR="0070161E" w:rsidP="00946249">
      <w:r w:rsidRPr="00946249">
        <w:t>(iii)</w:t>
      </w:r>
      <w:r w:rsidR="00B70DBE">
        <w:t xml:space="preserve"> </w:t>
      </w:r>
      <w:r w:rsidRPr="00946249">
        <w:t>Conducted adjacent channel emissions shall be limited to -42.8 dBm in 100 kHz in a first</w:t>
      </w:r>
      <w:r>
        <w:t xml:space="preserve"> </w:t>
      </w:r>
      <w:r w:rsidRPr="00946249">
        <w:t>adjacent 6 MHz channel, starting at the edge of the 6 MHz channel within which the narrowband</w:t>
      </w:r>
      <w:r>
        <w:t xml:space="preserve"> </w:t>
      </w:r>
      <w:r w:rsidRPr="00946249">
        <w:t>device is operating. This limit shall not apply between the edge of the narrowband channel and the</w:t>
      </w:r>
      <w:r>
        <w:t xml:space="preserve"> </w:t>
      </w:r>
      <w:r w:rsidRPr="00946249">
        <w:t>edge of the 6 MHz channel that contains it.</w:t>
      </w:r>
    </w:p>
    <w:p w:rsidR="0070161E" w:rsidRPr="00946249" w:rsidP="00946249"/>
    <w:p w:rsidR="00946249" w:rsidP="00946249">
      <w:r w:rsidRPr="00946249">
        <w:t xml:space="preserve">(iv) If transmitting antennas of directional gain greater than 6 </w:t>
      </w:r>
      <w:r w:rsidRPr="00946249">
        <w:t>dBi</w:t>
      </w:r>
      <w:r w:rsidRPr="00946249">
        <w:t xml:space="preserve"> are used, the maximum conducted</w:t>
      </w:r>
      <w:r w:rsidR="0070161E">
        <w:t xml:space="preserve"> </w:t>
      </w:r>
      <w:r w:rsidRPr="00946249">
        <w:t>power output shall be reduced by the amount in dB that the directional gain of the antenna exceeds</w:t>
      </w:r>
      <w:r w:rsidR="0070161E">
        <w:t xml:space="preserve"> </w:t>
      </w:r>
      <w:r w:rsidRPr="00946249">
        <w:t xml:space="preserve">6 </w:t>
      </w:r>
      <w:r w:rsidRPr="00946249">
        <w:t>dBi</w:t>
      </w:r>
      <w:r w:rsidRPr="00946249">
        <w:t>.</w:t>
      </w:r>
    </w:p>
    <w:p w:rsidR="0070161E" w:rsidRPr="00946249" w:rsidP="00946249"/>
    <w:p w:rsidR="00946249" w:rsidP="00BA3094">
      <w:pPr>
        <w:widowControl/>
      </w:pPr>
      <w:r w:rsidRPr="00946249">
        <w:t xml:space="preserve">(v) Total channel occupancy shall be limited to 10 seconds per hour. </w:t>
      </w:r>
    </w:p>
    <w:p w:rsidR="00946249" w:rsidP="00235FC5"/>
    <w:p w:rsidR="00946249" w:rsidP="00235FC5">
      <w:r>
        <w:t>(c) * * *</w:t>
      </w:r>
    </w:p>
    <w:p w:rsidR="00946249" w:rsidP="00235FC5"/>
    <w:p w:rsidR="00946249" w:rsidP="0070161E">
      <w:r>
        <w:t xml:space="preserve">(2) </w:t>
      </w:r>
      <w:r w:rsidRPr="0070161E" w:rsidR="0070161E">
        <w:t>The conducted power, PSD and adjacent channel limits for fixed white space devices operating at</w:t>
      </w:r>
      <w:r w:rsidR="00564CEE">
        <w:t xml:space="preserve"> </w:t>
      </w:r>
      <w:r w:rsidRPr="0070161E" w:rsidR="0070161E">
        <w:t>greater than 36 dBm (4000 milliwatts) EIRP shown in the table in paragraph (b)(1) of this section are</w:t>
      </w:r>
      <w:r w:rsidR="00564CEE">
        <w:t xml:space="preserve"> </w:t>
      </w:r>
      <w:r w:rsidRPr="0070161E" w:rsidR="0070161E">
        <w:t xml:space="preserve">based on a maximum transmitting antenna gain of 12 </w:t>
      </w:r>
      <w:r w:rsidRPr="0070161E" w:rsidR="0070161E">
        <w:t>dBi</w:t>
      </w:r>
      <w:r w:rsidRPr="0070161E" w:rsidR="0070161E">
        <w:t>. If transmitting antennas of directional</w:t>
      </w:r>
      <w:r w:rsidR="00564CEE">
        <w:t xml:space="preserve"> </w:t>
      </w:r>
      <w:r w:rsidRPr="0070161E" w:rsidR="0070161E">
        <w:t xml:space="preserve">gain greater than 12 </w:t>
      </w:r>
      <w:r w:rsidRPr="0070161E" w:rsidR="0070161E">
        <w:t>dBi</w:t>
      </w:r>
      <w:r w:rsidRPr="0070161E" w:rsidR="0070161E">
        <w:t xml:space="preserve"> are used, the maximum conducted output power shall be reduced by the</w:t>
      </w:r>
      <w:r w:rsidR="00564CEE">
        <w:t xml:space="preserve"> </w:t>
      </w:r>
      <w:r w:rsidRPr="0070161E" w:rsidR="0070161E">
        <w:t xml:space="preserve">amount in dB that the directional gain of the antenna exceeds 12 </w:t>
      </w:r>
      <w:r w:rsidRPr="0070161E" w:rsidR="0070161E">
        <w:t>dBi</w:t>
      </w:r>
      <w:r w:rsidRPr="0070161E" w:rsidR="0070161E">
        <w:t>.</w:t>
      </w:r>
    </w:p>
    <w:p w:rsidR="0070161E" w:rsidP="0070161E"/>
    <w:p w:rsidR="0070161E" w:rsidP="0070161E">
      <w:r>
        <w:t>* * * * *</w:t>
      </w:r>
    </w:p>
    <w:p w:rsidR="0070161E" w:rsidP="0070161E"/>
    <w:p w:rsidR="0070161E" w:rsidP="0070161E">
      <w:r>
        <w:t>(g) * * *</w:t>
      </w:r>
    </w:p>
    <w:p w:rsidR="0070161E" w:rsidP="0070161E"/>
    <w:p w:rsidR="0070161E" w:rsidP="0070161E">
      <w:r>
        <w:t>(1) * * *</w:t>
      </w:r>
    </w:p>
    <w:p w:rsidR="0070161E" w:rsidP="0070161E"/>
    <w:p w:rsidR="0070161E" w:rsidP="0070161E">
      <w:r>
        <w:t xml:space="preserve">(ii) </w:t>
      </w:r>
      <w:r w:rsidRPr="00A42B63">
        <w:rPr>
          <w:i/>
        </w:rPr>
        <w:t>Height above average terrain (HAAT)</w:t>
      </w:r>
      <w:r w:rsidR="00A42B63">
        <w:t>.</w:t>
      </w:r>
      <w:r w:rsidRPr="0070161E">
        <w:t xml:space="preserve"> </w:t>
      </w:r>
      <w:r w:rsidR="00A73D8A">
        <w:t>For operation in the 602-608 MHz band and the 600 MHz service bands, the transmit antenna shall not be located where its height above average terrain exceeds 250 meters.  For operation in the TV bands below 60</w:t>
      </w:r>
      <w:r w:rsidR="00733895">
        <w:t>2</w:t>
      </w:r>
      <w:r w:rsidR="00A73D8A">
        <w:t xml:space="preserve"> MHz, t</w:t>
      </w:r>
      <w:r w:rsidRPr="0070161E">
        <w:t xml:space="preserve">he transmit antenna shall not be located where </w:t>
      </w:r>
      <w:r w:rsidR="00B70DBE">
        <w:t>its</w:t>
      </w:r>
      <w:r w:rsidRPr="0070161E">
        <w:t xml:space="preserve"> height</w:t>
      </w:r>
      <w:r w:rsidR="00564CEE">
        <w:t xml:space="preserve"> </w:t>
      </w:r>
      <w:r w:rsidRPr="0070161E">
        <w:t xml:space="preserve">above average terrain </w:t>
      </w:r>
      <w:r w:rsidR="00B70DBE">
        <w:t>exceeds</w:t>
      </w:r>
      <w:r w:rsidRPr="0070161E">
        <w:t xml:space="preserve"> </w:t>
      </w:r>
      <w:r w:rsidR="009E0396">
        <w:t xml:space="preserve">250 meters generally, or </w:t>
      </w:r>
      <w:r w:rsidRPr="0070161E">
        <w:t>500 meters</w:t>
      </w:r>
      <w:r w:rsidR="009E0396">
        <w:t xml:space="preserve"> in less congested areas</w:t>
      </w:r>
      <w:r w:rsidRPr="0070161E">
        <w:t>. The HAAT is to be calculated by the white space</w:t>
      </w:r>
      <w:r w:rsidR="00564CEE">
        <w:t xml:space="preserve"> </w:t>
      </w:r>
      <w:r w:rsidRPr="0070161E">
        <w:t>database using the methodology in § 73.684(d) of this chapter. For HAAT greater than 250 meters the</w:t>
      </w:r>
      <w:r w:rsidR="00564CEE">
        <w:t xml:space="preserve"> following </w:t>
      </w:r>
      <w:r w:rsidRPr="0070161E">
        <w:t>coordination procedures are required:</w:t>
      </w:r>
    </w:p>
    <w:p w:rsidR="0070161E" w:rsidRPr="0070161E" w:rsidP="0070161E"/>
    <w:p w:rsidR="0070161E" w:rsidP="00ED66C9">
      <w:r w:rsidRPr="0070161E">
        <w:t xml:space="preserve">(A) The installing party must contact a </w:t>
      </w:r>
      <w:r w:rsidR="00564CEE">
        <w:t xml:space="preserve">white space database </w:t>
      </w:r>
      <w:r w:rsidRPr="0070161E">
        <w:t xml:space="preserve">and identify all </w:t>
      </w:r>
      <w:r w:rsidR="003103EA">
        <w:t xml:space="preserve">TV </w:t>
      </w:r>
      <w:r w:rsidRPr="0070161E">
        <w:t xml:space="preserve">broadcast </w:t>
      </w:r>
      <w:r w:rsidR="003103EA">
        <w:t xml:space="preserve">station </w:t>
      </w:r>
      <w:r w:rsidRPr="0070161E">
        <w:t>contours that</w:t>
      </w:r>
      <w:r w:rsidR="00564CEE">
        <w:t xml:space="preserve"> </w:t>
      </w:r>
      <w:r w:rsidRPr="0070161E">
        <w:t>would be</w:t>
      </w:r>
      <w:r w:rsidR="003103EA">
        <w:t xml:space="preserve"> potentially affected by operation at the planned HAAT and EIRP</w:t>
      </w:r>
      <w:r w:rsidR="00ED66C9">
        <w:t>.</w:t>
      </w:r>
      <w:r w:rsidR="009E0396">
        <w:t xml:space="preserve">  A potentially affected </w:t>
      </w:r>
      <w:r w:rsidR="00ED66C9">
        <w:t xml:space="preserve">TV </w:t>
      </w:r>
      <w:r w:rsidR="009E0396">
        <w:t>station is one where</w:t>
      </w:r>
      <w:r w:rsidRPr="009C7420" w:rsidR="009C7420">
        <w:t xml:space="preserve"> </w:t>
      </w:r>
      <w:r w:rsidR="00ED66C9">
        <w:t>the protected service contour would be within the applicable separation distance if the white space device was operating at a HAAT of 50 meters above the planned height at the proposed power level.</w:t>
      </w:r>
      <w:r w:rsidR="009E0396">
        <w:t xml:space="preserve"> </w:t>
      </w:r>
    </w:p>
    <w:p w:rsidR="0070161E" w:rsidRPr="0070161E" w:rsidP="0070161E"/>
    <w:p w:rsidR="0070161E" w:rsidP="0070161E">
      <w:r w:rsidRPr="0070161E">
        <w:t xml:space="preserve">(B) The installing party must notify each of these licensees and provide the </w:t>
      </w:r>
      <w:r w:rsidR="00B70DBE">
        <w:t>geographic</w:t>
      </w:r>
      <w:r w:rsidRPr="0070161E">
        <w:t xml:space="preserve"> coordinates of</w:t>
      </w:r>
      <w:r w:rsidR="00564CEE">
        <w:t xml:space="preserve"> </w:t>
      </w:r>
      <w:r w:rsidRPr="0070161E">
        <w:t xml:space="preserve">the </w:t>
      </w:r>
      <w:r w:rsidR="00564CEE">
        <w:t>white space device</w:t>
      </w:r>
      <w:r w:rsidRPr="0070161E">
        <w:t>, relevant technical parameters of the proposed deployment, and contact information.</w:t>
      </w:r>
    </w:p>
    <w:p w:rsidR="0070161E" w:rsidRPr="0070161E" w:rsidP="0070161E"/>
    <w:p w:rsidR="0070161E" w:rsidP="0070161E">
      <w:r w:rsidRPr="0070161E">
        <w:t>(C) No earlier than 48 hours after this notification, the installing party may commence operations.</w:t>
      </w:r>
    </w:p>
    <w:p w:rsidR="0070161E" w:rsidRPr="0070161E" w:rsidP="0070161E"/>
    <w:p w:rsidR="0070161E" w:rsidP="0070161E">
      <w:r w:rsidRPr="0070161E">
        <w:t>(</w:t>
      </w:r>
      <w:r w:rsidR="009E0396">
        <w:t>D</w:t>
      </w:r>
      <w:r w:rsidRPr="0070161E">
        <w:t xml:space="preserve">) </w:t>
      </w:r>
      <w:r w:rsidR="003103EA">
        <w:t>Upon request, the</w:t>
      </w:r>
      <w:r w:rsidRPr="0070161E">
        <w:t xml:space="preserve"> installing party must provide each potentially affected licensee with information on the time</w:t>
      </w:r>
      <w:r w:rsidR="00564CEE">
        <w:t xml:space="preserve"> </w:t>
      </w:r>
      <w:r w:rsidRPr="0070161E">
        <w:t>periods of operations.</w:t>
      </w:r>
    </w:p>
    <w:p w:rsidR="0070161E" w:rsidRPr="0070161E" w:rsidP="0070161E"/>
    <w:p w:rsidR="0070161E" w:rsidP="0070161E">
      <w:r w:rsidRPr="0070161E">
        <w:t>(</w:t>
      </w:r>
      <w:r w:rsidR="009E0396">
        <w:t>E</w:t>
      </w:r>
      <w:r w:rsidRPr="0070161E">
        <w:t>) If the installing party seeks to modify its operations by increasing</w:t>
      </w:r>
      <w:r w:rsidR="00564CEE">
        <w:t xml:space="preserve"> </w:t>
      </w:r>
      <w:r w:rsidRPr="0070161E">
        <w:t xml:space="preserve">its power level, by moving more than </w:t>
      </w:r>
      <w:r w:rsidR="003103EA">
        <w:t>100</w:t>
      </w:r>
      <w:r w:rsidRPr="0070161E">
        <w:t xml:space="preserve"> meters horizontally from its location, or by </w:t>
      </w:r>
      <w:r w:rsidR="003103EA">
        <w:t xml:space="preserve">making an </w:t>
      </w:r>
      <w:r w:rsidRPr="0070161E">
        <w:t>increas</w:t>
      </w:r>
      <w:r w:rsidR="003103EA">
        <w:t xml:space="preserve">e in </w:t>
      </w:r>
      <w:r w:rsidRPr="0070161E">
        <w:t xml:space="preserve">the </w:t>
      </w:r>
      <w:r w:rsidR="009E0396">
        <w:t>HAAT</w:t>
      </w:r>
      <w:r w:rsidRPr="0070161E" w:rsidR="009E0396">
        <w:t xml:space="preserve"> </w:t>
      </w:r>
      <w:r w:rsidR="003103EA">
        <w:t xml:space="preserve">or EIRP </w:t>
      </w:r>
      <w:r w:rsidRPr="0070161E">
        <w:t xml:space="preserve">of the </w:t>
      </w:r>
      <w:r w:rsidR="00564CEE">
        <w:t>white space device</w:t>
      </w:r>
      <w:r w:rsidR="003103EA">
        <w:t xml:space="preserve"> that results in an increase in the minimum required separation distances from co-channel or adjacent channel TV station contours</w:t>
      </w:r>
      <w:r w:rsidRPr="0070161E">
        <w:t>, it must conduct a new coordination.</w:t>
      </w:r>
    </w:p>
    <w:p w:rsidR="0070161E" w:rsidP="0070161E"/>
    <w:p w:rsidR="0070161E" w:rsidP="0070161E">
      <w:r>
        <w:t>* * * * *</w:t>
      </w:r>
    </w:p>
    <w:p w:rsidR="0066227F" w:rsidP="0070161E"/>
    <w:p w:rsidR="0066227F" w:rsidP="00BA3094">
      <w:pPr>
        <w:pStyle w:val="ParaNum"/>
        <w:spacing w:after="0"/>
      </w:pPr>
      <w:r>
        <w:t>Amend s</w:t>
      </w:r>
      <w:r w:rsidRPr="0066227F">
        <w:t>ection 15.711 to add a new subsection (c)(3) to read as follows:</w:t>
      </w:r>
    </w:p>
    <w:p w:rsidR="0066227F" w:rsidRPr="0066227F" w:rsidP="0066227F"/>
    <w:p w:rsidR="0066227F" w:rsidRPr="00D24726" w:rsidP="007F10A4">
      <w:pPr>
        <w:keepNext/>
        <w:rPr>
          <w:b/>
          <w:u w:val="single"/>
        </w:rPr>
      </w:pPr>
      <w:r w:rsidRPr="00D24726">
        <w:rPr>
          <w:b/>
          <w:u w:val="single"/>
        </w:rPr>
        <w:t>§ 15.711 Interference avoidance methods.</w:t>
      </w:r>
    </w:p>
    <w:p w:rsidR="0066227F" w:rsidRPr="0066227F" w:rsidP="007F10A4">
      <w:pPr>
        <w:keepNext/>
      </w:pPr>
    </w:p>
    <w:p w:rsidR="0066227F" w:rsidRPr="0066227F" w:rsidP="007F10A4">
      <w:pPr>
        <w:keepNext/>
      </w:pPr>
      <w:r w:rsidRPr="0066227F">
        <w:t>* * * * *</w:t>
      </w:r>
    </w:p>
    <w:p w:rsidR="0066227F" w:rsidP="0066227F"/>
    <w:p w:rsidR="0066227F" w:rsidP="0066227F">
      <w:r w:rsidRPr="0066227F">
        <w:t>(c)</w:t>
      </w:r>
      <w:r>
        <w:t xml:space="preserve"> * * *</w:t>
      </w:r>
    </w:p>
    <w:p w:rsidR="0066227F" w:rsidRPr="0066227F" w:rsidP="0066227F"/>
    <w:p w:rsidR="0070161E" w:rsidP="00960993">
      <w:pPr>
        <w:widowControl/>
      </w:pPr>
      <w:r w:rsidRPr="0066227F">
        <w:t xml:space="preserve">(3) A </w:t>
      </w:r>
      <w:r w:rsidR="007035BB">
        <w:t>Mode II</w:t>
      </w:r>
      <w:r w:rsidRPr="0066227F" w:rsidR="007035BB">
        <w:t xml:space="preserve"> </w:t>
      </w:r>
      <w:r w:rsidRPr="0066227F">
        <w:t xml:space="preserve">device installed on a movable platform </w:t>
      </w:r>
      <w:r w:rsidR="007035BB">
        <w:t xml:space="preserve">in less congested areas </w:t>
      </w:r>
      <w:r w:rsidRPr="0066227F">
        <w:t>may load channel availability information for</w:t>
      </w:r>
      <w:r>
        <w:t xml:space="preserve"> </w:t>
      </w:r>
      <w:r w:rsidRPr="0066227F">
        <w:t>multiple locations in the vicinity of its current location. It may use that information to define a</w:t>
      </w:r>
      <w:r>
        <w:t xml:space="preserve"> </w:t>
      </w:r>
      <w:r w:rsidRPr="0066227F">
        <w:t>geographic area within which it can operate on the same available channels at all locations. A device may not use channel availability information for multiple locations if/when it</w:t>
      </w:r>
      <w:r>
        <w:t xml:space="preserve"> </w:t>
      </w:r>
      <w:r w:rsidRPr="0066227F">
        <w:t>moves within 1.6 km of the boundary of the area where the channel availability data is valid, or</w:t>
      </w:r>
      <w:r>
        <w:t xml:space="preserve"> </w:t>
      </w:r>
      <w:r w:rsidRPr="0066227F">
        <w:t xml:space="preserve">outside that boundary. The location must be checked at least once every 60 seconds while the </w:t>
      </w:r>
      <w:r w:rsidR="00564CEE">
        <w:t>white space device</w:t>
      </w:r>
      <w:r>
        <w:t xml:space="preserve"> </w:t>
      </w:r>
      <w:r w:rsidRPr="0066227F">
        <w:t>is in operation except while in sleep mode, i.e., in a mode in which the device is inactive but is</w:t>
      </w:r>
      <w:r>
        <w:t xml:space="preserve"> </w:t>
      </w:r>
      <w:r w:rsidRPr="0066227F">
        <w:t xml:space="preserve">not </w:t>
      </w:r>
      <w:r w:rsidRPr="0066227F">
        <w:t>powered-down</w:t>
      </w:r>
      <w:r w:rsidRPr="0066227F">
        <w:t>. Operation on board aircraft or satellite</w:t>
      </w:r>
      <w:r w:rsidR="00B70DBE">
        <w:t>s</w:t>
      </w:r>
      <w:r w:rsidRPr="0066227F">
        <w:t xml:space="preserve"> is prohibited.</w:t>
      </w:r>
    </w:p>
    <w:p w:rsidR="0066227F" w:rsidP="0066227F"/>
    <w:p w:rsidR="0066227F" w:rsidP="0066227F">
      <w:r>
        <w:t>* * * * *</w:t>
      </w:r>
    </w:p>
    <w:p w:rsidR="0066227F" w:rsidP="0066227F"/>
    <w:p w:rsidR="0066227F" w:rsidP="00BA3094">
      <w:pPr>
        <w:pStyle w:val="ParaNum"/>
        <w:spacing w:after="0"/>
      </w:pPr>
      <w:r>
        <w:t>Amend section 1</w:t>
      </w:r>
      <w:r w:rsidRPr="0066227F">
        <w:t xml:space="preserve">5.712 </w:t>
      </w:r>
      <w:r>
        <w:t>by revising the introductory text</w:t>
      </w:r>
      <w:r w:rsidR="00316459">
        <w:t xml:space="preserve"> and</w:t>
      </w:r>
      <w:r>
        <w:t xml:space="preserve"> paragraph</w:t>
      </w:r>
      <w:r w:rsidR="004E144E">
        <w:t>s</w:t>
      </w:r>
      <w:r w:rsidRPr="0066227F">
        <w:t xml:space="preserve"> (a)(2)</w:t>
      </w:r>
      <w:r w:rsidR="004E144E">
        <w:t xml:space="preserve">, (b)(3)(ii)-(iii), </w:t>
      </w:r>
      <w:r w:rsidR="00817154">
        <w:t>(c)(2)(ii), (d), (f), (</w:t>
      </w:r>
      <w:r w:rsidR="00817154">
        <w:t>i</w:t>
      </w:r>
      <w:r w:rsidR="00817154">
        <w:t>)(1) and inserting new paragraphs (b)(3)(iv) and (c)(2)(iii)</w:t>
      </w:r>
      <w:r w:rsidRPr="0066227F">
        <w:t xml:space="preserve"> </w:t>
      </w:r>
      <w:r>
        <w:t>to read</w:t>
      </w:r>
      <w:r w:rsidRPr="0066227F">
        <w:t xml:space="preserve"> as follows:</w:t>
      </w:r>
    </w:p>
    <w:p w:rsidR="0066227F" w:rsidRPr="0066227F" w:rsidP="0066227F"/>
    <w:p w:rsidR="0066227F" w:rsidRPr="00D24726" w:rsidP="0066227F">
      <w:pPr>
        <w:rPr>
          <w:b/>
          <w:u w:val="single"/>
        </w:rPr>
      </w:pPr>
      <w:r w:rsidRPr="00D24726">
        <w:rPr>
          <w:b/>
          <w:u w:val="single"/>
        </w:rPr>
        <w:t>§ 15.712 Interference protection requirements.</w:t>
      </w:r>
    </w:p>
    <w:p w:rsidR="0066227F" w:rsidRPr="0066227F" w:rsidP="0066227F"/>
    <w:p w:rsidR="0066227F" w:rsidRPr="0066227F" w:rsidP="0066227F">
      <w:r w:rsidRPr="0066227F">
        <w:t>The separation distances in this section apply to fixed and personal/portable white space devices with</w:t>
      </w:r>
    </w:p>
    <w:p w:rsidR="0066227F" w:rsidRPr="0066227F" w:rsidP="0066227F">
      <w:r w:rsidRPr="0066227F">
        <w:t>a location accuracy of ±50 meters. These distances must be increased by the amount that the location</w:t>
      </w:r>
    </w:p>
    <w:p w:rsidR="0066227F" w:rsidRPr="0066227F" w:rsidP="0066227F">
      <w:r w:rsidRPr="0066227F">
        <w:t>uncertainty of a white space device exceeds ±50 meters. Narrowband white space devices shall</w:t>
      </w:r>
    </w:p>
    <w:p w:rsidR="0066227F" w:rsidP="0066227F">
      <w:r>
        <w:t>comply with</w:t>
      </w:r>
      <w:r w:rsidRPr="0066227F">
        <w:t xml:space="preserve"> the separation distances applicable to a </w:t>
      </w:r>
      <w:r>
        <w:t xml:space="preserve">fixed </w:t>
      </w:r>
      <w:r w:rsidRPr="0066227F">
        <w:t xml:space="preserve">white space device operating </w:t>
      </w:r>
      <w:r>
        <w:t>with</w:t>
      </w:r>
      <w:r w:rsidRPr="0066227F">
        <w:t xml:space="preserve"> 30 dBm conducted</w:t>
      </w:r>
      <w:r>
        <w:t xml:space="preserve"> </w:t>
      </w:r>
      <w:r w:rsidRPr="0066227F">
        <w:t>power and 36 dBm EIRP across a 6 MHz channel.</w:t>
      </w:r>
    </w:p>
    <w:p w:rsidR="0066227F" w:rsidRPr="0066227F" w:rsidP="0066227F"/>
    <w:p w:rsidR="0066227F" w:rsidP="0066227F">
      <w:r w:rsidRPr="0066227F">
        <w:t>(a)</w:t>
      </w:r>
      <w:r>
        <w:t xml:space="preserve"> </w:t>
      </w:r>
      <w:r w:rsidRPr="0066227F">
        <w:t>* * *</w:t>
      </w:r>
    </w:p>
    <w:p w:rsidR="0066227F" w:rsidRPr="0066227F" w:rsidP="0066227F"/>
    <w:p w:rsidR="0066227F" w:rsidP="0066227F">
      <w:r w:rsidRPr="0066227F">
        <w:t xml:space="preserve">(2) </w:t>
      </w:r>
      <w:r w:rsidRPr="003F45CE" w:rsidR="003F45CE">
        <w:rPr>
          <w:i/>
          <w:iCs/>
        </w:rPr>
        <w:t>Required separation distance.</w:t>
      </w:r>
      <w:r w:rsidR="00316459">
        <w:rPr>
          <w:i/>
          <w:iCs/>
        </w:rPr>
        <w:t xml:space="preserve"> </w:t>
      </w:r>
      <w:r w:rsidRPr="003F45CE" w:rsidR="003F45CE">
        <w:t>White space devices must be located outside the contours indicated in paragraph (a)(1) of this section of co-channel and adjacent channel stations by at least the minimum distances specified in the tables</w:t>
      </w:r>
      <w:r w:rsidR="00EF7C08">
        <w:t xml:space="preserve"> in paragraph (a)(2)(v)</w:t>
      </w:r>
      <w:r w:rsidRPr="003F45CE" w:rsidR="003F45CE">
        <w:t>.</w:t>
      </w:r>
    </w:p>
    <w:p w:rsidR="00EF7C08" w:rsidP="0066227F"/>
    <w:p w:rsidR="00E74392" w:rsidP="00E74392">
      <w:r w:rsidRPr="00E74392">
        <w:t>(</w:t>
      </w:r>
      <w:r w:rsidRPr="00E74392">
        <w:t>i</w:t>
      </w:r>
      <w:r w:rsidRPr="00E74392">
        <w:t>) If a device operates between two defined power levels, it must comply with the separation distances for the higher power level.</w:t>
      </w:r>
    </w:p>
    <w:p w:rsidR="00E74392" w:rsidRPr="00E74392" w:rsidP="00E74392"/>
    <w:p w:rsidR="00E74392" w:rsidP="00E74392">
      <w:r w:rsidRPr="00E74392">
        <w:t xml:space="preserve">(ii) White space devices operating at 40 </w:t>
      </w:r>
      <w:r w:rsidRPr="00E74392">
        <w:t>mW</w:t>
      </w:r>
      <w:r w:rsidRPr="00E74392">
        <w:t xml:space="preserve"> EIRP or less are not required to meet the adjacent channel separation distances.</w:t>
      </w:r>
    </w:p>
    <w:p w:rsidR="00E74392" w:rsidRPr="00E74392" w:rsidP="00E74392"/>
    <w:p w:rsidR="00E74392" w:rsidRPr="00E74392" w:rsidP="00E74392">
      <w:r w:rsidRPr="00E74392">
        <w:t xml:space="preserve">(iii) Fixed white space devices operating at 100 </w:t>
      </w:r>
      <w:r w:rsidRPr="00E74392">
        <w:t>mW</w:t>
      </w:r>
      <w:r w:rsidRPr="00E74392">
        <w:t xml:space="preserve"> EIRP or less per 6 megahertz across multiple contiguous TV channels with at least </w:t>
      </w:r>
      <w:r w:rsidRPr="00E74392" w:rsidR="00B70DBE">
        <w:t>3-megahertz</w:t>
      </w:r>
      <w:r w:rsidRPr="00E74392">
        <w:t xml:space="preserve"> separation between the frequency band occupied by the white space device and adjacent TV channels are not required to meet the adjacent channel separation distances.</w:t>
      </w:r>
    </w:p>
    <w:p w:rsidR="0066227F" w:rsidRPr="0066227F" w:rsidP="0066227F"/>
    <w:p w:rsidR="0066227F" w:rsidRPr="0066227F" w:rsidP="0066227F">
      <w:r w:rsidRPr="0066227F">
        <w:t>(iv) Fixed white space devices may only operate above 4 W EIRP in less congested areas as defined</w:t>
      </w:r>
    </w:p>
    <w:p w:rsidR="0066227F" w:rsidP="0066227F">
      <w:r w:rsidRPr="0066227F">
        <w:t>in § 15.703.</w:t>
      </w:r>
    </w:p>
    <w:p w:rsidR="00EF7C08" w:rsidP="0066227F"/>
    <w:p w:rsidR="00EF7C08" w:rsidP="0066227F">
      <w:r>
        <w:t>(v) T</w:t>
      </w:r>
      <w:r w:rsidR="00316459">
        <w:t>he following are the t</w:t>
      </w:r>
      <w:r>
        <w:t>ables of minimum required separation distances outside the contours of co-channel and adjacent channel stations</w:t>
      </w:r>
      <w:r w:rsidR="00B70DBE">
        <w:t xml:space="preserve"> that white space devices must meet</w:t>
      </w:r>
      <w:r>
        <w:t>.</w:t>
      </w:r>
    </w:p>
    <w:p w:rsidR="00EF7C08" w:rsidP="0066227F"/>
    <w:p w:rsidR="00EF7C08" w:rsidP="00B452AE">
      <w:pPr>
        <w:keepNext/>
        <w:keepLines/>
        <w:widowControl/>
        <w:jc w:val="center"/>
        <w:rPr>
          <w:b/>
        </w:rPr>
      </w:pPr>
      <w:bookmarkStart w:id="205" w:name="_Hlk22737588"/>
      <w:r w:rsidRPr="00EF7C08">
        <w:rPr>
          <w:b/>
        </w:rPr>
        <w:t xml:space="preserve">Table </w:t>
      </w:r>
      <w:r w:rsidR="00506CDA">
        <w:rPr>
          <w:b/>
        </w:rPr>
        <w:t>2</w:t>
      </w:r>
      <w:r w:rsidRPr="00EF7C08">
        <w:rPr>
          <w:b/>
        </w:rPr>
        <w:t xml:space="preserve"> to Section 15.712(a)(2)(v)</w:t>
      </w:r>
    </w:p>
    <w:p w:rsidR="00EF7C08" w:rsidP="00EF7C08">
      <w:pPr>
        <w:jc w:val="center"/>
        <w:rPr>
          <w:b/>
        </w:rPr>
      </w:pPr>
    </w:p>
    <w:tbl>
      <w:tblPr>
        <w:tblW w:w="9360" w:type="dxa"/>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tblPr>
      <w:tblGrid>
        <w:gridCol w:w="3020"/>
        <w:gridCol w:w="2993"/>
        <w:gridCol w:w="3347"/>
      </w:tblGrid>
      <w:tr w:rsidTr="004A104F">
        <w:tblPrEx>
          <w:tblW w:w="9360" w:type="dxa"/>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tblPrEx>
        <w:tc>
          <w:tcPr>
            <w:tcW w:w="0" w:type="auto"/>
            <w:gridSpan w:val="3"/>
            <w:tcBorders>
              <w:top w:val="single" w:sz="6" w:space="0" w:color="000000"/>
              <w:left w:val="single" w:sz="6" w:space="0" w:color="000000"/>
              <w:bottom w:val="single" w:sz="6" w:space="0" w:color="000000"/>
              <w:right w:val="single" w:sz="6" w:space="0" w:color="000000"/>
            </w:tcBorders>
            <w:vAlign w:val="bottom"/>
          </w:tcPr>
          <w:p w:rsidR="00506CDA" w:rsidRPr="00AD595B" w:rsidP="00EF7C08">
            <w:pPr>
              <w:jc w:val="center"/>
              <w:rPr>
                <w:b/>
                <w:bCs/>
              </w:rPr>
            </w:pPr>
            <w:r w:rsidRPr="00AD595B">
              <w:rPr>
                <w:b/>
                <w:bCs/>
              </w:rPr>
              <w:t>Mode II Personal/Portable White Space Devices</w:t>
            </w:r>
          </w:p>
        </w:tc>
      </w:tr>
      <w:tr w:rsidTr="004A104F">
        <w:tblPrEx>
          <w:tblW w:w="9360" w:type="dxa"/>
          <w:tblCellMar>
            <w:top w:w="120" w:type="dxa"/>
            <w:left w:w="15" w:type="dxa"/>
            <w:bottom w:w="15" w:type="dxa"/>
            <w:right w:w="15" w:type="dxa"/>
          </w:tblCellMar>
          <w:tblLook w:val="04A0"/>
        </w:tblPrEx>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EF7C08" w:rsidRPr="00AD595B" w:rsidP="00EF7C08">
            <w:pPr>
              <w:jc w:val="center"/>
              <w:rPr>
                <w:b/>
                <w:bCs/>
              </w:rPr>
            </w:pPr>
            <w:r w:rsidRPr="00AD595B">
              <w:rPr>
                <w:b/>
                <w:bCs/>
              </w:rPr>
              <w:t>   </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EF7C08" w:rsidRPr="00AD595B" w:rsidP="00EF7C08">
            <w:pPr>
              <w:jc w:val="center"/>
              <w:rPr>
                <w:b/>
                <w:bCs/>
              </w:rPr>
            </w:pPr>
            <w:r w:rsidRPr="00AD595B">
              <w:rPr>
                <w:b/>
                <w:bCs/>
              </w:rPr>
              <w:t>Required separation in kilometers from co-channel digital or analog TV (full service or low power) protected contour</w:t>
            </w:r>
          </w:p>
        </w:tc>
      </w:tr>
      <w:tr w:rsidTr="004A104F">
        <w:tblPrEx>
          <w:tblW w:w="9360" w:type="dxa"/>
          <w:tblCellMar>
            <w:top w:w="120" w:type="dxa"/>
            <w:left w:w="15" w:type="dxa"/>
            <w:bottom w:w="15" w:type="dxa"/>
            <w:right w:w="15" w:type="dxa"/>
          </w:tblCellMar>
          <w:tblLook w:val="04A0"/>
        </w:tblPrEx>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7C08" w:rsidRPr="00AD595B" w:rsidP="00EF7C08">
            <w:pPr>
              <w:jc w:val="center"/>
              <w:rPr>
                <w:b/>
                <w:bCs/>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EF7C08" w:rsidRPr="00AD595B" w:rsidP="00EF7C08">
            <w:pPr>
              <w:jc w:val="center"/>
              <w:rPr>
                <w:b/>
                <w:bCs/>
              </w:rPr>
            </w:pPr>
            <w:r w:rsidRPr="00AD595B">
              <w:rPr>
                <w:b/>
                <w:bCs/>
              </w:rPr>
              <w:t>16 dBm</w:t>
            </w:r>
            <w:r w:rsidRPr="00AD595B">
              <w:rPr>
                <w:b/>
                <w:bCs/>
              </w:rPr>
              <w:br/>
            </w:r>
            <w:r w:rsidRPr="00AD595B">
              <w:rPr>
                <w:b/>
                <w:bCs/>
              </w:rPr>
              <w:t xml:space="preserve">(40 </w:t>
            </w:r>
            <w:r w:rsidRPr="00AD595B">
              <w:rPr>
                <w:b/>
                <w:bCs/>
              </w:rPr>
              <w:t>mW</w:t>
            </w:r>
            <w:r w:rsidRPr="00AD595B">
              <w:rPr>
                <w:b/>
                <w:bCs/>
              </w:rPr>
              <w:t>)</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EF7C08" w:rsidRPr="00AD595B" w:rsidP="00EF7C08">
            <w:pPr>
              <w:jc w:val="center"/>
              <w:rPr>
                <w:b/>
                <w:bCs/>
              </w:rPr>
            </w:pPr>
            <w:r w:rsidRPr="00AD595B">
              <w:rPr>
                <w:b/>
                <w:bCs/>
              </w:rPr>
              <w:t>20 dBm</w:t>
            </w:r>
            <w:r w:rsidRPr="00AD595B">
              <w:rPr>
                <w:b/>
                <w:bCs/>
              </w:rPr>
              <w:br/>
            </w:r>
            <w:r w:rsidRPr="00AD595B">
              <w:rPr>
                <w:b/>
                <w:bCs/>
              </w:rPr>
              <w:t xml:space="preserve">(100 </w:t>
            </w:r>
            <w:r w:rsidRPr="00AD595B">
              <w:rPr>
                <w:b/>
                <w:bCs/>
              </w:rPr>
              <w:t>mW</w:t>
            </w:r>
            <w:r w:rsidRPr="00AD595B">
              <w:rPr>
                <w:b/>
                <w:bCs/>
              </w:rPr>
              <w:t>)</w:t>
            </w:r>
          </w:p>
        </w:tc>
      </w:tr>
      <w:tr w:rsidTr="004A104F">
        <w:tblPrEx>
          <w:tblW w:w="9360" w:type="dxa"/>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hideMark/>
          </w:tcPr>
          <w:p w:rsidR="00EF7C08" w:rsidRPr="00AD595B" w:rsidP="00EF7C08">
            <w:pPr>
              <w:jc w:val="center"/>
              <w:rPr>
                <w:b/>
              </w:rPr>
            </w:pPr>
            <w:r w:rsidRPr="00AD595B">
              <w:rPr>
                <w:b/>
              </w:rPr>
              <w:t>Communicating with Mode II or Fixed device</w:t>
            </w:r>
          </w:p>
        </w:tc>
        <w:tc>
          <w:tcPr>
            <w:tcW w:w="0" w:type="auto"/>
            <w:tcBorders>
              <w:top w:val="single" w:sz="6" w:space="0" w:color="000000"/>
              <w:left w:val="single" w:sz="6" w:space="0" w:color="000000"/>
              <w:bottom w:val="single" w:sz="6" w:space="0" w:color="000000"/>
              <w:right w:val="single" w:sz="6" w:space="0" w:color="000000"/>
            </w:tcBorders>
            <w:hideMark/>
          </w:tcPr>
          <w:p w:rsidR="00EF7C08" w:rsidRPr="00AD595B" w:rsidP="00EF7C08">
            <w:pPr>
              <w:jc w:val="center"/>
              <w:rPr>
                <w:b/>
              </w:rPr>
            </w:pPr>
            <w:r w:rsidRPr="00AD595B">
              <w:rPr>
                <w:b/>
              </w:rPr>
              <w:t>1.3</w:t>
            </w:r>
          </w:p>
        </w:tc>
        <w:tc>
          <w:tcPr>
            <w:tcW w:w="0" w:type="auto"/>
            <w:tcBorders>
              <w:top w:val="single" w:sz="6" w:space="0" w:color="000000"/>
              <w:left w:val="single" w:sz="6" w:space="0" w:color="000000"/>
              <w:bottom w:val="single" w:sz="6" w:space="0" w:color="000000"/>
              <w:right w:val="single" w:sz="6" w:space="0" w:color="000000"/>
            </w:tcBorders>
            <w:hideMark/>
          </w:tcPr>
          <w:p w:rsidR="00EF7C08" w:rsidRPr="00AD595B" w:rsidP="00EF7C08">
            <w:pPr>
              <w:jc w:val="center"/>
              <w:rPr>
                <w:b/>
              </w:rPr>
            </w:pPr>
            <w:r w:rsidRPr="00AD595B">
              <w:rPr>
                <w:b/>
              </w:rPr>
              <w:t>1.7</w:t>
            </w:r>
          </w:p>
        </w:tc>
      </w:tr>
      <w:tr w:rsidTr="004A104F">
        <w:tblPrEx>
          <w:tblW w:w="9360" w:type="dxa"/>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hideMark/>
          </w:tcPr>
          <w:p w:rsidR="00EF7C08" w:rsidRPr="00AD595B" w:rsidP="00EF7C08">
            <w:pPr>
              <w:jc w:val="center"/>
              <w:rPr>
                <w:b/>
              </w:rPr>
            </w:pPr>
            <w:r w:rsidRPr="00AD595B">
              <w:rPr>
                <w:b/>
              </w:rPr>
              <w:t>Communicating with Mode I device</w:t>
            </w:r>
          </w:p>
        </w:tc>
        <w:tc>
          <w:tcPr>
            <w:tcW w:w="0" w:type="auto"/>
            <w:tcBorders>
              <w:top w:val="single" w:sz="6" w:space="0" w:color="000000"/>
              <w:left w:val="single" w:sz="6" w:space="0" w:color="000000"/>
              <w:bottom w:val="single" w:sz="6" w:space="0" w:color="000000"/>
              <w:right w:val="single" w:sz="6" w:space="0" w:color="000000"/>
            </w:tcBorders>
            <w:hideMark/>
          </w:tcPr>
          <w:p w:rsidR="00EF7C08" w:rsidRPr="00AD595B" w:rsidP="00EF7C08">
            <w:pPr>
              <w:jc w:val="center"/>
              <w:rPr>
                <w:b/>
              </w:rPr>
            </w:pPr>
            <w:r w:rsidRPr="00AD595B">
              <w:rPr>
                <w:b/>
              </w:rPr>
              <w:t>2.6</w:t>
            </w:r>
          </w:p>
        </w:tc>
        <w:tc>
          <w:tcPr>
            <w:tcW w:w="0" w:type="auto"/>
            <w:tcBorders>
              <w:top w:val="single" w:sz="6" w:space="0" w:color="000000"/>
              <w:left w:val="single" w:sz="6" w:space="0" w:color="000000"/>
              <w:bottom w:val="single" w:sz="6" w:space="0" w:color="000000"/>
              <w:right w:val="single" w:sz="6" w:space="0" w:color="000000"/>
            </w:tcBorders>
            <w:hideMark/>
          </w:tcPr>
          <w:p w:rsidR="00EF7C08" w:rsidRPr="00AD595B" w:rsidP="00EF7C08">
            <w:pPr>
              <w:jc w:val="center"/>
              <w:rPr>
                <w:b/>
              </w:rPr>
            </w:pPr>
            <w:r w:rsidRPr="00AD595B">
              <w:rPr>
                <w:b/>
              </w:rPr>
              <w:t>3.4</w:t>
            </w:r>
          </w:p>
        </w:tc>
      </w:tr>
    </w:tbl>
    <w:p w:rsidR="00EF7C08" w:rsidRPr="00EF7C08" w:rsidP="00EF7C08">
      <w:pPr>
        <w:jc w:val="center"/>
        <w:rPr>
          <w:b/>
        </w:rPr>
      </w:pPr>
    </w:p>
    <w:bookmarkEnd w:id="205"/>
    <w:p w:rsidR="00EF7C08" w:rsidP="0066227F"/>
    <w:p w:rsidR="00EF7C08" w:rsidP="00DA384D">
      <w:pPr>
        <w:jc w:val="center"/>
        <w:rPr>
          <w:b/>
        </w:rPr>
      </w:pPr>
      <w:r w:rsidRPr="00EF7C08">
        <w:rPr>
          <w:b/>
        </w:rPr>
        <w:t xml:space="preserve">Table </w:t>
      </w:r>
      <w:r w:rsidR="00506CDA">
        <w:rPr>
          <w:b/>
        </w:rPr>
        <w:t>3</w:t>
      </w:r>
      <w:r w:rsidRPr="00EF7C08">
        <w:rPr>
          <w:b/>
        </w:rPr>
        <w:t xml:space="preserve"> to Section 15.712(a)(2)(v)</w:t>
      </w:r>
    </w:p>
    <w:p w:rsidR="00DA384D" w:rsidP="00DA384D">
      <w:pPr>
        <w:jc w:val="center"/>
        <w:rPr>
          <w:b/>
        </w:rPr>
      </w:pPr>
    </w:p>
    <w:tbl>
      <w:tblPr>
        <w:tblpPr w:leftFromText="180" w:rightFromText="180" w:vertAnchor="text" w:tblpXSpec="center" w:tblpY="1"/>
        <w:tblOverlap w:val="never"/>
        <w:tblW w:w="9360" w:type="dxa"/>
        <w:tblCellSpacing w:w="7" w:type="dxa"/>
        <w:tblBorders>
          <w:top w:val="outset" w:sz="8" w:space="0" w:color="auto"/>
          <w:left w:val="outset" w:sz="8" w:space="0" w:color="auto"/>
          <w:bottom w:val="outset" w:sz="8" w:space="0" w:color="auto"/>
          <w:right w:val="outset" w:sz="8" w:space="0" w:color="auto"/>
          <w:insideH w:val="outset" w:sz="8" w:space="0" w:color="auto"/>
          <w:insideV w:val="outset" w:sz="8" w:space="0" w:color="auto"/>
        </w:tblBorders>
        <w:tblLayout w:type="fixed"/>
        <w:tblLook w:val="00A0"/>
      </w:tblPr>
      <w:tblGrid>
        <w:gridCol w:w="1272"/>
        <w:gridCol w:w="1037"/>
        <w:gridCol w:w="956"/>
        <w:gridCol w:w="956"/>
        <w:gridCol w:w="956"/>
        <w:gridCol w:w="1035"/>
        <w:gridCol w:w="1033"/>
        <w:gridCol w:w="1057"/>
        <w:gridCol w:w="1058"/>
      </w:tblGrid>
      <w:tr w:rsidTr="00DA384D">
        <w:tblPrEx>
          <w:tblW w:w="9360" w:type="dxa"/>
          <w:tblCellSpacing w:w="7" w:type="dxa"/>
          <w:tblBorders>
            <w:top w:val="outset" w:sz="8" w:space="0" w:color="auto"/>
            <w:left w:val="outset" w:sz="8" w:space="0" w:color="auto"/>
            <w:bottom w:val="outset" w:sz="8" w:space="0" w:color="auto"/>
            <w:right w:val="outset" w:sz="8" w:space="0" w:color="auto"/>
            <w:insideH w:val="outset" w:sz="8" w:space="0" w:color="auto"/>
            <w:insideV w:val="outset" w:sz="8" w:space="0" w:color="auto"/>
          </w:tblBorders>
          <w:tblLayout w:type="fixed"/>
          <w:tblLook w:val="00A0"/>
        </w:tblPrEx>
        <w:trPr>
          <w:trHeight w:val="720"/>
          <w:tblCellSpacing w:w="7" w:type="dxa"/>
        </w:trPr>
        <w:tc>
          <w:tcPr>
            <w:tcW w:w="10498" w:type="dxa"/>
            <w:gridSpan w:val="9"/>
            <w:tcMar>
              <w:top w:w="15" w:type="dxa"/>
              <w:left w:w="15" w:type="dxa"/>
              <w:bottom w:w="15" w:type="dxa"/>
              <w:right w:w="15" w:type="dxa"/>
            </w:tcMar>
            <w:vAlign w:val="center"/>
          </w:tcPr>
          <w:p w:rsidR="004A104F" w:rsidRPr="00AD595B" w:rsidP="00DA384D">
            <w:pPr>
              <w:keepNext/>
              <w:keepLines/>
              <w:jc w:val="center"/>
              <w:rPr>
                <w:b/>
                <w:bCs/>
              </w:rPr>
            </w:pPr>
            <w:r w:rsidRPr="00AD595B">
              <w:rPr>
                <w:b/>
                <w:bCs/>
              </w:rPr>
              <w:t>Fixed White Space Devices</w:t>
            </w:r>
          </w:p>
        </w:tc>
      </w:tr>
      <w:tr w:rsidTr="00DA384D">
        <w:tblPrEx>
          <w:tblW w:w="9360" w:type="dxa"/>
          <w:tblCellSpacing w:w="7" w:type="dxa"/>
          <w:tblLayout w:type="fixed"/>
          <w:tblLook w:val="00A0"/>
        </w:tblPrEx>
        <w:trPr>
          <w:trHeight w:val="720"/>
          <w:tblCellSpacing w:w="7" w:type="dxa"/>
        </w:trPr>
        <w:tc>
          <w:tcPr>
            <w:tcW w:w="1419" w:type="dxa"/>
            <w:vMerge w:val="restart"/>
            <w:tcMar>
              <w:top w:w="15" w:type="dxa"/>
              <w:left w:w="15" w:type="dxa"/>
              <w:bottom w:w="15" w:type="dxa"/>
              <w:right w:w="15" w:type="dxa"/>
            </w:tcMar>
            <w:vAlign w:val="center"/>
          </w:tcPr>
          <w:p w:rsidR="004A104F" w:rsidRPr="00AD595B" w:rsidP="00DA384D">
            <w:pPr>
              <w:keepNext/>
              <w:keepLines/>
              <w:jc w:val="center"/>
              <w:rPr>
                <w:b/>
                <w:bCs/>
              </w:rPr>
            </w:pPr>
            <w:r w:rsidRPr="00AD595B">
              <w:rPr>
                <w:b/>
                <w:bCs/>
              </w:rPr>
              <w:t>Antenna height above average terrain of unlicensed devices</w:t>
            </w:r>
          </w:p>
          <w:p w:rsidR="004A104F" w:rsidRPr="00AD595B" w:rsidP="00DA384D">
            <w:pPr>
              <w:keepNext/>
              <w:keepLines/>
              <w:jc w:val="center"/>
              <w:rPr>
                <w:b/>
                <w:bCs/>
              </w:rPr>
            </w:pPr>
            <w:r w:rsidRPr="00AD595B">
              <w:rPr>
                <w:b/>
                <w:bCs/>
              </w:rPr>
              <w:t>(meters)</w:t>
            </w:r>
          </w:p>
        </w:tc>
        <w:tc>
          <w:tcPr>
            <w:tcW w:w="9065" w:type="dxa"/>
            <w:gridSpan w:val="8"/>
            <w:tcMar>
              <w:top w:w="15" w:type="dxa"/>
              <w:left w:w="15" w:type="dxa"/>
              <w:bottom w:w="15" w:type="dxa"/>
              <w:right w:w="15" w:type="dxa"/>
            </w:tcMar>
            <w:vAlign w:val="center"/>
          </w:tcPr>
          <w:p w:rsidR="004A104F" w:rsidRPr="00AD595B" w:rsidP="00DA384D">
            <w:pPr>
              <w:keepNext/>
              <w:keepLines/>
              <w:jc w:val="center"/>
              <w:rPr>
                <w:b/>
                <w:bCs/>
              </w:rPr>
            </w:pPr>
            <w:r w:rsidRPr="00AD595B">
              <w:rPr>
                <w:b/>
                <w:bCs/>
              </w:rPr>
              <w:t>Required separation in kilometers from co-channel digital or analog TV (full service or low power) protected contour*</w:t>
            </w:r>
          </w:p>
        </w:tc>
      </w:tr>
      <w:tr w:rsidTr="00DA384D">
        <w:tblPrEx>
          <w:tblW w:w="9360" w:type="dxa"/>
          <w:tblCellSpacing w:w="7" w:type="dxa"/>
          <w:tblLayout w:type="fixed"/>
          <w:tblLook w:val="00A0"/>
        </w:tblPrEx>
        <w:trPr>
          <w:tblCellSpacing w:w="7" w:type="dxa"/>
        </w:trPr>
        <w:tc>
          <w:tcPr>
            <w:tcW w:w="1419" w:type="dxa"/>
            <w:vMerge/>
            <w:vAlign w:val="center"/>
          </w:tcPr>
          <w:p w:rsidR="004A104F" w:rsidRPr="00AD595B" w:rsidP="00DA384D">
            <w:pPr>
              <w:keepNext/>
              <w:keepLines/>
              <w:rPr>
                <w:b/>
                <w:bCs/>
              </w:rPr>
            </w:pPr>
          </w:p>
        </w:tc>
        <w:tc>
          <w:tcPr>
            <w:tcW w:w="1158" w:type="dxa"/>
            <w:tcMar>
              <w:top w:w="15" w:type="dxa"/>
              <w:left w:w="15" w:type="dxa"/>
              <w:bottom w:w="15" w:type="dxa"/>
              <w:right w:w="15" w:type="dxa"/>
            </w:tcMar>
            <w:vAlign w:val="center"/>
          </w:tcPr>
          <w:p w:rsidR="004A104F" w:rsidRPr="00AD595B" w:rsidP="00DA384D">
            <w:pPr>
              <w:keepNext/>
              <w:keepLines/>
              <w:jc w:val="center"/>
              <w:rPr>
                <w:b/>
                <w:bCs/>
              </w:rPr>
            </w:pPr>
            <w:r w:rsidRPr="00AD595B">
              <w:rPr>
                <w:b/>
                <w:bCs/>
              </w:rPr>
              <w:t>16 dBm</w:t>
            </w:r>
          </w:p>
          <w:p w:rsidR="004A104F" w:rsidRPr="00AD595B" w:rsidP="00DA384D">
            <w:pPr>
              <w:keepNext/>
              <w:keepLines/>
              <w:jc w:val="center"/>
              <w:rPr>
                <w:b/>
                <w:bCs/>
              </w:rPr>
            </w:pPr>
            <w:r w:rsidRPr="00AD595B">
              <w:rPr>
                <w:b/>
                <w:bCs/>
              </w:rPr>
              <w:t xml:space="preserve">(40 </w:t>
            </w:r>
            <w:r w:rsidRPr="00AD595B">
              <w:rPr>
                <w:b/>
                <w:bCs/>
              </w:rPr>
              <w:t>mW</w:t>
            </w:r>
            <w:r w:rsidRPr="00AD595B">
              <w:rPr>
                <w:b/>
                <w:bCs/>
              </w:rPr>
              <w:t>)</w:t>
            </w:r>
          </w:p>
        </w:tc>
        <w:tc>
          <w:tcPr>
            <w:tcW w:w="1066" w:type="dxa"/>
            <w:tcMar>
              <w:top w:w="15" w:type="dxa"/>
              <w:left w:w="15" w:type="dxa"/>
              <w:bottom w:w="15" w:type="dxa"/>
              <w:right w:w="15" w:type="dxa"/>
            </w:tcMar>
            <w:vAlign w:val="center"/>
          </w:tcPr>
          <w:p w:rsidR="004A104F" w:rsidRPr="00AD595B" w:rsidP="00DA384D">
            <w:pPr>
              <w:keepNext/>
              <w:keepLines/>
              <w:jc w:val="center"/>
              <w:rPr>
                <w:b/>
                <w:bCs/>
              </w:rPr>
            </w:pPr>
            <w:r w:rsidRPr="00AD595B">
              <w:rPr>
                <w:b/>
                <w:bCs/>
              </w:rPr>
              <w:t>20 dBm</w:t>
            </w:r>
          </w:p>
          <w:p w:rsidR="004A104F" w:rsidRPr="00AD595B" w:rsidP="00DA384D">
            <w:pPr>
              <w:keepNext/>
              <w:keepLines/>
              <w:jc w:val="center"/>
              <w:rPr>
                <w:b/>
                <w:bCs/>
              </w:rPr>
            </w:pPr>
            <w:r w:rsidRPr="00AD595B">
              <w:rPr>
                <w:b/>
                <w:bCs/>
              </w:rPr>
              <w:t xml:space="preserve">(100 </w:t>
            </w:r>
            <w:r w:rsidRPr="00AD595B">
              <w:rPr>
                <w:b/>
                <w:bCs/>
              </w:rPr>
              <w:t>mW</w:t>
            </w:r>
            <w:r w:rsidRPr="00AD595B">
              <w:rPr>
                <w:b/>
                <w:bCs/>
              </w:rPr>
              <w:t>)</w:t>
            </w:r>
          </w:p>
        </w:tc>
        <w:tc>
          <w:tcPr>
            <w:tcW w:w="1066" w:type="dxa"/>
            <w:tcMar>
              <w:top w:w="15" w:type="dxa"/>
              <w:left w:w="15" w:type="dxa"/>
              <w:bottom w:w="15" w:type="dxa"/>
              <w:right w:w="15" w:type="dxa"/>
            </w:tcMar>
            <w:vAlign w:val="center"/>
          </w:tcPr>
          <w:p w:rsidR="004A104F" w:rsidRPr="00AD595B" w:rsidP="00DA384D">
            <w:pPr>
              <w:keepNext/>
              <w:keepLines/>
              <w:jc w:val="center"/>
              <w:rPr>
                <w:b/>
                <w:bCs/>
              </w:rPr>
            </w:pPr>
            <w:r w:rsidRPr="00AD595B">
              <w:rPr>
                <w:b/>
                <w:bCs/>
              </w:rPr>
              <w:t>24 dBm</w:t>
            </w:r>
          </w:p>
          <w:p w:rsidR="004A104F" w:rsidRPr="00AD595B" w:rsidP="00DA384D">
            <w:pPr>
              <w:keepNext/>
              <w:keepLines/>
              <w:jc w:val="center"/>
              <w:rPr>
                <w:b/>
                <w:bCs/>
              </w:rPr>
            </w:pPr>
            <w:r w:rsidRPr="00AD595B">
              <w:rPr>
                <w:b/>
                <w:bCs/>
              </w:rPr>
              <w:t xml:space="preserve">(250 </w:t>
            </w:r>
            <w:r w:rsidRPr="00AD595B">
              <w:rPr>
                <w:b/>
                <w:bCs/>
              </w:rPr>
              <w:t>mW</w:t>
            </w:r>
            <w:r w:rsidRPr="00AD595B">
              <w:rPr>
                <w:b/>
                <w:bCs/>
              </w:rPr>
              <w:t>)</w:t>
            </w:r>
          </w:p>
        </w:tc>
        <w:tc>
          <w:tcPr>
            <w:tcW w:w="1066" w:type="dxa"/>
            <w:tcMar>
              <w:top w:w="15" w:type="dxa"/>
              <w:left w:w="15" w:type="dxa"/>
              <w:bottom w:w="15" w:type="dxa"/>
              <w:right w:w="15" w:type="dxa"/>
            </w:tcMar>
            <w:vAlign w:val="center"/>
          </w:tcPr>
          <w:p w:rsidR="004A104F" w:rsidRPr="00AD595B" w:rsidP="00DA384D">
            <w:pPr>
              <w:keepNext/>
              <w:keepLines/>
              <w:jc w:val="center"/>
              <w:rPr>
                <w:b/>
                <w:bCs/>
              </w:rPr>
            </w:pPr>
            <w:r w:rsidRPr="00AD595B">
              <w:rPr>
                <w:b/>
                <w:bCs/>
              </w:rPr>
              <w:t>28 dBm</w:t>
            </w:r>
          </w:p>
          <w:p w:rsidR="004A104F" w:rsidRPr="00AD595B" w:rsidP="00DA384D">
            <w:pPr>
              <w:keepNext/>
              <w:keepLines/>
              <w:jc w:val="center"/>
              <w:rPr>
                <w:b/>
                <w:bCs/>
              </w:rPr>
            </w:pPr>
            <w:r w:rsidRPr="00AD595B">
              <w:rPr>
                <w:b/>
                <w:bCs/>
              </w:rPr>
              <w:t xml:space="preserve">(625 </w:t>
            </w:r>
            <w:r w:rsidRPr="00AD595B">
              <w:rPr>
                <w:b/>
                <w:bCs/>
              </w:rPr>
              <w:t>mW</w:t>
            </w:r>
            <w:r w:rsidRPr="00AD595B">
              <w:rPr>
                <w:b/>
                <w:bCs/>
              </w:rPr>
              <w:t>)</w:t>
            </w:r>
          </w:p>
        </w:tc>
        <w:tc>
          <w:tcPr>
            <w:tcW w:w="1156" w:type="dxa"/>
            <w:tcMar>
              <w:top w:w="15" w:type="dxa"/>
              <w:left w:w="15" w:type="dxa"/>
              <w:bottom w:w="15" w:type="dxa"/>
              <w:right w:w="15" w:type="dxa"/>
            </w:tcMar>
            <w:vAlign w:val="center"/>
          </w:tcPr>
          <w:p w:rsidR="004A104F" w:rsidRPr="00AD595B" w:rsidP="00DA384D">
            <w:pPr>
              <w:keepNext/>
              <w:keepLines/>
              <w:jc w:val="center"/>
              <w:rPr>
                <w:b/>
                <w:bCs/>
              </w:rPr>
            </w:pPr>
            <w:r w:rsidRPr="00AD595B">
              <w:rPr>
                <w:b/>
                <w:bCs/>
              </w:rPr>
              <w:t>32 dBm</w:t>
            </w:r>
          </w:p>
          <w:p w:rsidR="004A104F" w:rsidRPr="00AD595B" w:rsidP="00DA384D">
            <w:pPr>
              <w:keepNext/>
              <w:keepLines/>
              <w:jc w:val="center"/>
              <w:rPr>
                <w:b/>
                <w:bCs/>
              </w:rPr>
            </w:pPr>
            <w:r w:rsidRPr="00AD595B">
              <w:rPr>
                <w:b/>
                <w:bCs/>
              </w:rPr>
              <w:t xml:space="preserve">(1600 </w:t>
            </w:r>
            <w:r w:rsidRPr="00AD595B">
              <w:rPr>
                <w:b/>
                <w:bCs/>
              </w:rPr>
              <w:t>mW</w:t>
            </w:r>
            <w:r w:rsidRPr="00AD595B">
              <w:rPr>
                <w:b/>
                <w:bCs/>
              </w:rPr>
              <w:t>)</w:t>
            </w:r>
          </w:p>
        </w:tc>
        <w:tc>
          <w:tcPr>
            <w:tcW w:w="1154" w:type="dxa"/>
            <w:tcMar>
              <w:top w:w="15" w:type="dxa"/>
              <w:left w:w="15" w:type="dxa"/>
              <w:bottom w:w="15" w:type="dxa"/>
              <w:right w:w="15" w:type="dxa"/>
            </w:tcMar>
            <w:vAlign w:val="center"/>
          </w:tcPr>
          <w:p w:rsidR="004A104F" w:rsidRPr="00AD595B" w:rsidP="00DA384D">
            <w:pPr>
              <w:keepNext/>
              <w:keepLines/>
              <w:jc w:val="center"/>
              <w:rPr>
                <w:b/>
                <w:bCs/>
              </w:rPr>
            </w:pPr>
            <w:r w:rsidRPr="00AD595B">
              <w:rPr>
                <w:b/>
                <w:bCs/>
              </w:rPr>
              <w:t>36 dBm</w:t>
            </w:r>
          </w:p>
          <w:p w:rsidR="004A104F" w:rsidRPr="00AD595B" w:rsidP="00DA384D">
            <w:pPr>
              <w:keepNext/>
              <w:keepLines/>
              <w:jc w:val="center"/>
              <w:rPr>
                <w:b/>
                <w:bCs/>
              </w:rPr>
            </w:pPr>
            <w:r w:rsidRPr="00AD595B">
              <w:rPr>
                <w:b/>
                <w:bCs/>
              </w:rPr>
              <w:t>(4 W)</w:t>
            </w:r>
          </w:p>
        </w:tc>
        <w:tc>
          <w:tcPr>
            <w:tcW w:w="1154" w:type="dxa"/>
            <w:vAlign w:val="center"/>
          </w:tcPr>
          <w:p w:rsidR="004A104F" w:rsidRPr="00AD595B" w:rsidP="00DA384D">
            <w:pPr>
              <w:keepNext/>
              <w:keepLines/>
              <w:jc w:val="center"/>
              <w:rPr>
                <w:b/>
                <w:bCs/>
              </w:rPr>
            </w:pPr>
            <w:r w:rsidRPr="00AD595B">
              <w:rPr>
                <w:b/>
                <w:bCs/>
              </w:rPr>
              <w:t>40 dBm</w:t>
            </w:r>
          </w:p>
          <w:p w:rsidR="004A104F" w:rsidRPr="00AD595B" w:rsidP="00DA384D">
            <w:pPr>
              <w:keepNext/>
              <w:keepLines/>
              <w:jc w:val="center"/>
              <w:rPr>
                <w:b/>
                <w:bCs/>
              </w:rPr>
            </w:pPr>
            <w:r w:rsidRPr="00AD595B">
              <w:rPr>
                <w:b/>
                <w:bCs/>
              </w:rPr>
              <w:t>(10 W)</w:t>
            </w:r>
          </w:p>
        </w:tc>
        <w:tc>
          <w:tcPr>
            <w:tcW w:w="1147" w:type="dxa"/>
            <w:shd w:val="clear" w:color="auto" w:fill="auto"/>
            <w:vAlign w:val="center"/>
          </w:tcPr>
          <w:p w:rsidR="004A104F" w:rsidRPr="00AD595B" w:rsidP="00DA384D">
            <w:pPr>
              <w:keepNext/>
              <w:keepLines/>
              <w:rPr>
                <w:b/>
                <w:bCs/>
              </w:rPr>
            </w:pPr>
            <w:r w:rsidRPr="00AD595B">
              <w:rPr>
                <w:b/>
                <w:bCs/>
              </w:rPr>
              <w:t>42 dBm</w:t>
            </w:r>
          </w:p>
          <w:p w:rsidR="004A104F" w:rsidRPr="00AD595B" w:rsidP="00DA384D">
            <w:pPr>
              <w:keepNext/>
              <w:keepLines/>
              <w:rPr>
                <w:b/>
                <w:bCs/>
              </w:rPr>
            </w:pPr>
            <w:r w:rsidRPr="00AD595B">
              <w:rPr>
                <w:b/>
                <w:bCs/>
              </w:rPr>
              <w:t xml:space="preserve"> (16 W)</w:t>
            </w:r>
          </w:p>
        </w:tc>
      </w:tr>
      <w:tr w:rsidTr="00DA384D">
        <w:tblPrEx>
          <w:tblW w:w="9360" w:type="dxa"/>
          <w:tblCellSpacing w:w="7" w:type="dxa"/>
          <w:tblLayout w:type="fixed"/>
          <w:tblLook w:val="00A0"/>
        </w:tblPrEx>
        <w:trPr>
          <w:tblCellSpacing w:w="7" w:type="dxa"/>
        </w:trPr>
        <w:tc>
          <w:tcPr>
            <w:tcW w:w="1419" w:type="dxa"/>
            <w:tcMar>
              <w:top w:w="15" w:type="dxa"/>
              <w:left w:w="15" w:type="dxa"/>
              <w:bottom w:w="15" w:type="dxa"/>
              <w:right w:w="15" w:type="dxa"/>
            </w:tcMar>
            <w:vAlign w:val="center"/>
          </w:tcPr>
          <w:p w:rsidR="004A104F" w:rsidRPr="00AD595B" w:rsidP="00DA384D">
            <w:pPr>
              <w:keepNext/>
              <w:keepLines/>
              <w:jc w:val="center"/>
            </w:pPr>
            <w:r w:rsidRPr="00AD595B">
              <w:t>Less than 3</w:t>
            </w:r>
          </w:p>
        </w:tc>
        <w:tc>
          <w:tcPr>
            <w:tcW w:w="1158" w:type="dxa"/>
            <w:tcMar>
              <w:top w:w="15" w:type="dxa"/>
              <w:left w:w="15" w:type="dxa"/>
              <w:bottom w:w="15" w:type="dxa"/>
              <w:right w:w="15" w:type="dxa"/>
            </w:tcMar>
            <w:vAlign w:val="center"/>
          </w:tcPr>
          <w:p w:rsidR="004A104F" w:rsidRPr="00AD595B" w:rsidP="00DA384D">
            <w:pPr>
              <w:keepNext/>
              <w:keepLines/>
              <w:jc w:val="center"/>
            </w:pPr>
            <w:r w:rsidRPr="00AD595B">
              <w:rPr>
                <w:color w:val="000000"/>
              </w:rPr>
              <w:t>1.3</w:t>
            </w:r>
          </w:p>
        </w:tc>
        <w:tc>
          <w:tcPr>
            <w:tcW w:w="1066" w:type="dxa"/>
            <w:tcMar>
              <w:top w:w="15" w:type="dxa"/>
              <w:left w:w="15" w:type="dxa"/>
              <w:bottom w:w="15" w:type="dxa"/>
              <w:right w:w="15" w:type="dxa"/>
            </w:tcMar>
            <w:vAlign w:val="center"/>
          </w:tcPr>
          <w:p w:rsidR="004A104F" w:rsidRPr="00AD595B" w:rsidP="00DA384D">
            <w:pPr>
              <w:keepNext/>
              <w:keepLines/>
              <w:jc w:val="center"/>
            </w:pPr>
            <w:r w:rsidRPr="00AD595B">
              <w:rPr>
                <w:color w:val="000000"/>
              </w:rPr>
              <w:t>1.7</w:t>
            </w:r>
          </w:p>
        </w:tc>
        <w:tc>
          <w:tcPr>
            <w:tcW w:w="1066" w:type="dxa"/>
            <w:tcMar>
              <w:top w:w="15" w:type="dxa"/>
              <w:left w:w="15" w:type="dxa"/>
              <w:bottom w:w="15" w:type="dxa"/>
              <w:right w:w="15" w:type="dxa"/>
            </w:tcMar>
            <w:vAlign w:val="center"/>
          </w:tcPr>
          <w:p w:rsidR="004A104F" w:rsidRPr="00AD595B" w:rsidP="00DA384D">
            <w:pPr>
              <w:keepNext/>
              <w:keepLines/>
              <w:jc w:val="center"/>
            </w:pPr>
            <w:r w:rsidRPr="00AD595B">
              <w:rPr>
                <w:color w:val="000000"/>
              </w:rPr>
              <w:t>2.1</w:t>
            </w:r>
          </w:p>
        </w:tc>
        <w:tc>
          <w:tcPr>
            <w:tcW w:w="1066" w:type="dxa"/>
            <w:tcMar>
              <w:top w:w="15" w:type="dxa"/>
              <w:left w:w="15" w:type="dxa"/>
              <w:bottom w:w="15" w:type="dxa"/>
              <w:right w:w="15" w:type="dxa"/>
            </w:tcMar>
            <w:vAlign w:val="center"/>
          </w:tcPr>
          <w:p w:rsidR="004A104F" w:rsidRPr="00AD595B" w:rsidP="00DA384D">
            <w:pPr>
              <w:keepNext/>
              <w:keepLines/>
              <w:jc w:val="center"/>
            </w:pPr>
            <w:r w:rsidRPr="00AD595B">
              <w:rPr>
                <w:color w:val="000000"/>
              </w:rPr>
              <w:t>2.7</w:t>
            </w:r>
          </w:p>
        </w:tc>
        <w:tc>
          <w:tcPr>
            <w:tcW w:w="1156" w:type="dxa"/>
            <w:tcMar>
              <w:top w:w="15" w:type="dxa"/>
              <w:left w:w="15" w:type="dxa"/>
              <w:bottom w:w="15" w:type="dxa"/>
              <w:right w:w="15" w:type="dxa"/>
            </w:tcMar>
            <w:vAlign w:val="center"/>
          </w:tcPr>
          <w:p w:rsidR="004A104F" w:rsidRPr="00AD595B" w:rsidP="00DA384D">
            <w:pPr>
              <w:keepNext/>
              <w:keepLines/>
              <w:jc w:val="center"/>
            </w:pPr>
            <w:r w:rsidRPr="00AD595B">
              <w:rPr>
                <w:color w:val="000000"/>
              </w:rPr>
              <w:t>3.3</w:t>
            </w:r>
          </w:p>
        </w:tc>
        <w:tc>
          <w:tcPr>
            <w:tcW w:w="1154" w:type="dxa"/>
            <w:tcMar>
              <w:top w:w="15" w:type="dxa"/>
              <w:left w:w="15" w:type="dxa"/>
              <w:bottom w:w="15" w:type="dxa"/>
              <w:right w:w="15" w:type="dxa"/>
            </w:tcMar>
            <w:vAlign w:val="center"/>
          </w:tcPr>
          <w:p w:rsidR="004A104F" w:rsidRPr="00AD595B" w:rsidP="00DA384D">
            <w:pPr>
              <w:keepNext/>
              <w:keepLines/>
              <w:jc w:val="center"/>
            </w:pPr>
            <w:r w:rsidRPr="00AD595B">
              <w:t>4.0</w:t>
            </w:r>
          </w:p>
        </w:tc>
        <w:tc>
          <w:tcPr>
            <w:tcW w:w="1154" w:type="dxa"/>
            <w:vAlign w:val="center"/>
          </w:tcPr>
          <w:p w:rsidR="004A104F" w:rsidRPr="00AD595B" w:rsidP="00DA384D">
            <w:pPr>
              <w:keepNext/>
              <w:keepLines/>
              <w:jc w:val="center"/>
            </w:pPr>
            <w:r w:rsidRPr="00AD595B">
              <w:t>4.5</w:t>
            </w:r>
          </w:p>
        </w:tc>
        <w:tc>
          <w:tcPr>
            <w:tcW w:w="1147" w:type="dxa"/>
          </w:tcPr>
          <w:p w:rsidR="004A104F" w:rsidRPr="00AD595B" w:rsidP="00DA384D">
            <w:pPr>
              <w:keepNext/>
              <w:keepLines/>
              <w:jc w:val="center"/>
            </w:pPr>
            <w:r w:rsidRPr="00AD595B">
              <w:t>5.0</w:t>
            </w:r>
          </w:p>
        </w:tc>
      </w:tr>
      <w:tr w:rsidTr="00DA384D">
        <w:tblPrEx>
          <w:tblW w:w="9360" w:type="dxa"/>
          <w:tblCellSpacing w:w="7" w:type="dxa"/>
          <w:tblLayout w:type="fixed"/>
          <w:tblLook w:val="00A0"/>
        </w:tblPrEx>
        <w:trPr>
          <w:tblCellSpacing w:w="7" w:type="dxa"/>
        </w:trPr>
        <w:tc>
          <w:tcPr>
            <w:tcW w:w="1419" w:type="dxa"/>
            <w:tcMar>
              <w:top w:w="15" w:type="dxa"/>
              <w:left w:w="15" w:type="dxa"/>
              <w:bottom w:w="15" w:type="dxa"/>
              <w:right w:w="15" w:type="dxa"/>
            </w:tcMar>
            <w:vAlign w:val="center"/>
          </w:tcPr>
          <w:p w:rsidR="004A104F" w:rsidRPr="00AD595B" w:rsidP="00DA384D">
            <w:pPr>
              <w:keepNext/>
              <w:keepLines/>
              <w:jc w:val="center"/>
            </w:pPr>
            <w:r w:rsidRPr="00AD595B">
              <w:t xml:space="preserve">3 - 10 </w:t>
            </w:r>
          </w:p>
        </w:tc>
        <w:tc>
          <w:tcPr>
            <w:tcW w:w="1158" w:type="dxa"/>
            <w:tcMar>
              <w:top w:w="15" w:type="dxa"/>
              <w:left w:w="15" w:type="dxa"/>
              <w:bottom w:w="15" w:type="dxa"/>
              <w:right w:w="15" w:type="dxa"/>
            </w:tcMar>
            <w:vAlign w:val="center"/>
          </w:tcPr>
          <w:p w:rsidR="004A104F" w:rsidRPr="00AD595B" w:rsidP="00DA384D">
            <w:pPr>
              <w:keepNext/>
              <w:keepLines/>
              <w:jc w:val="center"/>
            </w:pPr>
            <w:r w:rsidRPr="00AD595B">
              <w:rPr>
                <w:color w:val="000000"/>
              </w:rPr>
              <w:t>2.4</w:t>
            </w:r>
          </w:p>
        </w:tc>
        <w:tc>
          <w:tcPr>
            <w:tcW w:w="1066" w:type="dxa"/>
            <w:tcMar>
              <w:top w:w="15" w:type="dxa"/>
              <w:left w:w="15" w:type="dxa"/>
              <w:bottom w:w="15" w:type="dxa"/>
              <w:right w:w="15" w:type="dxa"/>
            </w:tcMar>
            <w:vAlign w:val="center"/>
          </w:tcPr>
          <w:p w:rsidR="004A104F" w:rsidRPr="00AD595B" w:rsidP="00DA384D">
            <w:pPr>
              <w:keepNext/>
              <w:keepLines/>
              <w:jc w:val="center"/>
            </w:pPr>
            <w:r w:rsidRPr="00AD595B">
              <w:rPr>
                <w:color w:val="000000"/>
              </w:rPr>
              <w:t>3.1</w:t>
            </w:r>
          </w:p>
        </w:tc>
        <w:tc>
          <w:tcPr>
            <w:tcW w:w="1066" w:type="dxa"/>
            <w:tcMar>
              <w:top w:w="15" w:type="dxa"/>
              <w:left w:w="15" w:type="dxa"/>
              <w:bottom w:w="15" w:type="dxa"/>
              <w:right w:w="15" w:type="dxa"/>
            </w:tcMar>
            <w:vAlign w:val="center"/>
          </w:tcPr>
          <w:p w:rsidR="004A104F" w:rsidRPr="00AD595B" w:rsidP="00DA384D">
            <w:pPr>
              <w:keepNext/>
              <w:keepLines/>
              <w:jc w:val="center"/>
            </w:pPr>
            <w:r w:rsidRPr="00AD595B">
              <w:rPr>
                <w:color w:val="000000"/>
              </w:rPr>
              <w:t>3.8</w:t>
            </w:r>
          </w:p>
        </w:tc>
        <w:tc>
          <w:tcPr>
            <w:tcW w:w="1066" w:type="dxa"/>
            <w:tcMar>
              <w:top w:w="15" w:type="dxa"/>
              <w:left w:w="15" w:type="dxa"/>
              <w:bottom w:w="15" w:type="dxa"/>
              <w:right w:w="15" w:type="dxa"/>
            </w:tcMar>
            <w:vAlign w:val="center"/>
          </w:tcPr>
          <w:p w:rsidR="004A104F" w:rsidRPr="00AD595B" w:rsidP="00DA384D">
            <w:pPr>
              <w:keepNext/>
              <w:keepLines/>
              <w:jc w:val="center"/>
            </w:pPr>
            <w:r w:rsidRPr="00AD595B">
              <w:rPr>
                <w:color w:val="000000"/>
              </w:rPr>
              <w:t>4.8</w:t>
            </w:r>
          </w:p>
        </w:tc>
        <w:tc>
          <w:tcPr>
            <w:tcW w:w="1156" w:type="dxa"/>
            <w:tcMar>
              <w:top w:w="15" w:type="dxa"/>
              <w:left w:w="15" w:type="dxa"/>
              <w:bottom w:w="15" w:type="dxa"/>
              <w:right w:w="15" w:type="dxa"/>
            </w:tcMar>
            <w:vAlign w:val="center"/>
          </w:tcPr>
          <w:p w:rsidR="004A104F" w:rsidRPr="00AD595B" w:rsidP="00DA384D">
            <w:pPr>
              <w:keepNext/>
              <w:keepLines/>
              <w:jc w:val="center"/>
            </w:pPr>
            <w:r w:rsidRPr="00AD595B">
              <w:rPr>
                <w:color w:val="000000"/>
              </w:rPr>
              <w:t>6.1</w:t>
            </w:r>
          </w:p>
        </w:tc>
        <w:tc>
          <w:tcPr>
            <w:tcW w:w="1154" w:type="dxa"/>
            <w:tcMar>
              <w:top w:w="15" w:type="dxa"/>
              <w:left w:w="15" w:type="dxa"/>
              <w:bottom w:w="15" w:type="dxa"/>
              <w:right w:w="15" w:type="dxa"/>
            </w:tcMar>
            <w:vAlign w:val="center"/>
          </w:tcPr>
          <w:p w:rsidR="004A104F" w:rsidRPr="00AD595B" w:rsidP="00DA384D">
            <w:pPr>
              <w:keepNext/>
              <w:keepLines/>
              <w:jc w:val="center"/>
            </w:pPr>
            <w:r w:rsidRPr="00AD595B">
              <w:t>7.3</w:t>
            </w:r>
          </w:p>
        </w:tc>
        <w:tc>
          <w:tcPr>
            <w:tcW w:w="1154" w:type="dxa"/>
            <w:vAlign w:val="center"/>
          </w:tcPr>
          <w:p w:rsidR="004A104F" w:rsidRPr="00AD595B" w:rsidP="00DA384D">
            <w:pPr>
              <w:keepNext/>
              <w:keepLines/>
              <w:jc w:val="center"/>
            </w:pPr>
            <w:r w:rsidRPr="00AD595B">
              <w:t>8.5</w:t>
            </w:r>
          </w:p>
        </w:tc>
        <w:tc>
          <w:tcPr>
            <w:tcW w:w="1147" w:type="dxa"/>
          </w:tcPr>
          <w:p w:rsidR="004A104F" w:rsidRPr="00AD595B" w:rsidP="00DA384D">
            <w:pPr>
              <w:keepNext/>
              <w:keepLines/>
              <w:jc w:val="center"/>
            </w:pPr>
            <w:r w:rsidRPr="00AD595B">
              <w:t>9.4</w:t>
            </w:r>
          </w:p>
        </w:tc>
      </w:tr>
      <w:tr w:rsidTr="00DA384D">
        <w:tblPrEx>
          <w:tblW w:w="9360" w:type="dxa"/>
          <w:tblCellSpacing w:w="7" w:type="dxa"/>
          <w:tblLayout w:type="fixed"/>
          <w:tblLook w:val="00A0"/>
        </w:tblPrEx>
        <w:trPr>
          <w:tblCellSpacing w:w="7" w:type="dxa"/>
        </w:trPr>
        <w:tc>
          <w:tcPr>
            <w:tcW w:w="1419" w:type="dxa"/>
            <w:tcMar>
              <w:top w:w="15" w:type="dxa"/>
              <w:left w:w="15" w:type="dxa"/>
              <w:bottom w:w="15" w:type="dxa"/>
              <w:right w:w="15" w:type="dxa"/>
            </w:tcMar>
            <w:vAlign w:val="center"/>
          </w:tcPr>
          <w:p w:rsidR="004A104F" w:rsidRPr="00AD595B" w:rsidP="00DA384D">
            <w:pPr>
              <w:keepNext/>
              <w:keepLines/>
              <w:jc w:val="center"/>
            </w:pPr>
            <w:r w:rsidRPr="00AD595B">
              <w:t>10 - 30</w:t>
            </w:r>
          </w:p>
        </w:tc>
        <w:tc>
          <w:tcPr>
            <w:tcW w:w="1158" w:type="dxa"/>
            <w:tcMar>
              <w:top w:w="15" w:type="dxa"/>
              <w:left w:w="15" w:type="dxa"/>
              <w:bottom w:w="15" w:type="dxa"/>
              <w:right w:w="15" w:type="dxa"/>
            </w:tcMar>
            <w:vAlign w:val="center"/>
          </w:tcPr>
          <w:p w:rsidR="004A104F" w:rsidRPr="00AD595B" w:rsidP="00DA384D">
            <w:pPr>
              <w:keepNext/>
              <w:keepLines/>
              <w:jc w:val="center"/>
            </w:pPr>
            <w:r w:rsidRPr="00AD595B">
              <w:rPr>
                <w:color w:val="000000"/>
              </w:rPr>
              <w:t>4.2</w:t>
            </w:r>
          </w:p>
        </w:tc>
        <w:tc>
          <w:tcPr>
            <w:tcW w:w="1066" w:type="dxa"/>
            <w:tcMar>
              <w:top w:w="15" w:type="dxa"/>
              <w:left w:w="15" w:type="dxa"/>
              <w:bottom w:w="15" w:type="dxa"/>
              <w:right w:w="15" w:type="dxa"/>
            </w:tcMar>
            <w:vAlign w:val="center"/>
          </w:tcPr>
          <w:p w:rsidR="004A104F" w:rsidRPr="00AD595B" w:rsidP="00DA384D">
            <w:pPr>
              <w:keepNext/>
              <w:keepLines/>
              <w:jc w:val="center"/>
            </w:pPr>
            <w:r w:rsidRPr="00AD595B">
              <w:rPr>
                <w:color w:val="000000"/>
              </w:rPr>
              <w:t>5.1</w:t>
            </w:r>
          </w:p>
        </w:tc>
        <w:tc>
          <w:tcPr>
            <w:tcW w:w="1066" w:type="dxa"/>
            <w:tcMar>
              <w:top w:w="15" w:type="dxa"/>
              <w:left w:w="15" w:type="dxa"/>
              <w:bottom w:w="15" w:type="dxa"/>
              <w:right w:w="15" w:type="dxa"/>
            </w:tcMar>
            <w:vAlign w:val="center"/>
          </w:tcPr>
          <w:p w:rsidR="004A104F" w:rsidRPr="00AD595B" w:rsidP="00DA384D">
            <w:pPr>
              <w:keepNext/>
              <w:keepLines/>
              <w:jc w:val="center"/>
            </w:pPr>
            <w:r w:rsidRPr="00AD595B">
              <w:rPr>
                <w:color w:val="000000"/>
              </w:rPr>
              <w:t>6.0</w:t>
            </w:r>
          </w:p>
        </w:tc>
        <w:tc>
          <w:tcPr>
            <w:tcW w:w="1066" w:type="dxa"/>
            <w:tcMar>
              <w:top w:w="15" w:type="dxa"/>
              <w:left w:w="15" w:type="dxa"/>
              <w:bottom w:w="15" w:type="dxa"/>
              <w:right w:w="15" w:type="dxa"/>
            </w:tcMar>
            <w:vAlign w:val="center"/>
          </w:tcPr>
          <w:p w:rsidR="004A104F" w:rsidRPr="00AD595B" w:rsidP="00DA384D">
            <w:pPr>
              <w:keepNext/>
              <w:keepLines/>
              <w:jc w:val="center"/>
            </w:pPr>
            <w:r w:rsidRPr="00AD595B">
              <w:rPr>
                <w:color w:val="000000"/>
              </w:rPr>
              <w:t>7.1</w:t>
            </w:r>
          </w:p>
        </w:tc>
        <w:tc>
          <w:tcPr>
            <w:tcW w:w="1156" w:type="dxa"/>
            <w:tcMar>
              <w:top w:w="15" w:type="dxa"/>
              <w:left w:w="15" w:type="dxa"/>
              <w:bottom w:w="15" w:type="dxa"/>
              <w:right w:w="15" w:type="dxa"/>
            </w:tcMar>
            <w:vAlign w:val="center"/>
          </w:tcPr>
          <w:p w:rsidR="004A104F" w:rsidRPr="00AD595B" w:rsidP="00DA384D">
            <w:pPr>
              <w:keepNext/>
              <w:keepLines/>
              <w:jc w:val="center"/>
            </w:pPr>
            <w:r w:rsidRPr="00AD595B">
              <w:rPr>
                <w:color w:val="000000"/>
              </w:rPr>
              <w:t>8.9</w:t>
            </w:r>
          </w:p>
        </w:tc>
        <w:tc>
          <w:tcPr>
            <w:tcW w:w="1154" w:type="dxa"/>
            <w:tcMar>
              <w:top w:w="15" w:type="dxa"/>
              <w:left w:w="15" w:type="dxa"/>
              <w:bottom w:w="15" w:type="dxa"/>
              <w:right w:w="15" w:type="dxa"/>
            </w:tcMar>
            <w:vAlign w:val="center"/>
          </w:tcPr>
          <w:p w:rsidR="004A104F" w:rsidRPr="00AD595B" w:rsidP="00DA384D">
            <w:pPr>
              <w:keepNext/>
              <w:keepLines/>
              <w:jc w:val="center"/>
            </w:pPr>
            <w:r w:rsidRPr="00AD595B">
              <w:t>11.1</w:t>
            </w:r>
          </w:p>
        </w:tc>
        <w:tc>
          <w:tcPr>
            <w:tcW w:w="1154" w:type="dxa"/>
            <w:vAlign w:val="center"/>
          </w:tcPr>
          <w:p w:rsidR="004A104F" w:rsidRPr="00AD595B" w:rsidP="00DA384D">
            <w:pPr>
              <w:keepNext/>
              <w:keepLines/>
              <w:jc w:val="center"/>
            </w:pPr>
            <w:r w:rsidRPr="00AD595B">
              <w:t>13.9</w:t>
            </w:r>
          </w:p>
        </w:tc>
        <w:tc>
          <w:tcPr>
            <w:tcW w:w="1147" w:type="dxa"/>
          </w:tcPr>
          <w:p w:rsidR="004A104F" w:rsidRPr="00AD595B" w:rsidP="00DA384D">
            <w:pPr>
              <w:keepNext/>
              <w:keepLines/>
              <w:jc w:val="center"/>
            </w:pPr>
            <w:r w:rsidRPr="00AD595B">
              <w:t>15.3</w:t>
            </w:r>
          </w:p>
        </w:tc>
      </w:tr>
      <w:tr w:rsidTr="00DA384D">
        <w:tblPrEx>
          <w:tblW w:w="9360" w:type="dxa"/>
          <w:tblCellSpacing w:w="7" w:type="dxa"/>
          <w:tblLayout w:type="fixed"/>
          <w:tblLook w:val="00A0"/>
        </w:tblPrEx>
        <w:trPr>
          <w:tblCellSpacing w:w="7" w:type="dxa"/>
        </w:trPr>
        <w:tc>
          <w:tcPr>
            <w:tcW w:w="1419" w:type="dxa"/>
            <w:tcMar>
              <w:top w:w="15" w:type="dxa"/>
              <w:left w:w="15" w:type="dxa"/>
              <w:bottom w:w="15" w:type="dxa"/>
              <w:right w:w="15" w:type="dxa"/>
            </w:tcMar>
            <w:vAlign w:val="center"/>
          </w:tcPr>
          <w:p w:rsidR="004A104F" w:rsidRPr="00AD595B" w:rsidP="00DA384D">
            <w:pPr>
              <w:keepNext/>
              <w:keepLines/>
              <w:jc w:val="center"/>
            </w:pPr>
            <w:r w:rsidRPr="00AD595B">
              <w:t>30 - 50</w:t>
            </w:r>
          </w:p>
        </w:tc>
        <w:tc>
          <w:tcPr>
            <w:tcW w:w="1158" w:type="dxa"/>
            <w:tcMar>
              <w:top w:w="15" w:type="dxa"/>
              <w:left w:w="15" w:type="dxa"/>
              <w:bottom w:w="15" w:type="dxa"/>
              <w:right w:w="15" w:type="dxa"/>
            </w:tcMar>
            <w:vAlign w:val="center"/>
          </w:tcPr>
          <w:p w:rsidR="004A104F" w:rsidRPr="00AD595B" w:rsidP="00DA384D">
            <w:pPr>
              <w:keepNext/>
              <w:keepLines/>
              <w:jc w:val="center"/>
            </w:pPr>
            <w:r w:rsidRPr="00AD595B">
              <w:rPr>
                <w:color w:val="000000"/>
              </w:rPr>
              <w:t>5.4</w:t>
            </w:r>
          </w:p>
        </w:tc>
        <w:tc>
          <w:tcPr>
            <w:tcW w:w="1066" w:type="dxa"/>
            <w:tcMar>
              <w:top w:w="15" w:type="dxa"/>
              <w:left w:w="15" w:type="dxa"/>
              <w:bottom w:w="15" w:type="dxa"/>
              <w:right w:w="15" w:type="dxa"/>
            </w:tcMar>
            <w:vAlign w:val="center"/>
          </w:tcPr>
          <w:p w:rsidR="004A104F" w:rsidRPr="00AD595B" w:rsidP="00DA384D">
            <w:pPr>
              <w:keepNext/>
              <w:keepLines/>
              <w:jc w:val="center"/>
            </w:pPr>
            <w:r w:rsidRPr="00AD595B">
              <w:rPr>
                <w:color w:val="000000"/>
              </w:rPr>
              <w:t>6.5</w:t>
            </w:r>
          </w:p>
        </w:tc>
        <w:tc>
          <w:tcPr>
            <w:tcW w:w="1066" w:type="dxa"/>
            <w:tcMar>
              <w:top w:w="15" w:type="dxa"/>
              <w:left w:w="15" w:type="dxa"/>
              <w:bottom w:w="15" w:type="dxa"/>
              <w:right w:w="15" w:type="dxa"/>
            </w:tcMar>
            <w:vAlign w:val="center"/>
          </w:tcPr>
          <w:p w:rsidR="004A104F" w:rsidRPr="00AD595B" w:rsidP="00DA384D">
            <w:pPr>
              <w:keepNext/>
              <w:keepLines/>
              <w:jc w:val="center"/>
            </w:pPr>
            <w:r w:rsidRPr="00AD595B">
              <w:rPr>
                <w:color w:val="000000"/>
              </w:rPr>
              <w:t>7.7</w:t>
            </w:r>
          </w:p>
        </w:tc>
        <w:tc>
          <w:tcPr>
            <w:tcW w:w="1066" w:type="dxa"/>
            <w:tcMar>
              <w:top w:w="15" w:type="dxa"/>
              <w:left w:w="15" w:type="dxa"/>
              <w:bottom w:w="15" w:type="dxa"/>
              <w:right w:w="15" w:type="dxa"/>
            </w:tcMar>
            <w:vAlign w:val="center"/>
          </w:tcPr>
          <w:p w:rsidR="004A104F" w:rsidRPr="00AD595B" w:rsidP="00DA384D">
            <w:pPr>
              <w:keepNext/>
              <w:keepLines/>
              <w:jc w:val="center"/>
            </w:pPr>
            <w:r w:rsidRPr="00AD595B">
              <w:rPr>
                <w:color w:val="000000"/>
              </w:rPr>
              <w:t>9.2</w:t>
            </w:r>
          </w:p>
        </w:tc>
        <w:tc>
          <w:tcPr>
            <w:tcW w:w="1156" w:type="dxa"/>
            <w:tcMar>
              <w:top w:w="15" w:type="dxa"/>
              <w:left w:w="15" w:type="dxa"/>
              <w:bottom w:w="15" w:type="dxa"/>
              <w:right w:w="15" w:type="dxa"/>
            </w:tcMar>
            <w:vAlign w:val="center"/>
          </w:tcPr>
          <w:p w:rsidR="004A104F" w:rsidRPr="00AD595B" w:rsidP="00DA384D">
            <w:pPr>
              <w:keepNext/>
              <w:keepLines/>
              <w:jc w:val="center"/>
            </w:pPr>
            <w:r w:rsidRPr="00AD595B">
              <w:rPr>
                <w:color w:val="000000"/>
              </w:rPr>
              <w:t>11.5</w:t>
            </w:r>
          </w:p>
        </w:tc>
        <w:tc>
          <w:tcPr>
            <w:tcW w:w="1154" w:type="dxa"/>
            <w:tcMar>
              <w:top w:w="15" w:type="dxa"/>
              <w:left w:w="15" w:type="dxa"/>
              <w:bottom w:w="15" w:type="dxa"/>
              <w:right w:w="15" w:type="dxa"/>
            </w:tcMar>
            <w:vAlign w:val="center"/>
          </w:tcPr>
          <w:p w:rsidR="004A104F" w:rsidRPr="00AD595B" w:rsidP="00DA384D">
            <w:pPr>
              <w:keepNext/>
              <w:keepLines/>
              <w:jc w:val="center"/>
            </w:pPr>
            <w:r w:rsidRPr="00AD595B">
              <w:t>14.3</w:t>
            </w:r>
          </w:p>
        </w:tc>
        <w:tc>
          <w:tcPr>
            <w:tcW w:w="1154" w:type="dxa"/>
            <w:vAlign w:val="center"/>
          </w:tcPr>
          <w:p w:rsidR="004A104F" w:rsidRPr="00AD595B" w:rsidP="00DA384D">
            <w:pPr>
              <w:keepNext/>
              <w:keepLines/>
              <w:jc w:val="center"/>
            </w:pPr>
            <w:r w:rsidRPr="00AD595B">
              <w:t>19.1</w:t>
            </w:r>
          </w:p>
        </w:tc>
        <w:tc>
          <w:tcPr>
            <w:tcW w:w="1147" w:type="dxa"/>
          </w:tcPr>
          <w:p w:rsidR="004A104F" w:rsidRPr="00AD595B" w:rsidP="00DA384D">
            <w:pPr>
              <w:keepNext/>
              <w:keepLines/>
              <w:jc w:val="center"/>
            </w:pPr>
            <w:r w:rsidRPr="00AD595B">
              <w:t>20.9</w:t>
            </w:r>
          </w:p>
        </w:tc>
      </w:tr>
      <w:tr w:rsidTr="00DA384D">
        <w:tblPrEx>
          <w:tblW w:w="9360" w:type="dxa"/>
          <w:tblCellSpacing w:w="7" w:type="dxa"/>
          <w:tblLayout w:type="fixed"/>
          <w:tblLook w:val="00A0"/>
        </w:tblPrEx>
        <w:trPr>
          <w:tblCellSpacing w:w="7" w:type="dxa"/>
        </w:trPr>
        <w:tc>
          <w:tcPr>
            <w:tcW w:w="1419" w:type="dxa"/>
            <w:tcMar>
              <w:top w:w="15" w:type="dxa"/>
              <w:left w:w="15" w:type="dxa"/>
              <w:bottom w:w="15" w:type="dxa"/>
              <w:right w:w="15" w:type="dxa"/>
            </w:tcMar>
            <w:vAlign w:val="center"/>
          </w:tcPr>
          <w:p w:rsidR="004A104F" w:rsidRPr="00AD595B" w:rsidP="00DA384D">
            <w:pPr>
              <w:keepNext/>
              <w:keepLines/>
              <w:jc w:val="center"/>
            </w:pPr>
            <w:r w:rsidRPr="00AD595B">
              <w:t>50 - 75</w:t>
            </w:r>
          </w:p>
        </w:tc>
        <w:tc>
          <w:tcPr>
            <w:tcW w:w="1158" w:type="dxa"/>
            <w:tcMar>
              <w:top w:w="15" w:type="dxa"/>
              <w:left w:w="15" w:type="dxa"/>
              <w:bottom w:w="15" w:type="dxa"/>
              <w:right w:w="15" w:type="dxa"/>
            </w:tcMar>
            <w:vAlign w:val="center"/>
          </w:tcPr>
          <w:p w:rsidR="004A104F" w:rsidRPr="00AD595B" w:rsidP="00DA384D">
            <w:pPr>
              <w:keepNext/>
              <w:keepLines/>
              <w:jc w:val="center"/>
            </w:pPr>
            <w:r w:rsidRPr="00AD595B">
              <w:rPr>
                <w:color w:val="000000"/>
              </w:rPr>
              <w:t>6.6</w:t>
            </w:r>
          </w:p>
        </w:tc>
        <w:tc>
          <w:tcPr>
            <w:tcW w:w="1066" w:type="dxa"/>
            <w:tcMar>
              <w:top w:w="15" w:type="dxa"/>
              <w:left w:w="15" w:type="dxa"/>
              <w:bottom w:w="15" w:type="dxa"/>
              <w:right w:w="15" w:type="dxa"/>
            </w:tcMar>
            <w:vAlign w:val="center"/>
          </w:tcPr>
          <w:p w:rsidR="004A104F" w:rsidRPr="00AD595B" w:rsidP="00DA384D">
            <w:pPr>
              <w:keepNext/>
              <w:keepLines/>
              <w:jc w:val="center"/>
            </w:pPr>
            <w:r w:rsidRPr="00AD595B">
              <w:rPr>
                <w:color w:val="000000"/>
              </w:rPr>
              <w:t>7.9</w:t>
            </w:r>
          </w:p>
        </w:tc>
        <w:tc>
          <w:tcPr>
            <w:tcW w:w="1066" w:type="dxa"/>
            <w:tcMar>
              <w:top w:w="15" w:type="dxa"/>
              <w:left w:w="15" w:type="dxa"/>
              <w:bottom w:w="15" w:type="dxa"/>
              <w:right w:w="15" w:type="dxa"/>
            </w:tcMar>
            <w:vAlign w:val="center"/>
          </w:tcPr>
          <w:p w:rsidR="004A104F" w:rsidRPr="00AD595B" w:rsidP="00DA384D">
            <w:pPr>
              <w:keepNext/>
              <w:keepLines/>
              <w:jc w:val="center"/>
            </w:pPr>
            <w:r w:rsidRPr="00AD595B">
              <w:rPr>
                <w:color w:val="000000"/>
              </w:rPr>
              <w:t>9.4</w:t>
            </w:r>
          </w:p>
        </w:tc>
        <w:tc>
          <w:tcPr>
            <w:tcW w:w="1066" w:type="dxa"/>
            <w:tcMar>
              <w:top w:w="15" w:type="dxa"/>
              <w:left w:w="15" w:type="dxa"/>
              <w:bottom w:w="15" w:type="dxa"/>
              <w:right w:w="15" w:type="dxa"/>
            </w:tcMar>
            <w:vAlign w:val="center"/>
          </w:tcPr>
          <w:p w:rsidR="004A104F" w:rsidRPr="00AD595B" w:rsidP="00DA384D">
            <w:pPr>
              <w:keepNext/>
              <w:keepLines/>
              <w:jc w:val="center"/>
            </w:pPr>
            <w:r w:rsidRPr="00AD595B">
              <w:rPr>
                <w:color w:val="000000"/>
              </w:rPr>
              <w:t>11.1</w:t>
            </w:r>
          </w:p>
        </w:tc>
        <w:tc>
          <w:tcPr>
            <w:tcW w:w="1156" w:type="dxa"/>
            <w:tcMar>
              <w:top w:w="15" w:type="dxa"/>
              <w:left w:w="15" w:type="dxa"/>
              <w:bottom w:w="15" w:type="dxa"/>
              <w:right w:w="15" w:type="dxa"/>
            </w:tcMar>
            <w:vAlign w:val="center"/>
          </w:tcPr>
          <w:p w:rsidR="004A104F" w:rsidRPr="00AD595B" w:rsidP="00DA384D">
            <w:pPr>
              <w:keepNext/>
              <w:keepLines/>
              <w:jc w:val="center"/>
            </w:pPr>
            <w:r w:rsidRPr="00AD595B">
              <w:rPr>
                <w:color w:val="000000"/>
              </w:rPr>
              <w:t>13.9</w:t>
            </w:r>
          </w:p>
        </w:tc>
        <w:tc>
          <w:tcPr>
            <w:tcW w:w="1154" w:type="dxa"/>
            <w:tcMar>
              <w:top w:w="15" w:type="dxa"/>
              <w:left w:w="15" w:type="dxa"/>
              <w:bottom w:w="15" w:type="dxa"/>
              <w:right w:w="15" w:type="dxa"/>
            </w:tcMar>
            <w:vAlign w:val="center"/>
          </w:tcPr>
          <w:p w:rsidR="004A104F" w:rsidRPr="00AD595B" w:rsidP="00DA384D">
            <w:pPr>
              <w:keepNext/>
              <w:keepLines/>
              <w:jc w:val="center"/>
            </w:pPr>
            <w:r w:rsidRPr="00AD595B">
              <w:t>18.0</w:t>
            </w:r>
          </w:p>
        </w:tc>
        <w:tc>
          <w:tcPr>
            <w:tcW w:w="1154" w:type="dxa"/>
            <w:vAlign w:val="center"/>
          </w:tcPr>
          <w:p w:rsidR="004A104F" w:rsidRPr="00AD595B" w:rsidP="00DA384D">
            <w:pPr>
              <w:keepNext/>
              <w:keepLines/>
              <w:jc w:val="center"/>
            </w:pPr>
            <w:r w:rsidRPr="00AD595B">
              <w:t>23.8</w:t>
            </w:r>
          </w:p>
        </w:tc>
        <w:tc>
          <w:tcPr>
            <w:tcW w:w="1147" w:type="dxa"/>
          </w:tcPr>
          <w:p w:rsidR="004A104F" w:rsidRPr="00AD595B" w:rsidP="00DA384D">
            <w:pPr>
              <w:keepNext/>
              <w:keepLines/>
              <w:jc w:val="center"/>
            </w:pPr>
            <w:r w:rsidRPr="00AD595B">
              <w:t>26.2</w:t>
            </w:r>
          </w:p>
        </w:tc>
      </w:tr>
      <w:tr w:rsidTr="00DA384D">
        <w:tblPrEx>
          <w:tblW w:w="9360" w:type="dxa"/>
          <w:tblCellSpacing w:w="7" w:type="dxa"/>
          <w:tblLayout w:type="fixed"/>
          <w:tblLook w:val="00A0"/>
        </w:tblPrEx>
        <w:trPr>
          <w:tblCellSpacing w:w="7" w:type="dxa"/>
        </w:trPr>
        <w:tc>
          <w:tcPr>
            <w:tcW w:w="1419" w:type="dxa"/>
            <w:tcMar>
              <w:top w:w="15" w:type="dxa"/>
              <w:left w:w="15" w:type="dxa"/>
              <w:bottom w:w="15" w:type="dxa"/>
              <w:right w:w="15" w:type="dxa"/>
            </w:tcMar>
            <w:vAlign w:val="center"/>
          </w:tcPr>
          <w:p w:rsidR="004A104F" w:rsidRPr="00AD595B" w:rsidP="00DA384D">
            <w:pPr>
              <w:keepNext/>
              <w:keepLines/>
              <w:jc w:val="center"/>
            </w:pPr>
            <w:r w:rsidRPr="00AD595B">
              <w:t>75 - 100</w:t>
            </w:r>
          </w:p>
        </w:tc>
        <w:tc>
          <w:tcPr>
            <w:tcW w:w="1158" w:type="dxa"/>
            <w:tcMar>
              <w:top w:w="15" w:type="dxa"/>
              <w:left w:w="15" w:type="dxa"/>
              <w:bottom w:w="15" w:type="dxa"/>
              <w:right w:w="15" w:type="dxa"/>
            </w:tcMar>
            <w:vAlign w:val="center"/>
          </w:tcPr>
          <w:p w:rsidR="004A104F" w:rsidRPr="00AD595B" w:rsidP="00DA384D">
            <w:pPr>
              <w:keepNext/>
              <w:keepLines/>
              <w:jc w:val="center"/>
            </w:pPr>
            <w:r w:rsidRPr="00AD595B">
              <w:rPr>
                <w:color w:val="000000"/>
              </w:rPr>
              <w:t>7.7</w:t>
            </w:r>
          </w:p>
        </w:tc>
        <w:tc>
          <w:tcPr>
            <w:tcW w:w="1066" w:type="dxa"/>
            <w:tcMar>
              <w:top w:w="15" w:type="dxa"/>
              <w:left w:w="15" w:type="dxa"/>
              <w:bottom w:w="15" w:type="dxa"/>
              <w:right w:w="15" w:type="dxa"/>
            </w:tcMar>
            <w:vAlign w:val="center"/>
          </w:tcPr>
          <w:p w:rsidR="004A104F" w:rsidRPr="00AD595B" w:rsidP="00DA384D">
            <w:pPr>
              <w:keepNext/>
              <w:keepLines/>
              <w:jc w:val="center"/>
            </w:pPr>
            <w:r w:rsidRPr="00AD595B">
              <w:rPr>
                <w:color w:val="000000"/>
              </w:rPr>
              <w:t>9.2</w:t>
            </w:r>
          </w:p>
        </w:tc>
        <w:tc>
          <w:tcPr>
            <w:tcW w:w="1066" w:type="dxa"/>
            <w:tcMar>
              <w:top w:w="15" w:type="dxa"/>
              <w:left w:w="15" w:type="dxa"/>
              <w:bottom w:w="15" w:type="dxa"/>
              <w:right w:w="15" w:type="dxa"/>
            </w:tcMar>
            <w:vAlign w:val="center"/>
          </w:tcPr>
          <w:p w:rsidR="004A104F" w:rsidRPr="00AD595B" w:rsidP="00DA384D">
            <w:pPr>
              <w:keepNext/>
              <w:keepLines/>
              <w:jc w:val="center"/>
            </w:pPr>
            <w:r w:rsidRPr="00AD595B">
              <w:rPr>
                <w:color w:val="000000"/>
              </w:rPr>
              <w:t>10.9</w:t>
            </w:r>
          </w:p>
        </w:tc>
        <w:tc>
          <w:tcPr>
            <w:tcW w:w="1066" w:type="dxa"/>
            <w:tcMar>
              <w:top w:w="15" w:type="dxa"/>
              <w:left w:w="15" w:type="dxa"/>
              <w:bottom w:w="15" w:type="dxa"/>
              <w:right w:w="15" w:type="dxa"/>
            </w:tcMar>
            <w:vAlign w:val="center"/>
          </w:tcPr>
          <w:p w:rsidR="004A104F" w:rsidRPr="00AD595B" w:rsidP="00DA384D">
            <w:pPr>
              <w:keepNext/>
              <w:keepLines/>
              <w:jc w:val="center"/>
            </w:pPr>
            <w:r w:rsidRPr="00AD595B">
              <w:rPr>
                <w:color w:val="000000"/>
              </w:rPr>
              <w:t>12.8</w:t>
            </w:r>
          </w:p>
        </w:tc>
        <w:tc>
          <w:tcPr>
            <w:tcW w:w="1156" w:type="dxa"/>
            <w:tcMar>
              <w:top w:w="15" w:type="dxa"/>
              <w:left w:w="15" w:type="dxa"/>
              <w:bottom w:w="15" w:type="dxa"/>
              <w:right w:w="15" w:type="dxa"/>
            </w:tcMar>
            <w:vAlign w:val="center"/>
          </w:tcPr>
          <w:p w:rsidR="004A104F" w:rsidRPr="00AD595B" w:rsidP="00DA384D">
            <w:pPr>
              <w:keepNext/>
              <w:keepLines/>
              <w:jc w:val="center"/>
            </w:pPr>
            <w:r w:rsidRPr="00AD595B">
              <w:rPr>
                <w:color w:val="000000"/>
              </w:rPr>
              <w:t>17.2</w:t>
            </w:r>
          </w:p>
        </w:tc>
        <w:tc>
          <w:tcPr>
            <w:tcW w:w="1154" w:type="dxa"/>
            <w:tcMar>
              <w:top w:w="15" w:type="dxa"/>
              <w:left w:w="15" w:type="dxa"/>
              <w:bottom w:w="15" w:type="dxa"/>
              <w:right w:w="15" w:type="dxa"/>
            </w:tcMar>
            <w:vAlign w:val="center"/>
          </w:tcPr>
          <w:p w:rsidR="004A104F" w:rsidRPr="00AD595B" w:rsidP="00DA384D">
            <w:pPr>
              <w:keepNext/>
              <w:keepLines/>
              <w:jc w:val="center"/>
            </w:pPr>
            <w:r w:rsidRPr="00AD595B">
              <w:t>21.1</w:t>
            </w:r>
          </w:p>
        </w:tc>
        <w:tc>
          <w:tcPr>
            <w:tcW w:w="1154" w:type="dxa"/>
            <w:vAlign w:val="center"/>
          </w:tcPr>
          <w:p w:rsidR="004A104F" w:rsidRPr="00AD595B" w:rsidP="00DA384D">
            <w:pPr>
              <w:keepNext/>
              <w:keepLines/>
              <w:jc w:val="center"/>
            </w:pPr>
            <w:r w:rsidRPr="00AD595B">
              <w:t>27.2</w:t>
            </w:r>
          </w:p>
        </w:tc>
        <w:tc>
          <w:tcPr>
            <w:tcW w:w="1147" w:type="dxa"/>
          </w:tcPr>
          <w:p w:rsidR="004A104F" w:rsidRPr="00AD595B" w:rsidP="00DA384D">
            <w:pPr>
              <w:keepNext/>
              <w:keepLines/>
              <w:jc w:val="center"/>
            </w:pPr>
            <w:r w:rsidRPr="00AD595B">
              <w:t>30.1</w:t>
            </w:r>
          </w:p>
        </w:tc>
      </w:tr>
      <w:tr w:rsidTr="00DA384D">
        <w:tblPrEx>
          <w:tblW w:w="9360" w:type="dxa"/>
          <w:tblCellSpacing w:w="7" w:type="dxa"/>
          <w:tblLayout w:type="fixed"/>
          <w:tblLook w:val="00A0"/>
        </w:tblPrEx>
        <w:trPr>
          <w:tblCellSpacing w:w="7" w:type="dxa"/>
        </w:trPr>
        <w:tc>
          <w:tcPr>
            <w:tcW w:w="1419" w:type="dxa"/>
            <w:tcMar>
              <w:top w:w="15" w:type="dxa"/>
              <w:left w:w="15" w:type="dxa"/>
              <w:bottom w:w="15" w:type="dxa"/>
              <w:right w:w="15" w:type="dxa"/>
            </w:tcMar>
            <w:vAlign w:val="center"/>
          </w:tcPr>
          <w:p w:rsidR="004A104F" w:rsidRPr="00AD595B" w:rsidP="00DA384D">
            <w:pPr>
              <w:keepNext/>
              <w:keepLines/>
              <w:jc w:val="center"/>
            </w:pPr>
            <w:r w:rsidRPr="00AD595B">
              <w:t>100 - 150</w:t>
            </w:r>
          </w:p>
        </w:tc>
        <w:tc>
          <w:tcPr>
            <w:tcW w:w="1158" w:type="dxa"/>
            <w:tcMar>
              <w:top w:w="15" w:type="dxa"/>
              <w:left w:w="15" w:type="dxa"/>
              <w:bottom w:w="15" w:type="dxa"/>
              <w:right w:w="15" w:type="dxa"/>
            </w:tcMar>
            <w:vAlign w:val="center"/>
          </w:tcPr>
          <w:p w:rsidR="004A104F" w:rsidRPr="00AD595B" w:rsidP="00DA384D">
            <w:pPr>
              <w:keepNext/>
              <w:keepLines/>
              <w:jc w:val="center"/>
            </w:pPr>
            <w:r w:rsidRPr="00AD595B">
              <w:rPr>
                <w:color w:val="000000"/>
              </w:rPr>
              <w:t>9.4</w:t>
            </w:r>
          </w:p>
        </w:tc>
        <w:tc>
          <w:tcPr>
            <w:tcW w:w="1066" w:type="dxa"/>
            <w:tcMar>
              <w:top w:w="15" w:type="dxa"/>
              <w:left w:w="15" w:type="dxa"/>
              <w:bottom w:w="15" w:type="dxa"/>
              <w:right w:w="15" w:type="dxa"/>
            </w:tcMar>
            <w:vAlign w:val="center"/>
          </w:tcPr>
          <w:p w:rsidR="004A104F" w:rsidRPr="00AD595B" w:rsidP="00DA384D">
            <w:pPr>
              <w:keepNext/>
              <w:keepLines/>
              <w:jc w:val="center"/>
            </w:pPr>
            <w:r w:rsidRPr="00AD595B">
              <w:rPr>
                <w:color w:val="000000"/>
              </w:rPr>
              <w:t>11.1</w:t>
            </w:r>
          </w:p>
        </w:tc>
        <w:tc>
          <w:tcPr>
            <w:tcW w:w="1066" w:type="dxa"/>
            <w:tcMar>
              <w:top w:w="15" w:type="dxa"/>
              <w:left w:w="15" w:type="dxa"/>
              <w:bottom w:w="15" w:type="dxa"/>
              <w:right w:w="15" w:type="dxa"/>
            </w:tcMar>
            <w:vAlign w:val="center"/>
          </w:tcPr>
          <w:p w:rsidR="004A104F" w:rsidRPr="00AD595B" w:rsidP="00DA384D">
            <w:pPr>
              <w:keepNext/>
              <w:keepLines/>
              <w:jc w:val="center"/>
            </w:pPr>
            <w:r w:rsidRPr="00AD595B">
              <w:rPr>
                <w:color w:val="000000"/>
              </w:rPr>
              <w:t>13.2</w:t>
            </w:r>
          </w:p>
        </w:tc>
        <w:tc>
          <w:tcPr>
            <w:tcW w:w="1066" w:type="dxa"/>
            <w:tcMar>
              <w:top w:w="15" w:type="dxa"/>
              <w:left w:w="15" w:type="dxa"/>
              <w:bottom w:w="15" w:type="dxa"/>
              <w:right w:w="15" w:type="dxa"/>
            </w:tcMar>
            <w:vAlign w:val="center"/>
          </w:tcPr>
          <w:p w:rsidR="004A104F" w:rsidRPr="00AD595B" w:rsidP="00DA384D">
            <w:pPr>
              <w:keepNext/>
              <w:keepLines/>
              <w:jc w:val="center"/>
            </w:pPr>
            <w:r w:rsidRPr="00AD595B">
              <w:rPr>
                <w:color w:val="000000"/>
              </w:rPr>
              <w:t>16.5</w:t>
            </w:r>
          </w:p>
        </w:tc>
        <w:tc>
          <w:tcPr>
            <w:tcW w:w="1156" w:type="dxa"/>
            <w:tcMar>
              <w:top w:w="15" w:type="dxa"/>
              <w:left w:w="15" w:type="dxa"/>
              <w:bottom w:w="15" w:type="dxa"/>
              <w:right w:w="15" w:type="dxa"/>
            </w:tcMar>
            <w:vAlign w:val="center"/>
          </w:tcPr>
          <w:p w:rsidR="004A104F" w:rsidRPr="00AD595B" w:rsidP="00DA384D">
            <w:pPr>
              <w:keepNext/>
              <w:keepLines/>
              <w:jc w:val="center"/>
            </w:pPr>
            <w:r w:rsidRPr="00AD595B">
              <w:rPr>
                <w:color w:val="000000"/>
              </w:rPr>
              <w:t>21.4</w:t>
            </w:r>
          </w:p>
        </w:tc>
        <w:tc>
          <w:tcPr>
            <w:tcW w:w="1154" w:type="dxa"/>
            <w:tcMar>
              <w:top w:w="15" w:type="dxa"/>
              <w:left w:w="15" w:type="dxa"/>
              <w:bottom w:w="15" w:type="dxa"/>
              <w:right w:w="15" w:type="dxa"/>
            </w:tcMar>
            <w:vAlign w:val="center"/>
          </w:tcPr>
          <w:p w:rsidR="004A104F" w:rsidRPr="00AD595B" w:rsidP="00DA384D">
            <w:pPr>
              <w:keepNext/>
              <w:keepLines/>
              <w:jc w:val="center"/>
            </w:pPr>
            <w:r w:rsidRPr="00AD595B">
              <w:t>25.3</w:t>
            </w:r>
          </w:p>
        </w:tc>
        <w:tc>
          <w:tcPr>
            <w:tcW w:w="1154" w:type="dxa"/>
            <w:vAlign w:val="center"/>
          </w:tcPr>
          <w:p w:rsidR="004A104F" w:rsidRPr="00AD595B" w:rsidP="00DA384D">
            <w:pPr>
              <w:keepNext/>
              <w:keepLines/>
              <w:jc w:val="center"/>
            </w:pPr>
            <w:r w:rsidRPr="00AD595B">
              <w:t>32.3</w:t>
            </w:r>
          </w:p>
        </w:tc>
        <w:tc>
          <w:tcPr>
            <w:tcW w:w="1147" w:type="dxa"/>
          </w:tcPr>
          <w:p w:rsidR="004A104F" w:rsidRPr="00AD595B" w:rsidP="00DA384D">
            <w:pPr>
              <w:keepNext/>
              <w:keepLines/>
              <w:jc w:val="center"/>
            </w:pPr>
            <w:r w:rsidRPr="00AD595B">
              <w:t>35.5</w:t>
            </w:r>
          </w:p>
        </w:tc>
      </w:tr>
      <w:tr w:rsidTr="00DA384D">
        <w:tblPrEx>
          <w:tblW w:w="9360" w:type="dxa"/>
          <w:tblCellSpacing w:w="7" w:type="dxa"/>
          <w:tblLayout w:type="fixed"/>
          <w:tblLook w:val="00A0"/>
        </w:tblPrEx>
        <w:trPr>
          <w:tblCellSpacing w:w="7" w:type="dxa"/>
        </w:trPr>
        <w:tc>
          <w:tcPr>
            <w:tcW w:w="1419" w:type="dxa"/>
            <w:tcMar>
              <w:top w:w="15" w:type="dxa"/>
              <w:left w:w="15" w:type="dxa"/>
              <w:bottom w:w="15" w:type="dxa"/>
              <w:right w:w="15" w:type="dxa"/>
            </w:tcMar>
            <w:vAlign w:val="center"/>
          </w:tcPr>
          <w:p w:rsidR="004A104F" w:rsidRPr="00AD595B" w:rsidP="00DA384D">
            <w:pPr>
              <w:keepNext/>
              <w:keepLines/>
              <w:jc w:val="center"/>
            </w:pPr>
            <w:r w:rsidRPr="00AD595B">
              <w:t>150 - 200</w:t>
            </w:r>
          </w:p>
        </w:tc>
        <w:tc>
          <w:tcPr>
            <w:tcW w:w="1158" w:type="dxa"/>
            <w:tcMar>
              <w:top w:w="15" w:type="dxa"/>
              <w:left w:w="15" w:type="dxa"/>
              <w:bottom w:w="15" w:type="dxa"/>
              <w:right w:w="15" w:type="dxa"/>
            </w:tcMar>
            <w:vAlign w:val="center"/>
          </w:tcPr>
          <w:p w:rsidR="004A104F" w:rsidRPr="00AD595B" w:rsidP="00DA384D">
            <w:pPr>
              <w:keepNext/>
              <w:keepLines/>
              <w:jc w:val="center"/>
            </w:pPr>
            <w:r w:rsidRPr="00AD595B">
              <w:rPr>
                <w:color w:val="000000"/>
              </w:rPr>
              <w:t>10.9</w:t>
            </w:r>
          </w:p>
        </w:tc>
        <w:tc>
          <w:tcPr>
            <w:tcW w:w="1066" w:type="dxa"/>
            <w:tcMar>
              <w:top w:w="15" w:type="dxa"/>
              <w:left w:w="15" w:type="dxa"/>
              <w:bottom w:w="15" w:type="dxa"/>
              <w:right w:w="15" w:type="dxa"/>
            </w:tcMar>
            <w:vAlign w:val="center"/>
          </w:tcPr>
          <w:p w:rsidR="004A104F" w:rsidRPr="00AD595B" w:rsidP="00DA384D">
            <w:pPr>
              <w:keepNext/>
              <w:keepLines/>
              <w:jc w:val="center"/>
            </w:pPr>
            <w:r w:rsidRPr="00AD595B">
              <w:rPr>
                <w:color w:val="000000"/>
              </w:rPr>
              <w:t>12.7</w:t>
            </w:r>
          </w:p>
        </w:tc>
        <w:tc>
          <w:tcPr>
            <w:tcW w:w="1066" w:type="dxa"/>
            <w:tcMar>
              <w:top w:w="15" w:type="dxa"/>
              <w:left w:w="15" w:type="dxa"/>
              <w:bottom w:w="15" w:type="dxa"/>
              <w:right w:w="15" w:type="dxa"/>
            </w:tcMar>
            <w:vAlign w:val="center"/>
          </w:tcPr>
          <w:p w:rsidR="004A104F" w:rsidRPr="00AD595B" w:rsidP="00DA384D">
            <w:pPr>
              <w:keepNext/>
              <w:keepLines/>
              <w:jc w:val="center"/>
            </w:pPr>
            <w:r w:rsidRPr="00AD595B">
              <w:rPr>
                <w:color w:val="000000"/>
              </w:rPr>
              <w:t>15.8</w:t>
            </w:r>
          </w:p>
        </w:tc>
        <w:tc>
          <w:tcPr>
            <w:tcW w:w="1066" w:type="dxa"/>
            <w:tcMar>
              <w:top w:w="15" w:type="dxa"/>
              <w:left w:w="15" w:type="dxa"/>
              <w:bottom w:w="15" w:type="dxa"/>
              <w:right w:w="15" w:type="dxa"/>
            </w:tcMar>
            <w:vAlign w:val="center"/>
          </w:tcPr>
          <w:p w:rsidR="004A104F" w:rsidRPr="00AD595B" w:rsidP="00DA384D">
            <w:pPr>
              <w:keepNext/>
              <w:keepLines/>
              <w:jc w:val="center"/>
            </w:pPr>
            <w:r w:rsidRPr="00AD595B">
              <w:rPr>
                <w:color w:val="000000"/>
              </w:rPr>
              <w:t>19.5</w:t>
            </w:r>
          </w:p>
        </w:tc>
        <w:tc>
          <w:tcPr>
            <w:tcW w:w="1156" w:type="dxa"/>
            <w:tcMar>
              <w:top w:w="15" w:type="dxa"/>
              <w:left w:w="15" w:type="dxa"/>
              <w:bottom w:w="15" w:type="dxa"/>
              <w:right w:w="15" w:type="dxa"/>
            </w:tcMar>
            <w:vAlign w:val="center"/>
          </w:tcPr>
          <w:p w:rsidR="004A104F" w:rsidRPr="00AD595B" w:rsidP="00DA384D">
            <w:pPr>
              <w:keepNext/>
              <w:keepLines/>
              <w:jc w:val="center"/>
            </w:pPr>
            <w:r w:rsidRPr="00AD595B">
              <w:rPr>
                <w:color w:val="000000"/>
              </w:rPr>
              <w:t>24.7</w:t>
            </w:r>
          </w:p>
        </w:tc>
        <w:tc>
          <w:tcPr>
            <w:tcW w:w="1154" w:type="dxa"/>
            <w:tcMar>
              <w:top w:w="15" w:type="dxa"/>
              <w:left w:w="15" w:type="dxa"/>
              <w:bottom w:w="15" w:type="dxa"/>
              <w:right w:w="15" w:type="dxa"/>
            </w:tcMar>
            <w:vAlign w:val="center"/>
          </w:tcPr>
          <w:p w:rsidR="004A104F" w:rsidRPr="00AD595B" w:rsidP="00DA384D">
            <w:pPr>
              <w:keepNext/>
              <w:keepLines/>
              <w:jc w:val="center"/>
            </w:pPr>
            <w:r w:rsidRPr="00AD595B">
              <w:t>28.5</w:t>
            </w:r>
          </w:p>
        </w:tc>
        <w:tc>
          <w:tcPr>
            <w:tcW w:w="1154" w:type="dxa"/>
            <w:vAlign w:val="center"/>
          </w:tcPr>
          <w:p w:rsidR="004A104F" w:rsidRPr="00AD595B" w:rsidP="00DA384D">
            <w:pPr>
              <w:keepNext/>
              <w:keepLines/>
              <w:jc w:val="center"/>
            </w:pPr>
            <w:r w:rsidRPr="00AD595B">
              <w:t>36.4</w:t>
            </w:r>
          </w:p>
        </w:tc>
        <w:tc>
          <w:tcPr>
            <w:tcW w:w="1147" w:type="dxa"/>
          </w:tcPr>
          <w:p w:rsidR="004A104F" w:rsidRPr="00AD595B" w:rsidP="00DA384D">
            <w:pPr>
              <w:keepNext/>
              <w:keepLines/>
              <w:jc w:val="center"/>
            </w:pPr>
            <w:r w:rsidRPr="00AD595B">
              <w:t>39.5</w:t>
            </w:r>
          </w:p>
        </w:tc>
      </w:tr>
      <w:tr w:rsidTr="00DA384D">
        <w:tblPrEx>
          <w:tblW w:w="9360" w:type="dxa"/>
          <w:tblCellSpacing w:w="7" w:type="dxa"/>
          <w:tblLayout w:type="fixed"/>
          <w:tblLook w:val="00A0"/>
        </w:tblPrEx>
        <w:trPr>
          <w:tblCellSpacing w:w="7" w:type="dxa"/>
        </w:trPr>
        <w:tc>
          <w:tcPr>
            <w:tcW w:w="1419" w:type="dxa"/>
            <w:tcMar>
              <w:top w:w="15" w:type="dxa"/>
              <w:left w:w="15" w:type="dxa"/>
              <w:bottom w:w="15" w:type="dxa"/>
              <w:right w:w="15" w:type="dxa"/>
            </w:tcMar>
            <w:vAlign w:val="center"/>
          </w:tcPr>
          <w:p w:rsidR="004A104F" w:rsidRPr="00AD595B" w:rsidP="00DA384D">
            <w:pPr>
              <w:keepNext/>
              <w:keepLines/>
              <w:jc w:val="center"/>
            </w:pPr>
            <w:r w:rsidRPr="00AD595B">
              <w:t>200 - 250</w:t>
            </w:r>
          </w:p>
        </w:tc>
        <w:tc>
          <w:tcPr>
            <w:tcW w:w="1158" w:type="dxa"/>
            <w:tcMar>
              <w:top w:w="15" w:type="dxa"/>
              <w:left w:w="15" w:type="dxa"/>
              <w:bottom w:w="15" w:type="dxa"/>
              <w:right w:w="15" w:type="dxa"/>
            </w:tcMar>
            <w:vAlign w:val="center"/>
          </w:tcPr>
          <w:p w:rsidR="004A104F" w:rsidRPr="00AD595B" w:rsidP="00DA384D">
            <w:pPr>
              <w:keepNext/>
              <w:keepLines/>
              <w:jc w:val="center"/>
            </w:pPr>
            <w:r w:rsidRPr="00AD595B">
              <w:rPr>
                <w:color w:val="000000"/>
              </w:rPr>
              <w:t>12.1</w:t>
            </w:r>
          </w:p>
        </w:tc>
        <w:tc>
          <w:tcPr>
            <w:tcW w:w="1066" w:type="dxa"/>
            <w:tcMar>
              <w:top w:w="15" w:type="dxa"/>
              <w:left w:w="15" w:type="dxa"/>
              <w:bottom w:w="15" w:type="dxa"/>
              <w:right w:w="15" w:type="dxa"/>
            </w:tcMar>
            <w:vAlign w:val="center"/>
          </w:tcPr>
          <w:p w:rsidR="004A104F" w:rsidRPr="00AD595B" w:rsidP="00DA384D">
            <w:pPr>
              <w:keepNext/>
              <w:keepLines/>
              <w:jc w:val="center"/>
            </w:pPr>
            <w:r w:rsidRPr="00AD595B">
              <w:rPr>
                <w:color w:val="000000"/>
              </w:rPr>
              <w:t>14.3</w:t>
            </w:r>
          </w:p>
        </w:tc>
        <w:tc>
          <w:tcPr>
            <w:tcW w:w="1066" w:type="dxa"/>
            <w:tcMar>
              <w:top w:w="15" w:type="dxa"/>
              <w:left w:w="15" w:type="dxa"/>
              <w:bottom w:w="15" w:type="dxa"/>
              <w:right w:w="15" w:type="dxa"/>
            </w:tcMar>
            <w:vAlign w:val="center"/>
          </w:tcPr>
          <w:p w:rsidR="004A104F" w:rsidRPr="00AD595B" w:rsidP="00DA384D">
            <w:pPr>
              <w:keepNext/>
              <w:keepLines/>
              <w:jc w:val="center"/>
            </w:pPr>
            <w:r w:rsidRPr="00AD595B">
              <w:rPr>
                <w:color w:val="000000"/>
              </w:rPr>
              <w:t>18.2</w:t>
            </w:r>
          </w:p>
        </w:tc>
        <w:tc>
          <w:tcPr>
            <w:tcW w:w="1066" w:type="dxa"/>
            <w:tcMar>
              <w:top w:w="15" w:type="dxa"/>
              <w:left w:w="15" w:type="dxa"/>
              <w:bottom w:w="15" w:type="dxa"/>
              <w:right w:w="15" w:type="dxa"/>
            </w:tcMar>
            <w:vAlign w:val="center"/>
          </w:tcPr>
          <w:p w:rsidR="004A104F" w:rsidRPr="00AD595B" w:rsidP="00DA384D">
            <w:pPr>
              <w:keepNext/>
              <w:keepLines/>
              <w:jc w:val="center"/>
            </w:pPr>
            <w:r w:rsidRPr="00AD595B">
              <w:rPr>
                <w:color w:val="000000"/>
              </w:rPr>
              <w:t>22.0</w:t>
            </w:r>
          </w:p>
        </w:tc>
        <w:tc>
          <w:tcPr>
            <w:tcW w:w="1156" w:type="dxa"/>
            <w:tcMar>
              <w:top w:w="15" w:type="dxa"/>
              <w:left w:w="15" w:type="dxa"/>
              <w:bottom w:w="15" w:type="dxa"/>
              <w:right w:w="15" w:type="dxa"/>
            </w:tcMar>
            <w:vAlign w:val="center"/>
          </w:tcPr>
          <w:p w:rsidR="004A104F" w:rsidRPr="00AD595B" w:rsidP="00DA384D">
            <w:pPr>
              <w:keepNext/>
              <w:keepLines/>
              <w:jc w:val="center"/>
            </w:pPr>
            <w:r w:rsidRPr="00AD595B">
              <w:rPr>
                <w:color w:val="000000"/>
              </w:rPr>
              <w:t>27.3</w:t>
            </w:r>
          </w:p>
        </w:tc>
        <w:tc>
          <w:tcPr>
            <w:tcW w:w="1154" w:type="dxa"/>
            <w:tcMar>
              <w:top w:w="15" w:type="dxa"/>
              <w:left w:w="15" w:type="dxa"/>
              <w:bottom w:w="15" w:type="dxa"/>
              <w:right w:w="15" w:type="dxa"/>
            </w:tcMar>
            <w:vAlign w:val="center"/>
          </w:tcPr>
          <w:p w:rsidR="004A104F" w:rsidRPr="00AD595B" w:rsidP="00DA384D">
            <w:pPr>
              <w:keepNext/>
              <w:keepLines/>
              <w:jc w:val="center"/>
            </w:pPr>
            <w:r w:rsidRPr="00AD595B">
              <w:t>31.2</w:t>
            </w:r>
          </w:p>
        </w:tc>
        <w:tc>
          <w:tcPr>
            <w:tcW w:w="1154" w:type="dxa"/>
            <w:vAlign w:val="center"/>
          </w:tcPr>
          <w:p w:rsidR="004A104F" w:rsidRPr="00AD595B" w:rsidP="00DA384D">
            <w:pPr>
              <w:keepNext/>
              <w:keepLines/>
              <w:jc w:val="center"/>
            </w:pPr>
            <w:r w:rsidRPr="00AD595B">
              <w:t>39.5</w:t>
            </w:r>
          </w:p>
        </w:tc>
        <w:tc>
          <w:tcPr>
            <w:tcW w:w="1147" w:type="dxa"/>
          </w:tcPr>
          <w:p w:rsidR="004A104F" w:rsidRPr="00AD595B" w:rsidP="00DA384D">
            <w:pPr>
              <w:keepNext/>
              <w:keepLines/>
              <w:jc w:val="center"/>
            </w:pPr>
            <w:r w:rsidRPr="00AD595B">
              <w:t>42.5</w:t>
            </w:r>
          </w:p>
        </w:tc>
      </w:tr>
      <w:tr w:rsidTr="00DA384D">
        <w:tblPrEx>
          <w:tblW w:w="9360" w:type="dxa"/>
          <w:tblCellSpacing w:w="7" w:type="dxa"/>
          <w:tblLayout w:type="fixed"/>
          <w:tblLook w:val="00A0"/>
        </w:tblPrEx>
        <w:trPr>
          <w:tblCellSpacing w:w="7" w:type="dxa"/>
        </w:trPr>
        <w:tc>
          <w:tcPr>
            <w:tcW w:w="1419" w:type="dxa"/>
            <w:tcMar>
              <w:top w:w="15" w:type="dxa"/>
              <w:left w:w="15" w:type="dxa"/>
              <w:bottom w:w="15" w:type="dxa"/>
              <w:right w:w="15" w:type="dxa"/>
            </w:tcMar>
            <w:vAlign w:val="center"/>
          </w:tcPr>
          <w:p w:rsidR="004A104F" w:rsidRPr="00AD595B" w:rsidP="00DA384D">
            <w:pPr>
              <w:keepNext/>
              <w:keepLines/>
              <w:jc w:val="center"/>
            </w:pPr>
            <w:r w:rsidRPr="00AD595B">
              <w:t>250 - 300</w:t>
            </w:r>
          </w:p>
        </w:tc>
        <w:tc>
          <w:tcPr>
            <w:tcW w:w="1158" w:type="dxa"/>
            <w:tcMar>
              <w:top w:w="15" w:type="dxa"/>
              <w:left w:w="15" w:type="dxa"/>
              <w:bottom w:w="15" w:type="dxa"/>
              <w:right w:w="15" w:type="dxa"/>
            </w:tcMar>
            <w:vAlign w:val="center"/>
          </w:tcPr>
          <w:p w:rsidR="004A104F" w:rsidRPr="00AD595B" w:rsidP="00DA384D">
            <w:pPr>
              <w:keepNext/>
              <w:keepLines/>
              <w:jc w:val="center"/>
              <w:rPr>
                <w:color w:val="000000"/>
              </w:rPr>
            </w:pPr>
            <w:r w:rsidRPr="00AD595B">
              <w:rPr>
                <w:color w:val="000000"/>
              </w:rPr>
              <w:t>13.9</w:t>
            </w:r>
          </w:p>
        </w:tc>
        <w:tc>
          <w:tcPr>
            <w:tcW w:w="1066" w:type="dxa"/>
            <w:tcMar>
              <w:top w:w="15" w:type="dxa"/>
              <w:left w:w="15" w:type="dxa"/>
              <w:bottom w:w="15" w:type="dxa"/>
              <w:right w:w="15" w:type="dxa"/>
            </w:tcMar>
            <w:vAlign w:val="center"/>
          </w:tcPr>
          <w:p w:rsidR="004A104F" w:rsidRPr="00AD595B" w:rsidP="00DA384D">
            <w:pPr>
              <w:keepNext/>
              <w:keepLines/>
              <w:jc w:val="center"/>
              <w:rPr>
                <w:color w:val="000000"/>
              </w:rPr>
            </w:pPr>
            <w:r w:rsidRPr="00AD595B">
              <w:rPr>
                <w:color w:val="000000"/>
              </w:rPr>
              <w:t>16.4</w:t>
            </w:r>
          </w:p>
        </w:tc>
        <w:tc>
          <w:tcPr>
            <w:tcW w:w="1066" w:type="dxa"/>
            <w:tcMar>
              <w:top w:w="15" w:type="dxa"/>
              <w:left w:w="15" w:type="dxa"/>
              <w:bottom w:w="15" w:type="dxa"/>
              <w:right w:w="15" w:type="dxa"/>
            </w:tcMar>
            <w:vAlign w:val="center"/>
          </w:tcPr>
          <w:p w:rsidR="004A104F" w:rsidRPr="00AD595B" w:rsidP="00DA384D">
            <w:pPr>
              <w:keepNext/>
              <w:keepLines/>
              <w:jc w:val="center"/>
              <w:rPr>
                <w:color w:val="000000"/>
              </w:rPr>
            </w:pPr>
            <w:r w:rsidRPr="00AD595B">
              <w:rPr>
                <w:color w:val="000000"/>
              </w:rPr>
              <w:t>20.0</w:t>
            </w:r>
          </w:p>
        </w:tc>
        <w:tc>
          <w:tcPr>
            <w:tcW w:w="1066" w:type="dxa"/>
            <w:tcMar>
              <w:top w:w="15" w:type="dxa"/>
              <w:left w:w="15" w:type="dxa"/>
              <w:bottom w:w="15" w:type="dxa"/>
              <w:right w:w="15" w:type="dxa"/>
            </w:tcMar>
            <w:vAlign w:val="center"/>
          </w:tcPr>
          <w:p w:rsidR="004A104F" w:rsidRPr="00AD595B" w:rsidP="00DA384D">
            <w:pPr>
              <w:keepNext/>
              <w:keepLines/>
              <w:jc w:val="center"/>
              <w:rPr>
                <w:color w:val="000000"/>
              </w:rPr>
            </w:pPr>
            <w:r w:rsidRPr="00AD595B">
              <w:rPr>
                <w:color w:val="000000"/>
              </w:rPr>
              <w:t>23.9</w:t>
            </w:r>
          </w:p>
        </w:tc>
        <w:tc>
          <w:tcPr>
            <w:tcW w:w="1156" w:type="dxa"/>
            <w:tcMar>
              <w:top w:w="15" w:type="dxa"/>
              <w:left w:w="15" w:type="dxa"/>
              <w:bottom w:w="15" w:type="dxa"/>
              <w:right w:w="15" w:type="dxa"/>
            </w:tcMar>
            <w:vAlign w:val="center"/>
          </w:tcPr>
          <w:p w:rsidR="004A104F" w:rsidRPr="00AD595B" w:rsidP="00DA384D">
            <w:pPr>
              <w:keepNext/>
              <w:keepLines/>
              <w:jc w:val="center"/>
              <w:rPr>
                <w:color w:val="000000"/>
              </w:rPr>
            </w:pPr>
            <w:r w:rsidRPr="00AD595B">
              <w:rPr>
                <w:color w:val="000000"/>
              </w:rPr>
              <w:t>29.4</w:t>
            </w:r>
          </w:p>
        </w:tc>
        <w:tc>
          <w:tcPr>
            <w:tcW w:w="1154" w:type="dxa"/>
            <w:tcMar>
              <w:top w:w="15" w:type="dxa"/>
              <w:left w:w="15" w:type="dxa"/>
              <w:bottom w:w="15" w:type="dxa"/>
              <w:right w:w="15" w:type="dxa"/>
            </w:tcMar>
            <w:vAlign w:val="center"/>
          </w:tcPr>
          <w:p w:rsidR="004A104F" w:rsidRPr="00AD595B" w:rsidP="00DA384D">
            <w:pPr>
              <w:keepNext/>
              <w:keepLines/>
              <w:jc w:val="center"/>
            </w:pPr>
            <w:r w:rsidRPr="00AD595B">
              <w:t>35.4</w:t>
            </w:r>
          </w:p>
        </w:tc>
        <w:tc>
          <w:tcPr>
            <w:tcW w:w="1154" w:type="dxa"/>
            <w:vAlign w:val="center"/>
          </w:tcPr>
          <w:p w:rsidR="004A104F" w:rsidRPr="00AD595B" w:rsidP="00DA384D">
            <w:pPr>
              <w:keepNext/>
              <w:keepLines/>
              <w:jc w:val="center"/>
            </w:pPr>
            <w:r w:rsidRPr="00AD595B">
              <w:t>42.1</w:t>
            </w:r>
          </w:p>
        </w:tc>
        <w:tc>
          <w:tcPr>
            <w:tcW w:w="1147" w:type="dxa"/>
          </w:tcPr>
          <w:p w:rsidR="004A104F" w:rsidRPr="00AD595B" w:rsidP="00DA384D">
            <w:pPr>
              <w:keepNext/>
              <w:keepLines/>
              <w:jc w:val="center"/>
            </w:pPr>
            <w:r w:rsidRPr="00AD595B">
              <w:t>45.9</w:t>
            </w:r>
          </w:p>
        </w:tc>
      </w:tr>
      <w:tr w:rsidTr="00DA384D">
        <w:tblPrEx>
          <w:tblW w:w="9360" w:type="dxa"/>
          <w:tblCellSpacing w:w="7" w:type="dxa"/>
          <w:tblLayout w:type="fixed"/>
          <w:tblLook w:val="00A0"/>
        </w:tblPrEx>
        <w:trPr>
          <w:tblCellSpacing w:w="7" w:type="dxa"/>
        </w:trPr>
        <w:tc>
          <w:tcPr>
            <w:tcW w:w="1419" w:type="dxa"/>
            <w:tcMar>
              <w:top w:w="15" w:type="dxa"/>
              <w:left w:w="15" w:type="dxa"/>
              <w:bottom w:w="15" w:type="dxa"/>
              <w:right w:w="15" w:type="dxa"/>
            </w:tcMar>
            <w:vAlign w:val="center"/>
          </w:tcPr>
          <w:p w:rsidR="004A104F" w:rsidRPr="00AD595B" w:rsidP="00DA384D">
            <w:pPr>
              <w:keepNext/>
              <w:keepLines/>
              <w:jc w:val="center"/>
            </w:pPr>
            <w:r w:rsidRPr="00AD595B">
              <w:t>300 - 350</w:t>
            </w:r>
          </w:p>
        </w:tc>
        <w:tc>
          <w:tcPr>
            <w:tcW w:w="1158" w:type="dxa"/>
            <w:tcMar>
              <w:top w:w="15" w:type="dxa"/>
              <w:left w:w="15" w:type="dxa"/>
              <w:bottom w:w="15" w:type="dxa"/>
              <w:right w:w="15" w:type="dxa"/>
            </w:tcMar>
            <w:vAlign w:val="center"/>
          </w:tcPr>
          <w:p w:rsidR="004A104F" w:rsidRPr="00AD595B" w:rsidP="00DA384D">
            <w:pPr>
              <w:keepNext/>
              <w:keepLines/>
              <w:jc w:val="center"/>
              <w:rPr>
                <w:color w:val="000000"/>
              </w:rPr>
            </w:pPr>
            <w:r w:rsidRPr="00AD595B">
              <w:rPr>
                <w:color w:val="000000"/>
              </w:rPr>
              <w:t>15.3</w:t>
            </w:r>
          </w:p>
        </w:tc>
        <w:tc>
          <w:tcPr>
            <w:tcW w:w="1066" w:type="dxa"/>
            <w:tcMar>
              <w:top w:w="15" w:type="dxa"/>
              <w:left w:w="15" w:type="dxa"/>
              <w:bottom w:w="15" w:type="dxa"/>
              <w:right w:w="15" w:type="dxa"/>
            </w:tcMar>
            <w:vAlign w:val="center"/>
          </w:tcPr>
          <w:p w:rsidR="004A104F" w:rsidRPr="00AD595B" w:rsidP="00DA384D">
            <w:pPr>
              <w:keepNext/>
              <w:keepLines/>
              <w:jc w:val="center"/>
              <w:rPr>
                <w:color w:val="000000"/>
              </w:rPr>
            </w:pPr>
            <w:r w:rsidRPr="00AD595B">
              <w:rPr>
                <w:color w:val="000000"/>
              </w:rPr>
              <w:t>17.9</w:t>
            </w:r>
          </w:p>
        </w:tc>
        <w:tc>
          <w:tcPr>
            <w:tcW w:w="1066" w:type="dxa"/>
            <w:tcMar>
              <w:top w:w="15" w:type="dxa"/>
              <w:left w:w="15" w:type="dxa"/>
              <w:bottom w:w="15" w:type="dxa"/>
              <w:right w:w="15" w:type="dxa"/>
            </w:tcMar>
            <w:vAlign w:val="center"/>
          </w:tcPr>
          <w:p w:rsidR="004A104F" w:rsidRPr="00AD595B" w:rsidP="00DA384D">
            <w:pPr>
              <w:keepNext/>
              <w:keepLines/>
              <w:jc w:val="center"/>
              <w:rPr>
                <w:color w:val="000000"/>
              </w:rPr>
            </w:pPr>
            <w:r w:rsidRPr="00AD595B">
              <w:rPr>
                <w:color w:val="000000"/>
              </w:rPr>
              <w:t>21.7</w:t>
            </w:r>
          </w:p>
        </w:tc>
        <w:tc>
          <w:tcPr>
            <w:tcW w:w="1066" w:type="dxa"/>
            <w:tcMar>
              <w:top w:w="15" w:type="dxa"/>
              <w:left w:w="15" w:type="dxa"/>
              <w:bottom w:w="15" w:type="dxa"/>
              <w:right w:w="15" w:type="dxa"/>
            </w:tcMar>
            <w:vAlign w:val="center"/>
          </w:tcPr>
          <w:p w:rsidR="004A104F" w:rsidRPr="00AD595B" w:rsidP="00DA384D">
            <w:pPr>
              <w:keepNext/>
              <w:keepLines/>
              <w:jc w:val="center"/>
              <w:rPr>
                <w:color w:val="000000"/>
              </w:rPr>
            </w:pPr>
            <w:r w:rsidRPr="00AD595B">
              <w:rPr>
                <w:color w:val="000000"/>
              </w:rPr>
              <w:t>25.7</w:t>
            </w:r>
          </w:p>
        </w:tc>
        <w:tc>
          <w:tcPr>
            <w:tcW w:w="1156" w:type="dxa"/>
            <w:tcMar>
              <w:top w:w="15" w:type="dxa"/>
              <w:left w:w="15" w:type="dxa"/>
              <w:bottom w:w="15" w:type="dxa"/>
              <w:right w:w="15" w:type="dxa"/>
            </w:tcMar>
            <w:vAlign w:val="center"/>
          </w:tcPr>
          <w:p w:rsidR="004A104F" w:rsidRPr="00AD595B" w:rsidP="00DA384D">
            <w:pPr>
              <w:keepNext/>
              <w:keepLines/>
              <w:jc w:val="center"/>
              <w:rPr>
                <w:color w:val="000000"/>
              </w:rPr>
            </w:pPr>
            <w:r w:rsidRPr="00AD595B">
              <w:rPr>
                <w:color w:val="000000"/>
              </w:rPr>
              <w:t>31.4</w:t>
            </w:r>
          </w:p>
        </w:tc>
        <w:tc>
          <w:tcPr>
            <w:tcW w:w="1154" w:type="dxa"/>
            <w:tcMar>
              <w:top w:w="15" w:type="dxa"/>
              <w:left w:w="15" w:type="dxa"/>
              <w:bottom w:w="15" w:type="dxa"/>
              <w:right w:w="15" w:type="dxa"/>
            </w:tcMar>
            <w:vAlign w:val="center"/>
          </w:tcPr>
          <w:p w:rsidR="004A104F" w:rsidRPr="00AD595B" w:rsidP="00DA384D">
            <w:pPr>
              <w:keepNext/>
              <w:keepLines/>
              <w:jc w:val="center"/>
            </w:pPr>
            <w:r w:rsidRPr="00AD595B">
              <w:t>37.6</w:t>
            </w:r>
          </w:p>
        </w:tc>
        <w:tc>
          <w:tcPr>
            <w:tcW w:w="1154" w:type="dxa"/>
            <w:vAlign w:val="center"/>
          </w:tcPr>
          <w:p w:rsidR="004A104F" w:rsidRPr="00AD595B" w:rsidP="00DA384D">
            <w:pPr>
              <w:keepNext/>
              <w:keepLines/>
              <w:jc w:val="center"/>
            </w:pPr>
            <w:r w:rsidRPr="00AD595B">
              <w:t>44.5</w:t>
            </w:r>
          </w:p>
        </w:tc>
        <w:tc>
          <w:tcPr>
            <w:tcW w:w="1147" w:type="dxa"/>
          </w:tcPr>
          <w:p w:rsidR="004A104F" w:rsidRPr="00AD595B" w:rsidP="00DA384D">
            <w:pPr>
              <w:keepNext/>
              <w:keepLines/>
              <w:jc w:val="center"/>
            </w:pPr>
            <w:r w:rsidRPr="00AD595B">
              <w:t>48.4</w:t>
            </w:r>
          </w:p>
        </w:tc>
      </w:tr>
      <w:tr w:rsidTr="00DA384D">
        <w:tblPrEx>
          <w:tblW w:w="9360" w:type="dxa"/>
          <w:tblCellSpacing w:w="7" w:type="dxa"/>
          <w:tblLayout w:type="fixed"/>
          <w:tblLook w:val="00A0"/>
        </w:tblPrEx>
        <w:trPr>
          <w:tblCellSpacing w:w="7" w:type="dxa"/>
        </w:trPr>
        <w:tc>
          <w:tcPr>
            <w:tcW w:w="1419" w:type="dxa"/>
            <w:tcMar>
              <w:top w:w="15" w:type="dxa"/>
              <w:left w:w="15" w:type="dxa"/>
              <w:bottom w:w="15" w:type="dxa"/>
              <w:right w:w="15" w:type="dxa"/>
            </w:tcMar>
            <w:vAlign w:val="center"/>
          </w:tcPr>
          <w:p w:rsidR="004A104F" w:rsidRPr="00AD595B" w:rsidP="00DA384D">
            <w:pPr>
              <w:keepNext/>
              <w:keepLines/>
              <w:jc w:val="center"/>
            </w:pPr>
            <w:r w:rsidRPr="00AD595B">
              <w:t>350 - 400</w:t>
            </w:r>
          </w:p>
        </w:tc>
        <w:tc>
          <w:tcPr>
            <w:tcW w:w="1158" w:type="dxa"/>
            <w:tcMar>
              <w:top w:w="15" w:type="dxa"/>
              <w:left w:w="15" w:type="dxa"/>
              <w:bottom w:w="15" w:type="dxa"/>
              <w:right w:w="15" w:type="dxa"/>
            </w:tcMar>
            <w:vAlign w:val="center"/>
          </w:tcPr>
          <w:p w:rsidR="004A104F" w:rsidRPr="00AD595B" w:rsidP="00DA384D">
            <w:pPr>
              <w:keepNext/>
              <w:keepLines/>
              <w:jc w:val="center"/>
              <w:rPr>
                <w:color w:val="000000"/>
              </w:rPr>
            </w:pPr>
            <w:r w:rsidRPr="00AD595B">
              <w:rPr>
                <w:color w:val="000000"/>
              </w:rPr>
              <w:t>16.6</w:t>
            </w:r>
          </w:p>
        </w:tc>
        <w:tc>
          <w:tcPr>
            <w:tcW w:w="1066" w:type="dxa"/>
            <w:tcMar>
              <w:top w:w="15" w:type="dxa"/>
              <w:left w:w="15" w:type="dxa"/>
              <w:bottom w:w="15" w:type="dxa"/>
              <w:right w:w="15" w:type="dxa"/>
            </w:tcMar>
            <w:vAlign w:val="center"/>
          </w:tcPr>
          <w:p w:rsidR="004A104F" w:rsidRPr="00AD595B" w:rsidP="00DA384D">
            <w:pPr>
              <w:keepNext/>
              <w:keepLines/>
              <w:jc w:val="center"/>
              <w:rPr>
                <w:color w:val="000000"/>
              </w:rPr>
            </w:pPr>
            <w:r w:rsidRPr="00AD595B">
              <w:rPr>
                <w:color w:val="000000"/>
              </w:rPr>
              <w:t>19.3</w:t>
            </w:r>
          </w:p>
        </w:tc>
        <w:tc>
          <w:tcPr>
            <w:tcW w:w="1066" w:type="dxa"/>
            <w:tcMar>
              <w:top w:w="15" w:type="dxa"/>
              <w:left w:w="15" w:type="dxa"/>
              <w:bottom w:w="15" w:type="dxa"/>
              <w:right w:w="15" w:type="dxa"/>
            </w:tcMar>
            <w:vAlign w:val="center"/>
          </w:tcPr>
          <w:p w:rsidR="004A104F" w:rsidRPr="00AD595B" w:rsidP="00DA384D">
            <w:pPr>
              <w:keepNext/>
              <w:keepLines/>
              <w:jc w:val="center"/>
              <w:rPr>
                <w:color w:val="000000"/>
              </w:rPr>
            </w:pPr>
            <w:r w:rsidRPr="00AD595B">
              <w:rPr>
                <w:color w:val="000000"/>
              </w:rPr>
              <w:t>23.2</w:t>
            </w:r>
          </w:p>
        </w:tc>
        <w:tc>
          <w:tcPr>
            <w:tcW w:w="1066" w:type="dxa"/>
            <w:tcMar>
              <w:top w:w="15" w:type="dxa"/>
              <w:left w:w="15" w:type="dxa"/>
              <w:bottom w:w="15" w:type="dxa"/>
              <w:right w:w="15" w:type="dxa"/>
            </w:tcMar>
            <w:vAlign w:val="center"/>
          </w:tcPr>
          <w:p w:rsidR="004A104F" w:rsidRPr="00AD595B" w:rsidP="00DA384D">
            <w:pPr>
              <w:keepNext/>
              <w:keepLines/>
              <w:jc w:val="center"/>
              <w:rPr>
                <w:color w:val="000000"/>
              </w:rPr>
            </w:pPr>
            <w:r w:rsidRPr="00AD595B">
              <w:rPr>
                <w:color w:val="000000"/>
              </w:rPr>
              <w:t>27.3</w:t>
            </w:r>
          </w:p>
        </w:tc>
        <w:tc>
          <w:tcPr>
            <w:tcW w:w="1156" w:type="dxa"/>
            <w:tcMar>
              <w:top w:w="15" w:type="dxa"/>
              <w:left w:w="15" w:type="dxa"/>
              <w:bottom w:w="15" w:type="dxa"/>
              <w:right w:w="15" w:type="dxa"/>
            </w:tcMar>
            <w:vAlign w:val="center"/>
          </w:tcPr>
          <w:p w:rsidR="004A104F" w:rsidRPr="00AD595B" w:rsidP="00DA384D">
            <w:pPr>
              <w:keepNext/>
              <w:keepLines/>
              <w:jc w:val="center"/>
              <w:rPr>
                <w:color w:val="000000"/>
              </w:rPr>
            </w:pPr>
            <w:r w:rsidRPr="00AD595B">
              <w:rPr>
                <w:color w:val="000000"/>
              </w:rPr>
              <w:t>33.3</w:t>
            </w:r>
          </w:p>
        </w:tc>
        <w:tc>
          <w:tcPr>
            <w:tcW w:w="1154" w:type="dxa"/>
            <w:tcMar>
              <w:top w:w="15" w:type="dxa"/>
              <w:left w:w="15" w:type="dxa"/>
              <w:bottom w:w="15" w:type="dxa"/>
              <w:right w:w="15" w:type="dxa"/>
            </w:tcMar>
            <w:vAlign w:val="center"/>
          </w:tcPr>
          <w:p w:rsidR="004A104F" w:rsidRPr="00AD595B" w:rsidP="00DA384D">
            <w:pPr>
              <w:keepNext/>
              <w:keepLines/>
              <w:jc w:val="center"/>
            </w:pPr>
            <w:r w:rsidRPr="00AD595B">
              <w:t>39.7</w:t>
            </w:r>
          </w:p>
        </w:tc>
        <w:tc>
          <w:tcPr>
            <w:tcW w:w="1154" w:type="dxa"/>
            <w:vAlign w:val="center"/>
          </w:tcPr>
          <w:p w:rsidR="004A104F" w:rsidRPr="00AD595B" w:rsidP="00DA384D">
            <w:pPr>
              <w:keepNext/>
              <w:keepLines/>
              <w:jc w:val="center"/>
            </w:pPr>
            <w:r w:rsidRPr="00AD595B">
              <w:t>46.9</w:t>
            </w:r>
          </w:p>
        </w:tc>
        <w:tc>
          <w:tcPr>
            <w:tcW w:w="1147" w:type="dxa"/>
          </w:tcPr>
          <w:p w:rsidR="004A104F" w:rsidRPr="00AD595B" w:rsidP="00DA384D">
            <w:pPr>
              <w:keepNext/>
              <w:keepLines/>
              <w:jc w:val="center"/>
            </w:pPr>
            <w:r w:rsidRPr="00AD595B">
              <w:t>51.0</w:t>
            </w:r>
          </w:p>
        </w:tc>
      </w:tr>
      <w:tr w:rsidTr="00DA384D">
        <w:tblPrEx>
          <w:tblW w:w="9360" w:type="dxa"/>
          <w:tblCellSpacing w:w="7" w:type="dxa"/>
          <w:tblLayout w:type="fixed"/>
          <w:tblLook w:val="00A0"/>
        </w:tblPrEx>
        <w:trPr>
          <w:tblCellSpacing w:w="7" w:type="dxa"/>
        </w:trPr>
        <w:tc>
          <w:tcPr>
            <w:tcW w:w="1419" w:type="dxa"/>
            <w:tcMar>
              <w:top w:w="15" w:type="dxa"/>
              <w:left w:w="15" w:type="dxa"/>
              <w:bottom w:w="15" w:type="dxa"/>
              <w:right w:w="15" w:type="dxa"/>
            </w:tcMar>
            <w:vAlign w:val="center"/>
          </w:tcPr>
          <w:p w:rsidR="004A104F" w:rsidRPr="00AD595B" w:rsidP="00DA384D">
            <w:pPr>
              <w:keepNext/>
              <w:keepLines/>
              <w:jc w:val="center"/>
            </w:pPr>
            <w:r w:rsidRPr="00AD595B">
              <w:t>400 - 450</w:t>
            </w:r>
          </w:p>
        </w:tc>
        <w:tc>
          <w:tcPr>
            <w:tcW w:w="1158" w:type="dxa"/>
            <w:tcMar>
              <w:top w:w="15" w:type="dxa"/>
              <w:left w:w="15" w:type="dxa"/>
              <w:bottom w:w="15" w:type="dxa"/>
              <w:right w:w="15" w:type="dxa"/>
            </w:tcMar>
            <w:vAlign w:val="center"/>
          </w:tcPr>
          <w:p w:rsidR="004A104F" w:rsidRPr="00AD595B" w:rsidP="00DA384D">
            <w:pPr>
              <w:keepNext/>
              <w:keepLines/>
              <w:jc w:val="center"/>
              <w:rPr>
                <w:color w:val="000000"/>
              </w:rPr>
            </w:pPr>
            <w:r w:rsidRPr="00AD595B">
              <w:rPr>
                <w:color w:val="000000"/>
              </w:rPr>
              <w:t>17.6</w:t>
            </w:r>
          </w:p>
        </w:tc>
        <w:tc>
          <w:tcPr>
            <w:tcW w:w="1066" w:type="dxa"/>
            <w:tcMar>
              <w:top w:w="15" w:type="dxa"/>
              <w:left w:w="15" w:type="dxa"/>
              <w:bottom w:w="15" w:type="dxa"/>
              <w:right w:w="15" w:type="dxa"/>
            </w:tcMar>
            <w:vAlign w:val="center"/>
          </w:tcPr>
          <w:p w:rsidR="004A104F" w:rsidRPr="00AD595B" w:rsidP="00DA384D">
            <w:pPr>
              <w:keepNext/>
              <w:keepLines/>
              <w:jc w:val="center"/>
              <w:rPr>
                <w:color w:val="000000"/>
              </w:rPr>
            </w:pPr>
            <w:r w:rsidRPr="00AD595B">
              <w:rPr>
                <w:color w:val="000000"/>
              </w:rPr>
              <w:t>20.4</w:t>
            </w:r>
          </w:p>
        </w:tc>
        <w:tc>
          <w:tcPr>
            <w:tcW w:w="1066" w:type="dxa"/>
            <w:tcMar>
              <w:top w:w="15" w:type="dxa"/>
              <w:left w:w="15" w:type="dxa"/>
              <w:bottom w:w="15" w:type="dxa"/>
              <w:right w:w="15" w:type="dxa"/>
            </w:tcMar>
            <w:vAlign w:val="center"/>
          </w:tcPr>
          <w:p w:rsidR="004A104F" w:rsidRPr="00AD595B" w:rsidP="00DA384D">
            <w:pPr>
              <w:keepNext/>
              <w:keepLines/>
              <w:jc w:val="center"/>
              <w:rPr>
                <w:color w:val="000000"/>
              </w:rPr>
            </w:pPr>
            <w:r w:rsidRPr="00AD595B">
              <w:rPr>
                <w:color w:val="000000"/>
              </w:rPr>
              <w:t>24.4</w:t>
            </w:r>
          </w:p>
        </w:tc>
        <w:tc>
          <w:tcPr>
            <w:tcW w:w="1066" w:type="dxa"/>
            <w:tcMar>
              <w:top w:w="15" w:type="dxa"/>
              <w:left w:w="15" w:type="dxa"/>
              <w:bottom w:w="15" w:type="dxa"/>
              <w:right w:w="15" w:type="dxa"/>
            </w:tcMar>
            <w:vAlign w:val="center"/>
          </w:tcPr>
          <w:p w:rsidR="004A104F" w:rsidRPr="00AD595B" w:rsidP="00DA384D">
            <w:pPr>
              <w:keepNext/>
              <w:keepLines/>
              <w:jc w:val="center"/>
              <w:rPr>
                <w:color w:val="000000"/>
              </w:rPr>
            </w:pPr>
            <w:r w:rsidRPr="00AD595B">
              <w:rPr>
                <w:color w:val="000000"/>
              </w:rPr>
              <w:t>28.7</w:t>
            </w:r>
          </w:p>
        </w:tc>
        <w:tc>
          <w:tcPr>
            <w:tcW w:w="1156" w:type="dxa"/>
            <w:tcMar>
              <w:top w:w="15" w:type="dxa"/>
              <w:left w:w="15" w:type="dxa"/>
              <w:bottom w:w="15" w:type="dxa"/>
              <w:right w:w="15" w:type="dxa"/>
            </w:tcMar>
            <w:vAlign w:val="center"/>
          </w:tcPr>
          <w:p w:rsidR="004A104F" w:rsidRPr="00AD595B" w:rsidP="00DA384D">
            <w:pPr>
              <w:keepNext/>
              <w:keepLines/>
              <w:jc w:val="center"/>
              <w:rPr>
                <w:color w:val="000000"/>
              </w:rPr>
            </w:pPr>
            <w:r w:rsidRPr="00AD595B">
              <w:rPr>
                <w:color w:val="000000"/>
              </w:rPr>
              <w:t>35.1</w:t>
            </w:r>
          </w:p>
        </w:tc>
        <w:tc>
          <w:tcPr>
            <w:tcW w:w="1154" w:type="dxa"/>
            <w:tcMar>
              <w:top w:w="15" w:type="dxa"/>
              <w:left w:w="15" w:type="dxa"/>
              <w:bottom w:w="15" w:type="dxa"/>
              <w:right w:w="15" w:type="dxa"/>
            </w:tcMar>
            <w:vAlign w:val="center"/>
          </w:tcPr>
          <w:p w:rsidR="004A104F" w:rsidRPr="00AD595B" w:rsidP="00DA384D">
            <w:pPr>
              <w:keepNext/>
              <w:keepLines/>
              <w:jc w:val="center"/>
            </w:pPr>
            <w:r w:rsidRPr="00AD595B">
              <w:t>41.9</w:t>
            </w:r>
          </w:p>
        </w:tc>
        <w:tc>
          <w:tcPr>
            <w:tcW w:w="1154" w:type="dxa"/>
            <w:vAlign w:val="center"/>
          </w:tcPr>
          <w:p w:rsidR="004A104F" w:rsidRPr="00AD595B" w:rsidP="00DA384D">
            <w:pPr>
              <w:keepNext/>
              <w:keepLines/>
              <w:jc w:val="center"/>
            </w:pPr>
            <w:r w:rsidRPr="00AD595B">
              <w:t>49.4</w:t>
            </w:r>
          </w:p>
        </w:tc>
        <w:tc>
          <w:tcPr>
            <w:tcW w:w="1147" w:type="dxa"/>
          </w:tcPr>
          <w:p w:rsidR="004A104F" w:rsidRPr="00AD595B" w:rsidP="00DA384D">
            <w:pPr>
              <w:keepNext/>
              <w:keepLines/>
              <w:jc w:val="center"/>
            </w:pPr>
            <w:r w:rsidRPr="00AD595B">
              <w:t>53.8</w:t>
            </w:r>
          </w:p>
        </w:tc>
      </w:tr>
      <w:tr w:rsidTr="00DA384D">
        <w:tblPrEx>
          <w:tblW w:w="9360" w:type="dxa"/>
          <w:tblCellSpacing w:w="7" w:type="dxa"/>
          <w:tblLayout w:type="fixed"/>
          <w:tblLook w:val="00A0"/>
        </w:tblPrEx>
        <w:trPr>
          <w:tblCellSpacing w:w="7" w:type="dxa"/>
        </w:trPr>
        <w:tc>
          <w:tcPr>
            <w:tcW w:w="1419" w:type="dxa"/>
            <w:tcMar>
              <w:top w:w="15" w:type="dxa"/>
              <w:left w:w="15" w:type="dxa"/>
              <w:bottom w:w="15" w:type="dxa"/>
              <w:right w:w="15" w:type="dxa"/>
            </w:tcMar>
            <w:vAlign w:val="center"/>
          </w:tcPr>
          <w:p w:rsidR="004A104F" w:rsidRPr="00AD595B" w:rsidP="00DA384D">
            <w:pPr>
              <w:keepNext/>
              <w:keepLines/>
              <w:jc w:val="center"/>
            </w:pPr>
            <w:r w:rsidRPr="00AD595B">
              <w:t>450 - 500</w:t>
            </w:r>
          </w:p>
        </w:tc>
        <w:tc>
          <w:tcPr>
            <w:tcW w:w="1158" w:type="dxa"/>
            <w:tcMar>
              <w:top w:w="15" w:type="dxa"/>
              <w:left w:w="15" w:type="dxa"/>
              <w:bottom w:w="15" w:type="dxa"/>
              <w:right w:w="15" w:type="dxa"/>
            </w:tcMar>
            <w:vAlign w:val="center"/>
          </w:tcPr>
          <w:p w:rsidR="004A104F" w:rsidRPr="00AD595B" w:rsidP="00DA384D">
            <w:pPr>
              <w:keepNext/>
              <w:keepLines/>
              <w:jc w:val="center"/>
              <w:rPr>
                <w:color w:val="000000"/>
              </w:rPr>
            </w:pPr>
            <w:r w:rsidRPr="00AD595B">
              <w:rPr>
                <w:color w:val="000000"/>
              </w:rPr>
              <w:t>18.3</w:t>
            </w:r>
          </w:p>
        </w:tc>
        <w:tc>
          <w:tcPr>
            <w:tcW w:w="1066" w:type="dxa"/>
            <w:tcMar>
              <w:top w:w="15" w:type="dxa"/>
              <w:left w:w="15" w:type="dxa"/>
              <w:bottom w:w="15" w:type="dxa"/>
              <w:right w:w="15" w:type="dxa"/>
            </w:tcMar>
            <w:vAlign w:val="center"/>
          </w:tcPr>
          <w:p w:rsidR="004A104F" w:rsidRPr="00AD595B" w:rsidP="00DA384D">
            <w:pPr>
              <w:keepNext/>
              <w:keepLines/>
              <w:jc w:val="center"/>
              <w:rPr>
                <w:color w:val="000000"/>
              </w:rPr>
            </w:pPr>
            <w:r w:rsidRPr="00AD595B">
              <w:rPr>
                <w:color w:val="000000"/>
              </w:rPr>
              <w:t>21.4</w:t>
            </w:r>
          </w:p>
        </w:tc>
        <w:tc>
          <w:tcPr>
            <w:tcW w:w="1066" w:type="dxa"/>
            <w:tcMar>
              <w:top w:w="15" w:type="dxa"/>
              <w:left w:w="15" w:type="dxa"/>
              <w:bottom w:w="15" w:type="dxa"/>
              <w:right w:w="15" w:type="dxa"/>
            </w:tcMar>
            <w:vAlign w:val="center"/>
          </w:tcPr>
          <w:p w:rsidR="004A104F" w:rsidRPr="00AD595B" w:rsidP="00DA384D">
            <w:pPr>
              <w:keepNext/>
              <w:keepLines/>
              <w:jc w:val="center"/>
              <w:rPr>
                <w:color w:val="000000"/>
              </w:rPr>
            </w:pPr>
            <w:r w:rsidRPr="00AD595B">
              <w:rPr>
                <w:color w:val="000000"/>
              </w:rPr>
              <w:t>25.5</w:t>
            </w:r>
          </w:p>
        </w:tc>
        <w:tc>
          <w:tcPr>
            <w:tcW w:w="1066" w:type="dxa"/>
            <w:tcMar>
              <w:top w:w="15" w:type="dxa"/>
              <w:left w:w="15" w:type="dxa"/>
              <w:bottom w:w="15" w:type="dxa"/>
              <w:right w:w="15" w:type="dxa"/>
            </w:tcMar>
            <w:vAlign w:val="center"/>
          </w:tcPr>
          <w:p w:rsidR="004A104F" w:rsidRPr="00AD595B" w:rsidP="00DA384D">
            <w:pPr>
              <w:keepNext/>
              <w:keepLines/>
              <w:jc w:val="center"/>
              <w:rPr>
                <w:color w:val="000000"/>
              </w:rPr>
            </w:pPr>
            <w:r w:rsidRPr="00AD595B">
              <w:rPr>
                <w:color w:val="000000"/>
              </w:rPr>
              <w:t>30.1</w:t>
            </w:r>
          </w:p>
        </w:tc>
        <w:tc>
          <w:tcPr>
            <w:tcW w:w="1156" w:type="dxa"/>
            <w:tcMar>
              <w:top w:w="15" w:type="dxa"/>
              <w:left w:w="15" w:type="dxa"/>
              <w:bottom w:w="15" w:type="dxa"/>
              <w:right w:w="15" w:type="dxa"/>
            </w:tcMar>
            <w:vAlign w:val="center"/>
          </w:tcPr>
          <w:p w:rsidR="004A104F" w:rsidRPr="00AD595B" w:rsidP="00DA384D">
            <w:pPr>
              <w:keepNext/>
              <w:keepLines/>
              <w:jc w:val="center"/>
              <w:rPr>
                <w:color w:val="000000"/>
              </w:rPr>
            </w:pPr>
            <w:r w:rsidRPr="00AD595B">
              <w:rPr>
                <w:color w:val="000000"/>
              </w:rPr>
              <w:t>36.7</w:t>
            </w:r>
          </w:p>
        </w:tc>
        <w:tc>
          <w:tcPr>
            <w:tcW w:w="1154" w:type="dxa"/>
            <w:tcMar>
              <w:top w:w="15" w:type="dxa"/>
              <w:left w:w="15" w:type="dxa"/>
              <w:bottom w:w="15" w:type="dxa"/>
              <w:right w:w="15" w:type="dxa"/>
            </w:tcMar>
            <w:vAlign w:val="center"/>
          </w:tcPr>
          <w:p w:rsidR="004A104F" w:rsidRPr="00AD595B" w:rsidP="00DA384D">
            <w:pPr>
              <w:keepNext/>
              <w:keepLines/>
              <w:jc w:val="center"/>
            </w:pPr>
            <w:r w:rsidRPr="00AD595B">
              <w:t>43.7</w:t>
            </w:r>
          </w:p>
        </w:tc>
        <w:tc>
          <w:tcPr>
            <w:tcW w:w="1154" w:type="dxa"/>
            <w:vAlign w:val="center"/>
          </w:tcPr>
          <w:p w:rsidR="004A104F" w:rsidRPr="00AD595B" w:rsidP="00DA384D">
            <w:pPr>
              <w:keepNext/>
              <w:keepLines/>
              <w:jc w:val="center"/>
            </w:pPr>
            <w:r w:rsidRPr="00AD595B">
              <w:t>51.4</w:t>
            </w:r>
          </w:p>
        </w:tc>
        <w:tc>
          <w:tcPr>
            <w:tcW w:w="1147" w:type="dxa"/>
          </w:tcPr>
          <w:p w:rsidR="004A104F" w:rsidRPr="00AD595B" w:rsidP="00DA384D">
            <w:pPr>
              <w:keepNext/>
              <w:keepLines/>
              <w:jc w:val="center"/>
            </w:pPr>
            <w:r w:rsidRPr="00AD595B">
              <w:t>55.9</w:t>
            </w:r>
          </w:p>
        </w:tc>
      </w:tr>
    </w:tbl>
    <w:p w:rsidR="004A104F" w:rsidP="004A104F">
      <w:pPr>
        <w:rPr>
          <w:b/>
        </w:rPr>
      </w:pPr>
    </w:p>
    <w:p w:rsidR="004A104F" w:rsidRPr="004A104F" w:rsidP="004A104F">
      <w:r w:rsidRPr="004A104F">
        <w:t xml:space="preserve">*When communicating with Mode I personal/portable white space devices, the required separation distances must be increased beyond the specified distances by 1.3 kilometers if the Mode I device operates at power levels no more than 40 </w:t>
      </w:r>
      <w:r w:rsidRPr="004A104F">
        <w:t>mW</w:t>
      </w:r>
      <w:r w:rsidRPr="004A104F">
        <w:t xml:space="preserve"> EIRP or 1.7 kilometers if the Mode I device operates at power levels above 40 </w:t>
      </w:r>
      <w:r w:rsidRPr="004A104F">
        <w:t>mW</w:t>
      </w:r>
      <w:r w:rsidRPr="004A104F">
        <w:t xml:space="preserve"> EIRP.</w:t>
      </w:r>
    </w:p>
    <w:p w:rsidR="00EF7C08" w:rsidP="00EF7C08"/>
    <w:p w:rsidR="00EF7C08" w:rsidP="00BA3094">
      <w:pPr>
        <w:keepNext/>
        <w:keepLines/>
        <w:widowControl/>
        <w:jc w:val="center"/>
        <w:rPr>
          <w:b/>
        </w:rPr>
      </w:pPr>
      <w:r w:rsidRPr="00EF7C08">
        <w:rPr>
          <w:b/>
        </w:rPr>
        <w:t xml:space="preserve">Table </w:t>
      </w:r>
      <w:r w:rsidR="00506CDA">
        <w:rPr>
          <w:b/>
        </w:rPr>
        <w:t>4</w:t>
      </w:r>
      <w:r w:rsidRPr="00EF7C08">
        <w:rPr>
          <w:b/>
        </w:rPr>
        <w:t xml:space="preserve"> to Section 15.712(a)(2)(v)</w:t>
      </w:r>
    </w:p>
    <w:p w:rsidR="00DA384D" w:rsidP="00EF7C08">
      <w:pPr>
        <w:jc w:val="center"/>
        <w:rPr>
          <w:b/>
        </w:rPr>
      </w:pP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tblPr>
      <w:tblGrid>
        <w:gridCol w:w="2962"/>
        <w:gridCol w:w="6428"/>
      </w:tblGrid>
      <w:tr w:rsidTr="006644AA">
        <w:tblPrEx>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tblPrEx>
        <w:tc>
          <w:tcPr>
            <w:tcW w:w="0" w:type="auto"/>
            <w:gridSpan w:val="2"/>
            <w:tcBorders>
              <w:top w:val="single" w:sz="6" w:space="0" w:color="000000"/>
              <w:left w:val="single" w:sz="6" w:space="0" w:color="000000"/>
              <w:bottom w:val="single" w:sz="6" w:space="0" w:color="000000"/>
              <w:right w:val="single" w:sz="6" w:space="0" w:color="000000"/>
            </w:tcBorders>
            <w:vAlign w:val="center"/>
          </w:tcPr>
          <w:p w:rsidR="00506CDA" w:rsidRPr="00AD595B" w:rsidP="00EF7C08">
            <w:pPr>
              <w:jc w:val="center"/>
              <w:rPr>
                <w:b/>
                <w:bCs/>
              </w:rPr>
            </w:pPr>
            <w:r w:rsidRPr="00AD595B">
              <w:rPr>
                <w:b/>
                <w:bCs/>
              </w:rPr>
              <w:t>Personal/Portable White Space Devices</w:t>
            </w:r>
          </w:p>
        </w:tc>
      </w:tr>
      <w:tr w:rsidTr="006644AA">
        <w:tblPrEx>
          <w:tblW w:w="5000" w:type="pct"/>
          <w:tblCellMar>
            <w:top w:w="120" w:type="dxa"/>
            <w:left w:w="15" w:type="dxa"/>
            <w:bottom w:w="15" w:type="dxa"/>
            <w:right w:w="15" w:type="dxa"/>
          </w:tblCellMar>
          <w:tblLook w:val="04A0"/>
        </w:tblPrEx>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F7C08" w:rsidRPr="00AD595B" w:rsidP="00EF7C08">
            <w:pPr>
              <w:jc w:val="center"/>
              <w:rPr>
                <w:b/>
                <w:bCs/>
              </w:rPr>
            </w:pPr>
            <w:r w:rsidRPr="00AD595B">
              <w:rPr>
                <w:b/>
                <w:bCs/>
              </w:rPr>
              <w:t>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C08" w:rsidRPr="00AD595B" w:rsidP="00EF7C08">
            <w:pPr>
              <w:jc w:val="center"/>
              <w:rPr>
                <w:b/>
                <w:bCs/>
              </w:rPr>
            </w:pPr>
            <w:r w:rsidRPr="00AD595B">
              <w:rPr>
                <w:b/>
                <w:bCs/>
              </w:rPr>
              <w:t xml:space="preserve">Required separation in kilometers from adjacent channel digital or </w:t>
            </w:r>
            <w:r w:rsidRPr="00AD595B">
              <w:rPr>
                <w:b/>
                <w:bCs/>
              </w:rPr>
              <w:t>analog TV (full service or low power) protected contour</w:t>
            </w:r>
          </w:p>
        </w:tc>
      </w:tr>
      <w:tr w:rsidTr="006644AA">
        <w:tblPrEx>
          <w:tblW w:w="5000" w:type="pct"/>
          <w:tblCellMar>
            <w:top w:w="120" w:type="dxa"/>
            <w:left w:w="15" w:type="dxa"/>
            <w:bottom w:w="15" w:type="dxa"/>
            <w:right w:w="15" w:type="dxa"/>
          </w:tblCellMar>
          <w:tblLook w:val="04A0"/>
        </w:tblPrEx>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F7C08" w:rsidRPr="00AD595B" w:rsidP="00EF7C08">
            <w:pPr>
              <w:jc w:val="center"/>
              <w:rPr>
                <w:b/>
                <w:bCs/>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C08" w:rsidRPr="00AD595B" w:rsidP="00EF7C08">
            <w:pPr>
              <w:jc w:val="center"/>
              <w:rPr>
                <w:b/>
                <w:bCs/>
              </w:rPr>
            </w:pPr>
            <w:r w:rsidRPr="00AD595B">
              <w:rPr>
                <w:b/>
                <w:bCs/>
              </w:rPr>
              <w:t xml:space="preserve">20 dBm (100 </w:t>
            </w:r>
            <w:r w:rsidRPr="00AD595B">
              <w:rPr>
                <w:b/>
                <w:bCs/>
              </w:rPr>
              <w:t>mW</w:t>
            </w:r>
            <w:r w:rsidRPr="00AD595B">
              <w:rPr>
                <w:b/>
                <w:bCs/>
              </w:rPr>
              <w:t>)</w:t>
            </w:r>
          </w:p>
        </w:tc>
      </w:tr>
      <w:tr w:rsidTr="006644AA">
        <w:tblPrEx>
          <w:tblW w:w="5000" w:type="pct"/>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EF7C08" w:rsidRPr="00AD595B" w:rsidP="00EF7C08">
            <w:pPr>
              <w:jc w:val="center"/>
              <w:rPr>
                <w:b/>
              </w:rPr>
            </w:pPr>
            <w:r w:rsidRPr="00AD595B">
              <w:rPr>
                <w:b/>
              </w:rPr>
              <w:t>Communicating with Mode II or Fixed device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C08" w:rsidRPr="00AD595B" w:rsidP="00EF7C08">
            <w:pPr>
              <w:jc w:val="center"/>
              <w:rPr>
                <w:b/>
              </w:rPr>
            </w:pPr>
            <w:r w:rsidRPr="00AD595B">
              <w:rPr>
                <w:b/>
              </w:rPr>
              <w:t>0.1</w:t>
            </w:r>
          </w:p>
        </w:tc>
      </w:tr>
      <w:tr w:rsidTr="006644AA">
        <w:tblPrEx>
          <w:tblW w:w="5000" w:type="pct"/>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vAlign w:val="center"/>
            <w:hideMark/>
          </w:tcPr>
          <w:p w:rsidR="00EF7C08" w:rsidRPr="00AD595B" w:rsidP="00EF7C08">
            <w:pPr>
              <w:jc w:val="center"/>
              <w:rPr>
                <w:b/>
              </w:rPr>
            </w:pPr>
            <w:r w:rsidRPr="00AD595B">
              <w:rPr>
                <w:b/>
              </w:rPr>
              <w:t>Communicating with Mode I device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F7C08" w:rsidRPr="00AD595B" w:rsidP="00EF7C08">
            <w:pPr>
              <w:jc w:val="center"/>
              <w:rPr>
                <w:b/>
              </w:rPr>
            </w:pPr>
            <w:r w:rsidRPr="00AD595B">
              <w:rPr>
                <w:b/>
              </w:rPr>
              <w:t>0.2</w:t>
            </w:r>
          </w:p>
        </w:tc>
      </w:tr>
    </w:tbl>
    <w:p w:rsidR="00EF7C08" w:rsidRPr="00EF7C08" w:rsidP="00EF7C08">
      <w:pPr>
        <w:jc w:val="center"/>
        <w:rPr>
          <w:b/>
        </w:rPr>
      </w:pPr>
    </w:p>
    <w:p w:rsidR="00EF7C08" w:rsidP="00EF7C08"/>
    <w:p w:rsidR="00EF7C08" w:rsidRPr="00EF7C08" w:rsidP="00EF7C08">
      <w:pPr>
        <w:jc w:val="center"/>
        <w:rPr>
          <w:b/>
        </w:rPr>
      </w:pPr>
      <w:r w:rsidRPr="00EF7C08">
        <w:rPr>
          <w:b/>
        </w:rPr>
        <w:t xml:space="preserve">Table </w:t>
      </w:r>
      <w:r w:rsidR="00506CDA">
        <w:rPr>
          <w:b/>
        </w:rPr>
        <w:t>5</w:t>
      </w:r>
      <w:r w:rsidRPr="00EF7C08">
        <w:rPr>
          <w:b/>
        </w:rPr>
        <w:t xml:space="preserve"> to Section 15.712(a)(2)(v).</w:t>
      </w:r>
    </w:p>
    <w:p w:rsidR="00EF7C08" w:rsidP="0066227F"/>
    <w:tbl>
      <w:tblPr>
        <w:tblW w:w="9360" w:type="dxa"/>
        <w:jc w:val="center"/>
        <w:tblCellSpacing w:w="7" w:type="dxa"/>
        <w:tblBorders>
          <w:top w:val="outset" w:sz="8" w:space="0" w:color="auto"/>
          <w:left w:val="outset" w:sz="8" w:space="0" w:color="auto"/>
          <w:bottom w:val="outset" w:sz="8" w:space="0" w:color="auto"/>
          <w:right w:val="outset" w:sz="8" w:space="0" w:color="auto"/>
          <w:insideH w:val="outset" w:sz="8" w:space="0" w:color="auto"/>
          <w:insideV w:val="outset" w:sz="8" w:space="0" w:color="auto"/>
        </w:tblBorders>
        <w:tblLayout w:type="fixed"/>
        <w:tblLook w:val="00A0"/>
      </w:tblPr>
      <w:tblGrid>
        <w:gridCol w:w="1196"/>
        <w:gridCol w:w="1157"/>
        <w:gridCol w:w="1156"/>
        <w:gridCol w:w="1156"/>
        <w:gridCol w:w="1156"/>
        <w:gridCol w:w="1156"/>
        <w:gridCol w:w="1188"/>
        <w:gridCol w:w="1195"/>
      </w:tblGrid>
      <w:tr w:rsidTr="004A104F">
        <w:tblPrEx>
          <w:tblW w:w="9360" w:type="dxa"/>
          <w:jc w:val="center"/>
          <w:tblCellSpacing w:w="7" w:type="dxa"/>
          <w:tblBorders>
            <w:top w:val="outset" w:sz="8" w:space="0" w:color="auto"/>
            <w:left w:val="outset" w:sz="8" w:space="0" w:color="auto"/>
            <w:bottom w:val="outset" w:sz="8" w:space="0" w:color="auto"/>
            <w:right w:val="outset" w:sz="8" w:space="0" w:color="auto"/>
            <w:insideH w:val="outset" w:sz="8" w:space="0" w:color="auto"/>
            <w:insideV w:val="outset" w:sz="8" w:space="0" w:color="auto"/>
          </w:tblBorders>
          <w:tblLayout w:type="fixed"/>
          <w:tblLook w:val="00A0"/>
        </w:tblPrEx>
        <w:trPr>
          <w:trHeight w:val="720"/>
          <w:tblCellSpacing w:w="7" w:type="dxa"/>
          <w:jc w:val="center"/>
        </w:trPr>
        <w:tc>
          <w:tcPr>
            <w:tcW w:w="11012" w:type="dxa"/>
            <w:gridSpan w:val="8"/>
            <w:vAlign w:val="center"/>
          </w:tcPr>
          <w:p w:rsidR="004A104F" w:rsidRPr="00AD595B" w:rsidP="007C4508">
            <w:pPr>
              <w:keepNext/>
              <w:keepLines/>
              <w:jc w:val="center"/>
              <w:rPr>
                <w:b/>
                <w:bCs/>
              </w:rPr>
            </w:pPr>
            <w:r w:rsidRPr="00AD595B">
              <w:rPr>
                <w:b/>
                <w:bCs/>
              </w:rPr>
              <w:t>Fixed White Space Devices</w:t>
            </w:r>
          </w:p>
        </w:tc>
      </w:tr>
      <w:tr w:rsidTr="004A104F">
        <w:tblPrEx>
          <w:tblW w:w="9360" w:type="dxa"/>
          <w:jc w:val="center"/>
          <w:tblCellSpacing w:w="7" w:type="dxa"/>
          <w:tblLayout w:type="fixed"/>
          <w:tblLook w:val="00A0"/>
        </w:tblPrEx>
        <w:trPr>
          <w:trHeight w:val="720"/>
          <w:tblCellSpacing w:w="7" w:type="dxa"/>
          <w:jc w:val="center"/>
        </w:trPr>
        <w:tc>
          <w:tcPr>
            <w:tcW w:w="1365" w:type="dxa"/>
            <w:vMerge w:val="restart"/>
            <w:vAlign w:val="center"/>
          </w:tcPr>
          <w:p w:rsidR="004A104F" w:rsidRPr="00AD595B" w:rsidP="007C4508">
            <w:pPr>
              <w:keepNext/>
              <w:keepLines/>
              <w:jc w:val="center"/>
              <w:rPr>
                <w:b/>
                <w:bCs/>
              </w:rPr>
            </w:pPr>
            <w:r w:rsidRPr="00AD595B">
              <w:rPr>
                <w:b/>
                <w:bCs/>
              </w:rPr>
              <w:t>Antenna height above average terrain of unlicensed devices</w:t>
            </w:r>
          </w:p>
          <w:p w:rsidR="004A104F" w:rsidRPr="00AD595B" w:rsidP="007C4508">
            <w:pPr>
              <w:keepNext/>
              <w:keepLines/>
              <w:jc w:val="center"/>
              <w:rPr>
                <w:b/>
                <w:bCs/>
              </w:rPr>
            </w:pPr>
            <w:r w:rsidRPr="00AD595B">
              <w:rPr>
                <w:b/>
                <w:bCs/>
              </w:rPr>
              <w:t>(meters)</w:t>
            </w:r>
          </w:p>
        </w:tc>
        <w:tc>
          <w:tcPr>
            <w:tcW w:w="9633" w:type="dxa"/>
            <w:gridSpan w:val="7"/>
            <w:tcMar>
              <w:top w:w="15" w:type="dxa"/>
              <w:left w:w="15" w:type="dxa"/>
              <w:bottom w:w="15" w:type="dxa"/>
              <w:right w:w="15" w:type="dxa"/>
            </w:tcMar>
            <w:vAlign w:val="center"/>
          </w:tcPr>
          <w:p w:rsidR="004A104F" w:rsidRPr="00AD595B" w:rsidP="007C4508">
            <w:pPr>
              <w:keepNext/>
              <w:keepLines/>
              <w:jc w:val="center"/>
              <w:rPr>
                <w:b/>
                <w:bCs/>
              </w:rPr>
            </w:pPr>
            <w:r w:rsidRPr="00AD595B">
              <w:rPr>
                <w:b/>
                <w:bCs/>
              </w:rPr>
              <w:t>Required separation in kilometers from adjacent channel digital or analog TV (full service or low power) protected contour*</w:t>
            </w:r>
          </w:p>
        </w:tc>
      </w:tr>
      <w:tr w:rsidTr="004A104F">
        <w:tblPrEx>
          <w:tblW w:w="9360" w:type="dxa"/>
          <w:jc w:val="center"/>
          <w:tblCellSpacing w:w="7" w:type="dxa"/>
          <w:tblLayout w:type="fixed"/>
          <w:tblLook w:val="00A0"/>
        </w:tblPrEx>
        <w:trPr>
          <w:tblCellSpacing w:w="7" w:type="dxa"/>
          <w:jc w:val="center"/>
        </w:trPr>
        <w:tc>
          <w:tcPr>
            <w:tcW w:w="1365" w:type="dxa"/>
            <w:vMerge/>
            <w:vAlign w:val="center"/>
          </w:tcPr>
          <w:p w:rsidR="004A104F" w:rsidRPr="00AD595B" w:rsidP="007C4508">
            <w:pPr>
              <w:keepNext/>
              <w:keepLines/>
              <w:jc w:val="center"/>
              <w:rPr>
                <w:b/>
                <w:bCs/>
              </w:rPr>
            </w:pPr>
          </w:p>
        </w:tc>
        <w:tc>
          <w:tcPr>
            <w:tcW w:w="1365" w:type="dxa"/>
            <w:tcMar>
              <w:top w:w="15" w:type="dxa"/>
              <w:left w:w="15" w:type="dxa"/>
              <w:bottom w:w="15" w:type="dxa"/>
              <w:right w:w="15" w:type="dxa"/>
            </w:tcMar>
            <w:vAlign w:val="center"/>
          </w:tcPr>
          <w:p w:rsidR="004A104F" w:rsidRPr="00AD595B" w:rsidP="007C4508">
            <w:pPr>
              <w:keepNext/>
              <w:keepLines/>
              <w:jc w:val="center"/>
              <w:rPr>
                <w:b/>
                <w:bCs/>
              </w:rPr>
            </w:pPr>
            <w:r w:rsidRPr="00AD595B">
              <w:rPr>
                <w:b/>
                <w:bCs/>
              </w:rPr>
              <w:t>20 dBm</w:t>
            </w:r>
          </w:p>
          <w:p w:rsidR="004A104F" w:rsidRPr="00AD595B" w:rsidP="007C4508">
            <w:pPr>
              <w:keepNext/>
              <w:keepLines/>
              <w:jc w:val="center"/>
              <w:rPr>
                <w:b/>
                <w:bCs/>
              </w:rPr>
            </w:pPr>
            <w:r w:rsidRPr="00AD595B">
              <w:rPr>
                <w:b/>
                <w:bCs/>
              </w:rPr>
              <w:t xml:space="preserve">(100 </w:t>
            </w:r>
            <w:r w:rsidRPr="00AD595B">
              <w:rPr>
                <w:b/>
                <w:bCs/>
              </w:rPr>
              <w:t>mW</w:t>
            </w:r>
            <w:r w:rsidRPr="00AD595B">
              <w:rPr>
                <w:b/>
                <w:bCs/>
              </w:rPr>
              <w:t>)</w:t>
            </w:r>
          </w:p>
        </w:tc>
        <w:tc>
          <w:tcPr>
            <w:tcW w:w="1364" w:type="dxa"/>
            <w:tcMar>
              <w:top w:w="15" w:type="dxa"/>
              <w:left w:w="15" w:type="dxa"/>
              <w:bottom w:w="15" w:type="dxa"/>
              <w:right w:w="15" w:type="dxa"/>
            </w:tcMar>
            <w:vAlign w:val="center"/>
          </w:tcPr>
          <w:p w:rsidR="004A104F" w:rsidRPr="00AD595B" w:rsidP="007C4508">
            <w:pPr>
              <w:keepNext/>
              <w:keepLines/>
              <w:jc w:val="center"/>
              <w:rPr>
                <w:b/>
                <w:bCs/>
              </w:rPr>
            </w:pPr>
            <w:r w:rsidRPr="00AD595B">
              <w:rPr>
                <w:b/>
                <w:bCs/>
              </w:rPr>
              <w:t>24 dBm</w:t>
            </w:r>
          </w:p>
          <w:p w:rsidR="004A104F" w:rsidRPr="00AD595B" w:rsidP="007C4508">
            <w:pPr>
              <w:keepNext/>
              <w:keepLines/>
              <w:jc w:val="center"/>
              <w:rPr>
                <w:b/>
                <w:bCs/>
              </w:rPr>
            </w:pPr>
            <w:r w:rsidRPr="00AD595B">
              <w:rPr>
                <w:b/>
                <w:bCs/>
              </w:rPr>
              <w:t xml:space="preserve">(250 </w:t>
            </w:r>
            <w:r w:rsidRPr="00AD595B">
              <w:rPr>
                <w:b/>
                <w:bCs/>
              </w:rPr>
              <w:t>mW</w:t>
            </w:r>
            <w:r w:rsidRPr="00AD595B">
              <w:rPr>
                <w:b/>
                <w:bCs/>
              </w:rPr>
              <w:t>)</w:t>
            </w:r>
          </w:p>
        </w:tc>
        <w:tc>
          <w:tcPr>
            <w:tcW w:w="1364" w:type="dxa"/>
            <w:tcMar>
              <w:top w:w="15" w:type="dxa"/>
              <w:left w:w="15" w:type="dxa"/>
              <w:bottom w:w="15" w:type="dxa"/>
              <w:right w:w="15" w:type="dxa"/>
            </w:tcMar>
            <w:vAlign w:val="center"/>
          </w:tcPr>
          <w:p w:rsidR="004A104F" w:rsidRPr="00AD595B" w:rsidP="007C4508">
            <w:pPr>
              <w:keepNext/>
              <w:keepLines/>
              <w:jc w:val="center"/>
              <w:rPr>
                <w:b/>
                <w:bCs/>
              </w:rPr>
            </w:pPr>
            <w:r w:rsidRPr="00AD595B">
              <w:rPr>
                <w:b/>
                <w:bCs/>
              </w:rPr>
              <w:t>28 dBm</w:t>
            </w:r>
          </w:p>
          <w:p w:rsidR="004A104F" w:rsidRPr="00AD595B" w:rsidP="007C4508">
            <w:pPr>
              <w:keepNext/>
              <w:keepLines/>
              <w:jc w:val="center"/>
              <w:rPr>
                <w:b/>
                <w:bCs/>
              </w:rPr>
            </w:pPr>
            <w:r w:rsidRPr="00AD595B">
              <w:rPr>
                <w:b/>
                <w:bCs/>
              </w:rPr>
              <w:t xml:space="preserve">(625 </w:t>
            </w:r>
            <w:r w:rsidRPr="00AD595B">
              <w:rPr>
                <w:b/>
                <w:bCs/>
              </w:rPr>
              <w:t>mW</w:t>
            </w:r>
            <w:r w:rsidRPr="00AD595B">
              <w:rPr>
                <w:b/>
                <w:bCs/>
              </w:rPr>
              <w:t>)</w:t>
            </w:r>
          </w:p>
        </w:tc>
        <w:tc>
          <w:tcPr>
            <w:tcW w:w="1364" w:type="dxa"/>
            <w:tcMar>
              <w:top w:w="15" w:type="dxa"/>
              <w:left w:w="15" w:type="dxa"/>
              <w:bottom w:w="15" w:type="dxa"/>
              <w:right w:w="15" w:type="dxa"/>
            </w:tcMar>
            <w:vAlign w:val="center"/>
          </w:tcPr>
          <w:p w:rsidR="004A104F" w:rsidRPr="00AD595B" w:rsidP="007C4508">
            <w:pPr>
              <w:keepNext/>
              <w:keepLines/>
              <w:jc w:val="center"/>
              <w:rPr>
                <w:b/>
                <w:bCs/>
              </w:rPr>
            </w:pPr>
            <w:r w:rsidRPr="00AD595B">
              <w:rPr>
                <w:b/>
                <w:bCs/>
              </w:rPr>
              <w:t>32 dBm</w:t>
            </w:r>
          </w:p>
          <w:p w:rsidR="004A104F" w:rsidRPr="00AD595B" w:rsidP="007C4508">
            <w:pPr>
              <w:keepNext/>
              <w:keepLines/>
              <w:jc w:val="center"/>
              <w:rPr>
                <w:b/>
                <w:bCs/>
              </w:rPr>
            </w:pPr>
            <w:r w:rsidRPr="00AD595B">
              <w:rPr>
                <w:b/>
                <w:bCs/>
              </w:rPr>
              <w:t xml:space="preserve">(1600 </w:t>
            </w:r>
            <w:r w:rsidRPr="00AD595B">
              <w:rPr>
                <w:b/>
                <w:bCs/>
              </w:rPr>
              <w:t>mW</w:t>
            </w:r>
            <w:r w:rsidRPr="00AD595B">
              <w:rPr>
                <w:b/>
                <w:bCs/>
              </w:rPr>
              <w:t>)</w:t>
            </w:r>
          </w:p>
        </w:tc>
        <w:tc>
          <w:tcPr>
            <w:tcW w:w="1364" w:type="dxa"/>
            <w:tcMar>
              <w:top w:w="15" w:type="dxa"/>
              <w:left w:w="15" w:type="dxa"/>
              <w:bottom w:w="15" w:type="dxa"/>
              <w:right w:w="15" w:type="dxa"/>
            </w:tcMar>
            <w:vAlign w:val="center"/>
          </w:tcPr>
          <w:p w:rsidR="004A104F" w:rsidRPr="00AD595B" w:rsidP="007C4508">
            <w:pPr>
              <w:keepNext/>
              <w:keepLines/>
              <w:jc w:val="center"/>
              <w:rPr>
                <w:b/>
                <w:bCs/>
              </w:rPr>
            </w:pPr>
            <w:r w:rsidRPr="00AD595B">
              <w:rPr>
                <w:b/>
                <w:bCs/>
              </w:rPr>
              <w:t>36 dBm</w:t>
            </w:r>
          </w:p>
          <w:p w:rsidR="004A104F" w:rsidRPr="00AD595B" w:rsidP="007C4508">
            <w:pPr>
              <w:keepNext/>
              <w:keepLines/>
              <w:jc w:val="center"/>
              <w:rPr>
                <w:b/>
                <w:bCs/>
              </w:rPr>
            </w:pPr>
            <w:r w:rsidRPr="00AD595B">
              <w:rPr>
                <w:b/>
                <w:bCs/>
              </w:rPr>
              <w:t>(4 W)</w:t>
            </w:r>
          </w:p>
        </w:tc>
        <w:tc>
          <w:tcPr>
            <w:tcW w:w="1364" w:type="dxa"/>
            <w:vAlign w:val="center"/>
          </w:tcPr>
          <w:p w:rsidR="004A104F" w:rsidRPr="00AD595B" w:rsidP="007C4508">
            <w:pPr>
              <w:keepNext/>
              <w:keepLines/>
              <w:jc w:val="center"/>
              <w:rPr>
                <w:b/>
                <w:bCs/>
              </w:rPr>
            </w:pPr>
            <w:r w:rsidRPr="00AD595B">
              <w:rPr>
                <w:b/>
                <w:bCs/>
              </w:rPr>
              <w:t>40 dBm</w:t>
            </w:r>
          </w:p>
          <w:p w:rsidR="004A104F" w:rsidRPr="00AD595B" w:rsidP="007C4508">
            <w:pPr>
              <w:keepNext/>
              <w:keepLines/>
              <w:jc w:val="center"/>
              <w:rPr>
                <w:b/>
                <w:bCs/>
              </w:rPr>
            </w:pPr>
            <w:r w:rsidRPr="00AD595B">
              <w:rPr>
                <w:b/>
                <w:bCs/>
              </w:rPr>
              <w:t>(10 W)</w:t>
            </w:r>
          </w:p>
        </w:tc>
        <w:tc>
          <w:tcPr>
            <w:tcW w:w="1364" w:type="dxa"/>
            <w:vAlign w:val="center"/>
          </w:tcPr>
          <w:p w:rsidR="004A104F" w:rsidRPr="00AD595B" w:rsidP="007C4508">
            <w:pPr>
              <w:keepNext/>
              <w:keepLines/>
              <w:jc w:val="center"/>
              <w:rPr>
                <w:b/>
                <w:bCs/>
              </w:rPr>
            </w:pPr>
            <w:r w:rsidRPr="00AD595B">
              <w:rPr>
                <w:b/>
                <w:bCs/>
              </w:rPr>
              <w:t>42 dBm</w:t>
            </w:r>
          </w:p>
          <w:p w:rsidR="004A104F" w:rsidRPr="00AD595B" w:rsidP="007C4508">
            <w:pPr>
              <w:keepNext/>
              <w:keepLines/>
              <w:jc w:val="center"/>
              <w:rPr>
                <w:b/>
                <w:bCs/>
              </w:rPr>
            </w:pPr>
            <w:r w:rsidRPr="00AD595B">
              <w:rPr>
                <w:b/>
                <w:bCs/>
              </w:rPr>
              <w:t>(16 W)</w:t>
            </w:r>
          </w:p>
        </w:tc>
      </w:tr>
      <w:tr w:rsidTr="003D4B64">
        <w:tblPrEx>
          <w:tblW w:w="9360" w:type="dxa"/>
          <w:jc w:val="center"/>
          <w:tblCellSpacing w:w="7" w:type="dxa"/>
          <w:tblLayout w:type="fixed"/>
          <w:tblLook w:val="00A0"/>
        </w:tblPrEx>
        <w:trPr>
          <w:tblCellSpacing w:w="7" w:type="dxa"/>
          <w:jc w:val="center"/>
        </w:trPr>
        <w:tc>
          <w:tcPr>
            <w:tcW w:w="1365" w:type="dxa"/>
            <w:vAlign w:val="center"/>
          </w:tcPr>
          <w:p w:rsidR="004A104F" w:rsidRPr="00AD595B" w:rsidP="007C4508">
            <w:pPr>
              <w:keepNext/>
              <w:keepLines/>
              <w:jc w:val="center"/>
            </w:pPr>
            <w:r w:rsidRPr="00AD595B">
              <w:t>Less than 3</w:t>
            </w:r>
          </w:p>
        </w:tc>
        <w:tc>
          <w:tcPr>
            <w:tcW w:w="1365" w:type="dxa"/>
            <w:tcMar>
              <w:top w:w="15" w:type="dxa"/>
              <w:left w:w="15" w:type="dxa"/>
              <w:bottom w:w="15" w:type="dxa"/>
              <w:right w:w="15" w:type="dxa"/>
            </w:tcMar>
            <w:vAlign w:val="center"/>
          </w:tcPr>
          <w:p w:rsidR="004A104F" w:rsidRPr="00AD595B" w:rsidP="007C4508">
            <w:pPr>
              <w:keepNext/>
              <w:keepLines/>
              <w:jc w:val="center"/>
            </w:pPr>
            <w:r w:rsidRPr="00AD595B">
              <w:t>0.1</w:t>
            </w:r>
          </w:p>
        </w:tc>
        <w:tc>
          <w:tcPr>
            <w:tcW w:w="1364" w:type="dxa"/>
            <w:tcMar>
              <w:top w:w="15" w:type="dxa"/>
              <w:left w:w="15" w:type="dxa"/>
              <w:bottom w:w="15" w:type="dxa"/>
              <w:right w:w="15" w:type="dxa"/>
            </w:tcMar>
            <w:vAlign w:val="center"/>
          </w:tcPr>
          <w:p w:rsidR="004A104F" w:rsidRPr="00AD595B" w:rsidP="007C4508">
            <w:pPr>
              <w:keepNext/>
              <w:keepLines/>
              <w:jc w:val="center"/>
            </w:pPr>
            <w:r w:rsidRPr="00AD595B">
              <w:t>0.1</w:t>
            </w:r>
          </w:p>
        </w:tc>
        <w:tc>
          <w:tcPr>
            <w:tcW w:w="1364" w:type="dxa"/>
            <w:tcMar>
              <w:top w:w="15" w:type="dxa"/>
              <w:left w:w="15" w:type="dxa"/>
              <w:bottom w:w="15" w:type="dxa"/>
              <w:right w:w="15" w:type="dxa"/>
            </w:tcMar>
            <w:vAlign w:val="center"/>
          </w:tcPr>
          <w:p w:rsidR="004A104F" w:rsidRPr="00AD595B" w:rsidP="007C4508">
            <w:pPr>
              <w:keepNext/>
              <w:keepLines/>
              <w:jc w:val="center"/>
            </w:pPr>
            <w:r w:rsidRPr="00AD595B">
              <w:t>0.1</w:t>
            </w:r>
          </w:p>
        </w:tc>
        <w:tc>
          <w:tcPr>
            <w:tcW w:w="1364" w:type="dxa"/>
            <w:tcMar>
              <w:top w:w="15" w:type="dxa"/>
              <w:left w:w="15" w:type="dxa"/>
              <w:bottom w:w="15" w:type="dxa"/>
              <w:right w:w="15" w:type="dxa"/>
            </w:tcMar>
            <w:vAlign w:val="center"/>
          </w:tcPr>
          <w:p w:rsidR="004A104F" w:rsidRPr="00AD595B" w:rsidP="007C4508">
            <w:pPr>
              <w:keepNext/>
              <w:keepLines/>
              <w:jc w:val="center"/>
            </w:pPr>
            <w:r w:rsidRPr="00AD595B">
              <w:t>0.1</w:t>
            </w:r>
          </w:p>
        </w:tc>
        <w:tc>
          <w:tcPr>
            <w:tcW w:w="1364" w:type="dxa"/>
            <w:tcMar>
              <w:top w:w="15" w:type="dxa"/>
              <w:left w:w="15" w:type="dxa"/>
              <w:bottom w:w="15" w:type="dxa"/>
              <w:right w:w="15" w:type="dxa"/>
            </w:tcMar>
            <w:vAlign w:val="center"/>
          </w:tcPr>
          <w:p w:rsidR="004A104F" w:rsidRPr="00AD595B" w:rsidP="007C4508">
            <w:pPr>
              <w:keepNext/>
              <w:keepLines/>
              <w:jc w:val="center"/>
            </w:pPr>
            <w:r w:rsidRPr="00AD595B">
              <w:t>0.2</w:t>
            </w:r>
          </w:p>
        </w:tc>
        <w:tc>
          <w:tcPr>
            <w:tcW w:w="1364" w:type="dxa"/>
            <w:vAlign w:val="center"/>
          </w:tcPr>
          <w:p w:rsidR="004A104F" w:rsidRPr="00AD595B" w:rsidP="007C4508">
            <w:pPr>
              <w:keepNext/>
              <w:keepLines/>
              <w:jc w:val="center"/>
            </w:pPr>
            <w:r w:rsidRPr="00AD595B">
              <w:t>0.2</w:t>
            </w:r>
          </w:p>
        </w:tc>
        <w:tc>
          <w:tcPr>
            <w:tcW w:w="1364" w:type="dxa"/>
            <w:vAlign w:val="center"/>
          </w:tcPr>
          <w:p w:rsidR="004A104F" w:rsidRPr="00AD595B" w:rsidP="007C4508">
            <w:pPr>
              <w:keepNext/>
              <w:keepLines/>
              <w:jc w:val="center"/>
            </w:pPr>
            <w:r w:rsidRPr="00AD595B">
              <w:t>0.3</w:t>
            </w:r>
          </w:p>
        </w:tc>
      </w:tr>
      <w:tr w:rsidTr="004A104F">
        <w:tblPrEx>
          <w:tblW w:w="9360" w:type="dxa"/>
          <w:jc w:val="center"/>
          <w:tblCellSpacing w:w="7" w:type="dxa"/>
          <w:tblLayout w:type="fixed"/>
          <w:tblLook w:val="00A0"/>
        </w:tblPrEx>
        <w:trPr>
          <w:tblCellSpacing w:w="7" w:type="dxa"/>
          <w:jc w:val="center"/>
        </w:trPr>
        <w:tc>
          <w:tcPr>
            <w:tcW w:w="1365" w:type="dxa"/>
            <w:vAlign w:val="center"/>
          </w:tcPr>
          <w:p w:rsidR="004A104F" w:rsidRPr="00AD595B" w:rsidP="007C4508">
            <w:pPr>
              <w:keepNext/>
              <w:keepLines/>
              <w:jc w:val="center"/>
            </w:pPr>
            <w:r w:rsidRPr="00AD595B">
              <w:t>3 - 10</w:t>
            </w:r>
          </w:p>
        </w:tc>
        <w:tc>
          <w:tcPr>
            <w:tcW w:w="1365" w:type="dxa"/>
            <w:tcMar>
              <w:top w:w="15" w:type="dxa"/>
              <w:left w:w="15" w:type="dxa"/>
              <w:bottom w:w="15" w:type="dxa"/>
              <w:right w:w="15" w:type="dxa"/>
            </w:tcMar>
            <w:vAlign w:val="center"/>
          </w:tcPr>
          <w:p w:rsidR="004A104F" w:rsidRPr="00AD595B" w:rsidP="007C4508">
            <w:pPr>
              <w:keepNext/>
              <w:keepLines/>
              <w:jc w:val="center"/>
            </w:pPr>
            <w:r w:rsidRPr="00AD595B">
              <w:t>0.1</w:t>
            </w:r>
          </w:p>
        </w:tc>
        <w:tc>
          <w:tcPr>
            <w:tcW w:w="1364" w:type="dxa"/>
            <w:tcMar>
              <w:top w:w="15" w:type="dxa"/>
              <w:left w:w="15" w:type="dxa"/>
              <w:bottom w:w="15" w:type="dxa"/>
              <w:right w:w="15" w:type="dxa"/>
            </w:tcMar>
            <w:vAlign w:val="center"/>
          </w:tcPr>
          <w:p w:rsidR="004A104F" w:rsidRPr="00AD595B" w:rsidP="007C4508">
            <w:pPr>
              <w:keepNext/>
              <w:keepLines/>
              <w:jc w:val="center"/>
            </w:pPr>
            <w:r w:rsidRPr="00AD595B">
              <w:t>0.2</w:t>
            </w:r>
          </w:p>
        </w:tc>
        <w:tc>
          <w:tcPr>
            <w:tcW w:w="1364" w:type="dxa"/>
            <w:tcMar>
              <w:top w:w="15" w:type="dxa"/>
              <w:left w:w="15" w:type="dxa"/>
              <w:bottom w:w="15" w:type="dxa"/>
              <w:right w:w="15" w:type="dxa"/>
            </w:tcMar>
            <w:vAlign w:val="center"/>
          </w:tcPr>
          <w:p w:rsidR="004A104F" w:rsidRPr="00AD595B" w:rsidP="007C4508">
            <w:pPr>
              <w:keepNext/>
              <w:keepLines/>
              <w:jc w:val="center"/>
            </w:pPr>
            <w:r w:rsidRPr="00AD595B">
              <w:t>0.2</w:t>
            </w:r>
          </w:p>
        </w:tc>
        <w:tc>
          <w:tcPr>
            <w:tcW w:w="1364" w:type="dxa"/>
            <w:tcMar>
              <w:top w:w="15" w:type="dxa"/>
              <w:left w:w="15" w:type="dxa"/>
              <w:bottom w:w="15" w:type="dxa"/>
              <w:right w:w="15" w:type="dxa"/>
            </w:tcMar>
            <w:vAlign w:val="center"/>
          </w:tcPr>
          <w:p w:rsidR="004A104F" w:rsidRPr="00AD595B" w:rsidP="007C4508">
            <w:pPr>
              <w:keepNext/>
              <w:keepLines/>
              <w:jc w:val="center"/>
            </w:pPr>
            <w:r w:rsidRPr="00AD595B">
              <w:t>0.2</w:t>
            </w:r>
          </w:p>
        </w:tc>
        <w:tc>
          <w:tcPr>
            <w:tcW w:w="1364" w:type="dxa"/>
            <w:tcMar>
              <w:top w:w="15" w:type="dxa"/>
              <w:left w:w="15" w:type="dxa"/>
              <w:bottom w:w="15" w:type="dxa"/>
              <w:right w:w="15" w:type="dxa"/>
            </w:tcMar>
            <w:vAlign w:val="center"/>
          </w:tcPr>
          <w:p w:rsidR="004A104F" w:rsidRPr="00AD595B" w:rsidP="007C4508">
            <w:pPr>
              <w:keepNext/>
              <w:keepLines/>
              <w:jc w:val="center"/>
            </w:pPr>
            <w:r w:rsidRPr="00AD595B">
              <w:t>0.3</w:t>
            </w:r>
          </w:p>
        </w:tc>
        <w:tc>
          <w:tcPr>
            <w:tcW w:w="1364" w:type="dxa"/>
          </w:tcPr>
          <w:p w:rsidR="004A104F" w:rsidRPr="00AD595B" w:rsidP="007C4508">
            <w:pPr>
              <w:keepNext/>
              <w:keepLines/>
              <w:jc w:val="center"/>
            </w:pPr>
            <w:r w:rsidRPr="00AD595B">
              <w:t>0.4</w:t>
            </w:r>
          </w:p>
        </w:tc>
        <w:tc>
          <w:tcPr>
            <w:tcW w:w="1364" w:type="dxa"/>
          </w:tcPr>
          <w:p w:rsidR="004A104F" w:rsidRPr="00AD595B" w:rsidP="007C4508">
            <w:pPr>
              <w:keepNext/>
              <w:keepLines/>
              <w:jc w:val="center"/>
            </w:pPr>
            <w:r w:rsidRPr="00AD595B">
              <w:t>0.5</w:t>
            </w:r>
          </w:p>
        </w:tc>
      </w:tr>
      <w:tr w:rsidTr="004A104F">
        <w:tblPrEx>
          <w:tblW w:w="9360" w:type="dxa"/>
          <w:jc w:val="center"/>
          <w:tblCellSpacing w:w="7" w:type="dxa"/>
          <w:tblLayout w:type="fixed"/>
          <w:tblLook w:val="00A0"/>
        </w:tblPrEx>
        <w:trPr>
          <w:tblCellSpacing w:w="7" w:type="dxa"/>
          <w:jc w:val="center"/>
        </w:trPr>
        <w:tc>
          <w:tcPr>
            <w:tcW w:w="1365" w:type="dxa"/>
            <w:vAlign w:val="center"/>
          </w:tcPr>
          <w:p w:rsidR="004A104F" w:rsidRPr="00AD595B" w:rsidP="007C4508">
            <w:pPr>
              <w:keepNext/>
              <w:keepLines/>
              <w:jc w:val="center"/>
            </w:pPr>
            <w:r w:rsidRPr="00AD595B">
              <w:t>10 - 30</w:t>
            </w:r>
          </w:p>
        </w:tc>
        <w:tc>
          <w:tcPr>
            <w:tcW w:w="1365" w:type="dxa"/>
            <w:tcMar>
              <w:top w:w="15" w:type="dxa"/>
              <w:left w:w="15" w:type="dxa"/>
              <w:bottom w:w="15" w:type="dxa"/>
              <w:right w:w="15" w:type="dxa"/>
            </w:tcMar>
            <w:vAlign w:val="center"/>
          </w:tcPr>
          <w:p w:rsidR="004A104F" w:rsidRPr="00AD595B" w:rsidP="007C4508">
            <w:pPr>
              <w:keepNext/>
              <w:keepLines/>
              <w:jc w:val="center"/>
            </w:pPr>
            <w:r w:rsidRPr="00AD595B">
              <w:t>0.2</w:t>
            </w:r>
          </w:p>
        </w:tc>
        <w:tc>
          <w:tcPr>
            <w:tcW w:w="1364" w:type="dxa"/>
            <w:tcMar>
              <w:top w:w="15" w:type="dxa"/>
              <w:left w:w="15" w:type="dxa"/>
              <w:bottom w:w="15" w:type="dxa"/>
              <w:right w:w="15" w:type="dxa"/>
            </w:tcMar>
            <w:vAlign w:val="center"/>
          </w:tcPr>
          <w:p w:rsidR="004A104F" w:rsidRPr="00AD595B" w:rsidP="007C4508">
            <w:pPr>
              <w:keepNext/>
              <w:keepLines/>
              <w:jc w:val="center"/>
            </w:pPr>
            <w:r w:rsidRPr="00AD595B">
              <w:t>0.3</w:t>
            </w:r>
          </w:p>
        </w:tc>
        <w:tc>
          <w:tcPr>
            <w:tcW w:w="1364" w:type="dxa"/>
            <w:tcMar>
              <w:top w:w="15" w:type="dxa"/>
              <w:left w:w="15" w:type="dxa"/>
              <w:bottom w:w="15" w:type="dxa"/>
              <w:right w:w="15" w:type="dxa"/>
            </w:tcMar>
            <w:vAlign w:val="center"/>
          </w:tcPr>
          <w:p w:rsidR="004A104F" w:rsidRPr="00AD595B" w:rsidP="007C4508">
            <w:pPr>
              <w:keepNext/>
              <w:keepLines/>
              <w:jc w:val="center"/>
            </w:pPr>
            <w:r w:rsidRPr="00AD595B">
              <w:t>0.3</w:t>
            </w:r>
          </w:p>
        </w:tc>
        <w:tc>
          <w:tcPr>
            <w:tcW w:w="1364" w:type="dxa"/>
            <w:tcMar>
              <w:top w:w="15" w:type="dxa"/>
              <w:left w:w="15" w:type="dxa"/>
              <w:bottom w:w="15" w:type="dxa"/>
              <w:right w:w="15" w:type="dxa"/>
            </w:tcMar>
            <w:vAlign w:val="center"/>
          </w:tcPr>
          <w:p w:rsidR="004A104F" w:rsidRPr="00AD595B" w:rsidP="007C4508">
            <w:pPr>
              <w:keepNext/>
              <w:keepLines/>
              <w:jc w:val="center"/>
            </w:pPr>
            <w:r w:rsidRPr="00AD595B">
              <w:t>0.4</w:t>
            </w:r>
          </w:p>
        </w:tc>
        <w:tc>
          <w:tcPr>
            <w:tcW w:w="1364" w:type="dxa"/>
            <w:tcMar>
              <w:top w:w="15" w:type="dxa"/>
              <w:left w:w="15" w:type="dxa"/>
              <w:bottom w:w="15" w:type="dxa"/>
              <w:right w:w="15" w:type="dxa"/>
            </w:tcMar>
            <w:vAlign w:val="center"/>
          </w:tcPr>
          <w:p w:rsidR="004A104F" w:rsidRPr="00AD595B" w:rsidP="007C4508">
            <w:pPr>
              <w:keepNext/>
              <w:keepLines/>
              <w:jc w:val="center"/>
            </w:pPr>
            <w:r w:rsidRPr="00AD595B">
              <w:t>0.5</w:t>
            </w:r>
          </w:p>
        </w:tc>
        <w:tc>
          <w:tcPr>
            <w:tcW w:w="1364" w:type="dxa"/>
          </w:tcPr>
          <w:p w:rsidR="004A104F" w:rsidRPr="00AD595B" w:rsidP="007C4508">
            <w:pPr>
              <w:keepNext/>
              <w:keepLines/>
              <w:jc w:val="center"/>
            </w:pPr>
            <w:r w:rsidRPr="00AD595B">
              <w:t>0.6</w:t>
            </w:r>
          </w:p>
        </w:tc>
        <w:tc>
          <w:tcPr>
            <w:tcW w:w="1364" w:type="dxa"/>
          </w:tcPr>
          <w:p w:rsidR="004A104F" w:rsidRPr="00AD595B" w:rsidP="007C4508">
            <w:pPr>
              <w:keepNext/>
              <w:keepLines/>
              <w:jc w:val="center"/>
            </w:pPr>
            <w:r w:rsidRPr="00AD595B">
              <w:t>0.7</w:t>
            </w:r>
          </w:p>
        </w:tc>
      </w:tr>
      <w:tr w:rsidTr="004A104F">
        <w:tblPrEx>
          <w:tblW w:w="9360" w:type="dxa"/>
          <w:jc w:val="center"/>
          <w:tblCellSpacing w:w="7" w:type="dxa"/>
          <w:tblLayout w:type="fixed"/>
          <w:tblLook w:val="00A0"/>
        </w:tblPrEx>
        <w:trPr>
          <w:tblCellSpacing w:w="7" w:type="dxa"/>
          <w:jc w:val="center"/>
        </w:trPr>
        <w:tc>
          <w:tcPr>
            <w:tcW w:w="1365" w:type="dxa"/>
            <w:vAlign w:val="center"/>
          </w:tcPr>
          <w:p w:rsidR="004A104F" w:rsidRPr="00AD595B" w:rsidP="007C4508">
            <w:pPr>
              <w:keepNext/>
              <w:keepLines/>
              <w:jc w:val="center"/>
            </w:pPr>
            <w:r w:rsidRPr="00AD595B">
              <w:t>30 - 50</w:t>
            </w:r>
          </w:p>
        </w:tc>
        <w:tc>
          <w:tcPr>
            <w:tcW w:w="1365" w:type="dxa"/>
            <w:tcMar>
              <w:top w:w="15" w:type="dxa"/>
              <w:left w:w="15" w:type="dxa"/>
              <w:bottom w:w="15" w:type="dxa"/>
              <w:right w:w="15" w:type="dxa"/>
            </w:tcMar>
            <w:vAlign w:val="center"/>
          </w:tcPr>
          <w:p w:rsidR="004A104F" w:rsidRPr="00AD595B" w:rsidP="007C4508">
            <w:pPr>
              <w:keepNext/>
              <w:keepLines/>
              <w:jc w:val="center"/>
            </w:pPr>
            <w:r w:rsidRPr="00AD595B">
              <w:t>0.3</w:t>
            </w:r>
          </w:p>
        </w:tc>
        <w:tc>
          <w:tcPr>
            <w:tcW w:w="1364" w:type="dxa"/>
            <w:tcMar>
              <w:top w:w="15" w:type="dxa"/>
              <w:left w:w="15" w:type="dxa"/>
              <w:bottom w:w="15" w:type="dxa"/>
              <w:right w:w="15" w:type="dxa"/>
            </w:tcMar>
            <w:vAlign w:val="center"/>
          </w:tcPr>
          <w:p w:rsidR="004A104F" w:rsidRPr="00AD595B" w:rsidP="007C4508">
            <w:pPr>
              <w:keepNext/>
              <w:keepLines/>
              <w:jc w:val="center"/>
            </w:pPr>
            <w:r w:rsidRPr="00AD595B">
              <w:t>0.3</w:t>
            </w:r>
          </w:p>
        </w:tc>
        <w:tc>
          <w:tcPr>
            <w:tcW w:w="1364" w:type="dxa"/>
            <w:tcMar>
              <w:top w:w="15" w:type="dxa"/>
              <w:left w:w="15" w:type="dxa"/>
              <w:bottom w:w="15" w:type="dxa"/>
              <w:right w:w="15" w:type="dxa"/>
            </w:tcMar>
            <w:vAlign w:val="center"/>
          </w:tcPr>
          <w:p w:rsidR="004A104F" w:rsidRPr="00AD595B" w:rsidP="007C4508">
            <w:pPr>
              <w:keepNext/>
              <w:keepLines/>
              <w:jc w:val="center"/>
            </w:pPr>
            <w:r w:rsidRPr="00AD595B">
              <w:t>0.4</w:t>
            </w:r>
          </w:p>
        </w:tc>
        <w:tc>
          <w:tcPr>
            <w:tcW w:w="1364" w:type="dxa"/>
            <w:tcMar>
              <w:top w:w="15" w:type="dxa"/>
              <w:left w:w="15" w:type="dxa"/>
              <w:bottom w:w="15" w:type="dxa"/>
              <w:right w:w="15" w:type="dxa"/>
            </w:tcMar>
            <w:vAlign w:val="center"/>
          </w:tcPr>
          <w:p w:rsidR="004A104F" w:rsidRPr="00AD595B" w:rsidP="007C4508">
            <w:pPr>
              <w:keepNext/>
              <w:keepLines/>
              <w:jc w:val="center"/>
            </w:pPr>
            <w:r w:rsidRPr="00AD595B">
              <w:t>0.5</w:t>
            </w:r>
          </w:p>
        </w:tc>
        <w:tc>
          <w:tcPr>
            <w:tcW w:w="1364" w:type="dxa"/>
            <w:tcMar>
              <w:top w:w="15" w:type="dxa"/>
              <w:left w:w="15" w:type="dxa"/>
              <w:bottom w:w="15" w:type="dxa"/>
              <w:right w:w="15" w:type="dxa"/>
            </w:tcMar>
            <w:vAlign w:val="center"/>
          </w:tcPr>
          <w:p w:rsidR="004A104F" w:rsidRPr="00AD595B" w:rsidP="007C4508">
            <w:pPr>
              <w:keepNext/>
              <w:keepLines/>
              <w:jc w:val="center"/>
            </w:pPr>
            <w:r w:rsidRPr="00AD595B">
              <w:t>0.7</w:t>
            </w:r>
          </w:p>
        </w:tc>
        <w:tc>
          <w:tcPr>
            <w:tcW w:w="1364" w:type="dxa"/>
          </w:tcPr>
          <w:p w:rsidR="004A104F" w:rsidRPr="00AD595B" w:rsidP="007C4508">
            <w:pPr>
              <w:keepNext/>
              <w:keepLines/>
              <w:jc w:val="center"/>
            </w:pPr>
            <w:r w:rsidRPr="00AD595B">
              <w:t>0.8</w:t>
            </w:r>
          </w:p>
        </w:tc>
        <w:tc>
          <w:tcPr>
            <w:tcW w:w="1364" w:type="dxa"/>
          </w:tcPr>
          <w:p w:rsidR="004A104F" w:rsidRPr="00AD595B" w:rsidP="007C4508">
            <w:pPr>
              <w:keepNext/>
              <w:keepLines/>
              <w:jc w:val="center"/>
            </w:pPr>
            <w:r w:rsidRPr="00AD595B">
              <w:t>1.0</w:t>
            </w:r>
          </w:p>
        </w:tc>
      </w:tr>
      <w:tr w:rsidTr="004A104F">
        <w:tblPrEx>
          <w:tblW w:w="9360" w:type="dxa"/>
          <w:jc w:val="center"/>
          <w:tblCellSpacing w:w="7" w:type="dxa"/>
          <w:tblLayout w:type="fixed"/>
          <w:tblLook w:val="00A0"/>
        </w:tblPrEx>
        <w:trPr>
          <w:tblCellSpacing w:w="7" w:type="dxa"/>
          <w:jc w:val="center"/>
        </w:trPr>
        <w:tc>
          <w:tcPr>
            <w:tcW w:w="1365" w:type="dxa"/>
            <w:vAlign w:val="center"/>
          </w:tcPr>
          <w:p w:rsidR="004A104F" w:rsidRPr="00AD595B" w:rsidP="007C4508">
            <w:pPr>
              <w:keepNext/>
              <w:keepLines/>
              <w:jc w:val="center"/>
            </w:pPr>
            <w:r w:rsidRPr="00AD595B">
              <w:t>50 - 75</w:t>
            </w:r>
          </w:p>
        </w:tc>
        <w:tc>
          <w:tcPr>
            <w:tcW w:w="1365" w:type="dxa"/>
            <w:tcMar>
              <w:top w:w="15" w:type="dxa"/>
              <w:left w:w="15" w:type="dxa"/>
              <w:bottom w:w="15" w:type="dxa"/>
              <w:right w:w="15" w:type="dxa"/>
            </w:tcMar>
            <w:vAlign w:val="center"/>
          </w:tcPr>
          <w:p w:rsidR="004A104F" w:rsidRPr="00AD595B" w:rsidP="007C4508">
            <w:pPr>
              <w:keepNext/>
              <w:keepLines/>
              <w:jc w:val="center"/>
            </w:pPr>
            <w:r w:rsidRPr="00AD595B">
              <w:t>0.3</w:t>
            </w:r>
          </w:p>
        </w:tc>
        <w:tc>
          <w:tcPr>
            <w:tcW w:w="1364" w:type="dxa"/>
            <w:tcMar>
              <w:top w:w="15" w:type="dxa"/>
              <w:left w:w="15" w:type="dxa"/>
              <w:bottom w:w="15" w:type="dxa"/>
              <w:right w:w="15" w:type="dxa"/>
            </w:tcMar>
            <w:vAlign w:val="center"/>
          </w:tcPr>
          <w:p w:rsidR="004A104F" w:rsidRPr="00AD595B" w:rsidP="007C4508">
            <w:pPr>
              <w:keepNext/>
              <w:keepLines/>
              <w:jc w:val="center"/>
            </w:pPr>
            <w:r w:rsidRPr="00AD595B">
              <w:t>0.4</w:t>
            </w:r>
          </w:p>
        </w:tc>
        <w:tc>
          <w:tcPr>
            <w:tcW w:w="1364" w:type="dxa"/>
            <w:tcMar>
              <w:top w:w="15" w:type="dxa"/>
              <w:left w:w="15" w:type="dxa"/>
              <w:bottom w:w="15" w:type="dxa"/>
              <w:right w:w="15" w:type="dxa"/>
            </w:tcMar>
            <w:vAlign w:val="center"/>
          </w:tcPr>
          <w:p w:rsidR="004A104F" w:rsidRPr="00AD595B" w:rsidP="007C4508">
            <w:pPr>
              <w:keepNext/>
              <w:keepLines/>
              <w:jc w:val="center"/>
            </w:pPr>
            <w:r w:rsidRPr="00AD595B">
              <w:t>0.5</w:t>
            </w:r>
          </w:p>
        </w:tc>
        <w:tc>
          <w:tcPr>
            <w:tcW w:w="1364" w:type="dxa"/>
            <w:tcMar>
              <w:top w:w="15" w:type="dxa"/>
              <w:left w:w="15" w:type="dxa"/>
              <w:bottom w:w="15" w:type="dxa"/>
              <w:right w:w="15" w:type="dxa"/>
            </w:tcMar>
            <w:vAlign w:val="center"/>
          </w:tcPr>
          <w:p w:rsidR="004A104F" w:rsidRPr="00AD595B" w:rsidP="007C4508">
            <w:pPr>
              <w:keepNext/>
              <w:keepLines/>
              <w:jc w:val="center"/>
            </w:pPr>
            <w:r w:rsidRPr="00AD595B">
              <w:t>0.7</w:t>
            </w:r>
          </w:p>
        </w:tc>
        <w:tc>
          <w:tcPr>
            <w:tcW w:w="1364" w:type="dxa"/>
            <w:tcMar>
              <w:top w:w="15" w:type="dxa"/>
              <w:left w:w="15" w:type="dxa"/>
              <w:bottom w:w="15" w:type="dxa"/>
              <w:right w:w="15" w:type="dxa"/>
            </w:tcMar>
            <w:vAlign w:val="center"/>
          </w:tcPr>
          <w:p w:rsidR="004A104F" w:rsidRPr="00AD595B" w:rsidP="007C4508">
            <w:pPr>
              <w:keepNext/>
              <w:keepLines/>
              <w:jc w:val="center"/>
            </w:pPr>
            <w:r w:rsidRPr="00AD595B">
              <w:t>0.8</w:t>
            </w:r>
          </w:p>
        </w:tc>
        <w:tc>
          <w:tcPr>
            <w:tcW w:w="1364" w:type="dxa"/>
          </w:tcPr>
          <w:p w:rsidR="004A104F" w:rsidRPr="00AD595B" w:rsidP="007C4508">
            <w:pPr>
              <w:keepNext/>
              <w:keepLines/>
              <w:jc w:val="center"/>
            </w:pPr>
            <w:r w:rsidRPr="00AD595B">
              <w:t>0.9</w:t>
            </w:r>
          </w:p>
        </w:tc>
        <w:tc>
          <w:tcPr>
            <w:tcW w:w="1364" w:type="dxa"/>
          </w:tcPr>
          <w:p w:rsidR="004A104F" w:rsidRPr="00AD595B" w:rsidP="007C4508">
            <w:pPr>
              <w:keepNext/>
              <w:keepLines/>
              <w:jc w:val="center"/>
            </w:pPr>
            <w:r w:rsidRPr="00AD595B">
              <w:t>1.0</w:t>
            </w:r>
          </w:p>
        </w:tc>
      </w:tr>
      <w:tr w:rsidTr="004A104F">
        <w:tblPrEx>
          <w:tblW w:w="9360" w:type="dxa"/>
          <w:jc w:val="center"/>
          <w:tblCellSpacing w:w="7" w:type="dxa"/>
          <w:tblLayout w:type="fixed"/>
          <w:tblLook w:val="00A0"/>
        </w:tblPrEx>
        <w:trPr>
          <w:tblCellSpacing w:w="7" w:type="dxa"/>
          <w:jc w:val="center"/>
        </w:trPr>
        <w:tc>
          <w:tcPr>
            <w:tcW w:w="1365" w:type="dxa"/>
            <w:vAlign w:val="center"/>
          </w:tcPr>
          <w:p w:rsidR="004A104F" w:rsidRPr="00AD595B" w:rsidP="007C4508">
            <w:pPr>
              <w:jc w:val="center"/>
            </w:pPr>
            <w:r w:rsidRPr="00AD595B">
              <w:t>75 - 100</w:t>
            </w:r>
          </w:p>
        </w:tc>
        <w:tc>
          <w:tcPr>
            <w:tcW w:w="1365" w:type="dxa"/>
            <w:tcMar>
              <w:top w:w="15" w:type="dxa"/>
              <w:left w:w="15" w:type="dxa"/>
              <w:bottom w:w="15" w:type="dxa"/>
              <w:right w:w="15" w:type="dxa"/>
            </w:tcMar>
            <w:vAlign w:val="center"/>
          </w:tcPr>
          <w:p w:rsidR="004A104F" w:rsidRPr="00AD595B" w:rsidP="007C4508">
            <w:pPr>
              <w:jc w:val="center"/>
            </w:pPr>
            <w:r w:rsidRPr="00AD595B">
              <w:t>0.4</w:t>
            </w:r>
          </w:p>
        </w:tc>
        <w:tc>
          <w:tcPr>
            <w:tcW w:w="1364" w:type="dxa"/>
            <w:tcMar>
              <w:top w:w="15" w:type="dxa"/>
              <w:left w:w="15" w:type="dxa"/>
              <w:bottom w:w="15" w:type="dxa"/>
              <w:right w:w="15" w:type="dxa"/>
            </w:tcMar>
            <w:vAlign w:val="center"/>
          </w:tcPr>
          <w:p w:rsidR="004A104F" w:rsidRPr="00AD595B" w:rsidP="007C4508">
            <w:pPr>
              <w:jc w:val="center"/>
            </w:pPr>
            <w:r w:rsidRPr="00AD595B">
              <w:t>0.5</w:t>
            </w:r>
          </w:p>
        </w:tc>
        <w:tc>
          <w:tcPr>
            <w:tcW w:w="1364" w:type="dxa"/>
            <w:tcMar>
              <w:top w:w="15" w:type="dxa"/>
              <w:left w:w="15" w:type="dxa"/>
              <w:bottom w:w="15" w:type="dxa"/>
              <w:right w:w="15" w:type="dxa"/>
            </w:tcMar>
            <w:vAlign w:val="center"/>
          </w:tcPr>
          <w:p w:rsidR="004A104F" w:rsidRPr="00AD595B" w:rsidP="007C4508">
            <w:pPr>
              <w:jc w:val="center"/>
            </w:pPr>
            <w:r w:rsidRPr="00AD595B">
              <w:t>0.6</w:t>
            </w:r>
          </w:p>
        </w:tc>
        <w:tc>
          <w:tcPr>
            <w:tcW w:w="1364" w:type="dxa"/>
            <w:tcMar>
              <w:top w:w="15" w:type="dxa"/>
              <w:left w:w="15" w:type="dxa"/>
              <w:bottom w:w="15" w:type="dxa"/>
              <w:right w:w="15" w:type="dxa"/>
            </w:tcMar>
            <w:vAlign w:val="center"/>
          </w:tcPr>
          <w:p w:rsidR="004A104F" w:rsidRPr="00AD595B" w:rsidP="007C4508">
            <w:pPr>
              <w:jc w:val="center"/>
            </w:pPr>
            <w:r w:rsidRPr="00AD595B">
              <w:t>0.8</w:t>
            </w:r>
          </w:p>
        </w:tc>
        <w:tc>
          <w:tcPr>
            <w:tcW w:w="1364" w:type="dxa"/>
            <w:tcMar>
              <w:top w:w="15" w:type="dxa"/>
              <w:left w:w="15" w:type="dxa"/>
              <w:bottom w:w="15" w:type="dxa"/>
              <w:right w:w="15" w:type="dxa"/>
            </w:tcMar>
            <w:vAlign w:val="center"/>
          </w:tcPr>
          <w:p w:rsidR="004A104F" w:rsidRPr="00AD595B" w:rsidP="007C4508">
            <w:pPr>
              <w:jc w:val="center"/>
            </w:pPr>
            <w:r w:rsidRPr="00AD595B">
              <w:t>1.0</w:t>
            </w:r>
          </w:p>
        </w:tc>
        <w:tc>
          <w:tcPr>
            <w:tcW w:w="1364" w:type="dxa"/>
          </w:tcPr>
          <w:p w:rsidR="004A104F" w:rsidRPr="00AD595B" w:rsidP="007C4508">
            <w:pPr>
              <w:jc w:val="center"/>
            </w:pPr>
            <w:r w:rsidRPr="00AD595B">
              <w:t>1.1</w:t>
            </w:r>
          </w:p>
        </w:tc>
        <w:tc>
          <w:tcPr>
            <w:tcW w:w="1364" w:type="dxa"/>
          </w:tcPr>
          <w:p w:rsidR="004A104F" w:rsidRPr="00AD595B" w:rsidP="007C4508">
            <w:pPr>
              <w:jc w:val="center"/>
            </w:pPr>
            <w:r w:rsidRPr="00AD595B">
              <w:t>1.3</w:t>
            </w:r>
          </w:p>
        </w:tc>
      </w:tr>
      <w:tr w:rsidTr="004A104F">
        <w:tblPrEx>
          <w:tblW w:w="9360" w:type="dxa"/>
          <w:jc w:val="center"/>
          <w:tblCellSpacing w:w="7" w:type="dxa"/>
          <w:tblLayout w:type="fixed"/>
          <w:tblLook w:val="00A0"/>
        </w:tblPrEx>
        <w:trPr>
          <w:tblCellSpacing w:w="7" w:type="dxa"/>
          <w:jc w:val="center"/>
        </w:trPr>
        <w:tc>
          <w:tcPr>
            <w:tcW w:w="1365" w:type="dxa"/>
            <w:vAlign w:val="center"/>
          </w:tcPr>
          <w:p w:rsidR="004A104F" w:rsidRPr="00AD595B" w:rsidP="007C4508">
            <w:pPr>
              <w:jc w:val="center"/>
            </w:pPr>
            <w:r w:rsidRPr="00AD595B">
              <w:t>100 - 150</w:t>
            </w:r>
          </w:p>
        </w:tc>
        <w:tc>
          <w:tcPr>
            <w:tcW w:w="1365" w:type="dxa"/>
            <w:tcMar>
              <w:top w:w="15" w:type="dxa"/>
              <w:left w:w="15" w:type="dxa"/>
              <w:bottom w:w="15" w:type="dxa"/>
              <w:right w:w="15" w:type="dxa"/>
            </w:tcMar>
            <w:vAlign w:val="center"/>
          </w:tcPr>
          <w:p w:rsidR="004A104F" w:rsidRPr="00AD595B" w:rsidP="007C4508">
            <w:pPr>
              <w:jc w:val="center"/>
            </w:pPr>
            <w:r w:rsidRPr="00AD595B">
              <w:t>0.5</w:t>
            </w:r>
          </w:p>
        </w:tc>
        <w:tc>
          <w:tcPr>
            <w:tcW w:w="1364" w:type="dxa"/>
            <w:tcMar>
              <w:top w:w="15" w:type="dxa"/>
              <w:left w:w="15" w:type="dxa"/>
              <w:bottom w:w="15" w:type="dxa"/>
              <w:right w:w="15" w:type="dxa"/>
            </w:tcMar>
            <w:vAlign w:val="center"/>
          </w:tcPr>
          <w:p w:rsidR="004A104F" w:rsidRPr="00AD595B" w:rsidP="007C4508">
            <w:pPr>
              <w:jc w:val="center"/>
            </w:pPr>
            <w:r w:rsidRPr="00AD595B">
              <w:t>0.6</w:t>
            </w:r>
          </w:p>
        </w:tc>
        <w:tc>
          <w:tcPr>
            <w:tcW w:w="1364" w:type="dxa"/>
            <w:tcMar>
              <w:top w:w="15" w:type="dxa"/>
              <w:left w:w="15" w:type="dxa"/>
              <w:bottom w:w="15" w:type="dxa"/>
              <w:right w:w="15" w:type="dxa"/>
            </w:tcMar>
            <w:vAlign w:val="center"/>
          </w:tcPr>
          <w:p w:rsidR="004A104F" w:rsidRPr="00AD595B" w:rsidP="007C4508">
            <w:pPr>
              <w:jc w:val="center"/>
            </w:pPr>
            <w:r w:rsidRPr="00AD595B">
              <w:t>0.8</w:t>
            </w:r>
          </w:p>
        </w:tc>
        <w:tc>
          <w:tcPr>
            <w:tcW w:w="1364" w:type="dxa"/>
            <w:tcMar>
              <w:top w:w="15" w:type="dxa"/>
              <w:left w:w="15" w:type="dxa"/>
              <w:bottom w:w="15" w:type="dxa"/>
              <w:right w:w="15" w:type="dxa"/>
            </w:tcMar>
            <w:vAlign w:val="center"/>
          </w:tcPr>
          <w:p w:rsidR="004A104F" w:rsidRPr="00AD595B" w:rsidP="007C4508">
            <w:pPr>
              <w:jc w:val="center"/>
            </w:pPr>
            <w:r w:rsidRPr="00AD595B">
              <w:t>0.9</w:t>
            </w:r>
          </w:p>
        </w:tc>
        <w:tc>
          <w:tcPr>
            <w:tcW w:w="1364" w:type="dxa"/>
            <w:tcMar>
              <w:top w:w="15" w:type="dxa"/>
              <w:left w:w="15" w:type="dxa"/>
              <w:bottom w:w="15" w:type="dxa"/>
              <w:right w:w="15" w:type="dxa"/>
            </w:tcMar>
            <w:vAlign w:val="center"/>
          </w:tcPr>
          <w:p w:rsidR="004A104F" w:rsidRPr="00AD595B" w:rsidP="007C4508">
            <w:pPr>
              <w:jc w:val="center"/>
            </w:pPr>
            <w:r w:rsidRPr="00AD595B">
              <w:t>1.2</w:t>
            </w:r>
          </w:p>
        </w:tc>
        <w:tc>
          <w:tcPr>
            <w:tcW w:w="1364" w:type="dxa"/>
          </w:tcPr>
          <w:p w:rsidR="004A104F" w:rsidRPr="00AD595B" w:rsidP="007C4508">
            <w:pPr>
              <w:jc w:val="center"/>
            </w:pPr>
            <w:r w:rsidRPr="00AD595B">
              <w:t>1.3</w:t>
            </w:r>
          </w:p>
        </w:tc>
        <w:tc>
          <w:tcPr>
            <w:tcW w:w="1364" w:type="dxa"/>
          </w:tcPr>
          <w:p w:rsidR="004A104F" w:rsidRPr="00AD595B" w:rsidP="007C4508">
            <w:pPr>
              <w:jc w:val="center"/>
            </w:pPr>
            <w:r w:rsidRPr="00AD595B">
              <w:t>1.5</w:t>
            </w:r>
          </w:p>
        </w:tc>
      </w:tr>
      <w:tr w:rsidTr="004A104F">
        <w:tblPrEx>
          <w:tblW w:w="9360" w:type="dxa"/>
          <w:jc w:val="center"/>
          <w:tblCellSpacing w:w="7" w:type="dxa"/>
          <w:tblLayout w:type="fixed"/>
          <w:tblLook w:val="00A0"/>
        </w:tblPrEx>
        <w:trPr>
          <w:tblCellSpacing w:w="7" w:type="dxa"/>
          <w:jc w:val="center"/>
        </w:trPr>
        <w:tc>
          <w:tcPr>
            <w:tcW w:w="1365" w:type="dxa"/>
            <w:vAlign w:val="center"/>
          </w:tcPr>
          <w:p w:rsidR="004A104F" w:rsidRPr="00AD595B" w:rsidP="007C4508">
            <w:pPr>
              <w:jc w:val="center"/>
            </w:pPr>
            <w:r w:rsidRPr="00AD595B">
              <w:t>150 - 200</w:t>
            </w:r>
          </w:p>
        </w:tc>
        <w:tc>
          <w:tcPr>
            <w:tcW w:w="1365" w:type="dxa"/>
            <w:tcMar>
              <w:top w:w="15" w:type="dxa"/>
              <w:left w:w="15" w:type="dxa"/>
              <w:bottom w:w="15" w:type="dxa"/>
              <w:right w:w="15" w:type="dxa"/>
            </w:tcMar>
            <w:vAlign w:val="center"/>
          </w:tcPr>
          <w:p w:rsidR="004A104F" w:rsidRPr="00AD595B" w:rsidP="007C4508">
            <w:pPr>
              <w:jc w:val="center"/>
            </w:pPr>
            <w:r w:rsidRPr="00AD595B">
              <w:t>0.5</w:t>
            </w:r>
          </w:p>
        </w:tc>
        <w:tc>
          <w:tcPr>
            <w:tcW w:w="1364" w:type="dxa"/>
            <w:tcMar>
              <w:top w:w="15" w:type="dxa"/>
              <w:left w:w="15" w:type="dxa"/>
              <w:bottom w:w="15" w:type="dxa"/>
              <w:right w:w="15" w:type="dxa"/>
            </w:tcMar>
            <w:vAlign w:val="center"/>
          </w:tcPr>
          <w:p w:rsidR="004A104F" w:rsidRPr="00AD595B" w:rsidP="007C4508">
            <w:pPr>
              <w:jc w:val="center"/>
            </w:pPr>
            <w:r w:rsidRPr="00AD595B">
              <w:t>0.7</w:t>
            </w:r>
          </w:p>
        </w:tc>
        <w:tc>
          <w:tcPr>
            <w:tcW w:w="1364" w:type="dxa"/>
            <w:tcMar>
              <w:top w:w="15" w:type="dxa"/>
              <w:left w:w="15" w:type="dxa"/>
              <w:bottom w:w="15" w:type="dxa"/>
              <w:right w:w="15" w:type="dxa"/>
            </w:tcMar>
            <w:vAlign w:val="center"/>
          </w:tcPr>
          <w:p w:rsidR="004A104F" w:rsidRPr="00AD595B" w:rsidP="007C4508">
            <w:pPr>
              <w:jc w:val="center"/>
            </w:pPr>
            <w:r w:rsidRPr="00AD595B">
              <w:t>0.9</w:t>
            </w:r>
          </w:p>
        </w:tc>
        <w:tc>
          <w:tcPr>
            <w:tcW w:w="1364" w:type="dxa"/>
            <w:tcMar>
              <w:top w:w="15" w:type="dxa"/>
              <w:left w:w="15" w:type="dxa"/>
              <w:bottom w:w="15" w:type="dxa"/>
              <w:right w:w="15" w:type="dxa"/>
            </w:tcMar>
            <w:vAlign w:val="center"/>
          </w:tcPr>
          <w:p w:rsidR="004A104F" w:rsidRPr="00AD595B" w:rsidP="007C4508">
            <w:pPr>
              <w:jc w:val="center"/>
            </w:pPr>
            <w:r w:rsidRPr="00AD595B">
              <w:t>1.1</w:t>
            </w:r>
          </w:p>
        </w:tc>
        <w:tc>
          <w:tcPr>
            <w:tcW w:w="1364" w:type="dxa"/>
            <w:tcMar>
              <w:top w:w="15" w:type="dxa"/>
              <w:left w:w="15" w:type="dxa"/>
              <w:bottom w:w="15" w:type="dxa"/>
              <w:right w:w="15" w:type="dxa"/>
            </w:tcMar>
            <w:vAlign w:val="center"/>
          </w:tcPr>
          <w:p w:rsidR="004A104F" w:rsidRPr="00AD595B" w:rsidP="007C4508">
            <w:pPr>
              <w:jc w:val="center"/>
            </w:pPr>
            <w:r w:rsidRPr="00AD595B">
              <w:t>1.4</w:t>
            </w:r>
          </w:p>
        </w:tc>
        <w:tc>
          <w:tcPr>
            <w:tcW w:w="1364" w:type="dxa"/>
          </w:tcPr>
          <w:p w:rsidR="004A104F" w:rsidRPr="00AD595B" w:rsidP="007C4508">
            <w:pPr>
              <w:jc w:val="center"/>
            </w:pPr>
            <w:r w:rsidRPr="00AD595B">
              <w:t>1.5</w:t>
            </w:r>
          </w:p>
        </w:tc>
        <w:tc>
          <w:tcPr>
            <w:tcW w:w="1364" w:type="dxa"/>
          </w:tcPr>
          <w:p w:rsidR="004A104F" w:rsidRPr="00AD595B" w:rsidP="007C4508">
            <w:pPr>
              <w:jc w:val="center"/>
            </w:pPr>
            <w:r w:rsidRPr="00AD595B">
              <w:t>1.7</w:t>
            </w:r>
          </w:p>
        </w:tc>
      </w:tr>
      <w:tr w:rsidTr="004A104F">
        <w:tblPrEx>
          <w:tblW w:w="9360" w:type="dxa"/>
          <w:jc w:val="center"/>
          <w:tblCellSpacing w:w="7" w:type="dxa"/>
          <w:tblLayout w:type="fixed"/>
          <w:tblLook w:val="00A0"/>
        </w:tblPrEx>
        <w:trPr>
          <w:tblCellSpacing w:w="7" w:type="dxa"/>
          <w:jc w:val="center"/>
        </w:trPr>
        <w:tc>
          <w:tcPr>
            <w:tcW w:w="1365" w:type="dxa"/>
            <w:vAlign w:val="center"/>
          </w:tcPr>
          <w:p w:rsidR="004A104F" w:rsidRPr="00AD595B" w:rsidP="007C4508">
            <w:pPr>
              <w:jc w:val="center"/>
            </w:pPr>
            <w:r w:rsidRPr="00AD595B">
              <w:t>200 - 250</w:t>
            </w:r>
          </w:p>
        </w:tc>
        <w:tc>
          <w:tcPr>
            <w:tcW w:w="1365" w:type="dxa"/>
            <w:tcMar>
              <w:top w:w="15" w:type="dxa"/>
              <w:left w:w="15" w:type="dxa"/>
              <w:bottom w:w="15" w:type="dxa"/>
              <w:right w:w="15" w:type="dxa"/>
            </w:tcMar>
            <w:vAlign w:val="center"/>
          </w:tcPr>
          <w:p w:rsidR="004A104F" w:rsidRPr="00AD595B" w:rsidP="007C4508">
            <w:pPr>
              <w:jc w:val="center"/>
            </w:pPr>
            <w:r w:rsidRPr="00AD595B">
              <w:t>0.6</w:t>
            </w:r>
          </w:p>
        </w:tc>
        <w:tc>
          <w:tcPr>
            <w:tcW w:w="1364" w:type="dxa"/>
            <w:tcMar>
              <w:top w:w="15" w:type="dxa"/>
              <w:left w:w="15" w:type="dxa"/>
              <w:bottom w:w="15" w:type="dxa"/>
              <w:right w:w="15" w:type="dxa"/>
            </w:tcMar>
            <w:vAlign w:val="center"/>
          </w:tcPr>
          <w:p w:rsidR="004A104F" w:rsidRPr="00AD595B" w:rsidP="007C4508">
            <w:pPr>
              <w:jc w:val="center"/>
            </w:pPr>
            <w:r w:rsidRPr="00AD595B">
              <w:t>0.8</w:t>
            </w:r>
          </w:p>
        </w:tc>
        <w:tc>
          <w:tcPr>
            <w:tcW w:w="1364" w:type="dxa"/>
            <w:tcMar>
              <w:top w:w="15" w:type="dxa"/>
              <w:left w:w="15" w:type="dxa"/>
              <w:bottom w:w="15" w:type="dxa"/>
              <w:right w:w="15" w:type="dxa"/>
            </w:tcMar>
            <w:vAlign w:val="center"/>
          </w:tcPr>
          <w:p w:rsidR="004A104F" w:rsidRPr="00AD595B" w:rsidP="007C4508">
            <w:pPr>
              <w:jc w:val="center"/>
            </w:pPr>
            <w:r w:rsidRPr="00AD595B">
              <w:t>1.0</w:t>
            </w:r>
          </w:p>
        </w:tc>
        <w:tc>
          <w:tcPr>
            <w:tcW w:w="1364" w:type="dxa"/>
            <w:tcMar>
              <w:top w:w="15" w:type="dxa"/>
              <w:left w:w="15" w:type="dxa"/>
              <w:bottom w:w="15" w:type="dxa"/>
              <w:right w:w="15" w:type="dxa"/>
            </w:tcMar>
            <w:vAlign w:val="center"/>
          </w:tcPr>
          <w:p w:rsidR="004A104F" w:rsidRPr="00AD595B" w:rsidP="007C4508">
            <w:pPr>
              <w:jc w:val="center"/>
            </w:pPr>
            <w:r w:rsidRPr="00AD595B">
              <w:t>1.2</w:t>
            </w:r>
          </w:p>
        </w:tc>
        <w:tc>
          <w:tcPr>
            <w:tcW w:w="1364" w:type="dxa"/>
            <w:tcMar>
              <w:top w:w="15" w:type="dxa"/>
              <w:left w:w="15" w:type="dxa"/>
              <w:bottom w:w="15" w:type="dxa"/>
              <w:right w:w="15" w:type="dxa"/>
            </w:tcMar>
            <w:vAlign w:val="center"/>
          </w:tcPr>
          <w:p w:rsidR="004A104F" w:rsidRPr="00AD595B" w:rsidP="007C4508">
            <w:pPr>
              <w:jc w:val="center"/>
            </w:pPr>
            <w:r w:rsidRPr="00AD595B">
              <w:t>1.5</w:t>
            </w:r>
          </w:p>
        </w:tc>
        <w:tc>
          <w:tcPr>
            <w:tcW w:w="1364" w:type="dxa"/>
          </w:tcPr>
          <w:p w:rsidR="004A104F" w:rsidRPr="00AD595B" w:rsidP="007C4508">
            <w:pPr>
              <w:jc w:val="center"/>
            </w:pPr>
            <w:r w:rsidRPr="00AD595B">
              <w:t>1.7</w:t>
            </w:r>
          </w:p>
        </w:tc>
        <w:tc>
          <w:tcPr>
            <w:tcW w:w="1364" w:type="dxa"/>
          </w:tcPr>
          <w:p w:rsidR="004A104F" w:rsidRPr="00AD595B" w:rsidP="007C4508">
            <w:pPr>
              <w:jc w:val="center"/>
            </w:pPr>
            <w:r w:rsidRPr="00AD595B">
              <w:t>1.9</w:t>
            </w:r>
          </w:p>
        </w:tc>
      </w:tr>
      <w:tr w:rsidTr="004A104F">
        <w:tblPrEx>
          <w:tblW w:w="9360" w:type="dxa"/>
          <w:jc w:val="center"/>
          <w:tblCellSpacing w:w="7" w:type="dxa"/>
          <w:tblLayout w:type="fixed"/>
          <w:tblLook w:val="00A0"/>
        </w:tblPrEx>
        <w:trPr>
          <w:tblCellSpacing w:w="7" w:type="dxa"/>
          <w:jc w:val="center"/>
        </w:trPr>
        <w:tc>
          <w:tcPr>
            <w:tcW w:w="1365" w:type="dxa"/>
          </w:tcPr>
          <w:p w:rsidR="004A104F" w:rsidRPr="00AD595B" w:rsidP="007C4508">
            <w:pPr>
              <w:jc w:val="center"/>
            </w:pPr>
            <w:r w:rsidRPr="00AD595B">
              <w:t>250 - 300</w:t>
            </w:r>
          </w:p>
        </w:tc>
        <w:tc>
          <w:tcPr>
            <w:tcW w:w="1365" w:type="dxa"/>
            <w:tcMar>
              <w:top w:w="15" w:type="dxa"/>
              <w:left w:w="15" w:type="dxa"/>
              <w:bottom w:w="15" w:type="dxa"/>
              <w:right w:w="15" w:type="dxa"/>
            </w:tcMar>
            <w:vAlign w:val="center"/>
          </w:tcPr>
          <w:p w:rsidR="004A104F" w:rsidRPr="00AD595B" w:rsidP="007C4508">
            <w:pPr>
              <w:jc w:val="center"/>
            </w:pPr>
            <w:r w:rsidRPr="00AD595B">
              <w:t>0.7</w:t>
            </w:r>
          </w:p>
        </w:tc>
        <w:tc>
          <w:tcPr>
            <w:tcW w:w="1364" w:type="dxa"/>
            <w:tcMar>
              <w:top w:w="15" w:type="dxa"/>
              <w:left w:w="15" w:type="dxa"/>
              <w:bottom w:w="15" w:type="dxa"/>
              <w:right w:w="15" w:type="dxa"/>
            </w:tcMar>
            <w:vAlign w:val="center"/>
          </w:tcPr>
          <w:p w:rsidR="004A104F" w:rsidRPr="00AD595B" w:rsidP="007C4508">
            <w:pPr>
              <w:jc w:val="center"/>
            </w:pPr>
            <w:r w:rsidRPr="00AD595B">
              <w:t>0.8</w:t>
            </w:r>
          </w:p>
        </w:tc>
        <w:tc>
          <w:tcPr>
            <w:tcW w:w="1364" w:type="dxa"/>
            <w:tcMar>
              <w:top w:w="15" w:type="dxa"/>
              <w:left w:w="15" w:type="dxa"/>
              <w:bottom w:w="15" w:type="dxa"/>
              <w:right w:w="15" w:type="dxa"/>
            </w:tcMar>
            <w:vAlign w:val="center"/>
          </w:tcPr>
          <w:p w:rsidR="004A104F" w:rsidRPr="00AD595B" w:rsidP="007C4508">
            <w:pPr>
              <w:jc w:val="center"/>
            </w:pPr>
            <w:r w:rsidRPr="00AD595B">
              <w:t>1.0</w:t>
            </w:r>
          </w:p>
        </w:tc>
        <w:tc>
          <w:tcPr>
            <w:tcW w:w="1364" w:type="dxa"/>
            <w:tcMar>
              <w:top w:w="15" w:type="dxa"/>
              <w:left w:w="15" w:type="dxa"/>
              <w:bottom w:w="15" w:type="dxa"/>
              <w:right w:w="15" w:type="dxa"/>
            </w:tcMar>
            <w:vAlign w:val="center"/>
          </w:tcPr>
          <w:p w:rsidR="004A104F" w:rsidRPr="00AD595B" w:rsidP="007C4508">
            <w:pPr>
              <w:jc w:val="center"/>
            </w:pPr>
            <w:r w:rsidRPr="00AD595B">
              <w:t>1.3</w:t>
            </w:r>
          </w:p>
        </w:tc>
        <w:tc>
          <w:tcPr>
            <w:tcW w:w="1364" w:type="dxa"/>
            <w:tcMar>
              <w:top w:w="15" w:type="dxa"/>
              <w:left w:w="15" w:type="dxa"/>
              <w:bottom w:w="15" w:type="dxa"/>
              <w:right w:w="15" w:type="dxa"/>
            </w:tcMar>
            <w:vAlign w:val="center"/>
          </w:tcPr>
          <w:p w:rsidR="004A104F" w:rsidRPr="00AD595B" w:rsidP="007C4508">
            <w:pPr>
              <w:jc w:val="center"/>
            </w:pPr>
            <w:r w:rsidRPr="00AD595B">
              <w:t>1.6</w:t>
            </w:r>
          </w:p>
        </w:tc>
        <w:tc>
          <w:tcPr>
            <w:tcW w:w="1364" w:type="dxa"/>
          </w:tcPr>
          <w:p w:rsidR="004A104F" w:rsidRPr="00AD595B" w:rsidP="007C4508">
            <w:pPr>
              <w:jc w:val="center"/>
            </w:pPr>
            <w:r w:rsidRPr="00AD595B">
              <w:t>2.1</w:t>
            </w:r>
          </w:p>
        </w:tc>
        <w:tc>
          <w:tcPr>
            <w:tcW w:w="1364" w:type="dxa"/>
          </w:tcPr>
          <w:p w:rsidR="004A104F" w:rsidRPr="00AD595B" w:rsidP="007C4508">
            <w:pPr>
              <w:jc w:val="center"/>
            </w:pPr>
            <w:r w:rsidRPr="00AD595B">
              <w:t>2.3</w:t>
            </w:r>
          </w:p>
        </w:tc>
      </w:tr>
      <w:tr w:rsidTr="004A104F">
        <w:tblPrEx>
          <w:tblW w:w="9360" w:type="dxa"/>
          <w:jc w:val="center"/>
          <w:tblCellSpacing w:w="7" w:type="dxa"/>
          <w:tblLayout w:type="fixed"/>
          <w:tblLook w:val="00A0"/>
        </w:tblPrEx>
        <w:trPr>
          <w:tblCellSpacing w:w="7" w:type="dxa"/>
          <w:jc w:val="center"/>
        </w:trPr>
        <w:tc>
          <w:tcPr>
            <w:tcW w:w="1365" w:type="dxa"/>
          </w:tcPr>
          <w:p w:rsidR="004A104F" w:rsidRPr="00AD595B" w:rsidP="007C4508">
            <w:pPr>
              <w:jc w:val="center"/>
            </w:pPr>
            <w:r w:rsidRPr="00AD595B">
              <w:t>300 - 350</w:t>
            </w:r>
          </w:p>
        </w:tc>
        <w:tc>
          <w:tcPr>
            <w:tcW w:w="1365" w:type="dxa"/>
            <w:tcMar>
              <w:top w:w="15" w:type="dxa"/>
              <w:left w:w="15" w:type="dxa"/>
              <w:bottom w:w="15" w:type="dxa"/>
              <w:right w:w="15" w:type="dxa"/>
            </w:tcMar>
            <w:vAlign w:val="center"/>
          </w:tcPr>
          <w:p w:rsidR="004A104F" w:rsidRPr="00AD595B" w:rsidP="007C4508">
            <w:pPr>
              <w:jc w:val="center"/>
            </w:pPr>
            <w:r w:rsidRPr="00AD595B">
              <w:t>0.7</w:t>
            </w:r>
          </w:p>
        </w:tc>
        <w:tc>
          <w:tcPr>
            <w:tcW w:w="1364" w:type="dxa"/>
            <w:tcMar>
              <w:top w:w="15" w:type="dxa"/>
              <w:left w:w="15" w:type="dxa"/>
              <w:bottom w:w="15" w:type="dxa"/>
              <w:right w:w="15" w:type="dxa"/>
            </w:tcMar>
            <w:vAlign w:val="center"/>
          </w:tcPr>
          <w:p w:rsidR="004A104F" w:rsidRPr="00AD595B" w:rsidP="007C4508">
            <w:pPr>
              <w:jc w:val="center"/>
            </w:pPr>
            <w:r w:rsidRPr="00AD595B">
              <w:t>0.9</w:t>
            </w:r>
          </w:p>
        </w:tc>
        <w:tc>
          <w:tcPr>
            <w:tcW w:w="1364" w:type="dxa"/>
            <w:tcMar>
              <w:top w:w="15" w:type="dxa"/>
              <w:left w:w="15" w:type="dxa"/>
              <w:bottom w:w="15" w:type="dxa"/>
              <w:right w:w="15" w:type="dxa"/>
            </w:tcMar>
            <w:vAlign w:val="center"/>
          </w:tcPr>
          <w:p w:rsidR="004A104F" w:rsidRPr="00AD595B" w:rsidP="007C4508">
            <w:pPr>
              <w:jc w:val="center"/>
            </w:pPr>
            <w:r w:rsidRPr="00AD595B">
              <w:t>1.1</w:t>
            </w:r>
          </w:p>
        </w:tc>
        <w:tc>
          <w:tcPr>
            <w:tcW w:w="1364" w:type="dxa"/>
            <w:tcMar>
              <w:top w:w="15" w:type="dxa"/>
              <w:left w:w="15" w:type="dxa"/>
              <w:bottom w:w="15" w:type="dxa"/>
              <w:right w:w="15" w:type="dxa"/>
            </w:tcMar>
            <w:vAlign w:val="center"/>
          </w:tcPr>
          <w:p w:rsidR="004A104F" w:rsidRPr="00AD595B" w:rsidP="007C4508">
            <w:pPr>
              <w:jc w:val="center"/>
            </w:pPr>
            <w:r w:rsidRPr="00AD595B">
              <w:t>1.4</w:t>
            </w:r>
          </w:p>
        </w:tc>
        <w:tc>
          <w:tcPr>
            <w:tcW w:w="1364" w:type="dxa"/>
            <w:tcMar>
              <w:top w:w="15" w:type="dxa"/>
              <w:left w:w="15" w:type="dxa"/>
              <w:bottom w:w="15" w:type="dxa"/>
              <w:right w:w="15" w:type="dxa"/>
            </w:tcMar>
            <w:vAlign w:val="center"/>
          </w:tcPr>
          <w:p w:rsidR="004A104F" w:rsidRPr="00AD595B" w:rsidP="007C4508">
            <w:pPr>
              <w:jc w:val="center"/>
            </w:pPr>
            <w:r w:rsidRPr="00AD595B">
              <w:t>1.8</w:t>
            </w:r>
          </w:p>
        </w:tc>
        <w:tc>
          <w:tcPr>
            <w:tcW w:w="1364" w:type="dxa"/>
          </w:tcPr>
          <w:p w:rsidR="004A104F" w:rsidRPr="00AD595B" w:rsidP="007C4508">
            <w:pPr>
              <w:jc w:val="center"/>
            </w:pPr>
            <w:r w:rsidRPr="00AD595B">
              <w:t>2.2</w:t>
            </w:r>
          </w:p>
        </w:tc>
        <w:tc>
          <w:tcPr>
            <w:tcW w:w="1364" w:type="dxa"/>
          </w:tcPr>
          <w:p w:rsidR="004A104F" w:rsidRPr="00AD595B" w:rsidP="007C4508">
            <w:pPr>
              <w:jc w:val="center"/>
            </w:pPr>
            <w:r w:rsidRPr="00AD595B">
              <w:t>2.4</w:t>
            </w:r>
          </w:p>
        </w:tc>
      </w:tr>
      <w:tr w:rsidTr="004A104F">
        <w:tblPrEx>
          <w:tblW w:w="9360" w:type="dxa"/>
          <w:jc w:val="center"/>
          <w:tblCellSpacing w:w="7" w:type="dxa"/>
          <w:tblLayout w:type="fixed"/>
          <w:tblLook w:val="00A0"/>
        </w:tblPrEx>
        <w:trPr>
          <w:tblCellSpacing w:w="7" w:type="dxa"/>
          <w:jc w:val="center"/>
        </w:trPr>
        <w:tc>
          <w:tcPr>
            <w:tcW w:w="1365" w:type="dxa"/>
          </w:tcPr>
          <w:p w:rsidR="004A104F" w:rsidRPr="00AD595B" w:rsidP="007C4508">
            <w:pPr>
              <w:jc w:val="center"/>
            </w:pPr>
            <w:r w:rsidRPr="00AD595B">
              <w:t>350 - 400</w:t>
            </w:r>
          </w:p>
        </w:tc>
        <w:tc>
          <w:tcPr>
            <w:tcW w:w="1365" w:type="dxa"/>
            <w:tcMar>
              <w:top w:w="15" w:type="dxa"/>
              <w:left w:w="15" w:type="dxa"/>
              <w:bottom w:w="15" w:type="dxa"/>
              <w:right w:w="15" w:type="dxa"/>
            </w:tcMar>
            <w:vAlign w:val="center"/>
          </w:tcPr>
          <w:p w:rsidR="004A104F" w:rsidRPr="00AD595B" w:rsidP="007C4508">
            <w:pPr>
              <w:jc w:val="center"/>
            </w:pPr>
            <w:r w:rsidRPr="00AD595B">
              <w:t>0.8</w:t>
            </w:r>
          </w:p>
        </w:tc>
        <w:tc>
          <w:tcPr>
            <w:tcW w:w="1364" w:type="dxa"/>
            <w:tcMar>
              <w:top w:w="15" w:type="dxa"/>
              <w:left w:w="15" w:type="dxa"/>
              <w:bottom w:w="15" w:type="dxa"/>
              <w:right w:w="15" w:type="dxa"/>
            </w:tcMar>
            <w:vAlign w:val="center"/>
          </w:tcPr>
          <w:p w:rsidR="004A104F" w:rsidRPr="00AD595B" w:rsidP="007C4508">
            <w:pPr>
              <w:jc w:val="center"/>
            </w:pPr>
            <w:r w:rsidRPr="00AD595B">
              <w:t>1.0</w:t>
            </w:r>
          </w:p>
        </w:tc>
        <w:tc>
          <w:tcPr>
            <w:tcW w:w="1364" w:type="dxa"/>
            <w:tcMar>
              <w:top w:w="15" w:type="dxa"/>
              <w:left w:w="15" w:type="dxa"/>
              <w:bottom w:w="15" w:type="dxa"/>
              <w:right w:w="15" w:type="dxa"/>
            </w:tcMar>
            <w:vAlign w:val="center"/>
          </w:tcPr>
          <w:p w:rsidR="004A104F" w:rsidRPr="00AD595B" w:rsidP="007C4508">
            <w:pPr>
              <w:jc w:val="center"/>
            </w:pPr>
            <w:r w:rsidRPr="00AD595B">
              <w:t>1.2</w:t>
            </w:r>
          </w:p>
        </w:tc>
        <w:tc>
          <w:tcPr>
            <w:tcW w:w="1364" w:type="dxa"/>
            <w:tcMar>
              <w:top w:w="15" w:type="dxa"/>
              <w:left w:w="15" w:type="dxa"/>
              <w:bottom w:w="15" w:type="dxa"/>
              <w:right w:w="15" w:type="dxa"/>
            </w:tcMar>
            <w:vAlign w:val="center"/>
          </w:tcPr>
          <w:p w:rsidR="004A104F" w:rsidRPr="00AD595B" w:rsidP="007C4508">
            <w:pPr>
              <w:jc w:val="center"/>
            </w:pPr>
            <w:r w:rsidRPr="00AD595B">
              <w:t>1.5</w:t>
            </w:r>
          </w:p>
        </w:tc>
        <w:tc>
          <w:tcPr>
            <w:tcW w:w="1364" w:type="dxa"/>
            <w:tcMar>
              <w:top w:w="15" w:type="dxa"/>
              <w:left w:w="15" w:type="dxa"/>
              <w:bottom w:w="15" w:type="dxa"/>
              <w:right w:w="15" w:type="dxa"/>
            </w:tcMar>
            <w:vAlign w:val="center"/>
          </w:tcPr>
          <w:p w:rsidR="004A104F" w:rsidRPr="00AD595B" w:rsidP="007C4508">
            <w:pPr>
              <w:jc w:val="center"/>
            </w:pPr>
            <w:r w:rsidRPr="00AD595B">
              <w:t>1.9</w:t>
            </w:r>
          </w:p>
        </w:tc>
        <w:tc>
          <w:tcPr>
            <w:tcW w:w="1364" w:type="dxa"/>
          </w:tcPr>
          <w:p w:rsidR="004A104F" w:rsidRPr="00AD595B" w:rsidP="007C4508">
            <w:pPr>
              <w:jc w:val="center"/>
            </w:pPr>
            <w:r w:rsidRPr="00AD595B">
              <w:t>2.4</w:t>
            </w:r>
          </w:p>
        </w:tc>
        <w:tc>
          <w:tcPr>
            <w:tcW w:w="1364" w:type="dxa"/>
          </w:tcPr>
          <w:p w:rsidR="004A104F" w:rsidRPr="00AD595B" w:rsidP="007C4508">
            <w:pPr>
              <w:jc w:val="center"/>
            </w:pPr>
            <w:r w:rsidRPr="00AD595B">
              <w:t>2.7</w:t>
            </w:r>
          </w:p>
        </w:tc>
      </w:tr>
      <w:tr w:rsidTr="004A104F">
        <w:tblPrEx>
          <w:tblW w:w="9360" w:type="dxa"/>
          <w:jc w:val="center"/>
          <w:tblCellSpacing w:w="7" w:type="dxa"/>
          <w:tblLayout w:type="fixed"/>
          <w:tblLook w:val="00A0"/>
        </w:tblPrEx>
        <w:trPr>
          <w:tblCellSpacing w:w="7" w:type="dxa"/>
          <w:jc w:val="center"/>
        </w:trPr>
        <w:tc>
          <w:tcPr>
            <w:tcW w:w="1365" w:type="dxa"/>
          </w:tcPr>
          <w:p w:rsidR="004A104F" w:rsidRPr="00AD595B" w:rsidP="007C4508">
            <w:pPr>
              <w:jc w:val="center"/>
            </w:pPr>
            <w:r w:rsidRPr="00AD595B">
              <w:t>400 - 450</w:t>
            </w:r>
          </w:p>
        </w:tc>
        <w:tc>
          <w:tcPr>
            <w:tcW w:w="1365" w:type="dxa"/>
            <w:tcMar>
              <w:top w:w="15" w:type="dxa"/>
              <w:left w:w="15" w:type="dxa"/>
              <w:bottom w:w="15" w:type="dxa"/>
              <w:right w:w="15" w:type="dxa"/>
            </w:tcMar>
            <w:vAlign w:val="center"/>
          </w:tcPr>
          <w:p w:rsidR="004A104F" w:rsidRPr="00AD595B" w:rsidP="007C4508">
            <w:pPr>
              <w:jc w:val="center"/>
            </w:pPr>
            <w:r w:rsidRPr="00AD595B">
              <w:t>0.8</w:t>
            </w:r>
          </w:p>
        </w:tc>
        <w:tc>
          <w:tcPr>
            <w:tcW w:w="1364" w:type="dxa"/>
            <w:tcMar>
              <w:top w:w="15" w:type="dxa"/>
              <w:left w:w="15" w:type="dxa"/>
              <w:bottom w:w="15" w:type="dxa"/>
              <w:right w:w="15" w:type="dxa"/>
            </w:tcMar>
            <w:vAlign w:val="center"/>
          </w:tcPr>
          <w:p w:rsidR="004A104F" w:rsidRPr="00AD595B" w:rsidP="007C4508">
            <w:pPr>
              <w:jc w:val="center"/>
            </w:pPr>
            <w:r w:rsidRPr="00AD595B">
              <w:t>1.0</w:t>
            </w:r>
          </w:p>
        </w:tc>
        <w:tc>
          <w:tcPr>
            <w:tcW w:w="1364" w:type="dxa"/>
            <w:tcMar>
              <w:top w:w="15" w:type="dxa"/>
              <w:left w:w="15" w:type="dxa"/>
              <w:bottom w:w="15" w:type="dxa"/>
              <w:right w:w="15" w:type="dxa"/>
            </w:tcMar>
            <w:vAlign w:val="center"/>
          </w:tcPr>
          <w:p w:rsidR="004A104F" w:rsidRPr="00AD595B" w:rsidP="007C4508">
            <w:pPr>
              <w:jc w:val="center"/>
            </w:pPr>
            <w:r w:rsidRPr="00AD595B">
              <w:t>1.3</w:t>
            </w:r>
          </w:p>
        </w:tc>
        <w:tc>
          <w:tcPr>
            <w:tcW w:w="1364" w:type="dxa"/>
            <w:tcMar>
              <w:top w:w="15" w:type="dxa"/>
              <w:left w:w="15" w:type="dxa"/>
              <w:bottom w:w="15" w:type="dxa"/>
              <w:right w:w="15" w:type="dxa"/>
            </w:tcMar>
            <w:vAlign w:val="center"/>
          </w:tcPr>
          <w:p w:rsidR="004A104F" w:rsidRPr="00AD595B" w:rsidP="007C4508">
            <w:pPr>
              <w:jc w:val="center"/>
            </w:pPr>
            <w:r w:rsidRPr="00AD595B">
              <w:t>1.6</w:t>
            </w:r>
          </w:p>
        </w:tc>
        <w:tc>
          <w:tcPr>
            <w:tcW w:w="1364" w:type="dxa"/>
            <w:tcMar>
              <w:top w:w="15" w:type="dxa"/>
              <w:left w:w="15" w:type="dxa"/>
              <w:bottom w:w="15" w:type="dxa"/>
              <w:right w:w="15" w:type="dxa"/>
            </w:tcMar>
            <w:vAlign w:val="center"/>
          </w:tcPr>
          <w:p w:rsidR="004A104F" w:rsidRPr="00AD595B" w:rsidP="007C4508">
            <w:pPr>
              <w:jc w:val="center"/>
            </w:pPr>
            <w:r w:rsidRPr="00AD595B">
              <w:t>2.1</w:t>
            </w:r>
          </w:p>
        </w:tc>
        <w:tc>
          <w:tcPr>
            <w:tcW w:w="1364" w:type="dxa"/>
          </w:tcPr>
          <w:p w:rsidR="004A104F" w:rsidRPr="00AD595B" w:rsidP="007C4508">
            <w:pPr>
              <w:jc w:val="center"/>
            </w:pPr>
            <w:r w:rsidRPr="00AD595B">
              <w:t>2.6</w:t>
            </w:r>
          </w:p>
        </w:tc>
        <w:tc>
          <w:tcPr>
            <w:tcW w:w="1364" w:type="dxa"/>
          </w:tcPr>
          <w:p w:rsidR="004A104F" w:rsidRPr="00AD595B" w:rsidP="007C4508">
            <w:pPr>
              <w:jc w:val="center"/>
            </w:pPr>
            <w:r w:rsidRPr="00AD595B">
              <w:t>2.9</w:t>
            </w:r>
          </w:p>
        </w:tc>
      </w:tr>
      <w:tr w:rsidTr="004A104F">
        <w:tblPrEx>
          <w:tblW w:w="9360" w:type="dxa"/>
          <w:jc w:val="center"/>
          <w:tblCellSpacing w:w="7" w:type="dxa"/>
          <w:tblLayout w:type="fixed"/>
          <w:tblLook w:val="00A0"/>
        </w:tblPrEx>
        <w:trPr>
          <w:tblCellSpacing w:w="7" w:type="dxa"/>
          <w:jc w:val="center"/>
        </w:trPr>
        <w:tc>
          <w:tcPr>
            <w:tcW w:w="1365" w:type="dxa"/>
          </w:tcPr>
          <w:p w:rsidR="004A104F" w:rsidRPr="00AD595B" w:rsidP="007C4508">
            <w:pPr>
              <w:jc w:val="center"/>
            </w:pPr>
            <w:r w:rsidRPr="00AD595B">
              <w:t>450 - 500</w:t>
            </w:r>
          </w:p>
        </w:tc>
        <w:tc>
          <w:tcPr>
            <w:tcW w:w="1365" w:type="dxa"/>
            <w:tcMar>
              <w:top w:w="15" w:type="dxa"/>
              <w:left w:w="15" w:type="dxa"/>
              <w:bottom w:w="15" w:type="dxa"/>
              <w:right w:w="15" w:type="dxa"/>
            </w:tcMar>
            <w:vAlign w:val="center"/>
          </w:tcPr>
          <w:p w:rsidR="004A104F" w:rsidRPr="00AD595B" w:rsidP="007C4508">
            <w:pPr>
              <w:jc w:val="center"/>
            </w:pPr>
            <w:r w:rsidRPr="00AD595B">
              <w:t>0.8</w:t>
            </w:r>
          </w:p>
        </w:tc>
        <w:tc>
          <w:tcPr>
            <w:tcW w:w="1364" w:type="dxa"/>
            <w:tcMar>
              <w:top w:w="15" w:type="dxa"/>
              <w:left w:w="15" w:type="dxa"/>
              <w:bottom w:w="15" w:type="dxa"/>
              <w:right w:w="15" w:type="dxa"/>
            </w:tcMar>
            <w:vAlign w:val="center"/>
          </w:tcPr>
          <w:p w:rsidR="004A104F" w:rsidRPr="00AD595B" w:rsidP="007C4508">
            <w:pPr>
              <w:jc w:val="center"/>
            </w:pPr>
            <w:r w:rsidRPr="00AD595B">
              <w:t>1.1</w:t>
            </w:r>
          </w:p>
        </w:tc>
        <w:tc>
          <w:tcPr>
            <w:tcW w:w="1364" w:type="dxa"/>
            <w:tcMar>
              <w:top w:w="15" w:type="dxa"/>
              <w:left w:w="15" w:type="dxa"/>
              <w:bottom w:w="15" w:type="dxa"/>
              <w:right w:w="15" w:type="dxa"/>
            </w:tcMar>
            <w:vAlign w:val="center"/>
          </w:tcPr>
          <w:p w:rsidR="004A104F" w:rsidRPr="00AD595B" w:rsidP="007C4508">
            <w:pPr>
              <w:jc w:val="center"/>
            </w:pPr>
            <w:r w:rsidRPr="00AD595B">
              <w:t>1.4</w:t>
            </w:r>
          </w:p>
        </w:tc>
        <w:tc>
          <w:tcPr>
            <w:tcW w:w="1364" w:type="dxa"/>
            <w:tcMar>
              <w:top w:w="15" w:type="dxa"/>
              <w:left w:w="15" w:type="dxa"/>
              <w:bottom w:w="15" w:type="dxa"/>
              <w:right w:w="15" w:type="dxa"/>
            </w:tcMar>
            <w:vAlign w:val="center"/>
          </w:tcPr>
          <w:p w:rsidR="004A104F" w:rsidRPr="00AD595B" w:rsidP="007C4508">
            <w:pPr>
              <w:jc w:val="center"/>
            </w:pPr>
            <w:r w:rsidRPr="00AD595B">
              <w:t>1.7</w:t>
            </w:r>
          </w:p>
        </w:tc>
        <w:tc>
          <w:tcPr>
            <w:tcW w:w="1364" w:type="dxa"/>
            <w:tcMar>
              <w:top w:w="15" w:type="dxa"/>
              <w:left w:w="15" w:type="dxa"/>
              <w:bottom w:w="15" w:type="dxa"/>
              <w:right w:w="15" w:type="dxa"/>
            </w:tcMar>
            <w:vAlign w:val="center"/>
          </w:tcPr>
          <w:p w:rsidR="004A104F" w:rsidRPr="00AD595B" w:rsidP="007C4508">
            <w:pPr>
              <w:jc w:val="center"/>
            </w:pPr>
            <w:r w:rsidRPr="00AD595B">
              <w:t>2.1</w:t>
            </w:r>
          </w:p>
        </w:tc>
        <w:tc>
          <w:tcPr>
            <w:tcW w:w="1364" w:type="dxa"/>
          </w:tcPr>
          <w:p w:rsidR="004A104F" w:rsidRPr="00AD595B" w:rsidP="007C4508">
            <w:pPr>
              <w:jc w:val="center"/>
            </w:pPr>
            <w:r w:rsidRPr="00AD595B">
              <w:t>2.7</w:t>
            </w:r>
          </w:p>
        </w:tc>
        <w:tc>
          <w:tcPr>
            <w:tcW w:w="1364" w:type="dxa"/>
          </w:tcPr>
          <w:p w:rsidR="004A104F" w:rsidRPr="00AD595B" w:rsidP="007C4508">
            <w:pPr>
              <w:jc w:val="center"/>
            </w:pPr>
            <w:r w:rsidRPr="00AD595B">
              <w:t>2.9</w:t>
            </w:r>
          </w:p>
        </w:tc>
      </w:tr>
    </w:tbl>
    <w:p w:rsidR="0066227F" w:rsidP="0066227F"/>
    <w:p w:rsidR="004A104F" w:rsidP="004A104F">
      <w:r w:rsidRPr="004A104F">
        <w:t xml:space="preserve">*When communicating with a Mode I personal/portable white space device that operates at power levels above 40 </w:t>
      </w:r>
      <w:r w:rsidRPr="004A104F">
        <w:t>mW</w:t>
      </w:r>
      <w:r w:rsidRPr="004A104F">
        <w:t xml:space="preserve"> EIRP, the required separation distances must be increased beyond the specified distances by 0.1 kilometers.</w:t>
      </w:r>
    </w:p>
    <w:p w:rsidR="004A104F" w:rsidRPr="004A104F" w:rsidP="004A104F"/>
    <w:p w:rsidR="004A104F" w:rsidRPr="004A104F" w:rsidP="004A104F">
      <w:r w:rsidRPr="004A104F">
        <w:t>(3) </w:t>
      </w:r>
      <w:r w:rsidRPr="004A104F">
        <w:rPr>
          <w:i/>
          <w:iCs/>
        </w:rPr>
        <w:t>Fixed white space device antenna height.</w:t>
      </w:r>
      <w:r w:rsidRPr="004A104F">
        <w:t> Fixed white space devices must comply with the requirements of §15.709(g) of this part.</w:t>
      </w:r>
    </w:p>
    <w:p w:rsidR="0066227F" w:rsidP="0066227F"/>
    <w:p w:rsidR="00BE7089" w:rsidP="0066227F">
      <w:r>
        <w:t>* * * * *</w:t>
      </w:r>
    </w:p>
    <w:p w:rsidR="00BE7089" w:rsidP="0066227F">
      <w:r>
        <w:t>(b) * * *</w:t>
      </w:r>
    </w:p>
    <w:p w:rsidR="00BE7089" w:rsidP="0066227F"/>
    <w:p w:rsidR="00BE7089" w:rsidP="0066227F">
      <w:r>
        <w:t>(3) * * *</w:t>
      </w:r>
    </w:p>
    <w:p w:rsidR="00BE7089" w:rsidP="0066227F"/>
    <w:p w:rsidR="00BE7089" w:rsidP="00BE7089">
      <w:pPr>
        <w:rPr>
          <w:color w:val="000000"/>
        </w:rPr>
      </w:pPr>
      <w:r w:rsidRPr="00BE7089">
        <w:rPr>
          <w:color w:val="000000"/>
        </w:rPr>
        <w:t xml:space="preserve">(ii) White </w:t>
      </w:r>
      <w:r w:rsidR="00D65BB6">
        <w:rPr>
          <w:color w:val="000000"/>
        </w:rPr>
        <w:t>s</w:t>
      </w:r>
      <w:r w:rsidRPr="00BE7089">
        <w:rPr>
          <w:color w:val="000000"/>
        </w:rPr>
        <w:t xml:space="preserve">pace devices </w:t>
      </w:r>
      <w:r w:rsidRPr="00BE7089">
        <w:t>operating</w:t>
      </w:r>
      <w:r w:rsidRPr="00BE7089">
        <w:rPr>
          <w:color w:val="000000"/>
        </w:rPr>
        <w:t xml:space="preserve"> with more than 4 watts EIRP </w:t>
      </w:r>
      <w:r>
        <w:rPr>
          <w:color w:val="000000"/>
        </w:rPr>
        <w:t xml:space="preserve">and up to 10 watts EIRP </w:t>
      </w:r>
      <w:r w:rsidRPr="00BE7089">
        <w:rPr>
          <w:color w:val="000000"/>
        </w:rPr>
        <w:t xml:space="preserve">may not operate within 10.2 </w:t>
      </w:r>
      <w:r w:rsidR="00D65BB6">
        <w:rPr>
          <w:color w:val="000000"/>
        </w:rPr>
        <w:t>kilometers</w:t>
      </w:r>
      <w:r w:rsidRPr="00BE7089">
        <w:rPr>
          <w:color w:val="000000"/>
        </w:rPr>
        <w:t xml:space="preserve"> from the receive site for co-channel operation and 2.5 </w:t>
      </w:r>
      <w:r w:rsidR="00D65BB6">
        <w:rPr>
          <w:color w:val="000000"/>
        </w:rPr>
        <w:t>kilometers</w:t>
      </w:r>
      <w:r w:rsidRPr="00BE7089">
        <w:rPr>
          <w:color w:val="000000"/>
        </w:rPr>
        <w:t xml:space="preserve"> from the receive site for adjacent channel operation.</w:t>
      </w:r>
    </w:p>
    <w:p w:rsidR="00BE7089" w:rsidRPr="00BE7089" w:rsidP="00BE7089">
      <w:pPr>
        <w:rPr>
          <w:color w:val="000000"/>
        </w:rPr>
      </w:pPr>
    </w:p>
    <w:p w:rsidR="00BE7089" w:rsidP="00BE7089">
      <w:pPr>
        <w:rPr>
          <w:color w:val="000000"/>
        </w:rPr>
      </w:pPr>
      <w:r w:rsidRPr="00BE7089">
        <w:rPr>
          <w:color w:val="000000"/>
        </w:rPr>
        <w:t xml:space="preserve">(iii) White </w:t>
      </w:r>
      <w:r w:rsidR="00D65BB6">
        <w:rPr>
          <w:color w:val="000000"/>
        </w:rPr>
        <w:t>s</w:t>
      </w:r>
      <w:r w:rsidRPr="00BE7089">
        <w:rPr>
          <w:color w:val="000000"/>
        </w:rPr>
        <w:t xml:space="preserve">pace devices operating with more than </w:t>
      </w:r>
      <w:r>
        <w:rPr>
          <w:color w:val="000000"/>
        </w:rPr>
        <w:t>10</w:t>
      </w:r>
      <w:r w:rsidRPr="00BE7089">
        <w:rPr>
          <w:color w:val="000000"/>
        </w:rPr>
        <w:t xml:space="preserve"> watts EIRP may not operate within </w:t>
      </w:r>
      <w:r w:rsidR="00D65BB6">
        <w:rPr>
          <w:color w:val="000000"/>
        </w:rPr>
        <w:t>16.6</w:t>
      </w:r>
      <w:r w:rsidRPr="00BE7089">
        <w:rPr>
          <w:color w:val="000000"/>
        </w:rPr>
        <w:t xml:space="preserve"> </w:t>
      </w:r>
      <w:r w:rsidR="00D65BB6">
        <w:rPr>
          <w:color w:val="000000"/>
        </w:rPr>
        <w:t>kilometers</w:t>
      </w:r>
      <w:r w:rsidRPr="00BE7089">
        <w:rPr>
          <w:color w:val="000000"/>
        </w:rPr>
        <w:t xml:space="preserve"> from the receive site for co-channel operation and </w:t>
      </w:r>
      <w:r w:rsidR="00D65BB6">
        <w:rPr>
          <w:color w:val="000000"/>
        </w:rPr>
        <w:t>3.5</w:t>
      </w:r>
      <w:r w:rsidRPr="00BE7089">
        <w:rPr>
          <w:color w:val="000000"/>
        </w:rPr>
        <w:t xml:space="preserve"> </w:t>
      </w:r>
      <w:r w:rsidR="00D65BB6">
        <w:rPr>
          <w:color w:val="000000"/>
        </w:rPr>
        <w:t>kilometers</w:t>
      </w:r>
      <w:r w:rsidRPr="00BE7089">
        <w:rPr>
          <w:color w:val="000000"/>
        </w:rPr>
        <w:t xml:space="preserve"> from the receive site for adjacent channel operation.</w:t>
      </w:r>
    </w:p>
    <w:p w:rsidR="00BE7089" w:rsidRPr="00BE7089" w:rsidP="00BE7089">
      <w:pPr>
        <w:rPr>
          <w:color w:val="000000"/>
        </w:rPr>
      </w:pPr>
    </w:p>
    <w:p w:rsidR="00BE7089" w:rsidRPr="00BE7089" w:rsidP="00BE7089">
      <w:pPr>
        <w:rPr>
          <w:color w:val="000000"/>
        </w:rPr>
      </w:pPr>
      <w:r w:rsidRPr="00BE7089">
        <w:rPr>
          <w:color w:val="000000"/>
        </w:rPr>
        <w:t>(iv) For purposes of this section, a TV station being received may include a full power TV station, TV translator station or low power TV/Class A TV station.</w:t>
      </w:r>
    </w:p>
    <w:p w:rsidR="00BE7089" w:rsidP="0066227F"/>
    <w:p w:rsidR="004E144E" w:rsidP="0066227F">
      <w:r>
        <w:t>(c) * * *</w:t>
      </w:r>
    </w:p>
    <w:p w:rsidR="004E144E" w:rsidP="0066227F"/>
    <w:p w:rsidR="004E144E" w:rsidP="0066227F">
      <w:r>
        <w:t>(2) * * *</w:t>
      </w:r>
    </w:p>
    <w:p w:rsidR="004E144E" w:rsidP="0066227F"/>
    <w:p w:rsidR="004E144E" w:rsidRPr="004E144E" w:rsidP="0066227F">
      <w:pPr>
        <w:rPr>
          <w:color w:val="000000"/>
          <w:shd w:val="clear" w:color="auto" w:fill="FFFFFF"/>
        </w:rPr>
      </w:pPr>
      <w:r w:rsidRPr="004E144E">
        <w:rPr>
          <w:color w:val="000000"/>
          <w:shd w:val="clear" w:color="auto" w:fill="FFFFFF"/>
        </w:rPr>
        <w:t xml:space="preserve">(ii) White </w:t>
      </w:r>
      <w:r w:rsidR="00D65BB6">
        <w:rPr>
          <w:color w:val="000000"/>
          <w:shd w:val="clear" w:color="auto" w:fill="FFFFFF"/>
        </w:rPr>
        <w:t>s</w:t>
      </w:r>
      <w:r w:rsidRPr="004E144E">
        <w:rPr>
          <w:color w:val="000000"/>
          <w:shd w:val="clear" w:color="auto" w:fill="FFFFFF"/>
        </w:rPr>
        <w:t xml:space="preserve">pace devices operating with more than 4 watts EIRP </w:t>
      </w:r>
      <w:r>
        <w:rPr>
          <w:color w:val="000000"/>
          <w:shd w:val="clear" w:color="auto" w:fill="FFFFFF"/>
        </w:rPr>
        <w:t xml:space="preserve">and up to 10 watts EIRP </w:t>
      </w:r>
      <w:r w:rsidRPr="004E144E">
        <w:rPr>
          <w:color w:val="000000"/>
          <w:shd w:val="clear" w:color="auto" w:fill="FFFFFF"/>
        </w:rPr>
        <w:t>may not operate within 10.2 km from the receive site for co-channel operation and 2.5 km from the receive site for adjacent channel operation.</w:t>
      </w:r>
    </w:p>
    <w:p w:rsidR="004E144E" w:rsidRPr="004E144E" w:rsidP="0066227F">
      <w:pPr>
        <w:rPr>
          <w:color w:val="000000"/>
          <w:shd w:val="clear" w:color="auto" w:fill="FFFFFF"/>
        </w:rPr>
      </w:pPr>
    </w:p>
    <w:p w:rsidR="004E144E" w:rsidRPr="004E144E" w:rsidP="0066227F">
      <w:r w:rsidRPr="004E144E">
        <w:rPr>
          <w:color w:val="000000"/>
          <w:shd w:val="clear" w:color="auto" w:fill="FFFFFF"/>
        </w:rPr>
        <w:t xml:space="preserve">(iii) White </w:t>
      </w:r>
      <w:r w:rsidR="00D65BB6">
        <w:rPr>
          <w:color w:val="000000"/>
          <w:shd w:val="clear" w:color="auto" w:fill="FFFFFF"/>
        </w:rPr>
        <w:t>s</w:t>
      </w:r>
      <w:r w:rsidRPr="004E144E">
        <w:rPr>
          <w:color w:val="000000"/>
          <w:shd w:val="clear" w:color="auto" w:fill="FFFFFF"/>
        </w:rPr>
        <w:t xml:space="preserve">pace devices operating with more than </w:t>
      </w:r>
      <w:r>
        <w:rPr>
          <w:color w:val="000000"/>
          <w:shd w:val="clear" w:color="auto" w:fill="FFFFFF"/>
        </w:rPr>
        <w:t>10</w:t>
      </w:r>
      <w:r w:rsidRPr="004E144E">
        <w:rPr>
          <w:color w:val="000000"/>
          <w:shd w:val="clear" w:color="auto" w:fill="FFFFFF"/>
        </w:rPr>
        <w:t xml:space="preserve"> watts EIRP may not operate within </w:t>
      </w:r>
      <w:r w:rsidR="00D65BB6">
        <w:rPr>
          <w:color w:val="000000"/>
          <w:shd w:val="clear" w:color="auto" w:fill="FFFFFF"/>
        </w:rPr>
        <w:t>16.6 kilometers</w:t>
      </w:r>
      <w:r w:rsidRPr="004E144E">
        <w:rPr>
          <w:color w:val="000000"/>
          <w:shd w:val="clear" w:color="auto" w:fill="FFFFFF"/>
        </w:rPr>
        <w:t xml:space="preserve"> from the receive site for co-channel operation and </w:t>
      </w:r>
      <w:r w:rsidR="00D65BB6">
        <w:rPr>
          <w:color w:val="000000"/>
          <w:shd w:val="clear" w:color="auto" w:fill="FFFFFF"/>
        </w:rPr>
        <w:t>3.5 kilometers</w:t>
      </w:r>
      <w:r w:rsidRPr="004E144E">
        <w:rPr>
          <w:color w:val="000000"/>
          <w:shd w:val="clear" w:color="auto" w:fill="FFFFFF"/>
        </w:rPr>
        <w:t xml:space="preserve"> from the receive site for adjacent channel</w:t>
      </w:r>
      <w:r>
        <w:rPr>
          <w:color w:val="000000"/>
          <w:shd w:val="clear" w:color="auto" w:fill="FFFFFF"/>
        </w:rPr>
        <w:t xml:space="preserve"> operation.</w:t>
      </w:r>
    </w:p>
    <w:p w:rsidR="00CF3439" w:rsidP="00BA3094">
      <w:pPr>
        <w:pStyle w:val="ParaNum"/>
        <w:widowControl/>
        <w:numPr>
          <w:ilvl w:val="0"/>
          <w:numId w:val="0"/>
        </w:numPr>
        <w:shd w:val="clear" w:color="auto" w:fill="FFFFFF"/>
        <w:spacing w:after="0"/>
        <w:rPr>
          <w:color w:val="000000"/>
        </w:rPr>
      </w:pPr>
      <w:r w:rsidRPr="00CF3439">
        <w:rPr>
          <w:color w:val="000000"/>
        </w:rPr>
        <w:t>(d) </w:t>
      </w:r>
      <w:r w:rsidRPr="00CF3439">
        <w:rPr>
          <w:i/>
          <w:iCs/>
          <w:color w:val="000000"/>
        </w:rPr>
        <w:t>PLMRS/CMRS operations.</w:t>
      </w:r>
      <w:r w:rsidRPr="00CF3439">
        <w:rPr>
          <w:color w:val="000000"/>
        </w:rPr>
        <w:t> (1) White space devices may not operate at distances less than those specified in the table below from the coordinates of the metropolitan areas and on the channels listed in §90.303(a) of this chapter.</w:t>
      </w:r>
    </w:p>
    <w:p w:rsidR="00BA3094" w:rsidP="00BA3094">
      <w:pPr>
        <w:pStyle w:val="ParaNum"/>
        <w:widowControl/>
        <w:numPr>
          <w:ilvl w:val="0"/>
          <w:numId w:val="0"/>
        </w:numPr>
        <w:shd w:val="clear" w:color="auto" w:fill="FFFFFF"/>
        <w:spacing w:after="0"/>
        <w:rPr>
          <w:color w:val="000000"/>
        </w:rPr>
      </w:pPr>
    </w:p>
    <w:p w:rsidR="004F1221" w:rsidP="004F1221">
      <w:pPr>
        <w:jc w:val="center"/>
        <w:rPr>
          <w:b/>
        </w:rPr>
      </w:pPr>
      <w:r w:rsidRPr="00EF7C08">
        <w:rPr>
          <w:b/>
        </w:rPr>
        <w:t xml:space="preserve">Table </w:t>
      </w:r>
      <w:r>
        <w:rPr>
          <w:b/>
        </w:rPr>
        <w:t>6</w:t>
      </w:r>
      <w:r w:rsidRPr="00EF7C08">
        <w:rPr>
          <w:b/>
        </w:rPr>
        <w:t xml:space="preserve"> to Section 15.712(</w:t>
      </w:r>
      <w:r>
        <w:rPr>
          <w:b/>
        </w:rPr>
        <w:t>d</w:t>
      </w:r>
      <w:r w:rsidRPr="00EF7C08">
        <w:rPr>
          <w:b/>
        </w:rPr>
        <w:t>)(</w:t>
      </w:r>
      <w:r>
        <w:rPr>
          <w:b/>
        </w:rPr>
        <w:t>1</w:t>
      </w:r>
      <w:r w:rsidRPr="00EF7C08">
        <w:rPr>
          <w:b/>
        </w:rPr>
        <w:t>).</w:t>
      </w:r>
    </w:p>
    <w:p w:rsidR="004F1221" w:rsidRPr="00EF7C08" w:rsidP="004F1221">
      <w:pPr>
        <w:jc w:val="center"/>
        <w:rPr>
          <w:b/>
        </w:rPr>
      </w:pP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tblPr>
      <w:tblGrid>
        <w:gridCol w:w="3348"/>
        <w:gridCol w:w="2462"/>
        <w:gridCol w:w="3580"/>
      </w:tblGrid>
      <w:tr w:rsidTr="00CF3439">
        <w:tblPrEx>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tblPrEx>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CF3439" w:rsidRPr="00AD595B" w:rsidP="00CF3439">
            <w:pPr>
              <w:jc w:val="center"/>
              <w:rPr>
                <w:b/>
                <w:bCs/>
              </w:rPr>
            </w:pPr>
            <w:r w:rsidRPr="00AD595B">
              <w:rPr>
                <w:b/>
                <w:bCs/>
              </w:rPr>
              <w:t>White space device transmitter power</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F3439" w:rsidRPr="00AD595B" w:rsidP="00CF3439">
            <w:pPr>
              <w:jc w:val="center"/>
              <w:rPr>
                <w:b/>
                <w:bCs/>
              </w:rPr>
            </w:pPr>
            <w:r w:rsidRPr="00AD595B">
              <w:rPr>
                <w:b/>
                <w:bCs/>
              </w:rPr>
              <w:t>Required separation in kilometers from areas specified in §90.303(a) of this chapter</w:t>
            </w:r>
          </w:p>
        </w:tc>
      </w:tr>
      <w:tr w:rsidTr="00CF3439">
        <w:tblPrEx>
          <w:tblW w:w="5000" w:type="pct"/>
          <w:tblCellMar>
            <w:top w:w="120" w:type="dxa"/>
            <w:left w:w="15" w:type="dxa"/>
            <w:bottom w:w="15" w:type="dxa"/>
            <w:right w:w="15" w:type="dxa"/>
          </w:tblCellMar>
          <w:tblLook w:val="04A0"/>
        </w:tblPrEx>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39" w:rsidRPr="00AD595B" w:rsidP="00CF3439">
            <w:pPr>
              <w:rPr>
                <w:b/>
                <w:bCs/>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CF3439" w:rsidRPr="00AD595B" w:rsidP="00CF3439">
            <w:pPr>
              <w:jc w:val="center"/>
              <w:rPr>
                <w:b/>
                <w:bCs/>
              </w:rPr>
            </w:pPr>
            <w:r w:rsidRPr="00AD595B">
              <w:rPr>
                <w:b/>
                <w:bCs/>
              </w:rPr>
              <w:t>Co-channel</w:t>
            </w:r>
            <w:r w:rsidRPr="00AD595B">
              <w:rPr>
                <w:b/>
                <w:bCs/>
              </w:rPr>
              <w:br/>
              <w:t>operation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CF3439" w:rsidRPr="00AD595B" w:rsidP="00CF3439">
            <w:pPr>
              <w:jc w:val="center"/>
              <w:rPr>
                <w:b/>
                <w:bCs/>
              </w:rPr>
            </w:pPr>
            <w:r w:rsidRPr="00AD595B">
              <w:rPr>
                <w:b/>
                <w:bCs/>
              </w:rPr>
              <w:t>Adjacent channel</w:t>
            </w:r>
            <w:r w:rsidRPr="00AD595B">
              <w:rPr>
                <w:b/>
                <w:bCs/>
              </w:rPr>
              <w:br/>
              <w:t>operation</w:t>
            </w:r>
          </w:p>
        </w:tc>
      </w:tr>
      <w:tr w:rsidTr="00CF3439">
        <w:tblPrEx>
          <w:tblW w:w="5000" w:type="pct"/>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hideMark/>
          </w:tcPr>
          <w:p w:rsidR="00CF3439" w:rsidRPr="00AD595B" w:rsidP="00CF3439">
            <w:r w:rsidRPr="00AD595B">
              <w:t>4 watts EIRP or less</w:t>
            </w:r>
          </w:p>
        </w:tc>
        <w:tc>
          <w:tcPr>
            <w:tcW w:w="0" w:type="auto"/>
            <w:tcBorders>
              <w:top w:val="single" w:sz="6" w:space="0" w:color="000000"/>
              <w:left w:val="single" w:sz="6" w:space="0" w:color="000000"/>
              <w:bottom w:val="single" w:sz="6" w:space="0" w:color="000000"/>
              <w:right w:val="single" w:sz="6" w:space="0" w:color="000000"/>
            </w:tcBorders>
            <w:hideMark/>
          </w:tcPr>
          <w:p w:rsidR="00CF3439" w:rsidRPr="00AD595B" w:rsidP="00CF3439">
            <w:pPr>
              <w:jc w:val="right"/>
            </w:pPr>
            <w:r w:rsidRPr="00AD595B">
              <w:t>134</w:t>
            </w:r>
          </w:p>
        </w:tc>
        <w:tc>
          <w:tcPr>
            <w:tcW w:w="0" w:type="auto"/>
            <w:tcBorders>
              <w:top w:val="single" w:sz="6" w:space="0" w:color="000000"/>
              <w:left w:val="single" w:sz="6" w:space="0" w:color="000000"/>
              <w:bottom w:val="single" w:sz="6" w:space="0" w:color="000000"/>
              <w:right w:val="single" w:sz="6" w:space="0" w:color="000000"/>
            </w:tcBorders>
            <w:hideMark/>
          </w:tcPr>
          <w:p w:rsidR="00CF3439" w:rsidRPr="00AD595B" w:rsidP="00CF3439">
            <w:pPr>
              <w:jc w:val="right"/>
            </w:pPr>
            <w:r w:rsidRPr="00AD595B">
              <w:t>131</w:t>
            </w:r>
          </w:p>
        </w:tc>
      </w:tr>
      <w:tr w:rsidTr="00CF3439">
        <w:tblPrEx>
          <w:tblW w:w="5000" w:type="pct"/>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hideMark/>
          </w:tcPr>
          <w:p w:rsidR="00CF3439" w:rsidRPr="00AD595B" w:rsidP="00CF3439">
            <w:r w:rsidRPr="00AD595B">
              <w:t>Greater than 4</w:t>
            </w:r>
            <w:r w:rsidRPr="00AD595B" w:rsidR="00B51020">
              <w:t xml:space="preserve"> watts</w:t>
            </w:r>
            <w:r w:rsidRPr="00AD595B">
              <w:t xml:space="preserve"> and less than 10 watts EIRP</w:t>
            </w:r>
          </w:p>
        </w:tc>
        <w:tc>
          <w:tcPr>
            <w:tcW w:w="0" w:type="auto"/>
            <w:tcBorders>
              <w:top w:val="single" w:sz="6" w:space="0" w:color="000000"/>
              <w:left w:val="single" w:sz="6" w:space="0" w:color="000000"/>
              <w:bottom w:val="single" w:sz="6" w:space="0" w:color="000000"/>
              <w:right w:val="single" w:sz="6" w:space="0" w:color="000000"/>
            </w:tcBorders>
            <w:hideMark/>
          </w:tcPr>
          <w:p w:rsidR="00CF3439" w:rsidRPr="00AD595B" w:rsidP="00CF3439">
            <w:pPr>
              <w:jc w:val="right"/>
            </w:pPr>
            <w:r w:rsidRPr="00AD595B">
              <w:t>136</w:t>
            </w:r>
          </w:p>
        </w:tc>
        <w:tc>
          <w:tcPr>
            <w:tcW w:w="0" w:type="auto"/>
            <w:tcBorders>
              <w:top w:val="single" w:sz="6" w:space="0" w:color="000000"/>
              <w:left w:val="single" w:sz="6" w:space="0" w:color="000000"/>
              <w:bottom w:val="single" w:sz="6" w:space="0" w:color="000000"/>
              <w:right w:val="single" w:sz="6" w:space="0" w:color="000000"/>
            </w:tcBorders>
            <w:hideMark/>
          </w:tcPr>
          <w:p w:rsidR="00CF3439" w:rsidRPr="00AD595B" w:rsidP="00CF3439">
            <w:pPr>
              <w:jc w:val="right"/>
            </w:pPr>
            <w:r w:rsidRPr="00AD595B">
              <w:t>131.5</w:t>
            </w:r>
          </w:p>
        </w:tc>
      </w:tr>
      <w:tr w:rsidTr="00CF3439">
        <w:tblPrEx>
          <w:tblW w:w="5000" w:type="pct"/>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Pr>
          <w:p w:rsidR="00CF3439" w:rsidRPr="00AD595B" w:rsidP="00CF3439">
            <w:r w:rsidRPr="00AD595B">
              <w:t>Greater than 10 watts EIRP</w:t>
            </w:r>
          </w:p>
        </w:tc>
        <w:tc>
          <w:tcPr>
            <w:tcW w:w="0" w:type="auto"/>
            <w:tcBorders>
              <w:top w:val="single" w:sz="6" w:space="0" w:color="000000"/>
              <w:left w:val="single" w:sz="6" w:space="0" w:color="000000"/>
              <w:bottom w:val="single" w:sz="6" w:space="0" w:color="000000"/>
              <w:right w:val="single" w:sz="6" w:space="0" w:color="000000"/>
            </w:tcBorders>
          </w:tcPr>
          <w:p w:rsidR="00CF3439" w:rsidRPr="00AD595B" w:rsidP="00CF3439">
            <w:pPr>
              <w:jc w:val="right"/>
            </w:pPr>
            <w:r w:rsidRPr="00AD595B">
              <w:t>139.2</w:t>
            </w:r>
          </w:p>
        </w:tc>
        <w:tc>
          <w:tcPr>
            <w:tcW w:w="0" w:type="auto"/>
            <w:tcBorders>
              <w:top w:val="single" w:sz="6" w:space="0" w:color="000000"/>
              <w:left w:val="single" w:sz="6" w:space="0" w:color="000000"/>
              <w:bottom w:val="single" w:sz="6" w:space="0" w:color="000000"/>
              <w:right w:val="single" w:sz="6" w:space="0" w:color="000000"/>
            </w:tcBorders>
          </w:tcPr>
          <w:p w:rsidR="00CF3439" w:rsidRPr="00AD595B" w:rsidP="00CF3439">
            <w:pPr>
              <w:jc w:val="right"/>
            </w:pPr>
            <w:r w:rsidRPr="00AD595B">
              <w:t>132.2</w:t>
            </w:r>
          </w:p>
        </w:tc>
      </w:tr>
    </w:tbl>
    <w:p w:rsidR="00BA3094" w:rsidP="00BA3094">
      <w:pPr>
        <w:shd w:val="clear" w:color="auto" w:fill="FFFFFF"/>
        <w:rPr>
          <w:color w:val="000000"/>
        </w:rPr>
      </w:pPr>
    </w:p>
    <w:p w:rsidR="00CF3439" w:rsidP="00BA3094">
      <w:pPr>
        <w:shd w:val="clear" w:color="auto" w:fill="FFFFFF"/>
        <w:rPr>
          <w:color w:val="000000"/>
        </w:rPr>
      </w:pPr>
      <w:r w:rsidRPr="00CF3439">
        <w:rPr>
          <w:color w:val="000000"/>
        </w:rPr>
        <w:t>(2) White space devices may not operate at distances less than those specified in the table below from PLMRS/CMRS operations authorized by waiver outside of the metropolitan areas listed in §90.303(a) of this chapter.</w:t>
      </w:r>
    </w:p>
    <w:p w:rsidR="00BA3094" w:rsidP="00BA3094">
      <w:pPr>
        <w:shd w:val="clear" w:color="auto" w:fill="FFFFFF"/>
        <w:rPr>
          <w:color w:val="000000"/>
        </w:rPr>
      </w:pPr>
    </w:p>
    <w:p w:rsidR="004F1221" w:rsidP="00B452AE">
      <w:pPr>
        <w:keepNext/>
        <w:keepLines/>
        <w:widowControl/>
        <w:jc w:val="center"/>
        <w:rPr>
          <w:b/>
        </w:rPr>
      </w:pPr>
      <w:r w:rsidRPr="00EF7C08">
        <w:rPr>
          <w:b/>
        </w:rPr>
        <w:t xml:space="preserve">Table </w:t>
      </w:r>
      <w:r>
        <w:rPr>
          <w:b/>
        </w:rPr>
        <w:t>7</w:t>
      </w:r>
      <w:r w:rsidRPr="00EF7C08">
        <w:rPr>
          <w:b/>
        </w:rPr>
        <w:t xml:space="preserve"> to Section 15.712(</w:t>
      </w:r>
      <w:r>
        <w:rPr>
          <w:b/>
        </w:rPr>
        <w:t>d</w:t>
      </w:r>
      <w:r w:rsidRPr="00EF7C08">
        <w:rPr>
          <w:b/>
        </w:rPr>
        <w:t>)(</w:t>
      </w:r>
      <w:r>
        <w:rPr>
          <w:b/>
        </w:rPr>
        <w:t>2</w:t>
      </w:r>
      <w:r w:rsidRPr="00EF7C08">
        <w:rPr>
          <w:b/>
        </w:rPr>
        <w:t>).</w:t>
      </w:r>
    </w:p>
    <w:p w:rsidR="004F1221" w:rsidP="004F1221">
      <w:pPr>
        <w:jc w:val="center"/>
        <w:rPr>
          <w:b/>
        </w:rPr>
      </w:pP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tblPr>
      <w:tblGrid>
        <w:gridCol w:w="3348"/>
        <w:gridCol w:w="2462"/>
        <w:gridCol w:w="3580"/>
      </w:tblGrid>
      <w:tr w:rsidTr="00CF3439">
        <w:tblPrEx>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4A0"/>
        </w:tblPrEx>
        <w:tc>
          <w:tcPr>
            <w:tcW w:w="0" w:type="auto"/>
            <w:vMerge w:val="restart"/>
            <w:tcBorders>
              <w:top w:val="single" w:sz="6" w:space="0" w:color="000000"/>
              <w:left w:val="single" w:sz="6" w:space="0" w:color="000000"/>
              <w:bottom w:val="single" w:sz="6" w:space="0" w:color="000000"/>
              <w:right w:val="single" w:sz="6" w:space="0" w:color="000000"/>
            </w:tcBorders>
            <w:vAlign w:val="bottom"/>
            <w:hideMark/>
          </w:tcPr>
          <w:p w:rsidR="00CF3439" w:rsidRPr="00AD595B" w:rsidP="00CF3439">
            <w:pPr>
              <w:jc w:val="center"/>
              <w:rPr>
                <w:b/>
                <w:bCs/>
              </w:rPr>
            </w:pPr>
            <w:r w:rsidRPr="00AD595B">
              <w:rPr>
                <w:b/>
                <w:bCs/>
              </w:rPr>
              <w:t>White space device transmitter power</w:t>
            </w:r>
          </w:p>
        </w:tc>
        <w:tc>
          <w:tcPr>
            <w:tcW w:w="0" w:type="auto"/>
            <w:gridSpan w:val="2"/>
            <w:tcBorders>
              <w:top w:val="single" w:sz="6" w:space="0" w:color="000000"/>
              <w:left w:val="single" w:sz="6" w:space="0" w:color="000000"/>
              <w:bottom w:val="single" w:sz="6" w:space="0" w:color="000000"/>
              <w:right w:val="single" w:sz="6" w:space="0" w:color="000000"/>
            </w:tcBorders>
            <w:vAlign w:val="bottom"/>
            <w:hideMark/>
          </w:tcPr>
          <w:p w:rsidR="00CF3439" w:rsidRPr="00AD595B" w:rsidP="00CF3439">
            <w:pPr>
              <w:jc w:val="center"/>
              <w:rPr>
                <w:b/>
                <w:bCs/>
              </w:rPr>
            </w:pPr>
            <w:r w:rsidRPr="00AD595B">
              <w:rPr>
                <w:b/>
                <w:bCs/>
              </w:rPr>
              <w:t>Required separation in kilometers from areas specified in §90.303(a) of this chapter</w:t>
            </w:r>
          </w:p>
        </w:tc>
      </w:tr>
      <w:tr w:rsidTr="00CF3439">
        <w:tblPrEx>
          <w:tblW w:w="5000" w:type="pct"/>
          <w:tblCellMar>
            <w:top w:w="120" w:type="dxa"/>
            <w:left w:w="15" w:type="dxa"/>
            <w:bottom w:w="15" w:type="dxa"/>
            <w:right w:w="15" w:type="dxa"/>
          </w:tblCellMar>
          <w:tblLook w:val="04A0"/>
        </w:tblPrEx>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F3439" w:rsidRPr="00AD595B" w:rsidP="00CF3439">
            <w:pPr>
              <w:rPr>
                <w:b/>
                <w:bCs/>
              </w:rPr>
            </w:pP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CF3439" w:rsidRPr="00AD595B" w:rsidP="00CF3439">
            <w:pPr>
              <w:jc w:val="center"/>
              <w:rPr>
                <w:b/>
                <w:bCs/>
              </w:rPr>
            </w:pPr>
            <w:r w:rsidRPr="00AD595B">
              <w:rPr>
                <w:b/>
                <w:bCs/>
              </w:rPr>
              <w:t>Co-channel</w:t>
            </w:r>
            <w:r w:rsidRPr="00AD595B">
              <w:rPr>
                <w:b/>
                <w:bCs/>
              </w:rPr>
              <w:br/>
              <w:t>operation</w:t>
            </w:r>
          </w:p>
        </w:tc>
        <w:tc>
          <w:tcPr>
            <w:tcW w:w="0" w:type="auto"/>
            <w:tcBorders>
              <w:top w:val="single" w:sz="6" w:space="0" w:color="000000"/>
              <w:left w:val="single" w:sz="6" w:space="0" w:color="000000"/>
              <w:bottom w:val="single" w:sz="6" w:space="0" w:color="000000"/>
              <w:right w:val="single" w:sz="6" w:space="0" w:color="000000"/>
            </w:tcBorders>
            <w:vAlign w:val="bottom"/>
            <w:hideMark/>
          </w:tcPr>
          <w:p w:rsidR="00CF3439" w:rsidRPr="00AD595B" w:rsidP="00CF3439">
            <w:pPr>
              <w:jc w:val="center"/>
              <w:rPr>
                <w:b/>
                <w:bCs/>
              </w:rPr>
            </w:pPr>
            <w:r w:rsidRPr="00AD595B">
              <w:rPr>
                <w:b/>
                <w:bCs/>
              </w:rPr>
              <w:t>Adjacent channel</w:t>
            </w:r>
            <w:r w:rsidRPr="00AD595B">
              <w:rPr>
                <w:b/>
                <w:bCs/>
              </w:rPr>
              <w:br/>
              <w:t>operation</w:t>
            </w:r>
          </w:p>
        </w:tc>
      </w:tr>
      <w:tr w:rsidTr="00CF3439">
        <w:tblPrEx>
          <w:tblW w:w="5000" w:type="pct"/>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hideMark/>
          </w:tcPr>
          <w:p w:rsidR="00CF3439" w:rsidRPr="00AD595B" w:rsidP="00CF3439">
            <w:r w:rsidRPr="00AD595B">
              <w:t>4 watts EIRP or less</w:t>
            </w:r>
          </w:p>
        </w:tc>
        <w:tc>
          <w:tcPr>
            <w:tcW w:w="0" w:type="auto"/>
            <w:tcBorders>
              <w:top w:val="single" w:sz="6" w:space="0" w:color="000000"/>
              <w:left w:val="single" w:sz="6" w:space="0" w:color="000000"/>
              <w:bottom w:val="single" w:sz="6" w:space="0" w:color="000000"/>
              <w:right w:val="single" w:sz="6" w:space="0" w:color="000000"/>
            </w:tcBorders>
            <w:hideMark/>
          </w:tcPr>
          <w:p w:rsidR="00CF3439" w:rsidRPr="00AD595B" w:rsidP="00CF3439">
            <w:pPr>
              <w:jc w:val="right"/>
            </w:pPr>
            <w:r w:rsidRPr="00AD595B">
              <w:t>54</w:t>
            </w:r>
          </w:p>
        </w:tc>
        <w:tc>
          <w:tcPr>
            <w:tcW w:w="0" w:type="auto"/>
            <w:tcBorders>
              <w:top w:val="single" w:sz="6" w:space="0" w:color="000000"/>
              <w:left w:val="single" w:sz="6" w:space="0" w:color="000000"/>
              <w:bottom w:val="single" w:sz="6" w:space="0" w:color="000000"/>
              <w:right w:val="single" w:sz="6" w:space="0" w:color="000000"/>
            </w:tcBorders>
            <w:hideMark/>
          </w:tcPr>
          <w:p w:rsidR="00CF3439" w:rsidRPr="00AD595B" w:rsidP="00CF3439">
            <w:pPr>
              <w:jc w:val="right"/>
            </w:pPr>
            <w:r w:rsidRPr="00AD595B">
              <w:t>51</w:t>
            </w:r>
          </w:p>
        </w:tc>
      </w:tr>
      <w:tr w:rsidTr="00CF3439">
        <w:tblPrEx>
          <w:tblW w:w="5000" w:type="pct"/>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hideMark/>
          </w:tcPr>
          <w:p w:rsidR="00CF3439" w:rsidRPr="00AD595B" w:rsidP="00CF3439">
            <w:r w:rsidRPr="00AD595B">
              <w:t xml:space="preserve">Greater than 4 </w:t>
            </w:r>
            <w:r w:rsidRPr="00AD595B" w:rsidR="00B51020">
              <w:t xml:space="preserve">watts </w:t>
            </w:r>
            <w:r w:rsidRPr="00AD595B">
              <w:t>and less than 10 watts EIRP</w:t>
            </w:r>
          </w:p>
        </w:tc>
        <w:tc>
          <w:tcPr>
            <w:tcW w:w="0" w:type="auto"/>
            <w:tcBorders>
              <w:top w:val="single" w:sz="6" w:space="0" w:color="000000"/>
              <w:left w:val="single" w:sz="6" w:space="0" w:color="000000"/>
              <w:bottom w:val="single" w:sz="6" w:space="0" w:color="000000"/>
              <w:right w:val="single" w:sz="6" w:space="0" w:color="000000"/>
            </w:tcBorders>
            <w:hideMark/>
          </w:tcPr>
          <w:p w:rsidR="00CF3439" w:rsidRPr="00AD595B" w:rsidP="00CF3439">
            <w:pPr>
              <w:jc w:val="right"/>
            </w:pPr>
            <w:r w:rsidRPr="00AD595B">
              <w:t>56</w:t>
            </w:r>
          </w:p>
        </w:tc>
        <w:tc>
          <w:tcPr>
            <w:tcW w:w="0" w:type="auto"/>
            <w:tcBorders>
              <w:top w:val="single" w:sz="6" w:space="0" w:color="000000"/>
              <w:left w:val="single" w:sz="6" w:space="0" w:color="000000"/>
              <w:bottom w:val="single" w:sz="6" w:space="0" w:color="000000"/>
              <w:right w:val="single" w:sz="6" w:space="0" w:color="000000"/>
            </w:tcBorders>
            <w:hideMark/>
          </w:tcPr>
          <w:p w:rsidR="00CF3439" w:rsidRPr="00AD595B" w:rsidP="00CF3439">
            <w:pPr>
              <w:jc w:val="right"/>
            </w:pPr>
            <w:r w:rsidRPr="00AD595B">
              <w:t>51.5</w:t>
            </w:r>
          </w:p>
        </w:tc>
      </w:tr>
      <w:tr w:rsidTr="00CF3439">
        <w:tblPrEx>
          <w:tblW w:w="5000" w:type="pct"/>
          <w:tblCellMar>
            <w:top w:w="120" w:type="dxa"/>
            <w:left w:w="15" w:type="dxa"/>
            <w:bottom w:w="15" w:type="dxa"/>
            <w:right w:w="15" w:type="dxa"/>
          </w:tblCellMar>
          <w:tblLook w:val="04A0"/>
        </w:tblPrEx>
        <w:tc>
          <w:tcPr>
            <w:tcW w:w="0" w:type="auto"/>
            <w:tcBorders>
              <w:top w:val="single" w:sz="6" w:space="0" w:color="000000"/>
              <w:left w:val="single" w:sz="6" w:space="0" w:color="000000"/>
              <w:bottom w:val="single" w:sz="6" w:space="0" w:color="000000"/>
              <w:right w:val="single" w:sz="6" w:space="0" w:color="000000"/>
            </w:tcBorders>
          </w:tcPr>
          <w:p w:rsidR="00CF3439" w:rsidRPr="00AD595B" w:rsidP="00CF3439">
            <w:r w:rsidRPr="00AD595B">
              <w:t>Greater than 10 watts EIRP</w:t>
            </w:r>
          </w:p>
        </w:tc>
        <w:tc>
          <w:tcPr>
            <w:tcW w:w="0" w:type="auto"/>
            <w:tcBorders>
              <w:top w:val="single" w:sz="6" w:space="0" w:color="000000"/>
              <w:left w:val="single" w:sz="6" w:space="0" w:color="000000"/>
              <w:bottom w:val="single" w:sz="6" w:space="0" w:color="000000"/>
              <w:right w:val="single" w:sz="6" w:space="0" w:color="000000"/>
            </w:tcBorders>
          </w:tcPr>
          <w:p w:rsidR="00CF3439" w:rsidRPr="00AD595B" w:rsidP="00CF3439">
            <w:pPr>
              <w:jc w:val="right"/>
            </w:pPr>
            <w:r w:rsidRPr="00AD595B">
              <w:t>59.2</w:t>
            </w:r>
          </w:p>
        </w:tc>
        <w:tc>
          <w:tcPr>
            <w:tcW w:w="0" w:type="auto"/>
            <w:tcBorders>
              <w:top w:val="single" w:sz="6" w:space="0" w:color="000000"/>
              <w:left w:val="single" w:sz="6" w:space="0" w:color="000000"/>
              <w:bottom w:val="single" w:sz="6" w:space="0" w:color="000000"/>
              <w:right w:val="single" w:sz="6" w:space="0" w:color="000000"/>
            </w:tcBorders>
          </w:tcPr>
          <w:p w:rsidR="00CF3439" w:rsidRPr="00AD595B" w:rsidP="00CF3439">
            <w:pPr>
              <w:jc w:val="right"/>
            </w:pPr>
            <w:r w:rsidRPr="00AD595B">
              <w:t>52.2</w:t>
            </w:r>
          </w:p>
        </w:tc>
      </w:tr>
    </w:tbl>
    <w:p w:rsidR="00CF3439" w:rsidP="0066227F"/>
    <w:p w:rsidR="0073462B" w:rsidP="0066227F">
      <w:r>
        <w:t>* * * * *</w:t>
      </w:r>
    </w:p>
    <w:p w:rsidR="00CF3439" w:rsidP="0066227F"/>
    <w:p w:rsidR="00144403" w:rsidP="0066227F">
      <w:pPr>
        <w:rPr>
          <w:color w:val="000000"/>
          <w:shd w:val="clear" w:color="auto" w:fill="FFFFFF"/>
        </w:rPr>
      </w:pPr>
      <w:r w:rsidRPr="00BE7089">
        <w:rPr>
          <w:color w:val="000000"/>
          <w:shd w:val="clear" w:color="auto" w:fill="FFFFFF"/>
        </w:rPr>
        <w:t>(f) </w:t>
      </w:r>
      <w:r w:rsidRPr="00BE7089">
        <w:rPr>
          <w:i/>
          <w:iCs/>
          <w:color w:val="000000"/>
          <w:shd w:val="clear" w:color="auto" w:fill="FFFFFF"/>
        </w:rPr>
        <w:t>Low power auxiliary services, including wireless microphones.</w:t>
      </w:r>
      <w:r w:rsidRPr="00BE7089">
        <w:rPr>
          <w:color w:val="000000"/>
          <w:shd w:val="clear" w:color="auto" w:fill="FFFFFF"/>
        </w:rPr>
        <w:t> </w:t>
      </w:r>
      <w:r>
        <w:rPr>
          <w:color w:val="000000"/>
          <w:shd w:val="clear" w:color="auto" w:fill="FFFFFF"/>
        </w:rPr>
        <w:t>W</w:t>
      </w:r>
      <w:r w:rsidRPr="00BE7089">
        <w:rPr>
          <w:color w:val="000000"/>
          <w:shd w:val="clear" w:color="auto" w:fill="FFFFFF"/>
        </w:rPr>
        <w:t xml:space="preserve">hite space devices are not permitted to operate within </w:t>
      </w:r>
      <w:r>
        <w:rPr>
          <w:color w:val="000000"/>
          <w:shd w:val="clear" w:color="auto" w:fill="FFFFFF"/>
        </w:rPr>
        <w:t xml:space="preserve">the following distances </w:t>
      </w:r>
      <w:r w:rsidRPr="00BE7089">
        <w:rPr>
          <w:color w:val="000000"/>
          <w:shd w:val="clear" w:color="auto" w:fill="FFFFFF"/>
        </w:rPr>
        <w:t>of the coordinates of registered low power auxiliary station sites on the registered channels during the designated times they are used by low power auxiliary stations.</w:t>
      </w:r>
    </w:p>
    <w:p w:rsidR="00BE7089" w:rsidP="0066227F">
      <w:pPr>
        <w:rPr>
          <w:color w:val="000000"/>
          <w:shd w:val="clear" w:color="auto" w:fill="FFFFFF"/>
        </w:rPr>
      </w:pPr>
    </w:p>
    <w:p w:rsidR="00144403" w:rsidP="0066227F">
      <w:pPr>
        <w:rPr>
          <w:color w:val="000000"/>
          <w:shd w:val="clear" w:color="auto" w:fill="FFFFFF"/>
        </w:rPr>
      </w:pPr>
      <w:r>
        <w:rPr>
          <w:color w:val="000000"/>
          <w:shd w:val="clear" w:color="auto" w:fill="FFFFFF"/>
        </w:rPr>
        <w:t xml:space="preserve">(1) Fixed white space devices with </w:t>
      </w:r>
      <w:r w:rsidR="00D65BB6">
        <w:rPr>
          <w:color w:val="000000"/>
          <w:shd w:val="clear" w:color="auto" w:fill="FFFFFF"/>
        </w:rPr>
        <w:t>1</w:t>
      </w:r>
      <w:r>
        <w:rPr>
          <w:color w:val="000000"/>
          <w:shd w:val="clear" w:color="auto" w:fill="FFFFFF"/>
        </w:rPr>
        <w:t xml:space="preserve">0 watts </w:t>
      </w:r>
      <w:r w:rsidR="00D65BB6">
        <w:rPr>
          <w:color w:val="000000"/>
          <w:shd w:val="clear" w:color="auto" w:fill="FFFFFF"/>
        </w:rPr>
        <w:t xml:space="preserve">EIRP </w:t>
      </w:r>
      <w:r>
        <w:rPr>
          <w:color w:val="000000"/>
          <w:shd w:val="clear" w:color="auto" w:fill="FFFFFF"/>
        </w:rPr>
        <w:t>or less:</w:t>
      </w:r>
      <w:r w:rsidRPr="00144403">
        <w:rPr>
          <w:color w:val="000000"/>
          <w:shd w:val="clear" w:color="auto" w:fill="FFFFFF"/>
        </w:rPr>
        <w:t xml:space="preserve"> </w:t>
      </w:r>
      <w:r>
        <w:rPr>
          <w:color w:val="000000"/>
          <w:shd w:val="clear" w:color="auto" w:fill="FFFFFF"/>
        </w:rPr>
        <w:t>1 kilometer</w:t>
      </w:r>
    </w:p>
    <w:p w:rsidR="00144403" w:rsidP="0066227F">
      <w:pPr>
        <w:rPr>
          <w:color w:val="000000"/>
          <w:shd w:val="clear" w:color="auto" w:fill="FFFFFF"/>
        </w:rPr>
      </w:pPr>
    </w:p>
    <w:p w:rsidR="00144403" w:rsidP="0066227F">
      <w:pPr>
        <w:rPr>
          <w:color w:val="000000"/>
          <w:shd w:val="clear" w:color="auto" w:fill="FFFFFF"/>
        </w:rPr>
      </w:pPr>
      <w:r>
        <w:rPr>
          <w:color w:val="000000"/>
          <w:shd w:val="clear" w:color="auto" w:fill="FFFFFF"/>
        </w:rPr>
        <w:t>(2) Fixed white space devices with greater than 10 watts</w:t>
      </w:r>
      <w:r w:rsidR="00D65BB6">
        <w:rPr>
          <w:color w:val="000000"/>
          <w:shd w:val="clear" w:color="auto" w:fill="FFFFFF"/>
        </w:rPr>
        <w:t xml:space="preserve"> EIRP</w:t>
      </w:r>
      <w:r>
        <w:rPr>
          <w:color w:val="000000"/>
          <w:shd w:val="clear" w:color="auto" w:fill="FFFFFF"/>
        </w:rPr>
        <w:t>: 1.3 kilometers</w:t>
      </w:r>
    </w:p>
    <w:p w:rsidR="00144403" w:rsidP="0066227F">
      <w:pPr>
        <w:rPr>
          <w:color w:val="000000"/>
          <w:shd w:val="clear" w:color="auto" w:fill="FFFFFF"/>
        </w:rPr>
      </w:pPr>
    </w:p>
    <w:p w:rsidR="00144403" w:rsidRPr="00144403" w:rsidP="0066227F">
      <w:r>
        <w:rPr>
          <w:color w:val="000000"/>
          <w:shd w:val="clear" w:color="auto" w:fill="FFFFFF"/>
        </w:rPr>
        <w:t>(3) P</w:t>
      </w:r>
      <w:r w:rsidRPr="00DC24EE">
        <w:rPr>
          <w:color w:val="000000"/>
          <w:shd w:val="clear" w:color="auto" w:fill="FFFFFF"/>
        </w:rPr>
        <w:t>ersonal/portable white space devices</w:t>
      </w:r>
      <w:r>
        <w:rPr>
          <w:color w:val="000000"/>
          <w:shd w:val="clear" w:color="auto" w:fill="FFFFFF"/>
        </w:rPr>
        <w:t xml:space="preserve">: </w:t>
      </w:r>
      <w:r w:rsidRPr="00DC24EE">
        <w:rPr>
          <w:color w:val="000000"/>
          <w:shd w:val="clear" w:color="auto" w:fill="FFFFFF"/>
        </w:rPr>
        <w:t>400 meters</w:t>
      </w:r>
    </w:p>
    <w:p w:rsidR="00144403" w:rsidP="0066227F"/>
    <w:p w:rsidR="00144403" w:rsidP="0066227F">
      <w:r>
        <w:t>* * * * *</w:t>
      </w:r>
    </w:p>
    <w:p w:rsidR="00144403" w:rsidP="0066227F"/>
    <w:p w:rsidR="0073462B" w:rsidP="0066227F">
      <w:r>
        <w:t>(</w:t>
      </w:r>
      <w:r>
        <w:t>i</w:t>
      </w:r>
      <w:r>
        <w:t>) * * *</w:t>
      </w:r>
    </w:p>
    <w:p w:rsidR="0073462B" w:rsidP="0066227F"/>
    <w:p w:rsidR="0073462B" w:rsidP="0066227F">
      <w:r>
        <w:t xml:space="preserve">(1) </w:t>
      </w:r>
      <w:r w:rsidRPr="0073462B">
        <w:t>Fixed white space devices may only operate above 4 W EIRP in less congested areas as defined in §15.703</w:t>
      </w:r>
      <w:r>
        <w:t>.</w:t>
      </w:r>
    </w:p>
    <w:p w:rsidR="0073462B" w:rsidP="0066227F"/>
    <w:p w:rsidR="0066227F" w:rsidP="0066227F">
      <w:r>
        <w:t>* * * * *</w:t>
      </w:r>
    </w:p>
    <w:p w:rsidR="00B45A42" w:rsidP="00235FC5">
      <w:pPr>
        <w:jc w:val="center"/>
        <w:sectPr w:rsidSect="00117210">
          <w:endnotePr>
            <w:numFmt w:val="decimal"/>
          </w:endnotePr>
          <w:pgSz w:w="12240" w:h="15840"/>
          <w:pgMar w:top="1440" w:right="1440" w:bottom="720" w:left="1440" w:header="720" w:footer="720" w:gutter="0"/>
          <w:cols w:space="720"/>
          <w:noEndnote/>
          <w:docGrid w:linePitch="299"/>
        </w:sectPr>
      </w:pPr>
    </w:p>
    <w:p w:rsidR="001B7907" w:rsidRPr="001B7907" w:rsidP="00235FC5">
      <w:pPr>
        <w:jc w:val="center"/>
        <w:rPr>
          <w:b/>
          <w:spacing w:val="-2"/>
        </w:rPr>
      </w:pPr>
      <w:r w:rsidRPr="001B7907">
        <w:rPr>
          <w:b/>
          <w:spacing w:val="-2"/>
        </w:rPr>
        <w:t>Appendix B</w:t>
      </w:r>
    </w:p>
    <w:p w:rsidR="001B7907" w:rsidRPr="001B7907" w:rsidP="00BA3094">
      <w:pPr>
        <w:jc w:val="center"/>
        <w:rPr>
          <w:b/>
          <w:spacing w:val="-2"/>
        </w:rPr>
      </w:pPr>
    </w:p>
    <w:p w:rsidR="001B7907" w:rsidP="001B7907">
      <w:pPr>
        <w:contextualSpacing/>
        <w:jc w:val="center"/>
        <w:rPr>
          <w:b/>
        </w:rPr>
      </w:pPr>
      <w:r w:rsidRPr="001B7907">
        <w:rPr>
          <w:b/>
        </w:rPr>
        <w:t>List of Parties Filing Comments</w:t>
      </w:r>
    </w:p>
    <w:p w:rsidR="001B7907" w:rsidP="001B7907">
      <w:pPr>
        <w:contextualSpacing/>
        <w:jc w:val="center"/>
        <w:rPr>
          <w:b/>
        </w:rPr>
      </w:pPr>
    </w:p>
    <w:p w:rsidR="00503D31" w:rsidP="00503D31">
      <w:pPr>
        <w:spacing w:after="120"/>
        <w:rPr>
          <w:u w:val="single"/>
        </w:rPr>
      </w:pPr>
      <w:r>
        <w:rPr>
          <w:u w:val="single"/>
        </w:rPr>
        <w:t>Comments</w:t>
      </w:r>
    </w:p>
    <w:p w:rsidR="00503D31" w:rsidP="00503D31">
      <w:pPr>
        <w:pStyle w:val="ListParagraph"/>
        <w:numPr>
          <w:ilvl w:val="0"/>
          <w:numId w:val="8"/>
        </w:numPr>
      </w:pPr>
      <w:bookmarkStart w:id="206" w:name="_Hlk13669697"/>
      <w:r w:rsidRPr="00324BDE">
        <w:t>6Harmonics Inc.</w:t>
      </w:r>
    </w:p>
    <w:bookmarkEnd w:id="206"/>
    <w:p w:rsidR="00503D31" w:rsidP="00503D31">
      <w:pPr>
        <w:pStyle w:val="ListParagraph"/>
        <w:numPr>
          <w:ilvl w:val="0"/>
          <w:numId w:val="8"/>
        </w:numPr>
      </w:pPr>
      <w:r w:rsidRPr="00324BDE">
        <w:t xml:space="preserve">6Harmonics Inc., Agile Networks, Cal.net, Declaration Networks Group, Evolve Cellular, </w:t>
      </w:r>
      <w:r w:rsidRPr="00324BDE">
        <w:t>Fairspectrum</w:t>
      </w:r>
      <w:r w:rsidRPr="00324BDE">
        <w:t xml:space="preserve"> Oy, Network Business Systems Inc., </w:t>
      </w:r>
      <w:r w:rsidRPr="00324BDE">
        <w:t>Nextlink</w:t>
      </w:r>
      <w:r w:rsidRPr="00324BDE">
        <w:t xml:space="preserve"> Internet, Packerland Broadband, RADWIN, RTO Wireless, Sacred Wind Communications, Inc., Skylark Wireless, </w:t>
      </w:r>
      <w:r w:rsidRPr="00324BDE">
        <w:t>Vistabeam</w:t>
      </w:r>
      <w:r w:rsidRPr="00324BDE">
        <w:t xml:space="preserve"> Internet, Watch Communications, WON Communications</w:t>
      </w:r>
      <w:r>
        <w:t xml:space="preserve"> (Rural Partners)</w:t>
      </w:r>
    </w:p>
    <w:p w:rsidR="00503D31" w:rsidP="00503D31">
      <w:pPr>
        <w:pStyle w:val="ListParagraph"/>
        <w:numPr>
          <w:ilvl w:val="0"/>
          <w:numId w:val="8"/>
        </w:numPr>
      </w:pPr>
      <w:r w:rsidRPr="00E10AFE">
        <w:t>ACT | The App Association</w:t>
      </w:r>
    </w:p>
    <w:p w:rsidR="00503D31" w:rsidP="00503D31">
      <w:pPr>
        <w:pStyle w:val="ListParagraph"/>
        <w:numPr>
          <w:ilvl w:val="0"/>
          <w:numId w:val="8"/>
        </w:numPr>
      </w:pPr>
      <w:r w:rsidRPr="00324BDE">
        <w:t>Adaptrum</w:t>
      </w:r>
      <w:r w:rsidRPr="00324BDE">
        <w:t>, Inc.</w:t>
      </w:r>
    </w:p>
    <w:p w:rsidR="00503D31" w:rsidP="00503D31">
      <w:pPr>
        <w:pStyle w:val="ListParagraph"/>
        <w:numPr>
          <w:ilvl w:val="0"/>
          <w:numId w:val="8"/>
        </w:numPr>
      </w:pPr>
      <w:r w:rsidRPr="00324BDE">
        <w:t>Connect Americans Now</w:t>
      </w:r>
    </w:p>
    <w:p w:rsidR="00503D31" w:rsidP="00503D31">
      <w:pPr>
        <w:pStyle w:val="ListParagraph"/>
        <w:numPr>
          <w:ilvl w:val="0"/>
          <w:numId w:val="8"/>
        </w:numPr>
      </w:pPr>
      <w:r>
        <w:t>Deere &amp; Company</w:t>
      </w:r>
    </w:p>
    <w:p w:rsidR="00503D31" w:rsidP="00503D31">
      <w:pPr>
        <w:pStyle w:val="ListParagraph"/>
        <w:numPr>
          <w:ilvl w:val="0"/>
          <w:numId w:val="8"/>
        </w:numPr>
      </w:pPr>
      <w:r>
        <w:t>Declaration Networks Group</w:t>
      </w:r>
    </w:p>
    <w:p w:rsidR="00503D31" w:rsidP="00503D31">
      <w:pPr>
        <w:pStyle w:val="ListParagraph"/>
        <w:numPr>
          <w:ilvl w:val="0"/>
          <w:numId w:val="8"/>
        </w:numPr>
      </w:pPr>
      <w:r>
        <w:t>Dynamic Spectrum Alliance</w:t>
      </w:r>
    </w:p>
    <w:p w:rsidR="00503D31" w:rsidP="00503D31">
      <w:pPr>
        <w:pStyle w:val="ListParagraph"/>
        <w:numPr>
          <w:ilvl w:val="0"/>
          <w:numId w:val="8"/>
        </w:numPr>
      </w:pPr>
      <w:r w:rsidRPr="00324BDE">
        <w:t>Evolve Cellular, Inc. and Skylark Wireless LLC</w:t>
      </w:r>
    </w:p>
    <w:p w:rsidR="00503D31" w:rsidP="00503D31">
      <w:pPr>
        <w:pStyle w:val="ListParagraph"/>
        <w:numPr>
          <w:ilvl w:val="0"/>
          <w:numId w:val="8"/>
        </w:numPr>
      </w:pPr>
      <w:r w:rsidRPr="00324BDE">
        <w:t>GE Healthcare</w:t>
      </w:r>
    </w:p>
    <w:p w:rsidR="00503D31" w:rsidP="00503D31">
      <w:pPr>
        <w:pStyle w:val="ListParagraph"/>
        <w:numPr>
          <w:ilvl w:val="0"/>
          <w:numId w:val="8"/>
        </w:numPr>
      </w:pPr>
      <w:r w:rsidRPr="00324BDE">
        <w:t>National Association of Broadcasters (NAB)</w:t>
      </w:r>
    </w:p>
    <w:p w:rsidR="00503D31" w:rsidP="00503D31">
      <w:pPr>
        <w:pStyle w:val="ListParagraph"/>
        <w:numPr>
          <w:ilvl w:val="0"/>
          <w:numId w:val="8"/>
        </w:numPr>
      </w:pPr>
      <w:r>
        <w:t>Nominet</w:t>
      </w:r>
    </w:p>
    <w:p w:rsidR="00503D31" w:rsidP="00503D31">
      <w:pPr>
        <w:pStyle w:val="ListParagraph"/>
        <w:numPr>
          <w:ilvl w:val="0"/>
          <w:numId w:val="8"/>
        </w:numPr>
      </w:pPr>
      <w:bookmarkStart w:id="207" w:name="_Hlk14848557"/>
      <w:r>
        <w:t xml:space="preserve">Open Technology Institute </w:t>
      </w:r>
      <w:bookmarkEnd w:id="207"/>
      <w:r>
        <w:t>at New America, Next Century Cities, Gigabit Libraries Network, Tribal Digital Village and Public Knowledge (</w:t>
      </w:r>
      <w:r w:rsidRPr="00E10AFE">
        <w:t>Public Interest Organizations</w:t>
      </w:r>
      <w:r>
        <w:t>)</w:t>
      </w:r>
    </w:p>
    <w:p w:rsidR="00503D31" w:rsidP="00503D31">
      <w:pPr>
        <w:pStyle w:val="ListParagraph"/>
        <w:numPr>
          <w:ilvl w:val="0"/>
          <w:numId w:val="8"/>
        </w:numPr>
      </w:pPr>
      <w:r w:rsidRPr="00324BDE">
        <w:t>RADWIN Ltd.</w:t>
      </w:r>
    </w:p>
    <w:p w:rsidR="00503D31" w:rsidP="00503D31">
      <w:pPr>
        <w:pStyle w:val="ListParagraph"/>
        <w:numPr>
          <w:ilvl w:val="0"/>
          <w:numId w:val="8"/>
        </w:numPr>
      </w:pPr>
      <w:r w:rsidRPr="00324BDE">
        <w:t>Rise Broadband</w:t>
      </w:r>
    </w:p>
    <w:p w:rsidR="00503D31" w:rsidP="00503D31">
      <w:pPr>
        <w:pStyle w:val="ListParagraph"/>
        <w:numPr>
          <w:ilvl w:val="0"/>
          <w:numId w:val="8"/>
        </w:numPr>
      </w:pPr>
      <w:bookmarkStart w:id="208" w:name="_Hlk521940628"/>
      <w:r w:rsidRPr="00324BDE">
        <w:t>Sacred Wind Communications, Inc.</w:t>
      </w:r>
      <w:r w:rsidRPr="00C76EC1">
        <w:t xml:space="preserve"> </w:t>
      </w:r>
      <w:bookmarkEnd w:id="208"/>
    </w:p>
    <w:p w:rsidR="00503D31" w:rsidP="00503D31">
      <w:pPr>
        <w:pStyle w:val="ListParagraph"/>
        <w:numPr>
          <w:ilvl w:val="0"/>
          <w:numId w:val="8"/>
        </w:numPr>
      </w:pPr>
      <w:r w:rsidRPr="00E10AFE">
        <w:t>Sennheiser Research &amp; Innovation</w:t>
      </w:r>
    </w:p>
    <w:p w:rsidR="00503D31" w:rsidP="00503D31">
      <w:pPr>
        <w:pStyle w:val="ListParagraph"/>
        <w:numPr>
          <w:ilvl w:val="0"/>
          <w:numId w:val="8"/>
        </w:numPr>
      </w:pPr>
      <w:r>
        <w:t>Shure Incorporated</w:t>
      </w:r>
    </w:p>
    <w:p w:rsidR="00503D31" w:rsidP="00503D31">
      <w:pPr>
        <w:pStyle w:val="ListParagraph"/>
        <w:numPr>
          <w:ilvl w:val="0"/>
          <w:numId w:val="8"/>
        </w:numPr>
      </w:pPr>
      <w:r w:rsidRPr="00324BDE">
        <w:t>The American Society for Healthcare Engineering of the American Hospital Association</w:t>
      </w:r>
      <w:r>
        <w:t xml:space="preserve"> (ASHE)</w:t>
      </w:r>
    </w:p>
    <w:p w:rsidR="00503D31" w:rsidP="00503D31">
      <w:pPr>
        <w:pStyle w:val="ListParagraph"/>
        <w:numPr>
          <w:ilvl w:val="0"/>
          <w:numId w:val="8"/>
        </w:numPr>
      </w:pPr>
      <w:r w:rsidRPr="00324BDE">
        <w:t>Wi-Fi Alliance</w:t>
      </w:r>
    </w:p>
    <w:p w:rsidR="00503D31" w:rsidP="00503D31">
      <w:pPr>
        <w:pStyle w:val="ListParagraph"/>
        <w:numPr>
          <w:ilvl w:val="0"/>
          <w:numId w:val="8"/>
        </w:numPr>
      </w:pPr>
      <w:r w:rsidRPr="00324BDE">
        <w:t>Wireless Internet Service Providers Association</w:t>
      </w:r>
    </w:p>
    <w:p w:rsidR="00503D31" w:rsidP="00503D31"/>
    <w:p w:rsidR="00503D31" w:rsidP="00503D31">
      <w:pPr>
        <w:spacing w:after="120"/>
      </w:pPr>
      <w:bookmarkStart w:id="209" w:name="_Hlk510014341"/>
      <w:r>
        <w:rPr>
          <w:u w:val="single"/>
        </w:rPr>
        <w:t>Reply comments</w:t>
      </w:r>
    </w:p>
    <w:p w:rsidR="00503D31" w:rsidP="00503D31">
      <w:pPr>
        <w:pStyle w:val="ListParagraph"/>
        <w:numPr>
          <w:ilvl w:val="0"/>
          <w:numId w:val="9"/>
        </w:numPr>
      </w:pPr>
      <w:bookmarkStart w:id="210" w:name="_Hlk510014356"/>
      <w:bookmarkStart w:id="211" w:name="_Hlk14790288"/>
      <w:bookmarkEnd w:id="209"/>
      <w:r w:rsidRPr="00DD75FE">
        <w:t>Alliance of Resident Theatres/New York</w:t>
      </w:r>
    </w:p>
    <w:p w:rsidR="00503D31" w:rsidP="00503D31">
      <w:pPr>
        <w:pStyle w:val="ListParagraph"/>
        <w:numPr>
          <w:ilvl w:val="0"/>
          <w:numId w:val="9"/>
        </w:numPr>
      </w:pPr>
      <w:r w:rsidRPr="004E6906">
        <w:t>Association of Performing Arts Professionals</w:t>
      </w:r>
    </w:p>
    <w:p w:rsidR="00503D31" w:rsidP="00503D31">
      <w:pPr>
        <w:pStyle w:val="ListParagraph"/>
        <w:numPr>
          <w:ilvl w:val="0"/>
          <w:numId w:val="9"/>
        </w:numPr>
      </w:pPr>
      <w:r w:rsidRPr="004E6906">
        <w:t>Bloomsburg Theatre Ensemble (BTE)</w:t>
      </w:r>
    </w:p>
    <w:p w:rsidR="00503D31" w:rsidP="00503D31">
      <w:pPr>
        <w:pStyle w:val="ListParagraph"/>
        <w:numPr>
          <w:ilvl w:val="0"/>
          <w:numId w:val="9"/>
        </w:numPr>
      </w:pPr>
      <w:r w:rsidRPr="00A50E1A">
        <w:t>Dance/USA</w:t>
      </w:r>
    </w:p>
    <w:p w:rsidR="00503D31" w:rsidP="00503D31">
      <w:pPr>
        <w:pStyle w:val="ListParagraph"/>
        <w:numPr>
          <w:ilvl w:val="0"/>
          <w:numId w:val="9"/>
        </w:numPr>
      </w:pPr>
      <w:r w:rsidRPr="00A50E1A">
        <w:t>Educational Theatre Association (</w:t>
      </w:r>
      <w:r w:rsidRPr="00A50E1A">
        <w:t>EdTA</w:t>
      </w:r>
      <w:r w:rsidRPr="00A50E1A">
        <w:t>)</w:t>
      </w:r>
    </w:p>
    <w:p w:rsidR="00503D31" w:rsidP="00503D31">
      <w:pPr>
        <w:pStyle w:val="ListParagraph"/>
        <w:numPr>
          <w:ilvl w:val="0"/>
          <w:numId w:val="9"/>
        </w:numPr>
      </w:pPr>
      <w:r>
        <w:t>League of American Orchestras</w:t>
      </w:r>
    </w:p>
    <w:p w:rsidR="00503D31" w:rsidP="00503D31">
      <w:pPr>
        <w:pStyle w:val="ListParagraph"/>
        <w:numPr>
          <w:ilvl w:val="0"/>
          <w:numId w:val="9"/>
        </w:numPr>
      </w:pPr>
      <w:r w:rsidRPr="00A50E1A">
        <w:t>Lectrosonics</w:t>
      </w:r>
      <w:r w:rsidRPr="00A50E1A">
        <w:t>, Inc.</w:t>
      </w:r>
    </w:p>
    <w:p w:rsidR="00503D31" w:rsidP="00503D31">
      <w:pPr>
        <w:pStyle w:val="ListParagraph"/>
        <w:numPr>
          <w:ilvl w:val="0"/>
          <w:numId w:val="9"/>
        </w:numPr>
      </w:pPr>
      <w:r w:rsidRPr="00E10AFE">
        <w:t>Microsoft Corporation</w:t>
      </w:r>
    </w:p>
    <w:p w:rsidR="00503D31" w:rsidRPr="00E10AFE" w:rsidP="00503D31">
      <w:pPr>
        <w:pStyle w:val="ListParagraph"/>
        <w:numPr>
          <w:ilvl w:val="0"/>
          <w:numId w:val="9"/>
        </w:numPr>
      </w:pPr>
      <w:r w:rsidRPr="00A50E1A">
        <w:t>National Alliance for Musical Theatre</w:t>
      </w:r>
    </w:p>
    <w:p w:rsidR="00503D31" w:rsidP="00503D31">
      <w:pPr>
        <w:pStyle w:val="ListParagraph"/>
        <w:numPr>
          <w:ilvl w:val="0"/>
          <w:numId w:val="9"/>
        </w:numPr>
      </w:pPr>
      <w:r w:rsidRPr="00E10AFE">
        <w:t>National Association of Broadcasters (NAB)</w:t>
      </w:r>
      <w:bookmarkEnd w:id="210"/>
    </w:p>
    <w:p w:rsidR="00503D31" w:rsidP="00503D31">
      <w:pPr>
        <w:pStyle w:val="ListParagraph"/>
        <w:numPr>
          <w:ilvl w:val="0"/>
          <w:numId w:val="9"/>
        </w:numPr>
      </w:pPr>
      <w:r w:rsidRPr="00A50E1A">
        <w:t>OPERA America</w:t>
      </w:r>
    </w:p>
    <w:p w:rsidR="00503D31" w:rsidP="00503D31">
      <w:pPr>
        <w:pStyle w:val="ListParagraph"/>
        <w:numPr>
          <w:ilvl w:val="0"/>
          <w:numId w:val="9"/>
        </w:numPr>
      </w:pPr>
      <w:r w:rsidRPr="00A50E1A">
        <w:t>Oregon Shakespeare Festival</w:t>
      </w:r>
    </w:p>
    <w:p w:rsidR="00503D31" w:rsidP="00503D31">
      <w:pPr>
        <w:pStyle w:val="ListParagraph"/>
        <w:numPr>
          <w:ilvl w:val="0"/>
          <w:numId w:val="9"/>
        </w:numPr>
      </w:pPr>
      <w:r w:rsidRPr="00A50E1A">
        <w:t>Recording Academy</w:t>
      </w:r>
    </w:p>
    <w:p w:rsidR="00503D31" w:rsidP="00503D31">
      <w:pPr>
        <w:pStyle w:val="ListParagraph"/>
        <w:numPr>
          <w:ilvl w:val="0"/>
          <w:numId w:val="9"/>
        </w:numPr>
      </w:pPr>
      <w:r w:rsidRPr="00E10AFE">
        <w:t>Shure Incorporated</w:t>
      </w:r>
    </w:p>
    <w:p w:rsidR="00503D31" w:rsidP="00503D31">
      <w:pPr>
        <w:pStyle w:val="ListParagraph"/>
        <w:numPr>
          <w:ilvl w:val="0"/>
          <w:numId w:val="9"/>
        </w:numPr>
      </w:pPr>
      <w:r w:rsidRPr="00A50E1A">
        <w:t>Theatre Communications Group (TCG)</w:t>
      </w:r>
    </w:p>
    <w:p w:rsidR="00503D31" w:rsidP="00503D31">
      <w:pPr>
        <w:pStyle w:val="ListParagraph"/>
        <w:numPr>
          <w:ilvl w:val="0"/>
          <w:numId w:val="9"/>
        </w:numPr>
      </w:pPr>
      <w:r w:rsidRPr="00A50E1A">
        <w:t>Weston Playhouse Theatre Company</w:t>
      </w:r>
    </w:p>
    <w:bookmarkEnd w:id="211"/>
    <w:p w:rsidR="001B7907" w:rsidRPr="001B7907" w:rsidP="001B7907">
      <w:pPr>
        <w:contextualSpacing/>
      </w:pPr>
    </w:p>
    <w:p w:rsidR="00B45A42" w:rsidP="007F10A4">
      <w:pPr>
        <w:tabs>
          <w:tab w:val="left" w:pos="5270"/>
        </w:tabs>
        <w:ind w:left="720" w:hanging="720"/>
        <w:jc w:val="center"/>
        <w:sectPr w:rsidSect="00117210">
          <w:footerReference w:type="default" r:id="rId13"/>
          <w:endnotePr>
            <w:numFmt w:val="decimal"/>
          </w:endnotePr>
          <w:pgSz w:w="12240" w:h="15840"/>
          <w:pgMar w:top="1440" w:right="1440" w:bottom="720" w:left="1440" w:header="720" w:footer="720" w:gutter="0"/>
          <w:cols w:space="720"/>
          <w:noEndnote/>
          <w:docGrid w:linePitch="299"/>
        </w:sectPr>
      </w:pPr>
    </w:p>
    <w:p w:rsidR="00BA3094" w:rsidRPr="001B7907" w:rsidP="00BA3094">
      <w:pPr>
        <w:tabs>
          <w:tab w:val="left" w:pos="5270"/>
        </w:tabs>
        <w:ind w:left="720" w:hanging="720"/>
        <w:jc w:val="center"/>
        <w:rPr>
          <w:b/>
          <w:spacing w:val="-2"/>
        </w:rPr>
      </w:pPr>
      <w:r w:rsidRPr="001B7907">
        <w:rPr>
          <w:b/>
          <w:spacing w:val="-2"/>
        </w:rPr>
        <w:t xml:space="preserve">Appendix </w:t>
      </w:r>
      <w:r>
        <w:rPr>
          <w:b/>
          <w:spacing w:val="-2"/>
        </w:rPr>
        <w:t>C</w:t>
      </w:r>
    </w:p>
    <w:p w:rsidR="00BA3094" w:rsidRPr="001B7907" w:rsidP="00BA3094">
      <w:pPr>
        <w:jc w:val="center"/>
        <w:rPr>
          <w:b/>
          <w:spacing w:val="-2"/>
        </w:rPr>
      </w:pPr>
    </w:p>
    <w:p w:rsidR="00BA3094" w:rsidP="00BA3094">
      <w:pPr>
        <w:contextualSpacing/>
        <w:jc w:val="center"/>
        <w:rPr>
          <w:b/>
        </w:rPr>
      </w:pPr>
      <w:r>
        <w:rPr>
          <w:b/>
        </w:rPr>
        <w:t xml:space="preserve">Initial Regulatory Flexibility Analysis </w:t>
      </w:r>
    </w:p>
    <w:p w:rsidR="00BA3094" w:rsidP="00BA3094">
      <w:pPr>
        <w:pStyle w:val="ParaNum"/>
        <w:numPr>
          <w:ilvl w:val="0"/>
          <w:numId w:val="0"/>
        </w:numPr>
        <w:spacing w:after="0"/>
        <w:ind w:firstLine="720"/>
      </w:pPr>
    </w:p>
    <w:p w:rsidR="00BA3094" w:rsidRPr="006659CB" w:rsidP="00BA3094">
      <w:pPr>
        <w:ind w:firstLine="720"/>
      </w:pPr>
      <w:r w:rsidRPr="006659CB">
        <w:t>As required by the Regulatory Flexibility Act of 1980, as amended (RFA),</w:t>
      </w:r>
      <w:r>
        <w:rPr>
          <w:vertAlign w:val="superscript"/>
        </w:rPr>
        <w:footnoteReference w:id="108"/>
      </w:r>
      <w:r w:rsidRPr="006659CB">
        <w:t xml:space="preserve"> the Commission has prepared this present Initial Regulatory Flexibility Analysis (IRFA) of the possible significant economic impact on a substantial number of small entities by the policies and rules proposed in this </w:t>
      </w:r>
      <w:r w:rsidRPr="006659CB">
        <w:rPr>
          <w:i/>
        </w:rPr>
        <w:t>Notice of Proposed Rule Making</w:t>
      </w:r>
      <w:r w:rsidRPr="006659CB">
        <w:t xml:space="preserve"> (</w:t>
      </w:r>
      <w:r w:rsidRPr="006659CB">
        <w:rPr>
          <w:i/>
        </w:rPr>
        <w:t>NPRM</w:t>
      </w:r>
      <w:r w:rsidRPr="006659CB">
        <w:t xml:space="preserve">).  Written public comments are requested on this IRFA.  Comments must be identified as responses to the IRFA and must be filed by the deadlines for comments on the </w:t>
      </w:r>
      <w:r w:rsidRPr="006659CB">
        <w:rPr>
          <w:i/>
        </w:rPr>
        <w:t>NPRM</w:t>
      </w:r>
      <w:r w:rsidRPr="006659CB">
        <w:t xml:space="preserve"> provided in paragraph </w:t>
      </w:r>
      <w:r>
        <w:t xml:space="preserve">55 </w:t>
      </w:r>
      <w:r w:rsidRPr="006659CB">
        <w:t xml:space="preserve">of the item.  The Commission will send a copy of the </w:t>
      </w:r>
      <w:r>
        <w:rPr>
          <w:i/>
        </w:rPr>
        <w:t>N</w:t>
      </w:r>
      <w:r w:rsidRPr="006659CB">
        <w:rPr>
          <w:i/>
        </w:rPr>
        <w:t>PRM</w:t>
      </w:r>
      <w:r w:rsidRPr="006659CB">
        <w:t>, including this IRFA, to the Chief Counsel for Advocacy of the Small Business Administration (SBA).</w:t>
      </w:r>
      <w:r>
        <w:rPr>
          <w:vertAlign w:val="superscript"/>
        </w:rPr>
        <w:footnoteReference w:id="109"/>
      </w:r>
      <w:r w:rsidRPr="006659CB">
        <w:t xml:space="preserve">  In addition, the </w:t>
      </w:r>
      <w:r>
        <w:rPr>
          <w:i/>
        </w:rPr>
        <w:t>N</w:t>
      </w:r>
      <w:r w:rsidRPr="006659CB">
        <w:rPr>
          <w:i/>
        </w:rPr>
        <w:t>PRM</w:t>
      </w:r>
      <w:r w:rsidRPr="006659CB">
        <w:t xml:space="preserve"> and IRFA (or summaries thereof) will be published in the Federal Register.</w:t>
      </w:r>
      <w:r>
        <w:rPr>
          <w:vertAlign w:val="superscript"/>
        </w:rPr>
        <w:footnoteReference w:id="110"/>
      </w:r>
      <w:r w:rsidRPr="006659CB">
        <w:t xml:space="preserve">  </w:t>
      </w:r>
    </w:p>
    <w:p w:rsidR="00BA3094" w:rsidRPr="006659CB" w:rsidP="00BA3094"/>
    <w:p w:rsidR="00BA3094" w:rsidRPr="006659CB" w:rsidP="00BA3094">
      <w:pPr>
        <w:rPr>
          <w:b/>
        </w:rPr>
      </w:pPr>
      <w:r w:rsidRPr="006659CB">
        <w:rPr>
          <w:b/>
        </w:rPr>
        <w:t>A.</w:t>
      </w:r>
      <w:r w:rsidRPr="006659CB">
        <w:rPr>
          <w:b/>
        </w:rPr>
        <w:tab/>
        <w:t>Need for, and Objectives of, the Proposed Rules</w:t>
      </w:r>
    </w:p>
    <w:p w:rsidR="00BA3094" w:rsidRPr="006659CB" w:rsidP="00BA3094"/>
    <w:p w:rsidR="00BA3094" w:rsidRPr="006659CB" w:rsidP="00BA3094">
      <w:pPr>
        <w:ind w:firstLine="720"/>
      </w:pPr>
      <w:r w:rsidRPr="006659CB">
        <w:t xml:space="preserve">The </w:t>
      </w:r>
      <w:r w:rsidRPr="006659CB">
        <w:rPr>
          <w:i/>
        </w:rPr>
        <w:t>NPRM</w:t>
      </w:r>
      <w:r w:rsidRPr="006659CB">
        <w:t xml:space="preserve"> </w:t>
      </w:r>
      <w:r>
        <w:t xml:space="preserve">addresses issues raised in a petition for rulemaking filed by Microsoft Corporation on May 3, 2019 which requested that </w:t>
      </w:r>
      <w:r w:rsidRPr="007D0EE8">
        <w:t xml:space="preserve">the Commission modify the rules for white space devices in </w:t>
      </w:r>
      <w:r w:rsidRPr="007D0EE8">
        <w:t>a number of</w:t>
      </w:r>
      <w:r w:rsidRPr="007D0EE8">
        <w:t xml:space="preserve"> respects.  </w:t>
      </w:r>
      <w:r>
        <w:t xml:space="preserve">The petition </w:t>
      </w:r>
      <w:r w:rsidRPr="007D0EE8">
        <w:t>requests that the Commission: 1) permit higher radiated power limits for fixed devices in less congested areas to support broadband expansion in rural America, 2) permit fixed device operations at up to 500 meters height above average terrain (HAAT) to improve rural coverage, 3) examine the possibility of authorizing higher-power operations on first-adjacent channels to broadcasters, with appropriate safeguards to prevent harmful interference, 4) adjust its rules to support the use of white space channels for narrowband IoT, and 5) permit fixed device operations on movable platforms within geo</w:t>
      </w:r>
      <w:r>
        <w:t>-</w:t>
      </w:r>
      <w:r w:rsidRPr="007D0EE8">
        <w:t>fenced areas.</w:t>
      </w:r>
      <w:r>
        <w:t xml:space="preserve"> </w:t>
      </w:r>
    </w:p>
    <w:p w:rsidR="00BA3094" w:rsidRPr="006659CB" w:rsidP="00BA3094"/>
    <w:p w:rsidR="00BA3094" w:rsidRPr="006659CB" w:rsidP="00BA3094">
      <w:r w:rsidRPr="006659CB">
        <w:rPr>
          <w:b/>
        </w:rPr>
        <w:t>B.</w:t>
      </w:r>
      <w:r w:rsidRPr="006659CB">
        <w:rPr>
          <w:b/>
        </w:rPr>
        <w:tab/>
        <w:t>Legal Basis</w:t>
      </w:r>
    </w:p>
    <w:p w:rsidR="00BA3094" w:rsidRPr="006659CB" w:rsidP="00BA3094"/>
    <w:p w:rsidR="00BA3094" w:rsidRPr="006659CB" w:rsidP="00BA3094">
      <w:r w:rsidRPr="006659CB">
        <w:tab/>
        <w:t>The proposed action is taken pursuant to Sections 4(</w:t>
      </w:r>
      <w:r w:rsidRPr="006659CB">
        <w:t>i</w:t>
      </w:r>
      <w:r w:rsidRPr="006659CB">
        <w:t xml:space="preserve">), </w:t>
      </w:r>
      <w:r>
        <w:t>201</w:t>
      </w:r>
      <w:r w:rsidRPr="006659CB">
        <w:t xml:space="preserve">, 302, </w:t>
      </w:r>
      <w:r>
        <w:t xml:space="preserve">and 303 </w:t>
      </w:r>
      <w:r w:rsidRPr="006659CB">
        <w:t xml:space="preserve">of the Communications Act of 1934, as amended, 47 U.S.C. </w:t>
      </w:r>
      <w:r>
        <w:t>§§</w:t>
      </w:r>
      <w:r w:rsidRPr="006659CB">
        <w:t xml:space="preserve"> 154(</w:t>
      </w:r>
      <w:r w:rsidRPr="006659CB">
        <w:t>i</w:t>
      </w:r>
      <w:r w:rsidRPr="006659CB">
        <w:t xml:space="preserve">), </w:t>
      </w:r>
      <w:r>
        <w:t>201</w:t>
      </w:r>
      <w:r w:rsidRPr="006659CB">
        <w:t>, 302</w:t>
      </w:r>
      <w:r>
        <w:t>a</w:t>
      </w:r>
      <w:r w:rsidRPr="006659CB">
        <w:t>, 303.</w:t>
      </w:r>
    </w:p>
    <w:p w:rsidR="00BA3094" w:rsidRPr="006659CB" w:rsidP="00BA3094"/>
    <w:p w:rsidR="00BA3094" w:rsidRPr="006659CB" w:rsidP="00BA3094">
      <w:pPr>
        <w:ind w:left="720" w:hanging="720"/>
        <w:rPr>
          <w:b/>
        </w:rPr>
      </w:pPr>
      <w:r w:rsidRPr="006659CB">
        <w:rPr>
          <w:b/>
        </w:rPr>
        <w:t>C.</w:t>
      </w:r>
      <w:r w:rsidRPr="006659CB">
        <w:rPr>
          <w:b/>
        </w:rPr>
        <w:tab/>
        <w:t>Description and Estimate of the Number of Small Entities to Which the Proposed Rules Will Apply</w:t>
      </w:r>
    </w:p>
    <w:p w:rsidR="00BA3094" w:rsidRPr="006659CB" w:rsidP="00BA3094">
      <w:pPr>
        <w:ind w:left="720" w:hanging="720"/>
      </w:pPr>
    </w:p>
    <w:p w:rsidR="00BA3094" w:rsidRPr="006659CB" w:rsidP="00BA3094">
      <w:r w:rsidRPr="006659CB">
        <w:tab/>
        <w:t>The RFA directs agencies to provide a description of, and where feasible, an estimate of the number of small entities that may be affected by the proposed rules, if adopted.</w:t>
      </w:r>
      <w:r>
        <w:rPr>
          <w:vertAlign w:val="superscript"/>
        </w:rPr>
        <w:footnoteReference w:id="111"/>
      </w:r>
      <w:r w:rsidRPr="006659CB">
        <w:t xml:space="preserve">  The RFA generally defines the term “small entity” as having the same meaning as the terms “small business,” “small organization,” and “small governmental jurisdiction.”</w:t>
      </w:r>
      <w:r>
        <w:rPr>
          <w:vertAlign w:val="superscript"/>
        </w:rPr>
        <w:footnoteReference w:id="112"/>
      </w:r>
      <w:r w:rsidRPr="006659CB">
        <w:t xml:space="preserve">  In addition, the term “small business” has the same meaning as the term “small business concern” under the Small Business Act.</w:t>
      </w:r>
      <w:r>
        <w:rPr>
          <w:vertAlign w:val="superscript"/>
        </w:rPr>
        <w:footnoteReference w:id="113"/>
      </w:r>
      <w:r w:rsidRPr="006659CB">
        <w:t xml:space="preserve">  A “small business </w:t>
      </w:r>
      <w:r w:rsidRPr="006659CB">
        <w:t>concern” is one which: (1) is independently owned and operated; (2) is not dominant in its field of operation; and (3) satisfies any additional criteria established by the Small Business Administration (SBA).</w:t>
      </w:r>
      <w:r>
        <w:rPr>
          <w:vertAlign w:val="superscript"/>
        </w:rPr>
        <w:footnoteReference w:id="114"/>
      </w:r>
      <w:r w:rsidRPr="006659CB">
        <w:t xml:space="preserve">  </w:t>
      </w:r>
    </w:p>
    <w:p w:rsidR="00BA3094" w:rsidRPr="006659CB" w:rsidP="00BA3094"/>
    <w:p w:rsidR="00BA3094" w:rsidRPr="006659CB" w:rsidP="00BA3094">
      <w:r w:rsidRPr="006659CB">
        <w:tab/>
      </w:r>
      <w:r w:rsidRPr="0095338A">
        <w:rPr>
          <w:i/>
          <w:color w:val="000000"/>
        </w:rPr>
        <w:t>Radio and Television Broadcasting and Wireless Communications Equipment Manufacturing</w:t>
      </w:r>
      <w:r w:rsidRPr="0095338A">
        <w:rPr>
          <w:color w:val="000000"/>
        </w:rPr>
        <w:t xml:space="preserve">. </w:t>
      </w:r>
      <w:r>
        <w:rPr>
          <w:color w:val="000000"/>
        </w:rPr>
        <w:t xml:space="preserve"> </w:t>
      </w:r>
      <w:r w:rsidRPr="0095338A">
        <w:rPr>
          <w:color w:val="000000"/>
        </w:rPr>
        <w:t>This industry comprises establishments primarily engaged in manufacturing radio and television broadcast and wireless communications equipment.</w:t>
      </w:r>
      <w:r>
        <w:rPr>
          <w:rStyle w:val="FootnoteReference"/>
        </w:rPr>
        <w:footnoteReference w:id="115"/>
      </w:r>
      <w:r>
        <w:rPr>
          <w:color w:val="000000"/>
        </w:rPr>
        <w:t xml:space="preserve"> </w:t>
      </w:r>
      <w:r w:rsidRPr="0095338A">
        <w:rPr>
          <w:color w:val="000000"/>
        </w:rPr>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color w:val="000000"/>
        </w:rPr>
        <w:t>.</w:t>
      </w:r>
      <w:r>
        <w:rPr>
          <w:rStyle w:val="FootnoteReference"/>
        </w:rPr>
        <w:footnoteReference w:id="116"/>
      </w:r>
      <w:r w:rsidRPr="0095338A">
        <w:rPr>
          <w:color w:val="000000"/>
        </w:rPr>
        <w:t xml:space="preserve">  The </w:t>
      </w:r>
      <w:r>
        <w:rPr>
          <w:color w:val="000000"/>
        </w:rPr>
        <w:t xml:space="preserve">SBA </w:t>
      </w:r>
      <w:r w:rsidRPr="0095338A">
        <w:rPr>
          <w:color w:val="000000"/>
        </w:rPr>
        <w:t xml:space="preserve">has established a </w:t>
      </w:r>
      <w:r>
        <w:rPr>
          <w:color w:val="000000"/>
        </w:rPr>
        <w:t xml:space="preserve">small business </w:t>
      </w:r>
      <w:r w:rsidRPr="0095338A">
        <w:rPr>
          <w:color w:val="000000"/>
        </w:rPr>
        <w:t xml:space="preserve">size standard for this industry of </w:t>
      </w:r>
      <w:r w:rsidRPr="008259FA">
        <w:rPr>
          <w:color w:val="000000"/>
        </w:rPr>
        <w:t>1,250</w:t>
      </w:r>
      <w:r w:rsidRPr="0095338A">
        <w:rPr>
          <w:color w:val="000000"/>
        </w:rPr>
        <w:t xml:space="preserve"> employees or less.</w:t>
      </w:r>
      <w:r>
        <w:rPr>
          <w:rStyle w:val="FootnoteReference"/>
        </w:rPr>
        <w:footnoteReference w:id="117"/>
      </w:r>
      <w:r w:rsidRPr="0095338A">
        <w:rPr>
          <w:color w:val="000000"/>
        </w:rPr>
        <w:t xml:space="preserve">  </w:t>
      </w:r>
      <w:r>
        <w:rPr>
          <w:color w:val="000000"/>
        </w:rPr>
        <w:t xml:space="preserve">U.S. </w:t>
      </w:r>
      <w:r w:rsidRPr="0095338A">
        <w:rPr>
          <w:color w:val="000000"/>
        </w:rPr>
        <w:t xml:space="preserve">Census </w:t>
      </w:r>
      <w:r>
        <w:rPr>
          <w:color w:val="000000"/>
        </w:rPr>
        <w:t xml:space="preserve">Bureau </w:t>
      </w:r>
      <w:r w:rsidRPr="0095338A">
        <w:rPr>
          <w:color w:val="000000"/>
        </w:rPr>
        <w:t>data for 2012 show that 841 establishments operated in this industry in that year.</w:t>
      </w:r>
      <w:r>
        <w:rPr>
          <w:rStyle w:val="FootnoteReference"/>
        </w:rPr>
        <w:footnoteReference w:id="118"/>
      </w:r>
      <w:r w:rsidRPr="0095338A">
        <w:rPr>
          <w:color w:val="000000"/>
        </w:rPr>
        <w:t xml:space="preserve"> </w:t>
      </w:r>
      <w:r>
        <w:rPr>
          <w:color w:val="000000"/>
        </w:rPr>
        <w:t xml:space="preserve"> </w:t>
      </w:r>
      <w:r w:rsidRPr="0095338A">
        <w:rPr>
          <w:color w:val="000000"/>
        </w:rPr>
        <w:t>Of that number, 8</w:t>
      </w:r>
      <w:r>
        <w:rPr>
          <w:color w:val="000000"/>
        </w:rPr>
        <w:t>28</w:t>
      </w:r>
      <w:r w:rsidRPr="0095338A">
        <w:rPr>
          <w:color w:val="000000"/>
        </w:rPr>
        <w:t xml:space="preserve"> establishments operated </w:t>
      </w:r>
      <w:r>
        <w:t>with fewer than 1,000 employees, 7 establishments operated with between 1,000 and 2,499 employees and 6 establishments operated with 2,500 or more employees.</w:t>
      </w:r>
      <w:r>
        <w:rPr>
          <w:rStyle w:val="FootnoteReference"/>
        </w:rPr>
        <w:footnoteReference w:id="119"/>
      </w:r>
      <w:r>
        <w:t xml:space="preserve">  </w:t>
      </w:r>
      <w:r w:rsidRPr="0095338A">
        <w:rPr>
          <w:color w:val="000000"/>
        </w:rPr>
        <w:t xml:space="preserve">Based on this data, we conclude that a majority of manufacturers in this industry </w:t>
      </w:r>
      <w:r>
        <w:rPr>
          <w:color w:val="000000"/>
        </w:rPr>
        <w:t xml:space="preserve">are </w:t>
      </w:r>
      <w:r w:rsidRPr="0095338A">
        <w:rPr>
          <w:color w:val="000000"/>
        </w:rPr>
        <w:t>small.</w:t>
      </w:r>
      <w:bookmarkStart w:id="213" w:name="FN[FN8]"/>
      <w:bookmarkEnd w:id="213"/>
    </w:p>
    <w:p w:rsidR="00BA3094" w:rsidRPr="006659CB" w:rsidP="00BA3094"/>
    <w:p w:rsidR="00BA3094" w:rsidRPr="006659CB" w:rsidP="00BA3094">
      <w:pPr>
        <w:ind w:left="720" w:hanging="720"/>
        <w:rPr>
          <w:b/>
        </w:rPr>
      </w:pPr>
      <w:r w:rsidRPr="006659CB">
        <w:rPr>
          <w:b/>
        </w:rPr>
        <w:t>D.</w:t>
      </w:r>
      <w:r w:rsidRPr="006659CB">
        <w:rPr>
          <w:b/>
        </w:rPr>
        <w:tab/>
        <w:t>Description of Projected Reporting, Recordkeeping, and Other Compliance Requirements for Small Entities</w:t>
      </w:r>
    </w:p>
    <w:p w:rsidR="00BA3094" w:rsidRPr="006659CB" w:rsidP="00BA3094"/>
    <w:p w:rsidR="00BA3094" w:rsidP="00BA3094">
      <w:pPr>
        <w:ind w:firstLine="720"/>
      </w:pPr>
      <w:r w:rsidRPr="006659CB">
        <w:t xml:space="preserve">White space devices are unlicensed devices that operate in the TV bands at locations where frequencies are not in use by licensed services. These devices may be either fixed or portable.  </w:t>
      </w:r>
      <w:r>
        <w:t xml:space="preserve">At locations where there are at least three contiguous vacant channels, fixed devices </w:t>
      </w:r>
      <w:r w:rsidRPr="006659CB">
        <w:t>may operate at power levels up to four watts</w:t>
      </w:r>
      <w:r>
        <w:t xml:space="preserve"> EIRP generally, and up to 10 watts EIRP in less congested areas, defined as those areas where at least half the channels in a device’s band of operation are vacant.  F</w:t>
      </w:r>
      <w:r w:rsidRPr="003934EB">
        <w:t xml:space="preserve">ixed devices </w:t>
      </w:r>
      <w:r>
        <w:t>may</w:t>
      </w:r>
      <w:r w:rsidRPr="003934EB">
        <w:t xml:space="preserve"> operate on channels adjacent to occupied TV channels with a maximum EIRP of 40 milliwatts where a single channel is available, and at 100 milliwatts EIRP where two contiguous channels are available, and the white space device operates in a six-megahertz band centered on the boundary between the channels.</w:t>
      </w:r>
      <w:r w:rsidRPr="006659CB">
        <w:t xml:space="preserve">  </w:t>
      </w:r>
      <w:r>
        <w:t>The rules contain provisions to allow w</w:t>
      </w:r>
      <w:r w:rsidRPr="006659CB">
        <w:t xml:space="preserve">hite space devices </w:t>
      </w:r>
      <w:r>
        <w:t xml:space="preserve">to operate </w:t>
      </w:r>
      <w:r w:rsidRPr="006659CB">
        <w:t xml:space="preserve">on channel 37 (608-614 MHz), </w:t>
      </w:r>
      <w:r>
        <w:t xml:space="preserve">provided they comply with minimum separation distances from </w:t>
      </w:r>
      <w:r w:rsidRPr="006659CB">
        <w:t xml:space="preserve">Radio Astronomy Service (RAS) </w:t>
      </w:r>
      <w:r>
        <w:t xml:space="preserve">sites </w:t>
      </w:r>
      <w:r w:rsidRPr="006659CB">
        <w:t xml:space="preserve">and </w:t>
      </w:r>
      <w:r>
        <w:t xml:space="preserve">locations where the </w:t>
      </w:r>
      <w:r w:rsidRPr="006659CB">
        <w:t>Wireless Medical Telemetry Service (WMTS)</w:t>
      </w:r>
      <w:r>
        <w:t xml:space="preserve"> operates on channel 37, although the Commission has not yet permitted white space devices to operate on this channel</w:t>
      </w:r>
      <w:r w:rsidRPr="006659CB">
        <w:t xml:space="preserve">.  To prevent harmful interference to broadcast television stations and other authorized users of these bands, white space devices must obtain a list of available TV channels that may be used at their location from databases administered by private entities selected by the Commission.   </w:t>
      </w:r>
    </w:p>
    <w:p w:rsidR="00BA3094" w:rsidRPr="006659CB" w:rsidP="00BA3094">
      <w:pPr>
        <w:ind w:firstLine="720"/>
      </w:pPr>
    </w:p>
    <w:p w:rsidR="00BA3094" w:rsidRPr="006659CB" w:rsidP="00BA3094">
      <w:pPr>
        <w:spacing w:after="120"/>
        <w:ind w:firstLine="720"/>
      </w:pPr>
      <w:r w:rsidRPr="006659CB">
        <w:t xml:space="preserve">Most RF transmitting equipment, including white space devices, must be authorized through the certification procedure.  Certification is an equipment authorization issued by a designated </w:t>
      </w:r>
      <w:r>
        <w:t>Telecommunication Certification Body (</w:t>
      </w:r>
      <w:r w:rsidRPr="006659CB">
        <w:t>TCB</w:t>
      </w:r>
      <w:r>
        <w:t>)</w:t>
      </w:r>
      <w:r w:rsidRPr="006659CB">
        <w:t xml:space="preserve"> based on an application and test data submitted by the </w:t>
      </w:r>
      <w:r w:rsidRPr="006659CB">
        <w:t>responsible party (</w:t>
      </w:r>
      <w:r w:rsidRPr="006659CB">
        <w:rPr>
          <w:i/>
        </w:rPr>
        <w:t xml:space="preserve">e.g., </w:t>
      </w:r>
      <w:r w:rsidRPr="006659CB">
        <w:t>the manufacturer or importer).</w:t>
      </w:r>
      <w:r>
        <w:rPr>
          <w:vertAlign w:val="superscript"/>
        </w:rPr>
        <w:footnoteReference w:id="120"/>
      </w:r>
      <w:r w:rsidRPr="006659CB">
        <w:t xml:space="preserve">  The NPRM does not propose to change the authorization procedure for white space devices, but it does propose to modify existing technical requirements for white space devices.</w:t>
      </w:r>
      <w:r>
        <w:t xml:space="preserve">  Specifically, it proposes to: 1) permit operation at up to 16 watts EIRP on unused channels in the TV bands in less congested areas, an increase from the current limit of 10 watts EIRP; 2) permit operation with an antenna HAAT of up to 500 meters, an increase from the current limit of 250 meters, subject to a coordination procedure in which the operator of a device notifies potentially affected TV station licensees; 3) permit fixed white space devices to operate on mobile platforms such as farm equipment and school buses, within a defined area; and 4) define rules for a new category of narrow bandwidth white space devices that could be used for Internet of Things (IoT) services.</w:t>
      </w:r>
    </w:p>
    <w:p w:rsidR="00BA3094" w:rsidRPr="00654067" w:rsidP="00BA3094">
      <w:pPr>
        <w:ind w:left="1440"/>
        <w:contextualSpacing/>
      </w:pPr>
    </w:p>
    <w:p w:rsidR="00BA3094" w:rsidRPr="006659CB" w:rsidP="00BA3094">
      <w:pPr>
        <w:ind w:left="720" w:hanging="720"/>
        <w:rPr>
          <w:b/>
        </w:rPr>
      </w:pPr>
      <w:r w:rsidRPr="006659CB">
        <w:rPr>
          <w:b/>
        </w:rPr>
        <w:t>E.</w:t>
      </w:r>
      <w:r w:rsidRPr="006659CB">
        <w:rPr>
          <w:b/>
        </w:rPr>
        <w:tab/>
        <w:t>Steps Taken to Minimize the Significant Economic Impact on Small Entities, and Significant Alternatives Considered</w:t>
      </w:r>
    </w:p>
    <w:p w:rsidR="00BA3094" w:rsidRPr="006659CB" w:rsidP="00BA3094"/>
    <w:p w:rsidR="00BA3094" w:rsidRPr="006659CB" w:rsidP="00BA3094">
      <w:r w:rsidRPr="006659CB">
        <w:tab/>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vertAlign w:val="superscript"/>
        </w:rPr>
        <w:footnoteReference w:id="121"/>
      </w:r>
    </w:p>
    <w:p w:rsidR="00BA3094" w:rsidRPr="006659CB" w:rsidP="00BA3094"/>
    <w:p w:rsidR="00BA3094" w:rsidP="00BA3094">
      <w:r w:rsidRPr="006659CB">
        <w:tab/>
        <w:t xml:space="preserve">The rule changes proposed in the NPRM </w:t>
      </w:r>
      <w:r>
        <w:t xml:space="preserve">for higher power and antenna HAAT, fixed devices on mobile platforms, and narrowband IoT operations </w:t>
      </w:r>
      <w:r w:rsidRPr="006659CB">
        <w:t>would give greater flexibility for white space device operation</w:t>
      </w:r>
      <w:r>
        <w:t>s</w:t>
      </w:r>
      <w:r w:rsidRPr="006659CB">
        <w:t xml:space="preserve">.  These changes are permissive, meaning that manufacturers of approved white space devices are not required to </w:t>
      </w:r>
      <w:r>
        <w:t>make any changes to their equipment, nor are current operators of devices required to make any changes.  Manufacturers that choose to make equipment that operates under the proposed narrowband rules or at higher power would have to obtain a new equipment certification.</w:t>
      </w:r>
    </w:p>
    <w:p w:rsidR="00BA3094" w:rsidP="00BA3094">
      <w:r>
        <w:tab/>
      </w:r>
    </w:p>
    <w:p w:rsidR="00BA3094" w:rsidP="00BA3094">
      <w:r>
        <w:tab/>
        <w:t>The provision that allows an antenna HAAT above 250 meters requires white space device operators using an antenna above this height to notify potentially affected TV stations.  The white space database will identify potentially affected stations.  The Commission believes that this requirement is necessary to prevent harmful interference to TV service and seeks comment on whether it would be unduly burdensome. It also seeks comment on whether a notification procedure is necessary at all, and whether the proposed procedure strikes the proper balance between ensuring interference protection for protected entities and providing white space device operators with the ability to deploy devices at higher HAAT in a timely manner.  The Commission further seeks comment on any other alternatives to the proposed requirements that would achieve the same goals.</w:t>
      </w:r>
    </w:p>
    <w:p w:rsidR="00BA3094" w:rsidP="00BA3094"/>
    <w:p w:rsidR="00BA3094" w:rsidRPr="006659CB" w:rsidP="00BA3094">
      <w:pPr>
        <w:rPr>
          <w:b/>
        </w:rPr>
      </w:pPr>
      <w:r>
        <w:tab/>
      </w:r>
      <w:r w:rsidRPr="006659CB">
        <w:rPr>
          <w:b/>
        </w:rPr>
        <w:t>F.</w:t>
      </w:r>
      <w:r w:rsidRPr="006659CB">
        <w:rPr>
          <w:b/>
        </w:rPr>
        <w:tab/>
        <w:t>Federal Rules that May Duplicate, Overlap, or Conflict with the Proposed Rules</w:t>
      </w:r>
    </w:p>
    <w:p w:rsidR="00BA3094" w:rsidRPr="006659CB" w:rsidP="00BA3094"/>
    <w:p w:rsidR="00117210" w:rsidP="00BA3094">
      <w:pPr>
        <w:sectPr w:rsidSect="00117210">
          <w:footnotePr>
            <w:numRestart w:val="eachSect"/>
          </w:footnotePr>
          <w:endnotePr>
            <w:numFmt w:val="decimal"/>
          </w:endnotePr>
          <w:pgSz w:w="12240" w:h="15840"/>
          <w:pgMar w:top="1440" w:right="1440" w:bottom="720" w:left="1440" w:header="720" w:footer="720" w:gutter="0"/>
          <w:cols w:space="720"/>
          <w:noEndnote/>
          <w:docGrid w:linePitch="299"/>
        </w:sectPr>
      </w:pPr>
      <w:r w:rsidRPr="006659CB">
        <w:tab/>
        <w:t>None.</w:t>
      </w:r>
    </w:p>
    <w:p w:rsidR="00960993" w:rsidRPr="00B1618C" w:rsidP="00960993">
      <w:pPr>
        <w:jc w:val="center"/>
        <w:rPr>
          <w:b/>
          <w:bCs/>
        </w:rPr>
      </w:pPr>
      <w:r w:rsidRPr="00B1618C">
        <w:rPr>
          <w:b/>
          <w:bCs/>
        </w:rPr>
        <w:t xml:space="preserve">STATEMENT OF </w:t>
      </w:r>
    </w:p>
    <w:p w:rsidR="00960993" w:rsidRPr="00B1618C" w:rsidP="00960993">
      <w:pPr>
        <w:jc w:val="center"/>
        <w:rPr>
          <w:b/>
          <w:bCs/>
        </w:rPr>
      </w:pPr>
      <w:r w:rsidRPr="00B1618C">
        <w:rPr>
          <w:b/>
          <w:bCs/>
        </w:rPr>
        <w:t>CHAIRMAN AJIT PAI</w:t>
      </w:r>
      <w:r>
        <w:rPr>
          <w:b/>
          <w:bCs/>
        </w:rPr>
        <w:br/>
      </w:r>
    </w:p>
    <w:p w:rsidR="00960993" w:rsidRPr="00B1618C" w:rsidP="00960993">
      <w:r w:rsidRPr="00B1618C">
        <w:t>Re:</w:t>
      </w:r>
      <w:r>
        <w:tab/>
      </w:r>
      <w:r w:rsidRPr="00B1618C">
        <w:rPr>
          <w:i/>
          <w:iCs/>
        </w:rPr>
        <w:t>Unlicensed White Space Device Operations in the Television Bands</w:t>
      </w:r>
      <w:r w:rsidRPr="00B1618C">
        <w:t>, ET Docket No. 20-36</w:t>
      </w:r>
      <w:r>
        <w:t>.</w:t>
      </w:r>
      <w:r w:rsidR="00BB5D74">
        <w:br/>
      </w:r>
    </w:p>
    <w:p w:rsidR="00960993" w:rsidRPr="00B1618C" w:rsidP="00960993">
      <w:pPr>
        <w:ind w:firstLine="720"/>
      </w:pPr>
      <w:r w:rsidRPr="00B1618C">
        <w:t xml:space="preserve">Beatles fans know well the “White Album,” which included songs that were inspired by the band’s journey fifty-two years ago this month to a remote ashram in the rugged foothills of the Himalayas. </w:t>
      </w:r>
      <w:r w:rsidR="00BB5D74">
        <w:br/>
      </w:r>
    </w:p>
    <w:p w:rsidR="00960993" w:rsidRPr="00B1618C" w:rsidP="00960993">
      <w:pPr>
        <w:ind w:firstLine="720"/>
      </w:pPr>
      <w:r w:rsidRPr="00B1618C">
        <w:t xml:space="preserve">Perhaps inspired by their creative example, today we launch a proceeding named for the empty “White Spaces” in the spectrum bands allocated to broadcast television.  Our hope is that we will similarly enable a “Revolution”—this time, one of connectivity across rural and remote areas of this country. </w:t>
      </w:r>
      <w:r w:rsidR="00BB5D74">
        <w:br/>
      </w:r>
    </w:p>
    <w:p w:rsidR="00960993" w:rsidRPr="00B1618C" w:rsidP="00960993">
      <w:pPr>
        <w:ind w:firstLine="720"/>
      </w:pPr>
      <w:r w:rsidRPr="00B1618C">
        <w:t xml:space="preserve">  To understand why this proceeding holds that kind of promise, it’s important to recognize the challenge of bridging the digital divide in rural and remote areas.  In places that often have sparse populations and rugged terrain, it can be difficult and/or expensive to deliver high-speed Internet, including wireless broadband.  </w:t>
      </w:r>
      <w:r w:rsidR="00BB5D74">
        <w:br/>
      </w:r>
    </w:p>
    <w:p w:rsidR="00960993" w:rsidRPr="00B1618C" w:rsidP="00960993">
      <w:pPr>
        <w:ind w:firstLine="720"/>
      </w:pPr>
      <w:r w:rsidRPr="00B1618C">
        <w:t xml:space="preserve">But enabling unlicensed use of TV White Spaces—channels in the television spectrum bands where there are no television stations—can be a game changer.  That’s because these White Spaces are in a region of spectrum that is particularly attractive for delivering services over long distances and coping with variations in terrain.  These airwaves are thus well-suited for delivering broadband to Americans in rural and remote areas.  Moreover, because White Space devices operate under our unlicensed rules, barriers to entry are low, enabling anyone with a compliant device who follows the relevant Commission rules to unlock the potential of this spectrum to provide wireless broadband.  I </w:t>
      </w:r>
      <w:r w:rsidRPr="00B1618C">
        <w:rPr>
          <w:color w:val="000000"/>
          <w:shd w:val="clear" w:color="auto" w:fill="FFFFFF"/>
        </w:rPr>
        <w:t xml:space="preserve">saw the promise of White Spaces technology in South Boston, a town in rural Virginia, where I met a student who said getting Internet access in his home through a White Space device was a game-changer. </w:t>
      </w:r>
      <w:r w:rsidR="00BB5D74">
        <w:rPr>
          <w:color w:val="000000"/>
          <w:shd w:val="clear" w:color="auto" w:fill="FFFFFF"/>
        </w:rPr>
        <w:br/>
      </w:r>
    </w:p>
    <w:p w:rsidR="00960993" w:rsidRPr="00B1618C" w:rsidP="00BB5D74">
      <w:pPr>
        <w:pStyle w:val="ParaNum"/>
        <w:numPr>
          <w:ilvl w:val="0"/>
          <w:numId w:val="0"/>
        </w:numPr>
        <w:spacing w:after="0"/>
        <w:ind w:firstLine="720"/>
        <w:rPr>
          <w:szCs w:val="22"/>
        </w:rPr>
      </w:pPr>
      <w:r w:rsidRPr="00B1618C">
        <w:rPr>
          <w:szCs w:val="22"/>
        </w:rPr>
        <w:t xml:space="preserve">Now, the Beatles were successful in composing the White Album in a matter of months, but it’s taken the Commission much longer to establish its rules for White Spaces.  In 2008, the Commission first authorized unlicensed white space device operation in portions of the VHF and UHF broadcast television bands that were not being used by TV broadcasters and associated services.  In 2010, 2012, and 2015, the Commission took steps to promote additional opportunities for unlicensed white space devices to use spectrum in the TV bands.  In 2015, the Commission promoted further use in the repacked TV bands by authorizing white space device operations in the </w:t>
      </w:r>
      <w:r w:rsidRPr="00B1618C">
        <w:rPr>
          <w:rFonts w:eastAsia="Calibri"/>
          <w:szCs w:val="22"/>
        </w:rPr>
        <w:t xml:space="preserve">600 MHz duplex gap, in unused spectrum in the 600 MHz service band, and </w:t>
      </w:r>
      <w:r>
        <w:rPr>
          <w:rFonts w:eastAsia="Calibri"/>
          <w:szCs w:val="22"/>
        </w:rPr>
        <w:t xml:space="preserve">in </w:t>
      </w:r>
      <w:r w:rsidRPr="00B1618C">
        <w:rPr>
          <w:rFonts w:eastAsia="Calibri"/>
          <w:szCs w:val="22"/>
        </w:rPr>
        <w:t>unused portions of television channel 37.  In March 2019, we provided additional flexibility for fixed white space devices to operate at up to 100 meters above ground in “less congested” areas.</w:t>
      </w:r>
      <w:r w:rsidR="00BB5D74">
        <w:rPr>
          <w:rFonts w:eastAsia="Calibri"/>
          <w:szCs w:val="22"/>
        </w:rPr>
        <w:br/>
      </w:r>
    </w:p>
    <w:p w:rsidR="00960993" w:rsidRPr="00B1618C" w:rsidP="00BB5D74">
      <w:pPr>
        <w:pStyle w:val="ParaNum"/>
        <w:numPr>
          <w:ilvl w:val="0"/>
          <w:numId w:val="0"/>
        </w:numPr>
        <w:spacing w:after="0"/>
        <w:ind w:firstLine="720"/>
        <w:rPr>
          <w:szCs w:val="22"/>
        </w:rPr>
      </w:pPr>
      <w:r w:rsidRPr="00B1618C">
        <w:rPr>
          <w:szCs w:val="22"/>
        </w:rPr>
        <w:t xml:space="preserve">And today, we’re advancing proposals that could spur significant growth of the white space ecosystem and extend Internet connectivity to many more Americans.  Specifically, we propose to increase the power and antenna height limits for fixed white space devices deployed in less congested areas to improve coverage and lower costs.  We propose to authorize higher power mobile white space device operation within specified “geo-fenced” areas to enable the provision of broadband services on school buses and other mobile platforms such as agricultural equipment.  And we propose to amend the rules to better accommodate the narrow bandwidths associated with many Internet of Things (IoT) applications.  </w:t>
      </w:r>
      <w:r w:rsidR="00BB5D74">
        <w:rPr>
          <w:szCs w:val="22"/>
        </w:rPr>
        <w:br/>
      </w:r>
    </w:p>
    <w:p w:rsidR="00960993" w:rsidRPr="00B1618C" w:rsidP="00960993">
      <w:pPr>
        <w:ind w:firstLine="720"/>
      </w:pPr>
      <w:r w:rsidRPr="00B1618C">
        <w:t xml:space="preserve">I’m optimistic that these proposals will expand broadband deployment to more rural Americans while also protecting television broadcast signals.  And I commend Microsoft and the National </w:t>
      </w:r>
      <w:r w:rsidRPr="00B1618C">
        <w:t xml:space="preserve">Association </w:t>
      </w:r>
      <w:r>
        <w:t xml:space="preserve">of </w:t>
      </w:r>
      <w:r w:rsidRPr="00B1618C">
        <w:t xml:space="preserve">Broadcasters for working together in a cooperative manner to develop them.  This cooperation is vital.  Because at the end of the day, television broadcasters enjoy top priority in the TV spectrum bands, and we must not take any action in this proceeding that would end up causing harmful interference to television broadcasters. </w:t>
      </w:r>
      <w:r w:rsidR="00BB5D74">
        <w:br/>
      </w:r>
      <w:r w:rsidRPr="00B1618C">
        <w:t xml:space="preserve">  </w:t>
      </w:r>
    </w:p>
    <w:p w:rsidR="00960993" w:rsidP="00960993">
      <w:pPr>
        <w:ind w:firstLine="720"/>
        <w:sectPr>
          <w:pgSz w:w="12240" w:h="15840"/>
          <w:pgMar w:top="1440" w:right="1440" w:bottom="1440" w:left="1440" w:header="720" w:footer="720" w:gutter="0"/>
          <w:cols w:space="720"/>
          <w:docGrid w:linePitch="360"/>
        </w:sectPr>
      </w:pPr>
      <w:r w:rsidRPr="00B1618C">
        <w:t xml:space="preserve">I would like to thank the many dedicated staff whose contribution to this item was invaluable, including </w:t>
      </w:r>
      <w:r>
        <w:t>f</w:t>
      </w:r>
      <w:r w:rsidRPr="00162F7D">
        <w:t>rom the Office of Engineering and Technology, Martin Doczkat, Ira Keltz, Paul Murray, and Hugh Van</w:t>
      </w:r>
      <w:r>
        <w:t xml:space="preserve"> </w:t>
      </w:r>
      <w:r w:rsidRPr="00162F7D">
        <w:t>T</w:t>
      </w:r>
      <w:r>
        <w:t>uy</w:t>
      </w:r>
      <w:r w:rsidRPr="00162F7D">
        <w:t>l</w:t>
      </w:r>
      <w:r w:rsidRPr="00162F7D">
        <w:t xml:space="preserve">; from the Wireless Telecommunications Bureau, Steve Buenzow, Roger Noel, Blaise Scinto, Joel Taubenblatt, Jennifer Tomchin, Mary Claire York, and Janet Young; from the Office of Economics and Analytics, Catherine </w:t>
      </w:r>
      <w:r w:rsidRPr="00162F7D">
        <w:t>Matraves</w:t>
      </w:r>
      <w:r w:rsidRPr="00162F7D">
        <w:t xml:space="preserve"> and Patrick Sun; from the Media Bureau, Mark Colombo; and from the Office of General Counsel, Douglas Klein. </w:t>
      </w:r>
    </w:p>
    <w:p w:rsidR="00960993" w:rsidRPr="00F51FCF" w:rsidP="00960993">
      <w:pPr>
        <w:jc w:val="center"/>
        <w:rPr>
          <w:b/>
          <w:bCs/>
        </w:rPr>
      </w:pPr>
      <w:r w:rsidRPr="00F51FCF">
        <w:rPr>
          <w:b/>
          <w:bCs/>
        </w:rPr>
        <w:t xml:space="preserve">STATEMENT OF </w:t>
      </w:r>
    </w:p>
    <w:p w:rsidR="00960993" w:rsidP="00960993">
      <w:pPr>
        <w:jc w:val="center"/>
        <w:rPr>
          <w:b/>
          <w:bCs/>
        </w:rPr>
      </w:pPr>
      <w:r w:rsidRPr="00F51FCF">
        <w:rPr>
          <w:b/>
          <w:bCs/>
        </w:rPr>
        <w:t>FCC COMMISSIONER MICHAEL O’RIELLY</w:t>
      </w:r>
    </w:p>
    <w:p w:rsidR="00960993" w:rsidRPr="00F51FCF" w:rsidP="00960993">
      <w:pPr>
        <w:jc w:val="center"/>
        <w:rPr>
          <w:b/>
          <w:bCs/>
        </w:rPr>
      </w:pPr>
    </w:p>
    <w:p w:rsidR="00960993" w:rsidRPr="00960993" w:rsidP="00960993">
      <w:pPr>
        <w:rPr>
          <w:i/>
          <w:iCs/>
          <w:color w:val="000000"/>
          <w:spacing w:val="-2"/>
        </w:rPr>
      </w:pPr>
      <w:r w:rsidRPr="000A13B6">
        <w:t>Re:</w:t>
      </w:r>
      <w:bookmarkStart w:id="214" w:name="_Hlk17730416"/>
      <w:r>
        <w:tab/>
      </w:r>
      <w:bookmarkEnd w:id="214"/>
      <w:r w:rsidRPr="00960993">
        <w:rPr>
          <w:i/>
          <w:iCs/>
          <w:color w:val="000000"/>
          <w:spacing w:val="-2"/>
        </w:rPr>
        <w:t xml:space="preserve">Unlicensed White Space Device Operations in the Television Bands, </w:t>
      </w:r>
      <w:r w:rsidRPr="00960993">
        <w:rPr>
          <w:color w:val="000000"/>
          <w:spacing w:val="-2"/>
        </w:rPr>
        <w:t>ET Docket No. 20-36</w:t>
      </w:r>
      <w:r w:rsidRPr="00960993">
        <w:rPr>
          <w:i/>
          <w:iCs/>
          <w:color w:val="000000"/>
          <w:spacing w:val="-2"/>
        </w:rPr>
        <w:t>.</w:t>
      </w:r>
    </w:p>
    <w:p w:rsidR="00960993" w:rsidP="00960993"/>
    <w:p w:rsidR="00960993" w:rsidRPr="009B61B5" w:rsidP="00960993">
      <w:pPr>
        <w:ind w:firstLine="720"/>
      </w:pPr>
      <w:r w:rsidRPr="009B61B5">
        <w:t>This item represents a longtime labor of love for me, as I have advocated for the efficient use of the TV white spaces since the mid-2000s.  The flexibility reflected in today’s notice will help bring further wireless operations and successful deployments to this band.  As most people already know, the very nature of television broadcast signals necessitates that frequencies remain fallow so that one full-power station does not interfere with another nearby.  Additionally, there are some portions of th</w:t>
      </w:r>
      <w:r>
        <w:t>e</w:t>
      </w:r>
      <w:r w:rsidRPr="009B61B5">
        <w:t xml:space="preserve"> country</w:t>
      </w:r>
      <w:r>
        <w:t>—</w:t>
      </w:r>
      <w:r w:rsidRPr="009B61B5">
        <w:t>rural areas in particular</w:t>
      </w:r>
      <w:r>
        <w:t>—</w:t>
      </w:r>
      <w:r w:rsidRPr="009B61B5">
        <w:t>where not all channels are being used, even after the station repack following the broadcast incentive auction.  It is common sense to make these frequencies available for additional non-interfering wireless services, including those that bring broadband access to unserved households.</w:t>
      </w:r>
    </w:p>
    <w:p w:rsidR="00960993" w:rsidRPr="009B61B5" w:rsidP="00960993"/>
    <w:p w:rsidR="00960993" w:rsidRPr="009B61B5" w:rsidP="00960993">
      <w:pPr>
        <w:ind w:firstLine="720"/>
      </w:pPr>
      <w:r w:rsidRPr="009B61B5">
        <w:t>Some have claimed that white spaces never lived up to the previous hype and disparaged flaws in the first-generation of the database.  However, now that we are getting to the point, post</w:t>
      </w:r>
      <w:r>
        <w:t xml:space="preserve"> </w:t>
      </w:r>
      <w:r w:rsidRPr="009B61B5">
        <w:t xml:space="preserve">incentive auction, where there is more certainty about spectrum availability, that criticism is no longer compelling.  We are finally in a position where interested parties can determine whether there is usable spectrum in a specific area, providing them with the needed assurances to invest in and deploy systems.  And, improvements have been made to ensure the accuracy of the database.  While the Commission took steps to provide additional flexibility to white space providers by increasing antenna height and made rule tweaks to increase the reliability of device location information in the database almost a year ago, the record that developed also included other ideas that can be implemented to maximize the potential of these frequencies.  That is why I am pleased to have led the effort and secured the commitments to bring the new NPRM forward.  </w:t>
      </w:r>
    </w:p>
    <w:p w:rsidR="00960993" w:rsidRPr="009B61B5" w:rsidP="00960993"/>
    <w:p w:rsidR="00960993" w:rsidRPr="009B61B5" w:rsidP="00960993">
      <w:pPr>
        <w:ind w:firstLine="720"/>
      </w:pPr>
      <w:r w:rsidRPr="009B61B5">
        <w:t xml:space="preserve">I thank Microsoft for submitting the official petition for rulemaking that serves as the foundation for today’s item.  The recommendations provided, which include further increases to power limits in rural areas, additional antenna height modifications, and flexibility to provide narrowband IOT, will be particularly useful in providing service in the more remote and unserved parts of the country and allow for a wide variety of use cases.  </w:t>
      </w:r>
    </w:p>
    <w:p w:rsidR="00960993" w:rsidRPr="009B61B5" w:rsidP="00960993"/>
    <w:p w:rsidR="00960993" w:rsidRPr="009B61B5" w:rsidP="00960993">
      <w:pPr>
        <w:ind w:firstLine="720"/>
      </w:pPr>
      <w:r w:rsidRPr="009B61B5">
        <w:t xml:space="preserve">Although there are remaining TV white space issues to be resolved, such as facilitating unlicensed use in Channel 37, I applaud the fact that we are addressing the less controversial issues here today.  I thank the Chairman for moving this important item and look forward to an order in the coming months.  In a future proceeding, it is imperative that the Commission further explore the opportunities in Channel 37 and the means to relocate the wireless medical services to a more suitable location.  </w:t>
      </w:r>
    </w:p>
    <w:p w:rsidR="00960993" w:rsidRPr="009B61B5" w:rsidP="00960993"/>
    <w:p w:rsidR="00960993" w:rsidP="00960993">
      <w:pPr>
        <w:ind w:firstLine="720"/>
        <w:sectPr>
          <w:pgSz w:w="12240" w:h="15840"/>
          <w:pgMar w:top="1440" w:right="1440" w:bottom="1440" w:left="1440" w:header="720" w:footer="720" w:gutter="0"/>
          <w:cols w:space="720"/>
          <w:docGrid w:linePitch="360"/>
        </w:sectPr>
      </w:pPr>
      <w:r w:rsidRPr="009B61B5">
        <w:t>I approve.</w:t>
      </w:r>
    </w:p>
    <w:p w:rsidR="00960993" w:rsidRPr="005577AD" w:rsidP="00960993">
      <w:pPr>
        <w:jc w:val="center"/>
        <w:rPr>
          <w:b/>
          <w:bCs/>
          <w:caps/>
          <w:szCs w:val="22"/>
        </w:rPr>
      </w:pPr>
      <w:r w:rsidRPr="005577AD">
        <w:rPr>
          <w:b/>
          <w:bCs/>
          <w:caps/>
          <w:szCs w:val="22"/>
        </w:rPr>
        <w:t>Statement of</w:t>
      </w:r>
    </w:p>
    <w:p w:rsidR="00960993" w:rsidRPr="0072206C" w:rsidP="00960993">
      <w:pPr>
        <w:jc w:val="center"/>
        <w:rPr>
          <w:b/>
          <w:bCs/>
          <w:caps/>
          <w:szCs w:val="22"/>
        </w:rPr>
      </w:pPr>
      <w:r w:rsidRPr="0072206C">
        <w:rPr>
          <w:b/>
          <w:bCs/>
          <w:caps/>
          <w:szCs w:val="22"/>
        </w:rPr>
        <w:t xml:space="preserve">commissioner </w:t>
      </w:r>
      <w:r w:rsidRPr="0072206C">
        <w:rPr>
          <w:rFonts w:ascii="TimesNewRomanPS-BoldMT" w:eastAsia="Calibri" w:hAnsi="TimesNewRomanPS-BoldMT" w:cs="TimesNewRomanPS-BoldMT"/>
          <w:b/>
          <w:bCs/>
          <w:snapToGrid/>
          <w:kern w:val="0"/>
          <w:szCs w:val="22"/>
        </w:rPr>
        <w:t>BRENDAN CARR</w:t>
      </w:r>
    </w:p>
    <w:p w:rsidR="00960993" w:rsidRPr="005E2829" w:rsidP="00960993">
      <w:pPr>
        <w:jc w:val="center"/>
        <w:rPr>
          <w:b/>
          <w:bCs/>
          <w:caps/>
          <w:szCs w:val="22"/>
        </w:rPr>
      </w:pPr>
    </w:p>
    <w:p w:rsidR="00960993" w:rsidP="00960993">
      <w:pPr>
        <w:rPr>
          <w:rFonts w:eastAsia="Calibri"/>
          <w:snapToGrid/>
          <w:kern w:val="0"/>
          <w:szCs w:val="22"/>
        </w:rPr>
      </w:pPr>
      <w:r w:rsidRPr="005E2829">
        <w:rPr>
          <w:iCs/>
          <w:szCs w:val="22"/>
        </w:rPr>
        <w:t>Re:</w:t>
      </w:r>
      <w:r w:rsidRPr="005E2829">
        <w:rPr>
          <w:szCs w:val="22"/>
        </w:rPr>
        <w:t xml:space="preserve"> </w:t>
      </w:r>
      <w:r w:rsidRPr="005E2829">
        <w:rPr>
          <w:szCs w:val="22"/>
        </w:rPr>
        <w:tab/>
      </w:r>
      <w:r>
        <w:rPr>
          <w:i/>
          <w:szCs w:val="22"/>
        </w:rPr>
        <w:t>Unlicensed White Space Device Operations in the Television Bands</w:t>
      </w:r>
      <w:r>
        <w:rPr>
          <w:szCs w:val="22"/>
        </w:rPr>
        <w:t>, ET Docket No. 20-36</w:t>
      </w:r>
      <w:r>
        <w:rPr>
          <w:rFonts w:eastAsia="Calibri"/>
          <w:snapToGrid/>
          <w:kern w:val="0"/>
          <w:szCs w:val="22"/>
        </w:rPr>
        <w:t>.</w:t>
      </w:r>
    </w:p>
    <w:p w:rsidR="00960993" w:rsidP="00960993">
      <w:pPr>
        <w:rPr>
          <w:rFonts w:eastAsia="Calibri"/>
          <w:snapToGrid/>
          <w:kern w:val="0"/>
          <w:szCs w:val="22"/>
        </w:rPr>
      </w:pPr>
    </w:p>
    <w:p w:rsidR="00960993" w:rsidP="00960993">
      <w:pPr>
        <w:rPr>
          <w:rFonts w:eastAsia="Calibri"/>
          <w:snapToGrid/>
          <w:kern w:val="0"/>
          <w:szCs w:val="22"/>
        </w:rPr>
      </w:pPr>
      <w:r>
        <w:rPr>
          <w:rFonts w:eastAsia="Calibri"/>
          <w:snapToGrid/>
          <w:kern w:val="0"/>
          <w:szCs w:val="22"/>
        </w:rPr>
        <w:tab/>
        <w:t xml:space="preserve">A couple of bumpy hours outside of Nairobi, Kenya, sits a small market town called Embu.  That’s where I met Paul—a young man selling rice, beans, and other dry goods out of a packed market stall.  Embu runs along the foothills of Mt. Kenya, and like many remote parts of the world, it had been stuck on the wrong side of the digital divide for far too long.  That only made it harder for Paul to maintain his business and earn some money.  But that changed a few weeks before we met.  That’s when a fixed wireless provider, </w:t>
      </w:r>
      <w:r>
        <w:rPr>
          <w:rFonts w:eastAsia="Calibri"/>
          <w:snapToGrid/>
          <w:kern w:val="0"/>
          <w:szCs w:val="22"/>
        </w:rPr>
        <w:t>Mawingu</w:t>
      </w:r>
      <w:r>
        <w:rPr>
          <w:rFonts w:eastAsia="Calibri"/>
          <w:snapToGrid/>
          <w:kern w:val="0"/>
          <w:szCs w:val="22"/>
        </w:rPr>
        <w:t xml:space="preserve"> Networks, worked with Microsoft to bring Internet service to the area using unlicensed TV white spaces.  </w:t>
      </w:r>
    </w:p>
    <w:p w:rsidR="00960993" w:rsidP="00960993">
      <w:pPr>
        <w:rPr>
          <w:rFonts w:eastAsia="Calibri"/>
          <w:snapToGrid/>
          <w:kern w:val="0"/>
          <w:szCs w:val="22"/>
        </w:rPr>
      </w:pPr>
    </w:p>
    <w:p w:rsidR="00960993" w:rsidP="00960993">
      <w:pPr>
        <w:ind w:firstLine="720"/>
        <w:rPr>
          <w:rFonts w:eastAsia="Calibri"/>
          <w:snapToGrid/>
          <w:kern w:val="0"/>
          <w:szCs w:val="22"/>
        </w:rPr>
      </w:pPr>
      <w:r>
        <w:rPr>
          <w:rFonts w:eastAsia="Calibri"/>
          <w:snapToGrid/>
          <w:kern w:val="0"/>
          <w:szCs w:val="22"/>
        </w:rPr>
        <w:t>Paul is an entrepreneur at heart, so he immediately seized the opportunity to use the white space technology to expand his business.  He started accepting mobile payments, which were safer and more reliable than cash; he was selling airtime on the network; and he was even tweeting out marketing pitches.  That was one year ago.</w:t>
      </w:r>
    </w:p>
    <w:p w:rsidR="00960993" w:rsidP="00960993">
      <w:pPr>
        <w:ind w:firstLine="720"/>
        <w:rPr>
          <w:rFonts w:eastAsia="Calibri"/>
          <w:snapToGrid/>
          <w:kern w:val="0"/>
          <w:szCs w:val="22"/>
        </w:rPr>
      </w:pPr>
    </w:p>
    <w:p w:rsidR="00960993" w:rsidP="00960993">
      <w:pPr>
        <w:ind w:firstLine="720"/>
        <w:rPr>
          <w:rFonts w:eastAsia="Calibri"/>
          <w:snapToGrid/>
          <w:kern w:val="0"/>
          <w:szCs w:val="22"/>
        </w:rPr>
      </w:pPr>
      <w:r>
        <w:rPr>
          <w:rFonts w:eastAsia="Calibri"/>
          <w:snapToGrid/>
          <w:kern w:val="0"/>
          <w:szCs w:val="22"/>
        </w:rPr>
        <w:t>I reconnected with Paul online this week.  I mentioned that I wanted to tell his story at our FCC meeting.  He said I want you to let people know how an Internet connection is changing my life.  He now gets 50 customers per day that pay through mobile payments, and the number is increasing every month.  And it was clear from our conversation that it was not just his life that benefited from a connection.  His shop is now a hotspot that lets other people get online.  And a few months ago, he introduced M-</w:t>
      </w:r>
      <w:r>
        <w:rPr>
          <w:rFonts w:eastAsia="Calibri"/>
          <w:snapToGrid/>
          <w:kern w:val="0"/>
          <w:szCs w:val="22"/>
        </w:rPr>
        <w:t>Pesa</w:t>
      </w:r>
      <w:r>
        <w:rPr>
          <w:rFonts w:eastAsia="Calibri"/>
          <w:snapToGrid/>
          <w:kern w:val="0"/>
          <w:szCs w:val="22"/>
        </w:rPr>
        <w:t xml:space="preserve">—a mobile money transfer service—which allows customers to withdraw cash at his shop and then purchase goods from other merchants and small businesses in the market.  </w:t>
      </w:r>
    </w:p>
    <w:p w:rsidR="00960993" w:rsidP="00960993">
      <w:pPr>
        <w:ind w:firstLine="720"/>
        <w:rPr>
          <w:rFonts w:eastAsia="Calibri"/>
          <w:snapToGrid/>
          <w:kern w:val="0"/>
          <w:szCs w:val="22"/>
        </w:rPr>
      </w:pPr>
    </w:p>
    <w:p w:rsidR="00960993" w:rsidP="00960993">
      <w:pPr>
        <w:ind w:firstLine="720"/>
        <w:rPr>
          <w:rFonts w:eastAsia="Calibri"/>
          <w:snapToGrid/>
          <w:kern w:val="0"/>
          <w:szCs w:val="22"/>
        </w:rPr>
      </w:pPr>
      <w:r>
        <w:rPr>
          <w:rFonts w:eastAsia="Calibri"/>
          <w:snapToGrid/>
          <w:kern w:val="0"/>
          <w:szCs w:val="22"/>
        </w:rPr>
        <w:t xml:space="preserve">Paul’s story is an example of the power of connectivity.  He started out selling dry goods in a market stall with a drive to do even more.  Now he runs an Internet-powered mobile payment business that provides his entire community with a safe and accessible place to deposit and withdraw money.  </w:t>
      </w:r>
    </w:p>
    <w:p w:rsidR="00960993" w:rsidP="00960993">
      <w:pPr>
        <w:ind w:firstLine="720"/>
        <w:rPr>
          <w:rFonts w:eastAsia="Calibri"/>
          <w:snapToGrid/>
          <w:kern w:val="0"/>
          <w:szCs w:val="22"/>
        </w:rPr>
      </w:pPr>
    </w:p>
    <w:p w:rsidR="00960993" w:rsidP="00960993">
      <w:pPr>
        <w:ind w:firstLine="720"/>
        <w:rPr>
          <w:rFonts w:eastAsia="Calibri"/>
          <w:snapToGrid/>
          <w:kern w:val="0"/>
          <w:szCs w:val="22"/>
        </w:rPr>
      </w:pPr>
      <w:r>
        <w:rPr>
          <w:rFonts w:eastAsia="Calibri"/>
          <w:snapToGrid/>
          <w:kern w:val="0"/>
          <w:szCs w:val="22"/>
        </w:rPr>
        <w:t xml:space="preserve">The combination of broad, low-band coverage and affordable white spaces devices helped bring this opportunity to Embu.   </w:t>
      </w:r>
    </w:p>
    <w:p w:rsidR="00960993" w:rsidP="00960993">
      <w:pPr>
        <w:ind w:firstLine="720"/>
        <w:rPr>
          <w:rFonts w:eastAsia="Calibri"/>
          <w:snapToGrid/>
          <w:kern w:val="0"/>
          <w:szCs w:val="22"/>
        </w:rPr>
      </w:pPr>
    </w:p>
    <w:p w:rsidR="00960993" w:rsidP="00960993">
      <w:pPr>
        <w:ind w:firstLine="720"/>
        <w:rPr>
          <w:rFonts w:eastAsia="Calibri"/>
          <w:snapToGrid/>
          <w:kern w:val="0"/>
          <w:szCs w:val="22"/>
        </w:rPr>
      </w:pPr>
      <w:r>
        <w:rPr>
          <w:rFonts w:eastAsia="Calibri"/>
          <w:snapToGrid/>
          <w:kern w:val="0"/>
          <w:szCs w:val="22"/>
        </w:rPr>
        <w:t xml:space="preserve">And that is precisely why it is so important that we expand opportunities for white space devices in this country.  We can make even more progress towards closing the digital divide while empowering rural communities through high-speed connections.  A big reason we are here today is because stakeholders got together, compromised, and identified a path forward.  </w:t>
      </w:r>
      <w:r>
        <w:rPr>
          <w:rFonts w:eastAsia="Calibri"/>
          <w:snapToGrid/>
          <w:kern w:val="0"/>
          <w:szCs w:val="22"/>
        </w:rPr>
        <w:t>So</w:t>
      </w:r>
      <w:r>
        <w:rPr>
          <w:rFonts w:eastAsia="Calibri"/>
          <w:snapToGrid/>
          <w:kern w:val="0"/>
          <w:szCs w:val="22"/>
        </w:rPr>
        <w:t xml:space="preserve"> I want to commend them for their work, and I look forward to reviewing the feedback on these proposals.  </w:t>
      </w:r>
    </w:p>
    <w:p w:rsidR="00960993" w:rsidP="00960993">
      <w:pPr>
        <w:widowControl/>
        <w:rPr>
          <w:szCs w:val="22"/>
        </w:rPr>
      </w:pPr>
    </w:p>
    <w:p w:rsidR="00960993" w:rsidP="00960993">
      <w:pPr>
        <w:widowControl/>
        <w:ind w:firstLine="720"/>
        <w:rPr>
          <w:szCs w:val="22"/>
        </w:rPr>
        <w:sectPr>
          <w:pgSz w:w="12240" w:h="15840"/>
          <w:pgMar w:top="1440" w:right="1440" w:bottom="1440" w:left="1440" w:header="720" w:footer="720" w:gutter="0"/>
          <w:cols w:space="720"/>
          <w:docGrid w:linePitch="360"/>
        </w:sectPr>
      </w:pPr>
      <w:r>
        <w:rPr>
          <w:szCs w:val="22"/>
        </w:rPr>
        <w:t>I want to thank the Office of Engineering and Technology for its work on the item.  It has my support.</w:t>
      </w:r>
    </w:p>
    <w:p w:rsidR="00960993" w:rsidRPr="00E54A0C" w:rsidP="00960993">
      <w:pPr>
        <w:jc w:val="center"/>
        <w:rPr>
          <w:b/>
          <w:bCs/>
          <w:szCs w:val="22"/>
        </w:rPr>
      </w:pPr>
      <w:r w:rsidRPr="00E54A0C">
        <w:rPr>
          <w:b/>
          <w:bCs/>
          <w:szCs w:val="22"/>
        </w:rPr>
        <w:t>STATEMENT OF</w:t>
      </w:r>
    </w:p>
    <w:p w:rsidR="00960993" w:rsidRPr="00E54A0C" w:rsidP="00960993">
      <w:pPr>
        <w:jc w:val="center"/>
        <w:rPr>
          <w:b/>
          <w:bCs/>
          <w:szCs w:val="22"/>
        </w:rPr>
      </w:pPr>
      <w:r w:rsidRPr="00E54A0C">
        <w:rPr>
          <w:b/>
          <w:bCs/>
          <w:szCs w:val="22"/>
        </w:rPr>
        <w:t>COMMISSIONER JESSICA ROSENWORCEL</w:t>
      </w:r>
    </w:p>
    <w:p w:rsidR="00960993" w:rsidRPr="00F51FCF" w:rsidP="00BB5D74">
      <w:pPr>
        <w:rPr>
          <w:b/>
          <w:bCs/>
        </w:rPr>
      </w:pPr>
    </w:p>
    <w:p w:rsidR="00960993" w:rsidRPr="00E54A0C" w:rsidP="00960993">
      <w:pPr>
        <w:rPr>
          <w:szCs w:val="22"/>
        </w:rPr>
      </w:pPr>
      <w:r w:rsidRPr="000A13B6">
        <w:t>Re:</w:t>
      </w:r>
      <w:r>
        <w:tab/>
      </w:r>
      <w:r w:rsidRPr="00960993">
        <w:rPr>
          <w:i/>
          <w:iCs/>
          <w:color w:val="000000"/>
          <w:spacing w:val="-2"/>
        </w:rPr>
        <w:t xml:space="preserve">Unlicensed White Space Device Operations in the Television Bands, </w:t>
      </w:r>
      <w:r w:rsidRPr="00960993">
        <w:rPr>
          <w:color w:val="000000"/>
          <w:spacing w:val="-2"/>
        </w:rPr>
        <w:t>ET Docket No. 20-36.</w:t>
      </w:r>
      <w:r w:rsidRPr="00960993">
        <w:rPr>
          <w:color w:val="000000"/>
          <w:spacing w:val="-2"/>
        </w:rPr>
        <w:br/>
      </w:r>
    </w:p>
    <w:p w:rsidR="00960993" w:rsidRPr="00E54A0C" w:rsidP="00960993">
      <w:pPr>
        <w:ind w:firstLine="720"/>
        <w:rPr>
          <w:szCs w:val="22"/>
        </w:rPr>
      </w:pPr>
      <w:r w:rsidRPr="00E54A0C">
        <w:rPr>
          <w:szCs w:val="22"/>
        </w:rPr>
        <w:t xml:space="preserve">Remember 2008?  The iPhone was six months old.  The Android operating system was just introduced, and the digital television transition had yet to begin.  But a new wireless era was emerging.  Because the same-old, same-old ways of thinking about scarcity in our airwaves were giving way to new theories of abundance.  </w:t>
      </w:r>
    </w:p>
    <w:p w:rsidR="00960993" w:rsidRPr="00E54A0C" w:rsidP="00960993">
      <w:pPr>
        <w:ind w:firstLine="720"/>
        <w:rPr>
          <w:szCs w:val="22"/>
        </w:rPr>
      </w:pPr>
    </w:p>
    <w:p w:rsidR="00960993" w:rsidRPr="00E54A0C" w:rsidP="00960993">
      <w:pPr>
        <w:ind w:firstLine="720"/>
        <w:rPr>
          <w:szCs w:val="22"/>
        </w:rPr>
      </w:pPr>
      <w:r w:rsidRPr="00E54A0C">
        <w:rPr>
          <w:szCs w:val="22"/>
        </w:rPr>
        <w:t>Nowhere was this clearer at this agency than in our embrace of white spaces.  Because in 2008 the Federal Communications Commission proposed something radical.  We suggested that instead of letting unused portions of traditional television spectrum lay fallow, we would open them up for unlicensed use.  Not everyone embraced this idea from the start.  Mixing broadcast and broadband was not for the faint of heart.  But the engineers at this agency saw the value proposition in introducing unlicensed service to a band with significant propagation.  They understood from the get-go that these unused airwaves could help bring more broadband to rural and hard to reach communities.  They could help close the digital divide.</w:t>
      </w:r>
    </w:p>
    <w:p w:rsidR="00960993" w:rsidRPr="00E54A0C" w:rsidP="00960993">
      <w:pPr>
        <w:ind w:firstLine="720"/>
        <w:rPr>
          <w:szCs w:val="22"/>
        </w:rPr>
      </w:pPr>
    </w:p>
    <w:p w:rsidR="00960993" w:rsidRPr="00E54A0C" w:rsidP="00960993">
      <w:pPr>
        <w:ind w:firstLine="720"/>
        <w:rPr>
          <w:szCs w:val="22"/>
        </w:rPr>
      </w:pPr>
      <w:r w:rsidRPr="00E54A0C">
        <w:rPr>
          <w:szCs w:val="22"/>
        </w:rPr>
        <w:t xml:space="preserve">Twelve years hence, we are still working on what was visionary back in 2008.  Although white space innovation began in the United States, it </w:t>
      </w:r>
      <w:r w:rsidRPr="00E54A0C">
        <w:rPr>
          <w:szCs w:val="22"/>
        </w:rPr>
        <w:t>actually advanced</w:t>
      </w:r>
      <w:r w:rsidRPr="00E54A0C">
        <w:rPr>
          <w:szCs w:val="22"/>
        </w:rPr>
        <w:t xml:space="preserve"> more rapidly abroad.  Eleven countries now have rules permitting television white space devices to use broadcast spectrum to help bring broadband in reach.  Fourteen countries have active trials and pilot projects.  But here at home, deployment of this technology has stalled. </w:t>
      </w:r>
    </w:p>
    <w:p w:rsidR="00960993" w:rsidRPr="00E54A0C" w:rsidP="00960993">
      <w:pPr>
        <w:ind w:firstLine="720"/>
        <w:rPr>
          <w:szCs w:val="22"/>
        </w:rPr>
      </w:pPr>
    </w:p>
    <w:p w:rsidR="00960993" w:rsidRPr="00E54A0C" w:rsidP="00960993">
      <w:pPr>
        <w:ind w:firstLine="720"/>
        <w:rPr>
          <w:szCs w:val="22"/>
        </w:rPr>
      </w:pPr>
      <w:r w:rsidRPr="00E54A0C">
        <w:rPr>
          <w:szCs w:val="22"/>
        </w:rPr>
        <w:t xml:space="preserve">We need to get our mojo back.  The good news is that this rulemaking is part of that effort.  In it, we propose updating our Part 15 rules to provide more flexibility for television white space devices in the United States.  To this end, today’s rulemaking proposes increasing the maximum power that white space devices can use and extending the height of their antennas.  These technical changes can </w:t>
      </w:r>
      <w:r w:rsidRPr="00E54A0C">
        <w:rPr>
          <w:szCs w:val="22"/>
        </w:rPr>
        <w:t>open up</w:t>
      </w:r>
      <w:r w:rsidRPr="00E54A0C">
        <w:rPr>
          <w:szCs w:val="22"/>
        </w:rPr>
        <w:t xml:space="preserve"> new possibilities for using these airwaves to power the Internet of Things and extend the reach of broadband networks.</w:t>
      </w:r>
    </w:p>
    <w:p w:rsidR="00960993" w:rsidRPr="00E54A0C" w:rsidP="00960993">
      <w:pPr>
        <w:ind w:firstLine="720"/>
        <w:rPr>
          <w:szCs w:val="22"/>
        </w:rPr>
      </w:pPr>
    </w:p>
    <w:p w:rsidR="00960993" w:rsidRPr="00E54A0C" w:rsidP="00960993">
      <w:pPr>
        <w:ind w:firstLine="720"/>
        <w:rPr>
          <w:szCs w:val="22"/>
        </w:rPr>
      </w:pPr>
      <w:r w:rsidRPr="00E54A0C">
        <w:rPr>
          <w:szCs w:val="22"/>
        </w:rPr>
        <w:t xml:space="preserve">This is progress.  </w:t>
      </w:r>
      <w:r w:rsidRPr="00E54A0C">
        <w:rPr>
          <w:szCs w:val="22"/>
        </w:rPr>
        <w:t>So</w:t>
      </w:r>
      <w:r w:rsidRPr="00E54A0C">
        <w:rPr>
          <w:szCs w:val="22"/>
        </w:rPr>
        <w:t xml:space="preserve"> thank you to those, including broadcasters, who helped develop the ideas we introduce in this rulemaking.  But more work needs to be done to address remaining regulatory barriers.  We have five outstanding petitions for reconsideration involving white space development and deployment.  We also need to clear up unresolved matters regarding designation of a database administrator.</w:t>
      </w:r>
    </w:p>
    <w:p w:rsidR="00960993" w:rsidRPr="00E54A0C" w:rsidP="00960993">
      <w:pPr>
        <w:ind w:firstLine="720"/>
        <w:rPr>
          <w:szCs w:val="22"/>
        </w:rPr>
      </w:pPr>
    </w:p>
    <w:p w:rsidR="00960993" w:rsidP="00960993">
      <w:pPr>
        <w:ind w:firstLine="720"/>
        <w:rPr>
          <w:szCs w:val="22"/>
        </w:rPr>
        <w:sectPr>
          <w:pgSz w:w="12240" w:h="15840"/>
          <w:pgMar w:top="1440" w:right="1440" w:bottom="1440" w:left="1440" w:header="720" w:footer="720" w:gutter="0"/>
          <w:cols w:space="720"/>
          <w:docGrid w:linePitch="360"/>
        </w:sectPr>
      </w:pPr>
      <w:r w:rsidRPr="00E54A0C">
        <w:rPr>
          <w:szCs w:val="22"/>
        </w:rPr>
        <w:t>I look forward to doing this—and the sooner the better.  Because the ideas we had in 2008 are still worth pursuing because by using white spaces we can put more of our airwaves to use for all.</w:t>
      </w:r>
    </w:p>
    <w:p w:rsidR="00B85F59" w:rsidRPr="0045677C" w:rsidP="00B85F59">
      <w:pPr>
        <w:jc w:val="center"/>
        <w:rPr>
          <w:b/>
          <w:bCs/>
        </w:rPr>
      </w:pPr>
      <w:r w:rsidRPr="0045677C">
        <w:rPr>
          <w:b/>
          <w:bCs/>
        </w:rPr>
        <w:t>STATEMENT OF</w:t>
      </w:r>
    </w:p>
    <w:p w:rsidR="00B85F59" w:rsidRPr="0045677C" w:rsidP="00B85F59">
      <w:pPr>
        <w:jc w:val="center"/>
        <w:rPr>
          <w:b/>
          <w:bCs/>
        </w:rPr>
      </w:pPr>
      <w:r w:rsidRPr="0045677C">
        <w:rPr>
          <w:b/>
          <w:bCs/>
        </w:rPr>
        <w:t>COMMISSIONER GEOFFREY STARKS</w:t>
      </w:r>
    </w:p>
    <w:p w:rsidR="00B85F59" w:rsidRPr="0045677C" w:rsidP="00B85F59"/>
    <w:p w:rsidR="00B85F59" w:rsidRPr="0045677C" w:rsidP="00B85F59">
      <w:pPr>
        <w:ind w:left="720" w:hanging="720"/>
      </w:pPr>
      <w:r w:rsidRPr="0045677C">
        <w:t xml:space="preserve">Re: </w:t>
      </w:r>
      <w:r w:rsidRPr="0045677C">
        <w:tab/>
      </w:r>
      <w:r w:rsidRPr="0045677C">
        <w:rPr>
          <w:i/>
          <w:iCs/>
        </w:rPr>
        <w:t>Unlicensed White Spaces Device Operations in the Television Bands</w:t>
      </w:r>
      <w:r w:rsidRPr="0045677C">
        <w:t>, ET Docket No. 20-36</w:t>
      </w:r>
      <w:r>
        <w:t>.</w:t>
      </w:r>
    </w:p>
    <w:p w:rsidR="00B85F59" w:rsidRPr="0045677C" w:rsidP="00B85F59"/>
    <w:p w:rsidR="00B85F59" w:rsidRPr="0045677C" w:rsidP="00B85F59">
      <w:pPr>
        <w:ind w:firstLine="720"/>
      </w:pPr>
      <w:r w:rsidRPr="0045677C">
        <w:t xml:space="preserve">Deploying high-speed broadband service throughout rural America has been a major challenge for some time.  I support this item because it proposes actions that, if adopted, would increase our options for ensuring the availability of broadband data and other services in rural America.  </w:t>
      </w:r>
    </w:p>
    <w:p w:rsidR="00B85F59" w:rsidRPr="0045677C" w:rsidP="00B85F59">
      <w:pPr>
        <w:ind w:firstLine="720"/>
      </w:pPr>
    </w:p>
    <w:p w:rsidR="00B85F59" w:rsidRPr="0045677C" w:rsidP="00B85F59">
      <w:pPr>
        <w:ind w:firstLine="720"/>
      </w:pPr>
      <w:r w:rsidRPr="0045677C">
        <w:t xml:space="preserve">Operating in the unused white space between TV stations presents a valuable opportunity that could significantly change the wireless communications landscape.  Technologies and devices being developed for use in this spectrum hold the promise of increasing our broadband capacity and our ability to use limited spectrum resources more efficiently and effectively.  </w:t>
      </w:r>
    </w:p>
    <w:p w:rsidR="00B85F59" w:rsidRPr="0045677C" w:rsidP="00B85F59">
      <w:pPr>
        <w:ind w:firstLine="720"/>
      </w:pPr>
    </w:p>
    <w:p w:rsidR="00B85F59" w:rsidRPr="0045677C" w:rsidP="00B85F59">
      <w:pPr>
        <w:ind w:firstLine="720"/>
      </w:pPr>
      <w:r w:rsidRPr="0045677C">
        <w:t>Devices that operate in unlicensed white spaces in the TV bands take advantage of the better propagation characteristics of lower band frequencies to enable broadband data and other services in rural and other hard-to-reach areas.  Last year, this Commission took steps to enable more white space device use by adopting measures to improve the accuracy and reliability of data necessary to determine available spectrum for fixed device use, thereby minimizing interference with protected services operating in the TV bands.  We also modified the white space device antenna height rules to allow improved broadband coverage in rural areas.</w:t>
      </w:r>
      <w:r>
        <w:rPr>
          <w:rStyle w:val="FootnoteReference"/>
        </w:rPr>
        <w:footnoteReference w:id="122"/>
      </w:r>
      <w:r w:rsidRPr="0045677C">
        <w:t xml:space="preserve">  Today’s action seeks to build upon those improvements by seeking comment on thoughtful industry proposals that could further increase options for unlicensed white space devices to operate in a manner that better serves unmet broadband coverage needs, without causing undue interference to broadcasters and other protected users operating in the same spectrum.</w:t>
      </w:r>
    </w:p>
    <w:p w:rsidR="00B85F59" w:rsidRPr="0045677C" w:rsidP="00B85F59">
      <w:pPr>
        <w:ind w:firstLine="720"/>
      </w:pPr>
    </w:p>
    <w:p w:rsidR="00B85F59" w:rsidRPr="0045677C" w:rsidP="00B85F59">
      <w:pPr>
        <w:ind w:firstLine="720"/>
      </w:pPr>
      <w:r w:rsidRPr="0045677C">
        <w:t xml:space="preserve">This item poses the right questions, seeking comment on how best to protect other operators in the TV bands, and proposing measures such as increased exclusion zone distances to protect against harmful interference.   </w:t>
      </w:r>
    </w:p>
    <w:p w:rsidR="00B85F59" w:rsidRPr="0045677C" w:rsidP="00B85F59">
      <w:pPr>
        <w:ind w:firstLine="720"/>
      </w:pPr>
    </w:p>
    <w:p w:rsidR="00BA3094" w:rsidRPr="006659CB" w:rsidP="00B85F59">
      <w:pPr>
        <w:ind w:firstLine="720"/>
      </w:pPr>
      <w:r w:rsidRPr="0045677C">
        <w:t>I look forward to reviewing the record in this proceeding.  Thank you to the Office of Engineering and Technology staff who prepared this item for our consideration.</w:t>
      </w:r>
    </w:p>
    <w:sectPr w:rsidSect="00B85F59">
      <w:footnotePr>
        <w:numRestart w:val="eachSec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40FA" w:rsidP="0055614C">
    <w:pPr>
      <w:pStyle w:val="Footer"/>
      <w:framePr w:wrap="around" w:vAnchor="text" w:hAnchor="margin" w:xAlign="center" w:y="1"/>
    </w:pPr>
    <w:r>
      <w:fldChar w:fldCharType="begin"/>
    </w:r>
    <w:r>
      <w:instrText xml:space="preserve">PAGE  </w:instrText>
    </w:r>
    <w:r>
      <w:fldChar w:fldCharType="separate"/>
    </w:r>
    <w:r>
      <w:fldChar w:fldCharType="end"/>
    </w:r>
  </w:p>
  <w:p w:rsidR="00284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40F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40FA">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40F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840FA">
      <w:r>
        <w:separator/>
      </w:r>
    </w:p>
  </w:footnote>
  <w:footnote w:type="continuationSeparator" w:id="1">
    <w:p w:rsidR="002840FA" w:rsidP="00C721AC">
      <w:pPr>
        <w:spacing w:before="120"/>
        <w:rPr>
          <w:sz w:val="20"/>
        </w:rPr>
      </w:pPr>
      <w:r>
        <w:rPr>
          <w:sz w:val="20"/>
        </w:rPr>
        <w:t xml:space="preserve">(Continued from previous page)  </w:t>
      </w:r>
      <w:r>
        <w:rPr>
          <w:sz w:val="20"/>
        </w:rPr>
        <w:separator/>
      </w:r>
    </w:p>
  </w:footnote>
  <w:footnote w:type="continuationNotice" w:id="2">
    <w:p w:rsidR="002840FA" w:rsidP="00C721AC">
      <w:pPr>
        <w:jc w:val="right"/>
        <w:rPr>
          <w:sz w:val="20"/>
        </w:rPr>
      </w:pPr>
      <w:r>
        <w:rPr>
          <w:sz w:val="20"/>
        </w:rPr>
        <w:t>(continued….)</w:t>
      </w:r>
    </w:p>
  </w:footnote>
  <w:footnote w:id="3">
    <w:p w:rsidR="002840FA" w:rsidP="00CA432D">
      <w:pPr>
        <w:pStyle w:val="FootnoteText"/>
      </w:pPr>
      <w:r>
        <w:rPr>
          <w:rStyle w:val="FootnoteReference"/>
        </w:rPr>
        <w:footnoteRef/>
      </w:r>
      <w:r>
        <w:t xml:space="preserve"> </w:t>
      </w:r>
      <w:r>
        <w:rPr>
          <w:i/>
        </w:rPr>
        <w:t xml:space="preserve">See generally </w:t>
      </w:r>
      <w:r>
        <w:t xml:space="preserve">47 CFR Part 15 subpart H.  </w:t>
      </w:r>
    </w:p>
  </w:footnote>
  <w:footnote w:id="4">
    <w:p w:rsidR="002840FA" w:rsidP="00B1439D">
      <w:pPr>
        <w:pStyle w:val="FootnoteText"/>
      </w:pPr>
      <w:r>
        <w:rPr>
          <w:rStyle w:val="FootnoteReference"/>
        </w:rPr>
        <w:footnoteRef/>
      </w:r>
      <w:r>
        <w:t xml:space="preserve"> </w:t>
      </w:r>
      <w:r>
        <w:rPr>
          <w:i/>
        </w:rPr>
        <w:t>Unlicensed Operation in the TV Broadcast Bands; Additional Spectrum for Unlicensed Devices Below 900 MHz and in the 3 GHz Band</w:t>
      </w:r>
      <w:r>
        <w:t xml:space="preserve">, ET Docket Nos. 04-186 and 02-380, Second Report and Order and Memorandum Opinion and Order, 23 FCC Rcd 16807 (2008).  </w:t>
      </w:r>
    </w:p>
  </w:footnote>
  <w:footnote w:id="5">
    <w:p w:rsidR="002840FA" w:rsidP="00B1439D">
      <w:pPr>
        <w:pStyle w:val="FootnoteText"/>
      </w:pPr>
      <w:r>
        <w:rPr>
          <w:rStyle w:val="FootnoteReference"/>
        </w:rPr>
        <w:footnoteRef/>
      </w:r>
      <w:r>
        <w:t xml:space="preserve"> </w:t>
      </w:r>
      <w:r>
        <w:rPr>
          <w:i/>
        </w:rPr>
        <w:t>Unlicensed Operation in the TV Broadcast Bands; Additional Spectrum for Unlicensed Devices Below 900 MHz and in the 3 GHz Band</w:t>
      </w:r>
      <w:r>
        <w:t>, ET Docket Nos. 04-186 and 02-380, Second Memorandum Opinion and Order, 25 FCC Rcd 18661 (2010);</w:t>
      </w:r>
      <w:r w:rsidRPr="003D5C6A">
        <w:rPr>
          <w:i/>
        </w:rPr>
        <w:t xml:space="preserve"> </w:t>
      </w:r>
      <w:r>
        <w:rPr>
          <w:i/>
        </w:rPr>
        <w:t>Unlicensed Operation in the TV Broadcast Bands; Additional Spectrum for Unlicensed Devices Below 900 MHz and in the 3 GHz Band</w:t>
      </w:r>
      <w:r>
        <w:t>, ET Docket Nos. 04-186 and 02-380, Third Memorandum Opinion and Order, 27 FCC Rcd 3692 (2012)</w:t>
      </w:r>
      <w:r w:rsidRPr="007C616D">
        <w:t xml:space="preserve"> </w:t>
      </w:r>
      <w:r>
        <w:t>(</w:t>
      </w:r>
      <w:r w:rsidRPr="00B23C77">
        <w:rPr>
          <w:i/>
        </w:rPr>
        <w:t>White Spaces Third MO&amp;O</w:t>
      </w:r>
      <w:r>
        <w:t xml:space="preserve">); </w:t>
      </w:r>
      <w:r w:rsidRPr="000C2261">
        <w:rPr>
          <w:i/>
        </w:rPr>
        <w:t xml:space="preserve">Amendment of Part of the Commission’s Rules for Unlicensed Operations in the Television Bands, Repurposed 600 MHz Band, 600 MHz Guard Bands and Duplex Gap, and Channel 37; Amendment of Part 74 of the Commission’s Rules for Low Power Auxiliary Stations in the Repurposed 600 MHz Band and the 600 MHz Duplex Gap, </w:t>
      </w:r>
      <w:r w:rsidRPr="00C003FC">
        <w:rPr>
          <w:i/>
        </w:rPr>
        <w:t>Expanding the Economic and Innovation Opportunities of Sp</w:t>
      </w:r>
      <w:r w:rsidRPr="00115D96">
        <w:rPr>
          <w:i/>
        </w:rPr>
        <w:t>ectrum Through Incentive Auctions</w:t>
      </w:r>
      <w:r>
        <w:t>, ET Docket No. 14-165 and GN Docket No. 12-268, 30 FCC Rcd 9551 (2015) (</w:t>
      </w:r>
      <w:r>
        <w:rPr>
          <w:i/>
        </w:rPr>
        <w:t>White Spaces Order</w:t>
      </w:r>
      <w:r>
        <w:t xml:space="preserve">).  </w:t>
      </w:r>
    </w:p>
  </w:footnote>
  <w:footnote w:id="6">
    <w:p w:rsidR="002840FA" w:rsidP="00665E73">
      <w:pPr>
        <w:pStyle w:val="FootnoteText"/>
      </w:pPr>
      <w:r>
        <w:rPr>
          <w:rStyle w:val="FootnoteReference"/>
        </w:rPr>
        <w:footnoteRef/>
      </w:r>
      <w:r>
        <w:t xml:space="preserve"> 47 CFR §§ 15.711(c)(2), (d)(2) and 15.715.</w:t>
      </w:r>
    </w:p>
  </w:footnote>
  <w:footnote w:id="7">
    <w:p w:rsidR="002840FA" w:rsidP="00665E73">
      <w:pPr>
        <w:pStyle w:val="FootnoteText"/>
      </w:pPr>
      <w:r>
        <w:rPr>
          <w:rStyle w:val="FootnoteReference"/>
        </w:rPr>
        <w:footnoteRef/>
      </w:r>
      <w:r>
        <w:t xml:space="preserve"> 47 CFR § 15.711(c)(1).  Fixed devices must re-check the database for available channels at least once daily. 47 CFR § 15.711(c)(2).</w:t>
      </w:r>
    </w:p>
  </w:footnote>
  <w:footnote w:id="8">
    <w:p w:rsidR="002840FA" w:rsidP="00665E73">
      <w:pPr>
        <w:pStyle w:val="FootnoteText"/>
      </w:pPr>
      <w:r>
        <w:rPr>
          <w:rStyle w:val="FootnoteReference"/>
        </w:rPr>
        <w:footnoteRef/>
      </w:r>
      <w:r>
        <w:t xml:space="preserve"> 47 CFR §§ 15.703(</w:t>
      </w:r>
      <w:r>
        <w:t>i</w:t>
      </w:r>
      <w:r>
        <w:t>) and 15.711(d-e). A Mode I device is not required to</w:t>
      </w:r>
      <w:r w:rsidRPr="001934AE">
        <w:t xml:space="preserve"> </w:t>
      </w:r>
      <w:r>
        <w:t>incorporate geo-location and database access capabilities.</w:t>
      </w:r>
    </w:p>
  </w:footnote>
  <w:footnote w:id="9">
    <w:p w:rsidR="002840FA" w:rsidRPr="00495CAB">
      <w:pPr>
        <w:pStyle w:val="FootnoteText"/>
        <w:rPr>
          <w:i/>
        </w:rPr>
      </w:pPr>
      <w:r>
        <w:rPr>
          <w:rStyle w:val="FootnoteReference"/>
        </w:rPr>
        <w:footnoteRef/>
      </w:r>
      <w:r>
        <w:t xml:space="preserve"> </w:t>
      </w:r>
      <w:r>
        <w:rPr>
          <w:i/>
        </w:rPr>
        <w:t>See generally White Spaces Order</w:t>
      </w:r>
      <w:r>
        <w:t xml:space="preserve">. </w:t>
      </w:r>
    </w:p>
  </w:footnote>
  <w:footnote w:id="10">
    <w:p w:rsidR="002840FA" w:rsidRPr="00F10D31">
      <w:pPr>
        <w:pStyle w:val="FootnoteText"/>
      </w:pPr>
      <w:r>
        <w:rPr>
          <w:rStyle w:val="FootnoteReference"/>
        </w:rPr>
        <w:footnoteRef/>
      </w:r>
      <w:r>
        <w:t xml:space="preserve"> </w:t>
      </w:r>
      <w:bookmarkStart w:id="27" w:name="_Hlk30513844"/>
      <w:r>
        <w:rPr>
          <w:i/>
        </w:rPr>
        <w:t>White Spaces Order</w:t>
      </w:r>
      <w:r>
        <w:t>, 30 FCC Rcd at 9572, para. 51</w:t>
      </w:r>
      <w:bookmarkEnd w:id="27"/>
      <w:r>
        <w:t>.</w:t>
      </w:r>
    </w:p>
  </w:footnote>
  <w:footnote w:id="11">
    <w:p w:rsidR="002840FA">
      <w:pPr>
        <w:pStyle w:val="FootnoteText"/>
      </w:pPr>
      <w:r>
        <w:rPr>
          <w:rStyle w:val="FootnoteReference"/>
        </w:rPr>
        <w:footnoteRef/>
      </w:r>
      <w:r>
        <w:t xml:space="preserve"> </w:t>
      </w:r>
      <w:r>
        <w:rPr>
          <w:i/>
        </w:rPr>
        <w:t>White Spaces Order</w:t>
      </w:r>
      <w:r>
        <w:t>, 30 FCC Rcd at 9573, para. 53.</w:t>
      </w:r>
    </w:p>
  </w:footnote>
  <w:footnote w:id="12">
    <w:p w:rsidR="002840FA">
      <w:pPr>
        <w:pStyle w:val="FootnoteText"/>
      </w:pPr>
      <w:r>
        <w:rPr>
          <w:rStyle w:val="FootnoteReference"/>
        </w:rPr>
        <w:footnoteRef/>
      </w:r>
      <w:r>
        <w:t xml:space="preserve"> </w:t>
      </w:r>
      <w:r w:rsidRPr="00115D96">
        <w:rPr>
          <w:i/>
        </w:rPr>
        <w:t>Amendment of Part 15 of the Commission’s Rules for Unlicensed White Space Devices; Amendment of Part 15 of the Commission’s Rules for Unlicensed Operations in the Television Bands, Repurposed 600 MHz Band, 600 MHz Guard Bands and Duplex Gap, and Channel 37; Expanding the Economic and Innovation Opportunities of Spectrum Through Incentive Auctions,</w:t>
      </w:r>
      <w:r>
        <w:t xml:space="preserve"> ET Docket Nos. 16-56 and 14-165 and GN Docket No. 12-268, Report and Order and Order on Reconsideration, 34 FCC Rcd 1827, 1853, para. 67 (2019) (</w:t>
      </w:r>
      <w:r>
        <w:rPr>
          <w:i/>
        </w:rPr>
        <w:t>White Spaces Order on Reconsideration</w:t>
      </w:r>
      <w:r>
        <w:t>).</w:t>
      </w:r>
    </w:p>
  </w:footnote>
  <w:footnote w:id="13">
    <w:p w:rsidR="002840FA" w:rsidRPr="00761B3C">
      <w:pPr>
        <w:pStyle w:val="FootnoteText"/>
        <w:rPr>
          <w:i/>
          <w:iCs/>
        </w:rPr>
      </w:pPr>
      <w:r>
        <w:rPr>
          <w:rStyle w:val="FootnoteReference"/>
        </w:rPr>
        <w:footnoteRef/>
      </w:r>
      <w:r>
        <w:t xml:space="preserve"> </w:t>
      </w:r>
      <w:r w:rsidRPr="00B85D96">
        <w:t>Petition for Rulemaking</w:t>
      </w:r>
      <w:r>
        <w:t xml:space="preserve">, ET Docket No. 14-165 and RM-11840 (filed May 3, 2019), </w:t>
      </w:r>
      <w:hyperlink r:id="rId1" w:history="1">
        <w:r w:rsidRPr="006A0A0F">
          <w:rPr>
            <w:rStyle w:val="Hyperlink"/>
          </w:rPr>
          <w:t>https://ecfsapi.fcc.gov/file/1050380945109/White%20Spaces%20Petition%20for%20Rulemaking%20(May%203%202019).pdf</w:t>
        </w:r>
      </w:hyperlink>
      <w:r>
        <w:t xml:space="preserve"> (Microsoft Petition).  Microsoft did not propose any rule revisions concerning the rules for unlicensed white space device operation on the 600 MHz duplex gap or the 600 MHz service band.  </w:t>
      </w:r>
      <w:r>
        <w:rPr>
          <w:i/>
          <w:iCs/>
        </w:rPr>
        <w:t>Id.</w:t>
      </w:r>
    </w:p>
  </w:footnote>
  <w:footnote w:id="14">
    <w:p w:rsidR="002840FA" w:rsidP="00244F35">
      <w:pPr>
        <w:pStyle w:val="FootnoteText"/>
      </w:pPr>
      <w:r>
        <w:rPr>
          <w:rStyle w:val="FootnoteReference"/>
        </w:rPr>
        <w:footnoteRef/>
      </w:r>
      <w:r>
        <w:t xml:space="preserve"> </w:t>
      </w:r>
      <w:r>
        <w:rPr>
          <w:i/>
          <w:iCs/>
        </w:rPr>
        <w:t>See generally id.</w:t>
      </w:r>
    </w:p>
  </w:footnote>
  <w:footnote w:id="15">
    <w:p w:rsidR="002840FA" w:rsidP="00D405F1">
      <w:pPr>
        <w:pStyle w:val="FootnoteText"/>
      </w:pPr>
      <w:r>
        <w:rPr>
          <w:rStyle w:val="FootnoteReference"/>
        </w:rPr>
        <w:footnoteRef/>
      </w:r>
      <w:r>
        <w:t xml:space="preserve"> </w:t>
      </w:r>
      <w:r w:rsidRPr="00972424">
        <w:rPr>
          <w:i/>
        </w:rPr>
        <w:t>Consumer &amp; Governmental Affairs Bureau Reference Information Center Petition for Rulemakings Filed</w:t>
      </w:r>
      <w:r w:rsidRPr="00445448">
        <w:t xml:space="preserve">, </w:t>
      </w:r>
      <w:r>
        <w:t>RM-11840</w:t>
      </w:r>
      <w:r w:rsidRPr="00445448">
        <w:t xml:space="preserve">, Public Notice, </w:t>
      </w:r>
      <w:r>
        <w:t>Report No. 3127</w:t>
      </w:r>
      <w:r w:rsidRPr="00445448">
        <w:t xml:space="preserve"> (</w:t>
      </w:r>
      <w:r>
        <w:t>CGB</w:t>
      </w:r>
      <w:r w:rsidRPr="00445448">
        <w:t xml:space="preserve"> </w:t>
      </w:r>
      <w:r>
        <w:t>May</w:t>
      </w:r>
      <w:r w:rsidRPr="00445448">
        <w:t xml:space="preserve"> </w:t>
      </w:r>
      <w:r>
        <w:t>9</w:t>
      </w:r>
      <w:r w:rsidRPr="00445448">
        <w:t>, 201</w:t>
      </w:r>
      <w:r>
        <w:t>9</w:t>
      </w:r>
      <w:r w:rsidRPr="00445448">
        <w:t>).</w:t>
      </w:r>
      <w:r>
        <w:t xml:space="preserve">  </w:t>
      </w:r>
    </w:p>
  </w:footnote>
  <w:footnote w:id="16">
    <w:p w:rsidR="002840FA">
      <w:pPr>
        <w:pStyle w:val="FootnoteText"/>
      </w:pPr>
      <w:r>
        <w:rPr>
          <w:rStyle w:val="FootnoteReference"/>
        </w:rPr>
        <w:footnoteRef/>
      </w:r>
      <w:r>
        <w:t xml:space="preserve"> A “geo-fenced” area as discussed in this NPRM refers to a defined geographic area in which a mobile white space device may operate.  The white space device uses an incorporated geo-location capability such as GPS in conjunction with a database to determine the location of the device with respect to the boundaries of the defined area.</w:t>
      </w:r>
    </w:p>
  </w:footnote>
  <w:footnote w:id="17">
    <w:p w:rsidR="002840FA" w:rsidRPr="00C769AF">
      <w:pPr>
        <w:pStyle w:val="FootnoteText"/>
      </w:pPr>
      <w:r>
        <w:rPr>
          <w:rStyle w:val="FootnoteReference"/>
        </w:rPr>
        <w:footnoteRef/>
      </w:r>
      <w:r>
        <w:t xml:space="preserve"> Height above average terrain for fixed white space devices is calculated using the same method as used for television broadcast services.  </w:t>
      </w:r>
      <w:r>
        <w:rPr>
          <w:i/>
        </w:rPr>
        <w:t>See</w:t>
      </w:r>
      <w:r>
        <w:t xml:space="preserve"> 47 CFR § 15.709(g)(1)(ii) (referencing 47 CFR §73.684(d)).  HAAT is based on the terrain profile between 3.2 km and 16.1 km from the device along eight radials.</w:t>
      </w:r>
    </w:p>
  </w:footnote>
  <w:footnote w:id="18">
    <w:p w:rsidR="002840FA">
      <w:pPr>
        <w:pStyle w:val="FootnoteText"/>
      </w:pPr>
      <w:r>
        <w:rPr>
          <w:rStyle w:val="FootnoteReference"/>
        </w:rPr>
        <w:footnoteRef/>
      </w:r>
      <w:r>
        <w:t xml:space="preserve"> 47 CFR § 15.709(a)(2)(</w:t>
      </w:r>
      <w:r>
        <w:t>i</w:t>
      </w:r>
      <w:r>
        <w:t>) (limiting the 602-620 MHz band to 4 watts EIRP).  We propose no changes to the power or HAAT limits in this band.</w:t>
      </w:r>
    </w:p>
  </w:footnote>
  <w:footnote w:id="19">
    <w:p w:rsidR="002840FA">
      <w:pPr>
        <w:pStyle w:val="FootnoteText"/>
      </w:pPr>
      <w:r>
        <w:rPr>
          <w:rStyle w:val="FootnoteReference"/>
        </w:rPr>
        <w:footnoteRef/>
      </w:r>
      <w:r>
        <w:t xml:space="preserve"> 47 CFR §§ 15.709(a)(2) &amp; 15.712.</w:t>
      </w:r>
    </w:p>
  </w:footnote>
  <w:footnote w:id="20">
    <w:p w:rsidR="002840FA">
      <w:pPr>
        <w:pStyle w:val="FootnoteText"/>
      </w:pPr>
      <w:r>
        <w:rPr>
          <w:rStyle w:val="FootnoteReference"/>
        </w:rPr>
        <w:footnoteRef/>
      </w:r>
      <w:r>
        <w:t xml:space="preserve"> </w:t>
      </w:r>
      <w:bookmarkStart w:id="62" w:name="_Hlk19290050"/>
      <w:r>
        <w:t xml:space="preserve">47 CFR §§ </w:t>
      </w:r>
      <w:bookmarkEnd w:id="62"/>
      <w:r>
        <w:t>15.703(h), 15.709(a)(2), &amp; 15.712.</w:t>
      </w:r>
    </w:p>
  </w:footnote>
  <w:footnote w:id="21">
    <w:p w:rsidR="002840FA">
      <w:pPr>
        <w:pStyle w:val="FootnoteText"/>
      </w:pPr>
      <w:r>
        <w:rPr>
          <w:rStyle w:val="FootnoteReference"/>
        </w:rPr>
        <w:footnoteRef/>
      </w:r>
      <w:r>
        <w:t xml:space="preserve"> 47 CFR § 15.709(c)(1)-(2).</w:t>
      </w:r>
    </w:p>
  </w:footnote>
  <w:footnote w:id="22">
    <w:p w:rsidR="002840FA">
      <w:pPr>
        <w:pStyle w:val="FootnoteText"/>
      </w:pPr>
      <w:r>
        <w:rPr>
          <w:rStyle w:val="FootnoteReference"/>
        </w:rPr>
        <w:footnoteRef/>
      </w:r>
      <w:r>
        <w:t xml:space="preserve"> Microsoft Petition at 4.</w:t>
      </w:r>
    </w:p>
  </w:footnote>
  <w:footnote w:id="23">
    <w:p w:rsidR="002840FA" w:rsidP="00D43FE6">
      <w:pPr>
        <w:pStyle w:val="FootnoteText"/>
      </w:pPr>
      <w:r>
        <w:rPr>
          <w:rStyle w:val="FootnoteReference"/>
        </w:rPr>
        <w:footnoteRef/>
      </w:r>
      <w:r>
        <w:t xml:space="preserve"> Microsoft Petition at 4-5; 6Harmonics Comments at 1-2; Rural Partners Comments at 3; </w:t>
      </w:r>
      <w:r>
        <w:t>Adaptrum</w:t>
      </w:r>
      <w:r>
        <w:t xml:space="preserve"> Comments at 2; Dynamic Spectrum Alliance Comments at 5; Nominet Comments at 2-3; Public Interest Organizations Comments at 6-7; RADWIN Comments at 1; </w:t>
      </w:r>
      <w:r w:rsidRPr="008D00B1">
        <w:t>Sacred Wind Communications</w:t>
      </w:r>
      <w:r>
        <w:t xml:space="preserve"> Comments at 4-5; Wi-Fi Alliance Comments at 3; WISPA Comments at 2.</w:t>
      </w:r>
    </w:p>
  </w:footnote>
  <w:footnote w:id="24">
    <w:p w:rsidR="002840FA" w:rsidRPr="007E5F4F" w:rsidP="002F5F8D">
      <w:pPr>
        <w:pStyle w:val="FootnoteText"/>
      </w:pPr>
      <w:r>
        <w:rPr>
          <w:rStyle w:val="FootnoteReference"/>
        </w:rPr>
        <w:footnoteRef/>
      </w:r>
      <w:r>
        <w:t xml:space="preserve"> NAB Comments at 2-3; </w:t>
      </w:r>
      <w:r>
        <w:rPr>
          <w:i/>
        </w:rPr>
        <w:t xml:space="preserve">see also </w:t>
      </w:r>
      <w:r>
        <w:t>Microsoft Petition at 4.</w:t>
      </w:r>
    </w:p>
  </w:footnote>
  <w:footnote w:id="25">
    <w:p w:rsidR="002840FA">
      <w:pPr>
        <w:pStyle w:val="FootnoteText"/>
      </w:pPr>
      <w:r>
        <w:rPr>
          <w:rStyle w:val="FootnoteReference"/>
        </w:rPr>
        <w:footnoteRef/>
      </w:r>
      <w:r>
        <w:t xml:space="preserve"> Sennheiser Comments at 4.</w:t>
      </w:r>
    </w:p>
  </w:footnote>
  <w:footnote w:id="26">
    <w:p w:rsidR="002840FA">
      <w:pPr>
        <w:pStyle w:val="FootnoteText"/>
      </w:pPr>
      <w:r>
        <w:rPr>
          <w:rStyle w:val="FootnoteReference"/>
        </w:rPr>
        <w:footnoteRef/>
      </w:r>
      <w:r>
        <w:t xml:space="preserve"> GE Healthcare Comments at 4-6; ASHE Comment at 3.</w:t>
      </w:r>
    </w:p>
  </w:footnote>
  <w:footnote w:id="27">
    <w:p w:rsidR="002840FA" w:rsidRPr="005C7931">
      <w:pPr>
        <w:pStyle w:val="FootnoteText"/>
      </w:pPr>
      <w:r>
        <w:rPr>
          <w:rStyle w:val="FootnoteReference"/>
        </w:rPr>
        <w:footnoteRef/>
      </w:r>
      <w:r>
        <w:t xml:space="preserve"> We are not proposing any increase in power for white space devices on Channels 36, 37, or 38.  The Commission previously decided to limit the maximum permissible power on Channel 37 to 40 milliwatts to protect operations in the 600 MHz service band, which is separated by three megahertz from Channel 37. 47 CFR § 15.709(a)(3).  After the post incentive auction transition, the former </w:t>
      </w:r>
      <w:r w:rsidRPr="00902033">
        <w:t xml:space="preserve">Channel 38 </w:t>
      </w:r>
      <w:r>
        <w:t>will be</w:t>
      </w:r>
      <w:r w:rsidRPr="00902033">
        <w:t xml:space="preserve"> split between </w:t>
      </w:r>
      <w:r>
        <w:t>the</w:t>
      </w:r>
      <w:r w:rsidRPr="00902033">
        <w:t xml:space="preserve"> 3-megahertz </w:t>
      </w:r>
      <w:r>
        <w:t xml:space="preserve">600 MHz </w:t>
      </w:r>
      <w:r w:rsidRPr="00902033">
        <w:t xml:space="preserve">guard band adjacent to </w:t>
      </w:r>
      <w:r>
        <w:t>C</w:t>
      </w:r>
      <w:r w:rsidRPr="00902033">
        <w:t xml:space="preserve">hannel 37 and the lower </w:t>
      </w:r>
      <w:r>
        <w:t>three</w:t>
      </w:r>
      <w:r w:rsidRPr="00902033">
        <w:t xml:space="preserve"> megahertz of the 600 MHz service band.</w:t>
      </w:r>
      <w:r>
        <w:t xml:space="preserve">  W</w:t>
      </w:r>
      <w:r w:rsidRPr="00902033">
        <w:t>e are not proposing to permit higher power in any portion of the 600 MHz service band</w:t>
      </w:r>
      <w:r>
        <w:t xml:space="preserve"> (including the upper three megahertz of Channel 38), and w</w:t>
      </w:r>
      <w:r w:rsidRPr="00902033">
        <w:t xml:space="preserve">hite space devices </w:t>
      </w:r>
      <w:r>
        <w:t xml:space="preserve">will continue to be prohibited from </w:t>
      </w:r>
      <w:r w:rsidRPr="00902033">
        <w:t>operat</w:t>
      </w:r>
      <w:r>
        <w:t>ing</w:t>
      </w:r>
      <w:r w:rsidRPr="00902033">
        <w:t xml:space="preserve"> in the </w:t>
      </w:r>
      <w:r>
        <w:t xml:space="preserve">600 MHz </w:t>
      </w:r>
      <w:r w:rsidRPr="00902033">
        <w:t>guard band</w:t>
      </w:r>
      <w:r>
        <w:t xml:space="preserve"> adjacent to Channel 37 (the lower three megahertz of Channel 38).  47 CFR § 15.707(a)(4).</w:t>
      </w:r>
    </w:p>
  </w:footnote>
  <w:footnote w:id="28">
    <w:p w:rsidR="002840FA" w:rsidRPr="00286581">
      <w:pPr>
        <w:pStyle w:val="FootnoteText"/>
      </w:pPr>
      <w:r>
        <w:rPr>
          <w:rStyle w:val="FootnoteReference"/>
        </w:rPr>
        <w:footnoteRef/>
      </w:r>
      <w:r>
        <w:t xml:space="preserve"> </w:t>
      </w:r>
      <w:r>
        <w:rPr>
          <w:i/>
          <w:iCs/>
        </w:rPr>
        <w:t>Id.</w:t>
      </w:r>
    </w:p>
  </w:footnote>
  <w:footnote w:id="29">
    <w:p w:rsidR="002840FA">
      <w:pPr>
        <w:pStyle w:val="FootnoteText"/>
      </w:pPr>
      <w:r>
        <w:rPr>
          <w:rStyle w:val="FootnoteReference"/>
        </w:rPr>
        <w:footnoteRef/>
      </w:r>
      <w:r>
        <w:t xml:space="preserve"> 47 CFR § 15.709(g)(1)(ii).</w:t>
      </w:r>
    </w:p>
  </w:footnote>
  <w:footnote w:id="30">
    <w:p w:rsidR="002840FA" w:rsidP="003456A9">
      <w:pPr>
        <w:pStyle w:val="FootnoteText"/>
      </w:pPr>
      <w:r>
        <w:rPr>
          <w:rStyle w:val="FootnoteReference"/>
        </w:rPr>
        <w:footnoteRef/>
      </w:r>
      <w:r>
        <w:rPr>
          <w:i/>
        </w:rPr>
        <w:t xml:space="preserve"> White Spaces Order on Reconsideration</w:t>
      </w:r>
      <w:r>
        <w:t>, 34 FCC Rcd at 1852-53, para. 67.</w:t>
      </w:r>
    </w:p>
  </w:footnote>
  <w:footnote w:id="31">
    <w:p w:rsidR="002840FA" w:rsidRPr="00087C2D">
      <w:pPr>
        <w:pStyle w:val="FootnoteText"/>
      </w:pPr>
      <w:r>
        <w:rPr>
          <w:rStyle w:val="FootnoteReference"/>
        </w:rPr>
        <w:footnoteRef/>
      </w:r>
      <w:r>
        <w:t xml:space="preserve"> </w:t>
      </w:r>
      <w:r>
        <w:rPr>
          <w:i/>
        </w:rPr>
        <w:t>Id.</w:t>
      </w:r>
    </w:p>
  </w:footnote>
  <w:footnote w:id="32">
    <w:p w:rsidR="002840FA">
      <w:pPr>
        <w:pStyle w:val="FootnoteText"/>
      </w:pPr>
      <w:r>
        <w:rPr>
          <w:rStyle w:val="FootnoteReference"/>
        </w:rPr>
        <w:footnoteRef/>
      </w:r>
      <w:r>
        <w:t xml:space="preserve"> Microsoft Petition at 11.</w:t>
      </w:r>
    </w:p>
  </w:footnote>
  <w:footnote w:id="33">
    <w:p w:rsidR="002840FA">
      <w:pPr>
        <w:pStyle w:val="FootnoteText"/>
      </w:pPr>
      <w:r>
        <w:rPr>
          <w:rStyle w:val="FootnoteReference"/>
        </w:rPr>
        <w:footnoteRef/>
      </w:r>
      <w:r>
        <w:t xml:space="preserve"> NAB Comments at 3.</w:t>
      </w:r>
    </w:p>
  </w:footnote>
  <w:footnote w:id="34">
    <w:p w:rsidR="002840FA" w:rsidP="00411F95">
      <w:pPr>
        <w:pStyle w:val="FootnoteText"/>
      </w:pPr>
      <w:r>
        <w:rPr>
          <w:rStyle w:val="FootnoteReference"/>
        </w:rPr>
        <w:footnoteRef/>
      </w:r>
      <w:r>
        <w:t xml:space="preserve"> Sennheiser Comments at 4.</w:t>
      </w:r>
    </w:p>
  </w:footnote>
  <w:footnote w:id="35">
    <w:p w:rsidR="002840FA">
      <w:pPr>
        <w:pStyle w:val="FootnoteText"/>
      </w:pPr>
      <w:r>
        <w:rPr>
          <w:rStyle w:val="FootnoteReference"/>
        </w:rPr>
        <w:footnoteRef/>
      </w:r>
      <w:r>
        <w:t xml:space="preserve"> GE Healthcare Comments at 4-6; ASHE Comment at 3.</w:t>
      </w:r>
    </w:p>
  </w:footnote>
  <w:footnote w:id="36">
    <w:p w:rsidR="002840FA">
      <w:pPr>
        <w:pStyle w:val="FootnoteText"/>
      </w:pPr>
      <w:r>
        <w:rPr>
          <w:rStyle w:val="FootnoteReference"/>
        </w:rPr>
        <w:footnoteRef/>
      </w:r>
      <w:r>
        <w:t xml:space="preserve"> Microsoft Petition at 11; 6Harmonics Comments at 4; Rural Partners Comments at 5-6; </w:t>
      </w:r>
      <w:r>
        <w:t>Adaptrum</w:t>
      </w:r>
      <w:r>
        <w:t xml:space="preserve"> Comments at 3-4; Dynamic Spectrum Alliance Comments at 6; Public Interest Organizations Comments at 7-8; Sacred Wind Communications Comments at 6-7; Wi-Fi Alliance Comments at 4; WISPA Comments at 3.</w:t>
      </w:r>
    </w:p>
  </w:footnote>
  <w:footnote w:id="37">
    <w:p w:rsidR="002840FA" w:rsidRPr="00C26800">
      <w:pPr>
        <w:pStyle w:val="FootnoteText"/>
      </w:pPr>
      <w:r>
        <w:rPr>
          <w:rStyle w:val="FootnoteReference"/>
        </w:rPr>
        <w:footnoteRef/>
      </w:r>
      <w:r>
        <w:t xml:space="preserve"> </w:t>
      </w:r>
      <w:r>
        <w:rPr>
          <w:i/>
          <w:iCs/>
        </w:rPr>
        <w:t>Id.</w:t>
      </w:r>
      <w:r>
        <w:t xml:space="preserve">  NAB agrees with a 500-meter maximum HAAT, subject to certain conditions.  NAB Comments at 3.</w:t>
      </w:r>
    </w:p>
  </w:footnote>
  <w:footnote w:id="38">
    <w:p w:rsidR="002840FA" w:rsidRPr="00DE0905">
      <w:pPr>
        <w:pStyle w:val="FootnoteText"/>
      </w:pPr>
      <w:r>
        <w:rPr>
          <w:rStyle w:val="FootnoteReference"/>
        </w:rPr>
        <w:footnoteRef/>
      </w:r>
      <w:r>
        <w:t xml:space="preserve"> </w:t>
      </w:r>
      <w:r>
        <w:rPr>
          <w:i/>
          <w:iCs/>
        </w:rPr>
        <w:t xml:space="preserve">See </w:t>
      </w:r>
      <w:r w:rsidRPr="00B41EDA">
        <w:rPr>
          <w:i/>
          <w:iCs/>
        </w:rPr>
        <w:t>supra</w:t>
      </w:r>
      <w:r>
        <w:t xml:space="preserve"> note </w:t>
      </w:r>
      <w:r>
        <w:fldChar w:fldCharType="begin"/>
      </w:r>
      <w:r>
        <w:instrText xml:space="preserve"> NOTEREF _Ref31286758 \h </w:instrText>
      </w:r>
      <w:r>
        <w:fldChar w:fldCharType="separate"/>
      </w:r>
      <w:r>
        <w:t>27</w:t>
      </w:r>
      <w:r>
        <w:fldChar w:fldCharType="end"/>
      </w:r>
      <w:r w:rsidRPr="00B41EDA">
        <w:rPr>
          <w:i/>
          <w:iCs/>
        </w:rPr>
        <w:t>.</w:t>
      </w:r>
    </w:p>
  </w:footnote>
  <w:footnote w:id="39">
    <w:p w:rsidR="002840FA" w:rsidRPr="00761B3C" w:rsidP="00CF0244">
      <w:pPr>
        <w:pStyle w:val="FootnoteText"/>
        <w:rPr>
          <w:i/>
          <w:iCs/>
        </w:rPr>
      </w:pPr>
      <w:r>
        <w:rPr>
          <w:rStyle w:val="FootnoteReference"/>
        </w:rPr>
        <w:footnoteRef/>
      </w:r>
      <w:r>
        <w:t xml:space="preserve"> </w:t>
      </w:r>
      <w:r w:rsidRPr="00171BB6">
        <w:t xml:space="preserve">Microsoft Petition at 14-15. </w:t>
      </w:r>
      <w:r>
        <w:t xml:space="preserve"> </w:t>
      </w:r>
      <w:r w:rsidRPr="00171BB6">
        <w:t xml:space="preserve">Under Microsoft’s procedure, the party </w:t>
      </w:r>
      <w:r>
        <w:t>installing</w:t>
      </w:r>
      <w:r w:rsidRPr="00171BB6">
        <w:t xml:space="preserve"> a fixed white space device with an </w:t>
      </w:r>
      <w:r w:rsidRPr="00811F44">
        <w:t>HAAT greater than 250 meters must contact a white space database before deploying to identify all broadcast contours that would be within the applicable separation distance if the white space d</w:t>
      </w:r>
      <w:r w:rsidRPr="001C12C5">
        <w:t>evice were operating with an HAAT of 50 meters above the planned height</w:t>
      </w:r>
      <w:r w:rsidRPr="00634F57">
        <w:t xml:space="preserve">. </w:t>
      </w:r>
      <w:r>
        <w:t xml:space="preserve"> </w:t>
      </w:r>
      <w:r w:rsidRPr="00634F57">
        <w:t xml:space="preserve">It </w:t>
      </w:r>
      <w:r w:rsidRPr="00E937F2">
        <w:t xml:space="preserve">must </w:t>
      </w:r>
      <w:r w:rsidRPr="00B9650C">
        <w:t xml:space="preserve">then notify </w:t>
      </w:r>
      <w:r w:rsidRPr="00D13DF9">
        <w:t xml:space="preserve">each potentially affected licensee and provide them with relevant technical parameters of the proposed deployment and obtain confirmation of receipt of the information.  The installing party may commence operation on a 30-day test basis 48 hours after notification.  Additionally, the installing party </w:t>
      </w:r>
      <w:r>
        <w:t>must</w:t>
      </w:r>
      <w:r w:rsidRPr="00171BB6">
        <w:t xml:space="preserve"> provide each potentially affected licensee with information on the time periods of test operations,</w:t>
      </w:r>
      <w:r w:rsidRPr="00811F44">
        <w:t xml:space="preserve"> during which a </w:t>
      </w:r>
      <w:r w:rsidRPr="00B12214">
        <w:t xml:space="preserve">licensee </w:t>
      </w:r>
      <w:r w:rsidRPr="001C12C5">
        <w:t>would be able to</w:t>
      </w:r>
      <w:r w:rsidRPr="00634F57">
        <w:t xml:space="preserve"> submit claims of harmful interference </w:t>
      </w:r>
      <w:r w:rsidRPr="00E937F2">
        <w:t>to the installing party or the Commission</w:t>
      </w:r>
      <w:r w:rsidRPr="00B9650C">
        <w:t xml:space="preserve">. </w:t>
      </w:r>
      <w:r>
        <w:t xml:space="preserve"> </w:t>
      </w:r>
      <w:r w:rsidRPr="00B9650C">
        <w:t xml:space="preserve">The installing party </w:t>
      </w:r>
      <w:r w:rsidRPr="00D13DF9">
        <w:t xml:space="preserve">would be required to investigate and resolve all interference complaints before beginning permanent operations. </w:t>
      </w:r>
      <w:r>
        <w:t xml:space="preserve"> </w:t>
      </w:r>
      <w:r w:rsidRPr="00D13DF9">
        <w:t>Once a 30-day trial period ends and all interference reports are resolved, the white space database administrator would provide the device operator with a list of available channels at that location.  The installing party would have to conduct a new coordination if it seeks to increase the power level or HAAT, or to change location more than 50 meters.</w:t>
      </w:r>
      <w:r>
        <w:t xml:space="preserve">  </w:t>
      </w:r>
      <w:r>
        <w:rPr>
          <w:i/>
          <w:iCs/>
        </w:rPr>
        <w:t>See id.</w:t>
      </w:r>
    </w:p>
  </w:footnote>
  <w:footnote w:id="40">
    <w:p w:rsidR="002840FA">
      <w:pPr>
        <w:pStyle w:val="FootnoteText"/>
      </w:pPr>
      <w:r>
        <w:rPr>
          <w:rStyle w:val="FootnoteReference"/>
        </w:rPr>
        <w:footnoteRef/>
      </w:r>
      <w:r w:rsidRPr="001A2157">
        <w:rPr>
          <w:snapToGrid w:val="0"/>
        </w:rPr>
        <w:t xml:space="preserve"> </w:t>
      </w:r>
      <w:r>
        <w:rPr>
          <w:snapToGrid w:val="0"/>
        </w:rPr>
        <w:t>Additionally</w:t>
      </w:r>
      <w:r w:rsidRPr="001A2157">
        <w:rPr>
          <w:snapToGrid w:val="0"/>
        </w:rPr>
        <w:t>, the proposed coordination</w:t>
      </w:r>
      <w:r w:rsidRPr="001A2157">
        <w:t xml:space="preserve"> procedure</w:t>
      </w:r>
      <w:r w:rsidRPr="00171BB6">
        <w:t xml:space="preserve"> appears to be incomplete as it does not impose an obligation on a TV station to respond to notification messages nor d</w:t>
      </w:r>
      <w:r w:rsidRPr="00811F44">
        <w:t xml:space="preserve">oes it provide a means to permit white space device operation </w:t>
      </w:r>
      <w:r w:rsidRPr="001C12C5">
        <w:t xml:space="preserve">if </w:t>
      </w:r>
      <w:r w:rsidRPr="00634F57">
        <w:t>a TV station simply chooses to ignore such notifications</w:t>
      </w:r>
      <w:r>
        <w:t xml:space="preserve">. Also, </w:t>
      </w:r>
      <w:r w:rsidRPr="00171BB6">
        <w:t>Microsoft fails to explain what it means to operate on a test basis for a 30-day trial period</w:t>
      </w:r>
      <w:r>
        <w:t>.</w:t>
      </w:r>
      <w:r w:rsidRPr="00171BB6">
        <w:t xml:space="preserve">  Further, in its proposed separation distance table, Microsoft did not provide information regarding required separation distances for HAATs above 500 meters which</w:t>
      </w:r>
      <w:r w:rsidRPr="00811F44">
        <w:t xml:space="preserve"> would be needed to accommodate deployments with HAATs abov</w:t>
      </w:r>
      <w:r w:rsidRPr="001C12C5">
        <w:t>e 450 meters</w:t>
      </w:r>
      <w:r>
        <w:t>.</w:t>
      </w:r>
    </w:p>
  </w:footnote>
  <w:footnote w:id="41">
    <w:p w:rsidR="002840FA" w:rsidP="00921F2A">
      <w:pPr>
        <w:pStyle w:val="FootnoteText"/>
      </w:pPr>
      <w:r>
        <w:rPr>
          <w:rStyle w:val="FootnoteReference"/>
        </w:rPr>
        <w:footnoteRef/>
      </w:r>
      <w:r>
        <w:t xml:space="preserve"> Potentially affected protected entities can be identified using a white space database.</w:t>
      </w:r>
    </w:p>
  </w:footnote>
  <w:footnote w:id="42">
    <w:p w:rsidR="002840FA" w:rsidP="00921F2A">
      <w:pPr>
        <w:pStyle w:val="FootnoteText"/>
      </w:pPr>
      <w:r>
        <w:rPr>
          <w:rStyle w:val="FootnoteReference"/>
        </w:rPr>
        <w:footnoteRef/>
      </w:r>
      <w:r>
        <w:t xml:space="preserve"> Notification may be accomplished through e-mail, telephone, or other appropriate means.</w:t>
      </w:r>
    </w:p>
  </w:footnote>
  <w:footnote w:id="43">
    <w:p w:rsidR="002840FA">
      <w:pPr>
        <w:pStyle w:val="FootnoteText"/>
      </w:pPr>
      <w:r>
        <w:rPr>
          <w:rStyle w:val="FootnoteReference"/>
        </w:rPr>
        <w:footnoteRef/>
      </w:r>
      <w:r>
        <w:t xml:space="preserve"> 47 CFR § 15.711(c)(1) and (c)(2)(iii).</w:t>
      </w:r>
    </w:p>
  </w:footnote>
  <w:footnote w:id="44">
    <w:p w:rsidR="002840FA" w:rsidRPr="00FD7F48" w:rsidP="00921F2A">
      <w:pPr>
        <w:pStyle w:val="FootnoteText"/>
      </w:pPr>
      <w:r>
        <w:rPr>
          <w:rStyle w:val="FootnoteReference"/>
        </w:rPr>
        <w:footnoteRef/>
      </w:r>
      <w:r>
        <w:t xml:space="preserve"> 47 CFR § 15.711(c)(2)(iii).</w:t>
      </w:r>
    </w:p>
  </w:footnote>
  <w:footnote w:id="45">
    <w:p w:rsidR="002840FA" w:rsidP="00921F2A">
      <w:pPr>
        <w:pStyle w:val="FootnoteText"/>
      </w:pPr>
      <w:r>
        <w:rPr>
          <w:rStyle w:val="FootnoteReference"/>
        </w:rPr>
        <w:footnoteRef/>
      </w:r>
      <w:r>
        <w:t xml:space="preserve"> </w:t>
      </w:r>
      <w:r w:rsidRPr="00A66BDC">
        <w:t>Microsoft Petition at 14.</w:t>
      </w:r>
    </w:p>
  </w:footnote>
  <w:footnote w:id="46">
    <w:p w:rsidR="002840FA" w:rsidP="00921F2A">
      <w:pPr>
        <w:pStyle w:val="FootnoteText"/>
      </w:pPr>
      <w:r>
        <w:rPr>
          <w:rStyle w:val="FootnoteReference"/>
        </w:rPr>
        <w:footnoteRef/>
      </w:r>
      <w:r>
        <w:t xml:space="preserve"> 47 CFR § 15.5.</w:t>
      </w:r>
    </w:p>
  </w:footnote>
  <w:footnote w:id="47">
    <w:p w:rsidR="002840FA">
      <w:pPr>
        <w:pStyle w:val="FootnoteText"/>
      </w:pPr>
      <w:r>
        <w:rPr>
          <w:rStyle w:val="FootnoteReference"/>
        </w:rPr>
        <w:footnoteRef/>
      </w:r>
      <w:r>
        <w:t xml:space="preserve"> </w:t>
      </w:r>
      <w:r>
        <w:rPr>
          <w:i/>
        </w:rPr>
        <w:t>White Spaces Order on Reconsideration</w:t>
      </w:r>
      <w:r>
        <w:t>, 34 FCC Rcd at 1851, para. 64.</w:t>
      </w:r>
    </w:p>
  </w:footnote>
  <w:footnote w:id="48">
    <w:p w:rsidR="002840FA" w:rsidRPr="00761B3C">
      <w:pPr>
        <w:pStyle w:val="FootnoteText"/>
        <w:rPr>
          <w:i/>
          <w:iCs/>
        </w:rPr>
      </w:pPr>
      <w:r>
        <w:rPr>
          <w:rStyle w:val="FootnoteReference"/>
        </w:rPr>
        <w:footnoteRef/>
      </w:r>
      <w:r>
        <w:t xml:space="preserve"> </w:t>
      </w:r>
      <w:r>
        <w:rPr>
          <w:i/>
          <w:iCs/>
        </w:rPr>
        <w:t>Id.</w:t>
      </w:r>
    </w:p>
  </w:footnote>
  <w:footnote w:id="49">
    <w:p w:rsidR="002840FA" w:rsidRPr="00811F44">
      <w:pPr>
        <w:pStyle w:val="FootnoteText"/>
      </w:pPr>
      <w:r>
        <w:rPr>
          <w:rStyle w:val="FootnoteReference"/>
        </w:rPr>
        <w:footnoteRef/>
      </w:r>
      <w:r>
        <w:t xml:space="preserve"> </w:t>
      </w:r>
      <w:r>
        <w:rPr>
          <w:i/>
          <w:iCs/>
        </w:rPr>
        <w:t>Id.</w:t>
      </w:r>
      <w:r>
        <w:t xml:space="preserve"> at 1853, para. 67.</w:t>
      </w:r>
    </w:p>
  </w:footnote>
  <w:footnote w:id="50">
    <w:p w:rsidR="002840FA" w:rsidRPr="0014002A" w:rsidP="0014002A">
      <w:pPr>
        <w:pStyle w:val="FootnoteText"/>
      </w:pPr>
      <w:r>
        <w:rPr>
          <w:rStyle w:val="FootnoteReference"/>
        </w:rPr>
        <w:footnoteRef/>
      </w:r>
      <w:r>
        <w:t xml:space="preserve"> </w:t>
      </w:r>
      <w:bookmarkStart w:id="88" w:name="_Hlk22563387"/>
      <w:r>
        <w:rPr>
          <w:i/>
        </w:rPr>
        <w:t xml:space="preserve">White Spaces </w:t>
      </w:r>
      <w:r w:rsidRPr="00007D10">
        <w:rPr>
          <w:i/>
        </w:rPr>
        <w:t>Order</w:t>
      </w:r>
      <w:r>
        <w:t xml:space="preserve">, 30 FCC Rcd at 9577-58, paras. 62-64; </w:t>
      </w:r>
      <w:r w:rsidRPr="00B23C77">
        <w:rPr>
          <w:i/>
        </w:rPr>
        <w:t>White Spaces Third MO&amp;O</w:t>
      </w:r>
      <w:r>
        <w:rPr>
          <w:iCs/>
        </w:rPr>
        <w:t>,</w:t>
      </w:r>
      <w:r>
        <w:t xml:space="preserve"> </w:t>
      </w:r>
      <w:bookmarkEnd w:id="88"/>
      <w:r>
        <w:t>27 FCC Rcd at 3698-99, para. 16.</w:t>
      </w:r>
    </w:p>
  </w:footnote>
  <w:footnote w:id="51">
    <w:p w:rsidR="002840FA" w:rsidP="00042576">
      <w:pPr>
        <w:pStyle w:val="FootnoteText"/>
      </w:pPr>
      <w:r>
        <w:rPr>
          <w:rStyle w:val="FootnoteReference"/>
        </w:rPr>
        <w:footnoteRef/>
      </w:r>
      <w:r>
        <w:t xml:space="preserve"> 47 CFR § 15.712(b)-(d), (f).</w:t>
      </w:r>
    </w:p>
  </w:footnote>
  <w:footnote w:id="52">
    <w:p w:rsidR="002840FA" w:rsidRPr="00B60D50" w:rsidP="00042576">
      <w:pPr>
        <w:pStyle w:val="FootnoteText"/>
      </w:pPr>
      <w:r>
        <w:rPr>
          <w:rStyle w:val="FootnoteReference"/>
        </w:rPr>
        <w:footnoteRef/>
      </w:r>
      <w:r>
        <w:t xml:space="preserve"> </w:t>
      </w:r>
      <w:r>
        <w:rPr>
          <w:i/>
        </w:rPr>
        <w:t>White Spaces Order</w:t>
      </w:r>
      <w:r>
        <w:t xml:space="preserve">, 30 FCC </w:t>
      </w:r>
      <w:r>
        <w:t>Rcd</w:t>
      </w:r>
      <w:r>
        <w:t xml:space="preserve"> at 9576-77, paras. 59-60.</w:t>
      </w:r>
    </w:p>
  </w:footnote>
  <w:footnote w:id="53">
    <w:p w:rsidR="002840FA" w:rsidP="00042576">
      <w:pPr>
        <w:pStyle w:val="FootnoteText"/>
        <w:rPr>
          <w:i/>
        </w:rPr>
      </w:pPr>
      <w:r>
        <w:rPr>
          <w:rStyle w:val="FootnoteReference"/>
        </w:rPr>
        <w:footnoteRef/>
      </w:r>
      <w:r>
        <w:t xml:space="preserve"> 47 CFR § 15.712(b)-(c).</w:t>
      </w:r>
    </w:p>
  </w:footnote>
  <w:footnote w:id="54">
    <w:p w:rsidR="002840FA" w:rsidP="00042576">
      <w:pPr>
        <w:pStyle w:val="FootnoteText"/>
      </w:pPr>
      <w:r>
        <w:rPr>
          <w:rStyle w:val="FootnoteReference"/>
        </w:rPr>
        <w:footnoteRef/>
      </w:r>
      <w:r>
        <w:t xml:space="preserve"> </w:t>
      </w:r>
      <w:r>
        <w:rPr>
          <w:snapToGrid w:val="0"/>
          <w:kern w:val="28"/>
        </w:rPr>
        <w:t>47 CFR § 90.305 and 47 C.F.R. § 22.625.</w:t>
      </w:r>
    </w:p>
  </w:footnote>
  <w:footnote w:id="55">
    <w:p w:rsidR="002840FA" w:rsidP="00042576">
      <w:pPr>
        <w:pStyle w:val="FootnoteText"/>
      </w:pPr>
      <w:r>
        <w:rPr>
          <w:rStyle w:val="FootnoteReference"/>
        </w:rPr>
        <w:footnoteRef/>
      </w:r>
      <w:r>
        <w:t xml:space="preserve"> The zone extends to 134 kilometers for co-channel operations and 131 kilometers for adjacent channel operations for a fixed white space device EIRP of up to four watts, and to 136 kilometers for co-channel operations and 131.5 kilometers for adjacent channel operations for a fixed white space device EIRP between four and ten watts. For PLMRS/CMRS stations operating pursuant to a waiver, the zone extends to 54 kilometers for co-channel operations and 51 kilometers for adjacent channel operations for a fixed white space device EIRP of up to four watts, and to 56 kilometers for co-channel operations and 51.5 kilometers for adjacent channel operations for a fixed white space device EIRP between four and ten watts.</w:t>
      </w:r>
      <w:r w:rsidRPr="008565E0">
        <w:t xml:space="preserve"> </w:t>
      </w:r>
      <w:r>
        <w:t>47 CFR § 15.712(d).</w:t>
      </w:r>
    </w:p>
  </w:footnote>
  <w:footnote w:id="56">
    <w:p w:rsidR="002840FA" w:rsidP="00042576">
      <w:pPr>
        <w:pStyle w:val="FootnoteText"/>
      </w:pPr>
      <w:r>
        <w:rPr>
          <w:rStyle w:val="FootnoteReference"/>
        </w:rPr>
        <w:footnoteRef/>
      </w:r>
      <w:r>
        <w:t xml:space="preserve"> </w:t>
      </w:r>
      <w:r w:rsidRPr="00E54E3F">
        <w:rPr>
          <w:i/>
        </w:rPr>
        <w:t>Unlicensed Operation in the TV Broadcast Bands and Additional Spectrum for Unlicensed Devices Below 900 MHz and in the 3 GHz Band</w:t>
      </w:r>
      <w:r>
        <w:t>, ET Docket Nos. 04-186 and 02-380, Second Report and Order, 23 FCC Rcd 16807, 16873-16875, para.190-193 (2008) (</w:t>
      </w:r>
      <w:r>
        <w:rPr>
          <w:i/>
        </w:rPr>
        <w:t>White Spaces Second Report and Order</w:t>
      </w:r>
      <w:r>
        <w:t>) and 47 CFR 74.709.</w:t>
      </w:r>
      <w:r>
        <w:rPr>
          <w:snapToGrid w:val="0"/>
          <w:kern w:val="28"/>
        </w:rPr>
        <w:t xml:space="preserve">  The protection for PLMRS from white space devices are based on a determination that the field strength from a TV band device on a co- or adjacent channel should not be permitted to exceed 52 </w:t>
      </w:r>
      <w:r>
        <w:rPr>
          <w:snapToGrid w:val="0"/>
          <w:kern w:val="28"/>
        </w:rPr>
        <w:t>dBµV</w:t>
      </w:r>
      <w:r>
        <w:rPr>
          <w:snapToGrid w:val="0"/>
          <w:kern w:val="28"/>
        </w:rPr>
        <w:t xml:space="preserve"> or 76 </w:t>
      </w:r>
      <w:r>
        <w:rPr>
          <w:snapToGrid w:val="0"/>
          <w:kern w:val="28"/>
        </w:rPr>
        <w:t>dBµV</w:t>
      </w:r>
      <w:r>
        <w:rPr>
          <w:snapToGrid w:val="0"/>
          <w:kern w:val="28"/>
        </w:rPr>
        <w:t xml:space="preserve">, respectively, at the 130 km protected radius of the PLMRS/CMRS metropolitan area.  Using these criteria, the FCC F(50,10) curves in Section 73.699 of the rules and assuming a fixed white space device operating at 4 watts EIRP and 30 meters AGL, the Commission determined that a white space device needed to be 4 km co-channel and 1 km adjacent channel beyond the PLMRS protected contour. </w:t>
      </w:r>
    </w:p>
  </w:footnote>
  <w:footnote w:id="57">
    <w:p w:rsidR="002840FA">
      <w:pPr>
        <w:pStyle w:val="FootnoteText"/>
      </w:pPr>
      <w:r>
        <w:rPr>
          <w:rStyle w:val="FootnoteReference"/>
        </w:rPr>
        <w:footnoteRef/>
      </w:r>
      <w:r>
        <w:t xml:space="preserve"> </w:t>
      </w:r>
      <w:r w:rsidRPr="00E55C44">
        <w:t>Pub. L. No. 112-96, 126 Stat. 156 (2012), § 6103.</w:t>
      </w:r>
    </w:p>
  </w:footnote>
  <w:footnote w:id="58">
    <w:p w:rsidR="002840FA" w:rsidP="002D1010">
      <w:pPr>
        <w:pStyle w:val="FootnoteText"/>
      </w:pPr>
      <w:r>
        <w:rPr>
          <w:rStyle w:val="FootnoteReference"/>
        </w:rPr>
        <w:footnoteRef/>
      </w:r>
      <w:r>
        <w:t xml:space="preserve"> 47 CFR § 15.712(f).  Fixed white space devices must operate at least one kilometer away from licensed wireless microphones that are registered in the white space database.</w:t>
      </w:r>
    </w:p>
  </w:footnote>
  <w:footnote w:id="59">
    <w:p w:rsidR="002840FA" w:rsidP="002D1010">
      <w:pPr>
        <w:pStyle w:val="FootnoteText"/>
      </w:pPr>
      <w:r>
        <w:rPr>
          <w:rStyle w:val="FootnoteReference"/>
        </w:rPr>
        <w:footnoteRef/>
      </w:r>
      <w:r>
        <w:t xml:space="preserve"> The change in distance using a free space propagation model is proportional to the square root of the change in power level, so an increase in maximum power by a factor of 1.6 increases the propagation distance by a factor of 1.25.</w:t>
      </w:r>
    </w:p>
  </w:footnote>
  <w:footnote w:id="60">
    <w:p w:rsidR="002840FA" w:rsidRPr="00C94108" w:rsidP="00597FE1">
      <w:pPr>
        <w:pStyle w:val="FootnoteText"/>
      </w:pPr>
      <w:r>
        <w:rPr>
          <w:rStyle w:val="FootnoteReference"/>
        </w:rPr>
        <w:footnoteRef/>
      </w:r>
      <w:r>
        <w:t xml:space="preserve"> </w:t>
      </w:r>
      <w:r>
        <w:rPr>
          <w:i/>
        </w:rPr>
        <w:t>White Spaces Order</w:t>
      </w:r>
      <w:r>
        <w:t xml:space="preserve">, 30 FCC Rcd at 9572-74, paras. 49-55. </w:t>
      </w:r>
    </w:p>
  </w:footnote>
  <w:footnote w:id="61">
    <w:p w:rsidR="002840FA" w:rsidRPr="000C2261" w:rsidP="00597FE1">
      <w:pPr>
        <w:pStyle w:val="FootnoteText"/>
        <w:rPr>
          <w:i/>
        </w:rPr>
      </w:pPr>
      <w:r>
        <w:rPr>
          <w:rStyle w:val="FootnoteReference"/>
        </w:rPr>
        <w:footnoteRef/>
      </w:r>
      <w:r>
        <w:t xml:space="preserve"> </w:t>
      </w:r>
      <w:r>
        <w:rPr>
          <w:i/>
        </w:rPr>
        <w:t xml:space="preserve">Id. </w:t>
      </w:r>
      <w:r>
        <w:t xml:space="preserve">at 9573-74, para. 54; </w:t>
      </w:r>
      <w:r>
        <w:rPr>
          <w:i/>
        </w:rPr>
        <w:t xml:space="preserve">see </w:t>
      </w:r>
      <w:r>
        <w:t>47 CFR § 15.703(h).</w:t>
      </w:r>
      <w:r>
        <w:rPr>
          <w:i/>
        </w:rPr>
        <w:t xml:space="preserve"> </w:t>
      </w:r>
    </w:p>
  </w:footnote>
  <w:footnote w:id="62">
    <w:p w:rsidR="002840FA" w:rsidRPr="000D648C" w:rsidP="00E937F2">
      <w:pPr>
        <w:pStyle w:val="FootnoteText"/>
      </w:pPr>
      <w:r>
        <w:rPr>
          <w:rStyle w:val="FootnoteReference"/>
        </w:rPr>
        <w:footnoteRef/>
      </w:r>
      <w:r>
        <w:t xml:space="preserve"> </w:t>
      </w:r>
      <w:r>
        <w:rPr>
          <w:i/>
          <w:iCs/>
        </w:rPr>
        <w:t>Id.</w:t>
      </w:r>
      <w:r>
        <w:t xml:space="preserve"> at 9573, para. 54.</w:t>
      </w:r>
    </w:p>
  </w:footnote>
  <w:footnote w:id="63">
    <w:p w:rsidR="002840FA" w:rsidRPr="000D648C" w:rsidP="00E937F2">
      <w:pPr>
        <w:pStyle w:val="FootnoteText"/>
      </w:pPr>
      <w:r>
        <w:rPr>
          <w:rStyle w:val="FootnoteReference"/>
        </w:rPr>
        <w:footnoteRef/>
      </w:r>
      <w:r>
        <w:t xml:space="preserve"> </w:t>
      </w:r>
      <w:r>
        <w:rPr>
          <w:i/>
          <w:iCs/>
        </w:rPr>
        <w:t>Id.</w:t>
      </w:r>
    </w:p>
  </w:footnote>
  <w:footnote w:id="64">
    <w:p w:rsidR="002840FA" w:rsidP="002840FA">
      <w:pPr>
        <w:spacing w:after="120"/>
      </w:pPr>
      <w:r>
        <w:rPr>
          <w:rStyle w:val="FootnoteReference"/>
        </w:rPr>
        <w:footnoteRef/>
      </w:r>
      <w:r>
        <w:t xml:space="preserve"> </w:t>
      </w:r>
      <w:r w:rsidRPr="004264A3">
        <w:rPr>
          <w:sz w:val="20"/>
        </w:rPr>
        <w:t>Nominet Comments at 2-3.</w:t>
      </w:r>
      <w:r>
        <w:rPr>
          <w:sz w:val="20"/>
        </w:rPr>
        <w:t xml:space="preserve"> </w:t>
      </w:r>
    </w:p>
  </w:footnote>
  <w:footnote w:id="65">
    <w:p w:rsidR="002840FA">
      <w:pPr>
        <w:pStyle w:val="FootnoteText"/>
      </w:pPr>
      <w:r>
        <w:rPr>
          <w:rStyle w:val="FootnoteReference"/>
        </w:rPr>
        <w:footnoteRef/>
      </w:r>
      <w:r>
        <w:t xml:space="preserve"> 47 CFR § 15.709(a)(2)(ii).  There are two types of personal/portable devices. Mode II devices obtain a list of available channels directly from a white space database, and Mode I devices obtain a list of available channels through a fixed device or a Mode II portable device.  The maximum permissible 100 milliwatts radiated power is the same for both types.</w:t>
      </w:r>
    </w:p>
  </w:footnote>
  <w:footnote w:id="66">
    <w:p w:rsidR="002840FA" w:rsidRPr="00493C9C">
      <w:pPr>
        <w:pStyle w:val="FootnoteText"/>
        <w:rPr>
          <w:i/>
        </w:rPr>
      </w:pPr>
      <w:r>
        <w:rPr>
          <w:rStyle w:val="FootnoteReference"/>
        </w:rPr>
        <w:footnoteRef/>
      </w:r>
      <w:r>
        <w:t xml:space="preserve"> 47 CFR § 15.711(d)(5).  This provision applies to Mode II devices, which obtain a list of available channels directly from the white space database.</w:t>
      </w:r>
    </w:p>
  </w:footnote>
  <w:footnote w:id="67">
    <w:p w:rsidR="002840FA">
      <w:pPr>
        <w:pStyle w:val="FootnoteText"/>
      </w:pPr>
      <w:r>
        <w:rPr>
          <w:rStyle w:val="FootnoteReference"/>
        </w:rPr>
        <w:footnoteRef/>
      </w:r>
      <w:r>
        <w:t xml:space="preserve"> Microsoft Petition at 22-24. A white space device would use an incorporated geo-location capability such as GPS in conjunction with a database to determine its location with respect to the defined area where operation is permitted.</w:t>
      </w:r>
    </w:p>
  </w:footnote>
  <w:footnote w:id="68">
    <w:p w:rsidR="002840FA">
      <w:pPr>
        <w:pStyle w:val="FootnoteText"/>
      </w:pPr>
      <w:r>
        <w:rPr>
          <w:rStyle w:val="FootnoteReference"/>
        </w:rPr>
        <w:footnoteRef/>
      </w:r>
      <w:r>
        <w:t xml:space="preserve"> Microsoft Petition at 22-26.</w:t>
      </w:r>
    </w:p>
  </w:footnote>
  <w:footnote w:id="69">
    <w:p w:rsidR="002840FA" w:rsidP="00127FE8">
      <w:pPr>
        <w:pStyle w:val="FootnoteText"/>
      </w:pPr>
      <w:r>
        <w:rPr>
          <w:rStyle w:val="FootnoteReference"/>
        </w:rPr>
        <w:footnoteRef/>
      </w:r>
      <w:r>
        <w:t xml:space="preserve"> 6Harmonics Comments at 6; Rural Partners Comments at 6; Connect Americans Now Comments at 3; Dynamic Spectrum Alliance Comments at 8-9; NAB Comments at 3-4; Nominet Comments </w:t>
      </w:r>
      <w:r>
        <w:t>at ;</w:t>
      </w:r>
      <w:r>
        <w:t>, Public Interest Organizations Comments at 8-9; Ra</w:t>
      </w:r>
      <w:r>
        <w:t>dwin</w:t>
      </w:r>
      <w:r>
        <w:t xml:space="preserve"> Comments at 2; Sacred Wind Communications Comments at 7-8; Wi-Fi Alliance Comments at 6.</w:t>
      </w:r>
    </w:p>
  </w:footnote>
  <w:footnote w:id="70">
    <w:p w:rsidR="002840FA">
      <w:pPr>
        <w:pStyle w:val="FootnoteText"/>
      </w:pPr>
      <w:r>
        <w:rPr>
          <w:rStyle w:val="FootnoteReference"/>
        </w:rPr>
        <w:footnoteRef/>
      </w:r>
      <w:r>
        <w:t xml:space="preserve"> 47 CFR § 2.1.</w:t>
      </w:r>
    </w:p>
  </w:footnote>
  <w:footnote w:id="71">
    <w:p w:rsidR="002840FA">
      <w:pPr>
        <w:pStyle w:val="FootnoteText"/>
      </w:pPr>
      <w:r>
        <w:rPr>
          <w:rStyle w:val="FootnoteReference"/>
        </w:rPr>
        <w:footnoteRef/>
      </w:r>
      <w:r>
        <w:t xml:space="preserve"> Microsoft Petition at 22.</w:t>
      </w:r>
    </w:p>
  </w:footnote>
  <w:footnote w:id="72">
    <w:p w:rsidR="002840FA">
      <w:pPr>
        <w:pStyle w:val="FootnoteText"/>
      </w:pPr>
      <w:r>
        <w:rPr>
          <w:rStyle w:val="FootnoteReference"/>
        </w:rPr>
        <w:footnoteRef/>
      </w:r>
      <w:r>
        <w:t xml:space="preserve"> Microsoft experimental license </w:t>
      </w:r>
      <w:r w:rsidRPr="007F232C">
        <w:t>WJ2XCD</w:t>
      </w:r>
      <w:r>
        <w:t xml:space="preserve">, file number </w:t>
      </w:r>
      <w:r w:rsidRPr="007F232C">
        <w:t>0049-EX-CM-2018</w:t>
      </w:r>
      <w:r>
        <w:t xml:space="preserve">, granted April 2, 2018 and </w:t>
      </w:r>
      <w:r w:rsidRPr="00A7043C">
        <w:rPr>
          <w:i/>
        </w:rPr>
        <w:t>Deere &amp; Company Request for Limited Waiver of Part 15 Rules for Fixed White Spaces Device</w:t>
      </w:r>
      <w:r>
        <w:t xml:space="preserve">, ET Docket No. 15-185, Order, </w:t>
      </w:r>
      <w:r w:rsidRPr="00D9542A">
        <w:t>31 FCC Rcd 2131</w:t>
      </w:r>
      <w:r>
        <w:t xml:space="preserve"> (2016).  Deere &amp; Company argues that this</w:t>
      </w:r>
      <w:r w:rsidRPr="00D9542A">
        <w:t xml:space="preserve"> waiver should not be cited as support for Microsoft’s petition</w:t>
      </w:r>
      <w:r>
        <w:t xml:space="preserve"> because it </w:t>
      </w:r>
      <w:r w:rsidRPr="00D9542A">
        <w:t>has not operated any transmitters under the waiver</w:t>
      </w:r>
      <w:r>
        <w:t xml:space="preserve">, and the waiver </w:t>
      </w:r>
      <w:r w:rsidRPr="00D9542A">
        <w:t xml:space="preserve">specifically authorized farm equipment moving at relatively slow speeds </w:t>
      </w:r>
      <w:r>
        <w:t xml:space="preserve">rather than </w:t>
      </w:r>
      <w:r w:rsidRPr="00D9542A">
        <w:t>fully mobile vehicles operating on commercial roads at up to highway speeds.</w:t>
      </w:r>
      <w:r>
        <w:t xml:space="preserve"> Deere &amp; Company Comments at 1-2.</w:t>
      </w:r>
    </w:p>
  </w:footnote>
  <w:footnote w:id="73">
    <w:p w:rsidR="002840FA" w:rsidP="00C8079F">
      <w:pPr>
        <w:pStyle w:val="FootnoteText"/>
      </w:pPr>
      <w:r>
        <w:rPr>
          <w:rStyle w:val="FootnoteReference"/>
        </w:rPr>
        <w:footnoteRef/>
      </w:r>
      <w:r>
        <w:t xml:space="preserve"> 47 CFR § 15.711(d)(1).</w:t>
      </w:r>
    </w:p>
  </w:footnote>
  <w:footnote w:id="74">
    <w:p w:rsidR="002840FA">
      <w:pPr>
        <w:pStyle w:val="FootnoteText"/>
      </w:pPr>
      <w:r>
        <w:rPr>
          <w:rStyle w:val="FootnoteReference"/>
        </w:rPr>
        <w:footnoteRef/>
      </w:r>
      <w:r>
        <w:t xml:space="preserve"> NAB Comments at 3-4.</w:t>
      </w:r>
    </w:p>
  </w:footnote>
  <w:footnote w:id="75">
    <w:p w:rsidR="002840FA" w:rsidP="00503596">
      <w:pPr>
        <w:pStyle w:val="FootnoteText"/>
      </w:pPr>
      <w:r>
        <w:rPr>
          <w:rStyle w:val="FootnoteReference"/>
        </w:rPr>
        <w:footnoteRef/>
      </w:r>
      <w:r>
        <w:t xml:space="preserve"> We are proposing to limit operation of higher-powered mobile devices to TV Channels 2-35, and the certification process will ensure that devices </w:t>
      </w:r>
      <w:r>
        <w:t>are capable of operating</w:t>
      </w:r>
      <w:r>
        <w:t xml:space="preserve"> at higher power on only those TV band channels where such operation is permitted.</w:t>
      </w:r>
    </w:p>
  </w:footnote>
  <w:footnote w:id="76">
    <w:p w:rsidR="002840FA">
      <w:pPr>
        <w:pStyle w:val="FootnoteText"/>
      </w:pPr>
      <w:r>
        <w:rPr>
          <w:rStyle w:val="FootnoteReference"/>
        </w:rPr>
        <w:footnoteRef/>
      </w:r>
      <w:r>
        <w:t xml:space="preserve"> 47 CFR </w:t>
      </w:r>
      <w:r w:rsidRPr="00517168">
        <w:t>§</w:t>
      </w:r>
      <w:r>
        <w:t>§</w:t>
      </w:r>
      <w:r w:rsidRPr="00517168">
        <w:t xml:space="preserve"> 15.7</w:t>
      </w:r>
      <w:r>
        <w:t xml:space="preserve">09(c) and (g)(2). </w:t>
      </w:r>
    </w:p>
  </w:footnote>
  <w:footnote w:id="77">
    <w:p w:rsidR="002840FA">
      <w:pPr>
        <w:pStyle w:val="FootnoteText"/>
      </w:pPr>
      <w:r>
        <w:rPr>
          <w:rStyle w:val="FootnoteReference"/>
        </w:rPr>
        <w:footnoteRef/>
      </w:r>
      <w:r>
        <w:t xml:space="preserve"> 47 CFR § 15.709(h).</w:t>
      </w:r>
    </w:p>
  </w:footnote>
  <w:footnote w:id="78">
    <w:p w:rsidR="002840FA">
      <w:pPr>
        <w:pStyle w:val="FootnoteText"/>
      </w:pPr>
      <w:r>
        <w:rPr>
          <w:rStyle w:val="FootnoteReference"/>
        </w:rPr>
        <w:footnoteRef/>
      </w:r>
      <w:r>
        <w:t xml:space="preserve"> Nominet believes that the Commission should provide additional clarity in the rules concerning the locations where a device needs to check channel availability. Nominet Comments at 6.</w:t>
      </w:r>
    </w:p>
  </w:footnote>
  <w:footnote w:id="79">
    <w:p w:rsidR="002840FA">
      <w:pPr>
        <w:pStyle w:val="FootnoteText"/>
      </w:pPr>
      <w:r>
        <w:rPr>
          <w:rStyle w:val="FootnoteReference"/>
        </w:rPr>
        <w:footnoteRef/>
      </w:r>
      <w:r>
        <w:t xml:space="preserve"> Sennheiser Comments at 5; Shure Comments at 7.</w:t>
      </w:r>
    </w:p>
  </w:footnote>
  <w:footnote w:id="80">
    <w:p w:rsidR="002840FA">
      <w:pPr>
        <w:pStyle w:val="FootnoteText"/>
      </w:pPr>
      <w:r>
        <w:rPr>
          <w:rStyle w:val="FootnoteReference"/>
        </w:rPr>
        <w:footnoteRef/>
      </w:r>
      <w:r>
        <w:t xml:space="preserve"> 47 CFR § 15.709(b)(1)(iii).</w:t>
      </w:r>
    </w:p>
  </w:footnote>
  <w:footnote w:id="81">
    <w:p w:rsidR="002840FA" w:rsidRPr="008F62CB">
      <w:pPr>
        <w:pStyle w:val="FootnoteText"/>
      </w:pPr>
      <w:r>
        <w:rPr>
          <w:rStyle w:val="FootnoteReference"/>
        </w:rPr>
        <w:footnoteRef/>
      </w:r>
      <w:r>
        <w:t xml:space="preserve"> </w:t>
      </w:r>
      <w:r>
        <w:rPr>
          <w:i/>
        </w:rPr>
        <w:t>Id.</w:t>
      </w:r>
    </w:p>
  </w:footnote>
  <w:footnote w:id="82">
    <w:p w:rsidR="002840FA" w:rsidRPr="00E52121">
      <w:pPr>
        <w:pStyle w:val="FootnoteText"/>
      </w:pPr>
      <w:r>
        <w:rPr>
          <w:rStyle w:val="FootnoteReference"/>
        </w:rPr>
        <w:footnoteRef/>
      </w:r>
      <w:r>
        <w:t xml:space="preserve"> </w:t>
      </w:r>
      <w:r w:rsidRPr="00E52121">
        <w:t>A PSD limit prohibit</w:t>
      </w:r>
      <w:r>
        <w:t>s</w:t>
      </w:r>
      <w:r w:rsidRPr="00E52121">
        <w:t xml:space="preserve"> high power concentrations in a single channel, which reduce</w:t>
      </w:r>
      <w:r>
        <w:t>s</w:t>
      </w:r>
      <w:r w:rsidRPr="00E52121">
        <w:t xml:space="preserve"> the interference potential to TV stations and other services in the TV bands.</w:t>
      </w:r>
      <w:r>
        <w:t xml:space="preserve">  </w:t>
      </w:r>
      <w:r w:rsidRPr="0014002A">
        <w:rPr>
          <w:i/>
        </w:rPr>
        <w:t>Unlicensed Operation in the TV Broadcast Bands and Additional Spectrum for Unlicensed Devices Below 900 MHz and in the 3 GHz Band</w:t>
      </w:r>
      <w:r w:rsidRPr="0014002A">
        <w:t>, ET Docket Nos. 04-186 and 02-380</w:t>
      </w:r>
      <w:r>
        <w:t>, Second Memorandum Opinion and Order, 25 FCC Rcd 18661, 18695, para. 83 (2010).</w:t>
      </w:r>
    </w:p>
  </w:footnote>
  <w:footnote w:id="83">
    <w:p w:rsidR="002840FA" w:rsidP="00B23C77">
      <w:pPr>
        <w:pStyle w:val="FootnoteText"/>
      </w:pPr>
      <w:r>
        <w:rPr>
          <w:rStyle w:val="FootnoteReference"/>
        </w:rPr>
        <w:footnoteRef/>
      </w:r>
      <w:r>
        <w:t xml:space="preserve"> The white space PSD limits were designed to ensure that the energy from a transmitter is spread uniformly across most (5.5 megahertz) of a six-megahertz channel, while allowing for roll-off near the channel edges to comply with the adjacent channel emission limits. </w:t>
      </w:r>
      <w:r w:rsidRPr="00B23C77">
        <w:rPr>
          <w:i/>
        </w:rPr>
        <w:t>White Spaces Third MO&amp;O</w:t>
      </w:r>
      <w:r>
        <w:t>, 27 FCC Rcd at 3703-3704, para. 30.</w:t>
      </w:r>
    </w:p>
  </w:footnote>
  <w:footnote w:id="84">
    <w:p w:rsidR="002840FA">
      <w:pPr>
        <w:pStyle w:val="FootnoteText"/>
      </w:pPr>
      <w:r>
        <w:rPr>
          <w:rStyle w:val="FootnoteReference"/>
        </w:rPr>
        <w:footnoteRef/>
      </w:r>
      <w:r>
        <w:t xml:space="preserve"> Microsoft Petition at 18.</w:t>
      </w:r>
    </w:p>
  </w:footnote>
  <w:footnote w:id="85">
    <w:p w:rsidR="002840FA">
      <w:pPr>
        <w:pStyle w:val="FootnoteText"/>
      </w:pPr>
      <w:r>
        <w:rPr>
          <w:rStyle w:val="FootnoteReference"/>
        </w:rPr>
        <w:footnoteRef/>
      </w:r>
      <w:r>
        <w:t xml:space="preserve"> Microsoft Petition at 15.</w:t>
      </w:r>
    </w:p>
  </w:footnote>
  <w:footnote w:id="86">
    <w:p w:rsidR="002840FA" w:rsidP="00554345">
      <w:pPr>
        <w:pStyle w:val="FootnoteText"/>
      </w:pPr>
      <w:r>
        <w:rPr>
          <w:rStyle w:val="FootnoteReference"/>
        </w:rPr>
        <w:footnoteRef/>
      </w:r>
      <w:r>
        <w:t xml:space="preserve"> Microsoft Petition at 15-22.</w:t>
      </w:r>
    </w:p>
  </w:footnote>
  <w:footnote w:id="87">
    <w:p w:rsidR="002840FA">
      <w:pPr>
        <w:pStyle w:val="FootnoteText"/>
      </w:pPr>
      <w:r>
        <w:rPr>
          <w:rStyle w:val="FootnoteReference"/>
        </w:rPr>
        <w:footnoteRef/>
      </w:r>
      <w:r>
        <w:t xml:space="preserve"> 6Harmonics Comments at 4-; Rural Partners Comments at 6-7; </w:t>
      </w:r>
      <w:r>
        <w:t>Adaptrum</w:t>
      </w:r>
      <w:r>
        <w:t xml:space="preserve"> Comments at 4-5; Dynamic Spectrum Alliance Comments at 9-11; </w:t>
      </w:r>
      <w:r>
        <w:t>Nominet</w:t>
      </w:r>
      <w:r>
        <w:t xml:space="preserve"> Comments at 6; Public Interest Organizations Comments at 8; </w:t>
      </w:r>
      <w:r>
        <w:t>Radwin</w:t>
      </w:r>
      <w:r>
        <w:t xml:space="preserve"> Comments at 2-3; Sacred Wind Communications Comments at 8; Wi-Fi Alliance Comments at 7-9.</w:t>
      </w:r>
    </w:p>
  </w:footnote>
  <w:footnote w:id="88">
    <w:p w:rsidR="002840FA" w:rsidP="0086246C">
      <w:pPr>
        <w:pStyle w:val="FootnoteText"/>
      </w:pPr>
      <w:r>
        <w:rPr>
          <w:rStyle w:val="FootnoteReference"/>
        </w:rPr>
        <w:footnoteRef/>
      </w:r>
      <w:r>
        <w:t xml:space="preserve"> NAB Comments at 4-5.</w:t>
      </w:r>
    </w:p>
  </w:footnote>
  <w:footnote w:id="89">
    <w:p w:rsidR="002840FA" w:rsidP="0086246C">
      <w:pPr>
        <w:pStyle w:val="FootnoteText"/>
      </w:pPr>
      <w:r>
        <w:rPr>
          <w:rStyle w:val="FootnoteReference"/>
        </w:rPr>
        <w:footnoteRef/>
      </w:r>
      <w:r>
        <w:t xml:space="preserve"> </w:t>
      </w:r>
      <w:r>
        <w:t>Radwin</w:t>
      </w:r>
      <w:r>
        <w:t xml:space="preserve"> Comments at 2-3.</w:t>
      </w:r>
    </w:p>
  </w:footnote>
  <w:footnote w:id="90">
    <w:p w:rsidR="002840FA" w:rsidP="0086246C">
      <w:pPr>
        <w:pStyle w:val="FootnoteText"/>
      </w:pPr>
      <w:r>
        <w:rPr>
          <w:rStyle w:val="FootnoteReference"/>
        </w:rPr>
        <w:footnoteRef/>
      </w:r>
      <w:r>
        <w:t xml:space="preserve"> Sennheiser Comments at 4-5. </w:t>
      </w:r>
    </w:p>
  </w:footnote>
  <w:footnote w:id="91">
    <w:p w:rsidR="002840FA">
      <w:pPr>
        <w:pStyle w:val="FootnoteText"/>
      </w:pPr>
      <w:r>
        <w:rPr>
          <w:rStyle w:val="FootnoteReference"/>
        </w:rPr>
        <w:footnoteRef/>
      </w:r>
      <w:r>
        <w:t xml:space="preserve"> Shure Comments at 14-15.</w:t>
      </w:r>
    </w:p>
  </w:footnote>
  <w:footnote w:id="92">
    <w:p w:rsidR="002840FA">
      <w:pPr>
        <w:pStyle w:val="FootnoteText"/>
      </w:pPr>
      <w:r>
        <w:rPr>
          <w:rStyle w:val="FootnoteReference"/>
        </w:rPr>
        <w:footnoteRef/>
      </w:r>
      <w:r>
        <w:t xml:space="preserve"> Microsoft Petition at 15-22; NAB Comments at 4-5.</w:t>
      </w:r>
    </w:p>
  </w:footnote>
  <w:footnote w:id="93">
    <w:p w:rsidR="002840FA" w:rsidP="007A6251">
      <w:pPr>
        <w:pStyle w:val="FootnoteText"/>
      </w:pPr>
      <w:r>
        <w:rPr>
          <w:rStyle w:val="FootnoteReference"/>
        </w:rPr>
        <w:footnoteRef/>
      </w:r>
      <w:r>
        <w:t xml:space="preserve"> If the maximum antenna gain exceeds 6 </w:t>
      </w:r>
      <w:r>
        <w:t>dBi</w:t>
      </w:r>
      <w:r>
        <w:t xml:space="preserve">, the white space device power must be reduced by the same amount in dB that the maximum gain exceeds 6 </w:t>
      </w:r>
      <w:r>
        <w:t>dBi</w:t>
      </w:r>
      <w:r>
        <w:t xml:space="preserve">.  47 CFR </w:t>
      </w:r>
      <w:bookmarkStart w:id="124" w:name="_Hlk22626206"/>
      <w:r>
        <w:t>§ 15.709</w:t>
      </w:r>
      <w:bookmarkEnd w:id="124"/>
      <w:r>
        <w:t>(c)(1).</w:t>
      </w:r>
    </w:p>
  </w:footnote>
  <w:footnote w:id="94">
    <w:p w:rsidR="002840FA" w:rsidP="00675FE0">
      <w:pPr>
        <w:pStyle w:val="FootnoteText"/>
      </w:pPr>
      <w:r>
        <w:rPr>
          <w:rStyle w:val="FootnoteReference"/>
        </w:rPr>
        <w:footnoteRef/>
      </w:r>
      <w:r>
        <w:t xml:space="preserve"> Microsoft Petition at 18-19.</w:t>
      </w:r>
    </w:p>
  </w:footnote>
  <w:footnote w:id="95">
    <w:p w:rsidR="002840FA">
      <w:pPr>
        <w:pStyle w:val="FootnoteText"/>
      </w:pPr>
      <w:r>
        <w:rPr>
          <w:rStyle w:val="FootnoteReference"/>
        </w:rPr>
        <w:footnoteRef/>
      </w:r>
      <w:r>
        <w:t xml:space="preserve"> Fifty-five times (+17.4 dB) the conducted power of 12.6 dBm/100 kHz produces a total power of 30 dBm (one watt), the maximum permissible power for a fixed device.  Using the proposed 6 </w:t>
      </w:r>
      <w:r>
        <w:t>dBi</w:t>
      </w:r>
      <w:r>
        <w:t xml:space="preserve"> antenna gain, the total EIRP would be four watts.  In the event that an adjacent six-megahertz channel is vacant and a 250 kilohertz guard band is not necessary, an additional two narrowband channels could be used, but they would only increase the total power within the six-megahertz channel by a maximum of 0.16 dB, assuming all narrowband channels were in use simultaneously at maximum power.  We believe that is an unlikely scenario.</w:t>
      </w:r>
    </w:p>
  </w:footnote>
  <w:footnote w:id="96">
    <w:p w:rsidR="002840FA">
      <w:pPr>
        <w:pStyle w:val="FootnoteText"/>
      </w:pPr>
      <w:r>
        <w:rPr>
          <w:rStyle w:val="FootnoteReference"/>
        </w:rPr>
        <w:footnoteRef/>
      </w:r>
      <w:r>
        <w:t xml:space="preserve"> Microsoft Petition at 18.</w:t>
      </w:r>
    </w:p>
  </w:footnote>
  <w:footnote w:id="97">
    <w:p w:rsidR="002840FA" w:rsidP="007A6251">
      <w:pPr>
        <w:pStyle w:val="FootnoteText"/>
      </w:pPr>
      <w:r>
        <w:rPr>
          <w:rStyle w:val="FootnoteReference"/>
        </w:rPr>
        <w:footnoteRef/>
      </w:r>
      <w:r>
        <w:t xml:space="preserve"> </w:t>
      </w:r>
      <w:bookmarkStart w:id="125" w:name="_Hlk22627902"/>
      <w:r>
        <w:t>47 CFR § 15.712(a)(2).</w:t>
      </w:r>
      <w:bookmarkEnd w:id="125"/>
    </w:p>
  </w:footnote>
  <w:footnote w:id="98">
    <w:p w:rsidR="002840FA" w:rsidP="00B9097A">
      <w:pPr>
        <w:pStyle w:val="FootnoteText"/>
      </w:pPr>
      <w:r>
        <w:rPr>
          <w:rStyle w:val="FootnoteReference"/>
        </w:rPr>
        <w:footnoteRef/>
      </w:r>
      <w:r>
        <w:t xml:space="preserve"> 47 CFR § 15.712(a)(2)(ii).</w:t>
      </w:r>
    </w:p>
  </w:footnote>
  <w:footnote w:id="99">
    <w:p w:rsidR="002840FA" w:rsidP="00BB545B">
      <w:pPr>
        <w:pStyle w:val="FootnoteText"/>
      </w:pPr>
      <w:r>
        <w:rPr>
          <w:rStyle w:val="FootnoteReference"/>
        </w:rPr>
        <w:footnoteRef/>
      </w:r>
      <w:r>
        <w:t xml:space="preserve"> 47 CFR § 15.712(a)(2)(iii).  The slightly higher 50 milliwatt per channel power level is permitted due to the frequency separation of three megahertz from the edge of the adjacent channel that results in a slight improvement in receiver selectivity.</w:t>
      </w:r>
    </w:p>
  </w:footnote>
  <w:footnote w:id="100">
    <w:p w:rsidR="002840FA" w:rsidP="00CF291E">
      <w:pPr>
        <w:pStyle w:val="FootnoteText"/>
      </w:pPr>
      <w:r>
        <w:rPr>
          <w:rStyle w:val="FootnoteReference"/>
        </w:rPr>
        <w:footnoteRef/>
      </w:r>
      <w:r>
        <w:t xml:space="preserve"> Microsoft Petition at 6-10.</w:t>
      </w:r>
    </w:p>
  </w:footnote>
  <w:footnote w:id="101">
    <w:p w:rsidR="002840FA" w:rsidP="00CF291E">
      <w:pPr>
        <w:pStyle w:val="FootnoteText"/>
      </w:pPr>
      <w:r>
        <w:rPr>
          <w:rStyle w:val="FootnoteReference"/>
        </w:rPr>
        <w:footnoteRef/>
      </w:r>
      <w:r>
        <w:t xml:space="preserve"> </w:t>
      </w:r>
      <w:r w:rsidRPr="00AB56C9">
        <w:t>Rural</w:t>
      </w:r>
      <w:r>
        <w:t xml:space="preserve"> Partners Comments at 4; Dynamic Spectrum Alliance Comments at 6-7; Public Interest Organizations Comments at 7; Sacred Wind Communications Comments at 5; Wi-Fi Alliance Comments at 4-5; WISPA Comments at 3.</w:t>
      </w:r>
    </w:p>
  </w:footnote>
  <w:footnote w:id="102">
    <w:p w:rsidR="002840FA" w:rsidRPr="00AB56C9" w:rsidP="00CF291E">
      <w:pPr>
        <w:pStyle w:val="FootnoteText"/>
        <w:rPr>
          <w:i/>
        </w:rPr>
      </w:pPr>
      <w:r>
        <w:rPr>
          <w:rStyle w:val="FootnoteReference"/>
        </w:rPr>
        <w:footnoteRef/>
      </w:r>
      <w:r>
        <w:t xml:space="preserve"> Microsoft Petition at 6-10; 6Harmonics Comments at 2-3; Rural Partners Comments at 4-5; Ad</w:t>
      </w:r>
      <w:r>
        <w:t>aptrum</w:t>
      </w:r>
      <w:r>
        <w:t xml:space="preserve"> Comments at 2-3; Dynamic Spectrum Alliance Comments at 6-8; Public Interest Organizations Comments at 7; Sacred Wind Communications Comments at 5-6; Wi-Fi Alliance Comments at 5.</w:t>
      </w:r>
    </w:p>
  </w:footnote>
  <w:footnote w:id="103">
    <w:p w:rsidR="002840FA" w:rsidP="00CF291E">
      <w:pPr>
        <w:pStyle w:val="FootnoteText"/>
      </w:pPr>
      <w:r>
        <w:rPr>
          <w:rStyle w:val="FootnoteReference"/>
        </w:rPr>
        <w:footnoteRef/>
      </w:r>
      <w:r>
        <w:t xml:space="preserve"> NAB Comments at 5-6.  </w:t>
      </w:r>
    </w:p>
  </w:footnote>
  <w:footnote w:id="104">
    <w:p w:rsidR="002840FA" w:rsidP="00FC3520">
      <w:pPr>
        <w:pStyle w:val="FootnoteText"/>
      </w:pPr>
      <w:r>
        <w:rPr>
          <w:rStyle w:val="FootnoteReference"/>
        </w:rPr>
        <w:footnoteRef/>
      </w:r>
      <w:r>
        <w:t xml:space="preserve"> </w:t>
      </w:r>
      <w:r>
        <w:rPr>
          <w:i/>
        </w:rPr>
        <w:t>See, e.g.</w:t>
      </w:r>
      <w:r>
        <w:t>, Sennheiser Comments at 7-8; Shure Comments at 14; Alliance of Resident Theatres/New York Association of Performing Arts Professionals</w:t>
      </w:r>
      <w:r>
        <w:t xml:space="preserve"> </w:t>
      </w:r>
      <w:r>
        <w:t xml:space="preserve">Reply at 2; </w:t>
      </w:r>
      <w:r w:rsidRPr="00FC3520">
        <w:t xml:space="preserve">Bloomsburg Theatre Ensemble </w:t>
      </w:r>
      <w:r>
        <w:t xml:space="preserve">Reply at 2; </w:t>
      </w:r>
      <w:r w:rsidRPr="00FC3520">
        <w:t>Dance/USA</w:t>
      </w:r>
      <w:r>
        <w:t xml:space="preserve"> Reply at 1; </w:t>
      </w:r>
      <w:r w:rsidRPr="00FC3520">
        <w:t>Educational Theatre Association</w:t>
      </w:r>
      <w:r>
        <w:t xml:space="preserve"> Reply at 2; </w:t>
      </w:r>
      <w:r w:rsidRPr="00FC3520">
        <w:t>League of American Orchestras</w:t>
      </w:r>
      <w:r>
        <w:t xml:space="preserve"> Reply at 1-2; </w:t>
      </w:r>
      <w:r w:rsidRPr="00FC3520">
        <w:t>Lectrosonics</w:t>
      </w:r>
      <w:r w:rsidRPr="00FC3520">
        <w:t>, Inc.</w:t>
      </w:r>
      <w:r>
        <w:t xml:space="preserve"> Reply at 3; </w:t>
      </w:r>
      <w:r w:rsidRPr="00FC3520">
        <w:t>National Alliance for Musical Theatre</w:t>
      </w:r>
      <w:r>
        <w:t xml:space="preserve"> Reply at 2; </w:t>
      </w:r>
      <w:r w:rsidRPr="00FC3520">
        <w:t>OPERA America</w:t>
      </w:r>
      <w:r>
        <w:t xml:space="preserve"> Reply at 2; </w:t>
      </w:r>
      <w:r w:rsidRPr="00FC3520">
        <w:t>Oregon Shakespeare Festival</w:t>
      </w:r>
      <w:r>
        <w:t xml:space="preserve"> Reply at 2; </w:t>
      </w:r>
      <w:r w:rsidRPr="00FC3520">
        <w:t>Recording Academy</w:t>
      </w:r>
      <w:r>
        <w:t xml:space="preserve"> Reply at 3; </w:t>
      </w:r>
      <w:r w:rsidRPr="00FC3520">
        <w:t>Theatre Communications Group</w:t>
      </w:r>
      <w:r>
        <w:t xml:space="preserve"> Reply at 2; </w:t>
      </w:r>
      <w:r w:rsidRPr="00FC3520">
        <w:t>Weston Playhouse Theatre Company</w:t>
      </w:r>
      <w:r>
        <w:t xml:space="preserve"> Reply at 2.  These commenters also request that the Commission move forward with its proposal to expand eligibility to enable qualifying unlicensed wireless microphone users to become licensed wireless microphone operators who could register in the white spaces database to obtain interference protection from white space device operations.</w:t>
      </w:r>
    </w:p>
  </w:footnote>
  <w:footnote w:id="105">
    <w:p w:rsidR="002840FA">
      <w:pPr>
        <w:pStyle w:val="FootnoteText"/>
      </w:pPr>
      <w:r>
        <w:rPr>
          <w:rStyle w:val="FootnoteReference"/>
        </w:rPr>
        <w:footnoteRef/>
      </w:r>
      <w:r>
        <w:t xml:space="preserve"> Rural Partners and Sacred Wind Communications suggested tighter out-of-band emission limits, while Rise Broadband and WISPA argue that the out-of-band emission limits should be relaxed.  NAB opposes any increase in the out-of-band emission limits. Rural Partners Comments at 4; Sacred Wind Communications Comments at 6; Rise Broadband Comments at 1; WISPA Comments at 2-3; NAB Comments at 2.</w:t>
      </w:r>
    </w:p>
  </w:footnote>
  <w:footnote w:id="106">
    <w:p w:rsidR="002840FA" w:rsidP="00F74FC8">
      <w:pPr>
        <w:pStyle w:val="FootnoteText"/>
      </w:pPr>
      <w:r>
        <w:rPr>
          <w:rStyle w:val="FootnoteReference"/>
        </w:rPr>
        <w:footnoteRef/>
      </w:r>
      <w:r>
        <w:t xml:space="preserve"> 5 U.S.C. § 603.</w:t>
      </w:r>
    </w:p>
  </w:footnote>
  <w:footnote w:id="107">
    <w:p w:rsidR="002840FA" w:rsidP="00F74FC8">
      <w:pPr>
        <w:pStyle w:val="FootnoteText"/>
      </w:pPr>
      <w:r>
        <w:rPr>
          <w:rStyle w:val="FootnoteReference"/>
        </w:rPr>
        <w:footnoteRef/>
      </w:r>
      <w:r>
        <w:t xml:space="preserve"> 5 U.S.C. § 603(a).</w:t>
      </w:r>
    </w:p>
  </w:footnote>
  <w:footnote w:id="108">
    <w:p w:rsidR="002840FA" w:rsidP="00BA3094">
      <w:pPr>
        <w:pStyle w:val="FootnoteText"/>
      </w:pPr>
      <w:r>
        <w:rPr>
          <w:rStyle w:val="FootnoteReference"/>
        </w:rPr>
        <w:footnoteRef/>
      </w:r>
      <w:r>
        <w:t xml:space="preserve"> 5 U.S.C. § 603.  The RFA, 5 U.S.C. § 601 – 612, has been amended by the Small Business Regulatory Enforcement Fairness Act of 1996 (SBREFA), Pub. L. No. 104-121, Title II, 110 Stat. 857 (1996).</w:t>
      </w:r>
    </w:p>
  </w:footnote>
  <w:footnote w:id="109">
    <w:p w:rsidR="002840FA" w:rsidP="00BA3094">
      <w:pPr>
        <w:pStyle w:val="FootnoteText"/>
      </w:pPr>
      <w:r>
        <w:rPr>
          <w:rStyle w:val="FootnoteReference"/>
        </w:rPr>
        <w:footnoteRef/>
      </w:r>
      <w:r>
        <w:t xml:space="preserve"> 5 U.S.C. § 603(a).</w:t>
      </w:r>
    </w:p>
  </w:footnote>
  <w:footnote w:id="110">
    <w:p w:rsidR="002840FA" w:rsidP="00BA3094">
      <w:pPr>
        <w:pStyle w:val="FootnoteText"/>
      </w:pPr>
      <w:r>
        <w:rPr>
          <w:rStyle w:val="FootnoteReference"/>
        </w:rPr>
        <w:footnoteRef/>
      </w:r>
      <w:r>
        <w:t xml:space="preserve"> 5 U.S.C. § 603(a).</w:t>
      </w:r>
    </w:p>
  </w:footnote>
  <w:footnote w:id="111">
    <w:p w:rsidR="002840FA" w:rsidP="00BA3094">
      <w:pPr>
        <w:pStyle w:val="FootnoteText"/>
      </w:pPr>
      <w:r>
        <w:rPr>
          <w:rStyle w:val="FootnoteReference"/>
        </w:rPr>
        <w:footnoteRef/>
      </w:r>
      <w:r>
        <w:t xml:space="preserve"> 5 U.S.C. § 603(b)(3).</w:t>
      </w:r>
    </w:p>
  </w:footnote>
  <w:footnote w:id="112">
    <w:p w:rsidR="002840FA" w:rsidP="00BA3094">
      <w:pPr>
        <w:pStyle w:val="FootnoteText"/>
      </w:pPr>
      <w:r>
        <w:rPr>
          <w:rStyle w:val="FootnoteReference"/>
        </w:rPr>
        <w:footnoteRef/>
      </w:r>
      <w:r>
        <w:t xml:space="preserve"> 5 U.S.C. § 601(6).</w:t>
      </w:r>
    </w:p>
  </w:footnote>
  <w:footnote w:id="113">
    <w:p w:rsidR="002840FA" w:rsidP="00BA3094">
      <w:pPr>
        <w:pStyle w:val="FootnoteText"/>
      </w:pPr>
      <w:r>
        <w:rPr>
          <w:rStyle w:val="FootnoteReference"/>
        </w:rPr>
        <w:footnoteRef/>
      </w:r>
      <w: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r w:rsidR="00511267">
        <w:t>.</w:t>
      </w:r>
    </w:p>
  </w:footnote>
  <w:footnote w:id="114">
    <w:p w:rsidR="002840FA" w:rsidP="00BA3094">
      <w:pPr>
        <w:pStyle w:val="FootnoteText"/>
      </w:pPr>
      <w:r>
        <w:rPr>
          <w:rStyle w:val="FootnoteReference"/>
        </w:rPr>
        <w:footnoteRef/>
      </w:r>
      <w:r>
        <w:t xml:space="preserve"> 15 U.S.C. § 632.</w:t>
      </w:r>
    </w:p>
  </w:footnote>
  <w:footnote w:id="115">
    <w:p w:rsidR="002840FA" w:rsidP="00BA3094">
      <w:pPr>
        <w:pStyle w:val="FootnoteText"/>
      </w:pPr>
      <w:r>
        <w:rPr>
          <w:rStyle w:val="FootnoteReference"/>
        </w:rPr>
        <w:footnoteRef/>
      </w:r>
      <w:r>
        <w:t xml:space="preserve"> </w:t>
      </w:r>
      <w:r w:rsidRPr="001A678D">
        <w:t xml:space="preserve"> </w:t>
      </w:r>
      <w:r>
        <w:t>U.S. Census Bureau, 2012</w:t>
      </w:r>
      <w:r w:rsidRPr="00231DAF">
        <w:t xml:space="preserve"> NAICS Definitions, “</w:t>
      </w:r>
      <w:r w:rsidRPr="00231DAF">
        <w:rPr>
          <w:bCs/>
        </w:rPr>
        <w:t>334220 Radio and Television Broadcasting and Wireless Communications Equipment Manufacturing”</w:t>
      </w:r>
      <w:r>
        <w:rPr>
          <w:bCs/>
        </w:rPr>
        <w:t xml:space="preserve">, </w:t>
      </w:r>
      <w:r>
        <w:rPr>
          <w:bCs/>
          <w:i/>
        </w:rPr>
        <w:t xml:space="preserve">See </w:t>
      </w:r>
      <w:hyperlink r:id="rId2" w:history="1">
        <w:r w:rsidRPr="00C57312">
          <w:rPr>
            <w:rStyle w:val="Hyperlink"/>
            <w:i/>
          </w:rPr>
          <w:t>https://factfinder.census.gov/faces/affhelp/jsf/pages/metadata.xhtml?lang=en&amp;type=ib&amp;id=ib.en./ECN.NAICS2012.334220#</w:t>
        </w:r>
      </w:hyperlink>
      <w:r>
        <w:rPr>
          <w:i/>
        </w:rPr>
        <w:t xml:space="preserve">. </w:t>
      </w:r>
    </w:p>
  </w:footnote>
  <w:footnote w:id="116">
    <w:p w:rsidR="002840FA" w:rsidP="00BA3094">
      <w:pPr>
        <w:pStyle w:val="FootnoteText"/>
      </w:pPr>
      <w:r>
        <w:rPr>
          <w:rStyle w:val="FootnoteReference"/>
        </w:rPr>
        <w:footnoteRef/>
      </w:r>
      <w:r>
        <w:t xml:space="preserve"> </w:t>
      </w:r>
      <w:r w:rsidRPr="008259FA">
        <w:rPr>
          <w:i/>
        </w:rPr>
        <w:t>Id</w:t>
      </w:r>
      <w:r>
        <w:t>.</w:t>
      </w:r>
    </w:p>
  </w:footnote>
  <w:footnote w:id="117">
    <w:p w:rsidR="002840FA" w:rsidP="00BA3094">
      <w:pPr>
        <w:pStyle w:val="FootnoteText"/>
      </w:pPr>
      <w:r>
        <w:rPr>
          <w:rStyle w:val="FootnoteReference"/>
        </w:rPr>
        <w:footnoteRef/>
      </w:r>
      <w:r>
        <w:t xml:space="preserve"> 13 CFR </w:t>
      </w:r>
      <w:r w:rsidRPr="00411336">
        <w:t>§</w:t>
      </w:r>
      <w:r>
        <w:t xml:space="preserve"> 121.201, NAICS Code 334220.</w:t>
      </w:r>
    </w:p>
  </w:footnote>
  <w:footnote w:id="118">
    <w:p w:rsidR="002840FA" w:rsidP="00BA3094">
      <w:pPr>
        <w:pStyle w:val="FootnoteText"/>
      </w:pPr>
      <w:r>
        <w:rPr>
          <w:rStyle w:val="FootnoteReference"/>
        </w:rPr>
        <w:footnoteRef/>
      </w:r>
      <w:r>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t xml:space="preserve">, Table </w:t>
      </w:r>
      <w:r w:rsidRPr="003D51E9">
        <w:t>EC1231SG2</w:t>
      </w:r>
      <w:r>
        <w:t xml:space="preserve">, </w:t>
      </w:r>
      <w:r w:rsidRPr="003D51E9">
        <w:t>Manufacturing: Summary Series: General Summary: Industry Statistics for Subsectors and Industries by Employment Size: 2012</w:t>
      </w:r>
      <w:r>
        <w:t xml:space="preserve">, NAICS Code 334220, </w:t>
      </w:r>
      <w:hyperlink r:id="rId3" w:history="1">
        <w:r w:rsidRPr="00C57312">
          <w:rPr>
            <w:rStyle w:val="Hyperlink"/>
          </w:rPr>
          <w:t>https://factfinder.census.gov/bkmk/table/1.0/en/ECN/2012_US/31SG2//naics~334220</w:t>
        </w:r>
      </w:hyperlink>
      <w:r w:rsidRPr="00511267">
        <w:rPr>
          <w:rStyle w:val="Hyperlink"/>
          <w:u w:val="none"/>
        </w:rPr>
        <w:t>.</w:t>
      </w:r>
    </w:p>
  </w:footnote>
  <w:footnote w:id="119">
    <w:p w:rsidR="002840FA" w:rsidP="00BA3094">
      <w:pPr>
        <w:pStyle w:val="FootnoteText"/>
      </w:pPr>
      <w:r>
        <w:rPr>
          <w:rStyle w:val="FootnoteReference"/>
        </w:rPr>
        <w:footnoteRef/>
      </w:r>
      <w:r>
        <w:t xml:space="preserve"> </w:t>
      </w:r>
      <w:r w:rsidRPr="003D51E9">
        <w:rPr>
          <w:i/>
        </w:rPr>
        <w:t>Id</w:t>
      </w:r>
      <w:r>
        <w:t xml:space="preserve">. </w:t>
      </w:r>
      <w:bookmarkStart w:id="212" w:name="_GoBack"/>
      <w:bookmarkEnd w:id="212"/>
    </w:p>
  </w:footnote>
  <w:footnote w:id="120">
    <w:p w:rsidR="002840FA" w:rsidP="00BA3094">
      <w:pPr>
        <w:pStyle w:val="FootnoteText"/>
      </w:pPr>
      <w:r>
        <w:rPr>
          <w:rStyle w:val="FootnoteReference"/>
        </w:rPr>
        <w:footnoteRef/>
      </w:r>
      <w:r>
        <w:t xml:space="preserve"> 47 C.F.R. § 2.907.  </w:t>
      </w:r>
      <w:r w:rsidRPr="00F15D80">
        <w:rPr>
          <w:szCs w:val="22"/>
        </w:rPr>
        <w:t>The Commission</w:t>
      </w:r>
      <w:r>
        <w:rPr>
          <w:szCs w:val="22"/>
        </w:rPr>
        <w:t xml:space="preserve"> or a TCB</w:t>
      </w:r>
      <w:r w:rsidRPr="00F15D80">
        <w:rPr>
          <w:szCs w:val="22"/>
        </w:rPr>
        <w:t xml:space="preserve"> may </w:t>
      </w:r>
      <w:r>
        <w:rPr>
          <w:szCs w:val="22"/>
        </w:rPr>
        <w:t>test</w:t>
      </w:r>
      <w:r w:rsidRPr="00F15D80">
        <w:rPr>
          <w:szCs w:val="22"/>
        </w:rPr>
        <w:t xml:space="preserve"> a sample of </w:t>
      </w:r>
      <w:r>
        <w:rPr>
          <w:szCs w:val="22"/>
        </w:rPr>
        <w:t>a</w:t>
      </w:r>
      <w:r w:rsidRPr="00F15D80">
        <w:rPr>
          <w:szCs w:val="22"/>
        </w:rPr>
        <w:t xml:space="preserve"> device to </w:t>
      </w:r>
      <w:r>
        <w:rPr>
          <w:szCs w:val="22"/>
        </w:rPr>
        <w:t>verify</w:t>
      </w:r>
      <w:r w:rsidRPr="00F15D80">
        <w:rPr>
          <w:szCs w:val="22"/>
        </w:rPr>
        <w:t xml:space="preserve"> </w:t>
      </w:r>
      <w:r>
        <w:rPr>
          <w:szCs w:val="22"/>
        </w:rPr>
        <w:t>that it complies with the rules</w:t>
      </w:r>
      <w:r w:rsidRPr="00F15D80">
        <w:rPr>
          <w:szCs w:val="22"/>
        </w:rPr>
        <w:t xml:space="preserve"> before granting approval for the equipment to be marketed.</w:t>
      </w:r>
      <w:r>
        <w:t xml:space="preserve">  </w:t>
      </w:r>
      <w:r w:rsidRPr="007A28CC">
        <w:rPr>
          <w:szCs w:val="22"/>
        </w:rPr>
        <w:t xml:space="preserve">Examples of devices subject to </w:t>
      </w:r>
      <w:r>
        <w:rPr>
          <w:szCs w:val="22"/>
        </w:rPr>
        <w:t>certification</w:t>
      </w:r>
      <w:r w:rsidRPr="007A28CC">
        <w:rPr>
          <w:szCs w:val="22"/>
        </w:rPr>
        <w:t xml:space="preserve"> include, but are </w:t>
      </w:r>
      <w:r>
        <w:rPr>
          <w:szCs w:val="22"/>
        </w:rPr>
        <w:t>not limited to, mobile phones; wireless local area networking equipment, remote control t</w:t>
      </w:r>
      <w:r w:rsidRPr="007A28CC">
        <w:rPr>
          <w:szCs w:val="22"/>
        </w:rPr>
        <w:t xml:space="preserve">ransmitters; </w:t>
      </w:r>
      <w:r>
        <w:rPr>
          <w:szCs w:val="22"/>
        </w:rPr>
        <w:t>land mobile radio transmitters</w:t>
      </w:r>
      <w:r w:rsidRPr="007A28CC">
        <w:rPr>
          <w:szCs w:val="22"/>
        </w:rPr>
        <w:t xml:space="preserve">; </w:t>
      </w:r>
      <w:r>
        <w:rPr>
          <w:szCs w:val="22"/>
        </w:rPr>
        <w:t>wireless medical telemetry transmitters; cordless telep</w:t>
      </w:r>
      <w:r w:rsidRPr="007A28CC">
        <w:rPr>
          <w:szCs w:val="22"/>
        </w:rPr>
        <w:t xml:space="preserve">hones; </w:t>
      </w:r>
      <w:r>
        <w:rPr>
          <w:szCs w:val="22"/>
        </w:rPr>
        <w:t>and walkie-t</w:t>
      </w:r>
      <w:r w:rsidRPr="007A28CC">
        <w:rPr>
          <w:szCs w:val="22"/>
        </w:rPr>
        <w:t>alkies.</w:t>
      </w:r>
    </w:p>
  </w:footnote>
  <w:footnote w:id="121">
    <w:p w:rsidR="002840FA" w:rsidP="00BA3094">
      <w:pPr>
        <w:pStyle w:val="FootnoteText"/>
      </w:pPr>
      <w:r>
        <w:rPr>
          <w:rStyle w:val="FootnoteReference"/>
        </w:rPr>
        <w:footnoteRef/>
      </w:r>
      <w:r>
        <w:t xml:space="preserve"> 5 U.S.C. § 603(c)(1) – (c)(4).</w:t>
      </w:r>
    </w:p>
  </w:footnote>
  <w:footnote w:id="122">
    <w:p w:rsidR="002840FA" w:rsidRPr="0045677C" w:rsidP="00B85F59">
      <w:pPr>
        <w:pStyle w:val="FootnoteText"/>
        <w:rPr>
          <w:sz w:val="22"/>
          <w:szCs w:val="22"/>
        </w:rPr>
      </w:pPr>
      <w:r w:rsidRPr="0045677C">
        <w:rPr>
          <w:rStyle w:val="FootnoteReference"/>
          <w:sz w:val="22"/>
          <w:szCs w:val="22"/>
        </w:rPr>
        <w:footnoteRef/>
      </w:r>
      <w:r w:rsidRPr="0045677C">
        <w:rPr>
          <w:sz w:val="22"/>
          <w:szCs w:val="22"/>
        </w:rPr>
        <w:t xml:space="preserve"> </w:t>
      </w:r>
      <w:r w:rsidRPr="0045677C">
        <w:rPr>
          <w:i/>
          <w:iCs/>
          <w:sz w:val="22"/>
          <w:szCs w:val="22"/>
        </w:rPr>
        <w:t>See Amendment of Part 15 of the Commission’s Rules for Unlicensed White Space Devices, Amendment of Part 15 of the Commission’s Rules for Unlicensed Operations in the Television Bands, Repurposed 600 MHz Band, 600 MHz Guard Bands and Duplex Gap, and Channel 37, Expanding the Economic and Innovation Opportunities of Spectrum Through Incentive Auctions</w:t>
      </w:r>
      <w:r w:rsidRPr="0045677C">
        <w:rPr>
          <w:sz w:val="22"/>
          <w:szCs w:val="22"/>
        </w:rPr>
        <w:t xml:space="preserve">, ET Docket Nos. 16-56 and 14-165, GN Docket No. 12-268, Report and Order and Order on Reconsideration, 34 FCC </w:t>
      </w:r>
      <w:r w:rsidRPr="0045677C">
        <w:rPr>
          <w:sz w:val="22"/>
          <w:szCs w:val="22"/>
        </w:rPr>
        <w:t>Rcd</w:t>
      </w:r>
      <w:r w:rsidRPr="0045677C">
        <w:rPr>
          <w:sz w:val="22"/>
          <w:szCs w:val="22"/>
        </w:rPr>
        <w:t xml:space="preserve"> 1827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40FA" w:rsidP="00810B6F">
    <w:pPr>
      <w:pStyle w:val="Header"/>
      <w:rPr>
        <w:b w:val="0"/>
      </w:rPr>
    </w:pPr>
    <w:r>
      <w:tab/>
      <w:t>Federal Communications Commission</w:t>
    </w:r>
    <w:r>
      <w:tab/>
      <w:t>FCC 20-17</w:t>
    </w:r>
  </w:p>
  <w:p w:rsidR="002840FA">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2840FA">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40FA"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AC6AEB"/>
    <w:multiLevelType w:val="hybridMultilevel"/>
    <w:tmpl w:val="49E07A2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42462AD"/>
    <w:multiLevelType w:val="hybridMultilevel"/>
    <w:tmpl w:val="BE0A34E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14CE64B2"/>
    <w:multiLevelType w:val="hybridMultilevel"/>
    <w:tmpl w:val="877C302C"/>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5">
    <w:nsid w:val="194F1C69"/>
    <w:multiLevelType w:val="hybridMultilevel"/>
    <w:tmpl w:val="B0B48EB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196327F6"/>
    <w:multiLevelType w:val="hybridMultilevel"/>
    <w:tmpl w:val="F3521FD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B7C5FEC"/>
    <w:multiLevelType w:val="hybridMultilevel"/>
    <w:tmpl w:val="466E749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70391286"/>
    <w:multiLevelType w:val="hybridMultilevel"/>
    <w:tmpl w:val="A072DFF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7"/>
  </w:num>
  <w:num w:numId="2">
    <w:abstractNumId w:val="13"/>
  </w:num>
  <w:num w:numId="3">
    <w:abstractNumId w:val="9"/>
  </w:num>
  <w:num w:numId="4">
    <w:abstractNumId w:val="12"/>
  </w:num>
  <w:num w:numId="5">
    <w:abstractNumId w:val="8"/>
  </w:num>
  <w:num w:numId="6">
    <w:abstractNumId w:val="2"/>
  </w:num>
  <w:num w:numId="7">
    <w:abstractNumId w:val="10"/>
  </w:num>
  <w:num w:numId="8">
    <w:abstractNumId w:val="6"/>
  </w:num>
  <w:num w:numId="9">
    <w:abstractNumId w:val="0"/>
  </w:num>
  <w:num w:numId="10">
    <w:abstractNumId w:val="5"/>
  </w:num>
  <w:num w:numId="11">
    <w:abstractNumId w:val="13"/>
    <w:lvlOverride w:ilvl="0">
      <w:startOverride w:val="1"/>
    </w:lvlOverride>
  </w:num>
  <w:num w:numId="12">
    <w:abstractNumId w:val="9"/>
  </w:num>
  <w:num w:numId="13">
    <w:abstractNumId w:val="1"/>
  </w:num>
  <w:num w:numId="14">
    <w:abstractNumId w:val="14"/>
  </w:num>
  <w:num w:numId="15">
    <w:abstractNumId w:val="15"/>
  </w:num>
  <w:num w:numId="16">
    <w:abstractNumId w:val="11"/>
  </w:num>
  <w:num w:numId="17">
    <w:abstractNumId w:val="3"/>
  </w:num>
  <w:num w:numId="18">
    <w:abstractNumId w:val="4"/>
  </w:num>
  <w:num w:numId="19">
    <w:abstractNumId w:val="13"/>
    <w:lvlOverride w:ilvl="0">
      <w:startOverride w:val="1"/>
    </w:lvlOverride>
  </w:num>
  <w:num w:numId="20">
    <w:abstractNumId w:val="13"/>
  </w:num>
  <w:num w:numId="21">
    <w:abstractNumId w:val="13"/>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13"/>
  </w:num>
  <w:num w:numId="29">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EEF"/>
    <w:rsid w:val="00000213"/>
    <w:rsid w:val="000043CF"/>
    <w:rsid w:val="00005996"/>
    <w:rsid w:val="000062D3"/>
    <w:rsid w:val="0000738A"/>
    <w:rsid w:val="00007D10"/>
    <w:rsid w:val="00012219"/>
    <w:rsid w:val="00012689"/>
    <w:rsid w:val="000203FB"/>
    <w:rsid w:val="0002280F"/>
    <w:rsid w:val="00023C63"/>
    <w:rsid w:val="00030127"/>
    <w:rsid w:val="000309B2"/>
    <w:rsid w:val="00031A4A"/>
    <w:rsid w:val="00032302"/>
    <w:rsid w:val="0003454F"/>
    <w:rsid w:val="00034BBD"/>
    <w:rsid w:val="0003520A"/>
    <w:rsid w:val="00036039"/>
    <w:rsid w:val="000372CC"/>
    <w:rsid w:val="00037F90"/>
    <w:rsid w:val="000406DA"/>
    <w:rsid w:val="00042576"/>
    <w:rsid w:val="0004393B"/>
    <w:rsid w:val="0004516E"/>
    <w:rsid w:val="00046098"/>
    <w:rsid w:val="0004692E"/>
    <w:rsid w:val="00050EAF"/>
    <w:rsid w:val="00054846"/>
    <w:rsid w:val="0005642E"/>
    <w:rsid w:val="0005711F"/>
    <w:rsid w:val="00060C8A"/>
    <w:rsid w:val="00060DFC"/>
    <w:rsid w:val="000618B2"/>
    <w:rsid w:val="00062A14"/>
    <w:rsid w:val="00064046"/>
    <w:rsid w:val="000674D0"/>
    <w:rsid w:val="00067D04"/>
    <w:rsid w:val="00071134"/>
    <w:rsid w:val="00072E5C"/>
    <w:rsid w:val="00073CCF"/>
    <w:rsid w:val="00077575"/>
    <w:rsid w:val="00084D20"/>
    <w:rsid w:val="00084D30"/>
    <w:rsid w:val="0008583B"/>
    <w:rsid w:val="00087330"/>
    <w:rsid w:val="000875BF"/>
    <w:rsid w:val="00087A8A"/>
    <w:rsid w:val="00087C2D"/>
    <w:rsid w:val="00094567"/>
    <w:rsid w:val="000954B1"/>
    <w:rsid w:val="00096D8C"/>
    <w:rsid w:val="000976AD"/>
    <w:rsid w:val="000A13B6"/>
    <w:rsid w:val="000A3FAE"/>
    <w:rsid w:val="000A4498"/>
    <w:rsid w:val="000A5CCD"/>
    <w:rsid w:val="000B142C"/>
    <w:rsid w:val="000B1F27"/>
    <w:rsid w:val="000B24EF"/>
    <w:rsid w:val="000B399D"/>
    <w:rsid w:val="000B4630"/>
    <w:rsid w:val="000B4C2A"/>
    <w:rsid w:val="000B6EDF"/>
    <w:rsid w:val="000B784E"/>
    <w:rsid w:val="000B7E61"/>
    <w:rsid w:val="000C0B65"/>
    <w:rsid w:val="000C2261"/>
    <w:rsid w:val="000C4B0E"/>
    <w:rsid w:val="000D3E84"/>
    <w:rsid w:val="000D648C"/>
    <w:rsid w:val="000D6662"/>
    <w:rsid w:val="000D6D7C"/>
    <w:rsid w:val="000E05FE"/>
    <w:rsid w:val="000E0BB8"/>
    <w:rsid w:val="000E3D42"/>
    <w:rsid w:val="000F3508"/>
    <w:rsid w:val="000F4C5F"/>
    <w:rsid w:val="000F7A38"/>
    <w:rsid w:val="00100E42"/>
    <w:rsid w:val="00102707"/>
    <w:rsid w:val="00106289"/>
    <w:rsid w:val="00111B36"/>
    <w:rsid w:val="00115D96"/>
    <w:rsid w:val="00117210"/>
    <w:rsid w:val="00122694"/>
    <w:rsid w:val="00122BD5"/>
    <w:rsid w:val="00123338"/>
    <w:rsid w:val="00123857"/>
    <w:rsid w:val="001272C0"/>
    <w:rsid w:val="00127FE8"/>
    <w:rsid w:val="00130FF4"/>
    <w:rsid w:val="00131AC0"/>
    <w:rsid w:val="00132AEA"/>
    <w:rsid w:val="00132C66"/>
    <w:rsid w:val="00133F79"/>
    <w:rsid w:val="001345DB"/>
    <w:rsid w:val="001365B8"/>
    <w:rsid w:val="00136DBB"/>
    <w:rsid w:val="00136F4E"/>
    <w:rsid w:val="0014002A"/>
    <w:rsid w:val="00140923"/>
    <w:rsid w:val="00140B0E"/>
    <w:rsid w:val="00141A44"/>
    <w:rsid w:val="00142832"/>
    <w:rsid w:val="00144403"/>
    <w:rsid w:val="00144B06"/>
    <w:rsid w:val="00146242"/>
    <w:rsid w:val="001540DC"/>
    <w:rsid w:val="00154C10"/>
    <w:rsid w:val="0015503F"/>
    <w:rsid w:val="0016089F"/>
    <w:rsid w:val="00162F7D"/>
    <w:rsid w:val="0016314C"/>
    <w:rsid w:val="00164395"/>
    <w:rsid w:val="00165594"/>
    <w:rsid w:val="00170A5B"/>
    <w:rsid w:val="00171BB6"/>
    <w:rsid w:val="00173254"/>
    <w:rsid w:val="00174140"/>
    <w:rsid w:val="00177BA5"/>
    <w:rsid w:val="00177C0D"/>
    <w:rsid w:val="00177CFB"/>
    <w:rsid w:val="00186D3D"/>
    <w:rsid w:val="001934AE"/>
    <w:rsid w:val="00194A66"/>
    <w:rsid w:val="00195660"/>
    <w:rsid w:val="00195A1E"/>
    <w:rsid w:val="001976C4"/>
    <w:rsid w:val="001A2157"/>
    <w:rsid w:val="001A29DD"/>
    <w:rsid w:val="001A532F"/>
    <w:rsid w:val="001A5DCC"/>
    <w:rsid w:val="001A678D"/>
    <w:rsid w:val="001A72DB"/>
    <w:rsid w:val="001B0F62"/>
    <w:rsid w:val="001B5DD6"/>
    <w:rsid w:val="001B7907"/>
    <w:rsid w:val="001C12C5"/>
    <w:rsid w:val="001C1D4F"/>
    <w:rsid w:val="001C44AA"/>
    <w:rsid w:val="001C4DF5"/>
    <w:rsid w:val="001D6451"/>
    <w:rsid w:val="001D68CF"/>
    <w:rsid w:val="001D6BCF"/>
    <w:rsid w:val="001E01CA"/>
    <w:rsid w:val="001E53D1"/>
    <w:rsid w:val="001E6075"/>
    <w:rsid w:val="001E78B4"/>
    <w:rsid w:val="001F052C"/>
    <w:rsid w:val="001F3BAF"/>
    <w:rsid w:val="00204541"/>
    <w:rsid w:val="002136B4"/>
    <w:rsid w:val="0021379D"/>
    <w:rsid w:val="00213E71"/>
    <w:rsid w:val="00215AB1"/>
    <w:rsid w:val="002170F6"/>
    <w:rsid w:val="00224014"/>
    <w:rsid w:val="00231DAF"/>
    <w:rsid w:val="00231EA4"/>
    <w:rsid w:val="002334B1"/>
    <w:rsid w:val="002337DA"/>
    <w:rsid w:val="00235FC5"/>
    <w:rsid w:val="002419B5"/>
    <w:rsid w:val="00241C8E"/>
    <w:rsid w:val="00242878"/>
    <w:rsid w:val="0024362F"/>
    <w:rsid w:val="00244F35"/>
    <w:rsid w:val="00251FDA"/>
    <w:rsid w:val="00256032"/>
    <w:rsid w:val="00260073"/>
    <w:rsid w:val="00262DDB"/>
    <w:rsid w:val="00263630"/>
    <w:rsid w:val="00263DE7"/>
    <w:rsid w:val="00264E7E"/>
    <w:rsid w:val="00270A97"/>
    <w:rsid w:val="00274A83"/>
    <w:rsid w:val="00274DD1"/>
    <w:rsid w:val="00275CF5"/>
    <w:rsid w:val="0027691D"/>
    <w:rsid w:val="00276E44"/>
    <w:rsid w:val="002812B2"/>
    <w:rsid w:val="00281E78"/>
    <w:rsid w:val="00281F62"/>
    <w:rsid w:val="0028301F"/>
    <w:rsid w:val="002840FA"/>
    <w:rsid w:val="00284DAE"/>
    <w:rsid w:val="00284F49"/>
    <w:rsid w:val="00285017"/>
    <w:rsid w:val="00285582"/>
    <w:rsid w:val="00285C65"/>
    <w:rsid w:val="00286581"/>
    <w:rsid w:val="002878D3"/>
    <w:rsid w:val="00291D7F"/>
    <w:rsid w:val="002926F2"/>
    <w:rsid w:val="00295FD5"/>
    <w:rsid w:val="002A2D2E"/>
    <w:rsid w:val="002B395A"/>
    <w:rsid w:val="002B44EE"/>
    <w:rsid w:val="002B5208"/>
    <w:rsid w:val="002B5677"/>
    <w:rsid w:val="002C00E8"/>
    <w:rsid w:val="002C29E2"/>
    <w:rsid w:val="002D0324"/>
    <w:rsid w:val="002D1010"/>
    <w:rsid w:val="002D493F"/>
    <w:rsid w:val="002D4AED"/>
    <w:rsid w:val="002D5947"/>
    <w:rsid w:val="002D6886"/>
    <w:rsid w:val="002D68D8"/>
    <w:rsid w:val="002D7587"/>
    <w:rsid w:val="002D7A5F"/>
    <w:rsid w:val="002E28BA"/>
    <w:rsid w:val="002E4833"/>
    <w:rsid w:val="002E7133"/>
    <w:rsid w:val="002E77DE"/>
    <w:rsid w:val="002F0CDD"/>
    <w:rsid w:val="002F1D94"/>
    <w:rsid w:val="002F25A1"/>
    <w:rsid w:val="002F3237"/>
    <w:rsid w:val="002F339E"/>
    <w:rsid w:val="002F5F8D"/>
    <w:rsid w:val="002F7B2E"/>
    <w:rsid w:val="00301FFB"/>
    <w:rsid w:val="003078D1"/>
    <w:rsid w:val="003103EA"/>
    <w:rsid w:val="00310E54"/>
    <w:rsid w:val="00310FB4"/>
    <w:rsid w:val="00312871"/>
    <w:rsid w:val="00312BF1"/>
    <w:rsid w:val="0031425C"/>
    <w:rsid w:val="00315116"/>
    <w:rsid w:val="0031558F"/>
    <w:rsid w:val="003155F1"/>
    <w:rsid w:val="003159FB"/>
    <w:rsid w:val="00316459"/>
    <w:rsid w:val="0031683D"/>
    <w:rsid w:val="003211D8"/>
    <w:rsid w:val="00324294"/>
    <w:rsid w:val="00324BDE"/>
    <w:rsid w:val="0032591D"/>
    <w:rsid w:val="00325A85"/>
    <w:rsid w:val="00325D41"/>
    <w:rsid w:val="00326E3E"/>
    <w:rsid w:val="00330175"/>
    <w:rsid w:val="00330CDD"/>
    <w:rsid w:val="003323C8"/>
    <w:rsid w:val="00333E40"/>
    <w:rsid w:val="003345AB"/>
    <w:rsid w:val="003361F3"/>
    <w:rsid w:val="003365E2"/>
    <w:rsid w:val="003376F9"/>
    <w:rsid w:val="003423F4"/>
    <w:rsid w:val="00342B92"/>
    <w:rsid w:val="00343749"/>
    <w:rsid w:val="00344684"/>
    <w:rsid w:val="00345379"/>
    <w:rsid w:val="003455E2"/>
    <w:rsid w:val="003456A9"/>
    <w:rsid w:val="0035150C"/>
    <w:rsid w:val="00353BFF"/>
    <w:rsid w:val="00360E60"/>
    <w:rsid w:val="0036304F"/>
    <w:rsid w:val="003640DD"/>
    <w:rsid w:val="003651DF"/>
    <w:rsid w:val="003660ED"/>
    <w:rsid w:val="0036723D"/>
    <w:rsid w:val="00370BA6"/>
    <w:rsid w:val="00372D1F"/>
    <w:rsid w:val="00373FE3"/>
    <w:rsid w:val="003804A7"/>
    <w:rsid w:val="003812CC"/>
    <w:rsid w:val="00382801"/>
    <w:rsid w:val="00382C82"/>
    <w:rsid w:val="00384D4D"/>
    <w:rsid w:val="00385808"/>
    <w:rsid w:val="003934EB"/>
    <w:rsid w:val="003951E6"/>
    <w:rsid w:val="003A02D0"/>
    <w:rsid w:val="003A0AC2"/>
    <w:rsid w:val="003A1A21"/>
    <w:rsid w:val="003A2571"/>
    <w:rsid w:val="003A2B68"/>
    <w:rsid w:val="003A332C"/>
    <w:rsid w:val="003A3568"/>
    <w:rsid w:val="003A3F32"/>
    <w:rsid w:val="003A58B1"/>
    <w:rsid w:val="003A5A6E"/>
    <w:rsid w:val="003A7AC2"/>
    <w:rsid w:val="003B0550"/>
    <w:rsid w:val="003B0F51"/>
    <w:rsid w:val="003B1A29"/>
    <w:rsid w:val="003B2DAD"/>
    <w:rsid w:val="003B378A"/>
    <w:rsid w:val="003B3B46"/>
    <w:rsid w:val="003B46EC"/>
    <w:rsid w:val="003B568A"/>
    <w:rsid w:val="003B6870"/>
    <w:rsid w:val="003B694F"/>
    <w:rsid w:val="003C1F58"/>
    <w:rsid w:val="003D2996"/>
    <w:rsid w:val="003D329F"/>
    <w:rsid w:val="003D4B64"/>
    <w:rsid w:val="003D51E9"/>
    <w:rsid w:val="003D5C6A"/>
    <w:rsid w:val="003D654D"/>
    <w:rsid w:val="003E0CB3"/>
    <w:rsid w:val="003E5251"/>
    <w:rsid w:val="003E66E6"/>
    <w:rsid w:val="003E70B5"/>
    <w:rsid w:val="003F171C"/>
    <w:rsid w:val="003F186B"/>
    <w:rsid w:val="003F2B19"/>
    <w:rsid w:val="003F45CE"/>
    <w:rsid w:val="003F4C53"/>
    <w:rsid w:val="003F717F"/>
    <w:rsid w:val="004056C0"/>
    <w:rsid w:val="00411336"/>
    <w:rsid w:val="0041179E"/>
    <w:rsid w:val="00411F95"/>
    <w:rsid w:val="00412FC5"/>
    <w:rsid w:val="00413633"/>
    <w:rsid w:val="00414D8F"/>
    <w:rsid w:val="00421D56"/>
    <w:rsid w:val="00422056"/>
    <w:rsid w:val="00422276"/>
    <w:rsid w:val="004242F1"/>
    <w:rsid w:val="004245B9"/>
    <w:rsid w:val="00424900"/>
    <w:rsid w:val="004258D4"/>
    <w:rsid w:val="004264A3"/>
    <w:rsid w:val="00431CBC"/>
    <w:rsid w:val="004330DB"/>
    <w:rsid w:val="00434A57"/>
    <w:rsid w:val="00436BF8"/>
    <w:rsid w:val="004409F6"/>
    <w:rsid w:val="0044137B"/>
    <w:rsid w:val="00444333"/>
    <w:rsid w:val="00445448"/>
    <w:rsid w:val="00445A00"/>
    <w:rsid w:val="004506CB"/>
    <w:rsid w:val="004506D5"/>
    <w:rsid w:val="00451B0F"/>
    <w:rsid w:val="00451B78"/>
    <w:rsid w:val="00452FAF"/>
    <w:rsid w:val="00455BBB"/>
    <w:rsid w:val="00456107"/>
    <w:rsid w:val="0045677C"/>
    <w:rsid w:val="00456A7E"/>
    <w:rsid w:val="00464EBE"/>
    <w:rsid w:val="00466CE2"/>
    <w:rsid w:val="00470D28"/>
    <w:rsid w:val="00470FE2"/>
    <w:rsid w:val="00472990"/>
    <w:rsid w:val="00472FF3"/>
    <w:rsid w:val="004751A5"/>
    <w:rsid w:val="004776E3"/>
    <w:rsid w:val="0048237C"/>
    <w:rsid w:val="00482AD7"/>
    <w:rsid w:val="004864D2"/>
    <w:rsid w:val="004864EA"/>
    <w:rsid w:val="00486EA4"/>
    <w:rsid w:val="00487D2D"/>
    <w:rsid w:val="0049049D"/>
    <w:rsid w:val="00493020"/>
    <w:rsid w:val="00493C9C"/>
    <w:rsid w:val="00495A75"/>
    <w:rsid w:val="00495CAB"/>
    <w:rsid w:val="00496B90"/>
    <w:rsid w:val="00497D36"/>
    <w:rsid w:val="004A104F"/>
    <w:rsid w:val="004A4C66"/>
    <w:rsid w:val="004A613F"/>
    <w:rsid w:val="004A6147"/>
    <w:rsid w:val="004A6325"/>
    <w:rsid w:val="004B1B31"/>
    <w:rsid w:val="004B3226"/>
    <w:rsid w:val="004B3E38"/>
    <w:rsid w:val="004C10C8"/>
    <w:rsid w:val="004C2A33"/>
    <w:rsid w:val="004C2EE3"/>
    <w:rsid w:val="004C48FC"/>
    <w:rsid w:val="004C6E57"/>
    <w:rsid w:val="004D1E03"/>
    <w:rsid w:val="004D322B"/>
    <w:rsid w:val="004D3523"/>
    <w:rsid w:val="004D4F68"/>
    <w:rsid w:val="004D54F7"/>
    <w:rsid w:val="004D6DAE"/>
    <w:rsid w:val="004E144E"/>
    <w:rsid w:val="004E1B15"/>
    <w:rsid w:val="004E40A1"/>
    <w:rsid w:val="004E47D3"/>
    <w:rsid w:val="004E4A22"/>
    <w:rsid w:val="004E6906"/>
    <w:rsid w:val="004E6FBF"/>
    <w:rsid w:val="004F1221"/>
    <w:rsid w:val="004F1331"/>
    <w:rsid w:val="004F23FB"/>
    <w:rsid w:val="004F5024"/>
    <w:rsid w:val="004F6460"/>
    <w:rsid w:val="00501989"/>
    <w:rsid w:val="005027BD"/>
    <w:rsid w:val="00503044"/>
    <w:rsid w:val="00503596"/>
    <w:rsid w:val="00503D31"/>
    <w:rsid w:val="005046DC"/>
    <w:rsid w:val="00504DDC"/>
    <w:rsid w:val="00504E28"/>
    <w:rsid w:val="00506466"/>
    <w:rsid w:val="00506CDA"/>
    <w:rsid w:val="00511267"/>
    <w:rsid w:val="00511968"/>
    <w:rsid w:val="00512036"/>
    <w:rsid w:val="00512D24"/>
    <w:rsid w:val="005131F1"/>
    <w:rsid w:val="005170D9"/>
    <w:rsid w:val="00517168"/>
    <w:rsid w:val="005203B2"/>
    <w:rsid w:val="00525681"/>
    <w:rsid w:val="0052587D"/>
    <w:rsid w:val="0053293D"/>
    <w:rsid w:val="0053544C"/>
    <w:rsid w:val="0053574F"/>
    <w:rsid w:val="005420FD"/>
    <w:rsid w:val="0054334A"/>
    <w:rsid w:val="00543D99"/>
    <w:rsid w:val="00551F67"/>
    <w:rsid w:val="00554345"/>
    <w:rsid w:val="005549F2"/>
    <w:rsid w:val="00554B9A"/>
    <w:rsid w:val="005553ED"/>
    <w:rsid w:val="0055614C"/>
    <w:rsid w:val="00557213"/>
    <w:rsid w:val="005577AD"/>
    <w:rsid w:val="00561989"/>
    <w:rsid w:val="00563C8D"/>
    <w:rsid w:val="00564CEE"/>
    <w:rsid w:val="00565F76"/>
    <w:rsid w:val="00566D06"/>
    <w:rsid w:val="005701FC"/>
    <w:rsid w:val="00570C94"/>
    <w:rsid w:val="00573F09"/>
    <w:rsid w:val="00574361"/>
    <w:rsid w:val="00575C56"/>
    <w:rsid w:val="005774B2"/>
    <w:rsid w:val="00581E89"/>
    <w:rsid w:val="00582371"/>
    <w:rsid w:val="00584568"/>
    <w:rsid w:val="005863CC"/>
    <w:rsid w:val="00597FE1"/>
    <w:rsid w:val="005A3459"/>
    <w:rsid w:val="005A5403"/>
    <w:rsid w:val="005B56A8"/>
    <w:rsid w:val="005B6679"/>
    <w:rsid w:val="005C0997"/>
    <w:rsid w:val="005C22FE"/>
    <w:rsid w:val="005C2EAE"/>
    <w:rsid w:val="005C7931"/>
    <w:rsid w:val="005C7B95"/>
    <w:rsid w:val="005C7F1E"/>
    <w:rsid w:val="005D3BFA"/>
    <w:rsid w:val="005D42E3"/>
    <w:rsid w:val="005D59B1"/>
    <w:rsid w:val="005D6294"/>
    <w:rsid w:val="005E14C2"/>
    <w:rsid w:val="005E2829"/>
    <w:rsid w:val="005E2A19"/>
    <w:rsid w:val="005E369B"/>
    <w:rsid w:val="005E7A02"/>
    <w:rsid w:val="005E7C9B"/>
    <w:rsid w:val="005F031C"/>
    <w:rsid w:val="005F0475"/>
    <w:rsid w:val="005F282B"/>
    <w:rsid w:val="005F2F9A"/>
    <w:rsid w:val="005F510E"/>
    <w:rsid w:val="005F54D1"/>
    <w:rsid w:val="005F5F80"/>
    <w:rsid w:val="005F5FA9"/>
    <w:rsid w:val="005F6CC1"/>
    <w:rsid w:val="005F6CC3"/>
    <w:rsid w:val="006063AE"/>
    <w:rsid w:val="00607BA5"/>
    <w:rsid w:val="0061180A"/>
    <w:rsid w:val="0061342C"/>
    <w:rsid w:val="0061479F"/>
    <w:rsid w:val="00617ED4"/>
    <w:rsid w:val="00620D73"/>
    <w:rsid w:val="00621DCC"/>
    <w:rsid w:val="00626EB6"/>
    <w:rsid w:val="0063173E"/>
    <w:rsid w:val="0063247D"/>
    <w:rsid w:val="00632CA2"/>
    <w:rsid w:val="00633C01"/>
    <w:rsid w:val="00634CD3"/>
    <w:rsid w:val="00634F57"/>
    <w:rsid w:val="00635DDC"/>
    <w:rsid w:val="006465D3"/>
    <w:rsid w:val="0065102B"/>
    <w:rsid w:val="00654067"/>
    <w:rsid w:val="00655D03"/>
    <w:rsid w:val="00656575"/>
    <w:rsid w:val="00656F21"/>
    <w:rsid w:val="00657E94"/>
    <w:rsid w:val="0066166F"/>
    <w:rsid w:val="0066227F"/>
    <w:rsid w:val="006644AA"/>
    <w:rsid w:val="006659CB"/>
    <w:rsid w:val="00665E73"/>
    <w:rsid w:val="00667958"/>
    <w:rsid w:val="00667AFF"/>
    <w:rsid w:val="00671C4D"/>
    <w:rsid w:val="006740C5"/>
    <w:rsid w:val="00675FE0"/>
    <w:rsid w:val="00677210"/>
    <w:rsid w:val="006804F8"/>
    <w:rsid w:val="00683388"/>
    <w:rsid w:val="00683F84"/>
    <w:rsid w:val="00694490"/>
    <w:rsid w:val="00697C8D"/>
    <w:rsid w:val="006A0A0F"/>
    <w:rsid w:val="006A15C6"/>
    <w:rsid w:val="006A4EE9"/>
    <w:rsid w:val="006A6A81"/>
    <w:rsid w:val="006A7140"/>
    <w:rsid w:val="006A7937"/>
    <w:rsid w:val="006B0856"/>
    <w:rsid w:val="006B2029"/>
    <w:rsid w:val="006B5783"/>
    <w:rsid w:val="006B5ACE"/>
    <w:rsid w:val="006B5DC4"/>
    <w:rsid w:val="006B7BD1"/>
    <w:rsid w:val="006C12AF"/>
    <w:rsid w:val="006C3A42"/>
    <w:rsid w:val="006C3D9A"/>
    <w:rsid w:val="006C5B70"/>
    <w:rsid w:val="006D0043"/>
    <w:rsid w:val="006D24DD"/>
    <w:rsid w:val="006E063C"/>
    <w:rsid w:val="006E4820"/>
    <w:rsid w:val="006E64CF"/>
    <w:rsid w:val="006E72D2"/>
    <w:rsid w:val="006E7865"/>
    <w:rsid w:val="006E7C27"/>
    <w:rsid w:val="006F395C"/>
    <w:rsid w:val="006F5235"/>
    <w:rsid w:val="006F5C52"/>
    <w:rsid w:val="006F6D62"/>
    <w:rsid w:val="006F7393"/>
    <w:rsid w:val="00700518"/>
    <w:rsid w:val="0070161E"/>
    <w:rsid w:val="0070224F"/>
    <w:rsid w:val="007035BB"/>
    <w:rsid w:val="0070572B"/>
    <w:rsid w:val="00706F28"/>
    <w:rsid w:val="00710D9F"/>
    <w:rsid w:val="0071113C"/>
    <w:rsid w:val="007115F7"/>
    <w:rsid w:val="00712132"/>
    <w:rsid w:val="007126AB"/>
    <w:rsid w:val="00714526"/>
    <w:rsid w:val="00714A57"/>
    <w:rsid w:val="00716837"/>
    <w:rsid w:val="007178F5"/>
    <w:rsid w:val="0072206C"/>
    <w:rsid w:val="007238AC"/>
    <w:rsid w:val="00726970"/>
    <w:rsid w:val="00731F9A"/>
    <w:rsid w:val="007323AE"/>
    <w:rsid w:val="00733895"/>
    <w:rsid w:val="0073462B"/>
    <w:rsid w:val="00734AD6"/>
    <w:rsid w:val="00737850"/>
    <w:rsid w:val="00740C97"/>
    <w:rsid w:val="00741C4B"/>
    <w:rsid w:val="0074305C"/>
    <w:rsid w:val="00746DD0"/>
    <w:rsid w:val="0075086A"/>
    <w:rsid w:val="007515C7"/>
    <w:rsid w:val="00756C8C"/>
    <w:rsid w:val="00757722"/>
    <w:rsid w:val="00761B3C"/>
    <w:rsid w:val="00765EA2"/>
    <w:rsid w:val="00767468"/>
    <w:rsid w:val="00771BFB"/>
    <w:rsid w:val="00776CC0"/>
    <w:rsid w:val="00777454"/>
    <w:rsid w:val="007777CC"/>
    <w:rsid w:val="00777B15"/>
    <w:rsid w:val="00782871"/>
    <w:rsid w:val="007852AA"/>
    <w:rsid w:val="00785689"/>
    <w:rsid w:val="00785CBC"/>
    <w:rsid w:val="007860C0"/>
    <w:rsid w:val="00787305"/>
    <w:rsid w:val="00791A51"/>
    <w:rsid w:val="00792142"/>
    <w:rsid w:val="007951BB"/>
    <w:rsid w:val="007966D6"/>
    <w:rsid w:val="007971A3"/>
    <w:rsid w:val="0079754B"/>
    <w:rsid w:val="00797FC8"/>
    <w:rsid w:val="007A1627"/>
    <w:rsid w:val="007A1E6D"/>
    <w:rsid w:val="007A28CC"/>
    <w:rsid w:val="007A3C01"/>
    <w:rsid w:val="007A46B4"/>
    <w:rsid w:val="007A5DF7"/>
    <w:rsid w:val="007A6251"/>
    <w:rsid w:val="007A652D"/>
    <w:rsid w:val="007A66A3"/>
    <w:rsid w:val="007B0EB2"/>
    <w:rsid w:val="007B1FF9"/>
    <w:rsid w:val="007B5636"/>
    <w:rsid w:val="007B668B"/>
    <w:rsid w:val="007B7EAC"/>
    <w:rsid w:val="007C20F4"/>
    <w:rsid w:val="007C3757"/>
    <w:rsid w:val="007C4508"/>
    <w:rsid w:val="007C5E82"/>
    <w:rsid w:val="007C60A9"/>
    <w:rsid w:val="007C616D"/>
    <w:rsid w:val="007D021F"/>
    <w:rsid w:val="007D0EE8"/>
    <w:rsid w:val="007D1281"/>
    <w:rsid w:val="007D14F0"/>
    <w:rsid w:val="007D369C"/>
    <w:rsid w:val="007D4399"/>
    <w:rsid w:val="007D502D"/>
    <w:rsid w:val="007D6342"/>
    <w:rsid w:val="007E5F4F"/>
    <w:rsid w:val="007E6B49"/>
    <w:rsid w:val="007F10A4"/>
    <w:rsid w:val="007F232C"/>
    <w:rsid w:val="007F4541"/>
    <w:rsid w:val="00802DF4"/>
    <w:rsid w:val="00810B10"/>
    <w:rsid w:val="00810B6F"/>
    <w:rsid w:val="00810C0C"/>
    <w:rsid w:val="008119D7"/>
    <w:rsid w:val="00811F44"/>
    <w:rsid w:val="00813ACD"/>
    <w:rsid w:val="00813D06"/>
    <w:rsid w:val="00817154"/>
    <w:rsid w:val="00822CE0"/>
    <w:rsid w:val="00823A07"/>
    <w:rsid w:val="00825041"/>
    <w:rsid w:val="008254E0"/>
    <w:rsid w:val="008259FA"/>
    <w:rsid w:val="008278F5"/>
    <w:rsid w:val="008318A7"/>
    <w:rsid w:val="00832407"/>
    <w:rsid w:val="00832A35"/>
    <w:rsid w:val="008330B7"/>
    <w:rsid w:val="0084006C"/>
    <w:rsid w:val="0084017E"/>
    <w:rsid w:val="00840345"/>
    <w:rsid w:val="00841AB1"/>
    <w:rsid w:val="00841AD0"/>
    <w:rsid w:val="0084351E"/>
    <w:rsid w:val="00843F85"/>
    <w:rsid w:val="008445F0"/>
    <w:rsid w:val="00844EB1"/>
    <w:rsid w:val="008468FC"/>
    <w:rsid w:val="00847E54"/>
    <w:rsid w:val="00850906"/>
    <w:rsid w:val="008565E0"/>
    <w:rsid w:val="00860603"/>
    <w:rsid w:val="00861BEB"/>
    <w:rsid w:val="0086246C"/>
    <w:rsid w:val="00862F1D"/>
    <w:rsid w:val="00863ECD"/>
    <w:rsid w:val="00865E4C"/>
    <w:rsid w:val="00866B87"/>
    <w:rsid w:val="008673CA"/>
    <w:rsid w:val="00870BEE"/>
    <w:rsid w:val="00873001"/>
    <w:rsid w:val="00874D00"/>
    <w:rsid w:val="0087509B"/>
    <w:rsid w:val="00875B12"/>
    <w:rsid w:val="008765D9"/>
    <w:rsid w:val="00876726"/>
    <w:rsid w:val="008779C5"/>
    <w:rsid w:val="00880551"/>
    <w:rsid w:val="008806B6"/>
    <w:rsid w:val="0088427A"/>
    <w:rsid w:val="008849AD"/>
    <w:rsid w:val="00890D99"/>
    <w:rsid w:val="00892475"/>
    <w:rsid w:val="00894BB3"/>
    <w:rsid w:val="00895A6E"/>
    <w:rsid w:val="00896144"/>
    <w:rsid w:val="00896501"/>
    <w:rsid w:val="0089659C"/>
    <w:rsid w:val="008A17FD"/>
    <w:rsid w:val="008A2B78"/>
    <w:rsid w:val="008A4030"/>
    <w:rsid w:val="008A46FC"/>
    <w:rsid w:val="008A55EC"/>
    <w:rsid w:val="008A6898"/>
    <w:rsid w:val="008B00E8"/>
    <w:rsid w:val="008B35C7"/>
    <w:rsid w:val="008B500D"/>
    <w:rsid w:val="008B53EB"/>
    <w:rsid w:val="008B6F54"/>
    <w:rsid w:val="008C0597"/>
    <w:rsid w:val="008C62D5"/>
    <w:rsid w:val="008C68F1"/>
    <w:rsid w:val="008C6BE3"/>
    <w:rsid w:val="008C7A71"/>
    <w:rsid w:val="008D00B1"/>
    <w:rsid w:val="008D465B"/>
    <w:rsid w:val="008D6B4D"/>
    <w:rsid w:val="008E13D8"/>
    <w:rsid w:val="008E2142"/>
    <w:rsid w:val="008E47A4"/>
    <w:rsid w:val="008E5E12"/>
    <w:rsid w:val="008E63B3"/>
    <w:rsid w:val="008E7605"/>
    <w:rsid w:val="008E7C72"/>
    <w:rsid w:val="008F113D"/>
    <w:rsid w:val="008F265E"/>
    <w:rsid w:val="008F2B47"/>
    <w:rsid w:val="008F358A"/>
    <w:rsid w:val="008F53C2"/>
    <w:rsid w:val="008F62CB"/>
    <w:rsid w:val="008F701F"/>
    <w:rsid w:val="00900EBA"/>
    <w:rsid w:val="009014D9"/>
    <w:rsid w:val="00902033"/>
    <w:rsid w:val="00902CDC"/>
    <w:rsid w:val="00904071"/>
    <w:rsid w:val="00905056"/>
    <w:rsid w:val="0090618D"/>
    <w:rsid w:val="00910F67"/>
    <w:rsid w:val="009141A9"/>
    <w:rsid w:val="009144BF"/>
    <w:rsid w:val="00914D10"/>
    <w:rsid w:val="0091569B"/>
    <w:rsid w:val="00916FE8"/>
    <w:rsid w:val="00920767"/>
    <w:rsid w:val="00921803"/>
    <w:rsid w:val="00921F2A"/>
    <w:rsid w:val="009225D3"/>
    <w:rsid w:val="00923AD0"/>
    <w:rsid w:val="00923B3C"/>
    <w:rsid w:val="00925D0F"/>
    <w:rsid w:val="00926503"/>
    <w:rsid w:val="00932064"/>
    <w:rsid w:val="00935B1E"/>
    <w:rsid w:val="00941A9E"/>
    <w:rsid w:val="0094228C"/>
    <w:rsid w:val="00942A66"/>
    <w:rsid w:val="00946249"/>
    <w:rsid w:val="0095338A"/>
    <w:rsid w:val="00953D45"/>
    <w:rsid w:val="00954E6C"/>
    <w:rsid w:val="0095730A"/>
    <w:rsid w:val="009578CC"/>
    <w:rsid w:val="00960993"/>
    <w:rsid w:val="00961A3C"/>
    <w:rsid w:val="00964A26"/>
    <w:rsid w:val="00965C60"/>
    <w:rsid w:val="0096709A"/>
    <w:rsid w:val="00971BB6"/>
    <w:rsid w:val="00972424"/>
    <w:rsid w:val="009726D8"/>
    <w:rsid w:val="00972749"/>
    <w:rsid w:val="00975D4D"/>
    <w:rsid w:val="0097727F"/>
    <w:rsid w:val="009812A9"/>
    <w:rsid w:val="009816C7"/>
    <w:rsid w:val="00982646"/>
    <w:rsid w:val="00983949"/>
    <w:rsid w:val="0098495D"/>
    <w:rsid w:val="00992109"/>
    <w:rsid w:val="00992FD7"/>
    <w:rsid w:val="00993597"/>
    <w:rsid w:val="00995514"/>
    <w:rsid w:val="009A1DB3"/>
    <w:rsid w:val="009A2546"/>
    <w:rsid w:val="009A508E"/>
    <w:rsid w:val="009A59DE"/>
    <w:rsid w:val="009B006A"/>
    <w:rsid w:val="009B1703"/>
    <w:rsid w:val="009B61B5"/>
    <w:rsid w:val="009B6B62"/>
    <w:rsid w:val="009B7C0F"/>
    <w:rsid w:val="009C1BF2"/>
    <w:rsid w:val="009C3999"/>
    <w:rsid w:val="009C7420"/>
    <w:rsid w:val="009D5D23"/>
    <w:rsid w:val="009D5DE7"/>
    <w:rsid w:val="009D7308"/>
    <w:rsid w:val="009E0396"/>
    <w:rsid w:val="009E0D78"/>
    <w:rsid w:val="009E5732"/>
    <w:rsid w:val="009E5DFC"/>
    <w:rsid w:val="009F1330"/>
    <w:rsid w:val="009F3193"/>
    <w:rsid w:val="009F49ED"/>
    <w:rsid w:val="009F512A"/>
    <w:rsid w:val="009F7168"/>
    <w:rsid w:val="009F76DB"/>
    <w:rsid w:val="009F7D62"/>
    <w:rsid w:val="00A00102"/>
    <w:rsid w:val="00A0320C"/>
    <w:rsid w:val="00A03BB4"/>
    <w:rsid w:val="00A0402F"/>
    <w:rsid w:val="00A04531"/>
    <w:rsid w:val="00A05F1A"/>
    <w:rsid w:val="00A060D9"/>
    <w:rsid w:val="00A07900"/>
    <w:rsid w:val="00A118EE"/>
    <w:rsid w:val="00A1229E"/>
    <w:rsid w:val="00A13231"/>
    <w:rsid w:val="00A13C08"/>
    <w:rsid w:val="00A16517"/>
    <w:rsid w:val="00A1670E"/>
    <w:rsid w:val="00A20198"/>
    <w:rsid w:val="00A20ED1"/>
    <w:rsid w:val="00A25C19"/>
    <w:rsid w:val="00A26F65"/>
    <w:rsid w:val="00A32217"/>
    <w:rsid w:val="00A32C3B"/>
    <w:rsid w:val="00A354AB"/>
    <w:rsid w:val="00A42B63"/>
    <w:rsid w:val="00A446DA"/>
    <w:rsid w:val="00A45F4F"/>
    <w:rsid w:val="00A464FE"/>
    <w:rsid w:val="00A50E1A"/>
    <w:rsid w:val="00A50FD1"/>
    <w:rsid w:val="00A54323"/>
    <w:rsid w:val="00A57876"/>
    <w:rsid w:val="00A600A9"/>
    <w:rsid w:val="00A66BDC"/>
    <w:rsid w:val="00A679AB"/>
    <w:rsid w:val="00A67AD8"/>
    <w:rsid w:val="00A7043C"/>
    <w:rsid w:val="00A70B77"/>
    <w:rsid w:val="00A71A24"/>
    <w:rsid w:val="00A72926"/>
    <w:rsid w:val="00A72E70"/>
    <w:rsid w:val="00A72F6A"/>
    <w:rsid w:val="00A73D8A"/>
    <w:rsid w:val="00A76A04"/>
    <w:rsid w:val="00A77E55"/>
    <w:rsid w:val="00A81190"/>
    <w:rsid w:val="00A81F37"/>
    <w:rsid w:val="00A8547C"/>
    <w:rsid w:val="00A9677D"/>
    <w:rsid w:val="00A973B8"/>
    <w:rsid w:val="00AA1BAD"/>
    <w:rsid w:val="00AA55B7"/>
    <w:rsid w:val="00AA5B9E"/>
    <w:rsid w:val="00AB1668"/>
    <w:rsid w:val="00AB181A"/>
    <w:rsid w:val="00AB2407"/>
    <w:rsid w:val="00AB29DA"/>
    <w:rsid w:val="00AB53DF"/>
    <w:rsid w:val="00AB56C9"/>
    <w:rsid w:val="00AC193F"/>
    <w:rsid w:val="00AC1EC9"/>
    <w:rsid w:val="00AC3E34"/>
    <w:rsid w:val="00AC6692"/>
    <w:rsid w:val="00AC7DC4"/>
    <w:rsid w:val="00AD595B"/>
    <w:rsid w:val="00AD79DB"/>
    <w:rsid w:val="00AE410E"/>
    <w:rsid w:val="00AE4B24"/>
    <w:rsid w:val="00AE5C9E"/>
    <w:rsid w:val="00AE7AD3"/>
    <w:rsid w:val="00AF2579"/>
    <w:rsid w:val="00AF56FE"/>
    <w:rsid w:val="00B01E89"/>
    <w:rsid w:val="00B02C7F"/>
    <w:rsid w:val="00B06D18"/>
    <w:rsid w:val="00B07E5C"/>
    <w:rsid w:val="00B10E3C"/>
    <w:rsid w:val="00B12214"/>
    <w:rsid w:val="00B122AF"/>
    <w:rsid w:val="00B1439D"/>
    <w:rsid w:val="00B15883"/>
    <w:rsid w:val="00B1618C"/>
    <w:rsid w:val="00B209B2"/>
    <w:rsid w:val="00B20D6F"/>
    <w:rsid w:val="00B225B5"/>
    <w:rsid w:val="00B2305F"/>
    <w:rsid w:val="00B23C77"/>
    <w:rsid w:val="00B257B1"/>
    <w:rsid w:val="00B2797E"/>
    <w:rsid w:val="00B31526"/>
    <w:rsid w:val="00B3173D"/>
    <w:rsid w:val="00B3212E"/>
    <w:rsid w:val="00B32997"/>
    <w:rsid w:val="00B403BB"/>
    <w:rsid w:val="00B41056"/>
    <w:rsid w:val="00B41EDA"/>
    <w:rsid w:val="00B44721"/>
    <w:rsid w:val="00B452AE"/>
    <w:rsid w:val="00B45A42"/>
    <w:rsid w:val="00B45CCC"/>
    <w:rsid w:val="00B51020"/>
    <w:rsid w:val="00B530A2"/>
    <w:rsid w:val="00B57232"/>
    <w:rsid w:val="00B6074A"/>
    <w:rsid w:val="00B60D50"/>
    <w:rsid w:val="00B61F0B"/>
    <w:rsid w:val="00B662E4"/>
    <w:rsid w:val="00B6727E"/>
    <w:rsid w:val="00B6738D"/>
    <w:rsid w:val="00B70DBE"/>
    <w:rsid w:val="00B73EEF"/>
    <w:rsid w:val="00B77334"/>
    <w:rsid w:val="00B811F7"/>
    <w:rsid w:val="00B81F30"/>
    <w:rsid w:val="00B85419"/>
    <w:rsid w:val="00B85D96"/>
    <w:rsid w:val="00B85F59"/>
    <w:rsid w:val="00B860BE"/>
    <w:rsid w:val="00B9097A"/>
    <w:rsid w:val="00B9206E"/>
    <w:rsid w:val="00B92D40"/>
    <w:rsid w:val="00B95890"/>
    <w:rsid w:val="00B9650C"/>
    <w:rsid w:val="00B96EAF"/>
    <w:rsid w:val="00B975E8"/>
    <w:rsid w:val="00B97B2C"/>
    <w:rsid w:val="00BA3094"/>
    <w:rsid w:val="00BA3D6F"/>
    <w:rsid w:val="00BA5DC6"/>
    <w:rsid w:val="00BA6196"/>
    <w:rsid w:val="00BA7137"/>
    <w:rsid w:val="00BA73CE"/>
    <w:rsid w:val="00BA7D9B"/>
    <w:rsid w:val="00BB0E87"/>
    <w:rsid w:val="00BB24C0"/>
    <w:rsid w:val="00BB545B"/>
    <w:rsid w:val="00BB5D74"/>
    <w:rsid w:val="00BB61B2"/>
    <w:rsid w:val="00BC0E31"/>
    <w:rsid w:val="00BC1605"/>
    <w:rsid w:val="00BC37B0"/>
    <w:rsid w:val="00BC4716"/>
    <w:rsid w:val="00BC4F86"/>
    <w:rsid w:val="00BC6D8C"/>
    <w:rsid w:val="00BD187B"/>
    <w:rsid w:val="00BD2EEC"/>
    <w:rsid w:val="00BD320E"/>
    <w:rsid w:val="00BD5087"/>
    <w:rsid w:val="00BE2655"/>
    <w:rsid w:val="00BE2C75"/>
    <w:rsid w:val="00BE45C3"/>
    <w:rsid w:val="00BE5BF6"/>
    <w:rsid w:val="00BE7089"/>
    <w:rsid w:val="00BF15DB"/>
    <w:rsid w:val="00BF1E27"/>
    <w:rsid w:val="00BF4AA7"/>
    <w:rsid w:val="00BF61D4"/>
    <w:rsid w:val="00BF6A17"/>
    <w:rsid w:val="00BF73B5"/>
    <w:rsid w:val="00C003FC"/>
    <w:rsid w:val="00C019E9"/>
    <w:rsid w:val="00C03D8C"/>
    <w:rsid w:val="00C05205"/>
    <w:rsid w:val="00C070CB"/>
    <w:rsid w:val="00C11746"/>
    <w:rsid w:val="00C20C91"/>
    <w:rsid w:val="00C23000"/>
    <w:rsid w:val="00C24BB2"/>
    <w:rsid w:val="00C24D39"/>
    <w:rsid w:val="00C26800"/>
    <w:rsid w:val="00C273EE"/>
    <w:rsid w:val="00C31BB0"/>
    <w:rsid w:val="00C32265"/>
    <w:rsid w:val="00C32831"/>
    <w:rsid w:val="00C34006"/>
    <w:rsid w:val="00C345D9"/>
    <w:rsid w:val="00C36B4C"/>
    <w:rsid w:val="00C41996"/>
    <w:rsid w:val="00C426B1"/>
    <w:rsid w:val="00C427BA"/>
    <w:rsid w:val="00C43B75"/>
    <w:rsid w:val="00C43F7F"/>
    <w:rsid w:val="00C45387"/>
    <w:rsid w:val="00C4792C"/>
    <w:rsid w:val="00C5005D"/>
    <w:rsid w:val="00C518B6"/>
    <w:rsid w:val="00C5637A"/>
    <w:rsid w:val="00C57312"/>
    <w:rsid w:val="00C60B43"/>
    <w:rsid w:val="00C61224"/>
    <w:rsid w:val="00C652BE"/>
    <w:rsid w:val="00C66160"/>
    <w:rsid w:val="00C67687"/>
    <w:rsid w:val="00C721AC"/>
    <w:rsid w:val="00C74870"/>
    <w:rsid w:val="00C75BFA"/>
    <w:rsid w:val="00C769AF"/>
    <w:rsid w:val="00C76EC1"/>
    <w:rsid w:val="00C8079F"/>
    <w:rsid w:val="00C81949"/>
    <w:rsid w:val="00C81AAE"/>
    <w:rsid w:val="00C84186"/>
    <w:rsid w:val="00C85B83"/>
    <w:rsid w:val="00C90765"/>
    <w:rsid w:val="00C90D6A"/>
    <w:rsid w:val="00C92048"/>
    <w:rsid w:val="00C92660"/>
    <w:rsid w:val="00C94108"/>
    <w:rsid w:val="00C9571A"/>
    <w:rsid w:val="00CA199D"/>
    <w:rsid w:val="00CA247E"/>
    <w:rsid w:val="00CA31F2"/>
    <w:rsid w:val="00CA3421"/>
    <w:rsid w:val="00CA432D"/>
    <w:rsid w:val="00CA5C92"/>
    <w:rsid w:val="00CA6D21"/>
    <w:rsid w:val="00CA7EF2"/>
    <w:rsid w:val="00CB0A61"/>
    <w:rsid w:val="00CB28F1"/>
    <w:rsid w:val="00CB6910"/>
    <w:rsid w:val="00CB7E45"/>
    <w:rsid w:val="00CC15DF"/>
    <w:rsid w:val="00CC1B4F"/>
    <w:rsid w:val="00CC3BDA"/>
    <w:rsid w:val="00CC3CA9"/>
    <w:rsid w:val="00CC4EF8"/>
    <w:rsid w:val="00CC6971"/>
    <w:rsid w:val="00CC72B6"/>
    <w:rsid w:val="00CD2539"/>
    <w:rsid w:val="00CD33F0"/>
    <w:rsid w:val="00CE15CB"/>
    <w:rsid w:val="00CE4FF3"/>
    <w:rsid w:val="00CE6F70"/>
    <w:rsid w:val="00CF0244"/>
    <w:rsid w:val="00CF291E"/>
    <w:rsid w:val="00CF2BB1"/>
    <w:rsid w:val="00CF3439"/>
    <w:rsid w:val="00CF3920"/>
    <w:rsid w:val="00D005A1"/>
    <w:rsid w:val="00D0218D"/>
    <w:rsid w:val="00D05EAA"/>
    <w:rsid w:val="00D074DF"/>
    <w:rsid w:val="00D10CD3"/>
    <w:rsid w:val="00D1195D"/>
    <w:rsid w:val="00D13DF9"/>
    <w:rsid w:val="00D1400B"/>
    <w:rsid w:val="00D1455F"/>
    <w:rsid w:val="00D152F4"/>
    <w:rsid w:val="00D1790E"/>
    <w:rsid w:val="00D20A00"/>
    <w:rsid w:val="00D20D23"/>
    <w:rsid w:val="00D22010"/>
    <w:rsid w:val="00D24726"/>
    <w:rsid w:val="00D24CD5"/>
    <w:rsid w:val="00D25FB5"/>
    <w:rsid w:val="00D27E62"/>
    <w:rsid w:val="00D27ED7"/>
    <w:rsid w:val="00D339F5"/>
    <w:rsid w:val="00D34677"/>
    <w:rsid w:val="00D348FD"/>
    <w:rsid w:val="00D360C1"/>
    <w:rsid w:val="00D367EC"/>
    <w:rsid w:val="00D376DD"/>
    <w:rsid w:val="00D405F1"/>
    <w:rsid w:val="00D40BCD"/>
    <w:rsid w:val="00D43FE6"/>
    <w:rsid w:val="00D44223"/>
    <w:rsid w:val="00D471D3"/>
    <w:rsid w:val="00D53CBF"/>
    <w:rsid w:val="00D54150"/>
    <w:rsid w:val="00D55ED0"/>
    <w:rsid w:val="00D62015"/>
    <w:rsid w:val="00D62EBF"/>
    <w:rsid w:val="00D6354E"/>
    <w:rsid w:val="00D6514D"/>
    <w:rsid w:val="00D65BB6"/>
    <w:rsid w:val="00D70509"/>
    <w:rsid w:val="00D74A29"/>
    <w:rsid w:val="00D758BC"/>
    <w:rsid w:val="00D8220D"/>
    <w:rsid w:val="00D92F5F"/>
    <w:rsid w:val="00D93147"/>
    <w:rsid w:val="00D9542A"/>
    <w:rsid w:val="00D95707"/>
    <w:rsid w:val="00DA205F"/>
    <w:rsid w:val="00DA2195"/>
    <w:rsid w:val="00DA2529"/>
    <w:rsid w:val="00DA384D"/>
    <w:rsid w:val="00DA7F87"/>
    <w:rsid w:val="00DB0B80"/>
    <w:rsid w:val="00DB130A"/>
    <w:rsid w:val="00DB14D0"/>
    <w:rsid w:val="00DB2315"/>
    <w:rsid w:val="00DB2EBB"/>
    <w:rsid w:val="00DB494E"/>
    <w:rsid w:val="00DB64BE"/>
    <w:rsid w:val="00DC08BE"/>
    <w:rsid w:val="00DC10A1"/>
    <w:rsid w:val="00DC24EE"/>
    <w:rsid w:val="00DC2A3F"/>
    <w:rsid w:val="00DC5863"/>
    <w:rsid w:val="00DC655F"/>
    <w:rsid w:val="00DD0B59"/>
    <w:rsid w:val="00DD161F"/>
    <w:rsid w:val="00DD38A5"/>
    <w:rsid w:val="00DD456D"/>
    <w:rsid w:val="00DD519F"/>
    <w:rsid w:val="00DD6E8D"/>
    <w:rsid w:val="00DD72E0"/>
    <w:rsid w:val="00DD75FE"/>
    <w:rsid w:val="00DD7EBD"/>
    <w:rsid w:val="00DE0905"/>
    <w:rsid w:val="00DE0C72"/>
    <w:rsid w:val="00DE3C47"/>
    <w:rsid w:val="00DE5CE1"/>
    <w:rsid w:val="00DE5FDB"/>
    <w:rsid w:val="00DF0AF8"/>
    <w:rsid w:val="00DF2692"/>
    <w:rsid w:val="00DF334A"/>
    <w:rsid w:val="00DF4C85"/>
    <w:rsid w:val="00DF561B"/>
    <w:rsid w:val="00DF576F"/>
    <w:rsid w:val="00DF62B6"/>
    <w:rsid w:val="00DF6C97"/>
    <w:rsid w:val="00DF6CD5"/>
    <w:rsid w:val="00DF768F"/>
    <w:rsid w:val="00E02A4A"/>
    <w:rsid w:val="00E03B25"/>
    <w:rsid w:val="00E06C6E"/>
    <w:rsid w:val="00E07225"/>
    <w:rsid w:val="00E10AFE"/>
    <w:rsid w:val="00E125AF"/>
    <w:rsid w:val="00E15707"/>
    <w:rsid w:val="00E2039E"/>
    <w:rsid w:val="00E20BC4"/>
    <w:rsid w:val="00E21FFC"/>
    <w:rsid w:val="00E228D1"/>
    <w:rsid w:val="00E2432E"/>
    <w:rsid w:val="00E24D82"/>
    <w:rsid w:val="00E302DB"/>
    <w:rsid w:val="00E30888"/>
    <w:rsid w:val="00E34F1F"/>
    <w:rsid w:val="00E43566"/>
    <w:rsid w:val="00E45D4D"/>
    <w:rsid w:val="00E5138F"/>
    <w:rsid w:val="00E52121"/>
    <w:rsid w:val="00E52705"/>
    <w:rsid w:val="00E5315B"/>
    <w:rsid w:val="00E5409F"/>
    <w:rsid w:val="00E54A0C"/>
    <w:rsid w:val="00E54E3F"/>
    <w:rsid w:val="00E55C44"/>
    <w:rsid w:val="00E55FC3"/>
    <w:rsid w:val="00E61C99"/>
    <w:rsid w:val="00E63926"/>
    <w:rsid w:val="00E64509"/>
    <w:rsid w:val="00E64B9D"/>
    <w:rsid w:val="00E65BD6"/>
    <w:rsid w:val="00E66D14"/>
    <w:rsid w:val="00E71F17"/>
    <w:rsid w:val="00E74392"/>
    <w:rsid w:val="00E743B1"/>
    <w:rsid w:val="00E7741F"/>
    <w:rsid w:val="00E8043C"/>
    <w:rsid w:val="00E8114A"/>
    <w:rsid w:val="00E81709"/>
    <w:rsid w:val="00E82754"/>
    <w:rsid w:val="00E84B65"/>
    <w:rsid w:val="00E852F7"/>
    <w:rsid w:val="00E86FC3"/>
    <w:rsid w:val="00E870FE"/>
    <w:rsid w:val="00E91A8E"/>
    <w:rsid w:val="00E937F2"/>
    <w:rsid w:val="00E942A1"/>
    <w:rsid w:val="00E955C8"/>
    <w:rsid w:val="00E96C20"/>
    <w:rsid w:val="00E96FDD"/>
    <w:rsid w:val="00EA318B"/>
    <w:rsid w:val="00EA445B"/>
    <w:rsid w:val="00EA53A8"/>
    <w:rsid w:val="00EA5D2B"/>
    <w:rsid w:val="00EA7CBA"/>
    <w:rsid w:val="00EB5A88"/>
    <w:rsid w:val="00EB617B"/>
    <w:rsid w:val="00EB7AA3"/>
    <w:rsid w:val="00EC7944"/>
    <w:rsid w:val="00EC7C2B"/>
    <w:rsid w:val="00ED04CA"/>
    <w:rsid w:val="00ED064D"/>
    <w:rsid w:val="00ED084B"/>
    <w:rsid w:val="00ED4435"/>
    <w:rsid w:val="00ED517A"/>
    <w:rsid w:val="00ED66C9"/>
    <w:rsid w:val="00ED76FA"/>
    <w:rsid w:val="00EE0889"/>
    <w:rsid w:val="00EE2742"/>
    <w:rsid w:val="00EE2B44"/>
    <w:rsid w:val="00EE31FD"/>
    <w:rsid w:val="00EE3468"/>
    <w:rsid w:val="00EE51C1"/>
    <w:rsid w:val="00EE575C"/>
    <w:rsid w:val="00EE6488"/>
    <w:rsid w:val="00EF1CF6"/>
    <w:rsid w:val="00EF1F06"/>
    <w:rsid w:val="00EF3D40"/>
    <w:rsid w:val="00EF4F37"/>
    <w:rsid w:val="00EF5D0B"/>
    <w:rsid w:val="00EF5FA2"/>
    <w:rsid w:val="00EF6E50"/>
    <w:rsid w:val="00EF778A"/>
    <w:rsid w:val="00EF7C08"/>
    <w:rsid w:val="00F01296"/>
    <w:rsid w:val="00F020E1"/>
    <w:rsid w:val="00F021FA"/>
    <w:rsid w:val="00F0486A"/>
    <w:rsid w:val="00F05C15"/>
    <w:rsid w:val="00F07020"/>
    <w:rsid w:val="00F07E1F"/>
    <w:rsid w:val="00F10D31"/>
    <w:rsid w:val="00F116AA"/>
    <w:rsid w:val="00F129BD"/>
    <w:rsid w:val="00F12D43"/>
    <w:rsid w:val="00F1343D"/>
    <w:rsid w:val="00F15D80"/>
    <w:rsid w:val="00F1738D"/>
    <w:rsid w:val="00F20F17"/>
    <w:rsid w:val="00F220E9"/>
    <w:rsid w:val="00F2293C"/>
    <w:rsid w:val="00F23A62"/>
    <w:rsid w:val="00F251CB"/>
    <w:rsid w:val="00F25B6D"/>
    <w:rsid w:val="00F262A8"/>
    <w:rsid w:val="00F30667"/>
    <w:rsid w:val="00F319FE"/>
    <w:rsid w:val="00F32272"/>
    <w:rsid w:val="00F34D38"/>
    <w:rsid w:val="00F34E35"/>
    <w:rsid w:val="00F363F9"/>
    <w:rsid w:val="00F447E9"/>
    <w:rsid w:val="00F4645D"/>
    <w:rsid w:val="00F46B2B"/>
    <w:rsid w:val="00F51FCF"/>
    <w:rsid w:val="00F534FE"/>
    <w:rsid w:val="00F5362E"/>
    <w:rsid w:val="00F55ACE"/>
    <w:rsid w:val="00F60647"/>
    <w:rsid w:val="00F62E97"/>
    <w:rsid w:val="00F64209"/>
    <w:rsid w:val="00F655CF"/>
    <w:rsid w:val="00F6672F"/>
    <w:rsid w:val="00F6699A"/>
    <w:rsid w:val="00F730E6"/>
    <w:rsid w:val="00F73D1B"/>
    <w:rsid w:val="00F74FC8"/>
    <w:rsid w:val="00F7536C"/>
    <w:rsid w:val="00F8210E"/>
    <w:rsid w:val="00F84BBF"/>
    <w:rsid w:val="00F86E4E"/>
    <w:rsid w:val="00F93BF5"/>
    <w:rsid w:val="00F94942"/>
    <w:rsid w:val="00F95B7C"/>
    <w:rsid w:val="00F9645C"/>
    <w:rsid w:val="00F976A0"/>
    <w:rsid w:val="00F97EAC"/>
    <w:rsid w:val="00FA2799"/>
    <w:rsid w:val="00FA47E3"/>
    <w:rsid w:val="00FA77C6"/>
    <w:rsid w:val="00FB01BC"/>
    <w:rsid w:val="00FB0295"/>
    <w:rsid w:val="00FB04AC"/>
    <w:rsid w:val="00FB0AB9"/>
    <w:rsid w:val="00FB1B2F"/>
    <w:rsid w:val="00FB5E00"/>
    <w:rsid w:val="00FB6BDD"/>
    <w:rsid w:val="00FB7089"/>
    <w:rsid w:val="00FB7A8B"/>
    <w:rsid w:val="00FC0308"/>
    <w:rsid w:val="00FC1629"/>
    <w:rsid w:val="00FC2134"/>
    <w:rsid w:val="00FC2892"/>
    <w:rsid w:val="00FC3520"/>
    <w:rsid w:val="00FC3BAA"/>
    <w:rsid w:val="00FC41ED"/>
    <w:rsid w:val="00FC563B"/>
    <w:rsid w:val="00FD0B43"/>
    <w:rsid w:val="00FD1195"/>
    <w:rsid w:val="00FD16DC"/>
    <w:rsid w:val="00FD1D8A"/>
    <w:rsid w:val="00FD3435"/>
    <w:rsid w:val="00FD48F2"/>
    <w:rsid w:val="00FD6FAA"/>
    <w:rsid w:val="00FD7F48"/>
    <w:rsid w:val="00FE5174"/>
    <w:rsid w:val="00FE65FB"/>
    <w:rsid w:val="00FF1DE9"/>
    <w:rsid w:val="00FF36E2"/>
    <w:rsid w:val="00FF4A30"/>
    <w:rsid w:val="00FF50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CD82979-828C-429E-AEB5-E400902E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0FA"/>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link w:val="Heading1Char"/>
    <w:qFormat/>
    <w:rsid w:val="002840F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UNDERRUBRIK 1-2 Char,h2,h2 Char"/>
    <w:basedOn w:val="Normal"/>
    <w:next w:val="ParaNum"/>
    <w:autoRedefine/>
    <w:qFormat/>
    <w:rsid w:val="002840FA"/>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2840FA"/>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2840FA"/>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2840FA"/>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2840FA"/>
    <w:pPr>
      <w:numPr>
        <w:ilvl w:val="5"/>
        <w:numId w:val="3"/>
      </w:numPr>
      <w:tabs>
        <w:tab w:val="left" w:pos="4320"/>
      </w:tabs>
      <w:spacing w:after="120"/>
      <w:outlineLvl w:val="5"/>
    </w:pPr>
    <w:rPr>
      <w:b/>
    </w:rPr>
  </w:style>
  <w:style w:type="paragraph" w:styleId="Heading7">
    <w:name w:val="heading 7"/>
    <w:basedOn w:val="Normal"/>
    <w:next w:val="ParaNum"/>
    <w:qFormat/>
    <w:rsid w:val="002840F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840FA"/>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2840F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840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840FA"/>
  </w:style>
  <w:style w:type="paragraph" w:customStyle="1" w:styleId="ParaNum">
    <w:name w:val="ParaNum"/>
    <w:basedOn w:val="Normal"/>
    <w:link w:val="ParaNumChar"/>
    <w:rsid w:val="002840FA"/>
    <w:pPr>
      <w:numPr>
        <w:numId w:val="2"/>
      </w:numPr>
      <w:tabs>
        <w:tab w:val="clear" w:pos="1080"/>
        <w:tab w:val="num" w:pos="1440"/>
      </w:tabs>
      <w:spacing w:after="120"/>
    </w:pPr>
  </w:style>
  <w:style w:type="paragraph" w:styleId="EndnoteText">
    <w:name w:val="endnote text"/>
    <w:basedOn w:val="Normal"/>
    <w:semiHidden/>
    <w:rsid w:val="002840FA"/>
    <w:rPr>
      <w:sz w:val="20"/>
    </w:rPr>
  </w:style>
  <w:style w:type="character" w:styleId="EndnoteReference">
    <w:name w:val="endnote reference"/>
    <w:semiHidden/>
    <w:rsid w:val="002840FA"/>
    <w:rPr>
      <w:vertAlign w:val="superscript"/>
    </w:rPr>
  </w:style>
  <w:style w:type="paragraph" w:styleId="FootnoteText">
    <w:name w:val="footnote text"/>
    <w:aliases w:val="Footnote Text Char,Footnote Text Char Char Char Char Char1 Char,Footnote Text Char Char1 Char1 Char,Footnote Text Char1,Footnote Text Char1 Char,Footnote Text Char1 Char Char Char1 Char,Footnote Text Char2,Footnote Text Char2 Char1 Char,f"/>
    <w:link w:val="FootnoteTextChar3"/>
    <w:rsid w:val="002840FA"/>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840FA"/>
    <w:rPr>
      <w:rFonts w:ascii="Times New Roman" w:hAnsi="Times New Roman"/>
      <w:dstrike w:val="0"/>
      <w:color w:val="auto"/>
      <w:sz w:val="20"/>
      <w:vertAlign w:val="superscript"/>
    </w:rPr>
  </w:style>
  <w:style w:type="paragraph" w:styleId="TOC1">
    <w:name w:val="toc 1"/>
    <w:basedOn w:val="Normal"/>
    <w:next w:val="Normal"/>
    <w:rsid w:val="002840FA"/>
    <w:pPr>
      <w:tabs>
        <w:tab w:val="left" w:pos="360"/>
        <w:tab w:val="right" w:leader="dot" w:pos="9360"/>
      </w:tabs>
      <w:suppressAutoHyphens/>
      <w:ind w:left="360" w:right="720" w:hanging="360"/>
    </w:pPr>
    <w:rPr>
      <w:caps/>
      <w:noProof/>
    </w:rPr>
  </w:style>
  <w:style w:type="paragraph" w:styleId="TOC2">
    <w:name w:val="toc 2"/>
    <w:basedOn w:val="Normal"/>
    <w:next w:val="Normal"/>
    <w:rsid w:val="002840FA"/>
    <w:pPr>
      <w:tabs>
        <w:tab w:val="left" w:pos="720"/>
        <w:tab w:val="right" w:leader="dot" w:pos="9360"/>
      </w:tabs>
      <w:suppressAutoHyphens/>
      <w:ind w:left="720" w:right="720" w:hanging="360"/>
    </w:pPr>
    <w:rPr>
      <w:noProof/>
    </w:rPr>
  </w:style>
  <w:style w:type="paragraph" w:styleId="TOC3">
    <w:name w:val="toc 3"/>
    <w:basedOn w:val="Normal"/>
    <w:next w:val="Normal"/>
    <w:rsid w:val="002840F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840F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840F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840F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840F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840F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840F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840FA"/>
    <w:pPr>
      <w:tabs>
        <w:tab w:val="right" w:pos="9360"/>
      </w:tabs>
      <w:suppressAutoHyphens/>
    </w:pPr>
  </w:style>
  <w:style w:type="character" w:customStyle="1" w:styleId="EquationCaption">
    <w:name w:val="_Equation Caption"/>
    <w:rsid w:val="002840FA"/>
  </w:style>
  <w:style w:type="paragraph" w:styleId="Header">
    <w:name w:val="header"/>
    <w:basedOn w:val="Normal"/>
    <w:autoRedefine/>
    <w:rsid w:val="002840FA"/>
    <w:pPr>
      <w:tabs>
        <w:tab w:val="center" w:pos="4680"/>
        <w:tab w:val="right" w:pos="9360"/>
      </w:tabs>
    </w:pPr>
    <w:rPr>
      <w:b/>
    </w:rPr>
  </w:style>
  <w:style w:type="paragraph" w:styleId="Footer">
    <w:name w:val="footer"/>
    <w:basedOn w:val="Normal"/>
    <w:link w:val="FooterChar"/>
    <w:uiPriority w:val="99"/>
    <w:rsid w:val="002840FA"/>
    <w:pPr>
      <w:tabs>
        <w:tab w:val="center" w:pos="4320"/>
        <w:tab w:val="right" w:pos="8640"/>
      </w:tabs>
    </w:pPr>
  </w:style>
  <w:style w:type="character" w:styleId="PageNumber">
    <w:name w:val="page number"/>
    <w:basedOn w:val="DefaultParagraphFont"/>
    <w:rsid w:val="002840FA"/>
  </w:style>
  <w:style w:type="paragraph" w:styleId="BlockText">
    <w:name w:val="Block Text"/>
    <w:basedOn w:val="Normal"/>
    <w:rsid w:val="002840FA"/>
    <w:pPr>
      <w:spacing w:after="240"/>
      <w:ind w:left="1440" w:right="1440"/>
    </w:pPr>
  </w:style>
  <w:style w:type="paragraph" w:customStyle="1" w:styleId="Paratitle">
    <w:name w:val="Para title"/>
    <w:basedOn w:val="Normal"/>
    <w:rsid w:val="002840FA"/>
    <w:pPr>
      <w:tabs>
        <w:tab w:val="center" w:pos="9270"/>
      </w:tabs>
      <w:spacing w:after="240"/>
    </w:pPr>
    <w:rPr>
      <w:spacing w:val="-2"/>
    </w:rPr>
  </w:style>
  <w:style w:type="paragraph" w:customStyle="1" w:styleId="Bullet">
    <w:name w:val="Bullet"/>
    <w:basedOn w:val="Normal"/>
    <w:rsid w:val="002840FA"/>
    <w:pPr>
      <w:tabs>
        <w:tab w:val="left" w:pos="2160"/>
      </w:tabs>
      <w:spacing w:after="220"/>
      <w:ind w:left="2160" w:hanging="720"/>
    </w:pPr>
  </w:style>
  <w:style w:type="paragraph" w:customStyle="1" w:styleId="TableFormat">
    <w:name w:val="TableFormat"/>
    <w:basedOn w:val="Bullet"/>
    <w:rsid w:val="002840FA"/>
    <w:pPr>
      <w:tabs>
        <w:tab w:val="clear" w:pos="2160"/>
        <w:tab w:val="left" w:pos="5040"/>
      </w:tabs>
      <w:ind w:left="5040" w:hanging="3600"/>
    </w:pPr>
  </w:style>
  <w:style w:type="paragraph" w:customStyle="1" w:styleId="TOCTitle">
    <w:name w:val="TOC Title"/>
    <w:basedOn w:val="Normal"/>
    <w:rsid w:val="002840F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840FA"/>
    <w:pPr>
      <w:jc w:val="center"/>
    </w:pPr>
    <w:rPr>
      <w:rFonts w:ascii="Times New Roman Bold" w:hAnsi="Times New Roman Bold"/>
      <w:b/>
      <w:bCs/>
      <w:caps/>
      <w:szCs w:val="22"/>
    </w:rPr>
  </w:style>
  <w:style w:type="character" w:styleId="Hyperlink">
    <w:name w:val="Hyperlink"/>
    <w:rsid w:val="002840FA"/>
    <w:rPr>
      <w:color w:val="0000FF"/>
      <w:u w:val="single"/>
    </w:rPr>
  </w:style>
  <w:style w:type="character" w:customStyle="1" w:styleId="FooterChar">
    <w:name w:val="Footer Char"/>
    <w:link w:val="Footer"/>
    <w:uiPriority w:val="99"/>
    <w:rsid w:val="002840FA"/>
    <w:rPr>
      <w:snapToGrid w:val="0"/>
      <w:kern w:val="28"/>
      <w:sz w:val="22"/>
    </w:rPr>
  </w:style>
  <w:style w:type="paragraph" w:styleId="ListParagraph">
    <w:name w:val="List Paragraph"/>
    <w:basedOn w:val="Normal"/>
    <w:uiPriority w:val="34"/>
    <w:qFormat/>
    <w:rsid w:val="005F5FA9"/>
    <w:pPr>
      <w:ind w:left="720"/>
      <w:contextualSpacing/>
    </w:pPr>
    <w:rPr>
      <w:rFonts w:eastAsia="Calibri"/>
      <w:snapToGrid/>
    </w:rPr>
  </w:style>
  <w:style w:type="character" w:customStyle="1" w:styleId="FootnoteTextChar3">
    <w:name w:val="Footnote Text Char3"/>
    <w:aliases w:val="Footnote Text Char Char Char Char Char1 Char Char,Footnote Text Char Char1 Char1 Char Char,Footnote Text Char1 Char Char,Footnote Text Char1 Char Char Char1 Char Char,Footnote Text Char2 Char,Footnote Text Char2 Char1 Char Char"/>
    <w:link w:val="FootnoteText"/>
    <w:rsid w:val="00654067"/>
  </w:style>
  <w:style w:type="character" w:customStyle="1" w:styleId="ParaNumChar">
    <w:name w:val="ParaNum Char"/>
    <w:link w:val="ParaNum"/>
    <w:rsid w:val="00FB5E00"/>
    <w:rPr>
      <w:snapToGrid w:val="0"/>
      <w:kern w:val="28"/>
      <w:sz w:val="22"/>
    </w:rPr>
  </w:style>
  <w:style w:type="character" w:customStyle="1" w:styleId="UnresolvedMention">
    <w:name w:val="Unresolved Mention"/>
    <w:uiPriority w:val="99"/>
    <w:semiHidden/>
    <w:unhideWhenUsed/>
    <w:rsid w:val="0053544C"/>
    <w:rPr>
      <w:color w:val="605E5C"/>
      <w:shd w:val="clear" w:color="auto" w:fill="E1DFDD"/>
    </w:rPr>
  </w:style>
  <w:style w:type="character" w:customStyle="1" w:styleId="Heading1Char">
    <w:name w:val="Heading 1 Char"/>
    <w:aliases w:val="Heading 1 Char Char Char Char,Heading 1 Char Char Char Char Char Char,Heading 1 Char Char Char1 Char,Heading 1 Char Char1 Char Char,Heading 1 Char Char1 Char1,Heading 1 Char Char2 Char,Heading 1 Char1 Char Char,Heading 1 Char1 Char1 Char"/>
    <w:link w:val="Heading1"/>
    <w:rsid w:val="00F74FC8"/>
    <w:rPr>
      <w:rFonts w:ascii="Times New Roman Bold" w:hAnsi="Times New Roman Bold"/>
      <w:b/>
      <w:caps/>
      <w:snapToGrid w:val="0"/>
      <w:kern w:val="28"/>
      <w:sz w:val="22"/>
    </w:rPr>
  </w:style>
  <w:style w:type="character" w:customStyle="1" w:styleId="ParaNumChar1">
    <w:name w:val="ParaNum Char1"/>
    <w:rsid w:val="00F74FC8"/>
    <w:rPr>
      <w:snapToGrid w:val="0"/>
      <w:kern w:val="28"/>
      <w:sz w:val="22"/>
    </w:rPr>
  </w:style>
  <w:style w:type="character" w:customStyle="1" w:styleId="CharCharCharChar">
    <w:name w:val="Char Char Char Char"/>
    <w:aliases w:val="Footnote Text Char Char Char Char Char,Footnote Text Char1 Char Char Char,Footnote Text Char1 Char Char1,Footnote Text Char1 Char1 Char Char Char Char Char,Footnote Text Char2 Char Char,Footnote Text Char2 Char1"/>
    <w:rsid w:val="00F74FC8"/>
  </w:style>
  <w:style w:type="paragraph" w:styleId="BalloonText">
    <w:name w:val="Balloon Text"/>
    <w:basedOn w:val="Normal"/>
    <w:link w:val="BalloonTextChar"/>
    <w:rsid w:val="009D5D23"/>
    <w:rPr>
      <w:rFonts w:ascii="Segoe UI" w:hAnsi="Segoe UI" w:cs="Segoe UI"/>
      <w:sz w:val="18"/>
      <w:szCs w:val="18"/>
    </w:rPr>
  </w:style>
  <w:style w:type="character" w:customStyle="1" w:styleId="BalloonTextChar">
    <w:name w:val="Balloon Text Char"/>
    <w:link w:val="BalloonText"/>
    <w:rsid w:val="009D5D23"/>
    <w:rPr>
      <w:rFonts w:ascii="Segoe UI" w:hAnsi="Segoe UI" w:cs="Segoe UI"/>
      <w:snapToGrid w:val="0"/>
      <w:kern w:val="28"/>
      <w:sz w:val="18"/>
      <w:szCs w:val="18"/>
    </w:rPr>
  </w:style>
  <w:style w:type="character" w:styleId="CommentReference">
    <w:name w:val="annotation reference"/>
    <w:rsid w:val="00D367EC"/>
    <w:rPr>
      <w:sz w:val="16"/>
      <w:szCs w:val="16"/>
    </w:rPr>
  </w:style>
  <w:style w:type="paragraph" w:styleId="CommentText">
    <w:name w:val="annotation text"/>
    <w:basedOn w:val="Normal"/>
    <w:link w:val="CommentTextChar"/>
    <w:rsid w:val="00D367EC"/>
    <w:rPr>
      <w:sz w:val="20"/>
    </w:rPr>
  </w:style>
  <w:style w:type="character" w:customStyle="1" w:styleId="CommentTextChar">
    <w:name w:val="Comment Text Char"/>
    <w:link w:val="CommentText"/>
    <w:rsid w:val="00D367EC"/>
    <w:rPr>
      <w:snapToGrid w:val="0"/>
      <w:kern w:val="28"/>
    </w:rPr>
  </w:style>
  <w:style w:type="paragraph" w:styleId="CommentSubject">
    <w:name w:val="annotation subject"/>
    <w:basedOn w:val="CommentText"/>
    <w:next w:val="CommentText"/>
    <w:link w:val="CommentSubjectChar"/>
    <w:rsid w:val="00D367EC"/>
    <w:rPr>
      <w:b/>
      <w:bCs/>
    </w:rPr>
  </w:style>
  <w:style w:type="character" w:customStyle="1" w:styleId="CommentSubjectChar">
    <w:name w:val="Comment Subject Char"/>
    <w:link w:val="CommentSubject"/>
    <w:rsid w:val="00D367EC"/>
    <w:rPr>
      <w:b/>
      <w:bCs/>
      <w:snapToGrid w:val="0"/>
      <w:kern w:val="28"/>
    </w:rPr>
  </w:style>
  <w:style w:type="paragraph" w:styleId="Revision">
    <w:name w:val="Revision"/>
    <w:hidden/>
    <w:uiPriority w:val="99"/>
    <w:semiHidden/>
    <w:rsid w:val="00A7043C"/>
    <w:rPr>
      <w:snapToGrid w:val="0"/>
      <w:kern w:val="28"/>
      <w:sz w:val="22"/>
    </w:rPr>
  </w:style>
  <w:style w:type="paragraph" w:styleId="NormalWeb">
    <w:name w:val="Normal (Web)"/>
    <w:basedOn w:val="Normal"/>
    <w:uiPriority w:val="99"/>
    <w:unhideWhenUsed/>
    <w:rsid w:val="00BE7089"/>
    <w:pPr>
      <w:spacing w:before="100" w:beforeAutospacing="1" w:after="100" w:afterAutospacing="1"/>
    </w:pPr>
    <w:rPr>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ecfs/" TargetMode="External" /><Relationship Id="rId6" Type="http://schemas.openxmlformats.org/officeDocument/2006/relationships/hyperlink" Target="mailto:fcc504@fcc.gov" TargetMode="External" /><Relationship Id="rId7" Type="http://schemas.openxmlformats.org/officeDocument/2006/relationships/hyperlink" Target="mailto:Hugh.VanTuyl@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ecfsapi.fcc.gov/file/1050380945109/White%20Spaces%20Petition%20for%20Rulemaking%20(May%203%202019).pdf" TargetMode="External" /><Relationship Id="rId2" Type="http://schemas.openxmlformats.org/officeDocument/2006/relationships/hyperlink" Target="https://factfinder.census.gov/faces/affhelp/jsf/pages/metadata.xhtml?lang=en&amp;type=ib&amp;id=ib.en./ECN.NAICS2012.334220" TargetMode="External" /><Relationship Id="rId3" Type="http://schemas.openxmlformats.org/officeDocument/2006/relationships/hyperlink" Target="https://factfinder.census.gov/bkmk/table/1.0/en/ECN/2012_US/31SG2//naics~334220"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