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767AC" w:rsidRPr="002E2121" w:rsidP="006767AC" w14:paraId="0DD35F5A" w14:textId="77777777">
      <w:pPr>
        <w:jc w:val="center"/>
        <w:rPr>
          <w:b/>
        </w:rPr>
      </w:pPr>
      <w:bookmarkStart w:id="0" w:name="_GoBack"/>
      <w:bookmarkEnd w:id="0"/>
      <w:r w:rsidRPr="003F0ACE">
        <w:rPr>
          <w:b/>
          <w:bCs/>
        </w:rPr>
        <w:t>Before the</w:t>
      </w:r>
    </w:p>
    <w:p w:rsidR="006767AC" w:rsidRPr="00FB43E6" w:rsidP="006767AC" w14:paraId="00FDA90F" w14:textId="77777777">
      <w:pPr>
        <w:jc w:val="center"/>
        <w:rPr>
          <w:b/>
        </w:rPr>
      </w:pPr>
      <w:r w:rsidRPr="003F0ACE">
        <w:rPr>
          <w:b/>
          <w:bCs/>
        </w:rPr>
        <w:t>Federal Communications Commission</w:t>
      </w:r>
    </w:p>
    <w:p w:rsidR="006767AC" w:rsidRPr="00FB43E6" w:rsidP="006767AC" w14:paraId="1E4B621E" w14:textId="77777777">
      <w:pPr>
        <w:jc w:val="center"/>
        <w:rPr>
          <w:b/>
        </w:rPr>
      </w:pPr>
      <w:r w:rsidRPr="003F0ACE">
        <w:rPr>
          <w:b/>
          <w:bCs/>
        </w:rPr>
        <w:t>Washington, D.C. 20554</w:t>
      </w:r>
    </w:p>
    <w:p w:rsidR="006767AC" w:rsidRPr="006711A2" w:rsidP="006767AC" w14:paraId="4CFFDF2F" w14:textId="77777777"/>
    <w:p w:rsidR="006767AC" w:rsidRPr="00781DB4" w:rsidP="006767AC" w14:paraId="0F21DB97" w14:textId="77777777">
      <w:pPr>
        <w:tabs>
          <w:tab w:val="left" w:pos="6060"/>
        </w:tabs>
      </w:pPr>
      <w:r>
        <w:tab/>
      </w:r>
    </w:p>
    <w:tbl>
      <w:tblPr>
        <w:tblW w:w="0" w:type="auto"/>
        <w:tblLayout w:type="fixed"/>
        <w:tblLook w:val="0000"/>
      </w:tblPr>
      <w:tblGrid>
        <w:gridCol w:w="4068"/>
        <w:gridCol w:w="630"/>
        <w:gridCol w:w="630"/>
        <w:gridCol w:w="4248"/>
      </w:tblGrid>
      <w:tr w14:paraId="4EF4F5E6" w14:textId="77777777" w:rsidTr="009970EB">
        <w:tblPrEx>
          <w:tblW w:w="0" w:type="auto"/>
          <w:tblLayout w:type="fixed"/>
          <w:tblLook w:val="0000"/>
        </w:tblPrEx>
        <w:tc>
          <w:tcPr>
            <w:tcW w:w="4068" w:type="dxa"/>
          </w:tcPr>
          <w:p w:rsidR="006767AC" w:rsidRPr="00A47B1A" w:rsidP="009970EB" w14:paraId="20F1F2FE" w14:textId="77777777">
            <w:pPr>
              <w:tabs>
                <w:tab w:val="center" w:pos="4680"/>
              </w:tabs>
              <w:suppressAutoHyphens/>
              <w:rPr>
                <w:spacing w:val="-2"/>
              </w:rPr>
            </w:pPr>
            <w:bookmarkStart w:id="1" w:name="_Hlk520470248"/>
            <w:r w:rsidRPr="00A47B1A">
              <w:rPr>
                <w:spacing w:val="-2"/>
              </w:rPr>
              <w:t>In the Matter of</w:t>
            </w:r>
          </w:p>
          <w:p w:rsidR="006767AC" w:rsidRPr="00A47B1A" w:rsidP="009970EB" w14:paraId="7D03CA85" w14:textId="77777777">
            <w:pPr>
              <w:tabs>
                <w:tab w:val="center" w:pos="4680"/>
              </w:tabs>
              <w:suppressAutoHyphens/>
              <w:rPr>
                <w:spacing w:val="-2"/>
              </w:rPr>
            </w:pPr>
          </w:p>
          <w:p w:rsidR="006767AC" w:rsidRPr="00A47B1A" w:rsidP="009970EB" w14:paraId="157D3EC3" w14:textId="77777777">
            <w:pPr>
              <w:tabs>
                <w:tab w:val="center" w:pos="4680"/>
              </w:tabs>
              <w:suppressAutoHyphens/>
              <w:rPr>
                <w:spacing w:val="-2"/>
              </w:rPr>
            </w:pPr>
            <w:r w:rsidRPr="00A47B1A">
              <w:rPr>
                <w:spacing w:val="-2"/>
              </w:rPr>
              <w:t>Rules and Regulations Implementing the Telephone Consumer Protection Act of 1991</w:t>
            </w:r>
          </w:p>
          <w:p w:rsidR="006767AC" w:rsidRPr="00A47B1A" w:rsidP="009970EB" w14:paraId="00DD8ECB" w14:textId="77777777">
            <w:pPr>
              <w:tabs>
                <w:tab w:val="center" w:pos="4680"/>
              </w:tabs>
              <w:suppressAutoHyphens/>
              <w:rPr>
                <w:spacing w:val="-2"/>
              </w:rPr>
            </w:pPr>
          </w:p>
          <w:p w:rsidR="006767AC" w:rsidRPr="00A47B1A" w:rsidP="009970EB" w14:paraId="4EBBADF4" w14:textId="77777777">
            <w:pPr>
              <w:tabs>
                <w:tab w:val="center" w:pos="4680"/>
              </w:tabs>
              <w:suppressAutoHyphens/>
              <w:rPr>
                <w:spacing w:val="-2"/>
              </w:rPr>
            </w:pPr>
            <w:r w:rsidRPr="00A47B1A">
              <w:rPr>
                <w:spacing w:val="-2"/>
              </w:rPr>
              <w:t>Broadnet Teleservices LLC Petition for Declaratory Ruling</w:t>
            </w:r>
          </w:p>
          <w:p w:rsidR="006767AC" w:rsidRPr="00A47B1A" w:rsidP="009970EB" w14:paraId="110D49EE" w14:textId="77777777">
            <w:pPr>
              <w:tabs>
                <w:tab w:val="center" w:pos="4680"/>
              </w:tabs>
              <w:suppressAutoHyphens/>
              <w:rPr>
                <w:spacing w:val="-2"/>
              </w:rPr>
            </w:pPr>
          </w:p>
          <w:p w:rsidR="006767AC" w:rsidRPr="00A47B1A" w:rsidP="009970EB" w14:paraId="45D9D7B3" w14:textId="77777777">
            <w:pPr>
              <w:tabs>
                <w:tab w:val="center" w:pos="4680"/>
              </w:tabs>
              <w:suppressAutoHyphens/>
              <w:rPr>
                <w:spacing w:val="-2"/>
              </w:rPr>
            </w:pPr>
            <w:r w:rsidRPr="00A47B1A">
              <w:rPr>
                <w:spacing w:val="-2"/>
              </w:rPr>
              <w:t>National Consumer Law Center Petition for Reconsideration and Request for Stay Pending Reconsideration of Broadnet Teleservices LLC Petition for Declaratory Ruling</w:t>
            </w:r>
          </w:p>
          <w:p w:rsidR="006767AC" w:rsidRPr="00A47B1A" w:rsidP="009970EB" w14:paraId="5134B642" w14:textId="77777777">
            <w:pPr>
              <w:tabs>
                <w:tab w:val="center" w:pos="4680"/>
              </w:tabs>
              <w:suppressAutoHyphens/>
              <w:rPr>
                <w:spacing w:val="-2"/>
              </w:rPr>
            </w:pPr>
          </w:p>
          <w:p w:rsidR="006767AC" w:rsidRPr="00A47B1A" w:rsidP="009970EB" w14:paraId="6E40DFB6" w14:textId="77777777">
            <w:pPr>
              <w:tabs>
                <w:tab w:val="center" w:pos="4680"/>
              </w:tabs>
              <w:suppressAutoHyphens/>
              <w:rPr>
                <w:spacing w:val="-2"/>
              </w:rPr>
            </w:pPr>
            <w:r w:rsidRPr="00A47B1A">
              <w:rPr>
                <w:spacing w:val="-2"/>
              </w:rPr>
              <w:t>Professional Services Council Petition for Reconsideration of Broadnet Teleservices LLC Petition for Declaratory Ruling</w:t>
            </w:r>
          </w:p>
          <w:p w:rsidR="006767AC" w:rsidRPr="00A47B1A" w:rsidP="009970EB" w14:paraId="49D32BDF" w14:textId="77777777">
            <w:pPr>
              <w:tabs>
                <w:tab w:val="center" w:pos="4680"/>
              </w:tabs>
              <w:suppressAutoHyphens/>
              <w:rPr>
                <w:spacing w:val="-2"/>
              </w:rPr>
            </w:pPr>
          </w:p>
        </w:tc>
        <w:tc>
          <w:tcPr>
            <w:tcW w:w="630" w:type="dxa"/>
          </w:tcPr>
          <w:p w:rsidR="006767AC" w:rsidRPr="00A47B1A" w:rsidP="009970EB" w14:paraId="4546F370" w14:textId="77777777">
            <w:pPr>
              <w:tabs>
                <w:tab w:val="center" w:pos="4680"/>
              </w:tabs>
              <w:suppressAutoHyphens/>
              <w:rPr>
                <w:b/>
                <w:spacing w:val="-2"/>
              </w:rPr>
            </w:pPr>
          </w:p>
        </w:tc>
        <w:tc>
          <w:tcPr>
            <w:tcW w:w="630" w:type="dxa"/>
          </w:tcPr>
          <w:p w:rsidR="006767AC" w:rsidRPr="00A47B1A" w:rsidP="009970EB" w14:paraId="4DF5D8F8" w14:textId="77777777">
            <w:pPr>
              <w:tabs>
                <w:tab w:val="center" w:pos="4680"/>
              </w:tabs>
              <w:suppressAutoHyphens/>
              <w:rPr>
                <w:b/>
                <w:spacing w:val="-2"/>
              </w:rPr>
            </w:pPr>
            <w:r w:rsidRPr="00A47B1A">
              <w:rPr>
                <w:b/>
                <w:bCs/>
                <w:spacing w:val="-2"/>
              </w:rPr>
              <w:t>)</w:t>
            </w:r>
          </w:p>
          <w:p w:rsidR="006767AC" w:rsidRPr="00A47B1A" w:rsidP="009970EB" w14:paraId="6B916E4B" w14:textId="77777777">
            <w:pPr>
              <w:tabs>
                <w:tab w:val="center" w:pos="4680"/>
              </w:tabs>
              <w:suppressAutoHyphens/>
              <w:rPr>
                <w:b/>
                <w:spacing w:val="-2"/>
              </w:rPr>
            </w:pPr>
            <w:r w:rsidRPr="00A47B1A">
              <w:rPr>
                <w:b/>
                <w:bCs/>
                <w:spacing w:val="-2"/>
              </w:rPr>
              <w:t>)</w:t>
            </w:r>
          </w:p>
          <w:p w:rsidR="006767AC" w:rsidRPr="00A47B1A" w:rsidP="009970EB" w14:paraId="45412909" w14:textId="77777777">
            <w:pPr>
              <w:tabs>
                <w:tab w:val="center" w:pos="4680"/>
              </w:tabs>
              <w:suppressAutoHyphens/>
              <w:rPr>
                <w:b/>
                <w:spacing w:val="-2"/>
              </w:rPr>
            </w:pPr>
            <w:r w:rsidRPr="00A47B1A">
              <w:rPr>
                <w:b/>
                <w:bCs/>
                <w:spacing w:val="-2"/>
              </w:rPr>
              <w:t>)</w:t>
            </w:r>
          </w:p>
          <w:p w:rsidR="006767AC" w:rsidRPr="00A47B1A" w:rsidP="009970EB" w14:paraId="6FD0066C" w14:textId="77777777">
            <w:pPr>
              <w:tabs>
                <w:tab w:val="center" w:pos="4680"/>
              </w:tabs>
              <w:suppressAutoHyphens/>
              <w:rPr>
                <w:b/>
                <w:spacing w:val="-2"/>
              </w:rPr>
            </w:pPr>
            <w:r w:rsidRPr="00A47B1A">
              <w:rPr>
                <w:b/>
                <w:bCs/>
                <w:spacing w:val="-2"/>
              </w:rPr>
              <w:t>)</w:t>
            </w:r>
          </w:p>
          <w:p w:rsidR="006767AC" w:rsidRPr="00A47B1A" w:rsidP="009970EB" w14:paraId="1A935A5E" w14:textId="77777777">
            <w:pPr>
              <w:tabs>
                <w:tab w:val="center" w:pos="4680"/>
              </w:tabs>
              <w:suppressAutoHyphens/>
              <w:rPr>
                <w:b/>
                <w:spacing w:val="-2"/>
              </w:rPr>
            </w:pPr>
            <w:r w:rsidRPr="00A47B1A">
              <w:rPr>
                <w:b/>
                <w:bCs/>
                <w:spacing w:val="-2"/>
              </w:rPr>
              <w:t>)</w:t>
            </w:r>
          </w:p>
          <w:p w:rsidR="006767AC" w:rsidRPr="00A47B1A" w:rsidP="009970EB" w14:paraId="21FE88D0" w14:textId="77777777">
            <w:pPr>
              <w:tabs>
                <w:tab w:val="center" w:pos="4680"/>
              </w:tabs>
              <w:suppressAutoHyphens/>
              <w:rPr>
                <w:b/>
                <w:spacing w:val="-2"/>
              </w:rPr>
            </w:pPr>
            <w:r w:rsidRPr="00A47B1A">
              <w:rPr>
                <w:b/>
                <w:bCs/>
                <w:spacing w:val="-2"/>
              </w:rPr>
              <w:t>)</w:t>
            </w:r>
          </w:p>
          <w:p w:rsidR="006767AC" w:rsidRPr="00A47B1A" w:rsidP="009970EB" w14:paraId="3CD36409" w14:textId="77777777">
            <w:pPr>
              <w:tabs>
                <w:tab w:val="center" w:pos="4680"/>
              </w:tabs>
              <w:suppressAutoHyphens/>
              <w:rPr>
                <w:b/>
                <w:spacing w:val="-2"/>
              </w:rPr>
            </w:pPr>
            <w:r w:rsidRPr="00A47B1A">
              <w:rPr>
                <w:b/>
                <w:bCs/>
                <w:spacing w:val="-2"/>
              </w:rPr>
              <w:t>)</w:t>
            </w:r>
          </w:p>
          <w:p w:rsidR="006767AC" w:rsidRPr="00A47B1A" w:rsidP="009970EB" w14:paraId="14B18A42" w14:textId="77777777">
            <w:pPr>
              <w:tabs>
                <w:tab w:val="center" w:pos="4680"/>
              </w:tabs>
              <w:suppressAutoHyphens/>
              <w:rPr>
                <w:b/>
                <w:spacing w:val="-2"/>
              </w:rPr>
            </w:pPr>
            <w:r w:rsidRPr="00A47B1A">
              <w:rPr>
                <w:b/>
                <w:bCs/>
                <w:spacing w:val="-2"/>
              </w:rPr>
              <w:t>)</w:t>
            </w:r>
          </w:p>
          <w:p w:rsidR="006767AC" w:rsidRPr="00A47B1A" w:rsidP="009970EB" w14:paraId="7A11C969" w14:textId="77777777">
            <w:pPr>
              <w:tabs>
                <w:tab w:val="center" w:pos="4680"/>
              </w:tabs>
              <w:suppressAutoHyphens/>
              <w:rPr>
                <w:b/>
                <w:spacing w:val="-2"/>
              </w:rPr>
            </w:pPr>
            <w:r w:rsidRPr="00A47B1A">
              <w:rPr>
                <w:b/>
                <w:bCs/>
                <w:spacing w:val="-2"/>
              </w:rPr>
              <w:t>)</w:t>
            </w:r>
          </w:p>
          <w:p w:rsidR="006767AC" w:rsidRPr="00A47B1A" w:rsidP="009970EB" w14:paraId="1768AD45" w14:textId="77777777">
            <w:pPr>
              <w:tabs>
                <w:tab w:val="center" w:pos="4680"/>
              </w:tabs>
              <w:suppressAutoHyphens/>
              <w:rPr>
                <w:b/>
                <w:spacing w:val="-2"/>
              </w:rPr>
            </w:pPr>
            <w:r w:rsidRPr="00A47B1A">
              <w:rPr>
                <w:b/>
                <w:bCs/>
                <w:spacing w:val="-2"/>
              </w:rPr>
              <w:t>)</w:t>
            </w:r>
          </w:p>
          <w:p w:rsidR="006767AC" w:rsidRPr="00A47B1A" w:rsidP="009970EB" w14:paraId="25CBE7BD" w14:textId="77777777">
            <w:pPr>
              <w:tabs>
                <w:tab w:val="center" w:pos="4680"/>
              </w:tabs>
              <w:suppressAutoHyphens/>
              <w:rPr>
                <w:b/>
                <w:spacing w:val="-2"/>
              </w:rPr>
            </w:pPr>
            <w:r w:rsidRPr="00A47B1A">
              <w:rPr>
                <w:b/>
                <w:bCs/>
                <w:spacing w:val="-2"/>
              </w:rPr>
              <w:t>)</w:t>
            </w:r>
          </w:p>
          <w:p w:rsidR="006767AC" w:rsidRPr="00A47B1A" w:rsidP="009970EB" w14:paraId="1A8615EE" w14:textId="77777777">
            <w:pPr>
              <w:tabs>
                <w:tab w:val="center" w:pos="4680"/>
              </w:tabs>
              <w:suppressAutoHyphens/>
              <w:rPr>
                <w:b/>
                <w:spacing w:val="-2"/>
              </w:rPr>
            </w:pPr>
            <w:r w:rsidRPr="00A47B1A">
              <w:rPr>
                <w:b/>
                <w:bCs/>
                <w:spacing w:val="-2"/>
              </w:rPr>
              <w:t>)</w:t>
            </w:r>
          </w:p>
          <w:p w:rsidR="006767AC" w:rsidRPr="00A47B1A" w:rsidP="009970EB" w14:paraId="2503FDE4" w14:textId="77777777">
            <w:pPr>
              <w:tabs>
                <w:tab w:val="center" w:pos="4680"/>
              </w:tabs>
              <w:suppressAutoHyphens/>
              <w:rPr>
                <w:b/>
                <w:spacing w:val="-2"/>
              </w:rPr>
            </w:pPr>
            <w:r w:rsidRPr="00A47B1A">
              <w:rPr>
                <w:b/>
                <w:bCs/>
                <w:spacing w:val="-2"/>
              </w:rPr>
              <w:t>)</w:t>
            </w:r>
          </w:p>
          <w:p w:rsidR="006767AC" w:rsidRPr="00A47B1A" w:rsidP="009970EB" w14:paraId="252FD0AC" w14:textId="77777777">
            <w:pPr>
              <w:tabs>
                <w:tab w:val="center" w:pos="4680"/>
              </w:tabs>
              <w:suppressAutoHyphens/>
              <w:rPr>
                <w:b/>
                <w:spacing w:val="-2"/>
              </w:rPr>
            </w:pPr>
            <w:r w:rsidRPr="00A47B1A">
              <w:rPr>
                <w:b/>
                <w:bCs/>
                <w:spacing w:val="-2"/>
              </w:rPr>
              <w:t>)</w:t>
            </w:r>
          </w:p>
          <w:p w:rsidR="006767AC" w:rsidRPr="00A47B1A" w:rsidP="009970EB" w14:paraId="36651CD8" w14:textId="77777777">
            <w:pPr>
              <w:tabs>
                <w:tab w:val="center" w:pos="4680"/>
              </w:tabs>
              <w:suppressAutoHyphens/>
              <w:rPr>
                <w:b/>
                <w:spacing w:val="-2"/>
              </w:rPr>
            </w:pPr>
            <w:r w:rsidRPr="00A47B1A">
              <w:rPr>
                <w:b/>
                <w:bCs/>
                <w:spacing w:val="-2"/>
              </w:rPr>
              <w:t>)</w:t>
            </w:r>
          </w:p>
          <w:p w:rsidR="006767AC" w:rsidRPr="00A47B1A" w:rsidP="009970EB" w14:paraId="60105373" w14:textId="77777777">
            <w:pPr>
              <w:tabs>
                <w:tab w:val="center" w:pos="4680"/>
              </w:tabs>
              <w:suppressAutoHyphens/>
              <w:rPr>
                <w:b/>
                <w:spacing w:val="-2"/>
              </w:rPr>
            </w:pPr>
            <w:r w:rsidRPr="00A47B1A">
              <w:rPr>
                <w:b/>
                <w:bCs/>
                <w:spacing w:val="-2"/>
              </w:rPr>
              <w:t>)</w:t>
            </w:r>
          </w:p>
          <w:p w:rsidR="006767AC" w:rsidRPr="00A47B1A" w:rsidP="009970EB" w14:paraId="6D5E3978" w14:textId="77777777">
            <w:pPr>
              <w:tabs>
                <w:tab w:val="center" w:pos="4680"/>
              </w:tabs>
              <w:suppressAutoHyphens/>
              <w:rPr>
                <w:b/>
                <w:spacing w:val="-2"/>
              </w:rPr>
            </w:pPr>
            <w:r w:rsidRPr="00A47B1A">
              <w:rPr>
                <w:b/>
                <w:bCs/>
                <w:spacing w:val="-2"/>
              </w:rPr>
              <w:t>)</w:t>
            </w:r>
          </w:p>
          <w:p w:rsidR="006767AC" w:rsidRPr="00A47B1A" w:rsidP="009970EB" w14:paraId="52CF9080" w14:textId="77777777">
            <w:pPr>
              <w:tabs>
                <w:tab w:val="center" w:pos="4680"/>
              </w:tabs>
              <w:suppressAutoHyphens/>
              <w:rPr>
                <w:b/>
                <w:spacing w:val="-2"/>
              </w:rPr>
            </w:pPr>
            <w:r w:rsidRPr="00A47B1A">
              <w:rPr>
                <w:b/>
                <w:bCs/>
                <w:spacing w:val="-2"/>
              </w:rPr>
              <w:t>)</w:t>
            </w:r>
          </w:p>
        </w:tc>
        <w:tc>
          <w:tcPr>
            <w:tcW w:w="4248" w:type="dxa"/>
          </w:tcPr>
          <w:p w:rsidR="006767AC" w:rsidRPr="00A47B1A" w:rsidP="009970EB" w14:paraId="7FE76B84" w14:textId="77777777">
            <w:pPr>
              <w:tabs>
                <w:tab w:val="center" w:pos="4680"/>
              </w:tabs>
              <w:suppressAutoHyphens/>
              <w:rPr>
                <w:spacing w:val="-2"/>
              </w:rPr>
            </w:pPr>
          </w:p>
          <w:p w:rsidR="006767AC" w:rsidRPr="00A47B1A" w:rsidP="009970EB" w14:paraId="6C14B22B" w14:textId="77777777">
            <w:pPr>
              <w:tabs>
                <w:tab w:val="center" w:pos="4680"/>
              </w:tabs>
              <w:suppressAutoHyphens/>
              <w:rPr>
                <w:spacing w:val="-2"/>
              </w:rPr>
            </w:pPr>
          </w:p>
          <w:p w:rsidR="006767AC" w:rsidRPr="00A47B1A" w:rsidP="009970EB" w14:paraId="71040857" w14:textId="77777777">
            <w:pPr>
              <w:tabs>
                <w:tab w:val="center" w:pos="4680"/>
              </w:tabs>
              <w:suppressAutoHyphens/>
              <w:rPr>
                <w:spacing w:val="-2"/>
              </w:rPr>
            </w:pPr>
            <w:r w:rsidRPr="00A47B1A">
              <w:rPr>
                <w:spacing w:val="-2"/>
              </w:rPr>
              <w:t>CG Docket No. 02-278</w:t>
            </w:r>
          </w:p>
          <w:p w:rsidR="006767AC" w:rsidRPr="00A47B1A" w:rsidP="009970EB" w14:paraId="42C0E106" w14:textId="77777777">
            <w:pPr>
              <w:tabs>
                <w:tab w:val="center" w:pos="4680"/>
              </w:tabs>
              <w:suppressAutoHyphens/>
              <w:rPr>
                <w:spacing w:val="-2"/>
              </w:rPr>
            </w:pPr>
          </w:p>
          <w:p w:rsidR="006767AC" w:rsidRPr="00A47B1A" w:rsidP="009970EB" w14:paraId="7C8580E9" w14:textId="77777777">
            <w:pPr>
              <w:tabs>
                <w:tab w:val="center" w:pos="4680"/>
              </w:tabs>
              <w:suppressAutoHyphens/>
              <w:rPr>
                <w:spacing w:val="-2"/>
              </w:rPr>
            </w:pPr>
          </w:p>
          <w:p w:rsidR="006767AC" w:rsidRPr="00A47B1A" w:rsidP="009970EB" w14:paraId="28AF73C4" w14:textId="77777777">
            <w:pPr>
              <w:tabs>
                <w:tab w:val="center" w:pos="4680"/>
              </w:tabs>
              <w:suppressAutoHyphens/>
              <w:rPr>
                <w:spacing w:val="-2"/>
              </w:rPr>
            </w:pPr>
          </w:p>
          <w:p w:rsidR="006767AC" w:rsidRPr="00A47B1A" w:rsidP="009970EB" w14:paraId="6DF8E943" w14:textId="77777777">
            <w:pPr>
              <w:tabs>
                <w:tab w:val="center" w:pos="4680"/>
              </w:tabs>
              <w:suppressAutoHyphens/>
              <w:rPr>
                <w:spacing w:val="-2"/>
              </w:rPr>
            </w:pPr>
          </w:p>
          <w:p w:rsidR="006767AC" w:rsidRPr="00A47B1A" w:rsidP="009970EB" w14:paraId="01199EFD" w14:textId="77777777">
            <w:pPr>
              <w:tabs>
                <w:tab w:val="center" w:pos="4680"/>
              </w:tabs>
              <w:suppressAutoHyphens/>
              <w:rPr>
                <w:spacing w:val="-2"/>
              </w:rPr>
            </w:pPr>
          </w:p>
        </w:tc>
      </w:tr>
    </w:tbl>
    <w:p w:rsidR="006767AC" w:rsidRPr="00864CFD" w:rsidP="006767AC" w14:paraId="268A55EB" w14:textId="77777777"/>
    <w:p w:rsidR="006767AC" w:rsidP="006767AC" w14:paraId="240EE3C0" w14:textId="77777777">
      <w:pPr>
        <w:pStyle w:val="StyleBoldCentered"/>
        <w:rPr>
          <w:rFonts w:ascii="Times New Roman" w:hAnsi="Times New Roman"/>
        </w:rPr>
      </w:pPr>
    </w:p>
    <w:p w:rsidR="006767AC" w:rsidRPr="00864CFD" w:rsidP="006767AC" w14:paraId="6A440C3F" w14:textId="77777777">
      <w:pPr>
        <w:pStyle w:val="StyleBoldCentered"/>
        <w:rPr>
          <w:rFonts w:ascii="Times New Roman" w:hAnsi="Times New Roman"/>
        </w:rPr>
      </w:pPr>
      <w:r>
        <w:rPr>
          <w:rFonts w:ascii="Times New Roman" w:hAnsi="Times New Roman"/>
        </w:rPr>
        <w:t>ORDER on reconsideration</w:t>
      </w:r>
    </w:p>
    <w:p w:rsidR="006767AC" w:rsidRPr="006711A2" w:rsidP="006767AC" w14:paraId="4F96C260" w14:textId="77777777">
      <w:pPr>
        <w:tabs>
          <w:tab w:val="left" w:pos="-720"/>
        </w:tabs>
        <w:suppressAutoHyphens/>
        <w:spacing w:line="227" w:lineRule="auto"/>
        <w:rPr>
          <w:spacing w:val="-2"/>
        </w:rPr>
      </w:pPr>
    </w:p>
    <w:p w:rsidR="006767AC" w:rsidP="006767AC" w14:paraId="65ABAF85" w14:textId="3D4CE0A3">
      <w:pPr>
        <w:tabs>
          <w:tab w:val="right" w:pos="9360"/>
        </w:tabs>
        <w:suppressAutoHyphens/>
        <w:spacing w:line="227" w:lineRule="auto"/>
        <w:rPr>
          <w:spacing w:val="-2"/>
        </w:rPr>
      </w:pPr>
      <w:r w:rsidRPr="003F0ACE">
        <w:rPr>
          <w:b/>
          <w:bCs/>
          <w:spacing w:val="-2"/>
        </w:rPr>
        <w:t xml:space="preserve">Adopted:  </w:t>
      </w:r>
      <w:r>
        <w:rPr>
          <w:b/>
          <w:bCs/>
          <w:spacing w:val="-2"/>
        </w:rPr>
        <w:t xml:space="preserve">December </w:t>
      </w:r>
      <w:r w:rsidR="000C642F">
        <w:rPr>
          <w:b/>
          <w:bCs/>
          <w:spacing w:val="-2"/>
        </w:rPr>
        <w:t>9</w:t>
      </w:r>
      <w:r w:rsidRPr="003F0ACE">
        <w:rPr>
          <w:b/>
          <w:bCs/>
          <w:spacing w:val="-2"/>
        </w:rPr>
        <w:t>, 20</w:t>
      </w:r>
      <w:r>
        <w:rPr>
          <w:b/>
          <w:bCs/>
          <w:spacing w:val="-2"/>
        </w:rPr>
        <w:t>20</w:t>
      </w:r>
      <w:r>
        <w:rPr>
          <w:b/>
          <w:spacing w:val="-2"/>
        </w:rPr>
        <w:tab/>
      </w:r>
      <w:r w:rsidRPr="003F0ACE">
        <w:rPr>
          <w:b/>
          <w:bCs/>
          <w:spacing w:val="-2"/>
        </w:rPr>
        <w:t xml:space="preserve">Released:  </w:t>
      </w:r>
      <w:r>
        <w:rPr>
          <w:b/>
          <w:bCs/>
          <w:spacing w:val="-2"/>
        </w:rPr>
        <w:t xml:space="preserve">December </w:t>
      </w:r>
      <w:r w:rsidR="00122287">
        <w:rPr>
          <w:b/>
          <w:bCs/>
          <w:spacing w:val="-2"/>
        </w:rPr>
        <w:t>14</w:t>
      </w:r>
      <w:r w:rsidRPr="003F0ACE">
        <w:rPr>
          <w:b/>
          <w:bCs/>
          <w:spacing w:val="-2"/>
        </w:rPr>
        <w:t>, 20</w:t>
      </w:r>
      <w:r>
        <w:rPr>
          <w:b/>
          <w:bCs/>
          <w:spacing w:val="-2"/>
        </w:rPr>
        <w:t>20</w:t>
      </w:r>
    </w:p>
    <w:p w:rsidR="006767AC" w:rsidRPr="00070540" w:rsidP="006767AC" w14:paraId="06796892" w14:textId="77777777"/>
    <w:p w:rsidR="006767AC" w:rsidRPr="002B437F" w:rsidP="006767AC" w14:paraId="7AAD680D" w14:textId="5A1BFD56">
      <w:r>
        <w:t xml:space="preserve">By the Commission:  </w:t>
      </w:r>
      <w:r w:rsidR="000C642F">
        <w:t>Commissioner O’Rielly concurring; Commissioners Rosenworcel and Starks approving in part, dissenting in part, and issuing separate statements</w:t>
      </w:r>
      <w:r w:rsidR="0084186E">
        <w:t>.</w:t>
      </w:r>
    </w:p>
    <w:p w:rsidR="006767AC" w:rsidRPr="00DE707F" w:rsidP="006767AC" w14:paraId="697DB1B5" w14:textId="77777777"/>
    <w:p w:rsidR="006767AC" w:rsidP="006767AC" w14:paraId="161757AE" w14:textId="77777777">
      <w:pPr>
        <w:pStyle w:val="Heading1"/>
        <w:rPr>
          <w:rFonts w:ascii="Times New Roman" w:hAnsi="Times New Roman"/>
        </w:rPr>
      </w:pPr>
      <w:bookmarkStart w:id="2" w:name="_Toc321413765"/>
      <w:bookmarkStart w:id="3" w:name="_Toc323112963"/>
      <w:r w:rsidRPr="00864CFD">
        <w:rPr>
          <w:rFonts w:ascii="Times New Roman" w:hAnsi="Times New Roman"/>
        </w:rPr>
        <w:t>INTRODUCTION</w:t>
      </w:r>
    </w:p>
    <w:p w:rsidR="006767AC" w:rsidP="00EE367A" w14:paraId="188B6968" w14:textId="77777777">
      <w:pPr>
        <w:pStyle w:val="ParaNum"/>
      </w:pPr>
      <w:r>
        <w:t>Unwanted robocalls are the top source of consumer complaints the Commission receives.</w:t>
      </w:r>
      <w:r>
        <w:rPr>
          <w:rStyle w:val="FootnoteReference"/>
        </w:rPr>
        <w:footnoteReference w:id="3"/>
      </w:r>
      <w:r>
        <w:t xml:space="preserve">  In recent years, the Commission has taken a number of significant steps to combat unwanted calls by empowering consumers and voice service providers to block them.</w:t>
      </w:r>
      <w:r>
        <w:rPr>
          <w:rStyle w:val="FootnoteReference"/>
        </w:rPr>
        <w:footnoteReference w:id="4"/>
      </w:r>
      <w:r>
        <w:t xml:space="preserve">  Today, we take further steps to target unwanted robocalls by reconsidering our previous interpretations of the Telephone Consumer Protection Act (TCPA) that allowed for certain entities to place calls without prior express consent from the consumer.</w:t>
      </w:r>
      <w:r>
        <w:rPr>
          <w:rStyle w:val="FootnoteReference"/>
        </w:rPr>
        <w:footnoteReference w:id="5"/>
      </w:r>
    </w:p>
    <w:p w:rsidR="006767AC" w:rsidP="00EE367A" w14:paraId="3757814A" w14:textId="77777777">
      <w:pPr>
        <w:pStyle w:val="ParaNum"/>
      </w:pPr>
      <w:r>
        <w:t>The TCPA specifically restricts calls made by “any person.”</w:t>
      </w:r>
      <w:r>
        <w:rPr>
          <w:rStyle w:val="FootnoteReference"/>
        </w:rPr>
        <w:footnoteReference w:id="6"/>
      </w:r>
      <w:r>
        <w:t xml:space="preserve">  In 2016, the Commission interpreted the TCPA to exclude calls made by the federal government, in line with the longstanding interpretive presumption that the word “person” does not include the federal government absent a clear “affirmative showing of statutory intent to the contrary.”</w:t>
      </w:r>
      <w:r>
        <w:rPr>
          <w:rStyle w:val="FootnoteReference"/>
        </w:rPr>
        <w:footnoteReference w:id="7"/>
      </w:r>
      <w:r>
        <w:t xml:space="preserve">  The Commission also extended that presumption beyond the federal government, by interpreting the TCPA to exclude from its prior-express-consent requirements calls made by contractors acting as agents of the federal government in accord with federal common law of agency.</w:t>
      </w:r>
      <w:r>
        <w:rPr>
          <w:rStyle w:val="FootnoteReference"/>
        </w:rPr>
        <w:footnoteReference w:id="8"/>
      </w:r>
      <w:r>
        <w:t xml:space="preserve">  Thereafter, a number of parties asked the Commission to reconsider, arguing that it had misinterpreted the TCPA and that federal contractors are “persons” and thus should be required to obtain prior express consent from consumers.</w:t>
      </w:r>
    </w:p>
    <w:p w:rsidR="006767AC" w:rsidRPr="007D6E0C" w:rsidP="00EE367A" w14:paraId="3307CACD" w14:textId="77777777">
      <w:pPr>
        <w:pStyle w:val="ParaNum"/>
      </w:pPr>
      <w:r>
        <w:t>We now address these requests as part of our ongoing work to combat unwanted robocalls by finding that federal and state contractors must obtain prior express consent to call consumers, while making clear that the TCPA does not require that step for the federal or state governments themselves.  We conclude that local governments, unlike federal and state governments, are not sovereign entities entitled to the same presumption, and that they were intended to be included within the TCPA framework.  We believe this interpretation best comports with longstanding legal precedent, while preserving the privacy rights of individuals as intended by Congress and allowing federal and state governments to engage in important communications with the public.</w:t>
      </w:r>
    </w:p>
    <w:p w:rsidR="006767AC" w:rsidP="006767AC" w14:paraId="4CFBE8EC" w14:textId="77777777">
      <w:pPr>
        <w:pStyle w:val="Heading1"/>
        <w:rPr>
          <w:rFonts w:ascii="Times New Roman" w:hAnsi="Times New Roman"/>
        </w:rPr>
      </w:pPr>
      <w:bookmarkStart w:id="5" w:name="_Toc321413766"/>
      <w:bookmarkStart w:id="6" w:name="_Toc323112964"/>
      <w:r w:rsidRPr="007D6E0C">
        <w:rPr>
          <w:rFonts w:ascii="Times New Roman" w:hAnsi="Times New Roman"/>
        </w:rPr>
        <w:t>BACKGROUND</w:t>
      </w:r>
      <w:bookmarkEnd w:id="5"/>
      <w:bookmarkEnd w:id="6"/>
    </w:p>
    <w:p w:rsidR="006767AC" w:rsidP="00EE367A" w14:paraId="77238664" w14:textId="77777777">
      <w:pPr>
        <w:pStyle w:val="ParaNum"/>
      </w:pPr>
      <w:r>
        <w:rPr>
          <w:i/>
        </w:rPr>
        <w:t xml:space="preserve">The TCPA and the Commission’s Work to Fight Unwanted Robocalls.  </w:t>
      </w:r>
      <w:r>
        <w:t>Congress enacted the TCPA in 1991, recognizing that “[</w:t>
      </w:r>
      <w:r>
        <w:t>i</w:t>
      </w:r>
      <w:r>
        <w:t>]</w:t>
      </w:r>
      <w:r>
        <w:t>ndividuals</w:t>
      </w:r>
      <w:r>
        <w:t>’ privacy rights, public safety interests, and commercial freedoms of speech and trade must be balanced in a way that protects the privacy of individuals and permits legitimate telemarketing practices.”</w:t>
      </w:r>
      <w:r>
        <w:rPr>
          <w:rStyle w:val="FootnoteReference"/>
        </w:rPr>
        <w:footnoteReference w:id="9"/>
      </w:r>
      <w:r>
        <w:t xml:space="preserve">  The TCPA generally requires “any person” making certain calls to get the recipient’s prior express consent before making the call.  This TCPA restriction applies generally to calls made (1) using an </w:t>
      </w:r>
      <w:r>
        <w:t>autodialer</w:t>
      </w:r>
      <w:r>
        <w:t xml:space="preserve"> or prerecorded voice or artificial voice to a wireless phone and (2) using an artificial or prerecorded voice to a residential phone if the call is marketing.</w:t>
      </w:r>
      <w:r>
        <w:rPr>
          <w:rStyle w:val="FootnoteReference"/>
        </w:rPr>
        <w:footnoteReference w:id="10"/>
      </w:r>
      <w:r>
        <w:t xml:space="preserve">  If a robocall includes or introduces an advertisement or constitutes telemarketing, consent generally must be in writing and contain certain disclosures.</w:t>
      </w:r>
      <w:r>
        <w:rPr>
          <w:rStyle w:val="FootnoteReference"/>
        </w:rPr>
        <w:footnoteReference w:id="11"/>
      </w:r>
      <w:r>
        <w:t xml:space="preserve">  There are some exceptions to these requirements.</w:t>
      </w:r>
      <w:r>
        <w:rPr>
          <w:rStyle w:val="FootnoteReference"/>
        </w:rPr>
        <w:footnoteReference w:id="12"/>
      </w:r>
      <w:r>
        <w:t xml:space="preserve">  </w:t>
      </w:r>
    </w:p>
    <w:p w:rsidR="006767AC" w:rsidP="00EE367A" w14:paraId="28E7904F" w14:textId="77777777">
      <w:pPr>
        <w:pStyle w:val="ParaNum"/>
      </w:pPr>
      <w:r>
        <w:t>The Commission has taken a number of measures to address robocalls as a source of consumer annoyance.  In 2017, the Commission adopted rules that allow voice service providers to block certain types of calls without violating the Commission’s call completion rules.</w:t>
      </w:r>
      <w:r>
        <w:rPr>
          <w:rStyle w:val="FootnoteReference"/>
        </w:rPr>
        <w:footnoteReference w:id="13"/>
      </w:r>
      <w:r>
        <w:t xml:space="preserve">  In June 2019, the Commission took action to further protect consumers from unwanted robocalls.</w:t>
      </w:r>
      <w:r>
        <w:rPr>
          <w:rStyle w:val="FootnoteReference"/>
        </w:rPr>
        <w:footnoteReference w:id="14"/>
      </w:r>
      <w:r>
        <w:t xml:space="preserve">  To resolve any uncertainty about the call-blocking tools that voice service providers may offer consumers, the Commission clarified that voice service providers may offer consumers call blocking based on reasonable analytics on an opt-out basis, giving consumers the benefit of call blocking without having to take action.</w:t>
      </w:r>
      <w:r>
        <w:rPr>
          <w:rStyle w:val="FootnoteReference"/>
        </w:rPr>
        <w:footnoteReference w:id="15"/>
      </w:r>
      <w:r>
        <w:t xml:space="preserve">  The Commission additionally clarified that voice service providers may offer, on an opt-in basis, programs that block calls from numbers not on a “white list” created by a consumer or in a consumer’s contacts list.</w:t>
      </w:r>
      <w:r>
        <w:rPr>
          <w:rStyle w:val="FootnoteReference"/>
        </w:rPr>
        <w:footnoteReference w:id="16"/>
      </w:r>
      <w:r>
        <w:t xml:space="preserve">  The Commission proposed a safe harbor for voice service providers that offer call blocking that takes into account whether a call has been properly authenticated under the STIR/SHAKEN framework and may potentially be spoofed.</w:t>
      </w:r>
      <w:r>
        <w:rPr>
          <w:rStyle w:val="FootnoteReference"/>
        </w:rPr>
        <w:footnoteReference w:id="17"/>
      </w:r>
      <w:r>
        <w:t xml:space="preserve">  In addition, the Commission sought comment on protecting critical calls by requiring voice service providers that offer call blocking to maintain a “Critical Calls List” of numbers they may not block.</w:t>
      </w:r>
      <w:r>
        <w:rPr>
          <w:rStyle w:val="FootnoteReference"/>
        </w:rPr>
        <w:footnoteReference w:id="18"/>
      </w:r>
    </w:p>
    <w:p w:rsidR="006767AC" w:rsidP="00EE367A" w14:paraId="5697E26B" w14:textId="77777777">
      <w:pPr>
        <w:pStyle w:val="ParaNum"/>
      </w:pPr>
      <w:r>
        <w:t>The Commission has strongly encouraged industry’s implementation of the STIR/SHAKEN framework, also known as Caller ID authentication, which generally promises to stop the caller ID spoofing that so often accompanies unwanted calls.</w:t>
      </w:r>
      <w:r>
        <w:rPr>
          <w:rStyle w:val="FootnoteReference"/>
        </w:rPr>
        <w:footnoteReference w:id="19"/>
      </w:r>
      <w:r>
        <w:t xml:space="preserve">  And in 2018, the Commission authorized the creation of a reassigned numbers database to enable callers to determine whether a telephone number has been permanently disconnected, and is therefore eligible for reassignment, before calling that number, thereby helping to protect consumers with reassigned numbers from receiving unwanted robocalls to which the previous subscriber consented.</w:t>
      </w:r>
      <w:r>
        <w:rPr>
          <w:rStyle w:val="FootnoteReference"/>
        </w:rPr>
        <w:footnoteReference w:id="20"/>
      </w:r>
      <w:r>
        <w:t xml:space="preserve"> </w:t>
      </w:r>
    </w:p>
    <w:p w:rsidR="006767AC" w:rsidP="00EE367A" w14:paraId="1BD5F3CC" w14:textId="77777777">
      <w:pPr>
        <w:pStyle w:val="ParaNum"/>
      </w:pPr>
      <w:r>
        <w:t>Finally, the Commission is implementing the TRACED Act.</w:t>
      </w:r>
      <w:r>
        <w:rPr>
          <w:rStyle w:val="FootnoteReference"/>
        </w:rPr>
        <w:footnoteReference w:id="21"/>
      </w:r>
      <w:r>
        <w:t xml:space="preserve">  Amongst other things, the new law bolsters the Commission’s ability to enforce against illegal robocalls, requires Caller ID authentication, and empowers voice service providers to block the calls most likely to annoy and defraud consumers.</w:t>
      </w:r>
      <w:r>
        <w:rPr>
          <w:rStyle w:val="FootnoteReference"/>
        </w:rPr>
        <w:footnoteReference w:id="22"/>
      </w:r>
    </w:p>
    <w:p w:rsidR="006767AC" w:rsidP="00EE367A" w14:paraId="79F6932D" w14:textId="77777777">
      <w:pPr>
        <w:pStyle w:val="ParaNum"/>
      </w:pPr>
      <w:r>
        <w:rPr>
          <w:i/>
          <w:iCs/>
        </w:rPr>
        <w:t>Governments, Government Contractors, and the TCPA</w:t>
      </w:r>
      <w:r>
        <w:t>.  In 2014 and 2015, the Commission received t</w:t>
      </w:r>
      <w:r w:rsidRPr="00A47626">
        <w:t xml:space="preserve">hree petitions </w:t>
      </w:r>
      <w:r>
        <w:t>that sought</w:t>
      </w:r>
      <w:r w:rsidRPr="00A47626">
        <w:t xml:space="preserve"> clarification of the term “person” as used in the TCPA.</w:t>
      </w:r>
      <w:r>
        <w:rPr>
          <w:rStyle w:val="FootnoteReference"/>
        </w:rPr>
        <w:footnoteReference w:id="23"/>
      </w:r>
      <w:r w:rsidRPr="00A47626">
        <w:rPr>
          <w:szCs w:val="22"/>
        </w:rPr>
        <w:t xml:space="preserve"> </w:t>
      </w:r>
      <w:r>
        <w:rPr>
          <w:szCs w:val="22"/>
        </w:rPr>
        <w:t xml:space="preserve"> </w:t>
      </w:r>
      <w:r>
        <w:rPr>
          <w:szCs w:val="22"/>
        </w:rPr>
        <w:t xml:space="preserve">The </w:t>
      </w:r>
      <w:r w:rsidRPr="00945A01">
        <w:rPr>
          <w:szCs w:val="22"/>
        </w:rPr>
        <w:t xml:space="preserve">National Employment </w:t>
      </w:r>
      <w:r>
        <w:rPr>
          <w:szCs w:val="22"/>
        </w:rPr>
        <w:t xml:space="preserve">Network Association </w:t>
      </w:r>
      <w:r w:rsidRPr="00945A01">
        <w:rPr>
          <w:szCs w:val="22"/>
        </w:rPr>
        <w:t>ask</w:t>
      </w:r>
      <w:r>
        <w:rPr>
          <w:szCs w:val="22"/>
        </w:rPr>
        <w:t>ed</w:t>
      </w:r>
      <w:r w:rsidRPr="00945A01">
        <w:rPr>
          <w:szCs w:val="22"/>
        </w:rPr>
        <w:t xml:space="preserve"> the Commission to clarify that “calls can be made through a public or private intermediary or associated third party that ‘stands in the shoes’ of the federal government” without violating the TCPA</w:t>
      </w:r>
      <w:r>
        <w:rPr>
          <w:szCs w:val="22"/>
        </w:rPr>
        <w:t>.</w:t>
      </w:r>
      <w:r>
        <w:rPr>
          <w:rStyle w:val="FootnoteReference"/>
          <w:szCs w:val="22"/>
        </w:rPr>
        <w:footnoteReference w:id="24"/>
      </w:r>
      <w:r>
        <w:rPr>
          <w:szCs w:val="22"/>
        </w:rPr>
        <w:t xml:space="preserve">  </w:t>
      </w:r>
      <w:r w:rsidRPr="00A47626">
        <w:t>RTI ask</w:t>
      </w:r>
      <w:r>
        <w:t>ed</w:t>
      </w:r>
      <w:r w:rsidRPr="00A47626">
        <w:t xml:space="preserve"> the Commission to clarify that the ter</w:t>
      </w:r>
      <w:r>
        <w:t xml:space="preserve">m “person” </w:t>
      </w:r>
      <w:r w:rsidRPr="00A47626">
        <w:t>d</w:t>
      </w:r>
      <w:r>
        <w:t>id</w:t>
      </w:r>
      <w:r w:rsidRPr="00A47626">
        <w:t xml:space="preserve"> not include the federal government</w:t>
      </w:r>
      <w:r w:rsidRPr="00A47626">
        <w:rPr>
          <w:szCs w:val="22"/>
        </w:rPr>
        <w:t xml:space="preserve"> </w:t>
      </w:r>
      <w:r w:rsidRPr="00A47626">
        <w:t>and that the TCPA therefore does not restrict research survey calls made by or on behalf of the federal government</w:t>
      </w:r>
      <w:r>
        <w:t>.</w:t>
      </w:r>
      <w:r>
        <w:rPr>
          <w:rStyle w:val="FootnoteReference"/>
        </w:rPr>
        <w:footnoteReference w:id="25"/>
      </w:r>
      <w:r w:rsidRPr="00945A01">
        <w:rPr>
          <w:szCs w:val="22"/>
        </w:rPr>
        <w:t xml:space="preserve"> </w:t>
      </w:r>
      <w:r>
        <w:rPr>
          <w:szCs w:val="22"/>
        </w:rPr>
        <w:t xml:space="preserve"> </w:t>
      </w:r>
      <w:r w:rsidRPr="00945A01">
        <w:t>Broadnet ask</w:t>
      </w:r>
      <w:r>
        <w:t xml:space="preserve">ed </w:t>
      </w:r>
      <w:r w:rsidRPr="00945A01">
        <w:t>the Commission to declare that federal, state, and local governments, and their officers acting on official government business, are not “persons” for purposes of the TCPA</w:t>
      </w:r>
      <w:r>
        <w:t>.</w:t>
      </w:r>
      <w:r>
        <w:rPr>
          <w:rStyle w:val="FootnoteReference"/>
        </w:rPr>
        <w:footnoteReference w:id="26"/>
      </w:r>
    </w:p>
    <w:p w:rsidR="006767AC" w:rsidP="00EE367A" w14:paraId="03791CCA" w14:textId="77777777">
      <w:pPr>
        <w:pStyle w:val="ParaNum"/>
      </w:pPr>
      <w:r w:rsidRPr="00BF79F5">
        <w:t>In 2016, the</w:t>
      </w:r>
      <w:r>
        <w:t xml:space="preserve"> </w:t>
      </w:r>
      <w:r w:rsidRPr="00BF79F5">
        <w:t xml:space="preserve">Commission </w:t>
      </w:r>
      <w:r>
        <w:t xml:space="preserve">responded to these requests, finding </w:t>
      </w:r>
      <w:r w:rsidRPr="00BF79F5">
        <w:t>that</w:t>
      </w:r>
      <w:r>
        <w:t xml:space="preserve"> the term “person,” as used in s</w:t>
      </w:r>
      <w:r w:rsidRPr="00BF79F5">
        <w:t>ection 227(b)(1) and the rules implementing that provision, does not include the federal government.</w:t>
      </w:r>
      <w:r>
        <w:rPr>
          <w:rStyle w:val="FootnoteReference"/>
        </w:rPr>
        <w:footnoteReference w:id="27"/>
      </w:r>
      <w:r w:rsidRPr="00BF79F5">
        <w:t xml:space="preserve">  </w:t>
      </w:r>
      <w:r>
        <w:t>T</w:t>
      </w:r>
      <w:r w:rsidRPr="00BF79F5">
        <w:t xml:space="preserve">he Commission noted that there is a “longstanding interpretive presumption” that “the word ‘person’ does not include the sovereign </w:t>
      </w:r>
      <w:r>
        <w:t>. . </w:t>
      </w:r>
      <w:r w:rsidRPr="00BF79F5">
        <w:t>. [except] upon some affirmative showing of statutory intent to the contrary.”</w:t>
      </w:r>
      <w:r>
        <w:rPr>
          <w:vertAlign w:val="superscript"/>
        </w:rPr>
        <w:footnoteReference w:id="28"/>
      </w:r>
      <w:r w:rsidRPr="00BF79F5">
        <w:t xml:space="preserve">  The Commission found that “no commenter has made a showing of statutory intent to the contrary, and no such intent is articulated in the legislative history of the TCPA</w:t>
      </w:r>
      <w:r>
        <w:t>,</w:t>
      </w:r>
      <w:r w:rsidRPr="00BF79F5">
        <w:t>” noting that “had Congress wanted to subject the federal government to the TCPA, it easily could have done so by defining ‘person’ to include the federal government.”</w:t>
      </w:r>
      <w:r>
        <w:rPr>
          <w:vertAlign w:val="superscript"/>
        </w:rPr>
        <w:footnoteReference w:id="29"/>
      </w:r>
      <w:r w:rsidRPr="00BF79F5">
        <w:t xml:space="preserve">  </w:t>
      </w:r>
    </w:p>
    <w:p w:rsidR="006767AC" w:rsidP="00EE367A" w14:paraId="5852132D" w14:textId="77777777">
      <w:pPr>
        <w:pStyle w:val="ParaNum"/>
      </w:pPr>
      <w:r>
        <w:t>Turning to federal government contractors, t</w:t>
      </w:r>
      <w:r w:rsidRPr="00BF79F5">
        <w:t xml:space="preserve">he Commission found that the term “person” does not include agents acting on behalf of the federal government, and clarified that a government contractor </w:t>
      </w:r>
      <w:r>
        <w:t>that</w:t>
      </w:r>
      <w:r w:rsidRPr="00BF79F5">
        <w:t xml:space="preserve"> places calls on behalf of the federal government may invoke the federal government’s immunity from the TCPA “when the contractor has been validly authorized to act as the government’s agent and is acting within the scope of its contractual relationship with the government, and the government has delegated to the contractor its prerogative to make autodialed or prerecorded</w:t>
      </w:r>
      <w:r>
        <w:t>-</w:t>
      </w:r>
      <w:r w:rsidRPr="00BF79F5">
        <w:t xml:space="preserve"> or artificial</w:t>
      </w:r>
      <w:r>
        <w:t>-</w:t>
      </w:r>
      <w:r w:rsidRPr="00BF79F5">
        <w:t>voice calls to communicate with its citizens.”</w:t>
      </w:r>
      <w:r>
        <w:rPr>
          <w:vertAlign w:val="superscript"/>
        </w:rPr>
        <w:footnoteReference w:id="30"/>
      </w:r>
      <w:r w:rsidRPr="000A61AA">
        <w:t xml:space="preserve"> </w:t>
      </w:r>
      <w:r>
        <w:t xml:space="preserve"> The Commission in turn found that a “government contractor who places calls on behalf of the federal government will be able to invoke the federal government’s exception from the TCPA” based on “the agency-law rule that when a principal is privileged to take some action, an agent may typically exercise that privilege on the principal’s behalf.”</w:t>
      </w:r>
      <w:r>
        <w:rPr>
          <w:rStyle w:val="FootnoteReference"/>
        </w:rPr>
        <w:footnoteReference w:id="31"/>
      </w:r>
      <w:r>
        <w:t xml:space="preserve">  The Commission did not address calls made by state and local governments or contractors.</w:t>
      </w:r>
      <w:r>
        <w:rPr>
          <w:rStyle w:val="FootnoteReference"/>
        </w:rPr>
        <w:footnoteReference w:id="32"/>
      </w:r>
      <w:r w:rsidRPr="00AC05F1">
        <w:rPr>
          <w:color w:val="3D3D3D"/>
          <w:shd w:val="clear" w:color="auto" w:fill="FFFFFF"/>
        </w:rPr>
        <w:t xml:space="preserve"> </w:t>
      </w:r>
      <w:r>
        <w:t xml:space="preserve"> </w:t>
      </w:r>
    </w:p>
    <w:p w:rsidR="006767AC" w:rsidRPr="00CD6D4B" w:rsidP="00EE367A" w14:paraId="5FB67C1D" w14:textId="77777777">
      <w:pPr>
        <w:pStyle w:val="ParaNum"/>
      </w:pPr>
      <w:r>
        <w:t xml:space="preserve">National Consumer Law Center (NCLC) and Professional Services Council (PSC) sought reconsideration of the </w:t>
      </w:r>
      <w:r w:rsidRPr="00267544">
        <w:rPr>
          <w:i/>
          <w:iCs/>
        </w:rPr>
        <w:t>Broadnet Declaratory Ruling</w:t>
      </w:r>
      <w:r>
        <w:t>.</w:t>
      </w:r>
      <w:r>
        <w:rPr>
          <w:rStyle w:val="FootnoteReference"/>
        </w:rPr>
        <w:footnoteReference w:id="33"/>
      </w:r>
      <w:r w:rsidRPr="00267544">
        <w:rPr>
          <w:i/>
          <w:iCs/>
        </w:rPr>
        <w:t xml:space="preserve">  </w:t>
      </w:r>
      <w:r>
        <w:t xml:space="preserve">Among other things, </w:t>
      </w:r>
      <w:r w:rsidRPr="00AE0F3E">
        <w:t>NCLC</w:t>
      </w:r>
      <w:r>
        <w:t xml:space="preserve"> raises the following arguments</w:t>
      </w:r>
      <w:r w:rsidRPr="00267544">
        <w:rPr>
          <w:iCs/>
        </w:rPr>
        <w:t xml:space="preserve">: </w:t>
      </w:r>
      <w:r>
        <w:rPr>
          <w:iCs/>
        </w:rPr>
        <w:t xml:space="preserve"> T</w:t>
      </w:r>
      <w:r w:rsidRPr="00267544">
        <w:rPr>
          <w:iCs/>
        </w:rPr>
        <w:t>he TCPA applies to federal contractors because they are “person[s]”</w:t>
      </w:r>
      <w:r>
        <w:rPr>
          <w:iCs/>
        </w:rPr>
        <w:t>;</w:t>
      </w:r>
      <w:r w:rsidRPr="00267544">
        <w:rPr>
          <w:iCs/>
        </w:rPr>
        <w:t xml:space="preserve"> </w:t>
      </w:r>
      <w:r>
        <w:t xml:space="preserve">low-income individuals who use prepaid wireless calling plans will be adversely impacted by unlimited calling by </w:t>
      </w:r>
      <w:r>
        <w:t>federal contractors; the decision is inconsistent with recently added exceptions to the TCPA;</w:t>
      </w:r>
      <w:r>
        <w:rPr>
          <w:rStyle w:val="FootnoteReference"/>
        </w:rPr>
        <w:footnoteReference w:id="34"/>
      </w:r>
      <w:r>
        <w:t xml:space="preserve"> and the decision misinterpreted the Supreme Court’s decision in </w:t>
      </w:r>
      <w:r w:rsidRPr="00267544">
        <w:rPr>
          <w:i/>
        </w:rPr>
        <w:t>Campbell-Ewald v. Gomez</w:t>
      </w:r>
      <w:r>
        <w:t>.</w:t>
      </w:r>
      <w:r>
        <w:rPr>
          <w:rStyle w:val="FootnoteReference"/>
        </w:rPr>
        <w:footnoteReference w:id="35"/>
      </w:r>
      <w:r>
        <w:t xml:space="preserve">  PSC objects to the decision to the extent that it imposes an agency requirement on federal contractors to invoke the federal government’s immunity from the TCPA.</w:t>
      </w:r>
      <w:r>
        <w:rPr>
          <w:rStyle w:val="FootnoteReference"/>
        </w:rPr>
        <w:footnoteReference w:id="36"/>
      </w:r>
      <w:r>
        <w:t xml:space="preserve">  </w:t>
      </w:r>
      <w:r w:rsidRPr="00F240C0">
        <w:t xml:space="preserve">The Consumer and Governmental Affairs Bureau </w:t>
      </w:r>
      <w:r>
        <w:t xml:space="preserve">(the Bureau) </w:t>
      </w:r>
      <w:r w:rsidRPr="00F240C0">
        <w:t>sought comment on each of these petitions.</w:t>
      </w:r>
      <w:r>
        <w:rPr>
          <w:vertAlign w:val="superscript"/>
        </w:rPr>
        <w:footnoteReference w:id="37"/>
      </w:r>
      <w:r w:rsidRPr="00F240C0">
        <w:t xml:space="preserve">  </w:t>
      </w:r>
    </w:p>
    <w:p w:rsidR="006767AC" w:rsidP="00EE367A" w14:paraId="76C44B69" w14:textId="77777777">
      <w:pPr>
        <w:pStyle w:val="ParaNum"/>
      </w:pPr>
      <w:r>
        <w:t xml:space="preserve">Following the 2018 decision of the U.S. Court of Appeals for the District of Columbia Circuit in </w:t>
      </w:r>
      <w:r w:rsidRPr="00A66D45">
        <w:rPr>
          <w:i/>
        </w:rPr>
        <w:t>ACA International v. FCC</w:t>
      </w:r>
      <w:r>
        <w:t xml:space="preserve">, which vacated parts of the Commission’s </w:t>
      </w:r>
      <w:r w:rsidRPr="00A66D45">
        <w:rPr>
          <w:i/>
        </w:rPr>
        <w:t>2015 TCPA Declaratory Ruling and Order</w:t>
      </w:r>
      <w:r>
        <w:t>, the Bureau sought renewed comment on the NCLC and PSC petitions, and how the TCPA applies to state and local government employees and contractors.</w:t>
      </w:r>
      <w:r>
        <w:rPr>
          <w:rStyle w:val="FootnoteReference"/>
        </w:rPr>
        <w:footnoteReference w:id="38"/>
      </w:r>
      <w:r>
        <w:t xml:space="preserve">  </w:t>
      </w:r>
    </w:p>
    <w:p w:rsidR="006767AC" w:rsidP="006767AC" w14:paraId="638DE40B" w14:textId="77777777">
      <w:pPr>
        <w:pStyle w:val="Heading1"/>
      </w:pPr>
      <w:r>
        <w:t>discussion</w:t>
      </w:r>
    </w:p>
    <w:p w:rsidR="006767AC" w:rsidP="00EE367A" w14:paraId="55725F39" w14:textId="77777777">
      <w:pPr>
        <w:pStyle w:val="ParaNum"/>
      </w:pPr>
      <w:r>
        <w:t xml:space="preserve">On reconsideration of the </w:t>
      </w:r>
      <w:r w:rsidRPr="00D14C37">
        <w:rPr>
          <w:i/>
        </w:rPr>
        <w:t>Broadnet Declaratory Ruling</w:t>
      </w:r>
      <w:r>
        <w:t xml:space="preserve">, we reverse the Commission’s previous order to the extent that it provided that a federal contractor making calls on behalf of the government was not a “person” subject to the restrictions in section 227(b)(1) of the TCPA.  We also clarify that a state government caller making calls in the conduct of official government business is not a “person” subject to section 227(b)(1) of the TCPA, while a state or local government contractor, like a federal contractor, is a “person” and thus not exempt.  Finally, we clarify that a local government is a “person” subject to the TCPA.  As such, we grant in part the NCLC Petition, deny the PSC Petition, reverse the Commission’s </w:t>
      </w:r>
      <w:r w:rsidRPr="00D14C37">
        <w:rPr>
          <w:i/>
        </w:rPr>
        <w:t>Broadnet Declaratory Ruling</w:t>
      </w:r>
      <w:r>
        <w:t xml:space="preserve"> in part, and grant in part and deny in part Broadnet’s petition for declaratory ruling.</w:t>
      </w:r>
    </w:p>
    <w:p w:rsidR="006767AC" w:rsidRPr="00BF79F5" w:rsidP="006767AC" w14:paraId="1FBBF6C2" w14:textId="77777777">
      <w:pPr>
        <w:pStyle w:val="Heading2"/>
      </w:pPr>
      <w:r>
        <w:t>Federal Contractors are Subject to Section 227(b)(1) of the TCPA.</w:t>
      </w:r>
    </w:p>
    <w:p w:rsidR="006767AC" w:rsidP="00EE367A" w14:paraId="08F63D48" w14:textId="77777777">
      <w:pPr>
        <w:pStyle w:val="ParaNum"/>
      </w:pPr>
      <w:r>
        <w:rPr>
          <w:iCs/>
        </w:rPr>
        <w:t xml:space="preserve">We find that a federal </w:t>
      </w:r>
      <w:r w:rsidRPr="00EE367A">
        <w:t>contractor</w:t>
      </w:r>
      <w:r>
        <w:rPr>
          <w:iCs/>
        </w:rPr>
        <w:t xml:space="preserve"> is a </w:t>
      </w:r>
      <w:r w:rsidRPr="00BF79F5">
        <w:t>“person”</w:t>
      </w:r>
      <w:r>
        <w:t xml:space="preserve"> under section 227(b)(1).  The</w:t>
      </w:r>
      <w:r w:rsidRPr="00BF79F5">
        <w:t xml:space="preserve"> term “person” as used in the TCPA and defined in the Communications Act </w:t>
      </w:r>
      <w:r>
        <w:t xml:space="preserve">expressly </w:t>
      </w:r>
      <w:r w:rsidRPr="00BF79F5">
        <w:t>includes an “individual, partnership, association, joint-stock company, trust, or corporation”</w:t>
      </w:r>
      <w:r>
        <w:t xml:space="preserve"> </w:t>
      </w:r>
      <w:r w:rsidRPr="00BF79F5">
        <w:t xml:space="preserve">“unless the context otherwise </w:t>
      </w:r>
      <w:r w:rsidRPr="00BF79F5">
        <w:t>requires</w:t>
      </w:r>
      <w:r>
        <w:t>.</w:t>
      </w:r>
      <w:r w:rsidRPr="00BF79F5">
        <w:t>”</w:t>
      </w:r>
      <w:r>
        <w:rPr>
          <w:vertAlign w:val="superscript"/>
        </w:rPr>
        <w:footnoteReference w:id="39"/>
      </w:r>
      <w:r w:rsidRPr="00BF79F5">
        <w:t xml:space="preserve">  Every federal contractor, including those acting as agents, falls within one of these categories.  </w:t>
      </w:r>
      <w:r>
        <w:t>And, u</w:t>
      </w:r>
      <w:r w:rsidRPr="00BF79F5">
        <w:t>nlike the federal government</w:t>
      </w:r>
      <w:r>
        <w:t xml:space="preserve"> itself</w:t>
      </w:r>
      <w:r w:rsidRPr="00BF79F5">
        <w:t xml:space="preserve">, there is no longstanding presumption that </w:t>
      </w:r>
      <w:r>
        <w:t xml:space="preserve">a </w:t>
      </w:r>
      <w:r w:rsidRPr="00BF79F5">
        <w:t xml:space="preserve">federal contractor </w:t>
      </w:r>
      <w:r>
        <w:t>is</w:t>
      </w:r>
      <w:r w:rsidRPr="00BF79F5">
        <w:t xml:space="preserve"> not </w:t>
      </w:r>
      <w:r>
        <w:t>a “</w:t>
      </w:r>
      <w:r w:rsidRPr="00BF79F5">
        <w:t>person.</w:t>
      </w:r>
      <w:r>
        <w:t>”</w:t>
      </w:r>
      <w:r>
        <w:rPr>
          <w:rStyle w:val="FootnoteReference"/>
        </w:rPr>
        <w:footnoteReference w:id="40"/>
      </w:r>
      <w:r w:rsidRPr="00BF79F5">
        <w:t xml:space="preserve">  </w:t>
      </w:r>
      <w:r>
        <w:t xml:space="preserve">Nor do we find any </w:t>
      </w:r>
      <w:r w:rsidRPr="00BF79F5">
        <w:t xml:space="preserve">“context that otherwise requires” us to ignore the </w:t>
      </w:r>
      <w:r>
        <w:t>express</w:t>
      </w:r>
      <w:r w:rsidRPr="00BF79F5">
        <w:t xml:space="preserve"> language of the Communication</w:t>
      </w:r>
      <w:r>
        <w:t>s</w:t>
      </w:r>
      <w:r w:rsidRPr="00BF79F5">
        <w:t xml:space="preserve"> Act’s definition of the term “person” in this situation.</w:t>
      </w:r>
      <w:r>
        <w:rPr>
          <w:vertAlign w:val="superscript"/>
        </w:rPr>
        <w:footnoteReference w:id="41"/>
      </w:r>
      <w:r w:rsidRPr="00BF79F5">
        <w:t xml:space="preserve">  Absent any </w:t>
      </w:r>
      <w:r>
        <w:t>applicable presumption to the contrary</w:t>
      </w:r>
      <w:r w:rsidRPr="00BF79F5">
        <w:t>, we find that the express definition of “person” as contained in the Communications Act is controlling</w:t>
      </w:r>
      <w:r>
        <w:t xml:space="preserve">.  </w:t>
      </w:r>
      <w:r w:rsidRPr="00BF79F5">
        <w:t xml:space="preserve">We </w:t>
      </w:r>
      <w:r>
        <w:t xml:space="preserve">thus </w:t>
      </w:r>
      <w:r w:rsidRPr="00BF79F5">
        <w:t>agree with NCLC and thos</w:t>
      </w:r>
      <w:r>
        <w:t>e commenters that contend that s</w:t>
      </w:r>
      <w:r w:rsidRPr="00BF79F5">
        <w:t>ection 227(b)(1) applies to federal contractors as “person</w:t>
      </w:r>
      <w:r>
        <w:t>[</w:t>
      </w:r>
      <w:r w:rsidRPr="00BF79F5">
        <w:t>s</w:t>
      </w:r>
      <w:r>
        <w:t>]</w:t>
      </w:r>
      <w:r w:rsidRPr="00BF79F5">
        <w:t>,” even when they are acting as agents of the federal government.</w:t>
      </w:r>
      <w:r>
        <w:rPr>
          <w:vertAlign w:val="superscript"/>
        </w:rPr>
        <w:footnoteReference w:id="42"/>
      </w:r>
      <w:r w:rsidRPr="00BF79F5">
        <w:t xml:space="preserve">  </w:t>
      </w:r>
    </w:p>
    <w:p w:rsidR="006767AC" w:rsidP="00EE367A" w14:paraId="6999AD99" w14:textId="77777777">
      <w:pPr>
        <w:pStyle w:val="ParaNum"/>
      </w:pPr>
      <w:r>
        <w:t>Federal contractors may, of course, obtain consumers’ prior express consent to make calls covered by the TCPA.  S</w:t>
      </w:r>
      <w:r w:rsidRPr="00BF79F5">
        <w:t xml:space="preserve">uch contractors may </w:t>
      </w:r>
      <w:r>
        <w:t xml:space="preserve">also </w:t>
      </w:r>
      <w:r w:rsidRPr="00BF79F5">
        <w:t>qualify for forms of derivative immunity when making calls on behalf of the federal government</w:t>
      </w:r>
      <w:r>
        <w:t>—w</w:t>
      </w:r>
      <w:r w:rsidRPr="006551B6">
        <w:t xml:space="preserve">e do not alter or impair the ability of </w:t>
      </w:r>
      <w:r>
        <w:t>contractors</w:t>
      </w:r>
      <w:r w:rsidRPr="006551B6">
        <w:t xml:space="preserve"> to invoke derivative immunity from liability when making calls on behalf of the federal government</w:t>
      </w:r>
      <w:r>
        <w:t>.  Particularly in the absence of a more complete record on this issue, however, we believe that it is more appropriate for the</w:t>
      </w:r>
      <w:r w:rsidRPr="006551B6">
        <w:t xml:space="preserve"> courts to determine </w:t>
      </w:r>
      <w:r>
        <w:t>whether</w:t>
      </w:r>
      <w:r w:rsidRPr="006551B6">
        <w:t xml:space="preserve"> the contractor </w:t>
      </w:r>
      <w:r>
        <w:t>satisfies the applicable test for derivative immunity, in accordance with generally applicable federal common law principles</w:t>
      </w:r>
      <w:r w:rsidRPr="006551B6">
        <w:t>.</w:t>
      </w:r>
      <w:r>
        <w:rPr>
          <w:vertAlign w:val="superscript"/>
        </w:rPr>
        <w:footnoteReference w:id="43"/>
      </w:r>
      <w:r w:rsidRPr="00BF79F5">
        <w:t xml:space="preserve"> </w:t>
      </w:r>
      <w:r>
        <w:t xml:space="preserve"> </w:t>
      </w:r>
      <w:r w:rsidRPr="00BF79F5">
        <w:t xml:space="preserve">Our ruling simply clarifies that </w:t>
      </w:r>
      <w:r>
        <w:t xml:space="preserve">a </w:t>
      </w:r>
      <w:r w:rsidRPr="00BF79F5">
        <w:t>federal contrac</w:t>
      </w:r>
      <w:r>
        <w:t>tor is a “person” pursuant to s</w:t>
      </w:r>
      <w:r w:rsidRPr="00BF79F5">
        <w:t>ection 227(b)(1)</w:t>
      </w:r>
      <w:r>
        <w:t>, and therefore is covered by the TCPA’s requirements even though the federal government is not</w:t>
      </w:r>
      <w:r w:rsidRPr="00BF79F5">
        <w:t>.</w:t>
      </w:r>
      <w:r w:rsidRPr="009E13F7">
        <w:t xml:space="preserve"> </w:t>
      </w:r>
      <w:r>
        <w:t xml:space="preserve"> </w:t>
      </w:r>
      <w:r w:rsidRPr="009E13F7">
        <w:t xml:space="preserve">We recognize that requiring a government contractor to establish an immunity or exemption imposes </w:t>
      </w:r>
      <w:r>
        <w:t>some burden on them</w:t>
      </w:r>
      <w:r w:rsidRPr="009E13F7">
        <w:t xml:space="preserve">.  We find, however, that this cost is outweighed by increasing the effectiveness of TCPA privacy right protections by </w:t>
      </w:r>
      <w:r>
        <w:t>according</w:t>
      </w:r>
      <w:r w:rsidRPr="009E13F7">
        <w:t xml:space="preserve"> the definition of “person” </w:t>
      </w:r>
      <w:r>
        <w:t>its plain meaning.</w:t>
      </w:r>
    </w:p>
    <w:p w:rsidR="006767AC" w:rsidRPr="00025C4D" w:rsidP="00EE367A" w14:paraId="47A5BA7F" w14:textId="77777777">
      <w:pPr>
        <w:pStyle w:val="ParaNum"/>
      </w:pPr>
      <w:r>
        <w:t xml:space="preserve">We disagree with commenters that argue that our decision is inconsistent with our precedent.  The Commission incorrectly applied our precedent on agency to federal government-contractor relationships in the </w:t>
      </w:r>
      <w:r w:rsidRPr="00D14C37">
        <w:rPr>
          <w:i/>
        </w:rPr>
        <w:t>Broadnet Declaratory Ruling</w:t>
      </w:r>
      <w:r>
        <w:t xml:space="preserve">.  Specifically, the Commission grounded its decision in the </w:t>
      </w:r>
      <w:r w:rsidRPr="003F0ACE">
        <w:rPr>
          <w:i/>
          <w:iCs/>
        </w:rPr>
        <w:t>DISH Declaratory Ruling</w:t>
      </w:r>
      <w:r>
        <w:t xml:space="preserve">, which did not involve the federal government nor the definition of “person” but instead pertained to </w:t>
      </w:r>
      <w:r w:rsidRPr="00BF79F5">
        <w:t xml:space="preserve">a </w:t>
      </w:r>
      <w:r w:rsidRPr="00BF451E">
        <w:rPr>
          <w:i/>
        </w:rPr>
        <w:t>non-governmental</w:t>
      </w:r>
      <w:r w:rsidRPr="00BF79F5">
        <w:t xml:space="preserve"> “person” subject to the TCPA </w:t>
      </w:r>
      <w:r>
        <w:t xml:space="preserve">and whether it is vicariously liable </w:t>
      </w:r>
      <w:r w:rsidRPr="00BF79F5">
        <w:t xml:space="preserve">for the actions of its </w:t>
      </w:r>
      <w:r>
        <w:rPr>
          <w:i/>
          <w:iCs/>
        </w:rPr>
        <w:t xml:space="preserve">non-governmental </w:t>
      </w:r>
      <w:r w:rsidRPr="00BF79F5">
        <w:t>agents.</w:t>
      </w:r>
      <w:r>
        <w:rPr>
          <w:vertAlign w:val="superscript"/>
        </w:rPr>
        <w:footnoteReference w:id="44"/>
      </w:r>
      <w:r>
        <w:t xml:space="preserve">  As a result, that precedent does not bear on the issues before us here—which callers are TCPA “persons”—but instead involved principals and agents that were undoubtedly “persons.”  Here we look to Congress’ intent as expressed in its definition of “person” and thus who should be liable for TCPA violations under statutory interpretation norms, rather than common law agency principles.  Indeed, if we were to so apply the </w:t>
      </w:r>
      <w:r>
        <w:rPr>
          <w:i/>
          <w:iCs/>
        </w:rPr>
        <w:t xml:space="preserve">DISH Declaratory Ruling </w:t>
      </w:r>
      <w:r>
        <w:t xml:space="preserve">precedent to the federal government’s relationship with its contractors, it would nullify Congress’s definition of “person” altogether if those “individual[s], partnership[s], association[s]” and others make calls as agents of the federal government. </w:t>
      </w:r>
      <w:r w:rsidRPr="00BF79F5">
        <w:t xml:space="preserve"> </w:t>
      </w:r>
      <w:r>
        <w:t>In short, our conclusion is more consistent with legal precedent and established principles of statutory interpretation.</w:t>
      </w:r>
    </w:p>
    <w:p w:rsidR="006767AC" w:rsidRPr="00BF79F5" w:rsidP="00EE367A" w14:paraId="3BF073E7" w14:textId="77777777">
      <w:pPr>
        <w:pStyle w:val="ParaNum"/>
      </w:pPr>
      <w:r>
        <w:t>We also disagree with those c</w:t>
      </w:r>
      <w:r w:rsidRPr="005D1F3A">
        <w:t>ommenters opposing the NCLC petition</w:t>
      </w:r>
      <w:r>
        <w:t xml:space="preserve"> because they believe that this outcome would unduly impair </w:t>
      </w:r>
      <w:r w:rsidRPr="005D1F3A">
        <w:t xml:space="preserve">robocalls </w:t>
      </w:r>
      <w:r>
        <w:t xml:space="preserve">made </w:t>
      </w:r>
      <w:r w:rsidRPr="005D1F3A">
        <w:t xml:space="preserve">via </w:t>
      </w:r>
      <w:r>
        <w:t xml:space="preserve">federal </w:t>
      </w:r>
      <w:r w:rsidRPr="005D1F3A">
        <w:t>contractors</w:t>
      </w:r>
      <w:r>
        <w:t xml:space="preserve"> </w:t>
      </w:r>
      <w:r w:rsidRPr="005D1F3A">
        <w:t>to promote civic engagement and inform citizens.</w:t>
      </w:r>
      <w:r>
        <w:rPr>
          <w:vertAlign w:val="superscript"/>
        </w:rPr>
        <w:footnoteReference w:id="45"/>
      </w:r>
      <w:r>
        <w:t xml:space="preserve">  Congress has already weighed the balance between the privacy rights the TCPA is designed to protect and the ease and cost of robocalling.  Congress could have exempted contractors of the federal government if it wished to do so.  Further, we note that the language of the TCPA explicitly exempts the type of calls—those for emergency purposes—that arguably constitute the most important type of calls that governments can make to their citizens.</w:t>
      </w:r>
      <w:r>
        <w:rPr>
          <w:rStyle w:val="FootnoteReference"/>
        </w:rPr>
        <w:footnoteReference w:id="46"/>
      </w:r>
      <w:r>
        <w:t xml:space="preserve">  Finally, third-party federal contractors may avail themselves of derivative immunity and recognized exemptions to continue to make calls on behalf of the federal government.</w:t>
      </w:r>
    </w:p>
    <w:p w:rsidR="006767AC" w:rsidP="00160028" w14:paraId="129B2FA0" w14:textId="77777777">
      <w:pPr>
        <w:pStyle w:val="ParaNum"/>
        <w:widowControl/>
      </w:pPr>
      <w:bookmarkStart w:id="8" w:name="_Hlk522734167"/>
      <w:r w:rsidRPr="00304BA9">
        <w:rPr>
          <w:i/>
        </w:rPr>
        <w:t>Maker of the Call.</w:t>
      </w:r>
      <w:r w:rsidRPr="00BF13A5">
        <w:t xml:space="preserve">  </w:t>
      </w:r>
      <w:bookmarkEnd w:id="8"/>
      <w:r>
        <w:t>Broadnet avers that, as a contractor, it facilitates</w:t>
      </w:r>
      <w:r w:rsidRPr="00BF79F5">
        <w:t xml:space="preserve"> </w:t>
      </w:r>
      <w:r>
        <w:t>“</w:t>
      </w:r>
      <w:r w:rsidRPr="00BF79F5">
        <w:t>telephone town hall</w:t>
      </w:r>
      <w:r>
        <w:t>” call</w:t>
      </w:r>
      <w:r w:rsidRPr="00BF79F5">
        <w:t xml:space="preserve">s on behalf of government callers, </w:t>
      </w:r>
      <w:r>
        <w:t>and asserts that it is not</w:t>
      </w:r>
      <w:r w:rsidRPr="00BF79F5">
        <w:t xml:space="preserve"> the maker of the calls.</w:t>
      </w:r>
      <w:r>
        <w:rPr>
          <w:vertAlign w:val="superscript"/>
        </w:rPr>
        <w:footnoteReference w:id="47"/>
      </w:r>
      <w:r w:rsidRPr="00BF79F5">
        <w:t xml:space="preserve">  </w:t>
      </w:r>
      <w:r>
        <w:t>We agree that a f</w:t>
      </w:r>
      <w:r w:rsidRPr="00987735">
        <w:t xml:space="preserve">ederal contractor may be able to avoid liability </w:t>
      </w:r>
      <w:r>
        <w:t>under</w:t>
      </w:r>
      <w:r w:rsidRPr="00987735">
        <w:t xml:space="preserve"> the TCPA if </w:t>
      </w:r>
      <w:r>
        <w:t>it</w:t>
      </w:r>
      <w:r w:rsidRPr="00987735">
        <w:t xml:space="preserve"> </w:t>
      </w:r>
      <w:r>
        <w:t>is</w:t>
      </w:r>
      <w:r w:rsidRPr="00987735">
        <w:t xml:space="preserve"> not</w:t>
      </w:r>
      <w:r>
        <w:t xml:space="preserve"> </w:t>
      </w:r>
      <w:r w:rsidRPr="00987735">
        <w:t>the “maker of the call</w:t>
      </w:r>
      <w:r>
        <w:t xml:space="preserve">.”  </w:t>
      </w:r>
    </w:p>
    <w:p w:rsidR="006767AC" w:rsidRPr="00134E50" w:rsidP="00EE367A" w14:paraId="667EC445" w14:textId="51DC6AAC">
      <w:pPr>
        <w:pStyle w:val="ParaNum"/>
      </w:pPr>
      <w:r>
        <w:t>The</w:t>
      </w:r>
      <w:r w:rsidRPr="00BF79F5">
        <w:t xml:space="preserve"> Commission </w:t>
      </w:r>
      <w:r>
        <w:t xml:space="preserve">previously </w:t>
      </w:r>
      <w:r w:rsidRPr="00BF79F5">
        <w:t xml:space="preserve">clarified that a caller may be found to have made or initiated a call in one of two ways: </w:t>
      </w:r>
      <w:r w:rsidR="0075495F">
        <w:t xml:space="preserve"> </w:t>
      </w:r>
      <w:r w:rsidRPr="00BF79F5">
        <w:t>first, by “</w:t>
      </w:r>
      <w:r w:rsidRPr="00BF79F5">
        <w:t>tak</w:t>
      </w:r>
      <w:r w:rsidRPr="00BF79F5">
        <w:t>[</w:t>
      </w:r>
      <w:r w:rsidRPr="00BF79F5">
        <w:t>ing</w:t>
      </w:r>
      <w:r w:rsidRPr="00BF79F5">
        <w:t>] the steps necessary to physically place a telephone call”</w:t>
      </w:r>
      <w:r>
        <w:t>;</w:t>
      </w:r>
      <w:r w:rsidRPr="00BF79F5">
        <w:t xml:space="preserve"> and second, by being “so involved in the placing of a specific telephone call as to be directly liable for making it.”</w:t>
      </w:r>
      <w:r>
        <w:rPr>
          <w:vertAlign w:val="superscript"/>
        </w:rPr>
        <w:footnoteReference w:id="48"/>
      </w:r>
      <w:r>
        <w:t xml:space="preserve">  The Commission stated that, in determining the maker of the call, it </w:t>
      </w:r>
      <w:r w:rsidRPr="00F56A72">
        <w:t xml:space="preserve">would consider “the totality of the facts and circumstances surrounding the placing of a particular call to determine: </w:t>
      </w:r>
      <w:r w:rsidR="0075495F">
        <w:t xml:space="preserve"> </w:t>
      </w:r>
      <w:r w:rsidRPr="00F56A72">
        <w:t>(1) who took the steps necessary to physically place the call; and (2) whether another person or entity was so involved in placing the call as to be deemed to have initiated it, considering the goals and purposes of the TCPA.”</w:t>
      </w:r>
      <w:r>
        <w:rPr>
          <w:rStyle w:val="FootnoteReference"/>
          <w:rFonts w:cs="TimesNewRoman"/>
        </w:rPr>
        <w:footnoteReference w:id="49"/>
      </w:r>
      <w:r w:rsidRPr="00F56A72">
        <w:t xml:space="preserve">  The Commission has pointed to several relevant factors in conducting these “totality of the facts and circumstances” analyses to determine the maker of the call</w:t>
      </w:r>
      <w:r>
        <w:t xml:space="preserve">—e.g., </w:t>
      </w:r>
      <w:r w:rsidRPr="00F56A72">
        <w:t>who determines the content of the message, who determines the recipients of the message, who determines the timing of when the message is sent, the extent to which a person willfully enables fraudulent spoofing, and whether a calling platform knowingly allows clients to use the platform for unlawful purposes.</w:t>
      </w:r>
      <w:r>
        <w:rPr>
          <w:rStyle w:val="FootnoteReference"/>
          <w:rFonts w:cs="TimesNewRoman"/>
        </w:rPr>
        <w:footnoteReference w:id="50"/>
      </w:r>
    </w:p>
    <w:p w:rsidR="006767AC" w:rsidP="00EE367A" w14:paraId="283C7F48" w14:textId="77777777">
      <w:pPr>
        <w:pStyle w:val="ParaNum"/>
      </w:pPr>
      <w:r>
        <w:t>We will continue to apply this analysis to assess TCPA liability of parties, including government contractors, on a case-by-case basis, and we take this opportunity to provide additional guidance.  Based on these fact-specific criteria, Broadnet states that its “</w:t>
      </w:r>
      <w:r w:rsidRPr="00027D3B">
        <w:t>government customers, and not Broadnet, make all decisions regarding whether to make a call, the timing of the call, the call recipients, and the content of the call.</w:t>
      </w:r>
      <w:r>
        <w:t>”</w:t>
      </w:r>
      <w:r>
        <w:rPr>
          <w:rStyle w:val="FootnoteReference"/>
        </w:rPr>
        <w:footnoteReference w:id="51"/>
      </w:r>
      <w:r>
        <w:t xml:space="preserve">  It further states that its “</w:t>
      </w:r>
      <w:r w:rsidRPr="00027D3B">
        <w:t xml:space="preserve">government customer takes the steps physically necessary to initiate a telephone town </w:t>
      </w:r>
      <w:r>
        <w:t xml:space="preserve">[hall] </w:t>
      </w:r>
      <w:r w:rsidRPr="00027D3B">
        <w:t>call</w:t>
      </w:r>
      <w:r>
        <w:t>,” while Broadnet’s role is to “</w:t>
      </w:r>
      <w:r w:rsidRPr="00027D3B">
        <w:t>manage the technical aspects of the service and to ensure that its customers do not use the platform unlawfully</w:t>
      </w:r>
      <w:r>
        <w:t>.”</w:t>
      </w:r>
      <w:r>
        <w:rPr>
          <w:rStyle w:val="FootnoteReference"/>
        </w:rPr>
        <w:footnoteReference w:id="52"/>
      </w:r>
      <w:r>
        <w:t xml:space="preserve"> </w:t>
      </w:r>
      <w:r w:rsidRPr="00BF79F5">
        <w:t xml:space="preserve"> </w:t>
      </w:r>
    </w:p>
    <w:p w:rsidR="006767AC" w:rsidP="00EE367A" w14:paraId="33EBBC6E" w14:textId="77777777">
      <w:pPr>
        <w:pStyle w:val="ParaNum"/>
      </w:pPr>
      <w:r>
        <w:t xml:space="preserve">Based on our analysis of the specific facts before us, and in the absence of any other contrary evidence in the record with respect to Broadnet’s operations, we find Broadnet’s argument persuasive.  These facts, taken together, lead us to find that Broadnet is not the maker of the call, but rather that Broadnet’s government client is the maker of the call because that government client is so involved in placing the call as to be deemed to have initiated it.  </w:t>
      </w:r>
    </w:p>
    <w:p w:rsidR="006767AC" w:rsidRPr="00BF79F5" w:rsidP="006767AC" w14:paraId="75A8A88A" w14:textId="77777777">
      <w:pPr>
        <w:pStyle w:val="Heading2"/>
      </w:pPr>
      <w:r>
        <w:t>State Governments and State Government Contractors</w:t>
      </w:r>
    </w:p>
    <w:p w:rsidR="006767AC" w:rsidRPr="00BF79F5" w:rsidP="00EE367A" w14:paraId="6256BB81" w14:textId="77777777">
      <w:pPr>
        <w:pStyle w:val="ParaNum"/>
      </w:pPr>
      <w:r>
        <w:t xml:space="preserve">Consistent with our findings on federal calls above, </w:t>
      </w:r>
      <w:r>
        <w:rPr>
          <w:iCs/>
        </w:rPr>
        <w:t>w</w:t>
      </w:r>
      <w:r w:rsidRPr="000728D4">
        <w:rPr>
          <w:iCs/>
        </w:rPr>
        <w:t xml:space="preserve">e </w:t>
      </w:r>
      <w:r>
        <w:rPr>
          <w:iCs/>
        </w:rPr>
        <w:t xml:space="preserve">clarify that </w:t>
      </w:r>
      <w:r w:rsidRPr="00BF79F5">
        <w:t>state government</w:t>
      </w:r>
      <w:r>
        <w:t xml:space="preserve"> caller</w:t>
      </w:r>
      <w:r w:rsidRPr="00BF79F5">
        <w:t xml:space="preserve">s in the conduct of official business likewise do not fall within </w:t>
      </w:r>
      <w:r>
        <w:t xml:space="preserve">the meaning </w:t>
      </w:r>
      <w:r w:rsidRPr="00BF79F5">
        <w:t>of “person</w:t>
      </w:r>
      <w:r>
        <w:t>” in s</w:t>
      </w:r>
      <w:r w:rsidRPr="00BF79F5">
        <w:t>ection 227(b)(1)</w:t>
      </w:r>
      <w:r>
        <w:t>, while state contractors, like their federal counterparts, are “person[s]” under that provision.</w:t>
      </w:r>
      <w:r>
        <w:rPr>
          <w:vertAlign w:val="superscript"/>
        </w:rPr>
        <w:footnoteReference w:id="53"/>
      </w:r>
      <w:r w:rsidRPr="00BF79F5">
        <w:t xml:space="preserve">  </w:t>
      </w:r>
      <w:r>
        <w:t xml:space="preserve">The Commission declined to address state government calls in the </w:t>
      </w:r>
      <w:r w:rsidRPr="00BB18C1">
        <w:rPr>
          <w:i/>
          <w:iCs/>
        </w:rPr>
        <w:t>Broadnet Declaratory Ruling</w:t>
      </w:r>
      <w:r w:rsidRPr="000A61AA">
        <w:t>,</w:t>
      </w:r>
      <w:r>
        <w:rPr>
          <w:rStyle w:val="FootnoteReference"/>
          <w:iCs/>
        </w:rPr>
        <w:footnoteReference w:id="54"/>
      </w:r>
      <w:r w:rsidRPr="00BF79F5">
        <w:t xml:space="preserve"> </w:t>
      </w:r>
      <w:r>
        <w:t xml:space="preserve">but the </w:t>
      </w:r>
      <w:r>
        <w:rPr>
          <w:i/>
        </w:rPr>
        <w:t xml:space="preserve">ACA Public Notice </w:t>
      </w:r>
      <w:r>
        <w:t>sought comment on how the TCPA applies to state and local government employees and contractors.  A</w:t>
      </w:r>
      <w:r w:rsidRPr="00BF79F5">
        <w:t xml:space="preserve">s the Commission </w:t>
      </w:r>
      <w:r>
        <w:t xml:space="preserve">has </w:t>
      </w:r>
      <w:r w:rsidRPr="00BF79F5">
        <w:t>noted</w:t>
      </w:r>
      <w:r>
        <w:t xml:space="preserve">, </w:t>
      </w:r>
      <w:r w:rsidRPr="00BF79F5">
        <w:t xml:space="preserve">there is a “longstanding interpretive presumption” that the word ‘person’ does not include the </w:t>
      </w:r>
      <w:r w:rsidRPr="00BF79F5">
        <w:t>sovereign .</w:t>
      </w:r>
      <w:r>
        <w:t> </w:t>
      </w:r>
      <w:r w:rsidRPr="00BF79F5">
        <w:t>.</w:t>
      </w:r>
      <w:r>
        <w:t> </w:t>
      </w:r>
      <w:r w:rsidRPr="00BF79F5">
        <w:t>. [except] upon some affirmative showing of statutory intent to the contrary.”</w:t>
      </w:r>
      <w:r>
        <w:rPr>
          <w:vertAlign w:val="superscript"/>
        </w:rPr>
        <w:footnoteReference w:id="55"/>
      </w:r>
      <w:r w:rsidRPr="00BF79F5">
        <w:t xml:space="preserve">  The Supreme Court has confirmed that this presumption is applicable to state governments.</w:t>
      </w:r>
      <w:r>
        <w:rPr>
          <w:vertAlign w:val="superscript"/>
        </w:rPr>
        <w:footnoteReference w:id="56"/>
      </w:r>
      <w:r w:rsidRPr="00BF79F5">
        <w:t xml:space="preserve">  </w:t>
      </w:r>
      <w:r>
        <w:t>Moreover, n</w:t>
      </w:r>
      <w:r w:rsidRPr="00BF79F5">
        <w:t xml:space="preserve">either the TCPA nor </w:t>
      </w:r>
      <w:r>
        <w:t xml:space="preserve">the </w:t>
      </w:r>
      <w:r w:rsidRPr="00BF79F5">
        <w:t>Communications Act defines “person” to include state governmental entities.  As a result, we conclude that there is a presumption tha</w:t>
      </w:r>
      <w:r>
        <w:t>t the term “person” as used in s</w:t>
      </w:r>
      <w:r w:rsidRPr="00BF79F5">
        <w:t>ection 227(b)(1) does not include state governments</w:t>
      </w:r>
      <w:r>
        <w:t>,</w:t>
      </w:r>
      <w:r w:rsidRPr="00BF79F5">
        <w:t xml:space="preserve"> </w:t>
      </w:r>
      <w:r>
        <w:t>and that there is no</w:t>
      </w:r>
      <w:r w:rsidRPr="00BF79F5">
        <w:t xml:space="preserve"> affirmative showing of statutory intent to the contrary.</w:t>
      </w:r>
      <w:r>
        <w:rPr>
          <w:vertAlign w:val="superscript"/>
        </w:rPr>
        <w:footnoteReference w:id="57"/>
      </w:r>
      <w:r w:rsidRPr="00BF79F5">
        <w:t xml:space="preserve">  </w:t>
      </w:r>
    </w:p>
    <w:p w:rsidR="006767AC" w:rsidP="00EE367A" w14:paraId="346429FE" w14:textId="77777777">
      <w:pPr>
        <w:pStyle w:val="ParaNum"/>
      </w:pPr>
      <w:r w:rsidRPr="00BF79F5">
        <w:t xml:space="preserve">When Congress enacted the TCPA, the Supreme Court had long applied the modern presumption that the word “person” excludes the </w:t>
      </w:r>
      <w:r>
        <w:t>sovereign</w:t>
      </w:r>
      <w:r w:rsidRPr="00BF79F5">
        <w:t xml:space="preserve"> unless </w:t>
      </w:r>
      <w:r>
        <w:t xml:space="preserve">articulated </w:t>
      </w:r>
      <w:r w:rsidRPr="00BF79F5">
        <w:t>otherwise.</w:t>
      </w:r>
      <w:r>
        <w:rPr>
          <w:vertAlign w:val="superscript"/>
        </w:rPr>
        <w:footnoteReference w:id="58"/>
      </w:r>
      <w:r w:rsidRPr="00BF79F5">
        <w:t xml:space="preserve">  </w:t>
      </w:r>
      <w:r>
        <w:t xml:space="preserve">We believe that </w:t>
      </w:r>
      <w:r w:rsidRPr="00BF79F5">
        <w:t xml:space="preserve">Congress enacted the TCPA in 1991 </w:t>
      </w:r>
      <w:r>
        <w:t xml:space="preserve">understanding </w:t>
      </w:r>
      <w:r w:rsidRPr="00BF79F5">
        <w:t>that its use of the word “person” in that statute would not be presumed to include the federal or state governments.  If Congress had wanted to subject state governments to the TCPA, it could have done so by</w:t>
      </w:r>
      <w:r>
        <w:t xml:space="preserve"> expressly</w:t>
      </w:r>
      <w:r w:rsidRPr="00BF79F5">
        <w:t xml:space="preserve"> defining “person” to include state governments.  That </w:t>
      </w:r>
      <w:r>
        <w:t>it did not</w:t>
      </w:r>
      <w:r w:rsidRPr="00BF79F5">
        <w:t xml:space="preserve"> is strong evidence that Congress did not intend state governments to be </w:t>
      </w:r>
      <w:r>
        <w:t>covered by the prohibitions in s</w:t>
      </w:r>
      <w:r w:rsidRPr="00BF79F5">
        <w:t xml:space="preserve">ection 227(b)(1).  </w:t>
      </w:r>
    </w:p>
    <w:p w:rsidR="006767AC" w:rsidRPr="00603F36" w:rsidP="00EE367A" w14:paraId="01ABBEDB" w14:textId="77777777">
      <w:pPr>
        <w:pStyle w:val="ParaNum"/>
      </w:pPr>
      <w:r w:rsidRPr="00603F36">
        <w:t>We note only one instance in the legislative history of the TCPA that could be construed to the contrary.  As introduced, the TCPA banned automated telephone calls unless the call was placed by a “public school or other governmental entity,” which could arguably imply that the drafters of the bill otherwise viewed governments as “persons” under the statute whose calls would be under the purview of the TCPA unless expressly exempted.</w:t>
      </w:r>
      <w:r>
        <w:rPr>
          <w:vertAlign w:val="superscript"/>
        </w:rPr>
        <w:footnoteReference w:id="59"/>
      </w:r>
      <w:r w:rsidRPr="00603F36">
        <w:t xml:space="preserve">  </w:t>
      </w:r>
      <w:r>
        <w:t xml:space="preserve">This language was later amended and replaced with an exception for calls made </w:t>
      </w:r>
      <w:r w:rsidRPr="00603F36">
        <w:t xml:space="preserve">for “any emergency purposes,” and the legislative history explains that the purpose of the change was to “allow the use of automated calls when </w:t>
      </w:r>
      <w:r w:rsidRPr="00242EF1">
        <w:rPr>
          <w:iCs/>
        </w:rPr>
        <w:t>private individuals</w:t>
      </w:r>
      <w:r w:rsidRPr="00603F36">
        <w:t xml:space="preserve"> as well as schools and other government entities call for emergency purposes.”</w:t>
      </w:r>
      <w:r>
        <w:rPr>
          <w:vertAlign w:val="superscript"/>
        </w:rPr>
        <w:footnoteReference w:id="60"/>
      </w:r>
      <w:r w:rsidRPr="00603F36">
        <w:t xml:space="preserve">  </w:t>
      </w:r>
      <w:r>
        <w:t>W</w:t>
      </w:r>
      <w:r w:rsidRPr="0047758A">
        <w:t xml:space="preserve">e do not believe this portion of the legislative history so clearly covers state (as opposed to local) government entities as to overcome in the absence of statutory language to the contrary the established presumption </w:t>
      </w:r>
      <w:r w:rsidRPr="0004363B">
        <w:t xml:space="preserve">set forth </w:t>
      </w:r>
      <w:r w:rsidRPr="006D5801">
        <w:t>above</w:t>
      </w:r>
      <w:r w:rsidRPr="0047758A">
        <w:t xml:space="preserve"> with respect to state governments as sovereigns.</w:t>
      </w:r>
      <w:r>
        <w:rPr>
          <w:rStyle w:val="FootnoteReference"/>
        </w:rPr>
        <w:footnoteReference w:id="61"/>
      </w:r>
      <w:r w:rsidRPr="00603F36">
        <w:t xml:space="preserve">  </w:t>
      </w:r>
    </w:p>
    <w:p w:rsidR="006767AC" w:rsidP="00EE367A" w14:paraId="34C59946" w14:textId="77777777">
      <w:pPr>
        <w:pStyle w:val="ParaNum"/>
      </w:pPr>
      <w:r>
        <w:t>Our precedent also countenances that we take into account whether</w:t>
      </w:r>
      <w:r w:rsidRPr="00BF79F5">
        <w:t xml:space="preserve"> “the inclusion of a particular activity within the meaning of the statute would not interfere with the processes of </w:t>
      </w:r>
      <w:r w:rsidRPr="00BF79F5">
        <w:t>government.”</w:t>
      </w:r>
      <w:r>
        <w:rPr>
          <w:vertAlign w:val="superscript"/>
        </w:rPr>
        <w:footnoteReference w:id="62"/>
      </w:r>
      <w:r w:rsidRPr="00BF79F5">
        <w:t xml:space="preserve">  As with the federal government, we conclude that subjecting state governments to the TCPA’s prohibition</w:t>
      </w:r>
      <w:r>
        <w:t xml:space="preserve">s </w:t>
      </w:r>
      <w:r w:rsidRPr="00BF79F5">
        <w:t>when conducting official business would significantly constrain the</w:t>
      </w:r>
      <w:r>
        <w:t>ir</w:t>
      </w:r>
      <w:r w:rsidRPr="00BF79F5">
        <w:t xml:space="preserve"> ability to communicate with </w:t>
      </w:r>
      <w:r>
        <w:t>their</w:t>
      </w:r>
      <w:r w:rsidRPr="00BF79F5">
        <w:t xml:space="preserve"> citizens.  The record shows </w:t>
      </w:r>
      <w:r>
        <w:t xml:space="preserve">ample </w:t>
      </w:r>
      <w:r w:rsidRPr="00BF79F5">
        <w:t>support for this interpretation</w:t>
      </w:r>
      <w:r>
        <w:t>, and there is no record evidence to the contrary</w:t>
      </w:r>
      <w:r w:rsidRPr="00BF79F5">
        <w:t>.</w:t>
      </w:r>
      <w:r>
        <w:rPr>
          <w:vertAlign w:val="superscript"/>
        </w:rPr>
        <w:footnoteReference w:id="63"/>
      </w:r>
      <w:r w:rsidRPr="00BF79F5">
        <w:t xml:space="preserve">  </w:t>
      </w:r>
    </w:p>
    <w:p w:rsidR="006767AC" w:rsidRPr="00BF79F5" w:rsidP="00EE367A" w14:paraId="1B95D160" w14:textId="77777777">
      <w:pPr>
        <w:pStyle w:val="ParaNum"/>
      </w:pPr>
      <w:r>
        <w:t>W</w:t>
      </w:r>
      <w:r w:rsidRPr="00BF79F5">
        <w:t xml:space="preserve">e disagree with commenters </w:t>
      </w:r>
      <w:r>
        <w:t>that</w:t>
      </w:r>
      <w:r w:rsidRPr="00BF79F5">
        <w:t xml:space="preserve"> suggest </w:t>
      </w:r>
      <w:r>
        <w:t xml:space="preserve">our clarification </w:t>
      </w:r>
      <w:r w:rsidRPr="00BF79F5">
        <w:t xml:space="preserve">will </w:t>
      </w:r>
      <w:r>
        <w:t xml:space="preserve">cause </w:t>
      </w:r>
      <w:r w:rsidRPr="00BF79F5">
        <w:t xml:space="preserve">an </w:t>
      </w:r>
      <w:r>
        <w:t>increase</w:t>
      </w:r>
      <w:r w:rsidRPr="00BF79F5">
        <w:t xml:space="preserve"> </w:t>
      </w:r>
      <w:r>
        <w:t>in</w:t>
      </w:r>
      <w:r w:rsidRPr="00BF79F5">
        <w:t xml:space="preserve"> unwanted calls from state governments.</w:t>
      </w:r>
      <w:r>
        <w:rPr>
          <w:rStyle w:val="FootnoteReference"/>
        </w:rPr>
        <w:footnoteReference w:id="64"/>
      </w:r>
      <w:r w:rsidRPr="00BF79F5">
        <w:t xml:space="preserve">  </w:t>
      </w:r>
      <w:r>
        <w:t>O</w:t>
      </w:r>
      <w:r w:rsidRPr="00BF79F5">
        <w:t xml:space="preserve">ur </w:t>
      </w:r>
      <w:r>
        <w:t>clarification</w:t>
      </w:r>
      <w:r w:rsidRPr="00BF79F5">
        <w:t xml:space="preserve"> is limited to calls made by state government</w:t>
      </w:r>
      <w:r>
        <w:t xml:space="preserve"> callers</w:t>
      </w:r>
      <w:r w:rsidRPr="00BF79F5">
        <w:t xml:space="preserve"> in the conduct of official business</w:t>
      </w:r>
      <w:r>
        <w:t xml:space="preserve"> and does not exempt other types of calls made by state officials, such as those related to campaigns for re-election</w:t>
      </w:r>
      <w:r w:rsidRPr="00BF79F5">
        <w:t>.</w:t>
      </w:r>
      <w:r>
        <w:rPr>
          <w:vertAlign w:val="superscript"/>
        </w:rPr>
        <w:footnoteReference w:id="65"/>
      </w:r>
      <w:r w:rsidRPr="00BF79F5">
        <w:t xml:space="preserve">  </w:t>
      </w:r>
      <w:r>
        <w:t>Nevertheless, w</w:t>
      </w:r>
      <w:r w:rsidRPr="00BF79F5">
        <w:t>e encourage state governments</w:t>
      </w:r>
      <w:r>
        <w:t xml:space="preserve"> </w:t>
      </w:r>
      <w:r w:rsidRPr="00BF79F5">
        <w:t xml:space="preserve">to make efforts to honor consumer requests to opt out of such </w:t>
      </w:r>
      <w:r>
        <w:t xml:space="preserve">exempted </w:t>
      </w:r>
      <w:r w:rsidRPr="00BF79F5">
        <w:t xml:space="preserve">calls to minimize any </w:t>
      </w:r>
      <w:r>
        <w:t xml:space="preserve">consumer </w:t>
      </w:r>
      <w:r w:rsidRPr="00BF79F5">
        <w:t>privacy implications.</w:t>
      </w:r>
    </w:p>
    <w:p w:rsidR="006767AC" w:rsidRPr="00BF79F5" w:rsidP="00EE367A" w14:paraId="5D8E0A2B" w14:textId="77777777">
      <w:pPr>
        <w:pStyle w:val="ParaNum"/>
      </w:pPr>
      <w:r w:rsidRPr="00BF79F5">
        <w:t xml:space="preserve">We limit our interpretation of “person” as excluding state governments to the specific </w:t>
      </w:r>
      <w:r>
        <w:t>statutory provision before us: s</w:t>
      </w:r>
      <w:r w:rsidRPr="00BF79F5">
        <w:t xml:space="preserve">ection 227(b)(1) of the </w:t>
      </w:r>
      <w:r>
        <w:t>TCPA</w:t>
      </w:r>
      <w:r w:rsidRPr="00BF79F5">
        <w:t xml:space="preserve">.  As in the </w:t>
      </w:r>
      <w:r w:rsidRPr="003F0ACE">
        <w:rPr>
          <w:i/>
          <w:iCs/>
        </w:rPr>
        <w:t>Broadnet Declaratory Ruling</w:t>
      </w:r>
      <w:r w:rsidRPr="00BF79F5">
        <w:t>, we make no finding here with respect to the meaning of “person” as used elsewhere in the Communications Act.</w:t>
      </w:r>
      <w:r>
        <w:rPr>
          <w:vertAlign w:val="superscript"/>
        </w:rPr>
        <w:footnoteReference w:id="66"/>
      </w:r>
      <w:r w:rsidRPr="00BF79F5">
        <w:t xml:space="preserve">  Indeed, some uses of the word “person” within the original text of the Communications Act of 1934 have been construed to include state governments, and we do not </w:t>
      </w:r>
      <w:r>
        <w:t xml:space="preserve">modify </w:t>
      </w:r>
      <w:r w:rsidRPr="00BF79F5">
        <w:t>those interpretations here.</w:t>
      </w:r>
      <w:r>
        <w:rPr>
          <w:vertAlign w:val="superscript"/>
        </w:rPr>
        <w:footnoteReference w:id="67"/>
      </w:r>
    </w:p>
    <w:p w:rsidR="006767AC" w:rsidRPr="000C3E97" w:rsidP="00EE367A" w14:paraId="2D28F99A" w14:textId="77777777">
      <w:pPr>
        <w:pStyle w:val="ParaNum"/>
      </w:pPr>
      <w:r>
        <w:t>For the same reasons we found federal contractors are “persons” under section 227(b)(1) of the TCPA, we find that</w:t>
      </w:r>
      <w:r w:rsidRPr="00BF79F5">
        <w:t xml:space="preserve"> contractors acting on behalf of state governments are </w:t>
      </w:r>
      <w:r>
        <w:t xml:space="preserve">likewise </w:t>
      </w:r>
      <w:r w:rsidRPr="00BF79F5">
        <w:t>“perso</w:t>
      </w:r>
      <w:r>
        <w:t>ns.”</w:t>
      </w:r>
      <w:r w:rsidRPr="00BF79F5">
        <w:t xml:space="preserve">  Such contractors fall within the </w:t>
      </w:r>
      <w:r>
        <w:t>express</w:t>
      </w:r>
      <w:r w:rsidRPr="00BF79F5">
        <w:t xml:space="preserve"> language of the Communication</w:t>
      </w:r>
      <w:r>
        <w:t>s</w:t>
      </w:r>
      <w:r w:rsidRPr="00BF79F5">
        <w:t xml:space="preserve"> Act’s definition of </w:t>
      </w:r>
      <w:r>
        <w:t>“</w:t>
      </w:r>
      <w:r w:rsidRPr="00BF79F5">
        <w:t>person</w:t>
      </w:r>
      <w:r>
        <w:t>”</w:t>
      </w:r>
      <w:r w:rsidRPr="00BF79F5">
        <w:t xml:space="preserve"> and we find no compelling argument to the contrary.  </w:t>
      </w:r>
      <w:r>
        <w:t>To the extent that parties raised objections to a finding that federal contractors are “persons” that are also relevant to state contractors, we reject those arguments for the same reasons set forth above.</w:t>
      </w:r>
      <w:r>
        <w:rPr>
          <w:rStyle w:val="FootnoteReference"/>
        </w:rPr>
        <w:footnoteReference w:id="68"/>
      </w:r>
      <w:r>
        <w:t xml:space="preserve">  </w:t>
      </w:r>
      <w:r w:rsidRPr="00BF79F5">
        <w:t xml:space="preserve">As with federal contractors, we leave it to the courts to </w:t>
      </w:r>
      <w:r>
        <w:t>apply</w:t>
      </w:r>
      <w:r w:rsidRPr="00BF79F5">
        <w:t xml:space="preserve"> the body of existing immunity law to state contractors </w:t>
      </w:r>
      <w:r>
        <w:t xml:space="preserve">and </w:t>
      </w:r>
      <w:r w:rsidRPr="00BF79F5">
        <w:t xml:space="preserve">to make determinations </w:t>
      </w:r>
      <w:r>
        <w:t xml:space="preserve">of derivative immunity </w:t>
      </w:r>
      <w:r w:rsidRPr="00BF79F5">
        <w:t>on a case-by-case basis.</w:t>
      </w:r>
      <w:r>
        <w:rPr>
          <w:rStyle w:val="FootnoteReference"/>
        </w:rPr>
        <w:footnoteReference w:id="69"/>
      </w:r>
    </w:p>
    <w:p w:rsidR="006767AC" w:rsidP="006767AC" w14:paraId="17FC4497" w14:textId="77777777">
      <w:pPr>
        <w:pStyle w:val="Heading2"/>
      </w:pPr>
      <w:r w:rsidRPr="003E673D">
        <w:t>Local</w:t>
      </w:r>
      <w:r w:rsidRPr="00242EF1">
        <w:rPr>
          <w:i/>
          <w:iCs/>
        </w:rPr>
        <w:t xml:space="preserve"> </w:t>
      </w:r>
      <w:r w:rsidRPr="003E673D">
        <w:t>Governments</w:t>
      </w:r>
      <w:r>
        <w:t xml:space="preserve"> and Local Government Contractors </w:t>
      </w:r>
      <w:r w:rsidRPr="000B0D53">
        <w:t xml:space="preserve"> </w:t>
      </w:r>
    </w:p>
    <w:p w:rsidR="006767AC" w:rsidP="00EE367A" w14:paraId="43E01ECF" w14:textId="77777777">
      <w:pPr>
        <w:pStyle w:val="ParaNum"/>
      </w:pPr>
      <w:r>
        <w:t xml:space="preserve">We clarify that local government entities, including counties, cities, and towns, are “persons” within the meaning of section 227(b)(1) and are, therefore, subject to the TCPA.  As an initial matter, we note that, unlike </w:t>
      </w:r>
      <w:r w:rsidRPr="00BF79F5">
        <w:t>the federal and state</w:t>
      </w:r>
      <w:r>
        <w:t xml:space="preserve"> governments, local governments </w:t>
      </w:r>
      <w:r w:rsidRPr="00BF79F5">
        <w:t xml:space="preserve">are </w:t>
      </w:r>
      <w:r>
        <w:t xml:space="preserve">not </w:t>
      </w:r>
      <w:r w:rsidRPr="00BF79F5">
        <w:t>sovereign.</w:t>
      </w:r>
      <w:r>
        <w:rPr>
          <w:vertAlign w:val="superscript"/>
        </w:rPr>
        <w:footnoteReference w:id="70"/>
      </w:r>
      <w:r w:rsidRPr="00BF79F5">
        <w:t xml:space="preserve"> </w:t>
      </w:r>
      <w:r>
        <w:t xml:space="preserve"> The scope of the antitrust laws, for example, reflects this distinction, based on “the federalism principle that we are a Nation of </w:t>
      </w:r>
      <w:r>
        <w:rPr>
          <w:i/>
          <w:iCs/>
        </w:rPr>
        <w:t>States</w:t>
      </w:r>
      <w:r w:rsidRPr="000A61AA">
        <w:t>,</w:t>
      </w:r>
      <w:r>
        <w:rPr>
          <w:i/>
          <w:iCs/>
        </w:rPr>
        <w:t xml:space="preserve"> </w:t>
      </w:r>
      <w:r>
        <w:t>a principle that makes no accommodation for sovereign subdivisions of States.”</w:t>
      </w:r>
      <w:r>
        <w:rPr>
          <w:rStyle w:val="FootnoteReference"/>
        </w:rPr>
        <w:footnoteReference w:id="71"/>
      </w:r>
      <w:r>
        <w:t xml:space="preserve">  Hence, in contrast to states, “[m]</w:t>
      </w:r>
      <w:r>
        <w:t>unicipalities</w:t>
      </w:r>
      <w:r>
        <w:t xml:space="preserve"> . . . are not beyond the reach of the antitrust laws by virtue of their status because they are not themselves sovereign.”</w:t>
      </w:r>
      <w:r>
        <w:rPr>
          <w:rStyle w:val="FootnoteReference"/>
        </w:rPr>
        <w:footnoteReference w:id="72"/>
      </w:r>
      <w:r>
        <w:t xml:space="preserve">  Local governments, therefore, are not subject to an interpretive presumption that they are not a “person.”</w:t>
      </w:r>
      <w:r>
        <w:rPr>
          <w:vertAlign w:val="superscript"/>
        </w:rPr>
        <w:footnoteReference w:id="73"/>
      </w:r>
      <w:r>
        <w:t xml:space="preserve">  Absent a clear indication that Congress intended the TCPA to exclude local government entities, and given the TCPA’s goal of protecting consumers from unwanted robocalls, we believe that the best interpretation of the TCPA is one that finds that local government entities are “persons” subject to TCPA restrictions.  Specifically, we find that the definition of “person” encompasses local governments because they are not sovereign entities and have generally been treated as persons subject to suit.  In addition, we find that, even if the definition of “person” is ambiguous as applied to local governments, the underlying policy goals and legislative history of the TCPA support a finding that TCPA restrictions apply to local government entities.</w:t>
      </w:r>
    </w:p>
    <w:p w:rsidR="006767AC" w:rsidRPr="0020129B" w:rsidP="00160028" w14:paraId="080ACFC2" w14:textId="77777777">
      <w:pPr>
        <w:pStyle w:val="ParaNum"/>
        <w:widowControl/>
      </w:pPr>
      <w:r>
        <w:t xml:space="preserve">First, we turn to the Communications Act’s definition of “person” to determine whether a local government </w:t>
      </w:r>
      <w:r w:rsidRPr="006D5801">
        <w:t>is</w:t>
      </w:r>
      <w:r>
        <w:t xml:space="preserve"> a “person.”  “Person” expressly includes an “individual, partnership, association, joint-stock company, trust, or </w:t>
      </w:r>
      <w:r w:rsidRPr="00242EF1">
        <w:t>corporation</w:t>
      </w:r>
      <w:r>
        <w:t>.”</w:t>
      </w:r>
      <w:r>
        <w:rPr>
          <w:rStyle w:val="FootnoteReference"/>
        </w:rPr>
        <w:footnoteReference w:id="74"/>
      </w:r>
      <w:r>
        <w:t xml:space="preserve">  We conclude that local governments, as non-sovereign entities, fall within this definition.  The law has long recognized that a municipal corporation is a local political entity, such as a city or town, formed by charter from the state.</w:t>
      </w:r>
      <w:r>
        <w:rPr>
          <w:vertAlign w:val="superscript"/>
        </w:rPr>
        <w:footnoteReference w:id="75"/>
      </w:r>
      <w:r w:rsidRPr="00EC4905">
        <w:t xml:space="preserve"> </w:t>
      </w:r>
      <w:r>
        <w:t xml:space="preserve"> Municipal corporations, like private corporations, have been “treated alike in terms of their legal status as </w:t>
      </w:r>
      <w:r w:rsidRPr="002616D5">
        <w:rPr>
          <w:i/>
          <w:iCs/>
        </w:rPr>
        <w:t>persons</w:t>
      </w:r>
      <w:r>
        <w:t xml:space="preserve"> capable of suing and being sued.”</w:t>
      </w:r>
      <w:r>
        <w:rPr>
          <w:rStyle w:val="FootnoteReference"/>
        </w:rPr>
        <w:footnoteReference w:id="76"/>
      </w:r>
      <w:r>
        <w:t xml:space="preserve">  </w:t>
      </w:r>
      <w:r w:rsidRPr="009B6821">
        <w:t>“</w:t>
      </w:r>
      <w:r>
        <w:t>T</w:t>
      </w:r>
      <w:r w:rsidRPr="009B6821">
        <w:t>he archetypal American corporation of the eighteenth century [was] the municipality</w:t>
      </w:r>
      <w:r>
        <w:t>,</w:t>
      </w:r>
      <w:r w:rsidRPr="009B6821">
        <w:t>”</w:t>
      </w:r>
      <w:r>
        <w:rPr>
          <w:rStyle w:val="FootnoteReference"/>
        </w:rPr>
        <w:footnoteReference w:id="77"/>
      </w:r>
      <w:r>
        <w:t xml:space="preserve"> and local governments generally are incorporated under state law and operate pursuant to a charter outlining their incorporation.</w:t>
      </w:r>
      <w:r>
        <w:rPr>
          <w:rStyle w:val="FootnoteReference"/>
        </w:rPr>
        <w:footnoteReference w:id="78"/>
      </w:r>
      <w:r>
        <w:t xml:space="preserve">  Local government entities have been treated as corporations unless the state provides otherwise.</w:t>
      </w:r>
      <w:r>
        <w:rPr>
          <w:rStyle w:val="FootnoteReference"/>
        </w:rPr>
        <w:footnoteReference w:id="79"/>
      </w:r>
      <w:r>
        <w:t xml:space="preserve">  W</w:t>
      </w:r>
      <w:r w:rsidRPr="00D76173">
        <w:t xml:space="preserve">e </w:t>
      </w:r>
      <w:r>
        <w:t xml:space="preserve">further </w:t>
      </w:r>
      <w:r w:rsidRPr="00D76173">
        <w:t>note that all state</w:t>
      </w:r>
      <w:r>
        <w:t>s</w:t>
      </w:r>
      <w:r w:rsidRPr="00D76173">
        <w:t xml:space="preserve"> have adopted some form of municipal corporate structure and </w:t>
      </w:r>
      <w:r>
        <w:t xml:space="preserve">that </w:t>
      </w:r>
      <w:r w:rsidRPr="00D76173">
        <w:t>the federal government</w:t>
      </w:r>
      <w:r>
        <w:t xml:space="preserve"> </w:t>
      </w:r>
      <w:r w:rsidRPr="00D76173">
        <w:t>often treat</w:t>
      </w:r>
      <w:r>
        <w:t>s</w:t>
      </w:r>
      <w:r w:rsidRPr="00D76173">
        <w:t xml:space="preserve"> incorporated and non-incorporated areas similarly.</w:t>
      </w:r>
      <w:r>
        <w:rPr>
          <w:vertAlign w:val="superscript"/>
        </w:rPr>
        <w:footnoteReference w:id="80"/>
      </w:r>
      <w:r w:rsidRPr="00D76173">
        <w:t xml:space="preserve"> </w:t>
      </w:r>
      <w:r w:rsidRPr="0020129B">
        <w:t xml:space="preserve"> </w:t>
      </w:r>
    </w:p>
    <w:p w:rsidR="006767AC" w:rsidP="00EE367A" w14:paraId="21D0EFD0" w14:textId="77777777">
      <w:pPr>
        <w:pStyle w:val="ParaNum"/>
      </w:pPr>
      <w:r>
        <w:t>Furthermore, the TCPA’s definition of “person” does not explicitly exclude local governments, nor is there any indication in the text or legislative history of the TCPA that evinces Congress’ intent to exclude them from the TCPA’s restrictions.  Quite the contrary:  The legislative history suggests that Congress considered a special exemption for a “public school or other governmental entity.”  In any event, unlike with sovereign entities, we find that the lack of any clear indication that Congress intended to exclude local governments from the TCPA is evidence that Congress intended such government entities to fall under its purview.  Given the common understanding of local government entities as corporations and not sovereign entities, Congress would have known to explicitly exclude local governments from the definition of “person” had that been its intent.</w:t>
      </w:r>
      <w:r>
        <w:rPr>
          <w:rStyle w:val="FootnoteReference"/>
        </w:rPr>
        <w:footnoteReference w:id="81"/>
      </w:r>
      <w:r>
        <w:t xml:space="preserve">  </w:t>
      </w:r>
    </w:p>
    <w:p w:rsidR="006767AC" w:rsidP="00EE367A" w14:paraId="678CCA17" w14:textId="77777777">
      <w:pPr>
        <w:pStyle w:val="ParaNum"/>
      </w:pPr>
      <w:r>
        <w:t xml:space="preserve">We further find that, to the extent that the definition of “person” is ambiguous or the case law on the matter leaves any doubt that all local governments are corporations or otherwise persons under the TCPA, the underlying goals and legislative history of the TCPA separately show that Congress intended local governments to be subject to the law’s restrictions.  </w:t>
      </w:r>
      <w:r w:rsidRPr="00233CCF">
        <w:t xml:space="preserve">Congress’ intent to prohibit nuisance calls to consumers is instructive in our interpretation of </w:t>
      </w:r>
      <w:r>
        <w:t xml:space="preserve">any </w:t>
      </w:r>
      <w:r w:rsidRPr="00233CCF">
        <w:t xml:space="preserve">ambiguity within the statute.  Because of Congress’ clear intent to protect consumers, we interpret </w:t>
      </w:r>
      <w:r>
        <w:t xml:space="preserve">any </w:t>
      </w:r>
      <w:r w:rsidRPr="00233CCF">
        <w:t>ambiguity to the benefit of the consumer.</w:t>
      </w:r>
      <w:r>
        <w:rPr>
          <w:rStyle w:val="FootnoteReference"/>
        </w:rPr>
        <w:footnoteReference w:id="82"/>
      </w:r>
      <w:r w:rsidRPr="00233CCF">
        <w:t xml:space="preserve">  While there is no ambiguity as to the sovereign status of federal and state government entities, we recognize that there could be some uncertainty about the status of local governments.  To the extent there is any</w:t>
      </w:r>
      <w:r>
        <w:t xml:space="preserve"> doubt of a local government’s status as a corporation or quasi-corporation, we interpret the Act’s definition of “person” as expansive and find that it encompasses a broader range of entities than just corporations including, for example, “individuals,” “associations,” and “trusts.”</w:t>
      </w:r>
      <w:r>
        <w:rPr>
          <w:vertAlign w:val="superscript"/>
        </w:rPr>
        <w:footnoteReference w:id="83"/>
      </w:r>
      <w:r>
        <w:t xml:space="preserve">  We believe this upholds Congress’ intent to encompass a broad range of entities within the Act’s definition of “person,” absent some hoary statutory interpretation principle, such as sovereign immunity, that would support a different conclusion.  </w:t>
      </w:r>
    </w:p>
    <w:p w:rsidR="006767AC" w:rsidP="00EE367A" w14:paraId="1F31B1CB" w14:textId="77777777">
      <w:pPr>
        <w:pStyle w:val="ParaNum"/>
      </w:pPr>
      <w:r>
        <w:t xml:space="preserve">The legislative history of the TCPA further supports this finding.  As noted above, the TCPA as originally introduced </w:t>
      </w:r>
      <w:r w:rsidRPr="000851BB">
        <w:t>banned automated telephone calls unless the call was placed by a “public school or other governmental entity</w:t>
      </w:r>
      <w:r>
        <w:t>.</w:t>
      </w:r>
      <w:r w:rsidRPr="000851BB">
        <w:t>”</w:t>
      </w:r>
      <w:r>
        <w:rPr>
          <w:rStyle w:val="FootnoteReference"/>
        </w:rPr>
        <w:footnoteReference w:id="84"/>
      </w:r>
      <w:r>
        <w:t xml:space="preserve">  Congress chose not to adopt this provision, opting instead for an exemption only for “emergency purposes,” to “</w:t>
      </w:r>
      <w:r w:rsidRPr="00C57C21">
        <w:t>allow the use of automated calls when private individuals as well as schools and other government entities call for emergency purposes.</w:t>
      </w:r>
      <w:r>
        <w:t>”</w:t>
      </w:r>
      <w:r>
        <w:rPr>
          <w:vertAlign w:val="superscript"/>
        </w:rPr>
        <w:footnoteReference w:id="85"/>
      </w:r>
      <w:r w:rsidRPr="000851BB">
        <w:t xml:space="preserve">  </w:t>
      </w:r>
      <w:r>
        <w:t>Congress’ decision to strike a blanket exception for public schools, and its justification therefor, makes clear it considered that local government entities (of which public schools are a part) are persons.  By contrast, the striking of “other governmental entity” in the statutory language does not disturb our conclusion on federal and state governments because they, in contrast to local governments, are sovereigns and thus subject to the longstanding interpretive presumption they are not persons, something we expect Congress understood as it considered the TCPA.  I</w:t>
      </w:r>
      <w:r w:rsidRPr="00CE7061">
        <w:t xml:space="preserve">n the absence of </w:t>
      </w:r>
      <w:r>
        <w:t>such a</w:t>
      </w:r>
      <w:r w:rsidRPr="00CE7061">
        <w:t xml:space="preserve"> presumption</w:t>
      </w:r>
      <w:r>
        <w:t>,</w:t>
      </w:r>
      <w:r w:rsidRPr="00CE7061">
        <w:t xml:space="preserve"> we conclude that local government entities fall within the Communication Act’s definition of a “person.”  We therefore disagree with commenters who suggest that local governments are not subject to the TCPA.</w:t>
      </w:r>
      <w:r>
        <w:rPr>
          <w:vertAlign w:val="superscript"/>
        </w:rPr>
        <w:footnoteReference w:id="86"/>
      </w:r>
    </w:p>
    <w:p w:rsidR="006767AC" w:rsidP="00160028" w14:paraId="507E7FA1" w14:textId="77777777">
      <w:pPr>
        <w:pStyle w:val="ParaNum"/>
        <w:widowControl/>
      </w:pPr>
      <w:r>
        <w:t xml:space="preserve">Our conclusion is also consistent with the Commission’s own prior interpretation of the TCPA.  In the </w:t>
      </w:r>
      <w:r w:rsidRPr="00AD3788">
        <w:rPr>
          <w:i/>
          <w:iCs/>
        </w:rPr>
        <w:t>Blackboard Declaratory Ruling</w:t>
      </w:r>
      <w:r>
        <w:t xml:space="preserve">, one month after the </w:t>
      </w:r>
      <w:r w:rsidRPr="005A0EF3">
        <w:rPr>
          <w:i/>
          <w:iCs/>
        </w:rPr>
        <w:t>Broadnet Declaratory Ruling</w:t>
      </w:r>
      <w:r>
        <w:t>, the Commission determined that school callers that make autodialed calls to parents about matters “closely related to the school’s mission,” e.g., school absences, can qualify for the TCPA’s “emergency purposes” exception, but must otherwise obtain prior express consent to make non-emergency autodialed or prerecorded or artificial voice calls to wireless telephone numbers.</w:t>
      </w:r>
      <w:r>
        <w:rPr>
          <w:rStyle w:val="FootnoteReference"/>
        </w:rPr>
        <w:footnoteReference w:id="87"/>
      </w:r>
      <w:r>
        <w:t xml:space="preserve">  Had the Commission understood that local governments were not subject to the TCPA, the ruling would have been unnecessary as to calls made by public schools—the Commission would have simply said the TCPA does not apply to these callers in the first place and thus there is no need to decide if the calls fit into the emergency call exception.  </w:t>
      </w:r>
      <w:bookmarkStart w:id="12" w:name="_Hlk31715094"/>
    </w:p>
    <w:p w:rsidR="006767AC" w:rsidRPr="00CF677B" w:rsidP="00EE367A" w14:paraId="1FF316E3" w14:textId="77777777">
      <w:pPr>
        <w:pStyle w:val="ParaNum"/>
      </w:pPr>
      <w:bookmarkStart w:id="13" w:name="_Hlk33110097"/>
      <w:bookmarkEnd w:id="12"/>
      <w:r>
        <w:t>W</w:t>
      </w:r>
      <w:r w:rsidRPr="00CF677B">
        <w:t>e disagree with Broadnet and other commenters that argue that various cases support a contrary conclusion “that when Congress defines ‘person’ to include ‘any individual, partnership, association, joint-stock company, trust, or corporation,’ such language excludes municipal governments and other local governmental entities.”</w:t>
      </w:r>
      <w:r>
        <w:rPr>
          <w:rStyle w:val="FootnoteReference"/>
        </w:rPr>
        <w:footnoteReference w:id="88"/>
      </w:r>
      <w:r w:rsidRPr="00CF677B">
        <w:t xml:space="preserve">  Rather</w:t>
      </w:r>
      <w:r>
        <w:t>,</w:t>
      </w:r>
      <w:r w:rsidRPr="00CF677B">
        <w:t xml:space="preserve"> we believe those cases are better understood as turning on unique aspects of those statutory schemes </w:t>
      </w:r>
      <w:r>
        <w:t>that</w:t>
      </w:r>
      <w:r w:rsidRPr="00CF677B">
        <w:t xml:space="preserve"> are not present </w:t>
      </w:r>
      <w:r>
        <w:t>here.</w:t>
      </w:r>
      <w:r>
        <w:rPr>
          <w:rStyle w:val="FootnoteReference"/>
        </w:rPr>
        <w:footnoteReference w:id="89"/>
      </w:r>
      <w:r w:rsidRPr="00CF677B">
        <w:t xml:space="preserve">  For example, while APPA cites cases that purportedly support the conclusion that municipalities are not considered “corporations,” the two statutes at issue in these cited cases, the Federal Power Act and the Natural Gas Act, expressly exclude municipalities from their definition of “corporation,” which is not the case with the Communications Act</w:t>
      </w:r>
      <w:r>
        <w:t>.</w:t>
      </w:r>
      <w:r>
        <w:rPr>
          <w:rStyle w:val="FootnoteReference"/>
        </w:rPr>
        <w:footnoteReference w:id="90"/>
      </w:r>
      <w:r w:rsidRPr="00CF677B">
        <w:t xml:space="preserve">  As a result, we believe </w:t>
      </w:r>
      <w:r>
        <w:t xml:space="preserve">these cases bear on our interpretation of </w:t>
      </w:r>
      <w:r w:rsidRPr="00CF677B">
        <w:t>the Communications Act</w:t>
      </w:r>
      <w:r>
        <w:t xml:space="preserve"> by demonstrating a recognition by Congress of a need to exclude municipalities from the prevailing view that they would otherwise fall within the scope of federal regulatory schemes</w:t>
      </w:r>
      <w:r w:rsidRPr="00CF677B">
        <w:t>.  The</w:t>
      </w:r>
      <w:r>
        <w:t xml:space="preserve">y also </w:t>
      </w:r>
      <w:r w:rsidRPr="00CF677B">
        <w:t xml:space="preserve">illustrate that a range of outcomes is possible under differing statutes, leaving us free to </w:t>
      </w:r>
      <w:r>
        <w:t xml:space="preserve">apply </w:t>
      </w:r>
      <w:r w:rsidRPr="00CF677B">
        <w:t>the relevant interpretative considerations</w:t>
      </w:r>
      <w:r>
        <w:t>,</w:t>
      </w:r>
      <w:r w:rsidRPr="00CF677B">
        <w:t xml:space="preserve"> including the statutory text, context, </w:t>
      </w:r>
      <w:r>
        <w:t xml:space="preserve">legislative history, </w:t>
      </w:r>
      <w:r w:rsidRPr="00CF677B">
        <w:t xml:space="preserve">and </w:t>
      </w:r>
      <w:r>
        <w:t xml:space="preserve">the </w:t>
      </w:r>
      <w:r w:rsidRPr="00CF677B">
        <w:t>purposes of the TCPA and Communications Act</w:t>
      </w:r>
      <w:r>
        <w:t xml:space="preserve">, in determining </w:t>
      </w:r>
      <w:r w:rsidRPr="00CF677B">
        <w:t xml:space="preserve">whether local government entities </w:t>
      </w:r>
      <w:r>
        <w:t xml:space="preserve">are covered by </w:t>
      </w:r>
      <w:r w:rsidRPr="00CF677B">
        <w:t xml:space="preserve">the definition of “person” </w:t>
      </w:r>
      <w:r>
        <w:t>in the Communications Act</w:t>
      </w:r>
      <w:r w:rsidRPr="00CF677B">
        <w:t xml:space="preserve">.   </w:t>
      </w:r>
    </w:p>
    <w:p w:rsidR="006767AC" w:rsidP="00EE367A" w14:paraId="4BC1BC4F" w14:textId="77777777">
      <w:pPr>
        <w:pStyle w:val="ParaNum"/>
      </w:pPr>
      <w:bookmarkStart w:id="14" w:name="_Hlk33110228"/>
      <w:bookmarkEnd w:id="13"/>
      <w:r>
        <w:rPr>
          <w:kern w:val="0"/>
          <w:szCs w:val="22"/>
        </w:rPr>
        <w:t>W</w:t>
      </w:r>
      <w:r w:rsidRPr="00653DBE">
        <w:rPr>
          <w:kern w:val="0"/>
          <w:szCs w:val="22"/>
        </w:rPr>
        <w:t xml:space="preserve">e </w:t>
      </w:r>
      <w:r>
        <w:rPr>
          <w:kern w:val="0"/>
          <w:szCs w:val="22"/>
        </w:rPr>
        <w:t xml:space="preserve">also </w:t>
      </w:r>
      <w:r w:rsidRPr="00653DBE">
        <w:rPr>
          <w:kern w:val="0"/>
          <w:szCs w:val="22"/>
        </w:rPr>
        <w:t>reject APPA’s argument that, because other sections of the Communications Act may distinguish “person” from entities like “municipal organizations,” we are compelled to reach a conclusion that local governments are not “persons” within the meaning of the Act.</w:t>
      </w:r>
      <w:r>
        <w:rPr>
          <w:kern w:val="0"/>
          <w:szCs w:val="22"/>
          <w:vertAlign w:val="superscript"/>
        </w:rPr>
        <w:footnoteReference w:id="91"/>
      </w:r>
      <w:r w:rsidRPr="00653DBE">
        <w:rPr>
          <w:kern w:val="0"/>
          <w:szCs w:val="22"/>
        </w:rPr>
        <w:t xml:space="preserve">  </w:t>
      </w:r>
      <w:r>
        <w:rPr>
          <w:kern w:val="0"/>
          <w:szCs w:val="22"/>
        </w:rPr>
        <w:t>W</w:t>
      </w:r>
      <w:r w:rsidRPr="00653DBE">
        <w:rPr>
          <w:kern w:val="0"/>
          <w:szCs w:val="22"/>
        </w:rPr>
        <w:t xml:space="preserve">e must look to </w:t>
      </w:r>
      <w:r w:rsidRPr="00653DBE">
        <w:rPr>
          <w:kern w:val="0"/>
          <w:szCs w:val="22"/>
        </w:rPr>
        <w:t>the context when considering whether the term “person” includes, or does not include, federal, state, and local governments in any given provision of the Communications Act.  In this context, we note that the TCPA was enacted after the development of modern case law regarding the scope of “person,” including cases that addressed whether that term includes municipalities.</w:t>
      </w:r>
      <w:r>
        <w:rPr>
          <w:kern w:val="0"/>
          <w:szCs w:val="22"/>
          <w:vertAlign w:val="superscript"/>
        </w:rPr>
        <w:footnoteReference w:id="92"/>
      </w:r>
      <w:r w:rsidRPr="00653DBE">
        <w:rPr>
          <w:kern w:val="0"/>
          <w:szCs w:val="22"/>
        </w:rPr>
        <w:t xml:space="preserve">  In contrast, the relevant language of section 208(a) cited by APPA in support of its argument was in the original Communications Act enacted in 1934 and was drawn from the still-older Interstate Commerce Act.</w:t>
      </w:r>
      <w:r>
        <w:rPr>
          <w:kern w:val="0"/>
          <w:szCs w:val="22"/>
          <w:vertAlign w:val="superscript"/>
        </w:rPr>
        <w:footnoteReference w:id="93"/>
      </w:r>
      <w:r w:rsidRPr="00653DBE">
        <w:rPr>
          <w:kern w:val="0"/>
          <w:szCs w:val="22"/>
        </w:rPr>
        <w:t xml:space="preserve">  In addition, we note that the definitions APPA cites for support of its interpretation of “person,” apply </w:t>
      </w:r>
      <w:r>
        <w:rPr>
          <w:kern w:val="0"/>
          <w:szCs w:val="22"/>
        </w:rPr>
        <w:t xml:space="preserve">by their own terms </w:t>
      </w:r>
      <w:r w:rsidRPr="00653DBE">
        <w:rPr>
          <w:kern w:val="0"/>
          <w:szCs w:val="22"/>
        </w:rPr>
        <w:t xml:space="preserve">solely to </w:t>
      </w:r>
      <w:r>
        <w:rPr>
          <w:kern w:val="0"/>
          <w:szCs w:val="22"/>
        </w:rPr>
        <w:t>another section of the Act</w:t>
      </w:r>
      <w:r w:rsidRPr="00653DBE">
        <w:rPr>
          <w:kern w:val="0"/>
          <w:szCs w:val="22"/>
        </w:rPr>
        <w:t>.</w:t>
      </w:r>
      <w:r>
        <w:rPr>
          <w:kern w:val="0"/>
          <w:szCs w:val="22"/>
          <w:vertAlign w:val="superscript"/>
        </w:rPr>
        <w:footnoteReference w:id="94"/>
      </w:r>
      <w:r w:rsidRPr="00653DBE">
        <w:rPr>
          <w:kern w:val="0"/>
          <w:szCs w:val="22"/>
        </w:rPr>
        <w:t xml:space="preserve">  Thus, we conclude that these provisions of the Communications Act are distinguishable and not controlling of the issue before us here (i.e., mainly whether local governments are encompassed within the Communications Act’s definition of “person” for purposes of TCPA compliance).</w:t>
      </w:r>
      <w:bookmarkEnd w:id="14"/>
    </w:p>
    <w:p w:rsidR="006767AC" w:rsidP="00EE367A" w14:paraId="6262053A" w14:textId="77777777">
      <w:pPr>
        <w:pStyle w:val="ParaNum"/>
      </w:pPr>
      <w:r>
        <w:t xml:space="preserve">Consistent with this clarification, we also </w:t>
      </w:r>
      <w:r w:rsidRPr="00F3690F">
        <w:t>clarify that</w:t>
      </w:r>
      <w:r>
        <w:t xml:space="preserve"> a</w:t>
      </w:r>
      <w:r w:rsidRPr="00F3690F">
        <w:t xml:space="preserve"> </w:t>
      </w:r>
      <w:r>
        <w:t>local government</w:t>
      </w:r>
      <w:r w:rsidRPr="00F3690F">
        <w:t xml:space="preserve"> contractor </w:t>
      </w:r>
      <w:r>
        <w:t>is a</w:t>
      </w:r>
      <w:r w:rsidRPr="00F3690F">
        <w:t xml:space="preserve"> “person,” as that term is used in section 227(b)(1) of the </w:t>
      </w:r>
      <w:r>
        <w:t>TCPA.  Because local governments and their contractors are “persons,” they are subject to section 227(b)(1) of the TCPA and must abide by the requirements contained therein, including obtaining prior express consent when making autodialed or artificial or prerecorded voice calls to certain types of telephone numbers such as wireless numbers.</w:t>
      </w:r>
      <w:r>
        <w:rPr>
          <w:rStyle w:val="FootnoteReference"/>
        </w:rPr>
        <w:footnoteReference w:id="95"/>
      </w:r>
      <w:r>
        <w:t xml:space="preserve">  </w:t>
      </w:r>
    </w:p>
    <w:p w:rsidR="006767AC" w:rsidP="00EE367A" w14:paraId="656F7CCD" w14:textId="77777777">
      <w:pPr>
        <w:pStyle w:val="ParaNum"/>
      </w:pPr>
      <w:r w:rsidRPr="009231EC">
        <w:t xml:space="preserve">As with other “persons” subject to the TCPA, local governments and </w:t>
      </w:r>
      <w:r>
        <w:t xml:space="preserve">their </w:t>
      </w:r>
      <w:r w:rsidRPr="009231EC">
        <w:t xml:space="preserve">contractors </w:t>
      </w:r>
      <w:r>
        <w:t xml:space="preserve">may, of course, </w:t>
      </w:r>
      <w:r w:rsidRPr="009231EC">
        <w:t xml:space="preserve">avail themselves of </w:t>
      </w:r>
      <w:r>
        <w:t xml:space="preserve">the TCPA’s </w:t>
      </w:r>
      <w:r w:rsidRPr="009231EC">
        <w:t>exemptions</w:t>
      </w:r>
      <w:r>
        <w:t xml:space="preserve"> to the prior express consent requirement</w:t>
      </w:r>
      <w:r w:rsidRPr="009231EC">
        <w:t>, such as calls made for “emergency purposes</w:t>
      </w:r>
      <w:r>
        <w:t>.</w:t>
      </w:r>
      <w:r w:rsidRPr="009231EC">
        <w:t>”</w:t>
      </w:r>
      <w:r>
        <w:rPr>
          <w:vertAlign w:val="superscript"/>
        </w:rPr>
        <w:footnoteReference w:id="96"/>
      </w:r>
      <w:r>
        <w:t xml:space="preserve">  Nothing in our decision impedes the ability of local governments or contractors to make emergency calls </w:t>
      </w:r>
      <w:r w:rsidRPr="005F4608">
        <w:t>to wireless telephone numbers when such calls are necessary to protect the health and safety of citizens.</w:t>
      </w:r>
      <w:r>
        <w:rPr>
          <w:vertAlign w:val="superscript"/>
        </w:rPr>
        <w:footnoteReference w:id="97"/>
      </w:r>
      <w:r w:rsidRPr="005F4608">
        <w:t xml:space="preserve">  </w:t>
      </w:r>
      <w:r>
        <w:t xml:space="preserve">The Commission has recently confirmed, for example, that </w:t>
      </w:r>
      <w:r w:rsidRPr="00E106AF">
        <w:t>government official</w:t>
      </w:r>
      <w:r>
        <w:t>s</w:t>
      </w:r>
      <w:r w:rsidRPr="00E106AF">
        <w:t xml:space="preserve"> </w:t>
      </w:r>
      <w:r>
        <w:t xml:space="preserve">and public health care authorities, </w:t>
      </w:r>
      <w:r w:rsidRPr="00732CA0">
        <w:t>as well as a person under the express direction of such organization</w:t>
      </w:r>
      <w:r>
        <w:t>s</w:t>
      </w:r>
      <w:r w:rsidRPr="00732CA0">
        <w:t xml:space="preserve"> and acting on its behalf</w:t>
      </w:r>
      <w:r>
        <w:t>,</w:t>
      </w:r>
      <w:r w:rsidRPr="00732CA0">
        <w:t xml:space="preserve"> </w:t>
      </w:r>
      <w:r>
        <w:t>can make</w:t>
      </w:r>
      <w:r w:rsidRPr="008A78B6">
        <w:t xml:space="preserve"> automated calls </w:t>
      </w:r>
      <w:r w:rsidRPr="00E106AF">
        <w:t>directly related to th</w:t>
      </w:r>
      <w:r>
        <w:t>e</w:t>
      </w:r>
      <w:r w:rsidRPr="00E106AF">
        <w:t xml:space="preserve"> </w:t>
      </w:r>
      <w:r>
        <w:t xml:space="preserve">imminent </w:t>
      </w:r>
      <w:r w:rsidRPr="00E106AF">
        <w:t>health or safety risk</w:t>
      </w:r>
      <w:r>
        <w:t>s</w:t>
      </w:r>
      <w:r w:rsidRPr="00E106AF">
        <w:t xml:space="preserve"> arising out of the COVID-19 </w:t>
      </w:r>
      <w:r>
        <w:t>pandemic without the prior express consent of the called party.</w:t>
      </w:r>
      <w:r>
        <w:rPr>
          <w:rStyle w:val="FootnoteReference"/>
        </w:rPr>
        <w:footnoteReference w:id="98"/>
      </w:r>
      <w:r>
        <w:t xml:space="preserve">  </w:t>
      </w:r>
    </w:p>
    <w:p w:rsidR="006767AC" w:rsidRPr="00C677BE" w:rsidP="006767AC" w14:paraId="0113B28C" w14:textId="77777777">
      <w:pPr>
        <w:pStyle w:val="Heading1"/>
        <w:rPr>
          <w:rFonts w:ascii="Times New Roman" w:hAnsi="Times New Roman"/>
        </w:rPr>
      </w:pPr>
      <w:bookmarkStart w:id="15" w:name="_Toc321413797"/>
      <w:bookmarkStart w:id="16" w:name="_Toc323112997"/>
      <w:r w:rsidRPr="007D6E0C">
        <w:rPr>
          <w:rFonts w:ascii="Times New Roman" w:hAnsi="Times New Roman"/>
        </w:rPr>
        <w:t>PROCEDURAL MATTERS</w:t>
      </w:r>
      <w:bookmarkEnd w:id="15"/>
      <w:bookmarkEnd w:id="16"/>
    </w:p>
    <w:p w:rsidR="006767AC" w:rsidRPr="007D6E0C" w:rsidP="00EE367A" w14:paraId="6BB551D0" w14:textId="77777777">
      <w:pPr>
        <w:pStyle w:val="ParaNum"/>
      </w:pPr>
      <w:r w:rsidRPr="003F0ACE">
        <w:rPr>
          <w:i/>
          <w:iCs/>
        </w:rPr>
        <w:t>Materials in Accessible Formats</w:t>
      </w:r>
      <w:r>
        <w:t xml:space="preserve">.  </w:t>
      </w:r>
      <w:r w:rsidRPr="00B01158">
        <w:t>To request materials in accessible formats for people with disabilities (</w:t>
      </w:r>
      <w:r>
        <w:t>B</w:t>
      </w:r>
      <w:r w:rsidRPr="00B01158">
        <w:t xml:space="preserve">raille, large print, electronic files, audio format), send an e-mail to </w:t>
      </w:r>
      <w:hyperlink r:id="rId5" w:history="1">
        <w:r w:rsidRPr="00B01158">
          <w:rPr>
            <w:rStyle w:val="Hyperlink"/>
          </w:rPr>
          <w:t>fcc504@fcc.gov</w:t>
        </w:r>
      </w:hyperlink>
      <w:r w:rsidRPr="00B01158">
        <w:t xml:space="preserve"> or call the Consumer and Governmental Affairs Bureau at 202-418-0530 (voice)</w:t>
      </w:r>
      <w:bookmarkStart w:id="17" w:name="_Toc7593356"/>
      <w:bookmarkStart w:id="18" w:name="_Toc14775799"/>
      <w:bookmarkStart w:id="19" w:name="_Toc14851707"/>
      <w:bookmarkStart w:id="20" w:name="_Toc14853193"/>
      <w:bookmarkStart w:id="21" w:name="_Toc14854128"/>
      <w:bookmarkStart w:id="22" w:name="_Toc14854771"/>
      <w:bookmarkStart w:id="23" w:name="_Toc15955789"/>
      <w:bookmarkStart w:id="24" w:name="_Toc15956274"/>
      <w:bookmarkStart w:id="25" w:name="_Toc15958728"/>
      <w:bookmarkStart w:id="26" w:name="_Toc15962935"/>
      <w:bookmarkStart w:id="27" w:name="_Toc16003939"/>
      <w:bookmarkStart w:id="28" w:name="_Toc16004034"/>
      <w:bookmarkStart w:id="29" w:name="_Toc16004203"/>
      <w:bookmarkStart w:id="30" w:name="_Toc16043244"/>
      <w:bookmarkStart w:id="31" w:name="_Toc16262638"/>
      <w:bookmarkStart w:id="32" w:name="_Toc16330297"/>
      <w:bookmarkStart w:id="33" w:name="_Toc16410264"/>
      <w:bookmarkStart w:id="34" w:name="_Toc16410851"/>
      <w:bookmarkStart w:id="35" w:name="_Toc16575678"/>
      <w:bookmarkStart w:id="36" w:name="_Toc16932063"/>
      <w:bookmarkStart w:id="37" w:name="_Toc17735562"/>
      <w:bookmarkStart w:id="38" w:name="_Toc17784136"/>
      <w:bookmarkStart w:id="39" w:name="_Toc44230700"/>
      <w:bookmarkStart w:id="40" w:name="_Toc45435601"/>
      <w:bookmarkStart w:id="41" w:name="_Toc46307195"/>
      <w:bookmarkStart w:id="42" w:name="_Toc62637448"/>
      <w:bookmarkStart w:id="43" w:name="_Toc62884650"/>
      <w:bookmarkStart w:id="44" w:name="_Toc67709100"/>
      <w:bookmarkStart w:id="45" w:name="_Toc84753013"/>
      <w:bookmarkStart w:id="46" w:name="_Toc84753850"/>
      <w:r>
        <w:t>.</w:t>
      </w:r>
      <w:hyperlink r:id="rId6" w:history="1"/>
    </w:p>
    <w:p w:rsidR="006767AC" w:rsidRPr="007D6E0C" w:rsidP="006767AC" w14:paraId="2610982B" w14:textId="77777777">
      <w:pPr>
        <w:pStyle w:val="Heading1"/>
        <w:rPr>
          <w:rFonts w:ascii="Times New Roman" w:hAnsi="Times New Roman"/>
        </w:rPr>
      </w:pPr>
      <w:bookmarkStart w:id="47" w:name="_Toc92617359"/>
      <w:bookmarkStart w:id="48" w:name="_Toc92790575"/>
      <w:bookmarkStart w:id="49" w:name="_Toc93202813"/>
      <w:bookmarkStart w:id="50" w:name="_Toc93211428"/>
      <w:bookmarkStart w:id="51" w:name="_Toc93232825"/>
      <w:bookmarkStart w:id="52" w:name="_Toc93234680"/>
      <w:bookmarkStart w:id="53" w:name="_Toc93823535"/>
      <w:bookmarkStart w:id="54" w:name="_Toc93838109"/>
      <w:bookmarkStart w:id="55" w:name="_Toc94410230"/>
      <w:bookmarkStart w:id="56" w:name="_Toc94425726"/>
      <w:bookmarkStart w:id="57" w:name="_Toc94523115"/>
      <w:bookmarkStart w:id="58" w:name="_Toc94529950"/>
      <w:bookmarkStart w:id="59" w:name="_Toc94695355"/>
      <w:bookmarkStart w:id="60" w:name="_Toc95053167"/>
      <w:bookmarkStart w:id="61" w:name="_Toc95185664"/>
      <w:bookmarkStart w:id="62" w:name="_Toc263955112"/>
      <w:bookmarkStart w:id="63" w:name="_Toc264045072"/>
      <w:bookmarkStart w:id="64" w:name="_Toc264358614"/>
      <w:bookmarkStart w:id="65" w:name="_Toc264469653"/>
      <w:bookmarkStart w:id="66" w:name="_Toc264626495"/>
      <w:bookmarkStart w:id="67" w:name="_Toc265149304"/>
      <w:bookmarkStart w:id="68" w:name="_Toc266187830"/>
      <w:bookmarkStart w:id="69" w:name="_Toc266448383"/>
      <w:bookmarkStart w:id="70" w:name="_Toc287607309"/>
      <w:bookmarkStart w:id="71" w:name="_Toc287607354"/>
      <w:bookmarkStart w:id="72" w:name="_Toc287619859"/>
      <w:bookmarkStart w:id="73" w:name="_Toc288826994"/>
      <w:bookmarkStart w:id="74" w:name="_Toc288827028"/>
      <w:bookmarkStart w:id="75" w:name="_Toc288827050"/>
      <w:bookmarkStart w:id="76" w:name="_Toc288835903"/>
      <w:bookmarkStart w:id="77" w:name="_Toc289258221"/>
      <w:bookmarkStart w:id="78" w:name="_Toc289272404"/>
      <w:bookmarkStart w:id="79" w:name="_Toc289710298"/>
      <w:bookmarkStart w:id="80" w:name="_Toc290020770"/>
      <w:bookmarkStart w:id="81" w:name="_Toc290020792"/>
      <w:bookmarkStart w:id="82" w:name="_Toc290020826"/>
      <w:bookmarkStart w:id="83" w:name="_Toc290036639"/>
      <w:bookmarkStart w:id="84" w:name="_Toc291091405"/>
      <w:bookmarkStart w:id="85" w:name="_Toc291091478"/>
      <w:bookmarkStart w:id="86" w:name="_Toc291489016"/>
      <w:bookmarkStart w:id="87" w:name="_Toc291489466"/>
      <w:bookmarkStart w:id="88" w:name="_Toc291843201"/>
      <w:bookmarkStart w:id="89" w:name="_Toc296071938"/>
      <w:bookmarkStart w:id="90" w:name="_Toc296071963"/>
      <w:bookmarkStart w:id="91" w:name="_Toc299702986"/>
      <w:bookmarkStart w:id="92" w:name="_Toc299703011"/>
      <w:bookmarkStart w:id="93" w:name="_Toc321413807"/>
      <w:bookmarkStart w:id="94" w:name="_Toc32311300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D6E0C">
        <w:rPr>
          <w:rFonts w:ascii="Times New Roman" w:hAnsi="Times New Roman"/>
        </w:rPr>
        <w:t>ORDERING CLAUSES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767AC" w:rsidRPr="00FA0AFD" w:rsidP="00EE367A" w14:paraId="65AA7585" w14:textId="77777777">
      <w:pPr>
        <w:pStyle w:val="ParaNum"/>
      </w:pPr>
      <w:r w:rsidRPr="003F0ACE">
        <w:rPr>
          <w:b/>
          <w:bCs/>
        </w:rPr>
        <w:t>IT IS ORDERED</w:t>
      </w:r>
      <w:r w:rsidRPr="007D6E0C">
        <w:t xml:space="preserve">, pursuant to the authority contained in Sections </w:t>
      </w:r>
      <w:r>
        <w:t>1-</w:t>
      </w:r>
      <w:r w:rsidRPr="007D6E0C">
        <w:t>4</w:t>
      </w:r>
      <w:r>
        <w:t xml:space="preserve">, </w:t>
      </w:r>
      <w:r w:rsidRPr="007D6E0C">
        <w:t>227</w:t>
      </w:r>
      <w:r>
        <w:t>, and 405</w:t>
      </w:r>
      <w:r w:rsidRPr="007D6E0C">
        <w:t xml:space="preserve"> of the Communications Act of 1934, as amended, 47 U.S.C. §</w:t>
      </w:r>
      <w:bookmarkStart w:id="95" w:name="_Hlk520372568"/>
      <w:r w:rsidRPr="007D6E0C">
        <w:t>§</w:t>
      </w:r>
      <w:bookmarkEnd w:id="95"/>
      <w:r w:rsidRPr="007D6E0C">
        <w:t xml:space="preserve"> 15</w:t>
      </w:r>
      <w:r>
        <w:t>1</w:t>
      </w:r>
      <w:r w:rsidRPr="007D6E0C">
        <w:t>-</w:t>
      </w:r>
      <w:r>
        <w:t xml:space="preserve">154, </w:t>
      </w:r>
      <w:r w:rsidRPr="007D6E0C">
        <w:t>227</w:t>
      </w:r>
      <w:r>
        <w:t>,</w:t>
      </w:r>
      <w:r w:rsidRPr="007D6E0C">
        <w:t xml:space="preserve"> </w:t>
      </w:r>
      <w:r>
        <w:t xml:space="preserve">405, </w:t>
      </w:r>
      <w:r w:rsidRPr="007D6E0C">
        <w:t xml:space="preserve">that this </w:t>
      </w:r>
      <w:r w:rsidRPr="003F0ACE">
        <w:rPr>
          <w:i/>
          <w:iCs/>
        </w:rPr>
        <w:t xml:space="preserve">Order on Reconsideration </w:t>
      </w:r>
      <w:r w:rsidRPr="003F0ACE">
        <w:rPr>
          <w:b/>
          <w:bCs/>
        </w:rPr>
        <w:t>IS ADOPTED</w:t>
      </w:r>
      <w:r>
        <w:t xml:space="preserve">.  </w:t>
      </w:r>
    </w:p>
    <w:p w:rsidR="006767AC" w:rsidP="00EE367A" w14:paraId="576B6F98" w14:textId="77777777">
      <w:pPr>
        <w:pStyle w:val="ParaNum"/>
      </w:pPr>
      <w:r w:rsidRPr="003F0ACE">
        <w:rPr>
          <w:b/>
          <w:bCs/>
        </w:rPr>
        <w:t>IT IS FURTHER ORDERED</w:t>
      </w:r>
      <w:r w:rsidRPr="007D6E0C">
        <w:t xml:space="preserve"> that </w:t>
      </w:r>
      <w:r>
        <w:t xml:space="preserve">this </w:t>
      </w:r>
      <w:r w:rsidRPr="0020146B">
        <w:rPr>
          <w:i/>
        </w:rPr>
        <w:t>Order on Reconsideration</w:t>
      </w:r>
      <w:r>
        <w:rPr>
          <w:i/>
        </w:rPr>
        <w:t xml:space="preserve"> </w:t>
      </w:r>
      <w:r>
        <w:t>shall be effective upon release.</w:t>
      </w:r>
    </w:p>
    <w:p w:rsidR="006767AC" w:rsidP="00EE367A" w14:paraId="4FA4F2DC" w14:textId="77777777">
      <w:pPr>
        <w:pStyle w:val="ParaNum"/>
      </w:pPr>
      <w:r w:rsidRPr="00816380">
        <w:rPr>
          <w:b/>
        </w:rPr>
        <w:t>IT IS FURTHER ORDERED</w:t>
      </w:r>
      <w:r>
        <w:t xml:space="preserve"> that the </w:t>
      </w:r>
      <w:r w:rsidRPr="006D5801">
        <w:rPr>
          <w:i/>
          <w:iCs/>
        </w:rPr>
        <w:t>Broadnet Declaratory Ruling</w:t>
      </w:r>
      <w:r>
        <w:t xml:space="preserve"> adopted in CG Docket No. 02-78 on June 8, 2016, </w:t>
      </w:r>
      <w:r w:rsidRPr="00816380">
        <w:rPr>
          <w:b/>
        </w:rPr>
        <w:t>IS REVERSED</w:t>
      </w:r>
      <w:r>
        <w:t xml:space="preserve"> to the extent indicated herein.  </w:t>
      </w:r>
    </w:p>
    <w:p w:rsidR="006767AC" w:rsidP="00EE367A" w14:paraId="0605B732" w14:textId="77777777">
      <w:pPr>
        <w:pStyle w:val="ParaNum"/>
      </w:pPr>
      <w:r w:rsidRPr="003F0ACE">
        <w:rPr>
          <w:b/>
          <w:bCs/>
        </w:rPr>
        <w:t xml:space="preserve">IT IS FURTHER ORDERED </w:t>
      </w:r>
      <w:r>
        <w:t xml:space="preserve">that the </w:t>
      </w:r>
      <w:r w:rsidRPr="00CF428D">
        <w:t xml:space="preserve">Petition for Reconsideration filed by the National Consumer Law Center in CG Docket </w:t>
      </w:r>
      <w:r>
        <w:t xml:space="preserve">No. </w:t>
      </w:r>
      <w:r w:rsidRPr="00CF428D">
        <w:t>02-278 on July 26, 2016</w:t>
      </w:r>
      <w:r>
        <w:t>,</w:t>
      </w:r>
      <w:r w:rsidRPr="00CF428D">
        <w:t xml:space="preserve"> </w:t>
      </w:r>
      <w:r w:rsidRPr="003F0ACE">
        <w:rPr>
          <w:b/>
          <w:bCs/>
        </w:rPr>
        <w:t>IS GRANTED</w:t>
      </w:r>
      <w:r w:rsidRPr="00CF428D">
        <w:t xml:space="preserve"> to the extent indicated herein and the Request for Stay </w:t>
      </w:r>
      <w:r w:rsidRPr="003F0ACE">
        <w:rPr>
          <w:b/>
          <w:bCs/>
        </w:rPr>
        <w:t>IS DISMISSED</w:t>
      </w:r>
      <w:r>
        <w:rPr>
          <w:b/>
          <w:bCs/>
        </w:rPr>
        <w:t xml:space="preserve"> </w:t>
      </w:r>
      <w:r w:rsidRPr="00327681">
        <w:rPr>
          <w:bCs/>
        </w:rPr>
        <w:t>as moot</w:t>
      </w:r>
      <w:r w:rsidRPr="00CF428D">
        <w:t>.</w:t>
      </w:r>
    </w:p>
    <w:p w:rsidR="006767AC" w:rsidP="00EE367A" w14:paraId="2451A167" w14:textId="77777777">
      <w:pPr>
        <w:pStyle w:val="ParaNum"/>
      </w:pPr>
      <w:r w:rsidRPr="003F0ACE">
        <w:rPr>
          <w:b/>
          <w:bCs/>
        </w:rPr>
        <w:t>IT IS FURTHER ORDERED</w:t>
      </w:r>
      <w:r w:rsidRPr="00CF428D">
        <w:t xml:space="preserve"> that the Petition for Reconsideration filed by the Professional Service</w:t>
      </w:r>
      <w:r>
        <w:t>s</w:t>
      </w:r>
      <w:r w:rsidRPr="00CF428D">
        <w:t xml:space="preserve"> Counsel in CG Docket </w:t>
      </w:r>
      <w:r>
        <w:t xml:space="preserve">No. </w:t>
      </w:r>
      <w:r w:rsidRPr="00CF428D">
        <w:t>02-78 on August 4, 2016</w:t>
      </w:r>
      <w:r>
        <w:t>,</w:t>
      </w:r>
      <w:r w:rsidRPr="00CF428D">
        <w:t xml:space="preserve"> </w:t>
      </w:r>
      <w:r w:rsidRPr="003F0ACE">
        <w:rPr>
          <w:b/>
          <w:bCs/>
        </w:rPr>
        <w:t>IS DENIED</w:t>
      </w:r>
      <w:r w:rsidRPr="00CF428D">
        <w:t xml:space="preserve"> to the extent indicated herein.</w:t>
      </w:r>
    </w:p>
    <w:p w:rsidR="006767AC" w:rsidP="00EE367A" w14:paraId="6AA9B4A6" w14:textId="77777777">
      <w:pPr>
        <w:pStyle w:val="ParaNum"/>
      </w:pPr>
      <w:r w:rsidRPr="003F0ACE">
        <w:rPr>
          <w:b/>
          <w:bCs/>
        </w:rPr>
        <w:t>IT IS FURTHER ORDERED</w:t>
      </w:r>
      <w:r>
        <w:t xml:space="preserve"> that the Petition for Declaratory Ruling </w:t>
      </w:r>
      <w:r w:rsidRPr="003F0ACE">
        <w:t>filed</w:t>
      </w:r>
      <w:r w:rsidRPr="009D787E">
        <w:t xml:space="preserve"> in CG Docket No. </w:t>
      </w:r>
      <w:r>
        <w:t xml:space="preserve">02-278 by Broadnet Teleservices LLC on </w:t>
      </w:r>
      <w:r w:rsidRPr="00316E2A">
        <w:t>September 16, 201</w:t>
      </w:r>
      <w:r>
        <w:t>5,</w:t>
      </w:r>
      <w:r w:rsidRPr="371A2FF5">
        <w:t xml:space="preserve"> </w:t>
      </w:r>
      <w:r w:rsidRPr="003F0ACE">
        <w:rPr>
          <w:b/>
          <w:bCs/>
        </w:rPr>
        <w:t>IS GRANTED IN PART</w:t>
      </w:r>
      <w:r>
        <w:rPr>
          <w:b/>
          <w:bCs/>
        </w:rPr>
        <w:t xml:space="preserve"> </w:t>
      </w:r>
      <w:r w:rsidRPr="003F0ACE">
        <w:rPr>
          <w:b/>
          <w:bCs/>
        </w:rPr>
        <w:t xml:space="preserve">and DENIED IN PART </w:t>
      </w:r>
      <w:r w:rsidRPr="009D787E">
        <w:t>to the extent indicated herein.</w:t>
      </w:r>
    </w:p>
    <w:p w:rsidR="006767AC" w:rsidRPr="007D6E0C" w:rsidP="006767AC" w14:paraId="0B84220B" w14:textId="77777777">
      <w:pPr>
        <w:keepNext/>
      </w:pPr>
    </w:p>
    <w:bookmarkEnd w:id="2"/>
    <w:bookmarkEnd w:id="3"/>
    <w:p w:rsidR="006767AC" w:rsidRPr="007D6E0C" w:rsidP="00E27B76" w14:paraId="671ABC63" w14:textId="77777777">
      <w:r w:rsidRPr="007D6E0C">
        <w:tab/>
      </w:r>
      <w:r w:rsidRPr="007D6E0C">
        <w:tab/>
      </w:r>
      <w:r w:rsidRPr="007D6E0C">
        <w:tab/>
      </w:r>
      <w:r w:rsidRPr="007D6E0C">
        <w:tab/>
      </w:r>
      <w:r w:rsidRPr="007D6E0C">
        <w:tab/>
      </w:r>
      <w:r w:rsidRPr="007D6E0C">
        <w:tab/>
        <w:t>FEDERAL COMMUNICATIONS COMMISSION</w:t>
      </w:r>
    </w:p>
    <w:p w:rsidR="006767AC" w:rsidRPr="007D6E0C" w:rsidP="00E27B76" w14:paraId="07BA0B3E" w14:textId="77777777"/>
    <w:p w:rsidR="006767AC" w:rsidRPr="007D6E0C" w:rsidP="00E27B76" w14:paraId="074E04DF" w14:textId="77777777"/>
    <w:p w:rsidR="006767AC" w:rsidRPr="007D6E0C" w:rsidP="00E27B76" w14:paraId="571D8D17" w14:textId="77777777"/>
    <w:p w:rsidR="006767AC" w:rsidRPr="007D6E0C" w:rsidP="00E27B76" w14:paraId="23BAA065" w14:textId="77777777"/>
    <w:p w:rsidR="006767AC" w:rsidRPr="007D6E0C" w:rsidP="00E27B76" w14:paraId="49A811E4" w14:textId="77777777">
      <w:r w:rsidRPr="007D6E0C">
        <w:tab/>
      </w:r>
      <w:r w:rsidRPr="007D6E0C">
        <w:tab/>
      </w:r>
      <w:r w:rsidRPr="007D6E0C">
        <w:tab/>
      </w:r>
      <w:r w:rsidRPr="007D6E0C">
        <w:tab/>
      </w:r>
      <w:r w:rsidRPr="007D6E0C">
        <w:tab/>
      </w:r>
      <w:r w:rsidRPr="007D6E0C">
        <w:tab/>
        <w:t>Marlene H. Dortch</w:t>
      </w:r>
    </w:p>
    <w:p w:rsidR="006767AC" w:rsidRPr="007D6E0C" w:rsidP="00E27B76" w14:paraId="4FC33171" w14:textId="77777777">
      <w:r w:rsidRPr="007D6E0C">
        <w:tab/>
      </w:r>
      <w:r w:rsidRPr="007D6E0C">
        <w:tab/>
      </w:r>
      <w:r w:rsidRPr="007D6E0C">
        <w:tab/>
      </w:r>
      <w:r w:rsidRPr="007D6E0C">
        <w:tab/>
      </w:r>
      <w:r w:rsidRPr="007D6E0C">
        <w:tab/>
      </w:r>
      <w:r w:rsidRPr="007D6E0C">
        <w:tab/>
        <w:t>Secretary</w:t>
      </w:r>
    </w:p>
    <w:p w:rsidR="006767AC" w:rsidRPr="007D6E0C" w:rsidP="006767AC" w14:paraId="2C838D77" w14:textId="77777777">
      <w:pPr>
        <w:sectPr w:rsidSect="009970EB">
          <w:headerReference w:type="default" r:id="rId7"/>
          <w:footerReference w:type="default" r:id="rId8"/>
          <w:headerReference w:type="first" r:id="rId9"/>
          <w:footerReference w:type="first" r:id="rId10"/>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pPr>
    </w:p>
    <w:bookmarkEnd w:id="1"/>
    <w:p w:rsidR="006767AC" w:rsidRPr="00E515C2" w:rsidP="006767AC" w14:paraId="6191BB98" w14:textId="77777777">
      <w:pPr>
        <w:jc w:val="center"/>
        <w:rPr>
          <w:b/>
        </w:rPr>
      </w:pPr>
      <w:r w:rsidRPr="003F0ACE">
        <w:rPr>
          <w:b/>
          <w:bCs/>
        </w:rPr>
        <w:t xml:space="preserve">APPENDIX </w:t>
      </w:r>
      <w:r>
        <w:rPr>
          <w:b/>
          <w:bCs/>
        </w:rPr>
        <w:t>A</w:t>
      </w:r>
    </w:p>
    <w:p w:rsidR="006767AC" w:rsidP="006767AC" w14:paraId="2ED6917C" w14:textId="77777777">
      <w:pPr>
        <w:jc w:val="center"/>
        <w:rPr>
          <w:b/>
        </w:rPr>
      </w:pPr>
    </w:p>
    <w:p w:rsidR="006767AC" w:rsidRPr="00E515C2" w:rsidP="006767AC" w14:paraId="7897FEA9" w14:textId="77777777">
      <w:pPr>
        <w:jc w:val="center"/>
        <w:rPr>
          <w:b/>
        </w:rPr>
      </w:pPr>
      <w:r w:rsidRPr="003F0ACE">
        <w:rPr>
          <w:b/>
          <w:bCs/>
        </w:rPr>
        <w:t xml:space="preserve">List of Commenters </w:t>
      </w:r>
    </w:p>
    <w:p w:rsidR="006767AC" w:rsidRPr="006B33D5" w:rsidP="006767AC" w14:paraId="7A119792" w14:textId="77777777">
      <w:pPr>
        <w:jc w:val="center"/>
        <w:rPr>
          <w:b/>
        </w:rPr>
      </w:pPr>
    </w:p>
    <w:p w:rsidR="006767AC" w:rsidRPr="00351613" w:rsidP="006767AC" w14:paraId="0FF0B7C0" w14:textId="77777777">
      <w:r w:rsidRPr="00351613">
        <w:t>The following parties have filed comments in response to the Public Notices issued in this matter (CG Docket Nos. 18-152, 02-278):</w:t>
      </w:r>
    </w:p>
    <w:p w:rsidR="006767AC" w:rsidRPr="00351613" w:rsidP="006767AC" w14:paraId="20C5F008" w14:textId="77777777"/>
    <w:p w:rsidR="006767AC" w:rsidRPr="00351613" w:rsidP="006767AC" w14:paraId="64962DFC" w14:textId="77777777">
      <w:pPr>
        <w:rPr>
          <w:u w:val="single"/>
        </w:rPr>
      </w:pPr>
      <w:r w:rsidRPr="00351613">
        <w:rPr>
          <w:u w:val="single"/>
        </w:rPr>
        <w:t>Commenter</w:t>
      </w:r>
      <w:r w:rsidRPr="00351613">
        <w:tab/>
      </w:r>
      <w:r w:rsidRPr="00351613">
        <w:tab/>
      </w:r>
      <w:r>
        <w:tab/>
      </w:r>
      <w:r>
        <w:tab/>
      </w:r>
      <w:r>
        <w:tab/>
      </w:r>
      <w:r>
        <w:tab/>
      </w:r>
      <w:r>
        <w:tab/>
      </w:r>
      <w:r>
        <w:tab/>
      </w:r>
      <w:r>
        <w:tab/>
      </w:r>
      <w:r w:rsidRPr="00351613">
        <w:rPr>
          <w:u w:val="single"/>
        </w:rPr>
        <w:t>Abbreviation</w:t>
      </w:r>
    </w:p>
    <w:p w:rsidR="006767AC" w:rsidRPr="00E515C2" w:rsidP="006767AC" w14:paraId="706EF688" w14:textId="77777777">
      <w:pPr>
        <w:ind w:left="7200" w:hanging="7200"/>
        <w:rPr>
          <w:b/>
        </w:rPr>
      </w:pPr>
      <w:r w:rsidRPr="003F0ACE">
        <w:rPr>
          <w:b/>
          <w:bCs/>
        </w:rPr>
        <w:t>33 SMS Industry Participants</w:t>
      </w:r>
      <w:r w:rsidRPr="00351613">
        <w:rPr>
          <w:b/>
        </w:rPr>
        <w:tab/>
      </w:r>
      <w:r w:rsidRPr="003F0ACE">
        <w:rPr>
          <w:b/>
          <w:bCs/>
        </w:rPr>
        <w:t>SMS Industry Participants</w:t>
      </w:r>
    </w:p>
    <w:p w:rsidR="006767AC" w:rsidRPr="00E515C2" w:rsidP="006767AC" w14:paraId="6BF4C560" w14:textId="77777777">
      <w:pPr>
        <w:rPr>
          <w:b/>
        </w:rPr>
      </w:pPr>
      <w:r w:rsidRPr="003F0ACE">
        <w:rPr>
          <w:b/>
          <w:bCs/>
        </w:rPr>
        <w:t>A Place for Mom, Inc.</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Place f</w:t>
      </w:r>
      <w:r w:rsidRPr="00F16C94">
        <w:rPr>
          <w:b/>
          <w:bCs/>
        </w:rPr>
        <w:t>or Mom</w:t>
      </w:r>
    </w:p>
    <w:p w:rsidR="006767AC" w:rsidRPr="00351613" w:rsidP="006767AC" w14:paraId="2844EB63" w14:textId="77777777">
      <w:r w:rsidRPr="00351613">
        <w:t>A to Z Communications Coalition and Insights Association</w:t>
      </w:r>
      <w:r w:rsidRPr="00351613">
        <w:tab/>
      </w:r>
      <w:r w:rsidRPr="00351613">
        <w:tab/>
      </w:r>
      <w:r>
        <w:tab/>
      </w:r>
      <w:r w:rsidRPr="00351613">
        <w:t>A to Z</w:t>
      </w:r>
    </w:p>
    <w:p w:rsidR="006767AC" w:rsidRPr="00351613" w:rsidP="006767AC" w14:paraId="77070403" w14:textId="77777777">
      <w:r w:rsidRPr="00351613">
        <w:t xml:space="preserve">Aaron D. </w:t>
      </w:r>
      <w:r w:rsidRPr="00351613">
        <w:t>Radbil</w:t>
      </w:r>
      <w:r w:rsidRPr="00351613">
        <w:tab/>
      </w:r>
      <w:r w:rsidRPr="00351613">
        <w:tab/>
      </w:r>
      <w:r w:rsidRPr="00351613">
        <w:tab/>
      </w:r>
      <w:r w:rsidRPr="00351613">
        <w:tab/>
      </w:r>
      <w:r w:rsidRPr="00351613">
        <w:tab/>
      </w:r>
      <w:r w:rsidRPr="00351613">
        <w:tab/>
      </w:r>
      <w:r w:rsidRPr="00351613">
        <w:tab/>
      </w:r>
      <w:r>
        <w:tab/>
      </w:r>
      <w:r w:rsidRPr="00351613">
        <w:t>Radbil</w:t>
      </w:r>
    </w:p>
    <w:p w:rsidR="006767AC" w:rsidRPr="00E515C2" w:rsidP="006767AC" w14:paraId="6331D921" w14:textId="77777777">
      <w:pPr>
        <w:rPr>
          <w:b/>
        </w:rPr>
      </w:pPr>
      <w:r w:rsidRPr="003F0ACE">
        <w:rPr>
          <w:b/>
          <w:bCs/>
        </w:rPr>
        <w:t>Aaron M. Swift, Esq.</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Swift</w:t>
      </w:r>
    </w:p>
    <w:p w:rsidR="006767AC" w:rsidRPr="00E515C2" w:rsidP="006767AC" w14:paraId="0A63B284" w14:textId="77777777">
      <w:pPr>
        <w:rPr>
          <w:b/>
        </w:rPr>
      </w:pPr>
      <w:r w:rsidRPr="003F0ACE">
        <w:rPr>
          <w:b/>
          <w:bCs/>
        </w:rPr>
        <w:t>ACA International</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ACA</w:t>
      </w:r>
    </w:p>
    <w:p w:rsidR="006767AC" w:rsidRPr="00E515C2" w:rsidP="006767AC" w14:paraId="2DC4182B" w14:textId="77777777">
      <w:pPr>
        <w:rPr>
          <w:b/>
        </w:rPr>
      </w:pPr>
      <w:r w:rsidRPr="003F0ACE">
        <w:rPr>
          <w:b/>
          <w:bCs/>
        </w:rPr>
        <w:t>ACT | The App Association</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ACT</w:t>
      </w:r>
    </w:p>
    <w:p w:rsidR="006767AC" w:rsidRPr="00351613" w:rsidP="006767AC" w14:paraId="56DFF586" w14:textId="77777777">
      <w:r w:rsidRPr="00351613">
        <w:t>ADT LLC d/b/a ADT Security Services*</w:t>
      </w:r>
      <w:r w:rsidRPr="00351613">
        <w:tab/>
      </w:r>
      <w:r w:rsidRPr="00351613">
        <w:tab/>
      </w:r>
      <w:r w:rsidRPr="00351613">
        <w:tab/>
      </w:r>
      <w:r w:rsidRPr="00351613">
        <w:tab/>
      </w:r>
      <w:r>
        <w:tab/>
      </w:r>
      <w:r w:rsidRPr="00351613">
        <w:t>ADT</w:t>
      </w:r>
    </w:p>
    <w:p w:rsidR="006767AC" w:rsidRPr="00E515C2" w:rsidP="006767AC" w14:paraId="68DAEF97" w14:textId="77777777">
      <w:pPr>
        <w:rPr>
          <w:b/>
        </w:rPr>
      </w:pPr>
      <w:r w:rsidRPr="003F0ACE">
        <w:rPr>
          <w:b/>
          <w:bCs/>
        </w:rPr>
        <w:t>Alarm Ind</w:t>
      </w:r>
      <w:r w:rsidRPr="00F16C94">
        <w:rPr>
          <w:b/>
          <w:bCs/>
        </w:rPr>
        <w:t>ustry Communications Committee</w:t>
      </w:r>
      <w:r w:rsidRPr="00351613">
        <w:rPr>
          <w:b/>
        </w:rPr>
        <w:tab/>
      </w:r>
      <w:r w:rsidRPr="00351613">
        <w:rPr>
          <w:b/>
        </w:rPr>
        <w:tab/>
      </w:r>
      <w:r w:rsidRPr="00351613">
        <w:rPr>
          <w:b/>
        </w:rPr>
        <w:tab/>
      </w:r>
      <w:r w:rsidRPr="00351613">
        <w:rPr>
          <w:b/>
        </w:rPr>
        <w:tab/>
      </w:r>
      <w:r>
        <w:rPr>
          <w:b/>
        </w:rPr>
        <w:tab/>
      </w:r>
      <w:r w:rsidRPr="003F0ACE">
        <w:rPr>
          <w:b/>
          <w:bCs/>
        </w:rPr>
        <w:t>AICC</w:t>
      </w:r>
    </w:p>
    <w:p w:rsidR="006767AC" w:rsidRPr="00E515C2" w:rsidP="006767AC" w14:paraId="322672DC" w14:textId="77777777">
      <w:pPr>
        <w:rPr>
          <w:b/>
        </w:rPr>
      </w:pPr>
      <w:r w:rsidRPr="003F0ACE">
        <w:rPr>
          <w:b/>
          <w:bCs/>
        </w:rPr>
        <w:t>Alexander H. Burke</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Burke</w:t>
      </w:r>
    </w:p>
    <w:p w:rsidR="006767AC" w:rsidRPr="00E515C2" w:rsidP="006767AC" w14:paraId="08113732" w14:textId="77777777">
      <w:pPr>
        <w:rPr>
          <w:b/>
        </w:rPr>
      </w:pPr>
      <w:r w:rsidRPr="003F0ACE">
        <w:rPr>
          <w:b/>
          <w:bCs/>
        </w:rPr>
        <w:t>Allstate Insurance Company</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Allstate</w:t>
      </w:r>
    </w:p>
    <w:p w:rsidR="006767AC" w:rsidRPr="00E515C2" w:rsidP="006767AC" w14:paraId="177F2167" w14:textId="77777777">
      <w:pPr>
        <w:rPr>
          <w:b/>
        </w:rPr>
      </w:pPr>
      <w:r w:rsidRPr="003F0ACE">
        <w:rPr>
          <w:b/>
          <w:bCs/>
        </w:rPr>
        <w:t>Amanda Allen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Allen</w:t>
      </w:r>
    </w:p>
    <w:p w:rsidR="006767AC" w:rsidRPr="00351613" w:rsidP="006767AC" w14:paraId="033134A7" w14:textId="77777777">
      <w:r w:rsidRPr="00351613">
        <w:t>American Association of Healthcare Administrative Management</w:t>
      </w:r>
      <w:r w:rsidRPr="00351613">
        <w:tab/>
      </w:r>
      <w:r>
        <w:tab/>
      </w:r>
      <w:r w:rsidRPr="00351613">
        <w:t>AAHAM</w:t>
      </w:r>
    </w:p>
    <w:p w:rsidR="006767AC" w:rsidP="006767AC" w14:paraId="11BDA20B" w14:textId="77777777">
      <w:pPr>
        <w:rPr>
          <w:b/>
          <w:bCs/>
        </w:rPr>
      </w:pPr>
      <w:r w:rsidRPr="003F0ACE">
        <w:rPr>
          <w:b/>
          <w:bCs/>
        </w:rPr>
        <w:t>American Bankers Association</w:t>
      </w:r>
      <w:r w:rsidRPr="00351613">
        <w:rPr>
          <w:b/>
        </w:rPr>
        <w:tab/>
      </w:r>
      <w:r w:rsidRPr="00351613">
        <w:rPr>
          <w:b/>
        </w:rPr>
        <w:tab/>
      </w:r>
      <w:r w:rsidRPr="00351613">
        <w:rPr>
          <w:b/>
        </w:rPr>
        <w:tab/>
      </w:r>
      <w:r w:rsidRPr="00351613">
        <w:rPr>
          <w:b/>
        </w:rPr>
        <w:tab/>
      </w:r>
      <w:r w:rsidRPr="00351613">
        <w:rPr>
          <w:b/>
        </w:rPr>
        <w:tab/>
      </w:r>
      <w:r>
        <w:rPr>
          <w:b/>
        </w:rPr>
        <w:tab/>
      </w:r>
      <w:r w:rsidRPr="003F0ACE">
        <w:rPr>
          <w:b/>
          <w:bCs/>
        </w:rPr>
        <w:t>ABA</w:t>
      </w:r>
    </w:p>
    <w:p w:rsidR="006767AC" w:rsidRPr="00E515C2" w:rsidP="006767AC" w14:paraId="32FE3C64" w14:textId="77777777">
      <w:pPr>
        <w:rPr>
          <w:b/>
        </w:rPr>
      </w:pPr>
      <w:r>
        <w:rPr>
          <w:b/>
        </w:rPr>
        <w:t>American Council of Life Insurers</w:t>
      </w:r>
      <w:r>
        <w:rPr>
          <w:b/>
        </w:rPr>
        <w:tab/>
      </w:r>
      <w:r>
        <w:rPr>
          <w:b/>
        </w:rPr>
        <w:tab/>
      </w:r>
      <w:r>
        <w:rPr>
          <w:b/>
        </w:rPr>
        <w:tab/>
      </w:r>
      <w:r>
        <w:rPr>
          <w:b/>
        </w:rPr>
        <w:tab/>
      </w:r>
      <w:r>
        <w:rPr>
          <w:b/>
        </w:rPr>
        <w:tab/>
      </w:r>
      <w:r>
        <w:rPr>
          <w:b/>
        </w:rPr>
        <w:tab/>
        <w:t>ACLI</w:t>
      </w:r>
    </w:p>
    <w:p w:rsidR="006767AC" w:rsidRPr="00E515C2" w:rsidP="006767AC" w14:paraId="5E5FA23E" w14:textId="77777777">
      <w:pPr>
        <w:rPr>
          <w:b/>
        </w:rPr>
      </w:pPr>
      <w:bookmarkStart w:id="98" w:name="_Hlk531281589"/>
      <w:r w:rsidRPr="003F0ACE">
        <w:rPr>
          <w:b/>
          <w:bCs/>
        </w:rPr>
        <w:t xml:space="preserve">American </w:t>
      </w:r>
      <w:r w:rsidRPr="00F16C94">
        <w:rPr>
          <w:b/>
          <w:bCs/>
        </w:rPr>
        <w:t>Dental Association</w:t>
      </w:r>
      <w:bookmarkEnd w:id="98"/>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ADA</w:t>
      </w:r>
    </w:p>
    <w:p w:rsidR="006767AC" w:rsidRPr="00351613" w:rsidP="006767AC" w14:paraId="15DFFD2B" w14:textId="77777777">
      <w:r w:rsidRPr="00351613">
        <w:t xml:space="preserve">American Financial Services Association </w:t>
      </w:r>
      <w:r w:rsidRPr="00351613">
        <w:tab/>
      </w:r>
      <w:r w:rsidRPr="00351613">
        <w:tab/>
      </w:r>
      <w:r w:rsidRPr="00351613">
        <w:tab/>
      </w:r>
      <w:r w:rsidRPr="00351613">
        <w:tab/>
      </w:r>
      <w:r>
        <w:tab/>
      </w:r>
      <w:r w:rsidRPr="00351613">
        <w:t>AFSA</w:t>
      </w:r>
    </w:p>
    <w:p w:rsidR="006767AC" w:rsidP="006767AC" w14:paraId="4D000987" w14:textId="77777777">
      <w:pPr>
        <w:rPr>
          <w:b/>
          <w:bCs/>
        </w:rPr>
      </w:pPr>
      <w:r w:rsidRPr="003F0ACE">
        <w:rPr>
          <w:b/>
          <w:bCs/>
        </w:rPr>
        <w:t xml:space="preserve">American Gas Association, American Public Power Association, </w:t>
      </w:r>
      <w:r>
        <w:rPr>
          <w:b/>
          <w:bCs/>
        </w:rPr>
        <w:t>Edison</w:t>
      </w:r>
    </w:p>
    <w:p w:rsidR="006767AC" w:rsidRPr="00E515C2" w:rsidP="006767AC" w14:paraId="157A4EA5" w14:textId="77777777">
      <w:pPr>
        <w:rPr>
          <w:b/>
        </w:rPr>
      </w:pPr>
      <w:r>
        <w:rPr>
          <w:b/>
          <w:bCs/>
        </w:rPr>
        <w:t>Electric Institute and the National Rural Electric Cooperative Association</w:t>
      </w:r>
      <w:r>
        <w:rPr>
          <w:b/>
          <w:bCs/>
        </w:rPr>
        <w:tab/>
        <w:t>Utility Associations</w:t>
      </w:r>
    </w:p>
    <w:p w:rsidR="006767AC" w:rsidRPr="00351613" w:rsidP="006767AC" w14:paraId="1027D82D" w14:textId="77777777">
      <w:r w:rsidRPr="00351613">
        <w:t>Americollect</w:t>
      </w:r>
      <w:r w:rsidRPr="00351613">
        <w:t xml:space="preserve"> Inc.</w:t>
      </w:r>
      <w:r w:rsidRPr="00351613">
        <w:tab/>
      </w:r>
      <w:r w:rsidRPr="00351613">
        <w:tab/>
      </w:r>
      <w:r w:rsidRPr="00351613">
        <w:tab/>
      </w:r>
      <w:r w:rsidRPr="00351613">
        <w:tab/>
      </w:r>
      <w:r w:rsidRPr="00351613">
        <w:tab/>
      </w:r>
      <w:r w:rsidRPr="00351613">
        <w:tab/>
      </w:r>
      <w:r w:rsidRPr="00351613">
        <w:tab/>
      </w:r>
      <w:r>
        <w:tab/>
      </w:r>
      <w:r w:rsidRPr="00351613">
        <w:t>Americollect</w:t>
      </w:r>
    </w:p>
    <w:p w:rsidR="006767AC" w:rsidRPr="00E515C2" w:rsidP="006767AC" w14:paraId="639CEDB8" w14:textId="77777777">
      <w:pPr>
        <w:rPr>
          <w:b/>
        </w:rPr>
      </w:pPr>
      <w:r w:rsidRPr="003F0ACE">
        <w:rPr>
          <w:b/>
          <w:bCs/>
        </w:rPr>
        <w:t xml:space="preserve">Andrew R. </w:t>
      </w:r>
      <w:r w:rsidRPr="003F0ACE">
        <w:rPr>
          <w:b/>
          <w:bCs/>
        </w:rPr>
        <w:t>Perrong</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Perrong</w:t>
      </w:r>
    </w:p>
    <w:p w:rsidR="006767AC" w:rsidRPr="00351613" w:rsidP="006767AC" w14:paraId="16588E9A" w14:textId="77777777">
      <w:r w:rsidRPr="00351613">
        <w:t>Anthem, Inc.</w:t>
      </w:r>
      <w:r w:rsidRPr="00351613">
        <w:tab/>
      </w:r>
      <w:r w:rsidRPr="00351613">
        <w:tab/>
      </w:r>
      <w:r w:rsidRPr="00351613">
        <w:tab/>
      </w:r>
      <w:r w:rsidRPr="00351613">
        <w:tab/>
      </w:r>
      <w:r w:rsidRPr="00351613">
        <w:tab/>
      </w:r>
      <w:r w:rsidRPr="00351613">
        <w:tab/>
      </w:r>
      <w:r w:rsidRPr="00351613">
        <w:tab/>
      </w:r>
      <w:r w:rsidRPr="00351613">
        <w:tab/>
      </w:r>
      <w:r>
        <w:tab/>
      </w:r>
      <w:r w:rsidRPr="00351613">
        <w:t>Anthem</w:t>
      </w:r>
    </w:p>
    <w:p w:rsidR="006767AC" w:rsidRPr="00E515C2" w:rsidP="006767AC" w14:paraId="5E636CDB" w14:textId="77777777">
      <w:pPr>
        <w:rPr>
          <w:b/>
        </w:rPr>
      </w:pPr>
      <w:r w:rsidRPr="003F0ACE">
        <w:rPr>
          <w:b/>
          <w:bCs/>
        </w:rPr>
        <w:t>Ari Marcus</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Marcus</w:t>
      </w:r>
    </w:p>
    <w:p w:rsidR="006767AC" w:rsidRPr="00351613" w:rsidP="006767AC" w14:paraId="2753EF44" w14:textId="77777777">
      <w:r w:rsidRPr="00351613">
        <w:t>Bellco</w:t>
      </w:r>
      <w:r w:rsidRPr="00351613">
        <w:t xml:space="preserve"> Credit Union</w:t>
      </w:r>
      <w:r w:rsidRPr="00351613">
        <w:tab/>
      </w:r>
      <w:r w:rsidRPr="00351613">
        <w:tab/>
      </w:r>
      <w:r w:rsidRPr="00351613">
        <w:tab/>
      </w:r>
      <w:r w:rsidRPr="00351613">
        <w:tab/>
      </w:r>
      <w:r w:rsidRPr="00351613">
        <w:tab/>
      </w:r>
      <w:r w:rsidRPr="00351613">
        <w:tab/>
      </w:r>
      <w:r w:rsidRPr="00351613">
        <w:tab/>
      </w:r>
      <w:r>
        <w:tab/>
      </w:r>
      <w:r w:rsidRPr="00351613">
        <w:t>Bellco</w:t>
      </w:r>
    </w:p>
    <w:p w:rsidR="006767AC" w:rsidRPr="00351613" w:rsidP="006767AC" w14:paraId="5A0ED825" w14:textId="77777777">
      <w:r w:rsidRPr="00351613">
        <w:t>Blackboard Inc.</w:t>
      </w:r>
      <w:r w:rsidRPr="00351613">
        <w:tab/>
      </w:r>
      <w:r w:rsidRPr="00351613">
        <w:tab/>
      </w:r>
      <w:r w:rsidRPr="00351613">
        <w:tab/>
      </w:r>
      <w:r w:rsidRPr="00351613">
        <w:tab/>
      </w:r>
      <w:r w:rsidRPr="00351613">
        <w:tab/>
      </w:r>
      <w:r w:rsidRPr="00351613">
        <w:tab/>
      </w:r>
      <w:r w:rsidRPr="00351613">
        <w:tab/>
      </w:r>
      <w:r w:rsidRPr="00351613">
        <w:tab/>
      </w:r>
      <w:r>
        <w:tab/>
      </w:r>
      <w:r w:rsidRPr="00351613">
        <w:t>Blackboard</w:t>
      </w:r>
    </w:p>
    <w:p w:rsidR="006767AC" w:rsidRPr="00E515C2" w:rsidP="006767AC" w14:paraId="0686F87C" w14:textId="77777777">
      <w:pPr>
        <w:rPr>
          <w:b/>
        </w:rPr>
      </w:pPr>
      <w:r w:rsidRPr="003F0ACE">
        <w:rPr>
          <w:b/>
          <w:bCs/>
        </w:rPr>
        <w:t>Bill Clanton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Clanton</w:t>
      </w:r>
    </w:p>
    <w:p w:rsidR="006767AC" w:rsidRPr="00E515C2" w:rsidP="006767AC" w14:paraId="02F755E3" w14:textId="77777777">
      <w:pPr>
        <w:rPr>
          <w:b/>
        </w:rPr>
      </w:pPr>
      <w:r w:rsidRPr="003F0ACE">
        <w:rPr>
          <w:b/>
          <w:bCs/>
        </w:rPr>
        <w:t>Brett Freeman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Freeman</w:t>
      </w:r>
    </w:p>
    <w:p w:rsidR="006767AC" w:rsidRPr="00351613" w:rsidP="006767AC" w14:paraId="65A698B7" w14:textId="77777777">
      <w:r w:rsidRPr="00351613">
        <w:t>Broadnet Teleservices, LLC*</w:t>
      </w:r>
      <w:r w:rsidRPr="00351613">
        <w:tab/>
      </w:r>
      <w:r w:rsidRPr="00351613">
        <w:tab/>
      </w:r>
      <w:r w:rsidRPr="00351613">
        <w:tab/>
      </w:r>
      <w:r w:rsidRPr="00351613">
        <w:tab/>
      </w:r>
      <w:r w:rsidRPr="00351613">
        <w:tab/>
      </w:r>
      <w:r w:rsidRPr="00351613">
        <w:tab/>
      </w:r>
      <w:r>
        <w:tab/>
      </w:r>
      <w:r w:rsidRPr="00351613">
        <w:t>Broadnet</w:t>
      </w:r>
    </w:p>
    <w:p w:rsidR="006767AC" w:rsidRPr="00E515C2" w:rsidP="006767AC" w14:paraId="433D879D" w14:textId="77777777">
      <w:pPr>
        <w:rPr>
          <w:b/>
        </w:rPr>
      </w:pPr>
      <w:r w:rsidRPr="003F0ACE">
        <w:rPr>
          <w:b/>
          <w:bCs/>
        </w:rPr>
        <w:t xml:space="preserve">Bryan Anthony </w:t>
      </w:r>
      <w:r w:rsidRPr="003F0ACE">
        <w:rPr>
          <w:b/>
          <w:bCs/>
        </w:rPr>
        <w:t>Reo</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Reo</w:t>
      </w:r>
    </w:p>
    <w:p w:rsidR="006767AC" w:rsidRPr="00351613" w:rsidP="006767AC" w14:paraId="2A88686E" w14:textId="77777777">
      <w:r w:rsidRPr="00351613">
        <w:t>Bureau of Consumer Financial Protection</w:t>
      </w:r>
      <w:r w:rsidRPr="00351613">
        <w:tab/>
      </w:r>
      <w:r w:rsidRPr="00351613">
        <w:tab/>
      </w:r>
      <w:r w:rsidRPr="00351613">
        <w:tab/>
      </w:r>
      <w:r w:rsidRPr="00351613">
        <w:tab/>
      </w:r>
      <w:r>
        <w:tab/>
      </w:r>
      <w:r w:rsidRPr="00351613">
        <w:t>CFPB</w:t>
      </w:r>
    </w:p>
    <w:p w:rsidR="006767AC" w:rsidRPr="00351613" w:rsidP="006767AC" w14:paraId="4E1B07FF" w14:textId="77777777">
      <w:r w:rsidRPr="00351613">
        <w:t>Charles R. Messer*</w:t>
      </w:r>
      <w:r w:rsidRPr="00351613">
        <w:tab/>
      </w:r>
      <w:r w:rsidRPr="00351613">
        <w:tab/>
      </w:r>
      <w:r w:rsidRPr="00351613">
        <w:tab/>
      </w:r>
      <w:r w:rsidRPr="00351613">
        <w:tab/>
      </w:r>
      <w:r w:rsidRPr="00351613">
        <w:tab/>
      </w:r>
      <w:r w:rsidRPr="00351613">
        <w:tab/>
      </w:r>
      <w:r w:rsidRPr="00351613">
        <w:tab/>
      </w:r>
      <w:r>
        <w:tab/>
      </w:r>
      <w:r w:rsidRPr="00351613">
        <w:t>Messer</w:t>
      </w:r>
    </w:p>
    <w:p w:rsidR="006767AC" w:rsidRPr="00E515C2" w:rsidP="006767AC" w14:paraId="7E0E98C6" w14:textId="77777777">
      <w:pPr>
        <w:rPr>
          <w:b/>
        </w:rPr>
      </w:pPr>
      <w:r w:rsidRPr="003F0ACE">
        <w:rPr>
          <w:b/>
          <w:bCs/>
        </w:rPr>
        <w:t>Chris R. Miltenberger</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Miltenberger</w:t>
      </w:r>
    </w:p>
    <w:p w:rsidR="006767AC" w:rsidRPr="00351613" w:rsidP="006767AC" w14:paraId="1107EDA7" w14:textId="77777777">
      <w:r w:rsidRPr="00351613">
        <w:t xml:space="preserve">Christine </w:t>
      </w:r>
      <w:r w:rsidRPr="00351613">
        <w:t>Bannan</w:t>
      </w:r>
      <w:r w:rsidRPr="00351613">
        <w:tab/>
      </w:r>
      <w:r w:rsidRPr="00351613">
        <w:tab/>
      </w:r>
      <w:r w:rsidRPr="00351613">
        <w:tab/>
      </w:r>
      <w:r w:rsidRPr="00351613">
        <w:tab/>
      </w:r>
      <w:r w:rsidRPr="00351613">
        <w:tab/>
      </w:r>
      <w:r w:rsidRPr="00351613">
        <w:tab/>
      </w:r>
      <w:r w:rsidRPr="00351613">
        <w:tab/>
      </w:r>
      <w:r>
        <w:tab/>
      </w:r>
      <w:r w:rsidRPr="00351613">
        <w:t>Bannan</w:t>
      </w:r>
    </w:p>
    <w:p w:rsidR="006767AC" w:rsidRPr="00351613" w:rsidP="006767AC" w14:paraId="7834CDBF" w14:textId="77777777">
      <w:r w:rsidRPr="00351613">
        <w:t>Cisco Systems, Inc.</w:t>
      </w:r>
      <w:r w:rsidRPr="00351613">
        <w:tab/>
      </w:r>
      <w:r w:rsidRPr="00351613">
        <w:tab/>
      </w:r>
      <w:r w:rsidRPr="00351613">
        <w:tab/>
      </w:r>
      <w:r w:rsidRPr="00351613">
        <w:tab/>
      </w:r>
      <w:r w:rsidRPr="00351613">
        <w:tab/>
      </w:r>
      <w:r w:rsidRPr="00351613">
        <w:tab/>
      </w:r>
      <w:r w:rsidRPr="00351613">
        <w:tab/>
      </w:r>
      <w:r>
        <w:tab/>
      </w:r>
      <w:r w:rsidRPr="00351613">
        <w:t>Cisco</w:t>
      </w:r>
    </w:p>
    <w:p w:rsidR="006767AC" w:rsidRPr="00E515C2" w:rsidP="006767AC" w14:paraId="1CC60D6D" w14:textId="77777777">
      <w:pPr>
        <w:rPr>
          <w:b/>
        </w:rPr>
      </w:pPr>
      <w:r w:rsidRPr="003F0ACE">
        <w:rPr>
          <w:b/>
          <w:bCs/>
        </w:rPr>
        <w:t>Clay Morrow</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Morrow</w:t>
      </w:r>
    </w:p>
    <w:p w:rsidR="006767AC" w:rsidRPr="00351613" w:rsidP="006767AC" w14:paraId="74FDDDF2" w14:textId="77777777">
      <w:r w:rsidRPr="00351613">
        <w:t>Coalition of Higher Education Assistance Organizations</w:t>
      </w:r>
      <w:r w:rsidRPr="00351613">
        <w:tab/>
      </w:r>
      <w:r w:rsidRPr="00351613">
        <w:tab/>
      </w:r>
      <w:r w:rsidRPr="00351613">
        <w:tab/>
      </w:r>
      <w:r>
        <w:tab/>
      </w:r>
      <w:r w:rsidRPr="00351613">
        <w:t>COHEAO</w:t>
      </w:r>
    </w:p>
    <w:p w:rsidR="006767AC" w:rsidRPr="00E515C2" w:rsidP="006767AC" w14:paraId="4A387477" w14:textId="77777777">
      <w:pPr>
        <w:rPr>
          <w:b/>
        </w:rPr>
      </w:pPr>
      <w:r w:rsidRPr="003F0ACE">
        <w:rPr>
          <w:b/>
          <w:bCs/>
        </w:rPr>
        <w:t xml:space="preserve">College Foundation, Inc. </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CFI</w:t>
      </w:r>
    </w:p>
    <w:p w:rsidR="006767AC" w:rsidRPr="00351613" w:rsidP="006767AC" w14:paraId="72D8D444" w14:textId="77777777">
      <w:r w:rsidRPr="00351613">
        <w:t>Consumer Action</w:t>
      </w:r>
      <w:r w:rsidRPr="00351613">
        <w:tab/>
      </w:r>
      <w:r w:rsidRPr="00351613">
        <w:tab/>
      </w:r>
      <w:r w:rsidRPr="00351613">
        <w:tab/>
      </w:r>
      <w:r w:rsidRPr="00351613">
        <w:tab/>
      </w:r>
      <w:r w:rsidRPr="00351613">
        <w:tab/>
      </w:r>
      <w:r w:rsidRPr="00351613">
        <w:tab/>
      </w:r>
      <w:r w:rsidRPr="00351613">
        <w:tab/>
      </w:r>
      <w:r>
        <w:tab/>
      </w:r>
      <w:r w:rsidRPr="00351613">
        <w:t>Consumer Action</w:t>
      </w:r>
    </w:p>
    <w:p w:rsidR="006767AC" w:rsidRPr="00351613" w:rsidP="006767AC" w14:paraId="03542925" w14:textId="77777777">
      <w:r w:rsidRPr="00351613">
        <w:t>Consumer Bankers Association</w:t>
      </w:r>
      <w:r w:rsidRPr="00351613">
        <w:tab/>
      </w:r>
      <w:r w:rsidRPr="00351613">
        <w:tab/>
      </w:r>
      <w:r w:rsidRPr="00351613">
        <w:tab/>
      </w:r>
      <w:r w:rsidRPr="00351613">
        <w:tab/>
      </w:r>
      <w:r w:rsidRPr="00351613">
        <w:tab/>
      </w:r>
      <w:r w:rsidRPr="00351613">
        <w:tab/>
      </w:r>
      <w:r>
        <w:tab/>
      </w:r>
      <w:r w:rsidRPr="00351613">
        <w:t>CBA</w:t>
      </w:r>
    </w:p>
    <w:p w:rsidR="006767AC" w:rsidRPr="00351613" w:rsidP="006767AC" w14:paraId="4EBB2E68" w14:textId="77777777">
      <w:r w:rsidRPr="00351613">
        <w:t>Consumer Mortgage Coalition, Housing Policy Council</w:t>
      </w:r>
      <w:r w:rsidRPr="00351613">
        <w:tab/>
      </w:r>
      <w:r w:rsidRPr="00351613">
        <w:tab/>
      </w:r>
      <w:r w:rsidRPr="00351613">
        <w:tab/>
      </w:r>
      <w:r>
        <w:tab/>
      </w:r>
      <w:r w:rsidRPr="00351613">
        <w:t>CMC and HPC</w:t>
      </w:r>
    </w:p>
    <w:p w:rsidR="006767AC" w:rsidRPr="00351613" w:rsidP="006767AC" w14:paraId="7DF02DF0" w14:textId="77777777">
      <w:r w:rsidRPr="00351613">
        <w:t>Consumers Union*</w:t>
      </w:r>
      <w:r w:rsidRPr="00351613">
        <w:tab/>
      </w:r>
      <w:r w:rsidRPr="00351613">
        <w:tab/>
      </w:r>
      <w:r w:rsidRPr="00351613">
        <w:tab/>
      </w:r>
      <w:r w:rsidRPr="00351613">
        <w:tab/>
      </w:r>
      <w:r w:rsidRPr="00351613">
        <w:tab/>
      </w:r>
      <w:r w:rsidRPr="00351613">
        <w:tab/>
      </w:r>
      <w:r w:rsidRPr="00351613">
        <w:tab/>
      </w:r>
      <w:r>
        <w:tab/>
      </w:r>
      <w:r w:rsidRPr="00351613">
        <w:t>CU</w:t>
      </w:r>
    </w:p>
    <w:p w:rsidR="006767AC" w:rsidRPr="00E515C2" w:rsidP="006767AC" w14:paraId="021F3F16" w14:textId="77777777">
      <w:pPr>
        <w:rPr>
          <w:b/>
        </w:rPr>
      </w:pPr>
      <w:r w:rsidRPr="003F0ACE">
        <w:rPr>
          <w:b/>
          <w:bCs/>
        </w:rPr>
        <w:t>Craig B. Friedberg</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Friedberg</w:t>
      </w:r>
    </w:p>
    <w:p w:rsidR="006767AC" w:rsidRPr="00E515C2" w:rsidP="006767AC" w14:paraId="03C3DBE1" w14:textId="77777777">
      <w:pPr>
        <w:rPr>
          <w:b/>
        </w:rPr>
      </w:pPr>
      <w:r w:rsidRPr="003F0ACE">
        <w:rPr>
          <w:b/>
          <w:bCs/>
        </w:rPr>
        <w:t>Craig Chatterton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Chatterton</w:t>
      </w:r>
    </w:p>
    <w:p w:rsidR="006767AC" w:rsidRPr="00351613" w:rsidP="006767AC" w14:paraId="0BD6F2A7" w14:textId="77777777">
      <w:r w:rsidRPr="00351613">
        <w:t>Craig Cunningham, Craig Moskowitz*</w:t>
      </w:r>
      <w:r w:rsidRPr="00351613">
        <w:tab/>
      </w:r>
      <w:r w:rsidRPr="00351613">
        <w:tab/>
      </w:r>
      <w:r w:rsidRPr="00351613">
        <w:tab/>
      </w:r>
      <w:r w:rsidRPr="00351613">
        <w:tab/>
      </w:r>
      <w:r w:rsidRPr="00351613">
        <w:tab/>
      </w:r>
      <w:r>
        <w:tab/>
      </w:r>
      <w:r w:rsidRPr="00351613">
        <w:t>Cunningham</w:t>
      </w:r>
    </w:p>
    <w:p w:rsidR="006767AC" w:rsidRPr="00351613" w:rsidP="006767AC" w14:paraId="5027A5B5" w14:textId="77777777">
      <w:r w:rsidRPr="00351613">
        <w:t>Credit Union National Association*</w:t>
      </w:r>
      <w:r w:rsidRPr="00351613">
        <w:tab/>
      </w:r>
      <w:r w:rsidRPr="00351613">
        <w:tab/>
      </w:r>
      <w:r w:rsidRPr="00351613">
        <w:tab/>
      </w:r>
      <w:r w:rsidRPr="00351613">
        <w:tab/>
      </w:r>
      <w:r w:rsidRPr="00351613">
        <w:tab/>
      </w:r>
      <w:r>
        <w:tab/>
      </w:r>
      <w:r w:rsidRPr="00351613">
        <w:t>CUNA</w:t>
      </w:r>
    </w:p>
    <w:p w:rsidR="006767AC" w:rsidRPr="00351613" w:rsidP="006767AC" w14:paraId="1C0CF26B" w14:textId="77777777">
      <w:r w:rsidRPr="00351613">
        <w:t>CTIA*</w:t>
      </w:r>
      <w:r w:rsidRPr="00351613">
        <w:tab/>
      </w:r>
      <w:r w:rsidRPr="00351613">
        <w:tab/>
      </w:r>
      <w:r w:rsidRPr="00351613">
        <w:tab/>
      </w:r>
      <w:r w:rsidRPr="00351613">
        <w:tab/>
      </w:r>
      <w:r w:rsidRPr="00351613">
        <w:tab/>
      </w:r>
      <w:r w:rsidRPr="00351613">
        <w:tab/>
      </w:r>
      <w:r w:rsidRPr="00351613">
        <w:tab/>
      </w:r>
      <w:r w:rsidRPr="00351613">
        <w:tab/>
      </w:r>
      <w:r w:rsidRPr="00351613">
        <w:tab/>
      </w:r>
      <w:r>
        <w:tab/>
      </w:r>
      <w:r w:rsidRPr="00351613">
        <w:t>CTIA</w:t>
      </w:r>
    </w:p>
    <w:p w:rsidR="006767AC" w:rsidRPr="00E515C2" w:rsidP="006767AC" w14:paraId="37BCA167" w14:textId="77777777">
      <w:pPr>
        <w:rPr>
          <w:b/>
        </w:rPr>
      </w:pPr>
      <w:r w:rsidRPr="003F0ACE">
        <w:rPr>
          <w:b/>
          <w:bCs/>
        </w:rPr>
        <w:t>Daniel A. Edelman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Edelman</w:t>
      </w:r>
    </w:p>
    <w:p w:rsidR="006767AC" w:rsidRPr="00351613" w:rsidP="006767AC" w14:paraId="5A88BE8A" w14:textId="77777777">
      <w:r w:rsidRPr="00351613">
        <w:t>DialAmerica</w:t>
      </w:r>
      <w:r w:rsidRPr="00351613">
        <w:t xml:space="preserve"> Marketing, Inc.</w:t>
      </w:r>
      <w:r w:rsidRPr="00351613">
        <w:tab/>
      </w:r>
      <w:r w:rsidRPr="00351613">
        <w:tab/>
      </w:r>
      <w:r w:rsidRPr="00351613">
        <w:tab/>
      </w:r>
      <w:r w:rsidRPr="00351613">
        <w:tab/>
      </w:r>
      <w:r w:rsidRPr="00351613">
        <w:tab/>
      </w:r>
      <w:r w:rsidRPr="00351613">
        <w:tab/>
      </w:r>
      <w:r>
        <w:tab/>
      </w:r>
      <w:r w:rsidRPr="00351613">
        <w:t>DialAmerica</w:t>
      </w:r>
    </w:p>
    <w:p w:rsidR="006767AC" w:rsidRPr="00E515C2" w:rsidP="006767AC" w14:paraId="4B0290F8" w14:textId="77777777">
      <w:pPr>
        <w:rPr>
          <w:b/>
        </w:rPr>
      </w:pPr>
      <w:r w:rsidRPr="003F0ACE">
        <w:rPr>
          <w:b/>
          <w:bCs/>
        </w:rPr>
        <w:t xml:space="preserve">Diana </w:t>
      </w:r>
      <w:r w:rsidRPr="003F0ACE">
        <w:rPr>
          <w:b/>
          <w:bCs/>
        </w:rPr>
        <w:t>Mey</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Mey</w:t>
      </w:r>
    </w:p>
    <w:p w:rsidR="006767AC" w:rsidRPr="00E515C2" w:rsidP="006767AC" w14:paraId="3C8055F5" w14:textId="77777777">
      <w:pPr>
        <w:rPr>
          <w:b/>
        </w:rPr>
      </w:pPr>
      <w:r w:rsidRPr="003F0ACE">
        <w:rPr>
          <w:b/>
          <w:bCs/>
        </w:rPr>
        <w:t>Discover Financial Services</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Discover</w:t>
      </w:r>
    </w:p>
    <w:p w:rsidR="006767AC" w:rsidRPr="00351613" w:rsidP="006767AC" w14:paraId="226E6602" w14:textId="77777777">
      <w:r w:rsidRPr="00351613">
        <w:t xml:space="preserve">Edison Electric Institute, National Rural Electric </w:t>
      </w:r>
    </w:p>
    <w:p w:rsidR="006767AC" w:rsidRPr="00351613" w:rsidP="006767AC" w14:paraId="004C1194" w14:textId="77777777">
      <w:r w:rsidRPr="00351613">
        <w:t>Cooperative Association</w:t>
      </w:r>
      <w:r w:rsidRPr="00351613">
        <w:tab/>
      </w:r>
      <w:r w:rsidRPr="00351613">
        <w:tab/>
      </w:r>
      <w:r w:rsidRPr="00351613">
        <w:tab/>
      </w:r>
      <w:r w:rsidRPr="00351613">
        <w:tab/>
      </w:r>
      <w:r w:rsidRPr="00351613">
        <w:tab/>
      </w:r>
      <w:r>
        <w:tab/>
      </w:r>
      <w:r>
        <w:tab/>
      </w:r>
      <w:r w:rsidRPr="00351613">
        <w:t xml:space="preserve">EEI and NRECA </w:t>
      </w:r>
    </w:p>
    <w:p w:rsidR="006767AC" w:rsidRPr="00E515C2" w:rsidP="006767AC" w14:paraId="014B0CBF" w14:textId="77777777">
      <w:pPr>
        <w:rPr>
          <w:b/>
        </w:rPr>
      </w:pPr>
      <w:r w:rsidRPr="003F0ACE">
        <w:rPr>
          <w:b/>
          <w:bCs/>
        </w:rPr>
        <w:t>Electronic Privacy Information Center</w:t>
      </w:r>
      <w:r w:rsidRPr="00351613">
        <w:rPr>
          <w:b/>
        </w:rPr>
        <w:tab/>
      </w:r>
      <w:r w:rsidRPr="00351613">
        <w:rPr>
          <w:b/>
        </w:rPr>
        <w:tab/>
      </w:r>
      <w:r w:rsidRPr="00351613">
        <w:rPr>
          <w:b/>
        </w:rPr>
        <w:tab/>
      </w:r>
      <w:r w:rsidRPr="00351613">
        <w:rPr>
          <w:b/>
        </w:rPr>
        <w:tab/>
      </w:r>
      <w:r>
        <w:rPr>
          <w:b/>
        </w:rPr>
        <w:tab/>
      </w:r>
      <w:r w:rsidRPr="003F0ACE">
        <w:rPr>
          <w:b/>
          <w:bCs/>
        </w:rPr>
        <w:t>EPIC</w:t>
      </w:r>
    </w:p>
    <w:p w:rsidR="006767AC" w:rsidRPr="00351613" w:rsidP="006767AC" w14:paraId="3734B4C9" w14:textId="77777777">
      <w:r w:rsidRPr="00351613">
        <w:t>Electronic Transactions Association</w:t>
      </w:r>
      <w:r w:rsidRPr="00351613">
        <w:tab/>
      </w:r>
      <w:r w:rsidRPr="00351613">
        <w:tab/>
      </w:r>
      <w:r w:rsidRPr="00351613">
        <w:tab/>
      </w:r>
      <w:r w:rsidRPr="00351613">
        <w:tab/>
      </w:r>
      <w:r w:rsidRPr="00351613">
        <w:tab/>
      </w:r>
      <w:r>
        <w:tab/>
      </w:r>
      <w:r w:rsidRPr="00351613">
        <w:t>ETA</w:t>
      </w:r>
    </w:p>
    <w:p w:rsidR="006767AC" w:rsidRPr="00E515C2" w:rsidP="006767AC" w14:paraId="7C084A1C" w14:textId="77777777">
      <w:pPr>
        <w:rPr>
          <w:b/>
        </w:rPr>
      </w:pPr>
      <w:r w:rsidRPr="003F0ACE">
        <w:rPr>
          <w:b/>
          <w:bCs/>
        </w:rPr>
        <w:t>Gabriel S. Sanchez</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Sanchez</w:t>
      </w:r>
    </w:p>
    <w:p w:rsidR="006767AC" w:rsidRPr="00E515C2" w:rsidP="006767AC" w14:paraId="65101772" w14:textId="77777777">
      <w:pPr>
        <w:rPr>
          <w:b/>
        </w:rPr>
      </w:pPr>
      <w:r w:rsidRPr="003F0ACE">
        <w:rPr>
          <w:b/>
          <w:bCs/>
        </w:rPr>
        <w:t xml:space="preserve">Hassan A. </w:t>
      </w:r>
      <w:r w:rsidRPr="003F0ACE">
        <w:rPr>
          <w:b/>
          <w:bCs/>
        </w:rPr>
        <w:t>Zavareei</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Zav</w:t>
      </w:r>
      <w:r>
        <w:rPr>
          <w:b/>
          <w:bCs/>
        </w:rPr>
        <w:t>a</w:t>
      </w:r>
      <w:r w:rsidRPr="003F0ACE">
        <w:rPr>
          <w:b/>
          <w:bCs/>
        </w:rPr>
        <w:t>reei</w:t>
      </w:r>
    </w:p>
    <w:p w:rsidR="006767AC" w:rsidRPr="00351613" w:rsidP="006767AC" w14:paraId="3560533F" w14:textId="77777777">
      <w:r w:rsidRPr="00351613">
        <w:t>Heartland Credit Union Association</w:t>
      </w:r>
      <w:r w:rsidRPr="00351613">
        <w:tab/>
      </w:r>
      <w:r w:rsidRPr="00351613">
        <w:tab/>
      </w:r>
      <w:r w:rsidRPr="00351613">
        <w:tab/>
      </w:r>
      <w:r w:rsidRPr="00351613">
        <w:tab/>
      </w:r>
      <w:r w:rsidRPr="00351613">
        <w:tab/>
      </w:r>
      <w:r>
        <w:tab/>
      </w:r>
      <w:r w:rsidRPr="00351613">
        <w:t>HCUA</w:t>
      </w:r>
    </w:p>
    <w:p w:rsidR="006767AC" w:rsidRPr="00351613" w:rsidP="006767AC" w14:paraId="4B6661C4" w14:textId="77777777">
      <w:r w:rsidRPr="00351613">
        <w:t>INCOMPAS</w:t>
      </w:r>
      <w:r w:rsidRPr="00351613">
        <w:tab/>
      </w:r>
      <w:r w:rsidRPr="00351613">
        <w:tab/>
      </w:r>
      <w:r w:rsidRPr="00351613">
        <w:tab/>
      </w:r>
      <w:r w:rsidRPr="00351613">
        <w:tab/>
      </w:r>
      <w:r w:rsidRPr="00351613">
        <w:tab/>
      </w:r>
      <w:r w:rsidRPr="00351613">
        <w:tab/>
      </w:r>
      <w:r w:rsidRPr="00351613">
        <w:tab/>
      </w:r>
      <w:r w:rsidRPr="00351613">
        <w:tab/>
      </w:r>
      <w:r>
        <w:tab/>
      </w:r>
      <w:r w:rsidRPr="00351613">
        <w:t>INCOMPAS</w:t>
      </w:r>
    </w:p>
    <w:p w:rsidR="006767AC" w:rsidRPr="00351613" w:rsidP="006767AC" w14:paraId="31C179CA" w14:textId="77777777">
      <w:r w:rsidRPr="00351613">
        <w:t>Independent Community Bankers of America</w:t>
      </w:r>
      <w:r w:rsidRPr="00351613">
        <w:tab/>
      </w:r>
      <w:r w:rsidRPr="00351613">
        <w:tab/>
      </w:r>
      <w:r w:rsidRPr="00351613">
        <w:tab/>
      </w:r>
      <w:r w:rsidRPr="00351613">
        <w:tab/>
      </w:r>
      <w:r>
        <w:tab/>
      </w:r>
      <w:r w:rsidRPr="00351613">
        <w:t>ICBA</w:t>
      </w:r>
    </w:p>
    <w:p w:rsidR="006767AC" w:rsidRPr="00351613" w:rsidP="006767AC" w14:paraId="666A0F33" w14:textId="77777777">
      <w:r w:rsidRPr="00351613">
        <w:t>International Pharmaceutical &amp; Medical Device Privacy Consortium</w:t>
      </w:r>
      <w:r w:rsidRPr="00351613">
        <w:tab/>
      </w:r>
      <w:r>
        <w:tab/>
      </w:r>
      <w:r w:rsidRPr="00351613">
        <w:t>IPMPC</w:t>
      </w:r>
    </w:p>
    <w:p w:rsidR="006767AC" w:rsidRPr="00E515C2" w:rsidP="006767AC" w14:paraId="0DD6090C" w14:textId="77777777">
      <w:pPr>
        <w:rPr>
          <w:b/>
        </w:rPr>
      </w:pPr>
      <w:r w:rsidRPr="003F0ACE">
        <w:rPr>
          <w:b/>
          <w:bCs/>
        </w:rPr>
        <w:t>Jarred D Johnson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Johnson</w:t>
      </w:r>
    </w:p>
    <w:p w:rsidR="006767AC" w:rsidRPr="00351613" w:rsidP="006767AC" w14:paraId="6725CBF4" w14:textId="77777777">
      <w:r w:rsidRPr="00351613">
        <w:t xml:space="preserve">Jason A. </w:t>
      </w:r>
      <w:r w:rsidRPr="00351613">
        <w:t>Ibey</w:t>
      </w:r>
      <w:r w:rsidRPr="00351613">
        <w:tab/>
      </w:r>
      <w:r w:rsidRPr="00351613">
        <w:tab/>
      </w:r>
      <w:r w:rsidRPr="00351613">
        <w:tab/>
      </w:r>
      <w:r w:rsidRPr="00351613">
        <w:tab/>
      </w:r>
      <w:r w:rsidRPr="00351613">
        <w:tab/>
      </w:r>
      <w:r w:rsidRPr="00351613">
        <w:tab/>
      </w:r>
      <w:r w:rsidRPr="00351613">
        <w:tab/>
      </w:r>
      <w:r w:rsidRPr="00351613">
        <w:tab/>
      </w:r>
      <w:r>
        <w:tab/>
      </w:r>
      <w:r w:rsidRPr="00351613">
        <w:t>Ibey</w:t>
      </w:r>
    </w:p>
    <w:p w:rsidR="006767AC" w:rsidRPr="00E515C2" w:rsidP="006767AC" w14:paraId="300E2B21" w14:textId="77777777">
      <w:pPr>
        <w:rPr>
          <w:b/>
        </w:rPr>
      </w:pPr>
      <w:r w:rsidRPr="003F0ACE">
        <w:rPr>
          <w:b/>
          <w:bCs/>
        </w:rPr>
        <w:t>Jay Connor</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Connor</w:t>
      </w:r>
    </w:p>
    <w:p w:rsidR="006767AC" w:rsidRPr="00351613" w:rsidP="006767AC" w14:paraId="2A996283" w14:textId="77777777">
      <w:r w:rsidRPr="00351613">
        <w:t>Jeffrey A Hansen</w:t>
      </w:r>
      <w:r w:rsidRPr="00351613">
        <w:tab/>
      </w:r>
      <w:r w:rsidRPr="00351613">
        <w:tab/>
      </w:r>
      <w:r w:rsidRPr="00351613">
        <w:tab/>
      </w:r>
      <w:r w:rsidRPr="00351613">
        <w:tab/>
      </w:r>
      <w:r w:rsidRPr="00351613">
        <w:tab/>
      </w:r>
      <w:r w:rsidRPr="00351613">
        <w:tab/>
      </w:r>
      <w:r w:rsidRPr="00351613">
        <w:tab/>
      </w:r>
      <w:r>
        <w:tab/>
      </w:r>
      <w:r w:rsidRPr="00351613">
        <w:t>Hansen</w:t>
      </w:r>
    </w:p>
    <w:p w:rsidR="006767AC" w:rsidRPr="00E515C2" w:rsidP="006767AC" w14:paraId="5965070B" w14:textId="77777777">
      <w:pPr>
        <w:rPr>
          <w:b/>
        </w:rPr>
      </w:pPr>
      <w:r w:rsidRPr="003F0ACE">
        <w:rPr>
          <w:b/>
          <w:bCs/>
        </w:rPr>
        <w:t xml:space="preserve">Jeremy </w:t>
      </w:r>
      <w:r w:rsidRPr="003F0ACE">
        <w:rPr>
          <w:b/>
          <w:bCs/>
        </w:rPr>
        <w:t>Glapion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Glapion</w:t>
      </w:r>
    </w:p>
    <w:p w:rsidR="006767AC" w:rsidRPr="00E515C2" w:rsidP="006767AC" w14:paraId="13CC0777" w14:textId="77777777">
      <w:pPr>
        <w:rPr>
          <w:b/>
        </w:rPr>
      </w:pPr>
      <w:r w:rsidRPr="003F0ACE">
        <w:rPr>
          <w:b/>
          <w:bCs/>
        </w:rPr>
        <w:t>Jimmy Sutton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Sutton</w:t>
      </w:r>
    </w:p>
    <w:p w:rsidR="006767AC" w:rsidRPr="00351613" w:rsidP="006767AC" w14:paraId="15472B3D" w14:textId="77777777">
      <w:r w:rsidRPr="00351613">
        <w:t>Joe Shields*</w:t>
      </w:r>
      <w:r w:rsidRPr="00351613">
        <w:tab/>
      </w:r>
      <w:r w:rsidRPr="00351613">
        <w:tab/>
      </w:r>
      <w:r w:rsidRPr="00351613">
        <w:tab/>
      </w:r>
      <w:r w:rsidRPr="00351613">
        <w:tab/>
      </w:r>
      <w:r w:rsidRPr="00351613">
        <w:tab/>
      </w:r>
      <w:r w:rsidRPr="00351613">
        <w:tab/>
      </w:r>
      <w:r w:rsidRPr="00351613">
        <w:tab/>
      </w:r>
      <w:r w:rsidRPr="00351613">
        <w:tab/>
      </w:r>
      <w:r>
        <w:tab/>
      </w:r>
      <w:r w:rsidRPr="00351613">
        <w:t xml:space="preserve">Shields </w:t>
      </w:r>
    </w:p>
    <w:p w:rsidR="006767AC" w:rsidRPr="00351613" w:rsidP="006767AC" w14:paraId="66526FD1" w14:textId="77777777">
      <w:r w:rsidRPr="00351613">
        <w:t>John A. Shaw*</w:t>
      </w:r>
      <w:r w:rsidRPr="00351613">
        <w:tab/>
      </w:r>
      <w:r w:rsidRPr="00351613">
        <w:tab/>
      </w:r>
      <w:r w:rsidRPr="00351613">
        <w:tab/>
      </w:r>
      <w:r w:rsidRPr="00351613">
        <w:tab/>
      </w:r>
      <w:r w:rsidRPr="00351613">
        <w:tab/>
      </w:r>
      <w:r w:rsidRPr="00351613">
        <w:tab/>
      </w:r>
      <w:r w:rsidRPr="00351613">
        <w:tab/>
      </w:r>
      <w:r w:rsidRPr="00351613">
        <w:tab/>
      </w:r>
      <w:r>
        <w:tab/>
      </w:r>
      <w:r w:rsidRPr="00351613">
        <w:t xml:space="preserve">Shaw </w:t>
      </w:r>
    </w:p>
    <w:p w:rsidR="006767AC" w:rsidRPr="00351613" w:rsidP="006767AC" w14:paraId="039888A9" w14:textId="77777777">
      <w:r w:rsidRPr="00351613">
        <w:t xml:space="preserve">John </w:t>
      </w:r>
      <w:r w:rsidRPr="00351613">
        <w:t>Couvillon</w:t>
      </w:r>
      <w:r w:rsidRPr="00351613">
        <w:tab/>
      </w:r>
      <w:r w:rsidRPr="00351613">
        <w:tab/>
      </w:r>
      <w:r w:rsidRPr="00351613">
        <w:tab/>
      </w:r>
      <w:r w:rsidRPr="00351613">
        <w:tab/>
      </w:r>
      <w:r w:rsidRPr="00351613">
        <w:tab/>
      </w:r>
      <w:r w:rsidRPr="00351613">
        <w:tab/>
      </w:r>
      <w:r w:rsidRPr="00351613">
        <w:tab/>
      </w:r>
      <w:r w:rsidRPr="00351613">
        <w:tab/>
      </w:r>
      <w:r>
        <w:tab/>
      </w:r>
      <w:r w:rsidRPr="00351613">
        <w:t>Couvillon</w:t>
      </w:r>
    </w:p>
    <w:p w:rsidR="006767AC" w:rsidRPr="00351613" w:rsidP="006767AC" w14:paraId="0DBF65CF" w14:textId="77777777">
      <w:r w:rsidRPr="00351613">
        <w:t>John Herrick</w:t>
      </w:r>
      <w:r w:rsidRPr="00351613">
        <w:tab/>
      </w:r>
      <w:r w:rsidRPr="00351613">
        <w:tab/>
      </w:r>
      <w:r w:rsidRPr="00351613">
        <w:tab/>
      </w:r>
      <w:r w:rsidRPr="00351613">
        <w:tab/>
      </w:r>
      <w:r w:rsidRPr="00351613">
        <w:tab/>
      </w:r>
      <w:r w:rsidRPr="00351613">
        <w:tab/>
      </w:r>
      <w:r w:rsidRPr="00351613">
        <w:tab/>
      </w:r>
      <w:r w:rsidRPr="00351613">
        <w:tab/>
      </w:r>
      <w:r>
        <w:tab/>
      </w:r>
      <w:r w:rsidRPr="00351613">
        <w:t>Herrick</w:t>
      </w:r>
    </w:p>
    <w:p w:rsidR="006767AC" w:rsidRPr="00351613" w:rsidP="006767AC" w14:paraId="02B16256" w14:textId="77777777">
      <w:r w:rsidRPr="00351613">
        <w:t xml:space="preserve">John </w:t>
      </w:r>
      <w:r w:rsidRPr="00351613">
        <w:t>Mabie</w:t>
      </w:r>
      <w:r w:rsidRPr="00351613">
        <w:tab/>
      </w:r>
      <w:r w:rsidRPr="00351613">
        <w:tab/>
      </w:r>
      <w:r w:rsidRPr="00351613">
        <w:tab/>
      </w:r>
      <w:r w:rsidRPr="00351613">
        <w:tab/>
      </w:r>
      <w:r w:rsidRPr="00351613">
        <w:tab/>
      </w:r>
      <w:r w:rsidRPr="00351613">
        <w:tab/>
      </w:r>
      <w:r w:rsidRPr="00351613">
        <w:tab/>
      </w:r>
      <w:r w:rsidRPr="00351613">
        <w:tab/>
      </w:r>
      <w:r>
        <w:tab/>
      </w:r>
      <w:r w:rsidRPr="00351613">
        <w:t>Mabie</w:t>
      </w:r>
    </w:p>
    <w:p w:rsidR="006767AC" w:rsidRPr="00351613" w:rsidP="006767AC" w14:paraId="6A163031" w14:textId="77777777">
      <w:r w:rsidRPr="00351613">
        <w:t>Justin T. Holcombe</w:t>
      </w:r>
      <w:r w:rsidRPr="00351613">
        <w:tab/>
      </w:r>
      <w:r w:rsidRPr="00351613">
        <w:tab/>
      </w:r>
      <w:r w:rsidRPr="00351613">
        <w:tab/>
      </w:r>
      <w:r w:rsidRPr="00351613">
        <w:tab/>
      </w:r>
      <w:r w:rsidRPr="00351613">
        <w:tab/>
      </w:r>
      <w:r w:rsidRPr="00351613">
        <w:tab/>
      </w:r>
      <w:r w:rsidRPr="00351613">
        <w:tab/>
      </w:r>
      <w:r>
        <w:tab/>
      </w:r>
      <w:r w:rsidRPr="00351613">
        <w:t>Holcombe</w:t>
      </w:r>
    </w:p>
    <w:p w:rsidR="006767AC" w:rsidRPr="00E515C2" w:rsidP="006767AC" w14:paraId="7043B56C" w14:textId="77777777">
      <w:pPr>
        <w:rPr>
          <w:b/>
        </w:rPr>
      </w:pPr>
      <w:r w:rsidRPr="003F0ACE">
        <w:rPr>
          <w:b/>
          <w:bCs/>
        </w:rPr>
        <w:t>Ladavone</w:t>
      </w:r>
      <w:r w:rsidRPr="003F0ACE">
        <w:rPr>
          <w:b/>
          <w:bCs/>
        </w:rPr>
        <w:t xml:space="preserve"> </w:t>
      </w:r>
      <w:r w:rsidRPr="003F0ACE">
        <w:rPr>
          <w:b/>
          <w:bCs/>
        </w:rPr>
        <w:t>Roncal</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Roncal</w:t>
      </w:r>
    </w:p>
    <w:p w:rsidR="006767AC" w:rsidRPr="00351613" w:rsidP="006767AC" w14:paraId="7093D71C" w14:textId="77777777">
      <w:r w:rsidRPr="00351613">
        <w:t>Leah Dempsey</w:t>
      </w:r>
      <w:r w:rsidRPr="00351613">
        <w:tab/>
      </w:r>
      <w:r w:rsidRPr="00351613">
        <w:tab/>
      </w:r>
      <w:r w:rsidRPr="00351613">
        <w:tab/>
      </w:r>
      <w:r w:rsidRPr="00351613">
        <w:tab/>
      </w:r>
      <w:r w:rsidRPr="00351613">
        <w:tab/>
      </w:r>
      <w:r w:rsidRPr="00351613">
        <w:tab/>
      </w:r>
      <w:r w:rsidRPr="00351613">
        <w:tab/>
      </w:r>
      <w:r w:rsidRPr="00351613">
        <w:tab/>
      </w:r>
      <w:r>
        <w:tab/>
      </w:r>
      <w:r w:rsidRPr="00351613">
        <w:t>Dempsey</w:t>
      </w:r>
    </w:p>
    <w:p w:rsidR="006767AC" w:rsidRPr="00E515C2" w:rsidP="006767AC" w14:paraId="72B03625" w14:textId="77777777">
      <w:pPr>
        <w:rPr>
          <w:b/>
        </w:rPr>
      </w:pPr>
      <w:r w:rsidRPr="003F0ACE">
        <w:rPr>
          <w:b/>
          <w:bCs/>
        </w:rPr>
        <w:t xml:space="preserve">Linda </w:t>
      </w:r>
      <w:r w:rsidRPr="003F0ACE">
        <w:rPr>
          <w:b/>
          <w:bCs/>
        </w:rPr>
        <w:t>Medelus</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Medelus</w:t>
      </w:r>
    </w:p>
    <w:p w:rsidR="006767AC" w:rsidRPr="00E515C2" w:rsidP="006767AC" w14:paraId="6D1A15B6" w14:textId="77777777">
      <w:pPr>
        <w:rPr>
          <w:b/>
        </w:rPr>
      </w:pPr>
      <w:r w:rsidRPr="003F0ACE">
        <w:rPr>
          <w:b/>
          <w:bCs/>
        </w:rPr>
        <w:t xml:space="preserve">Luis </w:t>
      </w:r>
      <w:r w:rsidRPr="003F0ACE">
        <w:rPr>
          <w:b/>
          <w:bCs/>
        </w:rPr>
        <w:t>Ugaz</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Ugaz</w:t>
      </w:r>
    </w:p>
    <w:p w:rsidR="006767AC" w:rsidRPr="00E515C2" w:rsidP="006767AC" w14:paraId="1CBFD317" w14:textId="77777777">
      <w:pPr>
        <w:rPr>
          <w:b/>
        </w:rPr>
      </w:pPr>
      <w:r w:rsidRPr="003F0ACE">
        <w:rPr>
          <w:b/>
          <w:bCs/>
        </w:rPr>
        <w:t>Mark C. Hoffman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Hoffman</w:t>
      </w:r>
    </w:p>
    <w:p w:rsidR="006767AC" w:rsidRPr="00351613" w:rsidP="006767AC" w14:paraId="0611E975" w14:textId="77777777">
      <w:r w:rsidRPr="00351613">
        <w:t>Marketing Systems Group</w:t>
      </w:r>
      <w:r w:rsidRPr="00351613">
        <w:tab/>
      </w:r>
      <w:r w:rsidRPr="00351613">
        <w:tab/>
      </w:r>
      <w:r w:rsidRPr="00351613">
        <w:tab/>
      </w:r>
      <w:r w:rsidRPr="00351613">
        <w:tab/>
      </w:r>
      <w:r w:rsidRPr="00351613">
        <w:tab/>
      </w:r>
      <w:r w:rsidRPr="00351613">
        <w:tab/>
      </w:r>
      <w:r>
        <w:tab/>
      </w:r>
      <w:r w:rsidRPr="00351613">
        <w:t>Marketing Systems</w:t>
      </w:r>
    </w:p>
    <w:p w:rsidR="006767AC" w:rsidRPr="00E515C2" w:rsidP="006767AC" w14:paraId="7835E7A5" w14:textId="77777777">
      <w:pPr>
        <w:rPr>
          <w:b/>
        </w:rPr>
      </w:pPr>
      <w:r w:rsidRPr="003F0ACE">
        <w:rPr>
          <w:b/>
          <w:bCs/>
        </w:rPr>
        <w:t>Matis</w:t>
      </w:r>
      <w:r w:rsidRPr="003F0ACE">
        <w:rPr>
          <w:b/>
          <w:bCs/>
        </w:rPr>
        <w:t xml:space="preserve"> Abarbanel, Esq.</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Abarbanel</w:t>
      </w:r>
    </w:p>
    <w:p w:rsidR="006767AC" w:rsidRPr="00E515C2" w:rsidP="006767AC" w14:paraId="4704A358" w14:textId="77777777">
      <w:pPr>
        <w:rPr>
          <w:b/>
        </w:rPr>
      </w:pPr>
      <w:r w:rsidRPr="003F0ACE">
        <w:rPr>
          <w:b/>
          <w:bCs/>
        </w:rPr>
        <w:t>MG LLC d/b/a TRANZACT</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TRANZACT</w:t>
      </w:r>
    </w:p>
    <w:p w:rsidR="006767AC" w:rsidRPr="00E515C2" w:rsidP="006767AC" w14:paraId="17FB514B" w14:textId="77777777">
      <w:pPr>
        <w:rPr>
          <w:b/>
        </w:rPr>
      </w:pPr>
      <w:r w:rsidRPr="003F0ACE">
        <w:rPr>
          <w:b/>
          <w:bCs/>
        </w:rPr>
        <w:t>Michael Worsham</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Worsham</w:t>
      </w:r>
    </w:p>
    <w:p w:rsidR="006767AC" w:rsidRPr="00351613" w:rsidP="006767AC" w14:paraId="1F6A7A6C" w14:textId="77777777">
      <w:r w:rsidRPr="00351613">
        <w:t>Mississippi Attorney General's Office</w:t>
      </w:r>
      <w:r w:rsidRPr="00351613">
        <w:tab/>
      </w:r>
      <w:r w:rsidRPr="00351613">
        <w:tab/>
      </w:r>
      <w:r w:rsidRPr="00351613">
        <w:tab/>
      </w:r>
      <w:r w:rsidRPr="00351613">
        <w:tab/>
      </w:r>
      <w:r w:rsidRPr="00351613">
        <w:tab/>
      </w:r>
      <w:r>
        <w:tab/>
      </w:r>
      <w:r w:rsidRPr="00351613">
        <w:t>Mississippi</w:t>
      </w:r>
    </w:p>
    <w:p w:rsidR="006767AC" w:rsidRPr="00E515C2" w:rsidP="006767AC" w14:paraId="52E74259" w14:textId="77777777">
      <w:pPr>
        <w:rPr>
          <w:b/>
        </w:rPr>
      </w:pPr>
      <w:r w:rsidRPr="003F0ACE">
        <w:rPr>
          <w:b/>
          <w:bCs/>
        </w:rPr>
        <w:t>Mortgage Bankers Association</w:t>
      </w:r>
      <w:r w:rsidRPr="00351613">
        <w:rPr>
          <w:b/>
        </w:rPr>
        <w:tab/>
      </w:r>
      <w:r w:rsidRPr="00351613">
        <w:rPr>
          <w:b/>
        </w:rPr>
        <w:tab/>
      </w:r>
      <w:r w:rsidRPr="00351613">
        <w:rPr>
          <w:b/>
        </w:rPr>
        <w:tab/>
      </w:r>
      <w:r w:rsidRPr="00351613">
        <w:rPr>
          <w:b/>
        </w:rPr>
        <w:tab/>
      </w:r>
      <w:r w:rsidRPr="00351613">
        <w:rPr>
          <w:b/>
        </w:rPr>
        <w:tab/>
      </w:r>
      <w:r>
        <w:rPr>
          <w:b/>
        </w:rPr>
        <w:tab/>
      </w:r>
      <w:r w:rsidRPr="003F0ACE">
        <w:rPr>
          <w:b/>
          <w:bCs/>
        </w:rPr>
        <w:t>MBA</w:t>
      </w:r>
    </w:p>
    <w:p w:rsidR="006767AC" w:rsidRPr="00351613" w:rsidP="006767AC" w14:paraId="0CE92441" w14:textId="77777777">
      <w:r w:rsidRPr="00351613">
        <w:t>National Association of Chain Drug Stores</w:t>
      </w:r>
      <w:r w:rsidRPr="00351613">
        <w:tab/>
      </w:r>
      <w:r w:rsidRPr="00351613">
        <w:tab/>
      </w:r>
      <w:r w:rsidRPr="00351613">
        <w:tab/>
      </w:r>
      <w:r w:rsidRPr="00351613">
        <w:tab/>
      </w:r>
      <w:r>
        <w:tab/>
      </w:r>
      <w:r w:rsidRPr="00351613">
        <w:t>NACDS</w:t>
      </w:r>
    </w:p>
    <w:p w:rsidR="006767AC" w:rsidRPr="00351613" w:rsidP="006767AC" w14:paraId="672095DF" w14:textId="77777777">
      <w:r w:rsidRPr="00351613">
        <w:t xml:space="preserve">National Association of </w:t>
      </w:r>
      <w:r w:rsidRPr="00351613">
        <w:t>Federally-Insured</w:t>
      </w:r>
      <w:r w:rsidRPr="00351613">
        <w:t xml:space="preserve"> Credit Unions</w:t>
      </w:r>
      <w:r w:rsidRPr="00351613">
        <w:tab/>
      </w:r>
      <w:r w:rsidRPr="00351613">
        <w:tab/>
      </w:r>
      <w:r w:rsidRPr="00351613">
        <w:tab/>
      </w:r>
      <w:r>
        <w:tab/>
      </w:r>
      <w:r w:rsidRPr="00351613">
        <w:t>NAFCU</w:t>
      </w:r>
    </w:p>
    <w:p w:rsidR="006767AC" w:rsidRPr="00E515C2" w:rsidP="006767AC" w14:paraId="6822780E" w14:textId="77777777">
      <w:pPr>
        <w:rPr>
          <w:b/>
        </w:rPr>
      </w:pPr>
      <w:r w:rsidRPr="003F0ACE">
        <w:rPr>
          <w:b/>
          <w:bCs/>
        </w:rPr>
        <w:t>National Association of State Utility Consumer Advocates</w:t>
      </w:r>
      <w:r w:rsidRPr="00351613">
        <w:rPr>
          <w:b/>
        </w:rPr>
        <w:tab/>
      </w:r>
      <w:r w:rsidRPr="00351613">
        <w:rPr>
          <w:b/>
        </w:rPr>
        <w:tab/>
      </w:r>
      <w:r>
        <w:rPr>
          <w:b/>
        </w:rPr>
        <w:tab/>
      </w:r>
      <w:r w:rsidRPr="003F0ACE">
        <w:rPr>
          <w:b/>
          <w:bCs/>
        </w:rPr>
        <w:t>NASUCA</w:t>
      </w:r>
    </w:p>
    <w:p w:rsidR="006767AC" w:rsidRPr="00351613" w:rsidP="006767AC" w14:paraId="0D64AE72" w14:textId="77777777">
      <w:r w:rsidRPr="00351613">
        <w:t>National Automobile Dealers Association</w:t>
      </w:r>
      <w:r w:rsidRPr="00351613">
        <w:tab/>
      </w:r>
      <w:r w:rsidRPr="00351613">
        <w:tab/>
      </w:r>
      <w:r w:rsidRPr="00351613">
        <w:tab/>
      </w:r>
      <w:r w:rsidRPr="00351613">
        <w:tab/>
      </w:r>
      <w:r>
        <w:tab/>
      </w:r>
      <w:r w:rsidRPr="00351613">
        <w:t>NADA</w:t>
      </w:r>
    </w:p>
    <w:p w:rsidR="006767AC" w:rsidRPr="00351613" w:rsidP="006767AC" w14:paraId="6A84FA77" w14:textId="77777777">
      <w:r w:rsidRPr="00351613">
        <w:t xml:space="preserve">National Consumer Law Center </w:t>
      </w:r>
      <w:r w:rsidRPr="00351613">
        <w:t>et</w:t>
      </w:r>
      <w:r w:rsidRPr="00351613">
        <w:t xml:space="preserve"> al.*</w:t>
      </w:r>
      <w:r w:rsidRPr="00351613">
        <w:tab/>
      </w:r>
      <w:r w:rsidRPr="00351613">
        <w:tab/>
      </w:r>
      <w:r w:rsidRPr="00351613">
        <w:tab/>
      </w:r>
      <w:r w:rsidRPr="00351613">
        <w:tab/>
      </w:r>
      <w:r w:rsidRPr="00351613">
        <w:tab/>
      </w:r>
      <w:r>
        <w:tab/>
      </w:r>
      <w:r w:rsidRPr="00351613">
        <w:t>NCLC</w:t>
      </w:r>
    </w:p>
    <w:p w:rsidR="006767AC" w:rsidRPr="00351613" w:rsidP="006767AC" w14:paraId="0A89AA22" w14:textId="77777777">
      <w:r w:rsidRPr="00351613">
        <w:t>National Council of Higher Education Resources</w:t>
      </w:r>
      <w:r w:rsidRPr="00351613">
        <w:tab/>
        <w:t>*</w:t>
      </w:r>
      <w:r w:rsidRPr="00351613">
        <w:tab/>
      </w:r>
      <w:r w:rsidRPr="00351613">
        <w:tab/>
      </w:r>
      <w:r w:rsidRPr="00351613">
        <w:tab/>
      </w:r>
      <w:r>
        <w:tab/>
      </w:r>
      <w:r w:rsidRPr="00351613">
        <w:t>NCHER</w:t>
      </w:r>
    </w:p>
    <w:p w:rsidR="006767AC" w:rsidRPr="00351613" w:rsidP="006767AC" w14:paraId="5E509A57" w14:textId="77777777">
      <w:r w:rsidRPr="00351613">
        <w:t>National Mortgage Servicing Association</w:t>
      </w:r>
      <w:r w:rsidRPr="00351613">
        <w:tab/>
      </w:r>
      <w:r w:rsidRPr="00351613">
        <w:tab/>
      </w:r>
      <w:r w:rsidRPr="00351613">
        <w:tab/>
      </w:r>
      <w:r w:rsidRPr="00351613">
        <w:tab/>
      </w:r>
      <w:r>
        <w:tab/>
      </w:r>
      <w:r w:rsidRPr="00351613">
        <w:t>NMSA</w:t>
      </w:r>
    </w:p>
    <w:p w:rsidR="006767AC" w:rsidRPr="00E515C2" w:rsidP="006767AC" w14:paraId="553DDA17" w14:textId="77777777">
      <w:pPr>
        <w:rPr>
          <w:b/>
        </w:rPr>
      </w:pPr>
      <w:r w:rsidRPr="003F0ACE">
        <w:rPr>
          <w:b/>
          <w:bCs/>
        </w:rPr>
        <w:t>National Student Loan Program, Inc.</w:t>
      </w:r>
      <w:r w:rsidRPr="00351613">
        <w:rPr>
          <w:b/>
        </w:rPr>
        <w:tab/>
      </w:r>
      <w:r w:rsidRPr="00351613">
        <w:rPr>
          <w:b/>
        </w:rPr>
        <w:tab/>
      </w:r>
      <w:r w:rsidRPr="00351613">
        <w:rPr>
          <w:b/>
        </w:rPr>
        <w:tab/>
      </w:r>
      <w:r w:rsidRPr="00351613">
        <w:rPr>
          <w:b/>
        </w:rPr>
        <w:tab/>
      </w:r>
      <w:r w:rsidRPr="00351613">
        <w:rPr>
          <w:b/>
        </w:rPr>
        <w:tab/>
      </w:r>
      <w:r>
        <w:rPr>
          <w:b/>
        </w:rPr>
        <w:tab/>
      </w:r>
      <w:r w:rsidRPr="003F0ACE">
        <w:rPr>
          <w:b/>
          <w:bCs/>
        </w:rPr>
        <w:t>NSLP</w:t>
      </w:r>
    </w:p>
    <w:p w:rsidR="006767AC" w:rsidRPr="00351613" w:rsidP="006767AC" w14:paraId="40E48011" w14:textId="77777777">
      <w:r w:rsidRPr="00351613">
        <w:t>NCTA - The Internet &amp; Television Association</w:t>
      </w:r>
      <w:r w:rsidRPr="00351613">
        <w:tab/>
      </w:r>
      <w:r w:rsidRPr="00351613">
        <w:tab/>
      </w:r>
      <w:r w:rsidRPr="00351613">
        <w:tab/>
      </w:r>
      <w:r w:rsidRPr="00351613">
        <w:tab/>
      </w:r>
      <w:r>
        <w:tab/>
      </w:r>
      <w:r w:rsidRPr="00351613">
        <w:t>NCTA</w:t>
      </w:r>
    </w:p>
    <w:p w:rsidR="006767AC" w:rsidRPr="00351613" w:rsidP="006767AC" w14:paraId="1911F29B" w14:textId="77777777">
      <w:r w:rsidRPr="00351613">
        <w:t>News Media Alliance</w:t>
      </w:r>
      <w:r w:rsidRPr="00351613">
        <w:tab/>
      </w:r>
      <w:r w:rsidRPr="00351613">
        <w:tab/>
      </w:r>
      <w:r w:rsidRPr="00351613">
        <w:tab/>
      </w:r>
      <w:r w:rsidRPr="00351613">
        <w:tab/>
      </w:r>
      <w:r w:rsidRPr="00351613">
        <w:tab/>
      </w:r>
      <w:r w:rsidRPr="00351613">
        <w:tab/>
      </w:r>
      <w:r w:rsidRPr="00351613">
        <w:tab/>
      </w:r>
      <w:r>
        <w:tab/>
      </w:r>
      <w:r w:rsidRPr="00351613">
        <w:t>NMA</w:t>
      </w:r>
    </w:p>
    <w:p w:rsidR="006767AC" w:rsidRPr="00351613" w:rsidP="006767AC" w14:paraId="6094E366" w14:textId="77777777">
      <w:r w:rsidRPr="00351613">
        <w:t>Noble Systems Corporation*</w:t>
      </w:r>
      <w:r w:rsidRPr="00351613">
        <w:tab/>
      </w:r>
      <w:r w:rsidRPr="00351613">
        <w:tab/>
      </w:r>
      <w:r w:rsidRPr="00351613">
        <w:tab/>
      </w:r>
      <w:r w:rsidRPr="00351613">
        <w:tab/>
      </w:r>
      <w:r w:rsidRPr="00351613">
        <w:tab/>
      </w:r>
      <w:r w:rsidRPr="00351613">
        <w:tab/>
      </w:r>
      <w:r>
        <w:tab/>
      </w:r>
      <w:r w:rsidRPr="00351613">
        <w:t>Noble Systems</w:t>
      </w:r>
    </w:p>
    <w:p w:rsidR="006767AC" w:rsidRPr="00351613" w:rsidP="006767AC" w14:paraId="4AE497A5" w14:textId="77777777">
      <w:r w:rsidRPr="00351613">
        <w:t>Ohio Credit Union League</w:t>
      </w:r>
      <w:r w:rsidRPr="00351613">
        <w:tab/>
      </w:r>
      <w:r w:rsidRPr="00351613">
        <w:tab/>
      </w:r>
      <w:r w:rsidRPr="00351613">
        <w:tab/>
      </w:r>
      <w:r w:rsidRPr="00351613">
        <w:tab/>
      </w:r>
      <w:r w:rsidRPr="00351613">
        <w:tab/>
      </w:r>
      <w:r w:rsidRPr="00351613">
        <w:tab/>
      </w:r>
      <w:r>
        <w:tab/>
      </w:r>
      <w:r w:rsidRPr="00351613">
        <w:t>Ohio Credit</w:t>
      </w:r>
    </w:p>
    <w:p w:rsidR="006767AC" w:rsidRPr="00351613" w:rsidP="006767AC" w14:paraId="3E9A7BBE" w14:textId="77777777">
      <w:r w:rsidRPr="00351613">
        <w:t>PRA Group, Inc.</w:t>
      </w:r>
      <w:r w:rsidRPr="00351613">
        <w:tab/>
      </w:r>
      <w:r w:rsidRPr="00351613">
        <w:tab/>
      </w:r>
      <w:r w:rsidRPr="00351613">
        <w:tab/>
      </w:r>
      <w:r w:rsidRPr="00351613">
        <w:tab/>
      </w:r>
      <w:r w:rsidRPr="00351613">
        <w:tab/>
      </w:r>
      <w:r w:rsidRPr="00351613">
        <w:tab/>
      </w:r>
      <w:r w:rsidRPr="00351613">
        <w:tab/>
      </w:r>
      <w:r>
        <w:tab/>
      </w:r>
      <w:r w:rsidRPr="00351613">
        <w:t>PRA</w:t>
      </w:r>
      <w:r>
        <w:t xml:space="preserve"> Group</w:t>
      </w:r>
    </w:p>
    <w:p w:rsidR="006767AC" w:rsidRPr="00351613" w:rsidP="006767AC" w14:paraId="478A09F4" w14:textId="77777777">
      <w:r w:rsidRPr="00351613">
        <w:t>Professional Association for Customer Engagement</w:t>
      </w:r>
      <w:r w:rsidRPr="00351613">
        <w:tab/>
      </w:r>
      <w:r w:rsidRPr="00351613">
        <w:tab/>
      </w:r>
      <w:r w:rsidRPr="00351613">
        <w:tab/>
      </w:r>
      <w:r>
        <w:tab/>
      </w:r>
      <w:r w:rsidRPr="00351613">
        <w:t>PACE</w:t>
      </w:r>
    </w:p>
    <w:p w:rsidR="006767AC" w:rsidRPr="00351613" w:rsidP="006767AC" w14:paraId="15ACBEFE" w14:textId="77777777">
      <w:r w:rsidRPr="00351613">
        <w:t>Professional Services Council</w:t>
      </w:r>
      <w:r w:rsidRPr="00351613">
        <w:tab/>
      </w:r>
      <w:r w:rsidRPr="00351613">
        <w:tab/>
      </w:r>
      <w:r w:rsidRPr="00351613">
        <w:tab/>
      </w:r>
      <w:r w:rsidRPr="00351613">
        <w:tab/>
      </w:r>
      <w:r w:rsidRPr="00351613">
        <w:tab/>
      </w:r>
      <w:r w:rsidRPr="00351613">
        <w:tab/>
      </w:r>
      <w:r>
        <w:tab/>
      </w:r>
      <w:r w:rsidRPr="00351613">
        <w:t>PSC</w:t>
      </w:r>
    </w:p>
    <w:p w:rsidR="006767AC" w:rsidRPr="00351613" w:rsidP="006767AC" w14:paraId="1F27D896" w14:textId="77777777">
      <w:r w:rsidRPr="00351613">
        <w:t>Quicken Loans</w:t>
      </w:r>
      <w:r w:rsidRPr="00351613">
        <w:tab/>
      </w:r>
      <w:r w:rsidRPr="00351613">
        <w:tab/>
      </w:r>
      <w:r w:rsidRPr="00351613">
        <w:tab/>
      </w:r>
      <w:r w:rsidRPr="00351613">
        <w:tab/>
      </w:r>
      <w:r w:rsidRPr="00351613">
        <w:tab/>
      </w:r>
      <w:r w:rsidRPr="00351613">
        <w:tab/>
      </w:r>
      <w:r w:rsidRPr="00351613">
        <w:tab/>
      </w:r>
      <w:r w:rsidRPr="00351613">
        <w:tab/>
      </w:r>
      <w:r>
        <w:tab/>
      </w:r>
      <w:r w:rsidRPr="00351613">
        <w:t>Quicken</w:t>
      </w:r>
    </w:p>
    <w:p w:rsidR="006767AC" w:rsidRPr="00351613" w:rsidP="006767AC" w14:paraId="56ACC2D0" w14:textId="77777777">
      <w:r w:rsidRPr="00351613">
        <w:t>Randolph-Brooks Federal Credit Union</w:t>
      </w:r>
      <w:r w:rsidRPr="00351613">
        <w:tab/>
      </w:r>
      <w:r w:rsidRPr="00351613">
        <w:tab/>
      </w:r>
      <w:r w:rsidRPr="00351613">
        <w:tab/>
      </w:r>
      <w:r w:rsidRPr="00351613">
        <w:tab/>
      </w:r>
      <w:r w:rsidRPr="00351613">
        <w:tab/>
      </w:r>
      <w:r>
        <w:tab/>
      </w:r>
      <w:r w:rsidRPr="00351613">
        <w:t>RBFCU</w:t>
      </w:r>
    </w:p>
    <w:p w:rsidR="006767AC" w:rsidRPr="00351613" w:rsidP="006767AC" w14:paraId="3CBA9AFA" w14:textId="77777777">
      <w:r w:rsidRPr="00351613">
        <w:t>Research Triangle Institute d/b/a RTI International</w:t>
      </w:r>
      <w:r w:rsidRPr="00351613">
        <w:tab/>
      </w:r>
      <w:r w:rsidRPr="00351613">
        <w:tab/>
      </w:r>
      <w:r w:rsidRPr="00351613">
        <w:tab/>
      </w:r>
      <w:r>
        <w:tab/>
      </w:r>
      <w:r w:rsidRPr="00351613">
        <w:t>RTI</w:t>
      </w:r>
    </w:p>
    <w:p w:rsidR="006767AC" w:rsidRPr="00351613" w:rsidP="006767AC" w14:paraId="5DD8347F" w14:textId="77777777">
      <w:r w:rsidRPr="00351613">
        <w:t>Restaurant Law Center</w:t>
      </w:r>
      <w:r w:rsidRPr="00351613">
        <w:tab/>
      </w:r>
      <w:r w:rsidRPr="00351613">
        <w:tab/>
      </w:r>
      <w:r w:rsidRPr="00351613">
        <w:tab/>
      </w:r>
      <w:r w:rsidRPr="00351613">
        <w:tab/>
      </w:r>
      <w:r w:rsidRPr="00351613">
        <w:tab/>
      </w:r>
      <w:r w:rsidRPr="00351613">
        <w:tab/>
      </w:r>
      <w:r>
        <w:tab/>
      </w:r>
      <w:r>
        <w:tab/>
      </w:r>
      <w:r w:rsidRPr="00351613">
        <w:t>RLC</w:t>
      </w:r>
    </w:p>
    <w:p w:rsidR="006767AC" w:rsidRPr="00351613" w:rsidP="006767AC" w14:paraId="4A62D782" w14:textId="77777777">
      <w:r w:rsidRPr="00351613">
        <w:t>Retail Industry Leaders Association</w:t>
      </w:r>
      <w:r w:rsidRPr="00351613">
        <w:tab/>
      </w:r>
      <w:r w:rsidRPr="00351613">
        <w:tab/>
      </w:r>
      <w:r w:rsidRPr="00351613">
        <w:tab/>
      </w:r>
      <w:r w:rsidRPr="00351613">
        <w:tab/>
      </w:r>
      <w:r w:rsidRPr="00351613">
        <w:tab/>
      </w:r>
      <w:r>
        <w:tab/>
      </w:r>
      <w:r w:rsidRPr="00351613">
        <w:t>RILA</w:t>
      </w:r>
    </w:p>
    <w:p w:rsidR="006767AC" w:rsidRPr="00351613" w:rsidP="006767AC" w14:paraId="4CF27B3B" w14:textId="77777777">
      <w:r w:rsidRPr="00351613">
        <w:t>RingCentral, Inc.</w:t>
      </w:r>
      <w:r w:rsidRPr="00351613">
        <w:tab/>
      </w:r>
      <w:r w:rsidRPr="00351613">
        <w:tab/>
      </w:r>
      <w:r w:rsidRPr="00351613">
        <w:tab/>
      </w:r>
      <w:r w:rsidRPr="00351613">
        <w:tab/>
      </w:r>
      <w:r w:rsidRPr="00351613">
        <w:tab/>
      </w:r>
      <w:r w:rsidRPr="00351613">
        <w:tab/>
      </w:r>
      <w:r w:rsidRPr="00351613">
        <w:tab/>
      </w:r>
      <w:r>
        <w:tab/>
      </w:r>
      <w:r w:rsidRPr="00351613">
        <w:t>RingCentral</w:t>
      </w:r>
    </w:p>
    <w:p w:rsidR="006767AC" w:rsidRPr="00E515C2" w:rsidP="006767AC" w14:paraId="0D6E5A95" w14:textId="77777777">
      <w:pPr>
        <w:rPr>
          <w:b/>
        </w:rPr>
      </w:pPr>
      <w:r w:rsidRPr="003F0ACE">
        <w:rPr>
          <w:b/>
          <w:bCs/>
        </w:rPr>
        <w:t>Ronald Wilcox</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Wilcox</w:t>
      </w:r>
    </w:p>
    <w:p w:rsidR="006767AC" w:rsidRPr="00351613" w:rsidP="006767AC" w14:paraId="5D95B8EE" w14:textId="77777777">
      <w:r w:rsidRPr="00351613">
        <w:t>Rushmore Loan Management Services LLC</w:t>
      </w:r>
      <w:r w:rsidRPr="00351613">
        <w:tab/>
      </w:r>
      <w:r w:rsidRPr="00351613">
        <w:tab/>
      </w:r>
      <w:r w:rsidRPr="00351613">
        <w:tab/>
      </w:r>
      <w:r w:rsidRPr="00351613">
        <w:tab/>
      </w:r>
      <w:r>
        <w:tab/>
      </w:r>
      <w:r w:rsidRPr="00351613">
        <w:t xml:space="preserve">Rushmore </w:t>
      </w:r>
    </w:p>
    <w:p w:rsidR="006767AC" w:rsidRPr="00E515C2" w:rsidP="006767AC" w14:paraId="53E46225" w14:textId="77777777">
      <w:pPr>
        <w:rPr>
          <w:b/>
        </w:rPr>
      </w:pPr>
      <w:r w:rsidRPr="003F0ACE">
        <w:rPr>
          <w:b/>
          <w:bCs/>
        </w:rPr>
        <w:t>SELCO Community Credit Union</w:t>
      </w:r>
      <w:r w:rsidRPr="00351613">
        <w:rPr>
          <w:b/>
        </w:rPr>
        <w:tab/>
      </w:r>
      <w:r w:rsidRPr="00351613">
        <w:rPr>
          <w:b/>
        </w:rPr>
        <w:tab/>
      </w:r>
      <w:r w:rsidRPr="00351613">
        <w:rPr>
          <w:b/>
        </w:rPr>
        <w:tab/>
      </w:r>
      <w:r w:rsidRPr="00351613">
        <w:rPr>
          <w:b/>
        </w:rPr>
        <w:tab/>
      </w:r>
      <w:r w:rsidRPr="00351613">
        <w:rPr>
          <w:b/>
        </w:rPr>
        <w:tab/>
      </w:r>
      <w:r>
        <w:rPr>
          <w:b/>
        </w:rPr>
        <w:tab/>
      </w:r>
      <w:r w:rsidRPr="003F0ACE">
        <w:rPr>
          <w:b/>
          <w:bCs/>
        </w:rPr>
        <w:t>SELCO</w:t>
      </w:r>
    </w:p>
    <w:p w:rsidR="006767AC" w:rsidRPr="00351613" w:rsidP="006767AC" w14:paraId="7B95FD8E" w14:textId="77777777">
      <w:r w:rsidRPr="00351613">
        <w:t>Selene Finance LP</w:t>
      </w:r>
      <w:r w:rsidRPr="00351613">
        <w:tab/>
      </w:r>
      <w:r w:rsidRPr="00351613">
        <w:tab/>
      </w:r>
      <w:r w:rsidRPr="00351613">
        <w:tab/>
      </w:r>
      <w:r w:rsidRPr="00351613">
        <w:tab/>
      </w:r>
      <w:r w:rsidRPr="00351613">
        <w:tab/>
      </w:r>
      <w:r w:rsidRPr="00351613">
        <w:tab/>
      </w:r>
      <w:r w:rsidRPr="00351613">
        <w:tab/>
      </w:r>
      <w:r>
        <w:tab/>
      </w:r>
      <w:r w:rsidRPr="00351613">
        <w:t>Selene</w:t>
      </w:r>
    </w:p>
    <w:p w:rsidR="006767AC" w:rsidRPr="00351613" w:rsidP="006767AC" w14:paraId="442D21CD" w14:textId="77777777">
      <w:r w:rsidRPr="00351613">
        <w:t>Sen. Edward J. Markey et al.*</w:t>
      </w:r>
      <w:r w:rsidRPr="00351613">
        <w:tab/>
      </w:r>
      <w:r w:rsidRPr="00351613">
        <w:tab/>
      </w:r>
      <w:r w:rsidRPr="00351613">
        <w:tab/>
      </w:r>
      <w:r w:rsidRPr="00351613">
        <w:tab/>
      </w:r>
      <w:r w:rsidRPr="00351613">
        <w:tab/>
      </w:r>
      <w:r w:rsidRPr="00351613">
        <w:tab/>
      </w:r>
      <w:r>
        <w:tab/>
      </w:r>
      <w:r w:rsidRPr="00351613">
        <w:t>Sen. Markey</w:t>
      </w:r>
    </w:p>
    <w:p w:rsidR="006767AC" w:rsidRPr="00E515C2" w:rsidP="006767AC" w14:paraId="1276A0FF" w14:textId="77777777">
      <w:pPr>
        <w:rPr>
          <w:b/>
        </w:rPr>
      </w:pPr>
      <w:r w:rsidRPr="003F0ACE">
        <w:rPr>
          <w:b/>
          <w:bCs/>
        </w:rPr>
        <w:t>Sen. John Thune et al.</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Sen. Thune</w:t>
      </w:r>
    </w:p>
    <w:p w:rsidR="006767AC" w:rsidRPr="00351613" w:rsidP="006767AC" w14:paraId="6C0B2336" w14:textId="77777777">
      <w:r w:rsidRPr="00351613">
        <w:t xml:space="preserve">Sherry </w:t>
      </w:r>
      <w:r w:rsidRPr="00351613">
        <w:t>Tunender</w:t>
      </w:r>
      <w:r w:rsidRPr="00351613">
        <w:tab/>
      </w:r>
      <w:r w:rsidRPr="00351613">
        <w:tab/>
      </w:r>
      <w:r w:rsidRPr="00351613">
        <w:tab/>
      </w:r>
      <w:r w:rsidRPr="00351613">
        <w:tab/>
      </w:r>
      <w:r w:rsidRPr="00351613">
        <w:tab/>
      </w:r>
      <w:r w:rsidRPr="00351613">
        <w:tab/>
      </w:r>
      <w:r w:rsidRPr="00351613">
        <w:tab/>
      </w:r>
      <w:r>
        <w:tab/>
      </w:r>
      <w:r w:rsidRPr="00351613">
        <w:t>Tunender</w:t>
      </w:r>
    </w:p>
    <w:p w:rsidR="006767AC" w:rsidRPr="00351613" w:rsidP="006767AC" w14:paraId="0252C0E3" w14:textId="77777777">
      <w:r w:rsidRPr="00351613">
        <w:t>Sirius XM Radio Inc.*</w:t>
      </w:r>
      <w:r w:rsidRPr="00351613">
        <w:tab/>
      </w:r>
      <w:r w:rsidRPr="00351613">
        <w:tab/>
      </w:r>
      <w:r w:rsidRPr="00351613">
        <w:tab/>
      </w:r>
      <w:r w:rsidRPr="00351613">
        <w:tab/>
      </w:r>
      <w:r w:rsidRPr="00351613">
        <w:tab/>
      </w:r>
      <w:r w:rsidRPr="00351613">
        <w:tab/>
      </w:r>
      <w:r w:rsidRPr="00351613">
        <w:tab/>
      </w:r>
      <w:r>
        <w:tab/>
      </w:r>
      <w:r w:rsidRPr="00351613">
        <w:t>Sirius XM</w:t>
      </w:r>
    </w:p>
    <w:p w:rsidR="006767AC" w:rsidRPr="00E515C2" w:rsidP="006767AC" w14:paraId="3BBE7817" w14:textId="77777777">
      <w:pPr>
        <w:rPr>
          <w:b/>
        </w:rPr>
      </w:pPr>
      <w:r w:rsidRPr="003F0ACE">
        <w:rPr>
          <w:b/>
          <w:bCs/>
        </w:rPr>
        <w:t>Stewart N. Abramson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Abramson</w:t>
      </w:r>
    </w:p>
    <w:p w:rsidR="006767AC" w:rsidRPr="00E515C2" w:rsidP="006767AC" w14:paraId="1511E9F8" w14:textId="77777777">
      <w:pPr>
        <w:rPr>
          <w:b/>
        </w:rPr>
      </w:pPr>
      <w:r w:rsidRPr="003F0ACE">
        <w:rPr>
          <w:b/>
          <w:bCs/>
        </w:rPr>
        <w:t>SUE THE COLLECTOR</w:t>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SUE</w:t>
      </w:r>
    </w:p>
    <w:p w:rsidR="006767AC" w:rsidRPr="00E515C2" w:rsidP="006767AC" w14:paraId="6B4990E1" w14:textId="77777777">
      <w:pPr>
        <w:rPr>
          <w:b/>
        </w:rPr>
      </w:pPr>
      <w:r w:rsidRPr="003F0ACE">
        <w:rPr>
          <w:b/>
          <w:bCs/>
        </w:rPr>
        <w:t>Suncoast Credit Union</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Suncoast</w:t>
      </w:r>
    </w:p>
    <w:p w:rsidR="006767AC" w:rsidRPr="00E515C2" w:rsidP="006767AC" w14:paraId="0047F404" w14:textId="77777777">
      <w:pPr>
        <w:rPr>
          <w:b/>
        </w:rPr>
      </w:pPr>
      <w:r w:rsidRPr="003F0ACE">
        <w:rPr>
          <w:b/>
          <w:bCs/>
        </w:rPr>
        <w:t>Syed Ali Saeed</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Saeed</w:t>
      </w:r>
    </w:p>
    <w:p w:rsidR="006767AC" w:rsidRPr="00351613" w:rsidP="006767AC" w14:paraId="6368DCB2" w14:textId="77777777">
      <w:r w:rsidRPr="00351613">
        <w:t>Syniverse Technologies</w:t>
      </w:r>
      <w:r w:rsidRPr="00351613">
        <w:tab/>
      </w:r>
      <w:r w:rsidRPr="00351613">
        <w:tab/>
      </w:r>
      <w:r w:rsidRPr="00351613">
        <w:tab/>
      </w:r>
      <w:r w:rsidRPr="00351613">
        <w:tab/>
      </w:r>
      <w:r w:rsidRPr="00351613">
        <w:tab/>
      </w:r>
      <w:r w:rsidRPr="00351613">
        <w:tab/>
      </w:r>
      <w:r w:rsidRPr="00351613">
        <w:tab/>
      </w:r>
      <w:r>
        <w:tab/>
      </w:r>
      <w:r w:rsidRPr="00351613">
        <w:t>Syniverse</w:t>
      </w:r>
    </w:p>
    <w:p w:rsidR="006767AC" w:rsidRPr="00351613" w:rsidP="006767AC" w14:paraId="48E78F0D" w14:textId="77777777">
      <w:r w:rsidRPr="00351613">
        <w:t>Tatango</w:t>
      </w:r>
      <w:r w:rsidRPr="00351613">
        <w:t>, Inc.</w:t>
      </w:r>
      <w:r w:rsidRPr="00351613">
        <w:tab/>
      </w:r>
      <w:r w:rsidRPr="00351613">
        <w:tab/>
      </w:r>
      <w:r w:rsidRPr="00351613">
        <w:tab/>
      </w:r>
      <w:r w:rsidRPr="00351613">
        <w:tab/>
      </w:r>
      <w:r w:rsidRPr="00351613">
        <w:tab/>
      </w:r>
      <w:r w:rsidRPr="00351613">
        <w:tab/>
      </w:r>
      <w:r w:rsidRPr="00351613">
        <w:tab/>
      </w:r>
      <w:r w:rsidRPr="00351613">
        <w:tab/>
      </w:r>
      <w:r>
        <w:tab/>
      </w:r>
      <w:r w:rsidRPr="00351613">
        <w:t>Tatango</w:t>
      </w:r>
    </w:p>
    <w:p w:rsidR="006767AC" w:rsidRPr="00351613" w:rsidP="006767AC" w14:paraId="7667CDA5" w14:textId="77777777">
      <w:r w:rsidRPr="00351613">
        <w:t>TCN Inc.</w:t>
      </w:r>
      <w:r w:rsidRPr="00351613">
        <w:tab/>
      </w:r>
      <w:r w:rsidRPr="00351613">
        <w:tab/>
      </w:r>
      <w:r w:rsidRPr="00351613">
        <w:tab/>
      </w:r>
      <w:r w:rsidRPr="00351613">
        <w:tab/>
      </w:r>
      <w:r w:rsidRPr="00351613">
        <w:tab/>
      </w:r>
      <w:r w:rsidRPr="00351613">
        <w:tab/>
      </w:r>
      <w:r w:rsidRPr="00351613">
        <w:tab/>
      </w:r>
      <w:r w:rsidRPr="00351613">
        <w:tab/>
      </w:r>
      <w:r>
        <w:tab/>
      </w:r>
      <w:r w:rsidRPr="00351613">
        <w:t>TCN</w:t>
      </w:r>
    </w:p>
    <w:p w:rsidR="006767AC" w:rsidRPr="00351613" w:rsidP="006767AC" w14:paraId="074930AD" w14:textId="77777777">
      <w:r w:rsidRPr="00351613">
        <w:t>TechFreedom</w:t>
      </w:r>
      <w:r w:rsidRPr="00351613">
        <w:t>*</w:t>
      </w:r>
      <w:r w:rsidRPr="00351613">
        <w:tab/>
      </w:r>
      <w:r w:rsidRPr="00351613">
        <w:tab/>
      </w:r>
      <w:r w:rsidRPr="00351613">
        <w:tab/>
      </w:r>
      <w:r w:rsidRPr="00351613">
        <w:tab/>
      </w:r>
      <w:r w:rsidRPr="00351613">
        <w:tab/>
      </w:r>
      <w:r w:rsidRPr="00351613">
        <w:tab/>
      </w:r>
      <w:r w:rsidRPr="00351613">
        <w:tab/>
      </w:r>
      <w:r w:rsidRPr="00351613">
        <w:tab/>
      </w:r>
      <w:r>
        <w:tab/>
      </w:r>
      <w:r w:rsidRPr="00351613">
        <w:t>TechFreedom</w:t>
      </w:r>
    </w:p>
    <w:p w:rsidR="006767AC" w:rsidRPr="00351613" w:rsidP="006767AC" w14:paraId="1DDD0889" w14:textId="77777777">
      <w:r w:rsidRPr="00351613">
        <w:t>The Insurance Coalition</w:t>
      </w:r>
      <w:r w:rsidRPr="00351613">
        <w:tab/>
      </w:r>
      <w:r w:rsidRPr="00351613">
        <w:tab/>
      </w:r>
      <w:r w:rsidRPr="00351613">
        <w:tab/>
      </w:r>
      <w:r w:rsidRPr="00351613">
        <w:tab/>
      </w:r>
      <w:r w:rsidRPr="00351613">
        <w:tab/>
      </w:r>
      <w:r w:rsidRPr="00351613">
        <w:tab/>
      </w:r>
      <w:r w:rsidRPr="00351613">
        <w:tab/>
      </w:r>
      <w:r>
        <w:tab/>
      </w:r>
      <w:r w:rsidRPr="00351613">
        <w:t>Insurance</w:t>
      </w:r>
    </w:p>
    <w:p w:rsidR="006767AC" w:rsidRPr="00351613" w:rsidP="006767AC" w14:paraId="439D1F46" w14:textId="77777777">
      <w:r w:rsidRPr="00351613">
        <w:t xml:space="preserve">The National Opinion </w:t>
      </w:r>
      <w:r w:rsidRPr="00351613">
        <w:t>Reseach</w:t>
      </w:r>
      <w:r w:rsidRPr="00351613">
        <w:t xml:space="preserve"> Center</w:t>
      </w:r>
      <w:r w:rsidRPr="00351613">
        <w:tab/>
      </w:r>
      <w:r w:rsidRPr="00351613">
        <w:tab/>
      </w:r>
      <w:r w:rsidRPr="00351613">
        <w:tab/>
      </w:r>
      <w:r w:rsidRPr="00351613">
        <w:tab/>
      </w:r>
      <w:r w:rsidRPr="00351613">
        <w:tab/>
      </w:r>
      <w:r>
        <w:tab/>
      </w:r>
      <w:r w:rsidRPr="00351613">
        <w:t>NORC</w:t>
      </w:r>
    </w:p>
    <w:p w:rsidR="006767AC" w:rsidRPr="00351613" w:rsidP="006767AC" w14:paraId="7DC5A069" w14:textId="77777777">
      <w:r w:rsidRPr="00351613">
        <w:t>The Retail Energy Supply Association</w:t>
      </w:r>
      <w:r w:rsidRPr="00351613">
        <w:tab/>
      </w:r>
      <w:r w:rsidRPr="00351613">
        <w:tab/>
      </w:r>
      <w:r w:rsidRPr="00351613">
        <w:tab/>
      </w:r>
      <w:r w:rsidRPr="00351613">
        <w:tab/>
      </w:r>
      <w:r w:rsidRPr="00351613">
        <w:tab/>
      </w:r>
      <w:r>
        <w:tab/>
      </w:r>
      <w:r w:rsidRPr="00351613">
        <w:t>RESA</w:t>
      </w:r>
    </w:p>
    <w:p w:rsidR="006767AC" w:rsidRPr="00351613" w:rsidP="006767AC" w14:paraId="21A7D023" w14:textId="77777777">
      <w:r w:rsidRPr="00351613">
        <w:t>The Student Loan Servicing Alliance, Navient Corp., Nelnet Servicing,</w:t>
      </w:r>
    </w:p>
    <w:p w:rsidR="006767AC" w:rsidRPr="00351613" w:rsidP="006767AC" w14:paraId="3DE88916" w14:textId="77777777">
      <w:r w:rsidRPr="00351613">
        <w:t>LLC, The Pennsylvania Higher Education Assistance Agency*</w:t>
      </w:r>
      <w:r w:rsidRPr="00351613">
        <w:tab/>
      </w:r>
      <w:r>
        <w:tab/>
      </w:r>
      <w:r>
        <w:tab/>
      </w:r>
      <w:r w:rsidRPr="00351613">
        <w:t>SLSA et al.</w:t>
      </w:r>
    </w:p>
    <w:p w:rsidR="006767AC" w:rsidRPr="00E515C2" w:rsidP="006767AC" w14:paraId="1CDFD794" w14:textId="77777777">
      <w:pPr>
        <w:rPr>
          <w:b/>
        </w:rPr>
      </w:pPr>
      <w:r w:rsidRPr="003F0ACE">
        <w:rPr>
          <w:b/>
          <w:bCs/>
        </w:rPr>
        <w:t>Todd C. Bank</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Bank</w:t>
      </w:r>
    </w:p>
    <w:p w:rsidR="006767AC" w:rsidRPr="00351613" w:rsidP="006767AC" w14:paraId="525E0049" w14:textId="77777777">
      <w:r w:rsidRPr="00351613">
        <w:t xml:space="preserve">U.S. Chamber Institute for Legal Reform, U.S. Chamber Technology </w:t>
      </w:r>
    </w:p>
    <w:p w:rsidR="006767AC" w:rsidRPr="00351613" w:rsidP="006767AC" w14:paraId="7B3DE135" w14:textId="77777777">
      <w:r w:rsidRPr="00351613">
        <w:t>Engagement Center*</w:t>
      </w:r>
      <w:r w:rsidRPr="00351613">
        <w:tab/>
      </w:r>
      <w:r w:rsidRPr="00351613">
        <w:tab/>
      </w:r>
      <w:r w:rsidRPr="00351613">
        <w:tab/>
      </w:r>
      <w:r w:rsidRPr="00351613">
        <w:tab/>
      </w:r>
      <w:r w:rsidRPr="00351613">
        <w:tab/>
      </w:r>
      <w:r w:rsidRPr="00351613">
        <w:tab/>
      </w:r>
      <w:r>
        <w:tab/>
      </w:r>
      <w:r>
        <w:tab/>
      </w:r>
      <w:r w:rsidRPr="00351613">
        <w:t>U.S. Chamber</w:t>
      </w:r>
    </w:p>
    <w:p w:rsidR="006767AC" w:rsidRPr="00351613" w:rsidP="006767AC" w14:paraId="0FF5B5A7" w14:textId="77777777">
      <w:r w:rsidRPr="00351613">
        <w:t>UnitedHealth Group</w:t>
      </w:r>
      <w:r w:rsidRPr="00351613">
        <w:tab/>
      </w:r>
      <w:r w:rsidRPr="00351613">
        <w:tab/>
      </w:r>
      <w:r w:rsidRPr="00351613">
        <w:tab/>
      </w:r>
      <w:r w:rsidRPr="00351613">
        <w:tab/>
      </w:r>
      <w:r w:rsidRPr="00351613">
        <w:tab/>
      </w:r>
      <w:r w:rsidRPr="00351613">
        <w:tab/>
      </w:r>
      <w:r w:rsidRPr="00351613">
        <w:tab/>
      </w:r>
      <w:r>
        <w:tab/>
      </w:r>
      <w:r w:rsidRPr="00351613">
        <w:t>UHG</w:t>
      </w:r>
    </w:p>
    <w:p w:rsidR="006767AC" w:rsidRPr="00E515C2" w:rsidP="006767AC" w14:paraId="604683D5" w14:textId="77777777">
      <w:pPr>
        <w:rPr>
          <w:b/>
        </w:rPr>
      </w:pPr>
      <w:r w:rsidRPr="003F0ACE">
        <w:rPr>
          <w:b/>
          <w:bCs/>
        </w:rPr>
        <w:t>Vibes Media, LLC</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Vibes</w:t>
      </w:r>
    </w:p>
    <w:p w:rsidR="006767AC" w:rsidRPr="00E515C2" w:rsidP="006767AC" w14:paraId="0C3C7D1D" w14:textId="77777777">
      <w:pPr>
        <w:rPr>
          <w:b/>
        </w:rPr>
      </w:pPr>
      <w:r w:rsidRPr="003F0ACE">
        <w:rPr>
          <w:b/>
          <w:bCs/>
        </w:rPr>
        <w:t>Vincent Lucas</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Lucas</w:t>
      </w:r>
    </w:p>
    <w:p w:rsidR="006767AC" w:rsidRPr="00351613" w:rsidP="006767AC" w14:paraId="0798893F" w14:textId="77777777">
      <w:r w:rsidRPr="00351613">
        <w:t>West Interactive Services Corporation, West Telecom Services, LLC</w:t>
      </w:r>
      <w:r w:rsidRPr="00351613">
        <w:tab/>
      </w:r>
      <w:r>
        <w:tab/>
      </w:r>
      <w:r w:rsidRPr="00351613">
        <w:t>West</w:t>
      </w:r>
    </w:p>
    <w:p w:rsidR="006767AC" w:rsidRPr="00E515C2" w:rsidP="006767AC" w14:paraId="01D5E2D9" w14:textId="77777777">
      <w:pPr>
        <w:rPr>
          <w:b/>
        </w:rPr>
      </w:pPr>
      <w:r w:rsidRPr="003F0ACE">
        <w:rPr>
          <w:b/>
          <w:bCs/>
        </w:rPr>
        <w:t>Wolters Kluwer</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Wolters Kluwer</w:t>
      </w:r>
    </w:p>
    <w:p w:rsidR="006767AC" w:rsidRPr="00E515C2" w:rsidP="006767AC" w14:paraId="056C51B6" w14:textId="77777777">
      <w:pPr>
        <w:rPr>
          <w:b/>
        </w:rPr>
      </w:pPr>
      <w:r w:rsidRPr="003F0ACE">
        <w:rPr>
          <w:b/>
          <w:bCs/>
        </w:rPr>
        <w:t>Yitzchak Zelman, Esq.</w:t>
      </w:r>
      <w:r w:rsidRPr="00351613">
        <w:rPr>
          <w:b/>
        </w:rPr>
        <w:tab/>
      </w:r>
      <w:r w:rsidRPr="00351613">
        <w:rPr>
          <w:b/>
        </w:rPr>
        <w:tab/>
      </w:r>
      <w:r w:rsidRPr="00351613">
        <w:rPr>
          <w:b/>
        </w:rPr>
        <w:tab/>
      </w:r>
      <w:r w:rsidRPr="00351613">
        <w:rPr>
          <w:b/>
        </w:rPr>
        <w:tab/>
      </w:r>
      <w:r w:rsidRPr="00351613">
        <w:rPr>
          <w:b/>
        </w:rPr>
        <w:tab/>
      </w:r>
      <w:r w:rsidRPr="00351613">
        <w:rPr>
          <w:b/>
        </w:rPr>
        <w:tab/>
      </w:r>
      <w:r w:rsidRPr="00351613">
        <w:rPr>
          <w:b/>
        </w:rPr>
        <w:tab/>
      </w:r>
      <w:r>
        <w:rPr>
          <w:b/>
        </w:rPr>
        <w:tab/>
      </w:r>
      <w:r w:rsidRPr="003F0ACE">
        <w:rPr>
          <w:b/>
          <w:bCs/>
        </w:rPr>
        <w:t>Zelman</w:t>
      </w:r>
    </w:p>
    <w:p w:rsidR="006767AC" w:rsidRPr="00351613" w:rsidP="006767AC" w14:paraId="27877369" w14:textId="77777777"/>
    <w:p w:rsidR="006767AC" w:rsidRPr="00351613" w:rsidP="006767AC" w14:paraId="126347C6" w14:textId="77777777">
      <w:pPr>
        <w:rPr>
          <w:b/>
          <w:bCs/>
        </w:rPr>
      </w:pPr>
      <w:r w:rsidRPr="00351613">
        <w:t>* filing both comments and reply comment (bold - reply comments only).</w:t>
      </w:r>
    </w:p>
    <w:p w:rsidR="006767AC" w:rsidRPr="00351613" w:rsidP="006767AC" w14:paraId="05C529D9" w14:textId="77777777"/>
    <w:p w:rsidR="006767AC" w:rsidRPr="00351613" w:rsidP="006767AC" w14:paraId="77E31A6C" w14:textId="77777777">
      <w:r w:rsidRPr="00351613">
        <w:t xml:space="preserve">In addition to the commenters listed above, we received over 310,000 individual consumer comments.  </w:t>
      </w:r>
      <w:r>
        <w:t>Those comments are available for review on ECFS.</w:t>
      </w:r>
    </w:p>
    <w:p w:rsidR="006767AC" w:rsidP="006767AC" w14:paraId="5E798659" w14:textId="77777777"/>
    <w:p w:rsidR="006767AC" w:rsidRPr="00E515C2" w:rsidP="006767AC" w14:paraId="7723F625" w14:textId="77777777">
      <w:pPr>
        <w:jc w:val="center"/>
        <w:rPr>
          <w:b/>
        </w:rPr>
      </w:pPr>
      <w:r>
        <w:br w:type="page"/>
      </w:r>
      <w:r w:rsidRPr="003F0ACE">
        <w:rPr>
          <w:b/>
          <w:bCs/>
        </w:rPr>
        <w:t xml:space="preserve">APPENDIX </w:t>
      </w:r>
      <w:r>
        <w:rPr>
          <w:b/>
          <w:bCs/>
        </w:rPr>
        <w:t>B</w:t>
      </w:r>
    </w:p>
    <w:p w:rsidR="006767AC" w:rsidP="006767AC" w14:paraId="39A6E646" w14:textId="77777777">
      <w:pPr>
        <w:jc w:val="center"/>
        <w:rPr>
          <w:b/>
        </w:rPr>
      </w:pPr>
    </w:p>
    <w:p w:rsidR="006767AC" w:rsidRPr="00E515C2" w:rsidP="006767AC" w14:paraId="52DCD695" w14:textId="77777777">
      <w:pPr>
        <w:jc w:val="center"/>
        <w:rPr>
          <w:b/>
        </w:rPr>
      </w:pPr>
      <w:r w:rsidRPr="003F0ACE">
        <w:rPr>
          <w:b/>
          <w:bCs/>
        </w:rPr>
        <w:t>List of Commenters—Broadnet</w:t>
      </w:r>
    </w:p>
    <w:p w:rsidR="006767AC" w:rsidRPr="00351613" w:rsidP="006767AC" w14:paraId="7D20F315" w14:textId="77777777">
      <w:pPr>
        <w:jc w:val="center"/>
        <w:rPr>
          <w:b/>
        </w:rPr>
      </w:pPr>
    </w:p>
    <w:p w:rsidR="006767AC" w:rsidRPr="00351613" w:rsidP="006767AC" w14:paraId="741A6E7A" w14:textId="77777777">
      <w:pPr>
        <w:tabs>
          <w:tab w:val="left" w:pos="-720"/>
        </w:tabs>
        <w:suppressAutoHyphens/>
        <w:jc w:val="both"/>
      </w:pPr>
      <w:r w:rsidRPr="00351613">
        <w:t>The following parties have filed comments in response to the Broadnet Public Notices issued in this matter (CG Docket No. 02-278):</w:t>
      </w:r>
    </w:p>
    <w:p w:rsidR="006767AC" w:rsidRPr="00351613" w:rsidP="006767AC" w14:paraId="350D3648" w14:textId="77777777">
      <w:pPr>
        <w:jc w:val="both"/>
      </w:pPr>
    </w:p>
    <w:p w:rsidR="006767AC" w:rsidRPr="00351613" w:rsidP="006767AC" w14:paraId="56E83AA7" w14:textId="77777777">
      <w:pPr>
        <w:tabs>
          <w:tab w:val="left" w:pos="6300"/>
        </w:tabs>
        <w:jc w:val="both"/>
        <w:rPr>
          <w:u w:val="single"/>
        </w:rPr>
      </w:pPr>
      <w:r w:rsidRPr="00351613">
        <w:rPr>
          <w:u w:val="single"/>
        </w:rPr>
        <w:t>Commenter</w:t>
      </w:r>
      <w:r w:rsidRPr="00351613">
        <w:tab/>
      </w:r>
      <w:r w:rsidRPr="00351613">
        <w:tab/>
      </w:r>
      <w:r w:rsidRPr="00351613">
        <w:rPr>
          <w:u w:val="single"/>
        </w:rPr>
        <w:t>Abbreviation</w:t>
      </w:r>
    </w:p>
    <w:p w:rsidR="006767AC" w:rsidRPr="00351613" w:rsidP="006767AC" w14:paraId="261EF1FC" w14:textId="77777777">
      <w:r w:rsidRPr="00351613">
        <w:t>Robert Biggerstaff</w:t>
      </w:r>
      <w:r w:rsidRPr="00351613">
        <w:tab/>
      </w:r>
      <w:r w:rsidRPr="00351613">
        <w:tab/>
      </w:r>
      <w:r w:rsidRPr="00351613">
        <w:tab/>
      </w:r>
      <w:r w:rsidRPr="00351613">
        <w:tab/>
      </w:r>
      <w:r w:rsidRPr="00351613">
        <w:tab/>
      </w:r>
      <w:r w:rsidRPr="00351613">
        <w:tab/>
      </w:r>
      <w:r w:rsidRPr="00351613">
        <w:tab/>
      </w:r>
      <w:r w:rsidRPr="00351613">
        <w:t>Biggerstaff</w:t>
      </w:r>
    </w:p>
    <w:p w:rsidR="006767AC" w:rsidRPr="00351613" w:rsidP="006767AC" w14:paraId="0C3617CF" w14:textId="77777777">
      <w:r w:rsidRPr="00351613">
        <w:t xml:space="preserve">Broadnet Teleservices LLC </w:t>
      </w:r>
      <w:r w:rsidRPr="00351613">
        <w:tab/>
      </w:r>
      <w:r w:rsidRPr="00351613">
        <w:tab/>
      </w:r>
      <w:r w:rsidRPr="00351613">
        <w:tab/>
      </w:r>
      <w:r w:rsidRPr="00351613">
        <w:tab/>
      </w:r>
      <w:r w:rsidRPr="00351613">
        <w:tab/>
      </w:r>
      <w:r w:rsidRPr="00351613">
        <w:tab/>
        <w:t>Broadnet</w:t>
      </w:r>
    </w:p>
    <w:p w:rsidR="006767AC" w:rsidRPr="00351613" w:rsidP="006767AC" w14:paraId="123C09B6" w14:textId="77777777">
      <w:pPr>
        <w:tabs>
          <w:tab w:val="left" w:pos="6514"/>
        </w:tabs>
      </w:pPr>
      <w:r w:rsidRPr="00351613">
        <w:t>Burke Law Offices, LLC</w:t>
      </w:r>
      <w:r w:rsidRPr="00351613">
        <w:tab/>
        <w:t>Burke</w:t>
      </w:r>
    </w:p>
    <w:p w:rsidR="006767AC" w:rsidRPr="00351613" w:rsidP="006767AC" w14:paraId="244D56B9" w14:textId="77777777">
      <w:pPr>
        <w:tabs>
          <w:tab w:val="left" w:pos="6514"/>
        </w:tabs>
      </w:pPr>
      <w:r w:rsidRPr="00351613">
        <w:t>Consumers Union</w:t>
      </w:r>
      <w:r w:rsidRPr="00351613">
        <w:tab/>
      </w:r>
      <w:r>
        <w:t>CU</w:t>
      </w:r>
      <w:r w:rsidRPr="00351613">
        <w:t xml:space="preserve"> </w:t>
      </w:r>
    </w:p>
    <w:p w:rsidR="006767AC" w:rsidRPr="00351613" w:rsidP="006767AC" w14:paraId="4604B53F" w14:textId="77777777">
      <w:pPr>
        <w:tabs>
          <w:tab w:val="left" w:pos="6514"/>
        </w:tabs>
      </w:pPr>
      <w:r w:rsidRPr="00351613">
        <w:t>Craig Cunningham</w:t>
      </w:r>
      <w:r w:rsidRPr="00351613">
        <w:tab/>
      </w:r>
      <w:r w:rsidRPr="00351613">
        <w:t>Cunningham</w:t>
      </w:r>
    </w:p>
    <w:p w:rsidR="006767AC" w:rsidRPr="00351613" w:rsidP="006767AC" w14:paraId="3DAA1B03" w14:textId="77777777">
      <w:pPr>
        <w:tabs>
          <w:tab w:val="left" w:pos="6514"/>
        </w:tabs>
      </w:pPr>
      <w:r w:rsidRPr="00351613">
        <w:t>Eliza Corporation</w:t>
      </w:r>
      <w:r w:rsidRPr="00351613">
        <w:tab/>
        <w:t xml:space="preserve">Eliza Corp. </w:t>
      </w:r>
    </w:p>
    <w:p w:rsidR="006767AC" w:rsidRPr="00351613" w:rsidP="006767AC" w14:paraId="41DB15DC" w14:textId="77777777">
      <w:pPr>
        <w:tabs>
          <w:tab w:val="left" w:pos="6514"/>
        </w:tabs>
      </w:pPr>
      <w:r w:rsidRPr="00351613">
        <w:t xml:space="preserve">Greenwald Davidson </w:t>
      </w:r>
      <w:r w:rsidRPr="00351613">
        <w:t>Radbil</w:t>
      </w:r>
      <w:r w:rsidRPr="00351613">
        <w:t xml:space="preserve"> PLLC</w:t>
      </w:r>
      <w:r w:rsidRPr="00351613">
        <w:tab/>
        <w:t>GDR</w:t>
      </w:r>
    </w:p>
    <w:p w:rsidR="006767AC" w:rsidRPr="00351613" w:rsidP="006767AC" w14:paraId="0CE2759D" w14:textId="77777777">
      <w:pPr>
        <w:tabs>
          <w:tab w:val="left" w:pos="6514"/>
        </w:tabs>
      </w:pPr>
      <w:r w:rsidRPr="00351613">
        <w:t xml:space="preserve">Gerald </w:t>
      </w:r>
      <w:r w:rsidRPr="00351613">
        <w:t>Roylance</w:t>
      </w:r>
      <w:r w:rsidRPr="00351613">
        <w:tab/>
      </w:r>
      <w:r w:rsidRPr="00351613">
        <w:t>Roylance</w:t>
      </w:r>
    </w:p>
    <w:p w:rsidR="006767AC" w:rsidRPr="00351613" w:rsidP="006767AC" w14:paraId="66C6AF98" w14:textId="77777777">
      <w:pPr>
        <w:tabs>
          <w:tab w:val="left" w:pos="6514"/>
        </w:tabs>
      </w:pPr>
      <w:r w:rsidRPr="00351613">
        <w:t>Indiana and Missouri Attorneys General</w:t>
      </w:r>
      <w:r w:rsidRPr="00351613">
        <w:tab/>
        <w:t>Indiana and Missouri AG</w:t>
      </w:r>
    </w:p>
    <w:p w:rsidR="006767AC" w:rsidRPr="00351613" w:rsidP="006767AC" w14:paraId="6F4B56D2" w14:textId="77777777">
      <w:pPr>
        <w:tabs>
          <w:tab w:val="left" w:pos="6514"/>
        </w:tabs>
      </w:pPr>
      <w:r w:rsidRPr="00351613">
        <w:t>National Consumer Law Center</w:t>
      </w:r>
      <w:r w:rsidRPr="00351613">
        <w:tab/>
        <w:t>NCLC</w:t>
      </w:r>
    </w:p>
    <w:p w:rsidR="006767AC" w:rsidRPr="00351613" w:rsidP="006767AC" w14:paraId="384EB91D" w14:textId="77777777">
      <w:pPr>
        <w:tabs>
          <w:tab w:val="left" w:pos="6514"/>
        </w:tabs>
      </w:pPr>
      <w:r w:rsidRPr="00351613">
        <w:t>National Opinion Research Center</w:t>
      </w:r>
      <w:r w:rsidRPr="00351613">
        <w:tab/>
        <w:t>NORC</w:t>
      </w:r>
    </w:p>
    <w:p w:rsidR="006767AC" w:rsidRPr="00351613" w:rsidP="006767AC" w14:paraId="3F206D12" w14:textId="77777777">
      <w:r w:rsidRPr="00351613">
        <w:t>Professional Services Council</w:t>
      </w:r>
      <w:r w:rsidRPr="00351613">
        <w:tab/>
      </w:r>
      <w:r w:rsidRPr="00351613">
        <w:tab/>
      </w:r>
      <w:r w:rsidRPr="00351613">
        <w:tab/>
      </w:r>
      <w:r w:rsidRPr="00351613">
        <w:tab/>
      </w:r>
      <w:r w:rsidRPr="00351613">
        <w:tab/>
      </w:r>
      <w:r w:rsidRPr="00351613">
        <w:tab/>
        <w:t>PSC</w:t>
      </w:r>
    </w:p>
    <w:p w:rsidR="006767AC" w:rsidRPr="00351613" w:rsidP="006767AC" w14:paraId="5A0515B8" w14:textId="77777777">
      <w:r w:rsidRPr="00351613">
        <w:t>RTI International</w:t>
      </w:r>
      <w:r w:rsidRPr="00351613">
        <w:tab/>
      </w:r>
      <w:r w:rsidRPr="00351613">
        <w:tab/>
      </w:r>
      <w:r w:rsidRPr="00351613">
        <w:tab/>
      </w:r>
      <w:r w:rsidRPr="00351613">
        <w:tab/>
      </w:r>
      <w:r w:rsidRPr="00351613">
        <w:tab/>
      </w:r>
      <w:r w:rsidRPr="00351613">
        <w:tab/>
      </w:r>
      <w:r w:rsidRPr="00351613">
        <w:tab/>
        <w:t>RTI</w:t>
      </w:r>
    </w:p>
    <w:p w:rsidR="00384193" w:rsidP="006767AC" w14:paraId="565B268A" w14:textId="12B53652">
      <w:r w:rsidRPr="00351613">
        <w:t>Randall A. Snyder</w:t>
      </w:r>
      <w:r w:rsidRPr="00351613">
        <w:tab/>
      </w:r>
      <w:r w:rsidRPr="00351613">
        <w:tab/>
      </w:r>
      <w:r w:rsidRPr="00351613">
        <w:tab/>
      </w:r>
      <w:r w:rsidRPr="00351613">
        <w:tab/>
      </w:r>
      <w:r w:rsidRPr="00351613">
        <w:tab/>
      </w:r>
      <w:r w:rsidRPr="00351613">
        <w:tab/>
      </w:r>
      <w:r w:rsidRPr="00351613">
        <w:tab/>
      </w:r>
      <w:r w:rsidRPr="00351613">
        <w:t>Snyder</w:t>
      </w:r>
    </w:p>
    <w:p w:rsidR="00384193" w:rsidRPr="00384193" w:rsidP="00384193" w14:paraId="4FB3F3A6" w14:textId="77777777">
      <w:pPr>
        <w:jc w:val="center"/>
        <w:rPr>
          <w:b/>
          <w:szCs w:val="22"/>
        </w:rPr>
      </w:pPr>
      <w:r>
        <w:br w:type="page"/>
      </w:r>
      <w:r w:rsidRPr="00384193">
        <w:rPr>
          <w:b/>
          <w:szCs w:val="22"/>
        </w:rPr>
        <w:t>STATEMENT OF</w:t>
      </w:r>
      <w:r w:rsidRPr="00384193">
        <w:rPr>
          <w:b/>
          <w:szCs w:val="22"/>
        </w:rPr>
        <w:br/>
        <w:t>COMMISSIONER JESSICA ROSENWORCEL,</w:t>
      </w:r>
    </w:p>
    <w:p w:rsidR="00384193" w:rsidRPr="00384193" w:rsidP="00384193" w14:paraId="4596FF1F" w14:textId="77777777">
      <w:pPr>
        <w:jc w:val="center"/>
        <w:rPr>
          <w:b/>
          <w:szCs w:val="22"/>
        </w:rPr>
      </w:pPr>
      <w:r w:rsidRPr="00384193">
        <w:rPr>
          <w:b/>
          <w:szCs w:val="22"/>
        </w:rPr>
        <w:t>APPROVING IN PART AND DISSENTING IN PART</w:t>
      </w:r>
    </w:p>
    <w:p w:rsidR="00384193" w:rsidRPr="00384193" w:rsidP="00384193" w14:paraId="4CC61D9B" w14:textId="77777777">
      <w:pPr>
        <w:jc w:val="center"/>
        <w:rPr>
          <w:b/>
          <w:szCs w:val="22"/>
        </w:rPr>
      </w:pPr>
    </w:p>
    <w:p w:rsidR="00384193" w:rsidRPr="00384193" w:rsidP="00384193" w14:paraId="676A98E0" w14:textId="77777777">
      <w:pPr>
        <w:ind w:left="720" w:hanging="720"/>
        <w:rPr>
          <w:bCs/>
          <w:szCs w:val="22"/>
        </w:rPr>
      </w:pPr>
      <w:r w:rsidRPr="00384193">
        <w:rPr>
          <w:bCs/>
          <w:szCs w:val="22"/>
        </w:rPr>
        <w:t>Re:</w:t>
      </w:r>
      <w:r w:rsidRPr="00384193">
        <w:rPr>
          <w:bCs/>
          <w:szCs w:val="22"/>
        </w:rPr>
        <w:tab/>
      </w:r>
      <w:r w:rsidRPr="00384193">
        <w:rPr>
          <w:bCs/>
          <w:i/>
          <w:szCs w:val="22"/>
        </w:rPr>
        <w:t>Rules and Regulations Implementing the Telephone Consumer Protection Act of 1991</w:t>
      </w:r>
      <w:r w:rsidRPr="00384193">
        <w:rPr>
          <w:bCs/>
          <w:iCs/>
          <w:szCs w:val="22"/>
        </w:rPr>
        <w:t>,</w:t>
      </w:r>
      <w:r w:rsidRPr="00384193">
        <w:rPr>
          <w:snapToGrid/>
          <w:kern w:val="0"/>
          <w:szCs w:val="22"/>
        </w:rPr>
        <w:t xml:space="preserve"> CG Docket No. 02-278;</w:t>
      </w:r>
      <w:r w:rsidRPr="00384193">
        <w:rPr>
          <w:bCs/>
          <w:i/>
          <w:szCs w:val="22"/>
        </w:rPr>
        <w:t xml:space="preserve"> Broadnet Teleservices LLC Petition for Declaratory Ruling; National Consumer Law Center Petition for Reconsideration and Request for Stay Pending Reconsideration of Broadnet Teleservices LLC Petition for Declaratory Ruling; Professional Services Council Petition for Reconsideration of Broadnet Teleservices LLC Petition for Declaratory Ruling</w:t>
      </w:r>
    </w:p>
    <w:p w:rsidR="00384193" w:rsidRPr="00384193" w:rsidP="00384193" w14:paraId="7F77B3D8" w14:textId="77777777">
      <w:pPr>
        <w:ind w:left="720" w:hanging="720"/>
        <w:rPr>
          <w:bCs/>
          <w:szCs w:val="22"/>
        </w:rPr>
      </w:pPr>
    </w:p>
    <w:p w:rsidR="00384193" w:rsidRPr="00384193" w:rsidP="00384193" w14:paraId="2E3B69F2" w14:textId="77777777">
      <w:pPr>
        <w:spacing w:after="120"/>
        <w:ind w:firstLine="720"/>
        <w:rPr>
          <w:bCs/>
          <w:szCs w:val="22"/>
        </w:rPr>
      </w:pPr>
      <w:r w:rsidRPr="00384193">
        <w:rPr>
          <w:bCs/>
          <w:szCs w:val="22"/>
        </w:rPr>
        <w:t>We’re all tired of robocalls.  But these annoying calls are more than just a nuisance.  They are degrading communications and destroying trust in our networks.</w:t>
      </w:r>
    </w:p>
    <w:p w:rsidR="00384193" w:rsidRPr="00384193" w:rsidP="00384193" w14:paraId="385C21C9" w14:textId="77777777">
      <w:pPr>
        <w:spacing w:after="120"/>
        <w:ind w:firstLine="720"/>
        <w:rPr>
          <w:bCs/>
          <w:szCs w:val="22"/>
        </w:rPr>
      </w:pPr>
      <w:r w:rsidRPr="00384193">
        <w:rPr>
          <w:bCs/>
          <w:szCs w:val="22"/>
        </w:rPr>
        <w:t xml:space="preserve">We </w:t>
      </w:r>
      <w:r w:rsidRPr="00384193">
        <w:rPr>
          <w:snapToGrid/>
          <w:kern w:val="0"/>
          <w:szCs w:val="22"/>
        </w:rPr>
        <w:t xml:space="preserve">have tools to address them, including the Telephone Consumer Protection Act.  I think it is incumbent on the Federal Communications Commission to use them—every way we can—to reduce the number of these irritating calls.  </w:t>
      </w:r>
    </w:p>
    <w:p w:rsidR="00384193" w:rsidP="00384193" w14:paraId="591BD6D6" w14:textId="77777777">
      <w:pPr>
        <w:widowControl/>
        <w:spacing w:after="120"/>
        <w:ind w:firstLine="720"/>
        <w:rPr>
          <w:snapToGrid/>
          <w:kern w:val="0"/>
          <w:szCs w:val="22"/>
        </w:rPr>
        <w:sectPr w:rsidSect="006744DF">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r w:rsidRPr="00384193">
        <w:rPr>
          <w:snapToGrid/>
          <w:kern w:val="0"/>
          <w:szCs w:val="22"/>
        </w:rPr>
        <w:t>In this decision we interpret the Telephone Consumer Protection Act and determine how it applies to calls made by federal, state, and local governments—and their contractors.  This is a matter that has a thorny history because it’s an issue that has been taken up by both Congress and the courts.  In light of these prior efforts, today we determine that the Telephone Consumer Protection Act does not apply to calls from federal authorities, but that federal government contractors, state government contractors, local governments, and local government contractors are all subject to its prohibitions on robocalls.  So far, so good.  But we also determine that state authorities are beyond the reach of this law, meaning robocall restrictions do not apply to the calls they make.  It’s this last piece that I think is a mistake.  Because where the law is at all ambiguous, and even if it may be a close call, I think this agency should side with consumers and their cry to cut down the number of robocalls they receive.  For this reason, I approve in part and dissent in part.</w:t>
      </w:r>
    </w:p>
    <w:p w:rsidR="00384193" w:rsidP="006767AC" w14:paraId="7786E5A5" w14:textId="77777777">
      <w:pPr>
        <w:sectPr w:rsidSect="006744DF">
          <w:endnotePr>
            <w:numFmt w:val="decimal"/>
          </w:endnotePr>
          <w:pgSz w:w="12240" w:h="15840"/>
          <w:pgMar w:top="1440" w:right="1440" w:bottom="720" w:left="1440" w:header="720" w:footer="720" w:gutter="0"/>
          <w:cols w:space="720"/>
          <w:noEndnote/>
          <w:titlePg/>
        </w:sectPr>
      </w:pPr>
    </w:p>
    <w:p w:rsidR="00384193" w:rsidRPr="00384193" w:rsidP="00384193" w14:paraId="7A668C6B" w14:textId="77777777">
      <w:pPr>
        <w:widowControl/>
        <w:jc w:val="center"/>
        <w:rPr>
          <w:b/>
          <w:bCs/>
          <w:snapToGrid/>
          <w:kern w:val="0"/>
          <w:szCs w:val="22"/>
        </w:rPr>
      </w:pPr>
      <w:r w:rsidRPr="00384193">
        <w:rPr>
          <w:b/>
          <w:bCs/>
          <w:snapToGrid/>
          <w:kern w:val="0"/>
          <w:szCs w:val="22"/>
        </w:rPr>
        <w:t>STATEMENT OF</w:t>
      </w:r>
    </w:p>
    <w:p w:rsidR="00384193" w:rsidRPr="00384193" w:rsidP="00384193" w14:paraId="4B25D3B1" w14:textId="77777777">
      <w:pPr>
        <w:widowControl/>
        <w:jc w:val="center"/>
        <w:rPr>
          <w:b/>
          <w:bCs/>
          <w:snapToGrid/>
          <w:kern w:val="0"/>
          <w:szCs w:val="22"/>
        </w:rPr>
      </w:pPr>
      <w:r w:rsidRPr="00384193">
        <w:rPr>
          <w:b/>
          <w:bCs/>
          <w:snapToGrid/>
          <w:kern w:val="0"/>
          <w:szCs w:val="22"/>
        </w:rPr>
        <w:t>COMMISSIONER GEOFFREY STARKS</w:t>
      </w:r>
    </w:p>
    <w:p w:rsidR="00384193" w:rsidRPr="00384193" w:rsidP="00384193" w14:paraId="0536F9A8" w14:textId="77777777">
      <w:pPr>
        <w:widowControl/>
        <w:jc w:val="center"/>
        <w:rPr>
          <w:b/>
          <w:bCs/>
          <w:snapToGrid/>
          <w:kern w:val="0"/>
          <w:szCs w:val="22"/>
        </w:rPr>
      </w:pPr>
      <w:r w:rsidRPr="00384193">
        <w:rPr>
          <w:b/>
          <w:bCs/>
          <w:snapToGrid/>
          <w:kern w:val="0"/>
          <w:szCs w:val="22"/>
        </w:rPr>
        <w:t>APPROVING IN PART AND DISSENTING IN PART</w:t>
      </w:r>
    </w:p>
    <w:p w:rsidR="00384193" w:rsidRPr="00384193" w:rsidP="00384193" w14:paraId="29145908" w14:textId="77777777">
      <w:pPr>
        <w:widowControl/>
        <w:rPr>
          <w:snapToGrid/>
          <w:kern w:val="0"/>
          <w:szCs w:val="22"/>
        </w:rPr>
      </w:pPr>
    </w:p>
    <w:p w:rsidR="00384193" w:rsidRPr="00384193" w:rsidP="00384193" w14:paraId="0CA847D3" w14:textId="77777777">
      <w:pPr>
        <w:widowControl/>
        <w:ind w:left="720" w:hanging="720"/>
        <w:rPr>
          <w:snapToGrid/>
          <w:kern w:val="0"/>
          <w:szCs w:val="22"/>
        </w:rPr>
      </w:pPr>
      <w:r w:rsidRPr="00384193">
        <w:rPr>
          <w:snapToGrid/>
          <w:kern w:val="0"/>
          <w:szCs w:val="22"/>
        </w:rPr>
        <w:t>Re:</w:t>
      </w:r>
      <w:r w:rsidRPr="00384193">
        <w:rPr>
          <w:snapToGrid/>
          <w:kern w:val="0"/>
          <w:szCs w:val="22"/>
        </w:rPr>
        <w:tab/>
      </w:r>
      <w:r w:rsidRPr="00384193">
        <w:rPr>
          <w:i/>
          <w:iCs/>
          <w:snapToGrid/>
          <w:kern w:val="0"/>
          <w:szCs w:val="22"/>
        </w:rPr>
        <w:t>Rules and Regulations Implementing the Telephone Consumer Protection Act of 1991</w:t>
      </w:r>
      <w:r w:rsidRPr="00384193">
        <w:rPr>
          <w:snapToGrid/>
          <w:kern w:val="0"/>
          <w:szCs w:val="22"/>
        </w:rPr>
        <w:t xml:space="preserve">, </w:t>
      </w:r>
      <w:bookmarkStart w:id="99" w:name="_Hlk58589567"/>
      <w:r w:rsidRPr="00384193">
        <w:rPr>
          <w:snapToGrid/>
          <w:kern w:val="0"/>
          <w:szCs w:val="22"/>
        </w:rPr>
        <w:t xml:space="preserve">CG Docket No. 02-278; </w:t>
      </w:r>
      <w:bookmarkEnd w:id="99"/>
      <w:r w:rsidRPr="00384193">
        <w:rPr>
          <w:i/>
          <w:iCs/>
          <w:snapToGrid/>
          <w:kern w:val="0"/>
          <w:szCs w:val="22"/>
        </w:rPr>
        <w:t>Broadnet Teleservices LLC Petition for Declaratory Ruling; National Consumer Law Center Petition for Reconsideration and Request for Stay Pending Reconsideration of Broadnet Teleservices LLC Petition for Declaratory Ruling; Professional Services Council Petition for Reconsideration of Broadnet Teleservices LLC Petition for Declaratory Ruling</w:t>
      </w:r>
    </w:p>
    <w:p w:rsidR="00384193" w:rsidRPr="00384193" w:rsidP="00384193" w14:paraId="2ED81ACF" w14:textId="77777777">
      <w:pPr>
        <w:widowControl/>
        <w:ind w:left="720" w:hanging="720"/>
        <w:rPr>
          <w:snapToGrid/>
          <w:kern w:val="0"/>
          <w:szCs w:val="22"/>
        </w:rPr>
      </w:pPr>
    </w:p>
    <w:p w:rsidR="00384193" w:rsidRPr="00384193" w:rsidP="00384193" w14:paraId="338930AC" w14:textId="61B06C9B">
      <w:pPr>
        <w:widowControl/>
        <w:spacing w:after="120"/>
        <w:ind w:firstLine="720"/>
        <w:rPr>
          <w:snapToGrid/>
          <w:kern w:val="0"/>
          <w:szCs w:val="22"/>
        </w:rPr>
      </w:pPr>
      <w:r w:rsidRPr="00384193">
        <w:rPr>
          <w:snapToGrid/>
          <w:kern w:val="0"/>
          <w:szCs w:val="22"/>
        </w:rPr>
        <w:t>Earlier this year, the Federal Trade Commission reported that robocalls had significantly declined; specifically, robocall complaints were down 68% in April 2020 compared to April 2019 and down 60% in May 2020 compared to May 2019.  However, more recent information suggests they are once again on the rise—Americans reportedly received over 4.25 billion robocalls this October, an increase over the previous month of approximately 12%.</w:t>
      </w:r>
      <w:r>
        <w:rPr>
          <w:snapToGrid/>
          <w:kern w:val="0"/>
          <w:sz w:val="20"/>
          <w:vertAlign w:val="superscript"/>
        </w:rPr>
        <w:footnoteReference w:id="99"/>
      </w:r>
      <w:r w:rsidRPr="00384193">
        <w:rPr>
          <w:snapToGrid/>
          <w:kern w:val="0"/>
          <w:szCs w:val="22"/>
        </w:rPr>
        <w:t xml:space="preserve">  It is no surprise, then, that robocalls remain the primary source of consumer complaints received at the FCC.  </w:t>
      </w:r>
    </w:p>
    <w:p w:rsidR="00384193" w:rsidRPr="00384193" w:rsidP="00384193" w14:paraId="311CF62D" w14:textId="77777777">
      <w:pPr>
        <w:widowControl/>
        <w:spacing w:after="120"/>
        <w:ind w:firstLine="720"/>
        <w:rPr>
          <w:snapToGrid/>
          <w:kern w:val="0"/>
          <w:szCs w:val="22"/>
        </w:rPr>
      </w:pPr>
      <w:r w:rsidRPr="00384193">
        <w:rPr>
          <w:snapToGrid/>
          <w:kern w:val="0"/>
          <w:szCs w:val="22"/>
        </w:rPr>
        <w:t xml:space="preserve">This Order finds that state governments do not fall within the meaning of “person” under the Telephone Consumers Protection Act (TCPA) and thus are not subject to its restrictions against placing unauthorized calls to consumers.  Notably, nothing in the language of the TCPA or its legislative history compels this conclusion.  In fact, the Order acknowledges as much, relying instead on a presumption that the term “person” as used in section 227(b)(1) does not include state governments because there is no affirmative showing of statutory intent to the contrary.  In the absence of clear statutory language or intent, however, the Commission has discretion to interpret the Communications Act’s provisions in a manner consistent with its public policy goals.  With regard to state authorities, we should have used that discretion here given the TCPA’s primary goal of protecting consumers from unwanted robocalls, and for this reason, I dissent.  In all other respects, I approve.  My thanks to the staff for their work on this item.  </w:t>
      </w:r>
    </w:p>
    <w:p w:rsidR="006767AC" w:rsidRPr="00351613" w:rsidP="006767AC" w14:paraId="67F73B92" w14:textId="6D01C246"/>
    <w:p w:rsidR="006767AC" w:rsidRPr="00351613" w:rsidP="006767AC" w14:paraId="115A0FE3" w14:textId="77777777"/>
    <w:p w:rsidR="00412FC5" w:rsidP="006767AC" w14:paraId="0D3D497F" w14:textId="77777777">
      <w:pPr>
        <w:pStyle w:val="Heading1"/>
        <w:numPr>
          <w:ilvl w:val="0"/>
          <w:numId w:val="0"/>
        </w:numPr>
      </w:pPr>
    </w:p>
    <w:sectPr w:rsidSect="00384193">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P="009970EB" w14:paraId="36B41742" w14:textId="77777777">
    <w:pPr>
      <w:pStyle w:val="Footer"/>
      <w:jc w:val="center"/>
    </w:pPr>
    <w:r>
      <w:fldChar w:fldCharType="begin"/>
    </w:r>
    <w:r>
      <w:instrText xml:space="preserve"> PAGE  \* Arabic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P="009970EB" w14:paraId="12310634" w14:textId="77777777">
    <w:pPr>
      <w:pStyle w:val="Footer"/>
      <w:tabs>
        <w:tab w:val="clear" w:pos="4320"/>
        <w:tab w:val="left" w:pos="5556"/>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P="0055614C" w14:paraId="1AE459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70EB" w14:paraId="455B46E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327129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970EB" w14:paraId="3A4CFAC1"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14:paraId="19E525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970EB" w14:paraId="0587FE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402E" w14:paraId="66F50C59" w14:textId="77777777">
      <w:r>
        <w:separator/>
      </w:r>
    </w:p>
  </w:footnote>
  <w:footnote w:type="continuationSeparator" w:id="1">
    <w:p w:rsidR="00D2402E" w:rsidP="00C721AC" w14:paraId="0E9F7BA1" w14:textId="77777777">
      <w:pPr>
        <w:spacing w:before="120"/>
        <w:rPr>
          <w:sz w:val="20"/>
        </w:rPr>
      </w:pPr>
      <w:r>
        <w:rPr>
          <w:sz w:val="20"/>
        </w:rPr>
        <w:t xml:space="preserve">(Continued from previous page)  </w:t>
      </w:r>
      <w:r>
        <w:rPr>
          <w:sz w:val="20"/>
        </w:rPr>
        <w:separator/>
      </w:r>
    </w:p>
  </w:footnote>
  <w:footnote w:type="continuationNotice" w:id="2">
    <w:p w:rsidR="00D2402E" w:rsidP="00C721AC" w14:paraId="6D5B2A5B" w14:textId="77777777">
      <w:pPr>
        <w:jc w:val="right"/>
        <w:rPr>
          <w:sz w:val="20"/>
        </w:rPr>
      </w:pPr>
      <w:r>
        <w:rPr>
          <w:sz w:val="20"/>
        </w:rPr>
        <w:t>(continued….)</w:t>
      </w:r>
    </w:p>
  </w:footnote>
  <w:footnote w:id="3">
    <w:p w:rsidR="009970EB" w:rsidP="006767AC" w14:paraId="4499006F" w14:textId="77777777">
      <w:pPr>
        <w:pStyle w:val="FootnoteText"/>
        <w:widowControl w:val="0"/>
      </w:pPr>
      <w:r>
        <w:rPr>
          <w:rStyle w:val="FootnoteReference"/>
        </w:rPr>
        <w:footnoteRef/>
      </w:r>
      <w:r>
        <w:t xml:space="preserve"> </w:t>
      </w:r>
      <w:r>
        <w:rPr>
          <w:i/>
        </w:rPr>
        <w:t>See</w:t>
      </w:r>
      <w:r w:rsidRPr="00FA0AFD">
        <w:t>,</w:t>
      </w:r>
      <w:r>
        <w:rPr>
          <w:i/>
        </w:rPr>
        <w:t xml:space="preserve"> e.g.</w:t>
      </w:r>
      <w:r w:rsidRPr="00FA0AFD">
        <w:t>,</w:t>
      </w:r>
      <w:r w:rsidRPr="00C56645">
        <w:t xml:space="preserve"> </w:t>
      </w:r>
      <w:r>
        <w:t>FCC, Consumer Complaint Center,</w:t>
      </w:r>
      <w:r w:rsidRPr="00545546">
        <w:t xml:space="preserve"> https://opendata.fcc.gov/Consumer/CGB-Unwanted-Calls-2019YTD/vzkh-ddru</w:t>
      </w:r>
      <w:r>
        <w:t xml:space="preserve"> (last visited Nov. 12, 2020). </w:t>
      </w:r>
    </w:p>
  </w:footnote>
  <w:footnote w:id="4">
    <w:p w:rsidR="009970EB" w:rsidP="006767AC" w14:paraId="3CB282AF" w14:textId="53C4C90F">
      <w:pPr>
        <w:pStyle w:val="FootnoteText"/>
      </w:pPr>
      <w:r>
        <w:rPr>
          <w:rStyle w:val="FootnoteReference"/>
        </w:rPr>
        <w:footnoteRef/>
      </w:r>
      <w:r>
        <w:t xml:space="preserve"> </w:t>
      </w:r>
      <w:r>
        <w:rPr>
          <w:i/>
        </w:rPr>
        <w:t>See, e.g.</w:t>
      </w:r>
      <w:r>
        <w:t xml:space="preserve">, </w:t>
      </w:r>
      <w:r w:rsidRPr="000C585F">
        <w:rPr>
          <w:i/>
          <w:iCs/>
        </w:rPr>
        <w:t xml:space="preserve">Advanced Methods to Target and Eliminate Unlawful Robocalls, </w:t>
      </w:r>
      <w:r w:rsidRPr="000C585F">
        <w:t xml:space="preserve">CG Docket No. 17-59, WC Docket No. 17-97, Declaratory Ruling and Third Further Notice of Proposed Rulemaking, </w:t>
      </w:r>
      <w:bookmarkStart w:id="4" w:name="_Hlk51761385"/>
      <w:r w:rsidRPr="000C585F">
        <w:t xml:space="preserve">34 FCC </w:t>
      </w:r>
      <w:r w:rsidRPr="000C585F">
        <w:t>Rcd</w:t>
      </w:r>
      <w:r w:rsidRPr="000C585F">
        <w:t xml:space="preserve"> 4876 </w:t>
      </w:r>
      <w:bookmarkEnd w:id="4"/>
      <w:r w:rsidRPr="000C585F">
        <w:t>(2019) (</w:t>
      </w:r>
      <w:r w:rsidRPr="000C585F">
        <w:rPr>
          <w:i/>
        </w:rPr>
        <w:t xml:space="preserve">2019 </w:t>
      </w:r>
      <w:r w:rsidRPr="000C585F">
        <w:rPr>
          <w:i/>
          <w:iCs/>
        </w:rPr>
        <w:t>Call Blocking Declaratory Ruling</w:t>
      </w:r>
      <w:r>
        <w:rPr>
          <w:i/>
          <w:iCs/>
        </w:rPr>
        <w:t xml:space="preserve"> and Third Further Notice</w:t>
      </w:r>
      <w:r w:rsidRPr="000C585F">
        <w:t>)</w:t>
      </w:r>
      <w:r>
        <w:t xml:space="preserve">; </w:t>
      </w:r>
      <w:r>
        <w:rPr>
          <w:i/>
        </w:rPr>
        <w:t>Advanced Methods to Target and Eliminate Unlawful Robocalls</w:t>
      </w:r>
      <w:r>
        <w:t xml:space="preserve">, CG Docket No. 17-59, Report and Order and Further Notice of Proposed Rulemaking, 32 FCC </w:t>
      </w:r>
      <w:r>
        <w:t>Rcd</w:t>
      </w:r>
      <w:r>
        <w:t xml:space="preserve"> 9706 (2017) (</w:t>
      </w:r>
      <w:r>
        <w:rPr>
          <w:i/>
        </w:rPr>
        <w:t>2017 Call Blocking Order</w:t>
      </w:r>
      <w:r>
        <w:t>).</w:t>
      </w:r>
    </w:p>
  </w:footnote>
  <w:footnote w:id="5">
    <w:p w:rsidR="009970EB" w:rsidP="006767AC" w14:paraId="274C3DAE" w14:textId="77777777">
      <w:pPr>
        <w:pStyle w:val="FootnoteText"/>
      </w:pPr>
      <w:r>
        <w:rPr>
          <w:rStyle w:val="FootnoteReference"/>
        </w:rPr>
        <w:footnoteRef/>
      </w:r>
      <w:r>
        <w:t xml:space="preserve"> </w:t>
      </w:r>
      <w:r>
        <w:rPr>
          <w:i/>
        </w:rPr>
        <w:t xml:space="preserve">See </w:t>
      </w:r>
      <w:r w:rsidRPr="005409A9">
        <w:rPr>
          <w:i/>
        </w:rPr>
        <w:t>Rules and Regulations Implementing the Telephone Consumer Protection Act of 1991, Broadnet Teleservices LLC Petition for Declaratory Ruling</w:t>
      </w:r>
      <w:r w:rsidRPr="005409A9">
        <w:t xml:space="preserve">, CG Docket No. 02-278, Declaratory Ruling, 31 FCC </w:t>
      </w:r>
      <w:r w:rsidRPr="005409A9">
        <w:t>Rcd</w:t>
      </w:r>
      <w:r w:rsidRPr="005409A9">
        <w:t xml:space="preserve"> 7394</w:t>
      </w:r>
      <w:r>
        <w:t xml:space="preserve"> </w:t>
      </w:r>
      <w:r w:rsidRPr="005409A9">
        <w:t>(2016) (</w:t>
      </w:r>
      <w:r w:rsidRPr="005409A9">
        <w:rPr>
          <w:i/>
        </w:rPr>
        <w:t>Broadnet Declaratory</w:t>
      </w:r>
      <w:r w:rsidRPr="00706EDF">
        <w:rPr>
          <w:i/>
        </w:rPr>
        <w:t xml:space="preserve"> </w:t>
      </w:r>
      <w:r w:rsidRPr="007A4B8F">
        <w:rPr>
          <w:i/>
        </w:rPr>
        <w:t>Ruling</w:t>
      </w:r>
      <w:r>
        <w:t>)</w:t>
      </w:r>
      <w:r w:rsidRPr="005409A9">
        <w:rPr>
          <w:i/>
        </w:rPr>
        <w:t>.</w:t>
      </w:r>
    </w:p>
  </w:footnote>
  <w:footnote w:id="6">
    <w:p w:rsidR="009970EB" w:rsidP="006767AC" w14:paraId="32E70857" w14:textId="77777777">
      <w:pPr>
        <w:pStyle w:val="FootnoteText"/>
      </w:pPr>
      <w:r>
        <w:rPr>
          <w:rStyle w:val="FootnoteReference"/>
        </w:rPr>
        <w:footnoteRef/>
      </w:r>
      <w:r>
        <w:t xml:space="preserve"> </w:t>
      </w:r>
      <w:r>
        <w:rPr>
          <w:i/>
          <w:iCs/>
        </w:rPr>
        <w:t xml:space="preserve">See </w:t>
      </w:r>
      <w:r>
        <w:t xml:space="preserve">47 U.S.C. </w:t>
      </w:r>
      <w:r w:rsidRPr="004D7E19">
        <w:t>§</w:t>
      </w:r>
      <w:r>
        <w:t xml:space="preserve"> 227(b)(1).</w:t>
      </w:r>
    </w:p>
  </w:footnote>
  <w:footnote w:id="7">
    <w:p w:rsidR="009970EB" w:rsidP="006767AC" w14:paraId="6437BA0F" w14:textId="77777777">
      <w:pPr>
        <w:pStyle w:val="FootnoteText"/>
      </w:pPr>
      <w:r>
        <w:rPr>
          <w:rStyle w:val="FootnoteReference"/>
        </w:rPr>
        <w:footnoteRef/>
      </w:r>
      <w:r>
        <w:t xml:space="preserve"> </w:t>
      </w:r>
      <w:r>
        <w:rPr>
          <w:i/>
          <w:iCs/>
        </w:rPr>
        <w:t>Vt. Agency of Nat. Resources v. United States ex rel. Stevens</w:t>
      </w:r>
      <w:r>
        <w:t>, 529 U.S. 765, 781 (2000).</w:t>
      </w:r>
    </w:p>
  </w:footnote>
  <w:footnote w:id="8">
    <w:p w:rsidR="009970EB" w:rsidP="006767AC" w14:paraId="48E9C417" w14:textId="77777777">
      <w:pPr>
        <w:pStyle w:val="FootnoteText"/>
      </w:pPr>
      <w:r>
        <w:rPr>
          <w:rStyle w:val="FootnoteReference"/>
        </w:rPr>
        <w:footnoteRef/>
      </w:r>
      <w:r>
        <w:t xml:space="preserve"> </w:t>
      </w:r>
      <w:r>
        <w:rPr>
          <w:i/>
        </w:rPr>
        <w:t>See Broadnet Declaratory Ruling</w:t>
      </w:r>
      <w:r>
        <w:t xml:space="preserve">, 31 FCC </w:t>
      </w:r>
      <w:r>
        <w:t>Rcd</w:t>
      </w:r>
      <w:r>
        <w:t xml:space="preserve"> at 7401-02, para. 16.</w:t>
      </w:r>
    </w:p>
  </w:footnote>
  <w:footnote w:id="9">
    <w:p w:rsidR="009970EB" w:rsidP="006767AC" w14:paraId="4B147CBF" w14:textId="77777777">
      <w:pPr>
        <w:pStyle w:val="FootnoteText"/>
        <w:widowControl w:val="0"/>
      </w:pPr>
      <w:r>
        <w:rPr>
          <w:rStyle w:val="FootnoteReference"/>
        </w:rPr>
        <w:footnoteRef/>
      </w:r>
      <w:r>
        <w:t xml:space="preserve"> Telephone Consumer Protection Act of 1991, Pub. L. No. 102-243, § 2(9); codified at 47 U.S.C. § 227. </w:t>
      </w:r>
    </w:p>
  </w:footnote>
  <w:footnote w:id="10">
    <w:p w:rsidR="009970EB" w:rsidP="006767AC" w14:paraId="6C0295C8" w14:textId="4A00F53D">
      <w:pPr>
        <w:pStyle w:val="FootnoteText"/>
        <w:widowControl w:val="0"/>
      </w:pPr>
      <w:r>
        <w:rPr>
          <w:rStyle w:val="FootnoteReference"/>
        </w:rPr>
        <w:footnoteRef/>
      </w:r>
      <w:r>
        <w:t xml:space="preserve"> Specifically, a caller must get prior express consent</w:t>
      </w:r>
      <w:r w:rsidRPr="00F75839">
        <w:t>:</w:t>
      </w:r>
      <w:r>
        <w:t xml:space="preserve"> </w:t>
      </w:r>
      <w:r w:rsidRPr="00F75839">
        <w:t xml:space="preserve"> (</w:t>
      </w:r>
      <w:r w:rsidRPr="00F75839">
        <w:t xml:space="preserve">1) </w:t>
      </w:r>
      <w:r>
        <w:t xml:space="preserve">when making a telemarketing call to a </w:t>
      </w:r>
      <w:r w:rsidRPr="003F0ACE">
        <w:rPr>
          <w:i/>
          <w:iCs/>
        </w:rPr>
        <w:t>residential</w:t>
      </w:r>
      <w:r>
        <w:t xml:space="preserve"> telephone line using an artificial or prerecorded voice; and (2) when making any call to a </w:t>
      </w:r>
      <w:r w:rsidRPr="003F0ACE">
        <w:rPr>
          <w:i/>
          <w:iCs/>
        </w:rPr>
        <w:t>wireless</w:t>
      </w:r>
      <w:r>
        <w:t xml:space="preserve"> telephone number using an </w:t>
      </w:r>
      <w:r>
        <w:t>autodialer</w:t>
      </w:r>
      <w:r>
        <w:t xml:space="preserve"> or an artificial or prerecorded voice.  47 U.S.C. </w:t>
      </w:r>
      <w:bookmarkStart w:id="7" w:name="_Hlk32907600"/>
      <w:r>
        <w:t>§</w:t>
      </w:r>
      <w:bookmarkEnd w:id="7"/>
      <w:r>
        <w:t xml:space="preserve"> 227(b)(1)(A); 47 CFR § 64.1200(a)(1)-(2).  The restriction also applies to such calls directed to emergency numbers and other specified locations.  An </w:t>
      </w:r>
      <w:r>
        <w:t>autodialer</w:t>
      </w:r>
      <w:r>
        <w:t xml:space="preserve"> is also known as an “automatic telephone dialing system” or an ATDS.  </w:t>
      </w:r>
      <w:r>
        <w:rPr>
          <w:i/>
        </w:rPr>
        <w:t>See</w:t>
      </w:r>
      <w:r>
        <w:t xml:space="preserve"> 47 CFR § 64.1200(a)(2)-(3), (f)(8).  </w:t>
      </w:r>
      <w:r w:rsidRPr="00320E13">
        <w:t>For other robocalls, consent may be oral, written, or demonstrated by a consumer’s actions in particular circumstances.</w:t>
      </w:r>
      <w:r>
        <w:t xml:space="preserve">  </w:t>
      </w:r>
      <w:r>
        <w:rPr>
          <w:i/>
        </w:rPr>
        <w:t>Id.</w:t>
      </w:r>
      <w:r>
        <w:t xml:space="preserve"> § 64.1200(a);</w:t>
      </w:r>
      <w:r w:rsidRPr="00C53843">
        <w:rPr>
          <w:i/>
        </w:rPr>
        <w:t xml:space="preserve"> Rules and Regulations Implementing the Telephone Consumer Protection Act of 1991</w:t>
      </w:r>
      <w:r w:rsidRPr="00C53843">
        <w:t xml:space="preserve">, CG Docket No. 02-278, Report and Order, </w:t>
      </w:r>
      <w:r>
        <w:t xml:space="preserve">27 FCC </w:t>
      </w:r>
      <w:r>
        <w:t>Rcd</w:t>
      </w:r>
      <w:r>
        <w:t xml:space="preserve"> 1830, 1840-42, paras. 27-30 (2012) (</w:t>
      </w:r>
      <w:r>
        <w:rPr>
          <w:i/>
        </w:rPr>
        <w:t>2012 TCPA Order</w:t>
      </w:r>
      <w:r>
        <w:t xml:space="preserve">); </w:t>
      </w:r>
      <w:r w:rsidRPr="00001364">
        <w:rPr>
          <w:i/>
        </w:rPr>
        <w:t>Rules and Regulations Implementing the Telephone Consumer Protection Act of 1991</w:t>
      </w:r>
      <w:r w:rsidRPr="00001364">
        <w:t xml:space="preserve">, CG Docket No. 02-278, Report and Order, 18 FCC </w:t>
      </w:r>
      <w:r w:rsidRPr="00001364">
        <w:t>Rcd</w:t>
      </w:r>
      <w:r w:rsidRPr="00001364">
        <w:t xml:space="preserve"> 14014</w:t>
      </w:r>
      <w:r>
        <w:t>,</w:t>
      </w:r>
      <w:r w:rsidRPr="00001364">
        <w:t xml:space="preserve"> 14</w:t>
      </w:r>
      <w:r>
        <w:t>115</w:t>
      </w:r>
      <w:r w:rsidRPr="00001364">
        <w:t>, para. 1</w:t>
      </w:r>
      <w:r>
        <w:t>65</w:t>
      </w:r>
      <w:r w:rsidRPr="00001364">
        <w:t xml:space="preserve"> (2003) (</w:t>
      </w:r>
      <w:r w:rsidRPr="00001364">
        <w:rPr>
          <w:i/>
        </w:rPr>
        <w:t>2003 TCPA Order</w:t>
      </w:r>
      <w:r w:rsidRPr="00001364">
        <w:t>).</w:t>
      </w:r>
      <w:r w:rsidRPr="009119FE">
        <w:rPr>
          <w:kern w:val="28"/>
          <w:sz w:val="22"/>
        </w:rPr>
        <w:t xml:space="preserve"> </w:t>
      </w:r>
      <w:r>
        <w:rPr>
          <w:kern w:val="28"/>
          <w:sz w:val="22"/>
        </w:rPr>
        <w:t xml:space="preserve"> </w:t>
      </w:r>
      <w:r w:rsidRPr="009119FE">
        <w:t xml:space="preserve">We take no position here on whether the TCPA’s restrictions on ATDS calls encompass automatically dialed calls to any list of numbers, not just calls to random or sequential numbers, </w:t>
      </w:r>
      <w:r>
        <w:t xml:space="preserve">which is </w:t>
      </w:r>
      <w:r w:rsidRPr="009119FE">
        <w:t xml:space="preserve">an issue to be heard by the Supreme Court in </w:t>
      </w:r>
      <w:r w:rsidRPr="009119FE">
        <w:rPr>
          <w:i/>
          <w:iCs/>
        </w:rPr>
        <w:t>Facebook, Inc. v. Duguid et al.</w:t>
      </w:r>
      <w:r>
        <w:t>,</w:t>
      </w:r>
      <w:r w:rsidRPr="009119FE">
        <w:t xml:space="preserve"> No. 19-511 (cert. granted July 9, 2020).</w:t>
      </w:r>
    </w:p>
  </w:footnote>
  <w:footnote w:id="11">
    <w:p w:rsidR="009970EB" w:rsidP="006767AC" w14:paraId="3A391729" w14:textId="28603FDE">
      <w:pPr>
        <w:pStyle w:val="FootnoteText"/>
      </w:pPr>
      <w:r>
        <w:rPr>
          <w:rStyle w:val="FootnoteReference"/>
        </w:rPr>
        <w:footnoteRef/>
      </w:r>
      <w:r>
        <w:t xml:space="preserve"> </w:t>
      </w:r>
      <w:r>
        <w:rPr>
          <w:i/>
        </w:rPr>
        <w:t xml:space="preserve">See </w:t>
      </w:r>
      <w:r>
        <w:t>47 CFR § 64.1200(a)(2), (b).</w:t>
      </w:r>
    </w:p>
  </w:footnote>
  <w:footnote w:id="12">
    <w:p w:rsidR="009970EB" w:rsidP="006767AC" w14:paraId="3B3A6353" w14:textId="77777777">
      <w:pPr>
        <w:pStyle w:val="FootnoteText"/>
        <w:widowControl w:val="0"/>
      </w:pPr>
      <w:r>
        <w:rPr>
          <w:rStyle w:val="FootnoteReference"/>
        </w:rPr>
        <w:footnoteRef/>
      </w:r>
      <w:r>
        <w:t xml:space="preserve"> One exception to these general rules is calls made for emergency purposes.  </w:t>
      </w:r>
      <w:r w:rsidRPr="009E52F3">
        <w:rPr>
          <w:i/>
        </w:rPr>
        <w:t>See</w:t>
      </w:r>
      <w:r>
        <w:t>,</w:t>
      </w:r>
      <w:r>
        <w:rPr>
          <w:i/>
        </w:rPr>
        <w:t xml:space="preserve"> e.g</w:t>
      </w:r>
      <w:r>
        <w:t>., 47 U.S.C.</w:t>
      </w:r>
      <w:r w:rsidRPr="00573C1F">
        <w:rPr>
          <w:snapToGrid w:val="0"/>
          <w:kern w:val="28"/>
          <w:sz w:val="22"/>
        </w:rPr>
        <w:t xml:space="preserve"> </w:t>
      </w:r>
      <w:r w:rsidRPr="00573C1F">
        <w:t>§</w:t>
      </w:r>
      <w:r>
        <w:t xml:space="preserve"> 227(b)(1); 47 CFR </w:t>
      </w:r>
      <w:r w:rsidRPr="00573C1F">
        <w:t>§</w:t>
      </w:r>
      <w:r>
        <w:t xml:space="preserve"> 64.1200(a).  </w:t>
      </w:r>
    </w:p>
  </w:footnote>
  <w:footnote w:id="13">
    <w:p w:rsidR="009970EB" w:rsidP="006767AC" w14:paraId="4A01426A" w14:textId="77777777">
      <w:pPr>
        <w:pStyle w:val="FootnoteText"/>
      </w:pPr>
      <w:r>
        <w:rPr>
          <w:rStyle w:val="FootnoteReference"/>
        </w:rPr>
        <w:footnoteRef/>
      </w:r>
      <w:r>
        <w:t xml:space="preserve"> </w:t>
      </w:r>
      <w:r>
        <w:rPr>
          <w:i/>
        </w:rPr>
        <w:t>See 2017 Call Blocking Order</w:t>
      </w:r>
      <w:r>
        <w:rPr>
          <w:iCs/>
        </w:rPr>
        <w:t xml:space="preserve">, </w:t>
      </w:r>
      <w:r w:rsidRPr="0041448B">
        <w:rPr>
          <w:iCs/>
        </w:rPr>
        <w:t xml:space="preserve">32 FCC </w:t>
      </w:r>
      <w:r w:rsidRPr="0041448B">
        <w:rPr>
          <w:iCs/>
        </w:rPr>
        <w:t>Rcd</w:t>
      </w:r>
      <w:r w:rsidRPr="0041448B">
        <w:rPr>
          <w:iCs/>
        </w:rPr>
        <w:t xml:space="preserve"> 9706</w:t>
      </w:r>
      <w:r>
        <w:t>.</w:t>
      </w:r>
    </w:p>
  </w:footnote>
  <w:footnote w:id="14">
    <w:p w:rsidR="009970EB" w:rsidP="006767AC" w14:paraId="2D5DBF7D" w14:textId="53044428">
      <w:pPr>
        <w:pStyle w:val="FootnoteText"/>
      </w:pPr>
      <w:r>
        <w:rPr>
          <w:rStyle w:val="FootnoteReference"/>
        </w:rPr>
        <w:footnoteRef/>
      </w:r>
      <w:r>
        <w:t xml:space="preserve"> </w:t>
      </w:r>
      <w:r w:rsidRPr="000B1A7D">
        <w:rPr>
          <w:i/>
        </w:rPr>
        <w:t xml:space="preserve">See </w:t>
      </w:r>
      <w:r>
        <w:rPr>
          <w:i/>
        </w:rPr>
        <w:t xml:space="preserve">2019 </w:t>
      </w:r>
      <w:r w:rsidRPr="002B5872">
        <w:rPr>
          <w:i/>
          <w:iCs/>
        </w:rPr>
        <w:t xml:space="preserve">Call Blocking </w:t>
      </w:r>
      <w:r>
        <w:rPr>
          <w:i/>
          <w:iCs/>
        </w:rPr>
        <w:t xml:space="preserve">Declaratory Ruling and </w:t>
      </w:r>
      <w:r w:rsidRPr="002B5872">
        <w:rPr>
          <w:i/>
          <w:iCs/>
        </w:rPr>
        <w:t>Third Further Notice</w:t>
      </w:r>
      <w:r>
        <w:t>,</w:t>
      </w:r>
      <w:r w:rsidRPr="0041448B">
        <w:rPr>
          <w:kern w:val="28"/>
          <w:sz w:val="22"/>
        </w:rPr>
        <w:t xml:space="preserve"> </w:t>
      </w:r>
      <w:r w:rsidRPr="0041448B">
        <w:t xml:space="preserve">34 FCC </w:t>
      </w:r>
      <w:r w:rsidRPr="0041448B">
        <w:t>Rcd</w:t>
      </w:r>
      <w:r w:rsidRPr="0041448B">
        <w:t xml:space="preserve"> 4876</w:t>
      </w:r>
      <w:r w:rsidRPr="002B5872">
        <w:t>.</w:t>
      </w:r>
    </w:p>
  </w:footnote>
  <w:footnote w:id="15">
    <w:p w:rsidR="009970EB" w:rsidP="006767AC" w14:paraId="0087F63B" w14:textId="77777777">
      <w:pPr>
        <w:pStyle w:val="FootnoteText"/>
      </w:pPr>
      <w:r>
        <w:rPr>
          <w:rStyle w:val="FootnoteReference"/>
        </w:rPr>
        <w:footnoteRef/>
      </w:r>
      <w:r>
        <w:t xml:space="preserve"> </w:t>
      </w:r>
      <w:r>
        <w:rPr>
          <w:i/>
        </w:rPr>
        <w:t>Id.</w:t>
      </w:r>
      <w:r>
        <w:t xml:space="preserve"> at 4884-90, paras. 26-42.</w:t>
      </w:r>
    </w:p>
  </w:footnote>
  <w:footnote w:id="16">
    <w:p w:rsidR="009970EB" w:rsidP="006767AC" w14:paraId="7AFDE469" w14:textId="77777777">
      <w:pPr>
        <w:pStyle w:val="FootnoteText"/>
      </w:pPr>
      <w:r>
        <w:rPr>
          <w:rStyle w:val="FootnoteReference"/>
        </w:rPr>
        <w:footnoteRef/>
      </w:r>
      <w:r>
        <w:t xml:space="preserve"> </w:t>
      </w:r>
      <w:r>
        <w:rPr>
          <w:i/>
        </w:rPr>
        <w:t>Id.</w:t>
      </w:r>
      <w:r>
        <w:t xml:space="preserve"> at 4890-91, paras. 43-46.</w:t>
      </w:r>
    </w:p>
  </w:footnote>
  <w:footnote w:id="17">
    <w:p w:rsidR="009970EB" w:rsidP="006767AC" w14:paraId="79308C13" w14:textId="77777777">
      <w:pPr>
        <w:pStyle w:val="FootnoteText"/>
      </w:pPr>
      <w:r>
        <w:rPr>
          <w:rStyle w:val="FootnoteReference"/>
        </w:rPr>
        <w:footnoteRef/>
      </w:r>
      <w:r>
        <w:t xml:space="preserve"> </w:t>
      </w:r>
      <w:r>
        <w:rPr>
          <w:i/>
        </w:rPr>
        <w:t>Id.</w:t>
      </w:r>
      <w:r>
        <w:t xml:space="preserve"> at 4892-96, paras. 49-62.</w:t>
      </w:r>
    </w:p>
  </w:footnote>
  <w:footnote w:id="18">
    <w:p w:rsidR="009970EB" w:rsidP="006767AC" w14:paraId="567AAAEA" w14:textId="77777777">
      <w:pPr>
        <w:pStyle w:val="FootnoteText"/>
      </w:pPr>
      <w:r>
        <w:rPr>
          <w:rStyle w:val="FootnoteReference"/>
        </w:rPr>
        <w:footnoteRef/>
      </w:r>
      <w:r>
        <w:t xml:space="preserve"> </w:t>
      </w:r>
      <w:r>
        <w:rPr>
          <w:i/>
        </w:rPr>
        <w:t>Id.</w:t>
      </w:r>
      <w:r>
        <w:t xml:space="preserve"> at 4896-98, paras. 63-70.</w:t>
      </w:r>
    </w:p>
  </w:footnote>
  <w:footnote w:id="19">
    <w:p w:rsidR="009970EB" w:rsidP="006767AC" w14:paraId="3AFBB025" w14:textId="396EDF20">
      <w:pPr>
        <w:pStyle w:val="FootnoteText"/>
      </w:pPr>
      <w:r>
        <w:rPr>
          <w:rStyle w:val="FootnoteReference"/>
        </w:rPr>
        <w:footnoteRef/>
      </w:r>
      <w:r>
        <w:t xml:space="preserve"> </w:t>
      </w:r>
      <w:r w:rsidRPr="00C16A5B">
        <w:rPr>
          <w:i/>
        </w:rPr>
        <w:t xml:space="preserve">See </w:t>
      </w:r>
      <w:r>
        <w:rPr>
          <w:i/>
        </w:rPr>
        <w:t>2019 Call Blocking Declaratory Ruling and Third Further Notice</w:t>
      </w:r>
      <w:r>
        <w:t xml:space="preserve">; </w:t>
      </w:r>
      <w:r>
        <w:rPr>
          <w:i/>
        </w:rPr>
        <w:t>Call Authentication Trust Anchor</w:t>
      </w:r>
      <w:r>
        <w:t xml:space="preserve">, WC Docket No. 17-97, Notice of Inquiry, 32 FCC </w:t>
      </w:r>
      <w:r>
        <w:t>Rcd</w:t>
      </w:r>
      <w:r>
        <w:t xml:space="preserve"> 5988 (2017); Press Release, FCC, </w:t>
      </w:r>
      <w:r w:rsidRPr="00D41B3A">
        <w:t>Chairman Pai Sent Letters To Voice Service Providers In November, Demanding That They Move Forward On Caller ID Authentication</w:t>
      </w:r>
      <w:r>
        <w:t xml:space="preserve"> (Nov. 5, 2018), </w:t>
      </w:r>
      <w:hyperlink r:id="rId1" w:history="1">
        <w:r w:rsidRPr="002104B6">
          <w:rPr>
            <w:rStyle w:val="Hyperlink"/>
          </w:rPr>
          <w:t>https://www.fcc.gov/document/chairman-pai-demands-industry-adopt-protocols-end-illegal-spoofing</w:t>
        </w:r>
      </w:hyperlink>
      <w:r>
        <w:t xml:space="preserve"> (last visited Nov. 12, 2020).</w:t>
      </w:r>
    </w:p>
  </w:footnote>
  <w:footnote w:id="20">
    <w:p w:rsidR="009970EB" w:rsidP="006767AC" w14:paraId="64A14CD0" w14:textId="77777777">
      <w:pPr>
        <w:pStyle w:val="FootnoteText"/>
      </w:pPr>
      <w:r>
        <w:rPr>
          <w:rStyle w:val="FootnoteReference"/>
        </w:rPr>
        <w:footnoteRef/>
      </w:r>
      <w:r>
        <w:t xml:space="preserve"> </w:t>
      </w:r>
      <w:r w:rsidRPr="00174881">
        <w:rPr>
          <w:rFonts w:ascii="TimesNewRoman,Italic" w:hAnsi="TimesNewRoman,Italic" w:cs="TimesNewRoman,Italic"/>
          <w:i/>
          <w:iCs/>
        </w:rPr>
        <w:t>Advanced Methods to Target and Eliminate Unlawful Robocalls</w:t>
      </w:r>
      <w:r w:rsidRPr="00174881">
        <w:t xml:space="preserve">, </w:t>
      </w:r>
      <w:r>
        <w:t xml:space="preserve">CG Docket No. 17-59, Second </w:t>
      </w:r>
      <w:r w:rsidRPr="00174881">
        <w:t>Report and Order</w:t>
      </w:r>
      <w:r>
        <w:t xml:space="preserve">, 33 FCC </w:t>
      </w:r>
      <w:r>
        <w:t>Rcd</w:t>
      </w:r>
      <w:r>
        <w:t xml:space="preserve"> 12024 (2018) (</w:t>
      </w:r>
      <w:r>
        <w:rPr>
          <w:i/>
        </w:rPr>
        <w:t>Reassigned Numbers Order</w:t>
      </w:r>
      <w:r>
        <w:t xml:space="preserve">).  </w:t>
      </w:r>
    </w:p>
  </w:footnote>
  <w:footnote w:id="21">
    <w:p w:rsidR="009970EB" w:rsidP="006767AC" w14:paraId="1B0CAB72" w14:textId="77777777">
      <w:pPr>
        <w:pStyle w:val="FootnoteText"/>
      </w:pPr>
      <w:r>
        <w:rPr>
          <w:rStyle w:val="FootnoteReference"/>
        </w:rPr>
        <w:footnoteRef/>
      </w:r>
      <w:r>
        <w:t xml:space="preserve"> Pallone-Thune Telephone Robocall Abuse Criminal Enforcement and Deterrence Act (TRACED Act), Pub. L. 116-105 (2019).</w:t>
      </w:r>
    </w:p>
  </w:footnote>
  <w:footnote w:id="22">
    <w:p w:rsidR="009970EB" w:rsidP="006767AC" w14:paraId="5019ECC2" w14:textId="77777777">
      <w:pPr>
        <w:pStyle w:val="FootnoteText"/>
      </w:pPr>
      <w:r>
        <w:rPr>
          <w:rStyle w:val="FootnoteReference"/>
        </w:rPr>
        <w:footnoteRef/>
      </w:r>
      <w:r>
        <w:t xml:space="preserve"> </w:t>
      </w:r>
      <w:r>
        <w:rPr>
          <w:i/>
          <w:iCs/>
        </w:rPr>
        <w:t>See id.</w:t>
      </w:r>
    </w:p>
  </w:footnote>
  <w:footnote w:id="23">
    <w:p w:rsidR="009970EB" w:rsidRPr="00945A01" w:rsidP="006767AC" w14:paraId="0D9CBF19" w14:textId="77777777">
      <w:pPr>
        <w:pStyle w:val="FootnoteText"/>
      </w:pPr>
      <w:r>
        <w:rPr>
          <w:rStyle w:val="FootnoteReference"/>
        </w:rPr>
        <w:footnoteRef/>
      </w:r>
      <w:r>
        <w:t xml:space="preserve"> </w:t>
      </w:r>
      <w:r>
        <w:rPr>
          <w:i/>
          <w:iCs/>
        </w:rPr>
        <w:t xml:space="preserve">See </w:t>
      </w:r>
      <w:r w:rsidRPr="00945A01">
        <w:t>National Employment Network Association Petition for Expedited Declaratory Ruling, CG Docket No. 02-278 (filed Aug. 19, 2014) (National Employment Petition</w:t>
      </w:r>
      <w:r w:rsidRPr="0064076C">
        <w:rPr>
          <w:iCs/>
        </w:rPr>
        <w:t>);</w:t>
      </w:r>
      <w:r w:rsidRPr="00945A01">
        <w:rPr>
          <w:i/>
        </w:rPr>
        <w:t xml:space="preserve"> </w:t>
      </w:r>
      <w:r w:rsidRPr="00945A01">
        <w:t>RTI International Petition for Expedited Declaratory Ruling, CG Docket No. 02-278 (</w:t>
      </w:r>
      <w:r>
        <w:t xml:space="preserve">filed </w:t>
      </w:r>
      <w:r w:rsidRPr="00945A01">
        <w:t>Sept. 29, 2014) (RTI Petition); Petition of Broadnet Teleservices LLC for Declaratory Ruling, CG Docket No. 02-278 (filed Sept. 16, 2015) (Broadnet Petition).</w:t>
      </w:r>
    </w:p>
  </w:footnote>
  <w:footnote w:id="24">
    <w:p w:rsidR="009970EB" w:rsidP="006767AC" w14:paraId="515BD5C8" w14:textId="77777777">
      <w:pPr>
        <w:pStyle w:val="FootnoteText"/>
      </w:pPr>
      <w:r>
        <w:rPr>
          <w:rStyle w:val="FootnoteReference"/>
        </w:rPr>
        <w:footnoteRef/>
      </w:r>
      <w:r>
        <w:t xml:space="preserve"> National Employment Petition at 1.</w:t>
      </w:r>
    </w:p>
  </w:footnote>
  <w:footnote w:id="25">
    <w:p w:rsidR="009970EB" w:rsidP="006767AC" w14:paraId="4B25403C" w14:textId="77777777">
      <w:pPr>
        <w:pStyle w:val="FootnoteText"/>
      </w:pPr>
      <w:r>
        <w:rPr>
          <w:rStyle w:val="FootnoteReference"/>
        </w:rPr>
        <w:footnoteRef/>
      </w:r>
      <w:r>
        <w:t xml:space="preserve"> RTI Petition at 1.</w:t>
      </w:r>
    </w:p>
  </w:footnote>
  <w:footnote w:id="26">
    <w:p w:rsidR="009970EB" w:rsidP="006767AC" w14:paraId="6F1E0AD2" w14:textId="77777777">
      <w:pPr>
        <w:pStyle w:val="FootnoteText"/>
      </w:pPr>
      <w:r>
        <w:rPr>
          <w:rStyle w:val="FootnoteReference"/>
        </w:rPr>
        <w:footnoteRef/>
      </w:r>
      <w:r>
        <w:t xml:space="preserve"> Broadnet Petition at 2.</w:t>
      </w:r>
    </w:p>
  </w:footnote>
  <w:footnote w:id="27">
    <w:p w:rsidR="009970EB" w:rsidP="006767AC" w14:paraId="6E921000" w14:textId="77777777">
      <w:pPr>
        <w:pStyle w:val="FootnoteText"/>
      </w:pPr>
      <w:r>
        <w:rPr>
          <w:rStyle w:val="FootnoteReference"/>
        </w:rPr>
        <w:footnoteRef/>
      </w:r>
      <w:r>
        <w:t xml:space="preserve"> S</w:t>
      </w:r>
      <w:r>
        <w:rPr>
          <w:i/>
        </w:rPr>
        <w:t>ee Broadnet Declaratory Ruling</w:t>
      </w:r>
      <w:r>
        <w:t xml:space="preserve">, 31 FCC </w:t>
      </w:r>
      <w:r>
        <w:t>Rcd</w:t>
      </w:r>
      <w:r>
        <w:t xml:space="preserve"> at 7398-405, paras. 10-19</w:t>
      </w:r>
      <w:r>
        <w:rPr>
          <w:i/>
        </w:rPr>
        <w:t xml:space="preserve"> </w:t>
      </w:r>
      <w:r>
        <w:t>(the TCPA’s prohibitions as applied</w:t>
      </w:r>
      <w:r w:rsidRPr="001577FA">
        <w:t xml:space="preserve"> to calls placed by or on behalf of state and lo</w:t>
      </w:r>
      <w:r>
        <w:t>cal governments was not addressed).</w:t>
      </w:r>
    </w:p>
  </w:footnote>
  <w:footnote w:id="28">
    <w:p w:rsidR="009970EB" w:rsidP="006767AC" w14:paraId="747CB79F" w14:textId="125B38C6">
      <w:pPr>
        <w:pStyle w:val="FootnoteText"/>
      </w:pPr>
      <w:r>
        <w:rPr>
          <w:rStyle w:val="FootnoteReference"/>
        </w:rPr>
        <w:footnoteRef/>
      </w:r>
      <w:r>
        <w:t xml:space="preserve"> </w:t>
      </w:r>
      <w:r>
        <w:rPr>
          <w:i/>
        </w:rPr>
        <w:t xml:space="preserve">Id. </w:t>
      </w:r>
      <w:r>
        <w:t xml:space="preserve">at 7399, para. 12 (citing </w:t>
      </w:r>
      <w:r>
        <w:rPr>
          <w:i/>
        </w:rPr>
        <w:t>Vt. Agency of Nat. Resources</w:t>
      </w:r>
      <w:r>
        <w:t>, 529 U.S. at 781).</w:t>
      </w:r>
    </w:p>
  </w:footnote>
  <w:footnote w:id="29">
    <w:p w:rsidR="009970EB" w:rsidP="006767AC" w14:paraId="6F9D570E" w14:textId="77777777">
      <w:pPr>
        <w:pStyle w:val="FootnoteText"/>
      </w:pPr>
      <w:r>
        <w:rPr>
          <w:rStyle w:val="FootnoteReference"/>
        </w:rPr>
        <w:footnoteRef/>
      </w:r>
      <w:r>
        <w:t xml:space="preserve"> </w:t>
      </w:r>
      <w:r>
        <w:rPr>
          <w:i/>
        </w:rPr>
        <w:t>Id.</w:t>
      </w:r>
      <w:r>
        <w:t xml:space="preserve"> </w:t>
      </w:r>
      <w:r w:rsidRPr="00052BEC">
        <w:t>at 7399</w:t>
      </w:r>
      <w:r>
        <w:t>-400</w:t>
      </w:r>
      <w:r w:rsidRPr="00052BEC">
        <w:t>, para. 12.</w:t>
      </w:r>
    </w:p>
  </w:footnote>
  <w:footnote w:id="30">
    <w:p w:rsidR="009970EB" w:rsidP="006767AC" w14:paraId="02219D84" w14:textId="77777777">
      <w:pPr>
        <w:pStyle w:val="FootnoteText"/>
      </w:pPr>
      <w:r>
        <w:rPr>
          <w:rStyle w:val="FootnoteReference"/>
        </w:rPr>
        <w:footnoteRef/>
      </w:r>
      <w:r>
        <w:t xml:space="preserve"> </w:t>
      </w:r>
      <w:r>
        <w:rPr>
          <w:i/>
        </w:rPr>
        <w:t>Id.</w:t>
      </w:r>
      <w:r>
        <w:t xml:space="preserve"> at 7402, para. 17.</w:t>
      </w:r>
    </w:p>
  </w:footnote>
  <w:footnote w:id="31">
    <w:p w:rsidR="009970EB" w:rsidP="006767AC" w14:paraId="5EA473F1" w14:textId="77777777">
      <w:pPr>
        <w:pStyle w:val="FootnoteText"/>
      </w:pPr>
      <w:r>
        <w:rPr>
          <w:rStyle w:val="FootnoteReference"/>
        </w:rPr>
        <w:footnoteRef/>
      </w:r>
      <w:r>
        <w:t xml:space="preserve"> </w:t>
      </w:r>
      <w:r>
        <w:rPr>
          <w:i/>
        </w:rPr>
        <w:t xml:space="preserve">Id. </w:t>
      </w:r>
      <w:r>
        <w:t>at 7402, para. 17 &amp; n.79.</w:t>
      </w:r>
    </w:p>
  </w:footnote>
  <w:footnote w:id="32">
    <w:p w:rsidR="009970EB" w:rsidP="006767AC" w14:paraId="6600DE16" w14:textId="77777777">
      <w:pPr>
        <w:pStyle w:val="FootnoteText"/>
      </w:pPr>
      <w:r>
        <w:rPr>
          <w:rStyle w:val="FootnoteReference"/>
        </w:rPr>
        <w:footnoteRef/>
      </w:r>
      <w:r>
        <w:t xml:space="preserve"> </w:t>
      </w:r>
      <w:r>
        <w:rPr>
          <w:bCs/>
          <w:i/>
        </w:rPr>
        <w:t>Id.</w:t>
      </w:r>
      <w:r>
        <w:rPr>
          <w:bCs/>
        </w:rPr>
        <w:t xml:space="preserve"> at 7399, para. 11.</w:t>
      </w:r>
    </w:p>
  </w:footnote>
  <w:footnote w:id="33">
    <w:p w:rsidR="009970EB" w:rsidP="006767AC" w14:paraId="4A54D44C" w14:textId="77777777">
      <w:pPr>
        <w:pStyle w:val="FootnoteText"/>
      </w:pPr>
      <w:r>
        <w:rPr>
          <w:rStyle w:val="FootnoteReference"/>
        </w:rPr>
        <w:footnoteRef/>
      </w:r>
      <w:r>
        <w:t xml:space="preserve"> </w:t>
      </w:r>
      <w:r>
        <w:rPr>
          <w:i/>
        </w:rPr>
        <w:t xml:space="preserve">See </w:t>
      </w:r>
      <w:r w:rsidRPr="00A720E0">
        <w:rPr>
          <w:iCs/>
        </w:rPr>
        <w:t>Petition of National Consumer Law Center et al. for Reconsideration of Declaratory Ruling and Request for Stay Pending Reconsideration</w:t>
      </w:r>
      <w:r w:rsidRPr="00F75839">
        <w:t xml:space="preserve">, CG Docket No. 02-278, (filed July 26, 2016) (NCLC Petition); </w:t>
      </w:r>
      <w:r w:rsidRPr="00A720E0">
        <w:rPr>
          <w:iCs/>
        </w:rPr>
        <w:t>Professional Services Council Petition for Reconsideration</w:t>
      </w:r>
      <w:r w:rsidRPr="00F75839">
        <w:t>, CG Docket No. 02-278 (filed Aug. 4, 2016) (PSC Petition)</w:t>
      </w:r>
      <w:r>
        <w:t>.</w:t>
      </w:r>
    </w:p>
  </w:footnote>
  <w:footnote w:id="34">
    <w:p w:rsidR="009970EB" w:rsidRPr="00281449" w:rsidP="006767AC" w14:paraId="33614D70" w14:textId="1DEE7BF7">
      <w:pPr>
        <w:pStyle w:val="FootnoteText"/>
      </w:pPr>
      <w:r>
        <w:rPr>
          <w:rStyle w:val="FootnoteReference"/>
        </w:rPr>
        <w:footnoteRef/>
      </w:r>
      <w:r>
        <w:t xml:space="preserve"> In </w:t>
      </w:r>
      <w:r>
        <w:rPr>
          <w:i/>
          <w:iCs/>
        </w:rPr>
        <w:t>Barr v. American Association of Political Consultants, Inc.</w:t>
      </w:r>
      <w:r>
        <w:t xml:space="preserve">, 140 </w:t>
      </w:r>
      <w:r>
        <w:t>S.Ct</w:t>
      </w:r>
      <w:r>
        <w:t>. 2335 (2020)</w:t>
      </w:r>
      <w:r w:rsidR="003E3ABC">
        <w:t xml:space="preserve"> (</w:t>
      </w:r>
      <w:r w:rsidRPr="003E3ABC" w:rsidR="003E3ABC">
        <w:rPr>
          <w:i/>
          <w:iCs/>
        </w:rPr>
        <w:t>Barr</w:t>
      </w:r>
      <w:r w:rsidR="003E3ABC">
        <w:t>)</w:t>
      </w:r>
      <w:r>
        <w:t xml:space="preserve">, the Supreme Court determined that the amendment to the TCPA that created an exception for calls made to collect a debt owed to or guaranteed by the federal government violated the First Amendment and that it must be invalidated and severed from the remainder of the TCPA.  </w:t>
      </w:r>
      <w:r>
        <w:rPr>
          <w:i/>
          <w:iCs/>
        </w:rPr>
        <w:t>Id.</w:t>
      </w:r>
      <w:r>
        <w:t xml:space="preserve"> at 2347.</w:t>
      </w:r>
    </w:p>
  </w:footnote>
  <w:footnote w:id="35">
    <w:p w:rsidR="009970EB" w:rsidP="006767AC" w14:paraId="36E495C2" w14:textId="77777777">
      <w:pPr>
        <w:pStyle w:val="FootnoteText"/>
      </w:pPr>
      <w:r>
        <w:rPr>
          <w:rStyle w:val="FootnoteReference"/>
        </w:rPr>
        <w:footnoteRef/>
      </w:r>
      <w:r>
        <w:t xml:space="preserve"> </w:t>
      </w:r>
      <w:r w:rsidRPr="00C865E8">
        <w:rPr>
          <w:iCs/>
        </w:rPr>
        <w:t>NCLC Petition at 2-3, 6-9, 7-8, 10, 11-12, 13-15;</w:t>
      </w:r>
      <w:r>
        <w:t xml:space="preserve"> </w:t>
      </w:r>
      <w:r>
        <w:rPr>
          <w:i/>
        </w:rPr>
        <w:t>Campbell-Ewald Company v. Gomez</w:t>
      </w:r>
      <w:r>
        <w:t xml:space="preserve">, 136 </w:t>
      </w:r>
      <w:r>
        <w:t>S.Ct</w:t>
      </w:r>
      <w:r>
        <w:t>. 663, 672 (2016) (</w:t>
      </w:r>
      <w:r>
        <w:rPr>
          <w:i/>
        </w:rPr>
        <w:t>Campbell-Ewald</w:t>
      </w:r>
      <w:r>
        <w:t>)</w:t>
      </w:r>
      <w:r w:rsidRPr="00757FF4">
        <w:t>.</w:t>
      </w:r>
    </w:p>
  </w:footnote>
  <w:footnote w:id="36">
    <w:p w:rsidR="009970EB" w:rsidP="006767AC" w14:paraId="7A5205AB" w14:textId="77777777">
      <w:pPr>
        <w:pStyle w:val="FootnoteText"/>
      </w:pPr>
      <w:r>
        <w:rPr>
          <w:rStyle w:val="FootnoteReference"/>
        </w:rPr>
        <w:footnoteRef/>
      </w:r>
      <w:r>
        <w:t xml:space="preserve"> PSC Petition at 1.  </w:t>
      </w:r>
    </w:p>
  </w:footnote>
  <w:footnote w:id="37">
    <w:p w:rsidR="009970EB" w:rsidP="006767AC" w14:paraId="37B07B4A" w14:textId="77777777">
      <w:pPr>
        <w:pStyle w:val="FootnoteText"/>
      </w:pPr>
      <w:r>
        <w:rPr>
          <w:rStyle w:val="FootnoteReference"/>
        </w:rPr>
        <w:footnoteRef/>
      </w:r>
      <w:r>
        <w:t xml:space="preserve"> </w:t>
      </w:r>
      <w:r>
        <w:rPr>
          <w:i/>
        </w:rPr>
        <w:t>See Consumer and Governmental Affairs Bureau Seeks Comment on Professional Services Council Petition for Reconsideration of FCC’s Broadnet Declaratory Ruling</w:t>
      </w:r>
      <w:r>
        <w:t xml:space="preserve">, CG Docket No. 02-278, 31 FCC </w:t>
      </w:r>
      <w:r>
        <w:t>Rcd</w:t>
      </w:r>
      <w:r>
        <w:t xml:space="preserve"> 8931 (2016) (</w:t>
      </w:r>
      <w:r>
        <w:rPr>
          <w:i/>
        </w:rPr>
        <w:t>PSC Public Notice</w:t>
      </w:r>
      <w:r>
        <w:t>);</w:t>
      </w:r>
      <w:r w:rsidRPr="008B0878">
        <w:rPr>
          <w:i/>
          <w:snapToGrid w:val="0"/>
          <w:kern w:val="28"/>
          <w:sz w:val="22"/>
        </w:rPr>
        <w:t xml:space="preserve"> </w:t>
      </w:r>
      <w:r w:rsidRPr="008B0878">
        <w:rPr>
          <w:i/>
        </w:rPr>
        <w:t xml:space="preserve">Consumer and Governmental Affairs Bureau Seeks Comment on </w:t>
      </w:r>
      <w:r>
        <w:rPr>
          <w:i/>
        </w:rPr>
        <w:t>National Consumer Law Center</w:t>
      </w:r>
      <w:r w:rsidRPr="008B0878">
        <w:rPr>
          <w:i/>
        </w:rPr>
        <w:t xml:space="preserve"> Petition for Reconsideration of FCC’s Broadnet Declaratory Ruling</w:t>
      </w:r>
      <w:r w:rsidRPr="008B0878">
        <w:t xml:space="preserve">, CG </w:t>
      </w:r>
      <w:r>
        <w:t xml:space="preserve">Docket No. 02-278, 31 FCC </w:t>
      </w:r>
      <w:r>
        <w:t>Rcd</w:t>
      </w:r>
      <w:r>
        <w:t xml:space="preserve"> 8725</w:t>
      </w:r>
      <w:r w:rsidRPr="008B0878">
        <w:t xml:space="preserve"> (2016)</w:t>
      </w:r>
      <w:r>
        <w:t xml:space="preserve"> (</w:t>
      </w:r>
      <w:r>
        <w:rPr>
          <w:i/>
        </w:rPr>
        <w:t>NCLC Public Notice</w:t>
      </w:r>
      <w:r>
        <w:t xml:space="preserve">).  </w:t>
      </w:r>
    </w:p>
  </w:footnote>
  <w:footnote w:id="38">
    <w:p w:rsidR="009970EB" w:rsidP="006767AC" w14:paraId="08769DA1" w14:textId="77777777">
      <w:pPr>
        <w:pStyle w:val="FootnoteText"/>
      </w:pPr>
      <w:r>
        <w:rPr>
          <w:rStyle w:val="FootnoteReference"/>
        </w:rPr>
        <w:footnoteRef/>
      </w:r>
      <w:r>
        <w:t xml:space="preserve"> </w:t>
      </w:r>
      <w:r>
        <w:rPr>
          <w:i/>
        </w:rPr>
        <w:t xml:space="preserve">See </w:t>
      </w:r>
      <w:r w:rsidRPr="00D14C37">
        <w:rPr>
          <w:i/>
        </w:rPr>
        <w:t>ACA Int’l et al. v. FCC</w:t>
      </w:r>
      <w:r w:rsidRPr="00D14C37">
        <w:t>, 885 F.3d 687 (D.C. Cir. 2018) (</w:t>
      </w:r>
      <w:r w:rsidRPr="00D14C37">
        <w:rPr>
          <w:i/>
        </w:rPr>
        <w:t>ACA Int’l</w:t>
      </w:r>
      <w:r w:rsidRPr="00D14C37">
        <w:t xml:space="preserve">) (affirming in part and vacating in part </w:t>
      </w:r>
      <w:r w:rsidRPr="00D14C37">
        <w:rPr>
          <w:i/>
        </w:rPr>
        <w:t>Rules and Regulations Implementing the Telephone Consumer Protection Act of 1991</w:t>
      </w:r>
      <w:r w:rsidRPr="00D14C37">
        <w:t xml:space="preserve">, CG Docket No. 02-278, WC Docket No. 07-135, Declaratory Ruling and Order, 30 FCC </w:t>
      </w:r>
      <w:r w:rsidRPr="00D14C37">
        <w:t>Rcd</w:t>
      </w:r>
      <w:r w:rsidRPr="00D14C37">
        <w:t xml:space="preserve"> 7961 (2015))</w:t>
      </w:r>
      <w:r>
        <w:t xml:space="preserve">; </w:t>
      </w:r>
      <w:r>
        <w:rPr>
          <w:i/>
        </w:rPr>
        <w:t xml:space="preserve">see also </w:t>
      </w:r>
      <w:r w:rsidRPr="00AB007F">
        <w:rPr>
          <w:i/>
        </w:rPr>
        <w:t>Consumer and Governmental Affairs Bureau Seeks Comments on Interpretation of the Telephone Consumer Protection Act in Light of the D.C. Circuit’s ACA International Decision</w:t>
      </w:r>
      <w:r w:rsidRPr="00AB007F">
        <w:t xml:space="preserve">, CG Docket Nos. 18-152 and 02-278, Public Notice, 33 FCC </w:t>
      </w:r>
      <w:r w:rsidRPr="00AB007F">
        <w:t>Rcd</w:t>
      </w:r>
      <w:r w:rsidRPr="00AB007F">
        <w:t xml:space="preserve"> 4864 </w:t>
      </w:r>
      <w:r>
        <w:t xml:space="preserve">(2018) </w:t>
      </w:r>
      <w:r w:rsidRPr="00625B67">
        <w:t>(</w:t>
      </w:r>
      <w:r w:rsidRPr="00625B67">
        <w:rPr>
          <w:i/>
        </w:rPr>
        <w:t>ACA Public Notice</w:t>
      </w:r>
      <w:r w:rsidRPr="007A4B8F">
        <w:t>)</w:t>
      </w:r>
      <w:r>
        <w:t xml:space="preserve">.  The Public Notice also sought comment on various issues arising directly from </w:t>
      </w:r>
      <w:r w:rsidRPr="00CD12CD">
        <w:rPr>
          <w:i/>
        </w:rPr>
        <w:t>ACA Int’l</w:t>
      </w:r>
      <w:r>
        <w:t xml:space="preserve">.  </w:t>
      </w:r>
      <w:r w:rsidRPr="000C06E0">
        <w:t xml:space="preserve">Approximately 310,400 total comments were filed in the two </w:t>
      </w:r>
      <w:r>
        <w:t xml:space="preserve">relevant </w:t>
      </w:r>
      <w:r w:rsidRPr="000C06E0">
        <w:t xml:space="preserve">dockets during the comment period.  In addition to the substantive comments filed by the 130 individuals and organizations listed in </w:t>
      </w:r>
      <w:r w:rsidRPr="003E43A7">
        <w:t xml:space="preserve">Appendix </w:t>
      </w:r>
      <w:r>
        <w:t>A</w:t>
      </w:r>
      <w:r w:rsidRPr="000C06E0">
        <w:t xml:space="preserve">, we received over 310,000 </w:t>
      </w:r>
      <w:r>
        <w:t xml:space="preserve">brief, non-substantive </w:t>
      </w:r>
      <w:r w:rsidRPr="000C06E0">
        <w:t>comments</w:t>
      </w:r>
      <w:r>
        <w:t xml:space="preserve"> of which </w:t>
      </w:r>
      <w:r w:rsidRPr="000C06E0">
        <w:t>over 262,000 were duplicate filings.</w:t>
      </w:r>
      <w:r>
        <w:t xml:space="preserve">  We consider a comment duplicative if </w:t>
      </w:r>
      <w:r w:rsidRPr="000C06E0">
        <w:t>it has the same filer, address, and comment text</w:t>
      </w:r>
      <w:r>
        <w:t xml:space="preserve">.  The Commission is reviewing the record on the issues addressed in </w:t>
      </w:r>
      <w:r>
        <w:rPr>
          <w:i/>
        </w:rPr>
        <w:t xml:space="preserve">ACA Int’l </w:t>
      </w:r>
      <w:r>
        <w:t xml:space="preserve">and </w:t>
      </w:r>
      <w:r w:rsidRPr="007265EB">
        <w:t>intends to address</w:t>
      </w:r>
      <w:r>
        <w:t xml:space="preserve"> them in a future action.</w:t>
      </w:r>
    </w:p>
  </w:footnote>
  <w:footnote w:id="39">
    <w:p w:rsidR="009970EB" w:rsidP="006767AC" w14:paraId="4989D180" w14:textId="77777777">
      <w:pPr>
        <w:pStyle w:val="FootnoteText"/>
      </w:pPr>
      <w:r>
        <w:rPr>
          <w:rStyle w:val="FootnoteReference"/>
        </w:rPr>
        <w:footnoteRef/>
      </w:r>
      <w:r>
        <w:t xml:space="preserve"> </w:t>
      </w:r>
      <w:r>
        <w:rPr>
          <w:i/>
        </w:rPr>
        <w:t xml:space="preserve">See </w:t>
      </w:r>
      <w:r>
        <w:t xml:space="preserve">47 U.S.C. </w:t>
      </w:r>
      <w:r w:rsidRPr="00FD2C6C">
        <w:t>§§</w:t>
      </w:r>
      <w:r>
        <w:t xml:space="preserve"> 153(39), 227(b)(1).</w:t>
      </w:r>
      <w:r w:rsidRPr="00D35BB7">
        <w:t xml:space="preserve"> </w:t>
      </w:r>
      <w:r>
        <w:t xml:space="preserve"> In addition, the “Dictionary Act,” enacted by Congress to provide a set of definitions applicable to all federal acts in the absence of another specific definition in a given statute, provides that “[</w:t>
      </w:r>
      <w:r>
        <w:t>i</w:t>
      </w:r>
      <w:r>
        <w:t xml:space="preserve">]n determining the meaning of any Act of Congress, unless context indicates otherwise . . . the words ‘person’ and ‘whoever’ include corporations, companies, associations, firms, partnerships, societies, and joint stock companies, as well as individuals.”  </w:t>
      </w:r>
      <w:r>
        <w:rPr>
          <w:i/>
        </w:rPr>
        <w:t xml:space="preserve">See </w:t>
      </w:r>
      <w:r>
        <w:t xml:space="preserve">1 U.S.C. </w:t>
      </w:r>
      <w:r w:rsidRPr="001A4304">
        <w:t>§</w:t>
      </w:r>
      <w:r>
        <w:t xml:space="preserve"> 1; </w:t>
      </w:r>
      <w:r>
        <w:rPr>
          <w:i/>
        </w:rPr>
        <w:t>see also</w:t>
      </w:r>
      <w:r>
        <w:t xml:space="preserve"> Cunningham Comments at 2.</w:t>
      </w:r>
    </w:p>
  </w:footnote>
  <w:footnote w:id="40">
    <w:p w:rsidR="009970EB" w:rsidP="006767AC" w14:paraId="4736F530" w14:textId="77777777">
      <w:pPr>
        <w:pStyle w:val="FootnoteText"/>
      </w:pPr>
      <w:r>
        <w:rPr>
          <w:rStyle w:val="FootnoteReference"/>
        </w:rPr>
        <w:footnoteRef/>
      </w:r>
      <w:r>
        <w:t xml:space="preserve"> </w:t>
      </w:r>
      <w:r w:rsidRPr="00C07493">
        <w:rPr>
          <w:i/>
          <w:iCs/>
        </w:rPr>
        <w:t>See</w:t>
      </w:r>
      <w:r>
        <w:t xml:space="preserve"> </w:t>
      </w:r>
      <w:r w:rsidRPr="00947BB7">
        <w:rPr>
          <w:i/>
          <w:iCs/>
        </w:rPr>
        <w:t>Barr</w:t>
      </w:r>
      <w:r>
        <w:t xml:space="preserve">, 140 </w:t>
      </w:r>
      <w:r>
        <w:t>S.Ct</w:t>
      </w:r>
      <w:r>
        <w:t>. at n.1 (“</w:t>
      </w:r>
      <w:r w:rsidRPr="00C07493">
        <w:t xml:space="preserve">The robocall restriction applies to </w:t>
      </w:r>
      <w:r>
        <w:t>‘</w:t>
      </w:r>
      <w:r w:rsidRPr="00C07493">
        <w:t>persons,</w:t>
      </w:r>
      <w:r>
        <w:t>’</w:t>
      </w:r>
      <w:r w:rsidRPr="00C07493">
        <w:t xml:space="preserve"> which does not include the Government itself.</w:t>
      </w:r>
      <w:r>
        <w:t xml:space="preserve">”).  </w:t>
      </w:r>
      <w:r w:rsidRPr="00C07493">
        <w:t>We</w:t>
      </w:r>
      <w:r>
        <w:t xml:space="preserve"> note that, because the TCPA does not apply to the federal government’s actions, it cannot apply to federal government employees acting in their official capacities.  </w:t>
      </w:r>
      <w:r>
        <w:rPr>
          <w:i/>
          <w:iCs/>
        </w:rPr>
        <w:t xml:space="preserve">Cf. </w:t>
      </w:r>
      <w:r w:rsidRPr="00C96DB9">
        <w:rPr>
          <w:i/>
          <w:iCs/>
        </w:rPr>
        <w:t>Will v. Mich. Dep</w:t>
      </w:r>
      <w:r w:rsidRPr="00B91F15">
        <w:rPr>
          <w:i/>
          <w:iCs/>
        </w:rPr>
        <w:t>’</w:t>
      </w:r>
      <w:r w:rsidRPr="00C96DB9">
        <w:rPr>
          <w:i/>
          <w:iCs/>
        </w:rPr>
        <w:t>t of State Police</w:t>
      </w:r>
      <w:r>
        <w:t xml:space="preserve">, 491 U.S. 58, 71 (1989) (“Obviously, state officials literally are persons.  But a suit against a state official in his or her official capacity is not a suit against the official but rather is a suit against the official’s office.”).  A conclusion otherwise would be nonsensical.  Here, because the federal government can </w:t>
      </w:r>
      <w:r w:rsidRPr="00C96DB9">
        <w:rPr>
          <w:i/>
          <w:iCs/>
        </w:rPr>
        <w:t>only</w:t>
      </w:r>
      <w:r>
        <w:t xml:space="preserve"> act through literal persons, the context does not permit the term “person” or “individual” to include a federal employee when performing official duties or otherwise acting solely on behalf of a federal agency.  </w:t>
      </w:r>
      <w:r w:rsidRPr="00D00F39">
        <w:rPr>
          <w:i/>
          <w:iCs/>
        </w:rPr>
        <w:t>See</w:t>
      </w:r>
      <w:r w:rsidRPr="00C96DB9">
        <w:t>,</w:t>
      </w:r>
      <w:r w:rsidRPr="00D00F39">
        <w:rPr>
          <w:i/>
          <w:iCs/>
        </w:rPr>
        <w:t xml:space="preserve"> e.g.</w:t>
      </w:r>
      <w:r w:rsidRPr="00C96DB9">
        <w:t>,</w:t>
      </w:r>
      <w:r w:rsidRPr="00D00F39">
        <w:rPr>
          <w:i/>
          <w:iCs/>
        </w:rPr>
        <w:t xml:space="preserve"> Bond v. United States</w:t>
      </w:r>
      <w:r>
        <w:t xml:space="preserve">, 134 S. Ct. 2077, 2090-91 (2014) (holding that definitional terms must be construed with regard to context and statutory purpose).  </w:t>
      </w:r>
    </w:p>
  </w:footnote>
  <w:footnote w:id="41">
    <w:p w:rsidR="009970EB" w:rsidP="006767AC" w14:paraId="22691C8A" w14:textId="63F7DA7C">
      <w:pPr>
        <w:pStyle w:val="FootnoteText"/>
      </w:pPr>
      <w:r>
        <w:rPr>
          <w:rStyle w:val="FootnoteReference"/>
        </w:rPr>
        <w:footnoteRef/>
      </w:r>
      <w:r>
        <w:t xml:space="preserve"> Cunningham Comments at 2.  In one limited instance based upon a “literal reading of the [TCPA],” the Commission concluded that it had authority under section 227(b)(2)(H) “to </w:t>
      </w:r>
      <w:r w:rsidRPr="00FF24F4">
        <w:t xml:space="preserve">adopt number-and-duration limits that apply to all government debt collection calls, irrespective of whether they were made by a </w:t>
      </w:r>
      <w:r>
        <w:t>‘</w:t>
      </w:r>
      <w:r w:rsidRPr="00FF24F4">
        <w:t>person.</w:t>
      </w:r>
      <w:r>
        <w:t xml:space="preserve">’”  </w:t>
      </w:r>
      <w:r w:rsidRPr="002B1DF9" w:rsidR="002B1DF9">
        <w:rPr>
          <w:i/>
          <w:iCs/>
        </w:rPr>
        <w:t>Rules and Regulations Implementing the Telephone Consumer Protection Act of 1991</w:t>
      </w:r>
      <w:r w:rsidRPr="002B1DF9" w:rsidR="002B1DF9">
        <w:t xml:space="preserve">, CG Docket No. 02-278, Report and Order, 31 FCC </w:t>
      </w:r>
      <w:r w:rsidRPr="002B1DF9" w:rsidR="002B1DF9">
        <w:t>Rcd</w:t>
      </w:r>
      <w:r w:rsidRPr="002B1DF9" w:rsidR="002B1DF9">
        <w:t xml:space="preserve"> 9074, 9100, para. 64 (2016)</w:t>
      </w:r>
      <w:r w:rsidR="004016D1">
        <w:t xml:space="preserve">.  </w:t>
      </w:r>
      <w:r w:rsidRPr="00CA37D4">
        <w:t>That ruling was specifically limited to a class of calls (those to collect certain government-</w:t>
      </w:r>
      <w:r w:rsidRPr="00CA37D4">
        <w:t>owed</w:t>
      </w:r>
      <w:r w:rsidRPr="00CA37D4">
        <w:t xml:space="preserve"> debts) that the Commission concluded were not subject to section 227(b)(1).</w:t>
      </w:r>
      <w:r>
        <w:t xml:space="preserve">  </w:t>
      </w:r>
    </w:p>
  </w:footnote>
  <w:footnote w:id="42">
    <w:p w:rsidR="009970EB" w:rsidP="006767AC" w14:paraId="35789567" w14:textId="77777777">
      <w:pPr>
        <w:pStyle w:val="FootnoteText"/>
      </w:pPr>
      <w:r>
        <w:rPr>
          <w:rStyle w:val="FootnoteReference"/>
        </w:rPr>
        <w:footnoteRef/>
      </w:r>
      <w:r>
        <w:t xml:space="preserve"> </w:t>
      </w:r>
      <w:r>
        <w:rPr>
          <w:i/>
        </w:rPr>
        <w:t>See</w:t>
      </w:r>
      <w:r w:rsidRPr="000B2243">
        <w:t>,</w:t>
      </w:r>
      <w:r>
        <w:rPr>
          <w:i/>
        </w:rPr>
        <w:t xml:space="preserve"> e.g.</w:t>
      </w:r>
      <w:r>
        <w:t xml:space="preserve">, NCLC Petition at 15; </w:t>
      </w:r>
      <w:r w:rsidRPr="00C763A0">
        <w:t>Consumer Action</w:t>
      </w:r>
      <w:r>
        <w:t xml:space="preserve"> Comments at 2; CU Comments at</w:t>
      </w:r>
      <w:r w:rsidRPr="00C763A0">
        <w:t xml:space="preserve"> 2</w:t>
      </w:r>
      <w:r>
        <w:t>; NCLC Comments at</w:t>
      </w:r>
      <w:r w:rsidRPr="00C763A0">
        <w:t xml:space="preserve"> 41; </w:t>
      </w:r>
      <w:r>
        <w:t xml:space="preserve">John A. </w:t>
      </w:r>
      <w:r w:rsidRPr="00C763A0">
        <w:t>Shaw Reply</w:t>
      </w:r>
      <w:r>
        <w:t xml:space="preserve"> Comments at</w:t>
      </w:r>
      <w:r w:rsidRPr="00C763A0">
        <w:t xml:space="preserve"> 3; </w:t>
      </w:r>
      <w:r>
        <w:t xml:space="preserve">Robert </w:t>
      </w:r>
      <w:r w:rsidRPr="00C763A0">
        <w:t>Biggerstaff</w:t>
      </w:r>
      <w:r>
        <w:t xml:space="preserve"> 2016 Comments at 8 (Biggerstaff); Burke Law Offices, LLC 2016 Comments at 1; CU 2016 Comments at 5; Indiana and Missouri Attorneys General 2016 Comments at 1-2 (Indiana and Missouri AG).  Our decision here is consistent with the Supreme Court’s decision in </w:t>
      </w:r>
      <w:r w:rsidRPr="00C96DB9">
        <w:rPr>
          <w:i/>
          <w:iCs/>
        </w:rPr>
        <w:t>Campbell-Ewald</w:t>
      </w:r>
      <w:r w:rsidRPr="000A61AA">
        <w:t>,</w:t>
      </w:r>
      <w:r>
        <w:rPr>
          <w:i/>
          <w:iCs/>
        </w:rPr>
        <w:t xml:space="preserve"> </w:t>
      </w:r>
      <w:r w:rsidRPr="00C96DB9">
        <w:t xml:space="preserve">which </w:t>
      </w:r>
      <w:r>
        <w:t>assumed that a contractor was a “person” under</w:t>
      </w:r>
      <w:r w:rsidRPr="00C96DB9">
        <w:t xml:space="preserve"> the TCPA</w:t>
      </w:r>
      <w:r>
        <w:t xml:space="preserve">.  The courts may of course apply </w:t>
      </w:r>
      <w:r w:rsidRPr="00C96DB9">
        <w:rPr>
          <w:i/>
          <w:iCs/>
        </w:rPr>
        <w:t>Campbell-Ewald</w:t>
      </w:r>
      <w:r>
        <w:t xml:space="preserve"> to determine whether and when contractors are protected by derivative immunity.   </w:t>
      </w:r>
    </w:p>
  </w:footnote>
  <w:footnote w:id="43">
    <w:p w:rsidR="009970EB" w:rsidP="00227F16" w14:paraId="6E085DE4" w14:textId="4C3BD1D8">
      <w:pPr>
        <w:pStyle w:val="FootnoteText"/>
      </w:pPr>
      <w:r>
        <w:rPr>
          <w:rStyle w:val="FootnoteReference"/>
        </w:rPr>
        <w:footnoteRef/>
      </w:r>
      <w:r>
        <w:t xml:space="preserve"> </w:t>
      </w:r>
      <w:r>
        <w:rPr>
          <w:i/>
        </w:rPr>
        <w:t>See</w:t>
      </w:r>
      <w:r w:rsidRPr="000B2243">
        <w:t>,</w:t>
      </w:r>
      <w:r>
        <w:rPr>
          <w:i/>
        </w:rPr>
        <w:t xml:space="preserve"> e.g.</w:t>
      </w:r>
      <w:r w:rsidRPr="000B2243">
        <w:t>,</w:t>
      </w:r>
      <w:r>
        <w:t xml:space="preserve"> </w:t>
      </w:r>
      <w:r w:rsidRPr="00227F16" w:rsidR="00227F16">
        <w:rPr>
          <w:i/>
        </w:rPr>
        <w:t>Cunningham v. Gen. Dynamics Info. Tech., Inc</w:t>
      </w:r>
      <w:r w:rsidRPr="00227F16" w:rsidR="00227F16">
        <w:rPr>
          <w:iCs/>
        </w:rPr>
        <w:t>., 888 F.3d 640, 643 (4th Cir 2014)</w:t>
      </w:r>
      <w:r w:rsidR="00227F16">
        <w:rPr>
          <w:i/>
        </w:rPr>
        <w:t xml:space="preserve"> </w:t>
      </w:r>
      <w:r>
        <w:t>(“‘[U]</w:t>
      </w:r>
      <w:r>
        <w:t>nder</w:t>
      </w:r>
      <w:r>
        <w:t xml:space="preserve"> </w:t>
      </w:r>
      <w:r w:rsidRPr="00316FA0">
        <w:rPr>
          <w:i/>
        </w:rPr>
        <w:t>Yearsley</w:t>
      </w:r>
      <w:r>
        <w:t xml:space="preserve">, a government contractor is not subject to suit if (1) the government authorized the contractor’s actions and (2) the government ‘validly conferred’ that authorization . . . .’”); Biggerstaff 2016 Comments at 3 (“a government contractor can assert derivative immunity”); Indiana and Missouri AG 2016 Comments at 2; </w:t>
      </w:r>
      <w:r>
        <w:rPr>
          <w:i/>
        </w:rPr>
        <w:t>Campbell-Ewald</w:t>
      </w:r>
      <w:r>
        <w:t xml:space="preserve">, 136 </w:t>
      </w:r>
      <w:r>
        <w:t>S.Ct</w:t>
      </w:r>
      <w:r>
        <w:t>. at 672 (“[G]</w:t>
      </w:r>
      <w:r>
        <w:t>overnment</w:t>
      </w:r>
      <w:r>
        <w:t xml:space="preserve"> contractors obtain certain immunity in connection with work which they do pursuant to their contractual undertakings with the United States.”) (</w:t>
      </w:r>
      <w:r w:rsidRPr="00271A05">
        <w:t>citing</w:t>
      </w:r>
      <w:r>
        <w:t xml:space="preserve"> </w:t>
      </w:r>
      <w:r w:rsidRPr="0094065D">
        <w:rPr>
          <w:i/>
        </w:rPr>
        <w:t>Brady v. Roosevelt Steamship Co.</w:t>
      </w:r>
      <w:r w:rsidRPr="0094065D">
        <w:t>, 371 U.S. 575, 583 (1943)</w:t>
      </w:r>
      <w:r>
        <w:t xml:space="preserve">).  </w:t>
      </w:r>
      <w:r w:rsidRPr="00965333">
        <w:rPr>
          <w:i/>
        </w:rPr>
        <w:t>See</w:t>
      </w:r>
      <w:r w:rsidRPr="00965333">
        <w:t xml:space="preserve"> </w:t>
      </w:r>
      <w:r w:rsidRPr="007A4B8F">
        <w:rPr>
          <w:i/>
        </w:rPr>
        <w:t>also</w:t>
      </w:r>
      <w:r>
        <w:t xml:space="preserve"> RTI Comments at </w:t>
      </w:r>
      <w:r w:rsidRPr="00965333">
        <w:t xml:space="preserve">8 (“RTI recognizes that, despite the persuasive legal and policy reasons for upholding the Broadnet Decision, the Commission may instead decide to narrow it by reconsidering the prior finding that contractors acting within the scope of an agency relationship with the federal government are not </w:t>
      </w:r>
      <w:r>
        <w:t>‘</w:t>
      </w:r>
      <w:r w:rsidRPr="00965333">
        <w:t>persons</w:t>
      </w:r>
      <w:r>
        <w:t>’</w:t>
      </w:r>
      <w:r w:rsidRPr="00965333">
        <w:t xml:space="preserve"> under Section 227(b)(1). </w:t>
      </w:r>
      <w:r>
        <w:t xml:space="preserve"> </w:t>
      </w:r>
      <w:r w:rsidRPr="00965333">
        <w:t>Should this occur, it is critical that the Commission leave the issue of derivative immunity to the courts.”).</w:t>
      </w:r>
      <w:r>
        <w:t xml:space="preserve">  </w:t>
      </w:r>
    </w:p>
  </w:footnote>
  <w:footnote w:id="44">
    <w:p w:rsidR="009970EB" w:rsidP="006767AC" w14:paraId="5206ECFD" w14:textId="77777777">
      <w:pPr>
        <w:pStyle w:val="FootnoteText"/>
      </w:pPr>
      <w:r>
        <w:rPr>
          <w:rStyle w:val="FootnoteReference"/>
        </w:rPr>
        <w:footnoteRef/>
      </w:r>
      <w:r>
        <w:t xml:space="preserve"> </w:t>
      </w:r>
      <w:r w:rsidRPr="006B6F41">
        <w:rPr>
          <w:i/>
        </w:rPr>
        <w:t xml:space="preserve">See </w:t>
      </w:r>
      <w:r>
        <w:rPr>
          <w:i/>
        </w:rPr>
        <w:t>Joint Petition filed by DISH Network</w:t>
      </w:r>
      <w:r w:rsidRPr="006D5801">
        <w:rPr>
          <w:iCs/>
        </w:rPr>
        <w:t>,</w:t>
      </w:r>
      <w:r>
        <w:rPr>
          <w:i/>
        </w:rPr>
        <w:t xml:space="preserve"> </w:t>
      </w:r>
      <w:r w:rsidRPr="00FE3DA2">
        <w:t xml:space="preserve">CG Docket No. 11-50, Declaratory Ruling, 28 FCC </w:t>
      </w:r>
      <w:r w:rsidRPr="00FE3DA2">
        <w:t>Rcd</w:t>
      </w:r>
      <w:r w:rsidRPr="00FE3DA2">
        <w:t xml:space="preserve"> 6574, 6584-93, paras. 29-47 (2013)</w:t>
      </w:r>
      <w:r>
        <w:rPr>
          <w:i/>
        </w:rPr>
        <w:t xml:space="preserve"> </w:t>
      </w:r>
      <w:r w:rsidRPr="00A720E0">
        <w:rPr>
          <w:iCs/>
        </w:rPr>
        <w:t>(</w:t>
      </w:r>
      <w:r>
        <w:rPr>
          <w:i/>
        </w:rPr>
        <w:t>DISH Declaratory Ruling</w:t>
      </w:r>
      <w:r w:rsidRPr="00A720E0">
        <w:rPr>
          <w:iCs/>
        </w:rPr>
        <w:t>)</w:t>
      </w:r>
      <w:r>
        <w:rPr>
          <w:i/>
        </w:rPr>
        <w:t>.</w:t>
      </w:r>
    </w:p>
  </w:footnote>
  <w:footnote w:id="45">
    <w:p w:rsidR="009970EB" w:rsidP="006767AC" w14:paraId="6EBE74CF" w14:textId="2DEE1C8B">
      <w:pPr>
        <w:pStyle w:val="ParaNum"/>
        <w:numPr>
          <w:ilvl w:val="0"/>
          <w:numId w:val="0"/>
        </w:numPr>
      </w:pPr>
      <w:r w:rsidRPr="00AA5386">
        <w:rPr>
          <w:rStyle w:val="FootnoteReference"/>
        </w:rPr>
        <w:footnoteRef/>
      </w:r>
      <w:r w:rsidRPr="00AA5386">
        <w:t xml:space="preserve"> </w:t>
      </w:r>
      <w:r w:rsidRPr="00BF451E">
        <w:rPr>
          <w:i/>
          <w:sz w:val="20"/>
        </w:rPr>
        <w:t>See</w:t>
      </w:r>
      <w:r w:rsidRPr="00BF451E">
        <w:rPr>
          <w:sz w:val="20"/>
        </w:rPr>
        <w:t>,</w:t>
      </w:r>
      <w:r w:rsidRPr="00BF451E">
        <w:rPr>
          <w:i/>
          <w:sz w:val="20"/>
        </w:rPr>
        <w:t xml:space="preserve"> e.g.</w:t>
      </w:r>
      <w:r w:rsidRPr="00BF451E">
        <w:rPr>
          <w:sz w:val="20"/>
        </w:rPr>
        <w:t xml:space="preserve">, Broadnet 2016 Comments at 3-4; Eliza Corp 2016 Comments at 12. </w:t>
      </w:r>
      <w:r>
        <w:rPr>
          <w:sz w:val="20"/>
        </w:rPr>
        <w:t xml:space="preserve"> Although t</w:t>
      </w:r>
      <w:r w:rsidRPr="00BF451E">
        <w:rPr>
          <w:sz w:val="20"/>
        </w:rPr>
        <w:t xml:space="preserve">he Department of Commerce has </w:t>
      </w:r>
      <w:r>
        <w:rPr>
          <w:sz w:val="20"/>
        </w:rPr>
        <w:t>opposed</w:t>
      </w:r>
      <w:r w:rsidRPr="00BF451E">
        <w:rPr>
          <w:sz w:val="20"/>
        </w:rPr>
        <w:t xml:space="preserve"> reconsideration of the </w:t>
      </w:r>
      <w:r w:rsidRPr="00BF451E">
        <w:rPr>
          <w:i/>
          <w:sz w:val="20"/>
        </w:rPr>
        <w:t>Broadnet Declaratory Ruling</w:t>
      </w:r>
      <w:r w:rsidRPr="00BF451E">
        <w:rPr>
          <w:sz w:val="20"/>
        </w:rPr>
        <w:t xml:space="preserve"> on the grounds that it would “adversely affect Federal agencies’ ability to perform their critical missions” and “increase the cost of business to the Government and taxpayers</w:t>
      </w:r>
      <w:r>
        <w:rPr>
          <w:sz w:val="20"/>
        </w:rPr>
        <w:t>,</w:t>
      </w:r>
      <w:r w:rsidRPr="00BF451E">
        <w:rPr>
          <w:sz w:val="20"/>
        </w:rPr>
        <w:t>”</w:t>
      </w:r>
      <w:r>
        <w:rPr>
          <w:sz w:val="20"/>
        </w:rPr>
        <w:t xml:space="preserve"> the Department explains that nonetheless the activities of the Census Bureau and its contractors would not violate the TCPA because they “use a live agent to call specific numbers provided by respondents to the Census Bureau staff.” </w:t>
      </w:r>
      <w:r>
        <w:t xml:space="preserve"> </w:t>
      </w:r>
      <w:r>
        <w:rPr>
          <w:sz w:val="20"/>
        </w:rPr>
        <w:t xml:space="preserve">Letter from William Ross, Secretary of Commerce, U.S. Dept. of Commerce to </w:t>
      </w:r>
      <w:r>
        <w:rPr>
          <w:sz w:val="20"/>
        </w:rPr>
        <w:t>Ajit</w:t>
      </w:r>
      <w:r>
        <w:rPr>
          <w:sz w:val="20"/>
        </w:rPr>
        <w:t xml:space="preserve"> Pai, Chairman, FCC (April 4, 2019).  We agree that where live agents are used to make calls only to numbers provided by called parties as part of their prior express consent to receive calls about the census, such calls would not violate the TCPA.</w:t>
      </w:r>
    </w:p>
  </w:footnote>
  <w:footnote w:id="46">
    <w:p w:rsidR="009970EB" w:rsidP="006767AC" w14:paraId="1B940D4E" w14:textId="22C9C881">
      <w:pPr>
        <w:pStyle w:val="FootnoteText"/>
      </w:pPr>
      <w:r>
        <w:rPr>
          <w:rStyle w:val="FootnoteReference"/>
        </w:rPr>
        <w:footnoteRef/>
      </w:r>
      <w:r>
        <w:t xml:space="preserve"> </w:t>
      </w:r>
      <w:r>
        <w:rPr>
          <w:i/>
        </w:rPr>
        <w:t>See</w:t>
      </w:r>
      <w:r>
        <w:t xml:space="preserve"> 47 U.S.C. </w:t>
      </w:r>
      <w:r w:rsidRPr="0032062F">
        <w:t>§</w:t>
      </w:r>
      <w:r>
        <w:t xml:space="preserve"> 227(b)(1); 47 CFR </w:t>
      </w:r>
      <w:r w:rsidRPr="0032062F">
        <w:t>§</w:t>
      </w:r>
      <w:r>
        <w:t xml:space="preserve"> 64.1200(a)(1); </w:t>
      </w:r>
      <w:r>
        <w:rPr>
          <w:i/>
        </w:rPr>
        <w:t>see also</w:t>
      </w:r>
      <w:r>
        <w:t xml:space="preserve"> 47 CFR </w:t>
      </w:r>
      <w:r w:rsidRPr="0032062F">
        <w:t>§</w:t>
      </w:r>
      <w:r>
        <w:t xml:space="preserve"> 64.1200(f)(4) (defining an “emergency purpose” as “calls made necessary in any situation affecting the health and safety of consumers”); </w:t>
      </w:r>
      <w:r w:rsidRPr="00271A05">
        <w:rPr>
          <w:i/>
        </w:rPr>
        <w:t>Blackboard, Inc. Petition for Expedited Declaratory Ruling, Edison Electric Institute and American Gas Association Petition for Expedited Declaratory Ruling</w:t>
      </w:r>
      <w:r w:rsidRPr="000228B6">
        <w:t xml:space="preserve">, CG Docket No. 02-278, Declaratory Ruling, 31 FCC </w:t>
      </w:r>
      <w:r w:rsidRPr="000228B6">
        <w:t>Rcd</w:t>
      </w:r>
      <w:r w:rsidRPr="000228B6">
        <w:t xml:space="preserve"> 9054 (2016) </w:t>
      </w:r>
      <w:r w:rsidRPr="000F1E6A">
        <w:t>(</w:t>
      </w:r>
      <w:r w:rsidRPr="00271A05">
        <w:t>setting forth types of school and utility calls that qualify as “emergency purpose” calls</w:t>
      </w:r>
      <w:r w:rsidRPr="000F1E6A">
        <w:t>)</w:t>
      </w:r>
      <w:r>
        <w:t xml:space="preserve"> (</w:t>
      </w:r>
      <w:r>
        <w:rPr>
          <w:i/>
          <w:iCs/>
        </w:rPr>
        <w:t>Blackboard Declaratory Ruling</w:t>
      </w:r>
      <w:r>
        <w:t xml:space="preserve">); </w:t>
      </w:r>
      <w:r w:rsidRPr="000A48AB">
        <w:rPr>
          <w:i/>
          <w:iCs/>
        </w:rPr>
        <w:t>see also</w:t>
      </w:r>
      <w:r>
        <w:t xml:space="preserve"> </w:t>
      </w:r>
      <w:r>
        <w:rPr>
          <w:i/>
          <w:iCs/>
        </w:rPr>
        <w:t>Rules and Regulations Implementing the Telephone Consumer Protection Act of 1991</w:t>
      </w:r>
      <w:r>
        <w:t xml:space="preserve">, CG Docket No. 02-278, Declaratory Ruling, 35 FCC </w:t>
      </w:r>
      <w:r>
        <w:t>Rcd</w:t>
      </w:r>
      <w:r>
        <w:t xml:space="preserve"> 2840 (CGB 2020) (confirming that “</w:t>
      </w:r>
      <w:r w:rsidRPr="00DA6795">
        <w:t xml:space="preserve">the COVID-19 pandemic constitutes an </w:t>
      </w:r>
      <w:r>
        <w:t>‘</w:t>
      </w:r>
      <w:r w:rsidRPr="00DA6795">
        <w:t>emergency</w:t>
      </w:r>
      <w:r>
        <w:t>’</w:t>
      </w:r>
      <w:r w:rsidRPr="00DA6795">
        <w:t xml:space="preserve"> under the </w:t>
      </w:r>
      <w:r>
        <w:t>[TCPA]</w:t>
      </w:r>
      <w:r w:rsidRPr="00DA6795">
        <w:t xml:space="preserve"> and that consequently </w:t>
      </w:r>
      <w:r>
        <w:t>. . .</w:t>
      </w:r>
      <w:r w:rsidRPr="00DA6795">
        <w:t xml:space="preserve"> government officials may lawfully communicate information about the novel coronavirus as well as mitigation measures without violating federal law</w:t>
      </w:r>
      <w:r>
        <w:t>”) (</w:t>
      </w:r>
      <w:r w:rsidRPr="000A48AB">
        <w:rPr>
          <w:i/>
          <w:iCs/>
        </w:rPr>
        <w:t>COVID-19 Declaratory Ruling</w:t>
      </w:r>
      <w:r>
        <w:t>).</w:t>
      </w:r>
    </w:p>
  </w:footnote>
  <w:footnote w:id="47">
    <w:p w:rsidR="009970EB" w:rsidP="006767AC" w14:paraId="19CF3697" w14:textId="77777777">
      <w:pPr>
        <w:pStyle w:val="FootnoteText"/>
      </w:pPr>
      <w:r>
        <w:rPr>
          <w:rStyle w:val="FootnoteReference"/>
        </w:rPr>
        <w:footnoteRef/>
      </w:r>
      <w:r>
        <w:t xml:space="preserve"> According to Broadnet, these calls use a technology platform that enables members of government to engage in conversations with large numbers of citizens.  </w:t>
      </w:r>
      <w:r>
        <w:rPr>
          <w:i/>
        </w:rPr>
        <w:t>S</w:t>
      </w:r>
      <w:r w:rsidRPr="00485B0B">
        <w:rPr>
          <w:i/>
        </w:rPr>
        <w:t>ee</w:t>
      </w:r>
      <w:r>
        <w:t xml:space="preserve"> Letter from </w:t>
      </w:r>
      <w:r w:rsidRPr="00FB4B13">
        <w:t xml:space="preserve">Joshua M. </w:t>
      </w:r>
      <w:r w:rsidRPr="00FB4B13">
        <w:t>Bercu</w:t>
      </w:r>
      <w:r>
        <w:t xml:space="preserve">, </w:t>
      </w:r>
      <w:r w:rsidRPr="00FB4B13">
        <w:t>Wilkinson Barker Knauer, LLP</w:t>
      </w:r>
      <w:r>
        <w:t xml:space="preserve"> to Marlene H. Dortch, Secretary, Federal Communications Commission, CG Docket Nos. 18-152,</w:t>
      </w:r>
      <w:r w:rsidRPr="00FB4B13">
        <w:t xml:space="preserve"> 02-278</w:t>
      </w:r>
      <w:r>
        <w:t xml:space="preserve"> at 2 (filed July 26, 2018).</w:t>
      </w:r>
    </w:p>
  </w:footnote>
  <w:footnote w:id="48">
    <w:p w:rsidR="009970EB" w:rsidP="006767AC" w14:paraId="3D6DFCBF" w14:textId="77777777">
      <w:pPr>
        <w:pStyle w:val="FootnoteText"/>
      </w:pPr>
      <w:r>
        <w:rPr>
          <w:rStyle w:val="FootnoteReference"/>
        </w:rPr>
        <w:footnoteRef/>
      </w:r>
      <w:r>
        <w:t xml:space="preserve"> </w:t>
      </w:r>
      <w:r>
        <w:rPr>
          <w:i/>
        </w:rPr>
        <w:t>DISH Declaratory Ruling</w:t>
      </w:r>
      <w:r>
        <w:t xml:space="preserve">, 28 FCC </w:t>
      </w:r>
      <w:r>
        <w:t>Rcd</w:t>
      </w:r>
      <w:r>
        <w:t xml:space="preserve"> at 6583, para. 26.</w:t>
      </w:r>
      <w:r>
        <w:rPr>
          <w:i/>
        </w:rPr>
        <w:t xml:space="preserve">  </w:t>
      </w:r>
      <w:r>
        <w:t>The m</w:t>
      </w:r>
      <w:r w:rsidRPr="00BF79F5">
        <w:t xml:space="preserve">ulti-factor analysis </w:t>
      </w:r>
      <w:r>
        <w:t xml:space="preserve">for </w:t>
      </w:r>
      <w:r w:rsidRPr="00BF79F5">
        <w:t>determin</w:t>
      </w:r>
      <w:r>
        <w:t>ing</w:t>
      </w:r>
      <w:r w:rsidRPr="00BF79F5">
        <w:t xml:space="preserve"> liability of third parties under the TCPA </w:t>
      </w:r>
      <w:r>
        <w:t xml:space="preserve">is </w:t>
      </w:r>
      <w:r w:rsidRPr="00BF79F5">
        <w:t xml:space="preserve">set forth in </w:t>
      </w:r>
      <w:r>
        <w:t xml:space="preserve">the </w:t>
      </w:r>
      <w:r w:rsidRPr="0066657A">
        <w:rPr>
          <w:i/>
        </w:rPr>
        <w:t>DISH Declaratory Ruling</w:t>
      </w:r>
      <w:r w:rsidRPr="00BF79F5">
        <w:t xml:space="preserve">, </w:t>
      </w:r>
      <w:r>
        <w:t xml:space="preserve">the </w:t>
      </w:r>
      <w:r w:rsidRPr="0066657A">
        <w:rPr>
          <w:i/>
        </w:rPr>
        <w:t>2015 TCPA Order</w:t>
      </w:r>
      <w:r w:rsidRPr="00BF79F5">
        <w:t xml:space="preserve">, and </w:t>
      </w:r>
      <w:r>
        <w:t xml:space="preserve">the </w:t>
      </w:r>
      <w:r w:rsidRPr="0066657A">
        <w:rPr>
          <w:i/>
        </w:rPr>
        <w:t>Dialing Services Forfeiture Order</w:t>
      </w:r>
      <w:r>
        <w:rPr>
          <w:i/>
        </w:rPr>
        <w:t>.  See DISH Declaratory Ruling</w:t>
      </w:r>
      <w:r w:rsidRPr="000B2243">
        <w:t>,</w:t>
      </w:r>
      <w:r>
        <w:rPr>
          <w:i/>
        </w:rPr>
        <w:t xml:space="preserve"> </w:t>
      </w:r>
      <w:r>
        <w:t xml:space="preserve">28 FCC </w:t>
      </w:r>
      <w:r>
        <w:t>Rcd</w:t>
      </w:r>
      <w:r>
        <w:t xml:space="preserve"> at 6583-84, paras. 26-27; </w:t>
      </w:r>
      <w:r w:rsidRPr="0082518D">
        <w:rPr>
          <w:i/>
        </w:rPr>
        <w:t xml:space="preserve">2015 TCPA </w:t>
      </w:r>
      <w:r w:rsidRPr="0082518D">
        <w:rPr>
          <w:i/>
          <w:snapToGrid w:val="0"/>
          <w:kern w:val="28"/>
        </w:rPr>
        <w:t>Order</w:t>
      </w:r>
      <w:r>
        <w:t xml:space="preserve">, 30 FCC </w:t>
      </w:r>
      <w:r>
        <w:t>Rcd</w:t>
      </w:r>
      <w:r>
        <w:t xml:space="preserve"> at 7980-84, paras. 30-37; </w:t>
      </w:r>
      <w:r w:rsidRPr="008C6465">
        <w:rPr>
          <w:i/>
        </w:rPr>
        <w:t>Dialing Services, LLC</w:t>
      </w:r>
      <w:r w:rsidRPr="008C6465">
        <w:t xml:space="preserve">, Forfeiture Order, 32 FCC </w:t>
      </w:r>
      <w:r w:rsidRPr="008C6465">
        <w:t>Rcd</w:t>
      </w:r>
      <w:r w:rsidRPr="008C6465">
        <w:t xml:space="preserve"> 6192</w:t>
      </w:r>
      <w:r>
        <w:t>, 6195-99, paras. 9-18</w:t>
      </w:r>
      <w:r w:rsidRPr="008C6465">
        <w:t xml:space="preserve"> (2017)</w:t>
      </w:r>
      <w:r>
        <w:t>.</w:t>
      </w:r>
    </w:p>
  </w:footnote>
  <w:footnote w:id="49">
    <w:p w:rsidR="009970EB" w:rsidP="006767AC" w14:paraId="3F860693" w14:textId="77777777">
      <w:pPr>
        <w:pStyle w:val="FootnoteText"/>
      </w:pPr>
      <w:r>
        <w:rPr>
          <w:rStyle w:val="FootnoteReference"/>
        </w:rPr>
        <w:footnoteRef/>
      </w:r>
      <w:r>
        <w:t xml:space="preserve"> </w:t>
      </w:r>
      <w:r>
        <w:rPr>
          <w:i/>
        </w:rPr>
        <w:t xml:space="preserve">2015 TCPA </w:t>
      </w:r>
      <w:r w:rsidRPr="00CC2454">
        <w:rPr>
          <w:i/>
        </w:rPr>
        <w:t>Order</w:t>
      </w:r>
      <w:r>
        <w:t xml:space="preserve">, 30 FCC </w:t>
      </w:r>
      <w:r>
        <w:t>Rcd</w:t>
      </w:r>
      <w:r w:rsidRPr="004A19CE">
        <w:rPr>
          <w:i/>
        </w:rPr>
        <w:t xml:space="preserve">. </w:t>
      </w:r>
      <w:r w:rsidRPr="004A19CE">
        <w:t>at 7980-81, para. 30.</w:t>
      </w:r>
    </w:p>
  </w:footnote>
  <w:footnote w:id="50">
    <w:p w:rsidR="009970EB" w:rsidP="006767AC" w14:paraId="13B7116B" w14:textId="77777777">
      <w:pPr>
        <w:pStyle w:val="FootnoteText"/>
      </w:pPr>
      <w:r>
        <w:rPr>
          <w:rStyle w:val="FootnoteReference"/>
        </w:rPr>
        <w:footnoteRef/>
      </w:r>
      <w:r>
        <w:t xml:space="preserve"> </w:t>
      </w:r>
      <w:r w:rsidRPr="000407C4">
        <w:rPr>
          <w:i/>
        </w:rPr>
        <w:t>Id.</w:t>
      </w:r>
      <w:r w:rsidRPr="000407C4">
        <w:t xml:space="preserve"> at 7980, </w:t>
      </w:r>
      <w:r w:rsidRPr="004A19CE">
        <w:rPr>
          <w:color w:val="010101"/>
        </w:rPr>
        <w:t>7982, para</w:t>
      </w:r>
      <w:r>
        <w:rPr>
          <w:color w:val="010101"/>
        </w:rPr>
        <w:t>s.</w:t>
      </w:r>
      <w:r w:rsidRPr="004A19CE">
        <w:rPr>
          <w:color w:val="010101"/>
        </w:rPr>
        <w:t xml:space="preserve"> 30, 33.</w:t>
      </w:r>
    </w:p>
  </w:footnote>
  <w:footnote w:id="51">
    <w:p w:rsidR="009970EB" w:rsidP="006767AC" w14:paraId="7123EB71" w14:textId="77777777">
      <w:pPr>
        <w:pStyle w:val="FootnoteText"/>
      </w:pPr>
      <w:r>
        <w:rPr>
          <w:rStyle w:val="FootnoteReference"/>
        </w:rPr>
        <w:footnoteRef/>
      </w:r>
      <w:r>
        <w:t xml:space="preserve"> </w:t>
      </w:r>
      <w:r>
        <w:rPr>
          <w:i/>
        </w:rPr>
        <w:t xml:space="preserve">Id.  </w:t>
      </w:r>
    </w:p>
  </w:footnote>
  <w:footnote w:id="52">
    <w:p w:rsidR="009970EB" w:rsidP="006767AC" w14:paraId="0A0C4963" w14:textId="77777777">
      <w:pPr>
        <w:pStyle w:val="FootnoteText"/>
      </w:pPr>
      <w:r>
        <w:rPr>
          <w:rStyle w:val="FootnoteReference"/>
        </w:rPr>
        <w:footnoteRef/>
      </w:r>
      <w:r>
        <w:t xml:space="preserve"> </w:t>
      </w:r>
      <w:r w:rsidRPr="00527503">
        <w:rPr>
          <w:i/>
        </w:rPr>
        <w:t>Id</w:t>
      </w:r>
      <w:r>
        <w:t>.</w:t>
      </w:r>
    </w:p>
  </w:footnote>
  <w:footnote w:id="53">
    <w:p w:rsidR="009970EB" w:rsidP="006767AC" w14:paraId="14680DD8" w14:textId="21FA3DAE">
      <w:pPr>
        <w:pStyle w:val="FootnoteText"/>
      </w:pPr>
      <w:r>
        <w:rPr>
          <w:rStyle w:val="FootnoteReference"/>
        </w:rPr>
        <w:footnoteRef/>
      </w:r>
      <w:r>
        <w:t xml:space="preserve"> </w:t>
      </w:r>
      <w:r>
        <w:rPr>
          <w:i/>
        </w:rPr>
        <w:t xml:space="preserve">Broadnet Declaratory </w:t>
      </w:r>
      <w:r w:rsidRPr="00521A44">
        <w:rPr>
          <w:i/>
        </w:rPr>
        <w:t>Ruling</w:t>
      </w:r>
      <w:r>
        <w:t xml:space="preserve">, 31 FCC </w:t>
      </w:r>
      <w:r>
        <w:t>Rcd</w:t>
      </w:r>
      <w:r>
        <w:t xml:space="preserve"> at 7399-401, paras. 12-15; </w:t>
      </w:r>
      <w:r w:rsidRPr="00271A05">
        <w:t>Broadnet Petition at 2</w:t>
      </w:r>
      <w:r>
        <w:t xml:space="preserve">; </w:t>
      </w:r>
      <w:r>
        <w:rPr>
          <w:i/>
        </w:rPr>
        <w:t xml:space="preserve">see also </w:t>
      </w:r>
      <w:r>
        <w:t>47 U.S.C.</w:t>
      </w:r>
      <w:r w:rsidRPr="002D5884">
        <w:t xml:space="preserve"> </w:t>
      </w:r>
      <w:r w:rsidRPr="00824DC6">
        <w:t>§</w:t>
      </w:r>
      <w:r>
        <w:t> 153(47) (defining the term “State” to include “the District of Columbia and the Territories and possessions”).</w:t>
      </w:r>
      <w:r w:rsidRPr="00E6555E">
        <w:rPr>
          <w:snapToGrid w:val="0"/>
          <w:color w:val="1F497D"/>
          <w:kern w:val="28"/>
          <w:sz w:val="22"/>
          <w:szCs w:val="22"/>
        </w:rPr>
        <w:t xml:space="preserve">  </w:t>
      </w:r>
      <w:r w:rsidRPr="008B3DF5">
        <w:t>The issue of whether the TCPA appl</w:t>
      </w:r>
      <w:r>
        <w:t>ies</w:t>
      </w:r>
      <w:r w:rsidRPr="008B3DF5">
        <w:t xml:space="preserve"> to calls placed by or on behalf of</w:t>
      </w:r>
      <w:r>
        <w:t xml:space="preserve"> state and</w:t>
      </w:r>
      <w:r w:rsidRPr="008B3DF5">
        <w:t xml:space="preserve"> local governments was included in Broadnet’s original petition for declaratory ruling</w:t>
      </w:r>
      <w:r>
        <w:t>.  The Commission did not address</w:t>
      </w:r>
      <w:r w:rsidRPr="006C3D54">
        <w:t xml:space="preserve"> the issue</w:t>
      </w:r>
      <w:r>
        <w:t xml:space="preserve"> in the </w:t>
      </w:r>
      <w:r>
        <w:rPr>
          <w:i/>
        </w:rPr>
        <w:t>Broadnet Declaratory Ruling</w:t>
      </w:r>
      <w:r>
        <w:t>, but stated it expected to do so in a future order</w:t>
      </w:r>
      <w:r w:rsidRPr="006C3D54">
        <w:t>.</w:t>
      </w:r>
      <w:r>
        <w:t xml:space="preserve">  </w:t>
      </w:r>
      <w:r>
        <w:rPr>
          <w:i/>
        </w:rPr>
        <w:t xml:space="preserve">Broadnet Declaratory </w:t>
      </w:r>
      <w:r w:rsidRPr="00521A44">
        <w:rPr>
          <w:i/>
        </w:rPr>
        <w:t>Ruling</w:t>
      </w:r>
      <w:r>
        <w:t xml:space="preserve">, </w:t>
      </w:r>
      <w:r w:rsidRPr="00337768">
        <w:t xml:space="preserve">31 FCC </w:t>
      </w:r>
      <w:r w:rsidRPr="00337768">
        <w:t>Rcd</w:t>
      </w:r>
      <w:r w:rsidRPr="00337768">
        <w:t xml:space="preserve"> at 7397, para. 7 n.32</w:t>
      </w:r>
      <w:r>
        <w:t>.</w:t>
      </w:r>
    </w:p>
  </w:footnote>
  <w:footnote w:id="54">
    <w:p w:rsidR="009970EB" w:rsidP="006767AC" w14:paraId="76E7D7C1" w14:textId="77777777">
      <w:pPr>
        <w:pStyle w:val="FootnoteText"/>
      </w:pPr>
      <w:r>
        <w:rPr>
          <w:rStyle w:val="FootnoteReference"/>
        </w:rPr>
        <w:footnoteRef/>
      </w:r>
      <w:r>
        <w:t xml:space="preserve"> </w:t>
      </w:r>
      <w:r>
        <w:rPr>
          <w:i/>
        </w:rPr>
        <w:t>Broadnet Declaratory Ruling</w:t>
      </w:r>
      <w:r w:rsidRPr="000B2243">
        <w:t>,</w:t>
      </w:r>
      <w:r>
        <w:t xml:space="preserve"> 31 FCC </w:t>
      </w:r>
      <w:r>
        <w:t>Rcd</w:t>
      </w:r>
      <w:r>
        <w:t xml:space="preserve"> at 7399, para. 11.</w:t>
      </w:r>
    </w:p>
  </w:footnote>
  <w:footnote w:id="55">
    <w:p w:rsidR="009970EB" w:rsidP="006767AC" w14:paraId="374D0179" w14:textId="77777777">
      <w:pPr>
        <w:pStyle w:val="FootnoteText"/>
      </w:pPr>
      <w:r>
        <w:rPr>
          <w:rStyle w:val="FootnoteReference"/>
        </w:rPr>
        <w:footnoteRef/>
      </w:r>
      <w:r>
        <w:t xml:space="preserve"> </w:t>
      </w:r>
      <w:r>
        <w:rPr>
          <w:i/>
        </w:rPr>
        <w:t xml:space="preserve">Id. </w:t>
      </w:r>
      <w:r>
        <w:t xml:space="preserve">at 7399, para. 12 (citing </w:t>
      </w:r>
      <w:r>
        <w:rPr>
          <w:i/>
        </w:rPr>
        <w:t>Vt. Agency of Nat. Resources</w:t>
      </w:r>
      <w:r>
        <w:t>, 529 U.S. at 781); s</w:t>
      </w:r>
      <w:r w:rsidRPr="003F6659">
        <w:rPr>
          <w:i/>
        </w:rPr>
        <w:t>ee also</w:t>
      </w:r>
      <w:r>
        <w:t xml:space="preserve"> </w:t>
      </w:r>
      <w:r w:rsidRPr="007635BB">
        <w:rPr>
          <w:i/>
          <w:iCs/>
        </w:rPr>
        <w:t>Return Mail, Inc. v. U.S. Postal Service</w:t>
      </w:r>
      <w:r w:rsidRPr="007635BB">
        <w:t>, 139 S. Ct. 1853 (2019).</w:t>
      </w:r>
    </w:p>
  </w:footnote>
  <w:footnote w:id="56">
    <w:p w:rsidR="009970EB" w:rsidP="006767AC" w14:paraId="203E4A43" w14:textId="77777777">
      <w:pPr>
        <w:pStyle w:val="FootnoteText"/>
      </w:pPr>
      <w:r>
        <w:rPr>
          <w:rStyle w:val="FootnoteReference"/>
        </w:rPr>
        <w:footnoteRef/>
      </w:r>
      <w:r>
        <w:t xml:space="preserve"> </w:t>
      </w:r>
      <w:r>
        <w:rPr>
          <w:i/>
        </w:rPr>
        <w:t>See</w:t>
      </w:r>
      <w:r w:rsidRPr="000B2243">
        <w:t>,</w:t>
      </w:r>
      <w:r>
        <w:rPr>
          <w:i/>
        </w:rPr>
        <w:t xml:space="preserve"> e.g.</w:t>
      </w:r>
      <w:r w:rsidRPr="000B2243">
        <w:t>,</w:t>
      </w:r>
      <w:r>
        <w:rPr>
          <w:i/>
        </w:rPr>
        <w:t xml:space="preserve"> Vt. Agency of Nat. Resources</w:t>
      </w:r>
      <w:r>
        <w:t>, 529 U.S. at 781.</w:t>
      </w:r>
    </w:p>
  </w:footnote>
  <w:footnote w:id="57">
    <w:p w:rsidR="009970EB" w:rsidP="006767AC" w14:paraId="10B3B4E0" w14:textId="77777777">
      <w:pPr>
        <w:pStyle w:val="FootnoteText"/>
      </w:pPr>
      <w:r>
        <w:rPr>
          <w:rStyle w:val="FootnoteReference"/>
        </w:rPr>
        <w:footnoteRef/>
      </w:r>
      <w:r>
        <w:t xml:space="preserve"> For similar reasons, t</w:t>
      </w:r>
      <w:r w:rsidRPr="00531629">
        <w:t xml:space="preserve">ribes also are sovereign entities and thus not “person[s]” under the TCPA.  “Indian tribes are ‘domestic dependent nations’ that exercise inherent sovereign authority over their members and territories.”  </w:t>
      </w:r>
      <w:r w:rsidRPr="00531629">
        <w:rPr>
          <w:i/>
        </w:rPr>
        <w:t>Oklahoma Tax Comm’n v. Citizen Band Potawatomi Indian Tribe of Oklahoma</w:t>
      </w:r>
      <w:r w:rsidRPr="00531629">
        <w:t xml:space="preserve">, 498 U.S. 505, 509 (1991) (citing </w:t>
      </w:r>
      <w:r w:rsidRPr="00531629">
        <w:rPr>
          <w:i/>
        </w:rPr>
        <w:t>Cherokee Nation v. Georgia</w:t>
      </w:r>
      <w:r w:rsidRPr="00531629">
        <w:t xml:space="preserve">, 5 Pet. 1, 17, 8 </w:t>
      </w:r>
      <w:r w:rsidRPr="00531629">
        <w:t>L.Ed</w:t>
      </w:r>
      <w:r w:rsidRPr="00531629">
        <w:t xml:space="preserve">. 25 (1831)).  </w:t>
      </w:r>
    </w:p>
  </w:footnote>
  <w:footnote w:id="58">
    <w:p w:rsidR="009970EB" w:rsidP="006767AC" w14:paraId="592EA241" w14:textId="77777777">
      <w:pPr>
        <w:pStyle w:val="FootnoteText"/>
      </w:pPr>
      <w:r>
        <w:rPr>
          <w:rStyle w:val="FootnoteReference"/>
        </w:rPr>
        <w:footnoteRef/>
      </w:r>
      <w:r>
        <w:t xml:space="preserve"> </w:t>
      </w:r>
      <w:r>
        <w:rPr>
          <w:i/>
        </w:rPr>
        <w:t>See</w:t>
      </w:r>
      <w:r w:rsidRPr="000B2243">
        <w:t>,</w:t>
      </w:r>
      <w:r>
        <w:rPr>
          <w:i/>
        </w:rPr>
        <w:t xml:space="preserve"> e.g.</w:t>
      </w:r>
      <w:r>
        <w:t xml:space="preserve">, </w:t>
      </w:r>
      <w:r>
        <w:rPr>
          <w:i/>
        </w:rPr>
        <w:t>Will v. Mich. Dep’t of State Police</w:t>
      </w:r>
      <w:r>
        <w:t xml:space="preserve">, 491 U.S. 58, 64 (1989); </w:t>
      </w:r>
      <w:r>
        <w:rPr>
          <w:i/>
        </w:rPr>
        <w:t>Wilson v. Omaha Tribe</w:t>
      </w:r>
      <w:r>
        <w:t>, 442 U.S. 653, 667 (1979).</w:t>
      </w:r>
    </w:p>
  </w:footnote>
  <w:footnote w:id="59">
    <w:p w:rsidR="009970EB" w:rsidP="006767AC" w14:paraId="6D13903F" w14:textId="321DC5B2">
      <w:pPr>
        <w:pStyle w:val="FootnoteText"/>
      </w:pPr>
      <w:r>
        <w:rPr>
          <w:rStyle w:val="FootnoteReference"/>
        </w:rPr>
        <w:footnoteRef/>
      </w:r>
      <w:r>
        <w:t xml:space="preserve"> </w:t>
      </w:r>
      <w:r>
        <w:rPr>
          <w:i/>
        </w:rPr>
        <w:t xml:space="preserve">See </w:t>
      </w:r>
      <w:r>
        <w:t>S. Rep. 102-178 at 5 (Oct. 8, 1991).</w:t>
      </w:r>
    </w:p>
  </w:footnote>
  <w:footnote w:id="60">
    <w:p w:rsidR="009970EB" w:rsidP="006767AC" w14:paraId="2291ABA9" w14:textId="77777777">
      <w:pPr>
        <w:pStyle w:val="FootnoteText"/>
        <w:tabs>
          <w:tab w:val="left" w:pos="825"/>
        </w:tabs>
      </w:pPr>
      <w:r>
        <w:rPr>
          <w:rStyle w:val="FootnoteReference"/>
        </w:rPr>
        <w:footnoteRef/>
      </w:r>
      <w:r>
        <w:t xml:space="preserve"> </w:t>
      </w:r>
      <w:r>
        <w:rPr>
          <w:i/>
        </w:rPr>
        <w:t xml:space="preserve">Id. </w:t>
      </w:r>
      <w:r>
        <w:t>(emphasis added).</w:t>
      </w:r>
    </w:p>
  </w:footnote>
  <w:footnote w:id="61">
    <w:p w:rsidR="009970EB" w:rsidP="006767AC" w14:paraId="49734617" w14:textId="77777777">
      <w:pPr>
        <w:pStyle w:val="FootnoteText"/>
      </w:pPr>
      <w:r>
        <w:rPr>
          <w:rStyle w:val="FootnoteReference"/>
        </w:rPr>
        <w:footnoteRef/>
      </w:r>
      <w:r>
        <w:t xml:space="preserve"> </w:t>
      </w:r>
      <w:r>
        <w:rPr>
          <w:i/>
          <w:iCs/>
        </w:rPr>
        <w:t>See</w:t>
      </w:r>
      <w:r w:rsidRPr="002616D5">
        <w:t>,</w:t>
      </w:r>
      <w:r>
        <w:rPr>
          <w:i/>
          <w:iCs/>
        </w:rPr>
        <w:t xml:space="preserve"> e.g.</w:t>
      </w:r>
      <w:r w:rsidRPr="002616D5">
        <w:t>,</w:t>
      </w:r>
      <w:r>
        <w:rPr>
          <w:i/>
          <w:iCs/>
        </w:rPr>
        <w:t xml:space="preserve"> </w:t>
      </w:r>
      <w:r w:rsidRPr="006D40C3">
        <w:rPr>
          <w:i/>
        </w:rPr>
        <w:t>Reynolds v. Sims</w:t>
      </w:r>
      <w:r w:rsidRPr="006D40C3">
        <w:t>, 377 U.S. 533, 575 (1964)</w:t>
      </w:r>
      <w:r>
        <w:t>.</w:t>
      </w:r>
    </w:p>
  </w:footnote>
  <w:footnote w:id="62">
    <w:p w:rsidR="009970EB" w:rsidP="006767AC" w14:paraId="6654B612" w14:textId="77777777">
      <w:pPr>
        <w:pStyle w:val="FootnoteText"/>
      </w:pPr>
      <w:r>
        <w:rPr>
          <w:rStyle w:val="FootnoteReference"/>
        </w:rPr>
        <w:footnoteRef/>
      </w:r>
      <w:r>
        <w:t xml:space="preserve"> </w:t>
      </w:r>
      <w:bookmarkStart w:id="9" w:name="_Hlk56084052"/>
      <w:r>
        <w:rPr>
          <w:i/>
        </w:rPr>
        <w:t xml:space="preserve">See </w:t>
      </w:r>
      <w:r>
        <w:rPr>
          <w:i/>
        </w:rPr>
        <w:t>Graphnet</w:t>
      </w:r>
      <w:r>
        <w:rPr>
          <w:i/>
        </w:rPr>
        <w:t xml:space="preserve"> Systems</w:t>
      </w:r>
      <w:r>
        <w:t xml:space="preserve">, </w:t>
      </w:r>
      <w:r w:rsidRPr="00D8099F">
        <w:t>Memorandum Opinion and Order, 73 F.C.C.2d 283, 292, para. 26 (1979)</w:t>
      </w:r>
      <w:r>
        <w:t xml:space="preserve"> (citing 3 J.G. Sutherland, </w:t>
      </w:r>
      <w:r>
        <w:rPr>
          <w:i/>
        </w:rPr>
        <w:t xml:space="preserve">Statutes and Statutory Construction </w:t>
      </w:r>
      <w:r w:rsidRPr="00824DC6">
        <w:t>§</w:t>
      </w:r>
      <w:r>
        <w:t xml:space="preserve"> 62.02, at 72 (4</w:t>
      </w:r>
      <w:r w:rsidRPr="00824DC6">
        <w:rPr>
          <w:vertAlign w:val="superscript"/>
        </w:rPr>
        <w:t>th</w:t>
      </w:r>
      <w:r>
        <w:t xml:space="preserve"> ed. 1974)).</w:t>
      </w:r>
      <w:bookmarkEnd w:id="9"/>
    </w:p>
  </w:footnote>
  <w:footnote w:id="63">
    <w:p w:rsidR="009970EB" w:rsidP="006767AC" w14:paraId="5AD9C8F3" w14:textId="77777777">
      <w:pPr>
        <w:pStyle w:val="FootnoteText"/>
      </w:pPr>
      <w:r>
        <w:rPr>
          <w:rStyle w:val="FootnoteReference"/>
        </w:rPr>
        <w:footnoteRef/>
      </w:r>
      <w:r>
        <w:t xml:space="preserve"> </w:t>
      </w:r>
      <w:r w:rsidRPr="000812D0">
        <w:rPr>
          <w:i/>
        </w:rPr>
        <w:t>See</w:t>
      </w:r>
      <w:r w:rsidRPr="000812D0">
        <w:t xml:space="preserve"> </w:t>
      </w:r>
      <w:r>
        <w:t xml:space="preserve">Broadnet Teleservices, LLC Comments at </w:t>
      </w:r>
      <w:r w:rsidRPr="000812D0">
        <w:t>3</w:t>
      </w:r>
      <w:r>
        <w:t xml:space="preserve"> (Broadnet) (“[a]</w:t>
      </w:r>
      <w:r>
        <w:t>bsent</w:t>
      </w:r>
      <w:r>
        <w:t xml:space="preserve"> Commission action, citizens . . . would be deprived of important opportunities to engage with their government”)</w:t>
      </w:r>
      <w:r w:rsidRPr="000812D0">
        <w:t xml:space="preserve">; </w:t>
      </w:r>
      <w:r>
        <w:t>RTI Comments at</w:t>
      </w:r>
      <w:r w:rsidRPr="000812D0">
        <w:t xml:space="preserve"> 6-7</w:t>
      </w:r>
      <w:r>
        <w:t xml:space="preserve"> (“[s]</w:t>
      </w:r>
      <w:r>
        <w:t>tate</w:t>
      </w:r>
      <w:r>
        <w:t xml:space="preserve"> and local governments have equally valid and urgent reasons to contact their citizens”)</w:t>
      </w:r>
      <w:r w:rsidRPr="000812D0">
        <w:t>; SLSA</w:t>
      </w:r>
      <w:r>
        <w:t xml:space="preserve"> </w:t>
      </w:r>
      <w:r w:rsidRPr="00271A05">
        <w:t>et al</w:t>
      </w:r>
      <w:r>
        <w:t xml:space="preserve">. Reply Comments at </w:t>
      </w:r>
      <w:r w:rsidRPr="000812D0">
        <w:t>10.</w:t>
      </w:r>
    </w:p>
  </w:footnote>
  <w:footnote w:id="64">
    <w:p w:rsidR="009970EB" w:rsidP="006767AC" w14:paraId="6FFEE824" w14:textId="77777777">
      <w:pPr>
        <w:pStyle w:val="FootnoteText"/>
      </w:pPr>
      <w:r>
        <w:rPr>
          <w:rStyle w:val="FootnoteReference"/>
        </w:rPr>
        <w:footnoteRef/>
      </w:r>
      <w:r>
        <w:t xml:space="preserve"> </w:t>
      </w:r>
      <w:r w:rsidRPr="002D56D7">
        <w:rPr>
          <w:i/>
        </w:rPr>
        <w:t>See</w:t>
      </w:r>
      <w:r w:rsidRPr="002D56D7">
        <w:t>,</w:t>
      </w:r>
      <w:r w:rsidRPr="002D56D7">
        <w:rPr>
          <w:i/>
        </w:rPr>
        <w:t xml:space="preserve"> e.g.</w:t>
      </w:r>
      <w:r w:rsidRPr="002D56D7">
        <w:t xml:space="preserve">, Consumer Action Comments at 2; Andrew R. </w:t>
      </w:r>
      <w:r w:rsidRPr="002D56D7">
        <w:t>Perrong</w:t>
      </w:r>
      <w:r w:rsidRPr="002D56D7">
        <w:t xml:space="preserve"> Reply Comments at 3 (</w:t>
      </w:r>
      <w:r w:rsidRPr="002D56D7">
        <w:t>Perrong</w:t>
      </w:r>
      <w:r w:rsidRPr="002D56D7">
        <w:t>); Biggerstaff 2016 Comments at 4; NCLC 2016 Reply Comments at 6-7.</w:t>
      </w:r>
    </w:p>
  </w:footnote>
  <w:footnote w:id="65">
    <w:p w:rsidR="009970EB" w:rsidP="006767AC" w14:paraId="211CB36D" w14:textId="3856A603">
      <w:pPr>
        <w:pStyle w:val="FootnoteText"/>
      </w:pPr>
      <w:r>
        <w:rPr>
          <w:rStyle w:val="FootnoteReference"/>
        </w:rPr>
        <w:footnoteRef/>
      </w:r>
      <w:r>
        <w:t xml:space="preserve"> </w:t>
      </w:r>
      <w:r>
        <w:rPr>
          <w:i/>
        </w:rPr>
        <w:t>See</w:t>
      </w:r>
      <w:r w:rsidRPr="00027D3B">
        <w:t xml:space="preserve"> Letter from Joseph B. </w:t>
      </w:r>
      <w:r w:rsidRPr="00027D3B">
        <w:t>Scarnati</w:t>
      </w:r>
      <w:r w:rsidRPr="00027D3B">
        <w:t>, III</w:t>
      </w:r>
      <w:r>
        <w:t>,</w:t>
      </w:r>
      <w:r w:rsidRPr="00027D3B">
        <w:t xml:space="preserve"> President Pro Tempore</w:t>
      </w:r>
      <w:r>
        <w:t>,</w:t>
      </w:r>
      <w:r w:rsidRPr="00027D3B">
        <w:t xml:space="preserve"> Senate of Pennsylvania</w:t>
      </w:r>
      <w:r>
        <w:t xml:space="preserve">, to </w:t>
      </w:r>
      <w:r w:rsidRPr="00027D3B">
        <w:t>Ajit</w:t>
      </w:r>
      <w:r w:rsidRPr="00027D3B">
        <w:t xml:space="preserve"> Pai</w:t>
      </w:r>
      <w:r>
        <w:t>,</w:t>
      </w:r>
      <w:r w:rsidRPr="00027D3B">
        <w:t xml:space="preserve"> Chairman</w:t>
      </w:r>
      <w:r>
        <w:t>,</w:t>
      </w:r>
      <w:r w:rsidRPr="00027D3B">
        <w:t xml:space="preserve"> Federal Communications Commission</w:t>
      </w:r>
      <w:r>
        <w:t>, CG Docket Nos. 18-152 and</w:t>
      </w:r>
      <w:r w:rsidRPr="00FB4B13">
        <w:t xml:space="preserve"> 02-278</w:t>
      </w:r>
      <w:r>
        <w:t xml:space="preserve"> (filed Aug. 6, 2018) (</w:t>
      </w:r>
      <w:r>
        <w:t>Scarnati</w:t>
      </w:r>
      <w:r>
        <w:t xml:space="preserve"> Letter).</w:t>
      </w:r>
    </w:p>
  </w:footnote>
  <w:footnote w:id="66">
    <w:p w:rsidR="009970EB" w:rsidP="006767AC" w14:paraId="651C2A4C" w14:textId="77777777">
      <w:pPr>
        <w:pStyle w:val="FootnoteText"/>
      </w:pPr>
      <w:r>
        <w:rPr>
          <w:rStyle w:val="FootnoteReference"/>
        </w:rPr>
        <w:footnoteRef/>
      </w:r>
      <w:r>
        <w:t xml:space="preserve"> Although there is a canon of statutory construction that a term should be given the same meaning throughout a statute, the canon itself has an important exception where the term refers to different subject matters in each part of the statute at issue.  This exception was discussed in some detail in </w:t>
      </w:r>
      <w:r w:rsidRPr="00B90198">
        <w:rPr>
          <w:i/>
        </w:rPr>
        <w:t>United States ex rel. Long v. SCS Business &amp; Technical Institute, Inc.</w:t>
      </w:r>
      <w:r>
        <w:t>, 173 F.3d 870, 881 n.15 (D.C. Cir. 1999).  At issue in that case was the meaning of the term “person” as it is used in two different provisions of the False Claims Act, 31 U.S.C. §</w:t>
      </w:r>
      <w:bookmarkStart w:id="10" w:name="_Hlk31355450"/>
      <w:r>
        <w:t>§</w:t>
      </w:r>
      <w:bookmarkEnd w:id="10"/>
      <w:r>
        <w:t xml:space="preserve"> 3729(a) and 3730(b)(1).  The court explained that giving the same meaning to “person” in these two provisions would raise “potentially insurmountable difficulties,” given the different contexts in which the term is used, and given that the provisions were adopted at different times by different Congresses, in 1863 and 1986, respectively.  Furthermore, while section 3 of the Communications Act defines “person” to “include[] an individual, partnership, association, joint-stock company, trust, or corporation,” 47 U.S.C. § 153(39), it is silent as to whether federal and state governments also are subsumed within that definition.  And even if section 3’s definition were somehow construed to generally include federal and state governments, that </w:t>
      </w:r>
      <w:r w:rsidRPr="007265EB">
        <w:t xml:space="preserve">construction </w:t>
      </w:r>
      <w:r>
        <w:t>would be subject to the first sentence of section 3, which states that the ensuing definitions govern “unless the context otherwise requires[.]”  We thus conclude that we must look to the context when considering whether the term “person” includes, or does not include, federal and state governments in any given provision of the Communications Act.</w:t>
      </w:r>
    </w:p>
  </w:footnote>
  <w:footnote w:id="67">
    <w:p w:rsidR="009970EB" w:rsidP="006767AC" w14:paraId="048F8D50" w14:textId="77777777">
      <w:pPr>
        <w:pStyle w:val="FootnoteText"/>
      </w:pPr>
      <w:r>
        <w:rPr>
          <w:rStyle w:val="FootnoteReference"/>
        </w:rPr>
        <w:footnoteRef/>
      </w:r>
      <w:r>
        <w:t xml:space="preserve"> The radio licensing requirements of Section 301 of the Act (“</w:t>
      </w:r>
      <w:r w:rsidRPr="00B81791">
        <w:t xml:space="preserve">No person shall use or operate any apparatus for the transmission of energy or communications or signals by </w:t>
      </w:r>
      <w:r w:rsidRPr="00B81791">
        <w:t>radio</w:t>
      </w:r>
      <w:r>
        <w:t xml:space="preserve"> .</w:t>
      </w:r>
      <w:r>
        <w:t> . . except under and in accordance with this chapter and with a license in that behalf granted under the provisions of this chapter.”) and rules enacted under the administration requirements of section 303 of the Act (</w:t>
      </w:r>
      <w:r w:rsidRPr="00AE2C40">
        <w:rPr>
          <w:i/>
        </w:rPr>
        <w:t>inter alia</w:t>
      </w:r>
      <w:r>
        <w:t>, allowing the Commission to classify radio stations, assign bands and frequencies, and regulate to prevent interference among stations) clearly apply to state and local governments.  Title III gave the Commission exclusive authority to regulate all use of spectrum, with only one exception: “[r]</w:t>
      </w:r>
      <w:r>
        <w:t>adio</w:t>
      </w:r>
      <w:r>
        <w:t xml:space="preserve"> stations belonging to and operated by the United States.”  47 U.S.C. § 305(a).  This principle has been firmly established since at least the Radio Act of 1927.  </w:t>
      </w:r>
      <w:r>
        <w:rPr>
          <w:i/>
          <w:iCs/>
        </w:rPr>
        <w:t>See generally National Broadcasting Co. v. United States</w:t>
      </w:r>
      <w:r w:rsidRPr="004C73BE">
        <w:t>,</w:t>
      </w:r>
      <w:r>
        <w:rPr>
          <w:i/>
          <w:iCs/>
        </w:rPr>
        <w:t xml:space="preserve"> </w:t>
      </w:r>
      <w:r>
        <w:t xml:space="preserve">319 U.S. 190, 210-14 (1943).  Thus, Section 301 provides “clearly exclusive” federal control over frequency allocation.  </w:t>
      </w:r>
      <w:r>
        <w:rPr>
          <w:i/>
          <w:iCs/>
        </w:rPr>
        <w:t>Head v. New Mexico Bd. of Examiners</w:t>
      </w:r>
      <w:r w:rsidRPr="004C73BE">
        <w:t>,</w:t>
      </w:r>
      <w:r>
        <w:rPr>
          <w:i/>
          <w:iCs/>
        </w:rPr>
        <w:t xml:space="preserve"> </w:t>
      </w:r>
      <w:r>
        <w:t xml:space="preserve">374 U.S. 424, 430 n.6 (1963); </w:t>
      </w:r>
      <w:r>
        <w:rPr>
          <w:i/>
          <w:iCs/>
        </w:rPr>
        <w:t xml:space="preserve">Allan B. Dumont Labs. v. Carroll, </w:t>
      </w:r>
      <w:r>
        <w:t xml:space="preserve">184 F.2d 153, 155 (3d Cir. 1950).  Similarly, section 302 provides the Commission with broad authority to regulate the interference potential of devices, again subject to an exclusion for “systems for use by the Government of the United States”—but not for those used by state and local governments.  47 U.S.C. § 302a(c).  </w:t>
      </w:r>
    </w:p>
  </w:footnote>
  <w:footnote w:id="68">
    <w:p w:rsidR="009970EB" w:rsidP="006767AC" w14:paraId="122CF887" w14:textId="77777777">
      <w:pPr>
        <w:pStyle w:val="FootnoteText"/>
      </w:pPr>
      <w:r>
        <w:rPr>
          <w:rStyle w:val="FootnoteReference"/>
        </w:rPr>
        <w:footnoteRef/>
      </w:r>
      <w:r>
        <w:t xml:space="preserve"> </w:t>
      </w:r>
      <w:r>
        <w:rPr>
          <w:i/>
        </w:rPr>
        <w:t>See</w:t>
      </w:r>
      <w:r w:rsidRPr="003E7853">
        <w:rPr>
          <w:iCs/>
        </w:rPr>
        <w:t>,</w:t>
      </w:r>
      <w:r>
        <w:rPr>
          <w:i/>
        </w:rPr>
        <w:t xml:space="preserve"> e.g.</w:t>
      </w:r>
      <w:r w:rsidRPr="003E7853">
        <w:rPr>
          <w:iCs/>
        </w:rPr>
        <w:t xml:space="preserve">, </w:t>
      </w:r>
      <w:r>
        <w:t>Broadnet Petition at 8-9.</w:t>
      </w:r>
    </w:p>
  </w:footnote>
  <w:footnote w:id="69">
    <w:p w:rsidR="009970EB" w:rsidP="006767AC" w14:paraId="62470AF0" w14:textId="77777777">
      <w:pPr>
        <w:pStyle w:val="FootnoteText"/>
      </w:pPr>
      <w:r>
        <w:rPr>
          <w:rStyle w:val="FootnoteReference"/>
        </w:rPr>
        <w:footnoteRef/>
      </w:r>
      <w:r>
        <w:t xml:space="preserve"> As noted above, many calls from governmental contractors may qualify as emergency calls or calls made with the “prior express consent” of the called party if the called party has provided a telephone number to the government or its contractor for the purpose of being contacted at that number and has not given instructions to the contrary.  Such calls are permissible under the TCPA and our implementing rules.</w:t>
      </w:r>
    </w:p>
  </w:footnote>
  <w:footnote w:id="70">
    <w:p w:rsidR="009970EB" w:rsidP="006767AC" w14:paraId="5A7B865B" w14:textId="77777777">
      <w:pPr>
        <w:pStyle w:val="FootnoteText"/>
      </w:pPr>
      <w:r>
        <w:rPr>
          <w:rStyle w:val="FootnoteReference"/>
        </w:rPr>
        <w:footnoteRef/>
      </w:r>
      <w:r>
        <w:t xml:space="preserve"> The United States</w:t>
      </w:r>
      <w:r w:rsidRPr="0084514D">
        <w:t xml:space="preserve"> Constitution establishes a system of dual sovereignty between the </w:t>
      </w:r>
      <w:r>
        <w:t>s</w:t>
      </w:r>
      <w:r w:rsidRPr="0084514D">
        <w:t xml:space="preserve">tates and the </w:t>
      </w:r>
      <w:r>
        <w:t>f</w:t>
      </w:r>
      <w:r w:rsidRPr="0084514D">
        <w:t xml:space="preserve">ederal government, such that sovereignty rests concurrently with both the </w:t>
      </w:r>
      <w:r>
        <w:t>f</w:t>
      </w:r>
      <w:r w:rsidRPr="0084514D">
        <w:t xml:space="preserve">ederal government and the </w:t>
      </w:r>
      <w:r>
        <w:t>s</w:t>
      </w:r>
      <w:r w:rsidRPr="0084514D">
        <w:t xml:space="preserve">tates.  </w:t>
      </w:r>
      <w:r w:rsidRPr="00E9383E">
        <w:rPr>
          <w:i/>
        </w:rPr>
        <w:t>Gregory v. Ashcroft</w:t>
      </w:r>
      <w:r w:rsidRPr="00E9383E">
        <w:t>, 501 U.S. 452, 457</w:t>
      </w:r>
      <w:r>
        <w:t xml:space="preserve"> (1991)</w:t>
      </w:r>
      <w:r w:rsidRPr="00E9383E">
        <w:t xml:space="preserve"> (</w:t>
      </w:r>
      <w:r w:rsidRPr="00E9383E">
        <w:rPr>
          <w:i/>
        </w:rPr>
        <w:t xml:space="preserve">citing </w:t>
      </w:r>
      <w:r w:rsidRPr="00E9383E">
        <w:rPr>
          <w:i/>
        </w:rPr>
        <w:t>Tafflin</w:t>
      </w:r>
      <w:r w:rsidRPr="00E9383E">
        <w:rPr>
          <w:i/>
        </w:rPr>
        <w:t xml:space="preserve"> v. Levitt</w:t>
      </w:r>
      <w:r w:rsidRPr="00E9383E">
        <w:t>, 493 U.S. 455, 458 (1990)).</w:t>
      </w:r>
      <w:r>
        <w:t xml:space="preserve">  M</w:t>
      </w:r>
      <w:r w:rsidRPr="0084514D">
        <w:t xml:space="preserve">unicipalities are “created as convenient agencies for exercising such of the governmental powers of the State as may be entrusted to </w:t>
      </w:r>
      <w:r w:rsidRPr="0084514D">
        <w:t>them</w:t>
      </w:r>
      <w:r>
        <w:t xml:space="preserve"> </w:t>
      </w:r>
      <w:r w:rsidRPr="0084514D">
        <w:t>.</w:t>
      </w:r>
      <w:r>
        <w:t> </w:t>
      </w:r>
      <w:r w:rsidRPr="0084514D">
        <w:t>.</w:t>
      </w:r>
      <w:r>
        <w:t> </w:t>
      </w:r>
      <w:r w:rsidRPr="0084514D">
        <w:t>. in [its] absolute discretion.”</w:t>
      </w:r>
      <w:r>
        <w:t xml:space="preserve">  </w:t>
      </w:r>
      <w:r w:rsidRPr="00D40AD9">
        <w:rPr>
          <w:i/>
        </w:rPr>
        <w:t>Wisconsin Pub. Intervenor v. Mortier</w:t>
      </w:r>
      <w:r w:rsidRPr="00F31F9B">
        <w:t>, 501 U.S. 597, 607-08 (1991)</w:t>
      </w:r>
      <w:r w:rsidRPr="008C4370">
        <w:t xml:space="preserve"> (quoting </w:t>
      </w:r>
      <w:r w:rsidRPr="008C4370">
        <w:rPr>
          <w:i/>
        </w:rPr>
        <w:t xml:space="preserve">Sailors v. Board of Ed. </w:t>
      </w:r>
      <w:r>
        <w:rPr>
          <w:i/>
        </w:rPr>
        <w:t>o</w:t>
      </w:r>
      <w:r w:rsidRPr="008C4370">
        <w:rPr>
          <w:i/>
        </w:rPr>
        <w:t xml:space="preserve">f Kent </w:t>
      </w:r>
      <w:r w:rsidRPr="008C4370">
        <w:rPr>
          <w:i/>
        </w:rPr>
        <w:t>Cty</w:t>
      </w:r>
      <w:r w:rsidRPr="008C4370">
        <w:rPr>
          <w:i/>
        </w:rPr>
        <w:t>.</w:t>
      </w:r>
      <w:r w:rsidRPr="008C4370">
        <w:t>, 387 U.S. 105, 108 (1967)).</w:t>
      </w:r>
    </w:p>
  </w:footnote>
  <w:footnote w:id="71">
    <w:p w:rsidR="009970EB" w:rsidP="006767AC" w14:paraId="4FDE43D9" w14:textId="77777777">
      <w:pPr>
        <w:pStyle w:val="FootnoteText"/>
      </w:pPr>
      <w:r>
        <w:rPr>
          <w:rStyle w:val="FootnoteReference"/>
        </w:rPr>
        <w:footnoteRef/>
      </w:r>
      <w:r>
        <w:t xml:space="preserve"> </w:t>
      </w:r>
      <w:r>
        <w:rPr>
          <w:i/>
          <w:iCs/>
        </w:rPr>
        <w:t xml:space="preserve">Community Communications Co. v. City of Boulder, </w:t>
      </w:r>
      <w:r>
        <w:t xml:space="preserve">455 U.S. 40, 50 (1982) (italics in original).  </w:t>
      </w:r>
    </w:p>
  </w:footnote>
  <w:footnote w:id="72">
    <w:p w:rsidR="009970EB" w:rsidP="006767AC" w14:paraId="1CDDC02A" w14:textId="77777777">
      <w:pPr>
        <w:pStyle w:val="FootnoteText"/>
      </w:pPr>
      <w:r>
        <w:rPr>
          <w:rStyle w:val="FootnoteReference"/>
        </w:rPr>
        <w:footnoteRef/>
      </w:r>
      <w:r>
        <w:t xml:space="preserve"> </w:t>
      </w:r>
      <w:r>
        <w:rPr>
          <w:i/>
          <w:iCs/>
        </w:rPr>
        <w:t xml:space="preserve">Town of Hallie v. City of </w:t>
      </w:r>
      <w:r>
        <w:rPr>
          <w:i/>
          <w:iCs/>
        </w:rPr>
        <w:t>Eau</w:t>
      </w:r>
      <w:r>
        <w:rPr>
          <w:i/>
          <w:iCs/>
        </w:rPr>
        <w:t xml:space="preserve"> Claire, </w:t>
      </w:r>
      <w:r>
        <w:t>471 U.S. 34, 38 (1985).</w:t>
      </w:r>
      <w:r w:rsidRPr="00744B11">
        <w:t xml:space="preserve"> </w:t>
      </w:r>
      <w:r>
        <w:t xml:space="preserve"> Although the courts have construed both to be “persons” under the antitrust laws, they have nevertheless accorded antitrust immunity only to states, not municipalities, except in certain circumstances.</w:t>
      </w:r>
    </w:p>
  </w:footnote>
  <w:footnote w:id="73">
    <w:p w:rsidR="009970EB" w:rsidP="006767AC" w14:paraId="0221C70E" w14:textId="3B36066C">
      <w:pPr>
        <w:pStyle w:val="FootnoteText"/>
      </w:pPr>
      <w:r w:rsidRPr="00DE1C35">
        <w:rPr>
          <w:rStyle w:val="FootnoteReference"/>
          <w:sz w:val="22"/>
          <w:szCs w:val="22"/>
        </w:rPr>
        <w:footnoteRef/>
      </w:r>
      <w:r w:rsidRPr="00DE1C35">
        <w:rPr>
          <w:sz w:val="22"/>
          <w:szCs w:val="22"/>
        </w:rPr>
        <w:t xml:space="preserve"> </w:t>
      </w:r>
      <w:r w:rsidRPr="00DE1C35">
        <w:rPr>
          <w:i/>
        </w:rPr>
        <w:t>Reynolds v. Sims</w:t>
      </w:r>
      <w:r>
        <w:t>, 377 U.S. 533, 575 (</w:t>
      </w:r>
      <w:r w:rsidRPr="00DE1C35">
        <w:t>“Political subdivisions of States—counties, cities, or whatever—never were and never have been co</w:t>
      </w:r>
      <w:r>
        <w:t xml:space="preserve">nsidered as sovereign entities.”); </w:t>
      </w:r>
      <w:r>
        <w:rPr>
          <w:i/>
          <w:iCs/>
        </w:rPr>
        <w:t xml:space="preserve">see also </w:t>
      </w:r>
      <w:r w:rsidRPr="00242EF1">
        <w:rPr>
          <w:i/>
          <w:iCs/>
        </w:rPr>
        <w:t>Will v. Mich. Dep</w:t>
      </w:r>
      <w:r>
        <w:rPr>
          <w:i/>
          <w:iCs/>
        </w:rPr>
        <w:t>’</w:t>
      </w:r>
      <w:r w:rsidRPr="00242EF1">
        <w:rPr>
          <w:i/>
          <w:iCs/>
        </w:rPr>
        <w:t>t of State Police</w:t>
      </w:r>
      <w:r w:rsidRPr="00242EF1">
        <w:t>, 491 U.S. 58, 64 (1989)</w:t>
      </w:r>
      <w:r>
        <w:t xml:space="preserve"> (noting that this presumption applies to “the sovereign”).  </w:t>
      </w:r>
      <w:r>
        <w:rPr>
          <w:i/>
          <w:iCs/>
        </w:rPr>
        <w:t>Cf.</w:t>
      </w:r>
      <w:r>
        <w:t xml:space="preserve"> </w:t>
      </w:r>
      <w:r>
        <w:rPr>
          <w:i/>
          <w:iCs/>
        </w:rPr>
        <w:t>Monell</w:t>
      </w:r>
      <w:r>
        <w:rPr>
          <w:i/>
          <w:iCs/>
        </w:rPr>
        <w:t xml:space="preserve"> v. Dept. of Social Services of City of New York</w:t>
      </w:r>
      <w:r>
        <w:t>, 436 U.S. 658, 659 (1978) (finding that municipalities and other local government units are “persons” for purposes of the Civil Rights Act of 1871).</w:t>
      </w:r>
    </w:p>
  </w:footnote>
  <w:footnote w:id="74">
    <w:p w:rsidR="009970EB" w:rsidP="006767AC" w14:paraId="64DE159D" w14:textId="77777777">
      <w:pPr>
        <w:pStyle w:val="FootnoteText"/>
      </w:pPr>
      <w:r>
        <w:rPr>
          <w:rStyle w:val="FootnoteReference"/>
        </w:rPr>
        <w:footnoteRef/>
      </w:r>
      <w:r>
        <w:t xml:space="preserve"> </w:t>
      </w:r>
      <w:r>
        <w:rPr>
          <w:i/>
          <w:iCs/>
        </w:rPr>
        <w:t xml:space="preserve">See </w:t>
      </w:r>
      <w:bookmarkStart w:id="11" w:name="_Hlk31356840"/>
      <w:r>
        <w:t xml:space="preserve">47 U.S.C. </w:t>
      </w:r>
      <w:r w:rsidRPr="006B6F4E">
        <w:t>§</w:t>
      </w:r>
      <w:r>
        <w:t xml:space="preserve"> </w:t>
      </w:r>
      <w:bookmarkEnd w:id="11"/>
      <w:r>
        <w:t>153(39).</w:t>
      </w:r>
    </w:p>
  </w:footnote>
  <w:footnote w:id="75">
    <w:p w:rsidR="009970EB" w:rsidP="006767AC" w14:paraId="36F0045A" w14:textId="77777777">
      <w:pPr>
        <w:pStyle w:val="FootnoteText"/>
      </w:pPr>
      <w:r>
        <w:rPr>
          <w:rStyle w:val="FootnoteReference"/>
        </w:rPr>
        <w:footnoteRef/>
      </w:r>
      <w:r>
        <w:t xml:space="preserve"> </w:t>
      </w:r>
      <w:r>
        <w:rPr>
          <w:i/>
          <w:iCs/>
        </w:rPr>
        <w:t>See</w:t>
      </w:r>
      <w:r w:rsidRPr="002616D5">
        <w:t>,</w:t>
      </w:r>
      <w:r>
        <w:rPr>
          <w:i/>
          <w:iCs/>
        </w:rPr>
        <w:t xml:space="preserve"> e.g.</w:t>
      </w:r>
      <w:r w:rsidRPr="002616D5">
        <w:t>,</w:t>
      </w:r>
      <w:r>
        <w:rPr>
          <w:i/>
          <w:iCs/>
        </w:rPr>
        <w:t xml:space="preserve"> </w:t>
      </w:r>
      <w:r>
        <w:t>Black’s Law Dictionary (11</w:t>
      </w:r>
      <w:r w:rsidRPr="002616D5">
        <w:t>th</w:t>
      </w:r>
      <w:r>
        <w:t xml:space="preserve"> ed. 2019) (defining “municipal corporation” as “[a] city, town, or other local political entity formed by charter from the state and having the autonomous authority to administer the state’s local affairs; esp., a public corporation created for political purposes and endowed with political powers to be exercised for the public good in the administration of local civil government”).  According to the U.S. Census Bureau, there were 19,519 municipalities in 2012.  </w:t>
      </w:r>
      <w:r>
        <w:rPr>
          <w:i/>
          <w:iCs/>
        </w:rPr>
        <w:t xml:space="preserve">See </w:t>
      </w:r>
      <w:r>
        <w:t xml:space="preserve">U.S. Census Bureau, Government Organization Summary Report:  2012 (rel. Sept. 26, 2013), </w:t>
      </w:r>
      <w:hyperlink r:id="rId2" w:history="1">
        <w:r w:rsidRPr="00067F24">
          <w:rPr>
            <w:rStyle w:val="Hyperlink"/>
          </w:rPr>
          <w:t>https://www.census.gov/content/dam/Census/library/publications/2013/econ/g12-cg-org.pdf</w:t>
        </w:r>
      </w:hyperlink>
      <w:r>
        <w:t xml:space="preserve"> (last visited Nov. 12, 2020).</w:t>
      </w:r>
    </w:p>
  </w:footnote>
  <w:footnote w:id="76">
    <w:p w:rsidR="009970EB" w:rsidP="006767AC" w14:paraId="30E3B2C9" w14:textId="77777777">
      <w:pPr>
        <w:pStyle w:val="FootnoteText"/>
      </w:pPr>
      <w:r>
        <w:rPr>
          <w:rStyle w:val="FootnoteReference"/>
        </w:rPr>
        <w:footnoteRef/>
      </w:r>
      <w:r>
        <w:t xml:space="preserve"> </w:t>
      </w:r>
      <w:r>
        <w:rPr>
          <w:i/>
          <w:iCs/>
        </w:rPr>
        <w:t xml:space="preserve">See </w:t>
      </w:r>
      <w:r w:rsidRPr="00EF16BB">
        <w:rPr>
          <w:i/>
          <w:iCs/>
        </w:rPr>
        <w:t>Cook County v. United States ex rel. Chandler</w:t>
      </w:r>
      <w:r w:rsidRPr="00EF16BB">
        <w:t>, 538 U.S. 119</w:t>
      </w:r>
      <w:r>
        <w:t xml:space="preserve">, 126 </w:t>
      </w:r>
      <w:r w:rsidRPr="00EF16BB">
        <w:t>(2003)</w:t>
      </w:r>
      <w:r>
        <w:t xml:space="preserve"> (noting that </w:t>
      </w:r>
      <w:r w:rsidRPr="009B6821">
        <w:t xml:space="preserve">municipal corporations and private ones </w:t>
      </w:r>
      <w:r>
        <w:t>a</w:t>
      </w:r>
      <w:r w:rsidRPr="009B6821">
        <w:t>re simply two species of “body politic and corporate,”</w:t>
      </w:r>
      <w:r>
        <w:t xml:space="preserve"> treated alike in terms of their legal status) (emphasis added); </w:t>
      </w:r>
      <w:r>
        <w:rPr>
          <w:i/>
          <w:iCs/>
        </w:rPr>
        <w:t xml:space="preserve">see also </w:t>
      </w:r>
      <w:r w:rsidRPr="002E3B90">
        <w:rPr>
          <w:i/>
          <w:iCs/>
        </w:rPr>
        <w:t>Monell</w:t>
      </w:r>
      <w:r w:rsidRPr="002E3B90">
        <w:rPr>
          <w:i/>
          <w:iCs/>
        </w:rPr>
        <w:t xml:space="preserve"> v. Dept. of Social Services of City of New York</w:t>
      </w:r>
      <w:r w:rsidRPr="002E3B90">
        <w:t>, 436 U.S. 658, 663 (1978) (finding that municipalities and other local government units are “persons” for purposes of the Civil Rights Act of 1871)</w:t>
      </w:r>
      <w:r>
        <w:t>.</w:t>
      </w:r>
    </w:p>
  </w:footnote>
  <w:footnote w:id="77">
    <w:p w:rsidR="009970EB" w:rsidP="006767AC" w14:paraId="2A4E8470" w14:textId="77777777">
      <w:pPr>
        <w:pStyle w:val="FootnoteText"/>
      </w:pPr>
      <w:r>
        <w:rPr>
          <w:rStyle w:val="FootnoteReference"/>
        </w:rPr>
        <w:footnoteRef/>
      </w:r>
      <w:r>
        <w:t xml:space="preserve"> </w:t>
      </w:r>
      <w:r>
        <w:rPr>
          <w:i/>
          <w:iCs/>
        </w:rPr>
        <w:t>Cook County</w:t>
      </w:r>
      <w:r>
        <w:t xml:space="preserve">, 538 U.S. at 127 (citing </w:t>
      </w:r>
      <w:r w:rsidRPr="009B6821">
        <w:t>M. Horwitz, The Transformation of American Law, 1780–1860, p. 112 (1977)</w:t>
      </w:r>
      <w:r>
        <w:t>).</w:t>
      </w:r>
    </w:p>
  </w:footnote>
  <w:footnote w:id="78">
    <w:p w:rsidR="009970EB" w:rsidP="006767AC" w14:paraId="213B981A" w14:textId="77777777">
      <w:pPr>
        <w:pStyle w:val="FootnoteText"/>
      </w:pPr>
      <w:r>
        <w:rPr>
          <w:rStyle w:val="FootnoteReference"/>
        </w:rPr>
        <w:footnoteRef/>
      </w:r>
      <w:r>
        <w:t xml:space="preserve"> </w:t>
      </w:r>
      <w:r>
        <w:rPr>
          <w:i/>
          <w:iCs/>
        </w:rPr>
        <w:t xml:space="preserve">Id.  </w:t>
      </w:r>
    </w:p>
  </w:footnote>
  <w:footnote w:id="79">
    <w:p w:rsidR="009970EB" w:rsidP="006767AC" w14:paraId="0646E801" w14:textId="77777777">
      <w:pPr>
        <w:pStyle w:val="FootnoteText"/>
      </w:pPr>
      <w:r>
        <w:rPr>
          <w:rStyle w:val="FootnoteReference"/>
        </w:rPr>
        <w:footnoteRef/>
      </w:r>
      <w:r>
        <w:t xml:space="preserve"> </w:t>
      </w:r>
      <w:r>
        <w:rPr>
          <w:i/>
          <w:iCs/>
        </w:rPr>
        <w:t>See</w:t>
      </w:r>
      <w:r w:rsidRPr="00892F8B">
        <w:t>,</w:t>
      </w:r>
      <w:r>
        <w:rPr>
          <w:i/>
          <w:iCs/>
        </w:rPr>
        <w:t xml:space="preserve"> e.g.</w:t>
      </w:r>
      <w:r>
        <w:t xml:space="preserve">, </w:t>
      </w:r>
      <w:r>
        <w:rPr>
          <w:i/>
          <w:iCs/>
        </w:rPr>
        <w:t>Trustees of Dartmouth College v. Woodward</w:t>
      </w:r>
      <w:r>
        <w:t xml:space="preserve">, 17 U.S. 518 (1819) (defining governments of towns, cities, and other local governments as corporations); </w:t>
      </w:r>
      <w:r>
        <w:rPr>
          <w:i/>
          <w:iCs/>
        </w:rPr>
        <w:t>Laramie County Commissioners v. Albany County Commissioners</w:t>
      </w:r>
      <w:r>
        <w:t>, 92 U.S. 307, 308 (1875) (concluding broadly that counties, cities, and towns are municipal corporations).</w:t>
      </w:r>
    </w:p>
  </w:footnote>
  <w:footnote w:id="80">
    <w:p w:rsidR="009970EB" w:rsidP="006767AC" w14:paraId="693F1792" w14:textId="77777777">
      <w:pPr>
        <w:pStyle w:val="FootnoteText"/>
      </w:pPr>
      <w:r>
        <w:rPr>
          <w:rStyle w:val="FootnoteReference"/>
        </w:rPr>
        <w:footnoteRef/>
      </w:r>
      <w:r>
        <w:t xml:space="preserve"> </w:t>
      </w:r>
      <w:r>
        <w:rPr>
          <w:i/>
          <w:iCs/>
        </w:rPr>
        <w:t>See</w:t>
      </w:r>
      <w:r w:rsidRPr="002616D5">
        <w:t>,</w:t>
      </w:r>
      <w:r>
        <w:rPr>
          <w:i/>
          <w:iCs/>
        </w:rPr>
        <w:t xml:space="preserve"> e.g.</w:t>
      </w:r>
      <w:r>
        <w:t xml:space="preserve">, Census Bureau definition of a “place” either as “legally incorporated under the laws of its respective State, or a statistical equivalent that the Census Bureau treats as a census designated place (CDP).”  </w:t>
      </w:r>
      <w:r>
        <w:rPr>
          <w:i/>
          <w:iCs/>
        </w:rPr>
        <w:t xml:space="preserve">See </w:t>
      </w:r>
      <w:r>
        <w:t xml:space="preserve">U.S. Census Bureau, </w:t>
      </w:r>
      <w:hyperlink r:id="rId3" w:history="1">
        <w:r w:rsidRPr="002616D5">
          <w:rPr>
            <w:rStyle w:val="Hyperlink"/>
          </w:rPr>
          <w:t>https://www2.census.gov/geo/pdfs/reference/GARM/Ch9GARM.pdf</w:t>
        </w:r>
      </w:hyperlink>
      <w:r>
        <w:t xml:space="preserve"> (last visited Nov. 12, 2020).</w:t>
      </w:r>
    </w:p>
  </w:footnote>
  <w:footnote w:id="81">
    <w:p w:rsidR="009970EB" w:rsidP="006767AC" w14:paraId="3478387F" w14:textId="77777777">
      <w:pPr>
        <w:pStyle w:val="FootnoteText"/>
      </w:pPr>
      <w:r>
        <w:rPr>
          <w:rStyle w:val="FootnoteReference"/>
        </w:rPr>
        <w:footnoteRef/>
      </w:r>
      <w:r>
        <w:t xml:space="preserve"> </w:t>
      </w:r>
      <w:r w:rsidRPr="00E632E4">
        <w:t xml:space="preserve">Nothing in the text of either the TCPA or its legislative history demonstrates that “corporations” must be limited to entities understood as </w:t>
      </w:r>
      <w:r>
        <w:t xml:space="preserve">private </w:t>
      </w:r>
      <w:r w:rsidRPr="00E632E4">
        <w:t xml:space="preserve">corporations—and as a policy matter, whatever differences might exist between “municipal corporations” and other local government entities does not appear material to whether the TCPA should apply.  </w:t>
      </w:r>
      <w:r>
        <w:t xml:space="preserve">Our conclusion reflects the “natural recognition of an understanding . . . that municipal corporations and private ones were simply two species of ‘body politic and corporate,’ treated alike in terms of their legal status as persons capable of suing and being sued.”  Thus, “it has not been regarded as anomalous to require compliance by municipalities with the standards of other federal laws which impose such sanctions upon ‘persons.’” </w:t>
      </w:r>
      <w:r w:rsidRPr="00A5645D">
        <w:rPr>
          <w:i/>
          <w:iCs/>
        </w:rPr>
        <w:t xml:space="preserve"> </w:t>
      </w:r>
      <w:r>
        <w:rPr>
          <w:i/>
          <w:iCs/>
        </w:rPr>
        <w:t>Cook County</w:t>
      </w:r>
      <w:r>
        <w:t xml:space="preserve">, 538 U.S. at 126.  </w:t>
      </w:r>
      <w:r w:rsidRPr="00E632E4">
        <w:t xml:space="preserve">We believe this conclusion is bolstered by precedent that does not characterize local government entities only as “municipal corporations” but </w:t>
      </w:r>
      <w:r w:rsidRPr="00E632E4">
        <w:t>makes reference</w:t>
      </w:r>
      <w:r w:rsidRPr="00E632E4">
        <w:t xml:space="preserve"> to them acting more broadly as “corporations” or “quasi corporations.”</w:t>
      </w:r>
      <w:r>
        <w:t xml:space="preserve">  </w:t>
      </w:r>
      <w:r w:rsidRPr="009458EC">
        <w:rPr>
          <w:i/>
          <w:iCs/>
        </w:rPr>
        <w:t>See</w:t>
      </w:r>
      <w:r w:rsidRPr="00295D32">
        <w:t>,</w:t>
      </w:r>
      <w:r w:rsidRPr="009458EC">
        <w:rPr>
          <w:i/>
          <w:iCs/>
        </w:rPr>
        <w:t xml:space="preserve"> e.g.</w:t>
      </w:r>
      <w:r w:rsidRPr="009458EC">
        <w:t xml:space="preserve">, </w:t>
      </w:r>
      <w:r w:rsidRPr="009458EC">
        <w:rPr>
          <w:i/>
          <w:iCs/>
        </w:rPr>
        <w:t xml:space="preserve">Levy Court v. Coroner of Washington </w:t>
      </w:r>
      <w:r w:rsidRPr="009458EC">
        <w:rPr>
          <w:i/>
          <w:iCs/>
        </w:rPr>
        <w:t>Cty</w:t>
      </w:r>
      <w:r w:rsidRPr="009458EC">
        <w:rPr>
          <w:i/>
          <w:iCs/>
        </w:rPr>
        <w:t>.</w:t>
      </w:r>
      <w:r w:rsidRPr="009458EC">
        <w:t>, 69 U.S. 501, 507-08 (1864) (describing the local government entity at issue as, “for all financial and ministerial purposes the County of Washington,” and explaining that even “[</w:t>
      </w:r>
      <w:r w:rsidRPr="009458EC">
        <w:t>i</w:t>
      </w:r>
      <w:r w:rsidRPr="009458EC">
        <w:t xml:space="preserve">]f not a corporation in the full sense of the term, it is a </w:t>
      </w:r>
      <w:r w:rsidRPr="009458EC">
        <w:rPr>
          <w:i/>
          <w:iCs/>
        </w:rPr>
        <w:t>quasi</w:t>
      </w:r>
      <w:r w:rsidRPr="009458EC">
        <w:t xml:space="preserve"> corporation</w:t>
      </w:r>
      <w:r w:rsidRPr="009458EC">
        <w:t xml:space="preserve">”); </w:t>
      </w:r>
      <w:r w:rsidRPr="009458EC">
        <w:rPr>
          <w:i/>
          <w:iCs/>
        </w:rPr>
        <w:t>Town of East Hartford v. Hartford Bridge Co.</w:t>
      </w:r>
      <w:r w:rsidRPr="009458EC">
        <w:t>, 51 U.S. 511, 536 (1850) (discussing characterizations of towns, cities, and counties as corporations for public government)</w:t>
      </w:r>
      <w:r>
        <w:t xml:space="preserve">; </w:t>
      </w:r>
      <w:r>
        <w:rPr>
          <w:i/>
          <w:iCs/>
        </w:rPr>
        <w:t>see also</w:t>
      </w:r>
      <w:r w:rsidRPr="00295D32">
        <w:t>,</w:t>
      </w:r>
      <w:r w:rsidRPr="00F83AF2">
        <w:rPr>
          <w:i/>
          <w:iCs/>
        </w:rPr>
        <w:t xml:space="preserve"> e.g.</w:t>
      </w:r>
      <w:r w:rsidRPr="00F83AF2">
        <w:t>, Black’s Law Dictionary (11th ed. 2019) (defining a “quasi-corporation” as “[a]n entity that exercises some of the functions of a corporation but that has not been granted corporate status by statute; esp., a public corporation with limited authority and powers (such as a county or school district),” which is “[a]</w:t>
      </w:r>
      <w:r w:rsidRPr="00F83AF2">
        <w:t>lso</w:t>
      </w:r>
      <w:r w:rsidRPr="00F83AF2">
        <w:t xml:space="preserve"> sometimes termed [a] </w:t>
      </w:r>
      <w:r w:rsidRPr="00F83AF2">
        <w:rPr>
          <w:i/>
          <w:iCs/>
        </w:rPr>
        <w:t>quasi-municipal corporation</w:t>
      </w:r>
      <w:r w:rsidRPr="00F83AF2">
        <w:t>”)</w:t>
      </w:r>
      <w:r>
        <w:t>.</w:t>
      </w:r>
    </w:p>
  </w:footnote>
  <w:footnote w:id="82">
    <w:p w:rsidR="009970EB" w:rsidP="006767AC" w14:paraId="031C2EAA" w14:textId="77777777">
      <w:pPr>
        <w:pStyle w:val="FootnoteText"/>
      </w:pPr>
      <w:r>
        <w:rPr>
          <w:rStyle w:val="FootnoteReference"/>
        </w:rPr>
        <w:footnoteRef/>
      </w:r>
      <w:r>
        <w:t xml:space="preserve"> Indeed, some commenters argue that local governments would make some unwanted non-emergency calls if they were not subject to the TCPA.  </w:t>
      </w:r>
      <w:r w:rsidRPr="00945A30">
        <w:t>Perrong</w:t>
      </w:r>
      <w:r w:rsidRPr="00945A30">
        <w:t xml:space="preserve"> Reply</w:t>
      </w:r>
      <w:r>
        <w:t xml:space="preserve"> Comments at 3; NCLC 2016 Reply Comments at 4-6.</w:t>
      </w:r>
    </w:p>
  </w:footnote>
  <w:footnote w:id="83">
    <w:p w:rsidR="009970EB" w:rsidP="006767AC" w14:paraId="6B36F105" w14:textId="77777777">
      <w:pPr>
        <w:pStyle w:val="FootnoteText"/>
      </w:pPr>
      <w:r>
        <w:rPr>
          <w:rStyle w:val="FootnoteReference"/>
        </w:rPr>
        <w:footnoteRef/>
      </w:r>
      <w:r>
        <w:t xml:space="preserve"> </w:t>
      </w:r>
      <w:r>
        <w:rPr>
          <w:i/>
          <w:iCs/>
        </w:rPr>
        <w:t xml:space="preserve">See </w:t>
      </w:r>
      <w:r>
        <w:t xml:space="preserve">47 U.S.C. </w:t>
      </w:r>
      <w:r w:rsidRPr="00B84B5C">
        <w:t>§</w:t>
      </w:r>
      <w:r>
        <w:t xml:space="preserve"> 153(39).</w:t>
      </w:r>
    </w:p>
  </w:footnote>
  <w:footnote w:id="84">
    <w:p w:rsidR="009970EB" w:rsidP="006767AC" w14:paraId="35C92EAD" w14:textId="77777777">
      <w:pPr>
        <w:pStyle w:val="FootnoteText"/>
      </w:pPr>
      <w:r>
        <w:rPr>
          <w:rStyle w:val="FootnoteReference"/>
        </w:rPr>
        <w:footnoteRef/>
      </w:r>
      <w:r>
        <w:t xml:space="preserve"> </w:t>
      </w:r>
      <w:r>
        <w:rPr>
          <w:i/>
        </w:rPr>
        <w:t xml:space="preserve">See </w:t>
      </w:r>
      <w:r>
        <w:t>S. Rep. 102-178, at 5 (Oct. 8, 1991).</w:t>
      </w:r>
    </w:p>
  </w:footnote>
  <w:footnote w:id="85">
    <w:p w:rsidR="009970EB" w:rsidP="006767AC" w14:paraId="021075F2" w14:textId="77777777">
      <w:pPr>
        <w:pStyle w:val="FootnoteText"/>
      </w:pPr>
      <w:r>
        <w:rPr>
          <w:rStyle w:val="FootnoteReference"/>
        </w:rPr>
        <w:footnoteRef/>
      </w:r>
      <w:r>
        <w:t xml:space="preserve"> </w:t>
      </w:r>
      <w:r>
        <w:rPr>
          <w:i/>
        </w:rPr>
        <w:t>Id.</w:t>
      </w:r>
    </w:p>
  </w:footnote>
  <w:footnote w:id="86">
    <w:p w:rsidR="009970EB" w:rsidP="006767AC" w14:paraId="4C898940" w14:textId="77777777">
      <w:pPr>
        <w:pStyle w:val="FootnoteText"/>
      </w:pPr>
      <w:r>
        <w:rPr>
          <w:rStyle w:val="FootnoteReference"/>
        </w:rPr>
        <w:footnoteRef/>
      </w:r>
      <w:r>
        <w:t xml:space="preserve"> </w:t>
      </w:r>
      <w:r w:rsidRPr="006244DE">
        <w:rPr>
          <w:i/>
        </w:rPr>
        <w:t xml:space="preserve">See </w:t>
      </w:r>
      <w:r w:rsidRPr="006244DE">
        <w:t>Broadnet Comments at 3</w:t>
      </w:r>
      <w:r>
        <w:t xml:space="preserve">, </w:t>
      </w:r>
      <w:r w:rsidRPr="006244DE">
        <w:t xml:space="preserve">7-9; RTI Comments at 6-7; </w:t>
      </w:r>
      <w:r w:rsidRPr="00B33B16">
        <w:t>SLSA et al. Comments at 10 (“There is no evidence in the TCPA’s text or legislative history that Congress intended to restrict the calling activities of any level of government.”)</w:t>
      </w:r>
      <w:r>
        <w:rPr>
          <w:kern w:val="28"/>
        </w:rPr>
        <w:t>.</w:t>
      </w:r>
    </w:p>
  </w:footnote>
  <w:footnote w:id="87">
    <w:p w:rsidR="009970EB" w:rsidP="006767AC" w14:paraId="536328E7" w14:textId="77777777">
      <w:pPr>
        <w:pStyle w:val="FootnoteText"/>
      </w:pPr>
      <w:r>
        <w:rPr>
          <w:rStyle w:val="FootnoteReference"/>
        </w:rPr>
        <w:footnoteRef/>
      </w:r>
      <w:r>
        <w:t xml:space="preserve"> </w:t>
      </w:r>
      <w:r>
        <w:rPr>
          <w:i/>
          <w:iCs/>
        </w:rPr>
        <w:t>Blackboard Declaratory Ruling</w:t>
      </w:r>
      <w:r>
        <w:t xml:space="preserve">, 31 FCC </w:t>
      </w:r>
      <w:r>
        <w:t>Rcd</w:t>
      </w:r>
      <w:r>
        <w:t xml:space="preserve"> at 9062-65, paras. 20-25.</w:t>
      </w:r>
    </w:p>
  </w:footnote>
  <w:footnote w:id="88">
    <w:p w:rsidR="009970EB" w:rsidP="006767AC" w14:paraId="1E250FCB" w14:textId="77777777">
      <w:pPr>
        <w:pStyle w:val="FootnoteText"/>
      </w:pPr>
      <w:r w:rsidRPr="00CF677B">
        <w:rPr>
          <w:rStyle w:val="FootnoteReference"/>
        </w:rPr>
        <w:footnoteRef/>
      </w:r>
      <w:r w:rsidRPr="00CF677B">
        <w:t xml:space="preserve"> Broadnet Petition at 5-6 (citing </w:t>
      </w:r>
      <w:r w:rsidRPr="00CF677B">
        <w:rPr>
          <w:i/>
          <w:iCs/>
        </w:rPr>
        <w:t>Walden v. City of Providence</w:t>
      </w:r>
      <w:r w:rsidRPr="00CF677B">
        <w:t>, 596 F.3d 38, 60 n.29 (1</w:t>
      </w:r>
      <w:r w:rsidRPr="00A10119">
        <w:t>st</w:t>
      </w:r>
      <w:r w:rsidRPr="00CF677B">
        <w:t xml:space="preserve"> Cir. 2010); </w:t>
      </w:r>
      <w:r w:rsidRPr="00CF677B">
        <w:rPr>
          <w:i/>
          <w:iCs/>
        </w:rPr>
        <w:t>Abbot v. Village of Winthrop Harbor</w:t>
      </w:r>
      <w:r w:rsidRPr="00CF677B">
        <w:t>, 205 F.3d 976, 980 (7</w:t>
      </w:r>
      <w:r w:rsidRPr="00A10119">
        <w:t>th</w:t>
      </w:r>
      <w:r w:rsidRPr="00CF677B">
        <w:t xml:space="preserve"> Cir. 2000); </w:t>
      </w:r>
      <w:r w:rsidRPr="00CF677B">
        <w:rPr>
          <w:i/>
          <w:iCs/>
        </w:rPr>
        <w:t>United States v. Rancho Palos Verdes</w:t>
      </w:r>
      <w:r w:rsidRPr="00CF677B">
        <w:t>, 841 F.2d 329, 331 (9</w:t>
      </w:r>
      <w:r w:rsidRPr="00A10119">
        <w:t>th</w:t>
      </w:r>
      <w:r w:rsidRPr="00CF677B">
        <w:t xml:space="preserve"> Cir. 1988)).</w:t>
      </w:r>
    </w:p>
  </w:footnote>
  <w:footnote w:id="89">
    <w:p w:rsidR="009970EB" w:rsidP="006767AC" w14:paraId="0EDBAB7A" w14:textId="77777777">
      <w:pPr>
        <w:pStyle w:val="FootnoteText"/>
      </w:pPr>
      <w:r w:rsidRPr="00CF677B">
        <w:rPr>
          <w:rStyle w:val="FootnoteReference"/>
        </w:rPr>
        <w:footnoteRef/>
      </w:r>
      <w:r w:rsidRPr="00CF677B">
        <w:t xml:space="preserve"> For example, those cases involved the federal Wiretap Act and the Endangered Species Act (ESA), which both have definitions of “person” that expressly include certain officers or employees of the federal government, state government, and political subdivisions of state governments—and not to those governmental entities themselves—</w:t>
      </w:r>
      <w:r>
        <w:t xml:space="preserve">that </w:t>
      </w:r>
      <w:r w:rsidRPr="00CF677B">
        <w:t>support</w:t>
      </w:r>
      <w:r>
        <w:t xml:space="preserve">s an </w:t>
      </w:r>
      <w:r w:rsidRPr="00CF677B">
        <w:t xml:space="preserve">inference that only the employees, officers, etc. are covered.  </w:t>
      </w:r>
      <w:r w:rsidRPr="00CF677B">
        <w:rPr>
          <w:i/>
          <w:iCs/>
        </w:rPr>
        <w:t>See Walden</w:t>
      </w:r>
      <w:r w:rsidRPr="00CF677B">
        <w:t xml:space="preserve">, 596 F.3d at 59, 60 n.29 (explaining that similar language in the Rhode Island wiretap statute “makes clear that only ‘officer[s], agent[s], or employee[s]’ of municipal governments are ‘persons’ who may be sued, not municipalities themselves,” and stating that although the language of the federal Wiretap Act “varies slightly from that of” the Rhode Island act, “we conclude that both clearly exclude municipalities from the definition of persons”).  </w:t>
      </w:r>
    </w:p>
  </w:footnote>
  <w:footnote w:id="90">
    <w:p w:rsidR="009970EB" w:rsidP="006767AC" w14:paraId="1C4E1ACC" w14:textId="77777777">
      <w:pPr>
        <w:pStyle w:val="FootnoteText"/>
      </w:pPr>
      <w:r w:rsidRPr="00CF677B">
        <w:rPr>
          <w:rStyle w:val="FootnoteReference"/>
        </w:rPr>
        <w:footnoteRef/>
      </w:r>
      <w:r w:rsidRPr="00CF677B">
        <w:t xml:space="preserve"> </w:t>
      </w:r>
      <w:r w:rsidRPr="00CF677B">
        <w:rPr>
          <w:i/>
          <w:iCs/>
        </w:rPr>
        <w:t xml:space="preserve">See </w:t>
      </w:r>
      <w:r w:rsidRPr="00CF677B">
        <w:t xml:space="preserve">APPA Sept. 28, 2015 Comments at 6-7 (citing </w:t>
      </w:r>
      <w:r w:rsidRPr="00CF677B">
        <w:rPr>
          <w:i/>
          <w:iCs/>
        </w:rPr>
        <w:t>Bonneville Power Administration v. FERC</w:t>
      </w:r>
      <w:r w:rsidRPr="00CF677B">
        <w:t>, 442 F.3d 908, 922 (9</w:t>
      </w:r>
      <w:r w:rsidRPr="00A10119">
        <w:t>th</w:t>
      </w:r>
      <w:r w:rsidRPr="00CF677B">
        <w:t xml:space="preserve"> Cir. 2005); </w:t>
      </w:r>
      <w:r w:rsidRPr="00CF677B">
        <w:rPr>
          <w:i/>
          <w:iCs/>
        </w:rPr>
        <w:t>Transmission Agency of Northern California v. FERC</w:t>
      </w:r>
      <w:r w:rsidRPr="00CF677B">
        <w:t xml:space="preserve">, 495 F.3d 663 (D.C. Cir. 2007)).  These decisions involved the Federal Power Act (FPA) and the Natural Gas Act (NGA), but as APPA itself observes “there are other provisions in the FPA and NGA that lend additional support to the conclusion that government entities are exempt from FERC rate regulation under these Acts.  The definitions of ‘corporation’ in both Acts, for example, expressly excluded municipalities.” </w:t>
      </w:r>
      <w:r>
        <w:t xml:space="preserve"> </w:t>
      </w:r>
      <w:r>
        <w:rPr>
          <w:i/>
          <w:iCs/>
        </w:rPr>
        <w:t>Id.</w:t>
      </w:r>
    </w:p>
  </w:footnote>
  <w:footnote w:id="91">
    <w:p w:rsidR="009970EB" w:rsidP="006767AC" w14:paraId="7B66D5C7" w14:textId="77777777">
      <w:pPr>
        <w:pStyle w:val="FootnoteText"/>
      </w:pPr>
      <w:r w:rsidRPr="00CF677B">
        <w:rPr>
          <w:rStyle w:val="FootnoteReference"/>
        </w:rPr>
        <w:footnoteRef/>
      </w:r>
      <w:r w:rsidRPr="00CF677B">
        <w:t xml:space="preserve"> </w:t>
      </w:r>
      <w:r w:rsidRPr="00CF677B">
        <w:rPr>
          <w:i/>
          <w:iCs/>
        </w:rPr>
        <w:t xml:space="preserve">See </w:t>
      </w:r>
      <w:r w:rsidRPr="00CF677B">
        <w:t xml:space="preserve">APPA Sept. 28, 2015 Comments at 7 (noting that section 208(a) of the Act “permits ‘any person, any body politic or municipal organization, or State commission’ to file complaints against common carriers that they have violated the Act, an FCC Rule or an FCC order,” and arguing that “by distinguishing between ‘person’ and entities like ‘municipal organizations and State commissions,’ section 208 reinforces that public power utilities are not ‘persons’ within the meaning of the Act”); </w:t>
      </w:r>
      <w:r w:rsidRPr="00CF677B">
        <w:rPr>
          <w:i/>
          <w:iCs/>
        </w:rPr>
        <w:t xml:space="preserve">see also id. </w:t>
      </w:r>
      <w:r w:rsidRPr="00CF677B">
        <w:t>at 10 (suggesting that the exclusion for municipal utilities from the pole attachment authority of section 224 was intended to “remove all doubt” that such entities are excluded from the Act”).</w:t>
      </w:r>
    </w:p>
  </w:footnote>
  <w:footnote w:id="92">
    <w:p w:rsidR="009970EB" w:rsidP="006767AC" w14:paraId="3324330C" w14:textId="77777777">
      <w:pPr>
        <w:pStyle w:val="FootnoteText"/>
      </w:pPr>
      <w:r w:rsidRPr="00CF677B">
        <w:rPr>
          <w:rStyle w:val="FootnoteReference"/>
        </w:rPr>
        <w:footnoteRef/>
      </w:r>
      <w:r w:rsidRPr="00CF677B">
        <w:t xml:space="preserve"> </w:t>
      </w:r>
      <w:r w:rsidRPr="00CF677B">
        <w:rPr>
          <w:i/>
          <w:iCs/>
        </w:rPr>
        <w:t>See</w:t>
      </w:r>
      <w:r w:rsidRPr="00A10119">
        <w:t>,</w:t>
      </w:r>
      <w:r w:rsidRPr="00CF677B">
        <w:rPr>
          <w:i/>
          <w:iCs/>
        </w:rPr>
        <w:t xml:space="preserve"> e.g.</w:t>
      </w:r>
      <w:r w:rsidRPr="00CF677B">
        <w:t xml:space="preserve">, </w:t>
      </w:r>
      <w:r w:rsidRPr="00CF677B">
        <w:rPr>
          <w:i/>
        </w:rPr>
        <w:t>Will</w:t>
      </w:r>
      <w:r>
        <w:rPr>
          <w:i/>
        </w:rPr>
        <w:t xml:space="preserve"> v. Mich. Dep’t of State Police</w:t>
      </w:r>
      <w:r w:rsidRPr="00CF677B">
        <w:t>, 491 U.S. 58</w:t>
      </w:r>
      <w:r>
        <w:t xml:space="preserve"> (1989)</w:t>
      </w:r>
      <w:r w:rsidRPr="00CF677B">
        <w:t>.</w:t>
      </w:r>
    </w:p>
  </w:footnote>
  <w:footnote w:id="93">
    <w:p w:rsidR="009970EB" w:rsidP="006767AC" w14:paraId="0EC721AA" w14:textId="77777777">
      <w:pPr>
        <w:pStyle w:val="FootnoteText"/>
      </w:pPr>
      <w:r w:rsidRPr="00CF677B">
        <w:rPr>
          <w:rStyle w:val="FootnoteReference"/>
        </w:rPr>
        <w:footnoteRef/>
      </w:r>
      <w:r w:rsidRPr="00CF677B">
        <w:t xml:space="preserve"> </w:t>
      </w:r>
      <w:r w:rsidRPr="00CF677B">
        <w:rPr>
          <w:i/>
          <w:iCs/>
        </w:rPr>
        <w:t xml:space="preserve">See </w:t>
      </w:r>
      <w:r w:rsidRPr="00CF677B">
        <w:t>Pub. L. 73-416 § 208 (1934).</w:t>
      </w:r>
    </w:p>
  </w:footnote>
  <w:footnote w:id="94">
    <w:p w:rsidR="009970EB" w:rsidP="006767AC" w14:paraId="0863231E" w14:textId="77777777">
      <w:pPr>
        <w:pStyle w:val="FootnoteText"/>
      </w:pPr>
      <w:r w:rsidRPr="007F27A1">
        <w:rPr>
          <w:rStyle w:val="FootnoteReference"/>
        </w:rPr>
        <w:footnoteRef/>
      </w:r>
      <w:r w:rsidRPr="007F27A1">
        <w:t xml:space="preserve"> </w:t>
      </w:r>
      <w:r w:rsidRPr="007F27A1">
        <w:rPr>
          <w:i/>
          <w:iCs/>
        </w:rPr>
        <w:t>See</w:t>
      </w:r>
      <w:r w:rsidRPr="007F27A1">
        <w:t xml:space="preserve"> 47 U.S.C. § 224(a) (“As used in this section: . . .” and specifying definitions to be used in that section.).</w:t>
      </w:r>
    </w:p>
  </w:footnote>
  <w:footnote w:id="95">
    <w:p w:rsidR="009970EB" w:rsidP="006767AC" w14:paraId="5E46FDC1" w14:textId="77777777">
      <w:pPr>
        <w:pStyle w:val="FootnoteText"/>
      </w:pPr>
      <w:r>
        <w:rPr>
          <w:rStyle w:val="FootnoteReference"/>
        </w:rPr>
        <w:footnoteRef/>
      </w:r>
      <w:r>
        <w:t xml:space="preserve"> </w:t>
      </w:r>
      <w:r>
        <w:rPr>
          <w:i/>
          <w:iCs/>
        </w:rPr>
        <w:t>Id.</w:t>
      </w:r>
      <w:r w:rsidRPr="00892F8B">
        <w:t xml:space="preserve"> §</w:t>
      </w:r>
      <w:r>
        <w:t xml:space="preserve"> 227(b)(1).</w:t>
      </w:r>
    </w:p>
  </w:footnote>
  <w:footnote w:id="96">
    <w:p w:rsidR="009970EB" w:rsidP="006767AC" w14:paraId="6481B65E" w14:textId="77777777">
      <w:pPr>
        <w:pStyle w:val="FootnoteText"/>
      </w:pPr>
      <w:r>
        <w:rPr>
          <w:rStyle w:val="FootnoteReference"/>
        </w:rPr>
        <w:footnoteRef/>
      </w:r>
      <w:r>
        <w:t xml:space="preserve"> As previously noted, autodialed and prerecorded voice calls made for an “emergency purpose” do not require the prior express consent of the called party.  Thus, nothing herein precludes or hinders local governments from calling citizens regarding matters of health and safety.  </w:t>
      </w:r>
      <w:r>
        <w:rPr>
          <w:i/>
          <w:iCs/>
        </w:rPr>
        <w:t xml:space="preserve">See </w:t>
      </w:r>
      <w:r w:rsidRPr="00CE0166">
        <w:t>47 U.S.C. § 227(b)(1); 47 CFR § 64.1200(a)(1)</w:t>
      </w:r>
      <w:r>
        <w:t xml:space="preserve">; </w:t>
      </w:r>
      <w:r w:rsidRPr="00892F8B">
        <w:rPr>
          <w:i/>
          <w:iCs/>
        </w:rPr>
        <w:t>see also</w:t>
      </w:r>
      <w:r>
        <w:t xml:space="preserve"> </w:t>
      </w:r>
      <w:r w:rsidRPr="00CE0166">
        <w:t>47 CFR § 64.1200</w:t>
      </w:r>
      <w:r>
        <w:t>(f)(4) (defining “emergency purposes” as “calls made necessary in any situation affecting the health and safety of consumers”).</w:t>
      </w:r>
    </w:p>
  </w:footnote>
  <w:footnote w:id="97">
    <w:p w:rsidR="009970EB" w:rsidP="006767AC" w14:paraId="5F3E2B82" w14:textId="77777777">
      <w:pPr>
        <w:pStyle w:val="FootnoteText"/>
      </w:pPr>
      <w:r>
        <w:rPr>
          <w:rStyle w:val="FootnoteReference"/>
        </w:rPr>
        <w:footnoteRef/>
      </w:r>
      <w:r>
        <w:t xml:space="preserve"> 47 U.S.C. </w:t>
      </w:r>
      <w:r w:rsidRPr="006E3703">
        <w:t>§</w:t>
      </w:r>
      <w:r>
        <w:t xml:space="preserve"> 227(b)(1).</w:t>
      </w:r>
    </w:p>
  </w:footnote>
  <w:footnote w:id="98">
    <w:p w:rsidR="009970EB" w:rsidRPr="008A78B6" w:rsidP="006767AC" w14:paraId="6F1801A0" w14:textId="77777777">
      <w:pPr>
        <w:pStyle w:val="FootnoteText"/>
      </w:pPr>
      <w:r>
        <w:rPr>
          <w:rStyle w:val="FootnoteReference"/>
        </w:rPr>
        <w:footnoteRef/>
      </w:r>
      <w:r>
        <w:t xml:space="preserve"> </w:t>
      </w:r>
      <w:r>
        <w:rPr>
          <w:i/>
          <w:iCs/>
        </w:rPr>
        <w:t>See COVID-19 Declaratory Ruling</w:t>
      </w:r>
      <w:r>
        <w:t xml:space="preserve"> at para. 2 (confirming that “</w:t>
      </w:r>
      <w:r w:rsidRPr="000A48AB">
        <w:t xml:space="preserve">the COVID-19 pandemic constitutes an </w:t>
      </w:r>
      <w:r>
        <w:t>‘</w:t>
      </w:r>
      <w:r w:rsidRPr="000A48AB">
        <w:t>emergency</w:t>
      </w:r>
      <w:r>
        <w:t>’</w:t>
      </w:r>
      <w:r w:rsidRPr="000A48AB">
        <w:t xml:space="preserve"> under the </w:t>
      </w:r>
      <w:r>
        <w:t>[</w:t>
      </w:r>
      <w:r w:rsidRPr="000A48AB">
        <w:t>TCPA</w:t>
      </w:r>
      <w:r>
        <w:t>]</w:t>
      </w:r>
      <w:r w:rsidRPr="000A48AB">
        <w:t xml:space="preserve"> and that consequently </w:t>
      </w:r>
      <w:r>
        <w:t>. . .</w:t>
      </w:r>
      <w:r w:rsidRPr="000A48AB">
        <w:t xml:space="preserve"> state and local health officials, and other government officials may lawfully communicate information about the novel coronavirus as well as mitigation measures without violating federal law</w:t>
      </w:r>
      <w:r>
        <w:t>”).</w:t>
      </w:r>
    </w:p>
  </w:footnote>
  <w:footnote w:id="99">
    <w:p w:rsidR="00384193" w:rsidRPr="00D6537D" w:rsidP="00384193" w14:paraId="3F1CDEF6" w14:textId="14575ECA">
      <w:pPr>
        <w:pStyle w:val="FootnoteText"/>
      </w:pPr>
      <w:r>
        <w:rPr>
          <w:rStyle w:val="FootnoteReference"/>
        </w:rPr>
        <w:footnoteRef/>
      </w:r>
      <w:r>
        <w:t xml:space="preserve"> PR Newswire, </w:t>
      </w:r>
      <w:r w:rsidRPr="00D6537D">
        <w:rPr>
          <w:i/>
          <w:iCs/>
        </w:rPr>
        <w:t xml:space="preserve">Over 4.25 Billion Robocalls in October Mark Nearly 12% Monthly Increase, Says </w:t>
      </w:r>
      <w:r w:rsidRPr="00D6537D">
        <w:rPr>
          <w:i/>
          <w:iCs/>
        </w:rPr>
        <w:t>YouMail</w:t>
      </w:r>
      <w:r w:rsidRPr="00D6537D">
        <w:rPr>
          <w:i/>
          <w:iCs/>
        </w:rPr>
        <w:t xml:space="preserve"> Robocall Index</w:t>
      </w:r>
      <w:r>
        <w:t xml:space="preserve"> (Nov. 10, 2020), at </w:t>
      </w:r>
      <w:hyperlink r:id="rId4" w:history="1">
        <w:r w:rsidRPr="000469BB">
          <w:rPr>
            <w:rStyle w:val="Hyperlink"/>
          </w:rPr>
          <w:t>https://www.prnewswire.com/news-releases/over-4-25-billion-robocalls-in-october-mark-nearly-12-monthly-increase-says-youmail-robocall-index-301169783.html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RPr="0000701B" w:rsidP="009970EB" w14:paraId="07034A72" w14:textId="6A34536D">
    <w:pPr>
      <w:pStyle w:val="Header"/>
      <w:tabs>
        <w:tab w:val="left" w:pos="6000"/>
        <w:tab w:val="clear" w:pos="9360"/>
      </w:tabs>
      <w:ind w:firstLine="2880"/>
      <w:jc w:val="right"/>
    </w:pPr>
    <w:bookmarkStart w:id="96" w:name="_Hlk507592449"/>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rPr>
        <w:noProof/>
      </w:rPr>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Federal Communications Commission</w:t>
    </w:r>
    <w:r>
      <w:tab/>
    </w:r>
    <w:r>
      <w:tab/>
    </w:r>
    <w:r>
      <w:tab/>
    </w:r>
    <w:r>
      <w:rPr>
        <w:spacing w:val="-2"/>
      </w:rPr>
      <w:t>FCC 20-182</w:t>
    </w:r>
  </w:p>
  <w:bookmarkEnd w:id="96"/>
  <w:p w:rsidR="009970EB" w:rsidP="009970EB" w14:paraId="244B99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RPr="0000701B" w:rsidP="009970EB" w14:paraId="6099783C" w14:textId="6AA7D5E2">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rPr>
        <w:noProof/>
      </w:rPr>
      <w:pict>
        <v:rect id="Rectangle 5"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bookmarkStart w:id="97" w:name="_Hlk494716320"/>
    <w:r>
      <w:rPr>
        <w:spacing w:val="-2"/>
      </w:rPr>
      <w:t>FCC</w:t>
    </w:r>
    <w:bookmarkEnd w:id="97"/>
    <w:r>
      <w:rPr>
        <w:spacing w:val="-2"/>
      </w:rPr>
      <w:t xml:space="preserve"> 20-182</w:t>
    </w:r>
  </w:p>
  <w:p w:rsidR="009970EB" w:rsidP="009970EB" w14:paraId="7AA670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P="00810B6F" w14:paraId="61137EA0" w14:textId="6E7BB2DF">
    <w:pPr>
      <w:pStyle w:val="Header"/>
      <w:rPr>
        <w:b w:val="0"/>
      </w:rPr>
    </w:pPr>
    <w:r>
      <w:tab/>
      <w:t>Federal Communications Commission</w:t>
    </w:r>
    <w:r>
      <w:tab/>
      <w:t>FCC 20-182</w:t>
    </w:r>
  </w:p>
  <w:p w:rsidR="009970EB" w14:paraId="43EDAD5F"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9970EB" w14:paraId="1020E8E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0EB" w:rsidP="00810B6F" w14:paraId="49CA096A" w14:textId="4B866778">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AC"/>
    <w:rsid w:val="00001364"/>
    <w:rsid w:val="0000701B"/>
    <w:rsid w:val="000228B6"/>
    <w:rsid w:val="00025C4D"/>
    <w:rsid w:val="00027D3B"/>
    <w:rsid w:val="00036039"/>
    <w:rsid w:val="00037F90"/>
    <w:rsid w:val="000407C4"/>
    <w:rsid w:val="0004363B"/>
    <w:rsid w:val="000469BB"/>
    <w:rsid w:val="00052BEC"/>
    <w:rsid w:val="00067F24"/>
    <w:rsid w:val="00070540"/>
    <w:rsid w:val="000728D4"/>
    <w:rsid w:val="000812D0"/>
    <w:rsid w:val="000851BB"/>
    <w:rsid w:val="000875BF"/>
    <w:rsid w:val="00096D8C"/>
    <w:rsid w:val="000A48AB"/>
    <w:rsid w:val="000A61AA"/>
    <w:rsid w:val="000B0D53"/>
    <w:rsid w:val="000B1A7D"/>
    <w:rsid w:val="000B2243"/>
    <w:rsid w:val="000C06E0"/>
    <w:rsid w:val="000C0B65"/>
    <w:rsid w:val="000C3E97"/>
    <w:rsid w:val="000C585F"/>
    <w:rsid w:val="000C642F"/>
    <w:rsid w:val="000E05FE"/>
    <w:rsid w:val="000E3D42"/>
    <w:rsid w:val="000F1E6A"/>
    <w:rsid w:val="00101132"/>
    <w:rsid w:val="00122287"/>
    <w:rsid w:val="00122BD5"/>
    <w:rsid w:val="00133F79"/>
    <w:rsid w:val="00134E50"/>
    <w:rsid w:val="001577FA"/>
    <w:rsid w:val="00160028"/>
    <w:rsid w:val="00174881"/>
    <w:rsid w:val="00194A66"/>
    <w:rsid w:val="001A4304"/>
    <w:rsid w:val="001D6BCF"/>
    <w:rsid w:val="001E01CA"/>
    <w:rsid w:val="0020129B"/>
    <w:rsid w:val="0020146B"/>
    <w:rsid w:val="002104B6"/>
    <w:rsid w:val="00227F16"/>
    <w:rsid w:val="00233CCF"/>
    <w:rsid w:val="00242EF1"/>
    <w:rsid w:val="00245AD8"/>
    <w:rsid w:val="002616D5"/>
    <w:rsid w:val="00267544"/>
    <w:rsid w:val="00271A05"/>
    <w:rsid w:val="00275CF5"/>
    <w:rsid w:val="00281449"/>
    <w:rsid w:val="0028301F"/>
    <w:rsid w:val="00285017"/>
    <w:rsid w:val="00295D32"/>
    <w:rsid w:val="002A2D2E"/>
    <w:rsid w:val="002B1DF9"/>
    <w:rsid w:val="002B437F"/>
    <w:rsid w:val="002B5872"/>
    <w:rsid w:val="002C00E8"/>
    <w:rsid w:val="002D56D7"/>
    <w:rsid w:val="002D5884"/>
    <w:rsid w:val="002E2121"/>
    <w:rsid w:val="002E3B90"/>
    <w:rsid w:val="00304BA9"/>
    <w:rsid w:val="003108A7"/>
    <w:rsid w:val="00316E2A"/>
    <w:rsid w:val="00316FA0"/>
    <w:rsid w:val="0032062F"/>
    <w:rsid w:val="00320E13"/>
    <w:rsid w:val="00327681"/>
    <w:rsid w:val="003358B6"/>
    <w:rsid w:val="00337768"/>
    <w:rsid w:val="00343749"/>
    <w:rsid w:val="00351613"/>
    <w:rsid w:val="003660ED"/>
    <w:rsid w:val="00384193"/>
    <w:rsid w:val="003B0550"/>
    <w:rsid w:val="003B694F"/>
    <w:rsid w:val="003E3ABC"/>
    <w:rsid w:val="003E43A7"/>
    <w:rsid w:val="003E673D"/>
    <w:rsid w:val="003E7853"/>
    <w:rsid w:val="003F0ACE"/>
    <w:rsid w:val="003F171C"/>
    <w:rsid w:val="003F6659"/>
    <w:rsid w:val="004016D1"/>
    <w:rsid w:val="00412FC5"/>
    <w:rsid w:val="0041448B"/>
    <w:rsid w:val="00422276"/>
    <w:rsid w:val="004242F1"/>
    <w:rsid w:val="00445A00"/>
    <w:rsid w:val="00451B0F"/>
    <w:rsid w:val="0047758A"/>
    <w:rsid w:val="00485B0B"/>
    <w:rsid w:val="004A19CE"/>
    <w:rsid w:val="004C2EE3"/>
    <w:rsid w:val="004C73BE"/>
    <w:rsid w:val="004D7E19"/>
    <w:rsid w:val="004E4A22"/>
    <w:rsid w:val="00511968"/>
    <w:rsid w:val="00521A44"/>
    <w:rsid w:val="00527503"/>
    <w:rsid w:val="00531629"/>
    <w:rsid w:val="005409A9"/>
    <w:rsid w:val="00545546"/>
    <w:rsid w:val="0055614C"/>
    <w:rsid w:val="00566D06"/>
    <w:rsid w:val="00573C1F"/>
    <w:rsid w:val="005A0EF3"/>
    <w:rsid w:val="005D1F3A"/>
    <w:rsid w:val="005E14C2"/>
    <w:rsid w:val="005F4608"/>
    <w:rsid w:val="00603F36"/>
    <w:rsid w:val="00607BA5"/>
    <w:rsid w:val="0061180A"/>
    <w:rsid w:val="00616984"/>
    <w:rsid w:val="006244DE"/>
    <w:rsid w:val="00625B67"/>
    <w:rsid w:val="00626EB6"/>
    <w:rsid w:val="0064076C"/>
    <w:rsid w:val="00653DBE"/>
    <w:rsid w:val="006551B6"/>
    <w:rsid w:val="00655D03"/>
    <w:rsid w:val="0066657A"/>
    <w:rsid w:val="006711A2"/>
    <w:rsid w:val="006744DF"/>
    <w:rsid w:val="006767AC"/>
    <w:rsid w:val="00683388"/>
    <w:rsid w:val="00683F84"/>
    <w:rsid w:val="006A6A81"/>
    <w:rsid w:val="006B33D5"/>
    <w:rsid w:val="006B6F41"/>
    <w:rsid w:val="006B6F4E"/>
    <w:rsid w:val="006C3D54"/>
    <w:rsid w:val="006D40C3"/>
    <w:rsid w:val="006D5801"/>
    <w:rsid w:val="006E3703"/>
    <w:rsid w:val="006F7393"/>
    <w:rsid w:val="0070224F"/>
    <w:rsid w:val="00706EDF"/>
    <w:rsid w:val="007115F7"/>
    <w:rsid w:val="007265EB"/>
    <w:rsid w:val="00732CA0"/>
    <w:rsid w:val="00744B11"/>
    <w:rsid w:val="0075495F"/>
    <w:rsid w:val="00757FF4"/>
    <w:rsid w:val="007635BB"/>
    <w:rsid w:val="00781DB4"/>
    <w:rsid w:val="00785689"/>
    <w:rsid w:val="0079754B"/>
    <w:rsid w:val="007A1E6D"/>
    <w:rsid w:val="007A4B8F"/>
    <w:rsid w:val="007B0EB2"/>
    <w:rsid w:val="007D6E0C"/>
    <w:rsid w:val="007F05E4"/>
    <w:rsid w:val="007F27A1"/>
    <w:rsid w:val="00810B6F"/>
    <w:rsid w:val="00816380"/>
    <w:rsid w:val="00822CE0"/>
    <w:rsid w:val="00824DC6"/>
    <w:rsid w:val="0082518D"/>
    <w:rsid w:val="0084186E"/>
    <w:rsid w:val="00841AB1"/>
    <w:rsid w:val="0084514D"/>
    <w:rsid w:val="00864CFD"/>
    <w:rsid w:val="00892F8B"/>
    <w:rsid w:val="008A7639"/>
    <w:rsid w:val="008A78B6"/>
    <w:rsid w:val="008B0878"/>
    <w:rsid w:val="008B3DF5"/>
    <w:rsid w:val="008C4370"/>
    <w:rsid w:val="008C6465"/>
    <w:rsid w:val="008C68F1"/>
    <w:rsid w:val="009119FE"/>
    <w:rsid w:val="00921803"/>
    <w:rsid w:val="009231EC"/>
    <w:rsid w:val="00926503"/>
    <w:rsid w:val="0094065D"/>
    <w:rsid w:val="009458EC"/>
    <w:rsid w:val="00945A01"/>
    <w:rsid w:val="00945A30"/>
    <w:rsid w:val="00947BB7"/>
    <w:rsid w:val="00965333"/>
    <w:rsid w:val="009726D8"/>
    <w:rsid w:val="00987735"/>
    <w:rsid w:val="009970EB"/>
    <w:rsid w:val="009B6821"/>
    <w:rsid w:val="009D7308"/>
    <w:rsid w:val="009D787E"/>
    <w:rsid w:val="009E13F7"/>
    <w:rsid w:val="009E52F3"/>
    <w:rsid w:val="009F76DB"/>
    <w:rsid w:val="00A10119"/>
    <w:rsid w:val="00A32C3B"/>
    <w:rsid w:val="00A45F4F"/>
    <w:rsid w:val="00A47626"/>
    <w:rsid w:val="00A47B1A"/>
    <w:rsid w:val="00A5645D"/>
    <w:rsid w:val="00A600A9"/>
    <w:rsid w:val="00A66D45"/>
    <w:rsid w:val="00A720E0"/>
    <w:rsid w:val="00AA5386"/>
    <w:rsid w:val="00AA55B7"/>
    <w:rsid w:val="00AA5B9E"/>
    <w:rsid w:val="00AB007F"/>
    <w:rsid w:val="00AB2407"/>
    <w:rsid w:val="00AB53DF"/>
    <w:rsid w:val="00AC05F1"/>
    <w:rsid w:val="00AD3788"/>
    <w:rsid w:val="00AE0F3E"/>
    <w:rsid w:val="00AE2C40"/>
    <w:rsid w:val="00B01158"/>
    <w:rsid w:val="00B07E5C"/>
    <w:rsid w:val="00B33B16"/>
    <w:rsid w:val="00B430D8"/>
    <w:rsid w:val="00B811F7"/>
    <w:rsid w:val="00B81791"/>
    <w:rsid w:val="00B84B5C"/>
    <w:rsid w:val="00B90198"/>
    <w:rsid w:val="00B91F15"/>
    <w:rsid w:val="00BA5DC6"/>
    <w:rsid w:val="00BA6196"/>
    <w:rsid w:val="00BA7185"/>
    <w:rsid w:val="00BB18C1"/>
    <w:rsid w:val="00BC6D8C"/>
    <w:rsid w:val="00BF13A5"/>
    <w:rsid w:val="00BF451E"/>
    <w:rsid w:val="00BF79F5"/>
    <w:rsid w:val="00C07493"/>
    <w:rsid w:val="00C16A5B"/>
    <w:rsid w:val="00C34006"/>
    <w:rsid w:val="00C36B4C"/>
    <w:rsid w:val="00C426B1"/>
    <w:rsid w:val="00C53843"/>
    <w:rsid w:val="00C56645"/>
    <w:rsid w:val="00C57C21"/>
    <w:rsid w:val="00C66160"/>
    <w:rsid w:val="00C677BE"/>
    <w:rsid w:val="00C70B6E"/>
    <w:rsid w:val="00C721AC"/>
    <w:rsid w:val="00C763A0"/>
    <w:rsid w:val="00C865E8"/>
    <w:rsid w:val="00C90D6A"/>
    <w:rsid w:val="00C96DB9"/>
    <w:rsid w:val="00CA247E"/>
    <w:rsid w:val="00CA37D4"/>
    <w:rsid w:val="00CA6D21"/>
    <w:rsid w:val="00CC2454"/>
    <w:rsid w:val="00CC72B6"/>
    <w:rsid w:val="00CD12CD"/>
    <w:rsid w:val="00CD6D4B"/>
    <w:rsid w:val="00CE0166"/>
    <w:rsid w:val="00CE7061"/>
    <w:rsid w:val="00CF428D"/>
    <w:rsid w:val="00CF677B"/>
    <w:rsid w:val="00D00F39"/>
    <w:rsid w:val="00D0218D"/>
    <w:rsid w:val="00D14C37"/>
    <w:rsid w:val="00D2402E"/>
    <w:rsid w:val="00D25FB5"/>
    <w:rsid w:val="00D35BB7"/>
    <w:rsid w:val="00D40AD9"/>
    <w:rsid w:val="00D41B3A"/>
    <w:rsid w:val="00D44223"/>
    <w:rsid w:val="00D6537D"/>
    <w:rsid w:val="00D76173"/>
    <w:rsid w:val="00D8099F"/>
    <w:rsid w:val="00DA2529"/>
    <w:rsid w:val="00DA6795"/>
    <w:rsid w:val="00DB130A"/>
    <w:rsid w:val="00DB2EBB"/>
    <w:rsid w:val="00DC10A1"/>
    <w:rsid w:val="00DC655F"/>
    <w:rsid w:val="00DD0B59"/>
    <w:rsid w:val="00DD7EBD"/>
    <w:rsid w:val="00DE1C35"/>
    <w:rsid w:val="00DE707F"/>
    <w:rsid w:val="00DF62B6"/>
    <w:rsid w:val="00E07225"/>
    <w:rsid w:val="00E106AF"/>
    <w:rsid w:val="00E27B76"/>
    <w:rsid w:val="00E515C2"/>
    <w:rsid w:val="00E5409F"/>
    <w:rsid w:val="00E632E4"/>
    <w:rsid w:val="00E6555E"/>
    <w:rsid w:val="00E9383E"/>
    <w:rsid w:val="00E94ADC"/>
    <w:rsid w:val="00EC4905"/>
    <w:rsid w:val="00EC7243"/>
    <w:rsid w:val="00EE367A"/>
    <w:rsid w:val="00EE6488"/>
    <w:rsid w:val="00EF16BB"/>
    <w:rsid w:val="00F021FA"/>
    <w:rsid w:val="00F16C94"/>
    <w:rsid w:val="00F2096F"/>
    <w:rsid w:val="00F240C0"/>
    <w:rsid w:val="00F31F9B"/>
    <w:rsid w:val="00F3690F"/>
    <w:rsid w:val="00F56A72"/>
    <w:rsid w:val="00F62E97"/>
    <w:rsid w:val="00F64209"/>
    <w:rsid w:val="00F75839"/>
    <w:rsid w:val="00F83AF2"/>
    <w:rsid w:val="00F93BF5"/>
    <w:rsid w:val="00FA0AFD"/>
    <w:rsid w:val="00FB43E6"/>
    <w:rsid w:val="00FB4B13"/>
    <w:rsid w:val="00FD2C6C"/>
    <w:rsid w:val="00FE3DA2"/>
    <w:rsid w:val="00FF24F4"/>
    <w:rsid w:val="371A2F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88D6350-80F0-4A9A-B6E7-F5025269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8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BA718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BA7185"/>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7185"/>
    <w:pPr>
      <w:keepNext/>
      <w:numPr>
        <w:ilvl w:val="2"/>
        <w:numId w:val="2"/>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link w:val="Heading4Char3"/>
    <w:qFormat/>
    <w:rsid w:val="00BA7185"/>
    <w:pPr>
      <w:keepNext/>
      <w:numPr>
        <w:ilvl w:val="3"/>
        <w:numId w:val="2"/>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BA7185"/>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BA7185"/>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rsid w:val="00BA718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A7185"/>
    <w:pPr>
      <w:numPr>
        <w:ilvl w:val="7"/>
        <w:numId w:val="2"/>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BA718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71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185"/>
  </w:style>
  <w:style w:type="paragraph" w:customStyle="1" w:styleId="ParaNum">
    <w:name w:val="ParaNum"/>
    <w:basedOn w:val="Normal"/>
    <w:link w:val="ParaNumChar1"/>
    <w:rsid w:val="00BA7185"/>
    <w:pPr>
      <w:numPr>
        <w:numId w:val="1"/>
      </w:numPr>
      <w:tabs>
        <w:tab w:val="clear" w:pos="1080"/>
        <w:tab w:val="num" w:pos="1440"/>
      </w:tabs>
      <w:spacing w:after="120"/>
    </w:pPr>
  </w:style>
  <w:style w:type="paragraph" w:styleId="EndnoteText">
    <w:name w:val="endnote text"/>
    <w:basedOn w:val="Normal"/>
    <w:link w:val="EndnoteTextChar"/>
    <w:semiHidden/>
    <w:rsid w:val="00BA7185"/>
    <w:rPr>
      <w:sz w:val="20"/>
    </w:rPr>
  </w:style>
  <w:style w:type="character" w:styleId="EndnoteReference">
    <w:name w:val="endnote reference"/>
    <w:semiHidden/>
    <w:rsid w:val="00BA7185"/>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BA718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A7185"/>
    <w:rPr>
      <w:rFonts w:ascii="Times New Roman" w:hAnsi="Times New Roman"/>
      <w:dstrike w:val="0"/>
      <w:color w:val="auto"/>
      <w:sz w:val="20"/>
      <w:vertAlign w:val="superscript"/>
    </w:rPr>
  </w:style>
  <w:style w:type="paragraph" w:styleId="TOC1">
    <w:name w:val="toc 1"/>
    <w:basedOn w:val="Normal"/>
    <w:next w:val="Normal"/>
    <w:semiHidden/>
    <w:rsid w:val="00BA71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7185"/>
    <w:pPr>
      <w:tabs>
        <w:tab w:val="left" w:pos="720"/>
        <w:tab w:val="right" w:leader="dot" w:pos="9360"/>
      </w:tabs>
      <w:suppressAutoHyphens/>
      <w:ind w:left="720" w:right="720" w:hanging="360"/>
    </w:pPr>
    <w:rPr>
      <w:noProof/>
    </w:rPr>
  </w:style>
  <w:style w:type="paragraph" w:styleId="TOC3">
    <w:name w:val="toc 3"/>
    <w:basedOn w:val="Normal"/>
    <w:next w:val="Normal"/>
    <w:semiHidden/>
    <w:rsid w:val="00BA71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71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71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71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71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71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71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7185"/>
    <w:pPr>
      <w:tabs>
        <w:tab w:val="right" w:pos="9360"/>
      </w:tabs>
      <w:suppressAutoHyphens/>
    </w:pPr>
  </w:style>
  <w:style w:type="character" w:customStyle="1" w:styleId="EquationCaption">
    <w:name w:val="_Equation Caption"/>
    <w:rsid w:val="00BA7185"/>
  </w:style>
  <w:style w:type="paragraph" w:styleId="Header">
    <w:name w:val="header"/>
    <w:basedOn w:val="Normal"/>
    <w:link w:val="HeaderChar"/>
    <w:autoRedefine/>
    <w:rsid w:val="00BA7185"/>
    <w:pPr>
      <w:tabs>
        <w:tab w:val="center" w:pos="4680"/>
        <w:tab w:val="right" w:pos="9360"/>
      </w:tabs>
    </w:pPr>
    <w:rPr>
      <w:b/>
    </w:rPr>
  </w:style>
  <w:style w:type="paragraph" w:styleId="Footer">
    <w:name w:val="footer"/>
    <w:basedOn w:val="Normal"/>
    <w:link w:val="FooterChar"/>
    <w:uiPriority w:val="99"/>
    <w:rsid w:val="00BA7185"/>
    <w:pPr>
      <w:tabs>
        <w:tab w:val="center" w:pos="4320"/>
        <w:tab w:val="right" w:pos="8640"/>
      </w:tabs>
    </w:pPr>
  </w:style>
  <w:style w:type="character" w:styleId="PageNumber">
    <w:name w:val="page number"/>
    <w:rsid w:val="00BA7185"/>
  </w:style>
  <w:style w:type="paragraph" w:styleId="BlockText">
    <w:name w:val="Block Text"/>
    <w:basedOn w:val="Normal"/>
    <w:rsid w:val="00BA7185"/>
    <w:pPr>
      <w:spacing w:after="240"/>
      <w:ind w:left="1440" w:right="1440"/>
    </w:pPr>
  </w:style>
  <w:style w:type="paragraph" w:customStyle="1" w:styleId="Paratitle">
    <w:name w:val="Para title"/>
    <w:basedOn w:val="Normal"/>
    <w:rsid w:val="00BA7185"/>
    <w:pPr>
      <w:tabs>
        <w:tab w:val="center" w:pos="9270"/>
      </w:tabs>
      <w:spacing w:after="240"/>
    </w:pPr>
    <w:rPr>
      <w:spacing w:val="-2"/>
    </w:rPr>
  </w:style>
  <w:style w:type="paragraph" w:customStyle="1" w:styleId="Bullet">
    <w:name w:val="Bullet"/>
    <w:basedOn w:val="Normal"/>
    <w:rsid w:val="00BA7185"/>
    <w:pPr>
      <w:tabs>
        <w:tab w:val="left" w:pos="2160"/>
      </w:tabs>
      <w:spacing w:after="220"/>
      <w:ind w:left="2160" w:hanging="720"/>
    </w:pPr>
  </w:style>
  <w:style w:type="paragraph" w:customStyle="1" w:styleId="TableFormat">
    <w:name w:val="TableFormat"/>
    <w:basedOn w:val="Bullet"/>
    <w:rsid w:val="00BA7185"/>
    <w:pPr>
      <w:tabs>
        <w:tab w:val="clear" w:pos="2160"/>
        <w:tab w:val="left" w:pos="5040"/>
      </w:tabs>
      <w:ind w:left="5040" w:hanging="3600"/>
    </w:pPr>
  </w:style>
  <w:style w:type="paragraph" w:customStyle="1" w:styleId="TOCTitle">
    <w:name w:val="TOC Title"/>
    <w:basedOn w:val="Normal"/>
    <w:rsid w:val="00BA71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7185"/>
    <w:pPr>
      <w:jc w:val="center"/>
    </w:pPr>
    <w:rPr>
      <w:rFonts w:ascii="Times New Roman Bold" w:hAnsi="Times New Roman Bold"/>
      <w:b/>
      <w:bCs/>
      <w:caps/>
      <w:szCs w:val="22"/>
    </w:rPr>
  </w:style>
  <w:style w:type="character" w:styleId="Hyperlink">
    <w:name w:val="Hyperlink"/>
    <w:rsid w:val="00BA7185"/>
    <w:rPr>
      <w:color w:val="0000FF"/>
      <w:u w:val="single"/>
    </w:rPr>
  </w:style>
  <w:style w:type="character" w:customStyle="1" w:styleId="FooterChar">
    <w:name w:val="Footer Char"/>
    <w:link w:val="Footer"/>
    <w:uiPriority w:val="99"/>
    <w:rsid w:val="00BA7185"/>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locked/>
    <w:rsid w:val="006767AC"/>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locked/>
    <w:rsid w:val="006767AC"/>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6767AC"/>
    <w:rPr>
      <w:b/>
      <w:snapToGrid w:val="0"/>
      <w:kern w:val="28"/>
      <w:sz w:val="22"/>
    </w:rPr>
  </w:style>
  <w:style w:type="character" w:customStyle="1" w:styleId="Heading4Char3">
    <w:name w:val="Heading 4 Char3"/>
    <w:aliases w:val="Heading 4 Char Char Char Char,Heading 4 Char Char Char1,Heading 4 Char Char1 Char,Heading 4 Char Char1 Char Ch Char,Heading 4 Char1 Char Char,Heading 4 Char1 Char1 Char,Heading 4 Char1 Char1 Char Char Char,Heading 4 Char1 Char2"/>
    <w:link w:val="Heading4"/>
    <w:locked/>
    <w:rsid w:val="006767AC"/>
    <w:rPr>
      <w:b/>
      <w:snapToGrid w:val="0"/>
      <w:kern w:val="28"/>
      <w:sz w:val="22"/>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link w:val="Heading5"/>
    <w:locked/>
    <w:rsid w:val="006767A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6767AC"/>
    <w:rPr>
      <w:b/>
      <w:snapToGrid w:val="0"/>
      <w:kern w:val="28"/>
      <w:sz w:val="22"/>
    </w:rPr>
  </w:style>
  <w:style w:type="character" w:customStyle="1" w:styleId="Heading7Char1">
    <w:name w:val="Heading 7 Char1"/>
    <w:aliases w:val="Heading 7 Char Char"/>
    <w:link w:val="Heading7"/>
    <w:locked/>
    <w:rsid w:val="006767AC"/>
    <w:rPr>
      <w:b/>
      <w:snapToGrid w:val="0"/>
      <w:kern w:val="28"/>
      <w:sz w:val="22"/>
    </w:rPr>
  </w:style>
  <w:style w:type="character" w:customStyle="1" w:styleId="Heading8Char">
    <w:name w:val="Heading 8 Char"/>
    <w:link w:val="Heading8"/>
    <w:locked/>
    <w:rsid w:val="006767AC"/>
    <w:rPr>
      <w:b/>
      <w:snapToGrid w:val="0"/>
      <w:kern w:val="28"/>
      <w:sz w:val="22"/>
    </w:rPr>
  </w:style>
  <w:style w:type="character" w:customStyle="1" w:styleId="Heading9Char1">
    <w:name w:val="Heading 9 Char1"/>
    <w:aliases w:val="9 Char,Heading 9 Char Char,Heading 9.table Char,Titre 9 Char,Topic Char,t Char,table Char"/>
    <w:link w:val="Heading9"/>
    <w:locked/>
    <w:rsid w:val="006767AC"/>
    <w:rPr>
      <w:b/>
      <w:snapToGrid w:val="0"/>
      <w:kern w:val="28"/>
      <w:sz w:val="22"/>
    </w:rPr>
  </w:style>
  <w:style w:type="character" w:customStyle="1" w:styleId="ParaNumChar1">
    <w:name w:val="ParaNum Char1"/>
    <w:link w:val="ParaNum"/>
    <w:locked/>
    <w:rsid w:val="006767AC"/>
    <w:rPr>
      <w:snapToGrid w:val="0"/>
      <w:kern w:val="28"/>
      <w:sz w:val="22"/>
    </w:rPr>
  </w:style>
  <w:style w:type="character" w:customStyle="1" w:styleId="EndnoteTextChar">
    <w:name w:val="Endnote Text Char"/>
    <w:link w:val="EndnoteText"/>
    <w:semiHidden/>
    <w:locked/>
    <w:rsid w:val="006767AC"/>
    <w:rPr>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6767AC"/>
  </w:style>
  <w:style w:type="character" w:customStyle="1" w:styleId="HeaderChar">
    <w:name w:val="Header Char"/>
    <w:link w:val="Header"/>
    <w:locked/>
    <w:rsid w:val="006767AC"/>
    <w:rPr>
      <w:b/>
      <w:snapToGrid w:val="0"/>
      <w:kern w:val="28"/>
      <w:sz w:val="22"/>
    </w:rPr>
  </w:style>
  <w:style w:type="character" w:styleId="CommentReference">
    <w:name w:val="annotation reference"/>
    <w:uiPriority w:val="99"/>
    <w:rsid w:val="006767AC"/>
    <w:rPr>
      <w:sz w:val="16"/>
    </w:rPr>
  </w:style>
  <w:style w:type="character" w:customStyle="1" w:styleId="CommentTextChar">
    <w:name w:val="Comment Text Char"/>
    <w:link w:val="CommentText"/>
    <w:uiPriority w:val="99"/>
    <w:locked/>
    <w:rsid w:val="006767AC"/>
    <w:rPr>
      <w:kern w:val="28"/>
    </w:rPr>
  </w:style>
  <w:style w:type="paragraph" w:styleId="CommentText">
    <w:name w:val="annotation text"/>
    <w:basedOn w:val="Normal"/>
    <w:link w:val="CommentTextChar"/>
    <w:uiPriority w:val="99"/>
    <w:rsid w:val="006767AC"/>
    <w:rPr>
      <w:snapToGrid/>
      <w:sz w:val="20"/>
    </w:rPr>
  </w:style>
  <w:style w:type="character" w:customStyle="1" w:styleId="CommentTextChar1">
    <w:name w:val="Comment Text Char1"/>
    <w:uiPriority w:val="99"/>
    <w:rsid w:val="006767AC"/>
    <w:rPr>
      <w:snapToGrid w:val="0"/>
      <w:kern w:val="28"/>
    </w:rPr>
  </w:style>
  <w:style w:type="character" w:customStyle="1" w:styleId="CommentTextChar15">
    <w:name w:val="Comment Text Char15"/>
    <w:uiPriority w:val="99"/>
    <w:semiHidden/>
    <w:rsid w:val="006767AC"/>
    <w:rPr>
      <w:kern w:val="28"/>
    </w:rPr>
  </w:style>
  <w:style w:type="character" w:customStyle="1" w:styleId="CommentTextChar14">
    <w:name w:val="Comment Text Char14"/>
    <w:uiPriority w:val="99"/>
    <w:semiHidden/>
    <w:rsid w:val="006767AC"/>
    <w:rPr>
      <w:kern w:val="28"/>
    </w:rPr>
  </w:style>
  <w:style w:type="character" w:customStyle="1" w:styleId="CommentTextChar13">
    <w:name w:val="Comment Text Char13"/>
    <w:uiPriority w:val="99"/>
    <w:semiHidden/>
    <w:rsid w:val="006767AC"/>
    <w:rPr>
      <w:kern w:val="28"/>
    </w:rPr>
  </w:style>
  <w:style w:type="character" w:customStyle="1" w:styleId="CommentTextChar12">
    <w:name w:val="Comment Text Char12"/>
    <w:uiPriority w:val="99"/>
    <w:semiHidden/>
    <w:rsid w:val="006767AC"/>
    <w:rPr>
      <w:kern w:val="28"/>
    </w:rPr>
  </w:style>
  <w:style w:type="character" w:customStyle="1" w:styleId="CommentTextChar11">
    <w:name w:val="Comment Text Char11"/>
    <w:uiPriority w:val="99"/>
    <w:semiHidden/>
    <w:rsid w:val="006767AC"/>
    <w:rPr>
      <w:kern w:val="28"/>
    </w:rPr>
  </w:style>
  <w:style w:type="character" w:customStyle="1" w:styleId="CommentSubjectChar">
    <w:name w:val="Comment Subject Char"/>
    <w:link w:val="CommentSubject"/>
    <w:locked/>
    <w:rsid w:val="006767AC"/>
    <w:rPr>
      <w:b/>
      <w:kern w:val="28"/>
    </w:rPr>
  </w:style>
  <w:style w:type="paragraph" w:styleId="CommentSubject">
    <w:name w:val="annotation subject"/>
    <w:basedOn w:val="CommentText"/>
    <w:next w:val="CommentText"/>
    <w:link w:val="CommentSubjectChar"/>
    <w:rsid w:val="006767AC"/>
    <w:rPr>
      <w:b/>
    </w:rPr>
  </w:style>
  <w:style w:type="character" w:customStyle="1" w:styleId="CommentSubjectChar1">
    <w:name w:val="Comment Subject Char1"/>
    <w:uiPriority w:val="99"/>
    <w:rsid w:val="006767AC"/>
    <w:rPr>
      <w:b/>
      <w:bCs/>
      <w:snapToGrid w:val="0"/>
      <w:kern w:val="28"/>
    </w:rPr>
  </w:style>
  <w:style w:type="character" w:customStyle="1" w:styleId="CommentSubjectChar15">
    <w:name w:val="Comment Subject Char15"/>
    <w:uiPriority w:val="99"/>
    <w:semiHidden/>
    <w:rsid w:val="006767AC"/>
    <w:rPr>
      <w:b/>
      <w:kern w:val="28"/>
    </w:rPr>
  </w:style>
  <w:style w:type="character" w:customStyle="1" w:styleId="CommentSubjectChar14">
    <w:name w:val="Comment Subject Char14"/>
    <w:uiPriority w:val="99"/>
    <w:semiHidden/>
    <w:rsid w:val="006767AC"/>
    <w:rPr>
      <w:b/>
      <w:kern w:val="28"/>
    </w:rPr>
  </w:style>
  <w:style w:type="character" w:customStyle="1" w:styleId="CommentSubjectChar13">
    <w:name w:val="Comment Subject Char13"/>
    <w:uiPriority w:val="99"/>
    <w:semiHidden/>
    <w:rsid w:val="006767AC"/>
    <w:rPr>
      <w:b/>
      <w:kern w:val="28"/>
    </w:rPr>
  </w:style>
  <w:style w:type="character" w:customStyle="1" w:styleId="CommentSubjectChar12">
    <w:name w:val="Comment Subject Char12"/>
    <w:uiPriority w:val="99"/>
    <w:semiHidden/>
    <w:rsid w:val="006767AC"/>
    <w:rPr>
      <w:b/>
      <w:kern w:val="28"/>
    </w:rPr>
  </w:style>
  <w:style w:type="character" w:customStyle="1" w:styleId="CommentSubjectChar11">
    <w:name w:val="Comment Subject Char11"/>
    <w:uiPriority w:val="99"/>
    <w:semiHidden/>
    <w:rsid w:val="006767AC"/>
    <w:rPr>
      <w:b/>
      <w:kern w:val="28"/>
    </w:rPr>
  </w:style>
  <w:style w:type="character" w:customStyle="1" w:styleId="BalloonTextChar">
    <w:name w:val="Balloon Text Char"/>
    <w:link w:val="BalloonText"/>
    <w:locked/>
    <w:rsid w:val="006767AC"/>
    <w:rPr>
      <w:rFonts w:ascii="Segoe UI" w:hAnsi="Segoe UI"/>
      <w:kern w:val="28"/>
      <w:sz w:val="18"/>
    </w:rPr>
  </w:style>
  <w:style w:type="paragraph" w:styleId="BalloonText">
    <w:name w:val="Balloon Text"/>
    <w:basedOn w:val="Normal"/>
    <w:link w:val="BalloonTextChar"/>
    <w:rsid w:val="006767AC"/>
    <w:rPr>
      <w:rFonts w:ascii="Segoe UI" w:hAnsi="Segoe UI"/>
      <w:snapToGrid/>
      <w:sz w:val="18"/>
    </w:rPr>
  </w:style>
  <w:style w:type="character" w:customStyle="1" w:styleId="BalloonTextChar1">
    <w:name w:val="Balloon Text Char1"/>
    <w:uiPriority w:val="99"/>
    <w:rsid w:val="006767AC"/>
    <w:rPr>
      <w:rFonts w:ascii="Segoe UI" w:hAnsi="Segoe UI" w:cs="Segoe UI"/>
      <w:snapToGrid w:val="0"/>
      <w:kern w:val="28"/>
      <w:sz w:val="18"/>
      <w:szCs w:val="18"/>
    </w:rPr>
  </w:style>
  <w:style w:type="character" w:customStyle="1" w:styleId="BalloonTextChar15">
    <w:name w:val="Balloon Text Char15"/>
    <w:uiPriority w:val="99"/>
    <w:semiHidden/>
    <w:rsid w:val="006767AC"/>
    <w:rPr>
      <w:rFonts w:ascii="Segoe UI" w:hAnsi="Segoe UI"/>
      <w:kern w:val="28"/>
      <w:sz w:val="18"/>
    </w:rPr>
  </w:style>
  <w:style w:type="character" w:customStyle="1" w:styleId="BalloonTextChar14">
    <w:name w:val="Balloon Text Char14"/>
    <w:uiPriority w:val="99"/>
    <w:semiHidden/>
    <w:rsid w:val="006767AC"/>
    <w:rPr>
      <w:rFonts w:ascii="Segoe UI" w:hAnsi="Segoe UI"/>
      <w:kern w:val="28"/>
      <w:sz w:val="18"/>
    </w:rPr>
  </w:style>
  <w:style w:type="character" w:customStyle="1" w:styleId="BalloonTextChar13">
    <w:name w:val="Balloon Text Char13"/>
    <w:uiPriority w:val="99"/>
    <w:semiHidden/>
    <w:rsid w:val="006767AC"/>
    <w:rPr>
      <w:rFonts w:ascii="Segoe UI" w:hAnsi="Segoe UI"/>
      <w:kern w:val="28"/>
      <w:sz w:val="18"/>
    </w:rPr>
  </w:style>
  <w:style w:type="character" w:customStyle="1" w:styleId="BalloonTextChar12">
    <w:name w:val="Balloon Text Char12"/>
    <w:uiPriority w:val="99"/>
    <w:semiHidden/>
    <w:rsid w:val="006767AC"/>
    <w:rPr>
      <w:rFonts w:ascii="Segoe UI" w:hAnsi="Segoe UI"/>
      <w:kern w:val="28"/>
      <w:sz w:val="18"/>
    </w:rPr>
  </w:style>
  <w:style w:type="character" w:customStyle="1" w:styleId="BalloonTextChar11">
    <w:name w:val="Balloon Text Char11"/>
    <w:uiPriority w:val="99"/>
    <w:semiHidden/>
    <w:rsid w:val="006767AC"/>
    <w:rPr>
      <w:rFonts w:ascii="Segoe UI" w:hAnsi="Segoe UI"/>
      <w:kern w:val="28"/>
      <w:sz w:val="18"/>
    </w:rPr>
  </w:style>
  <w:style w:type="character" w:styleId="Emphasis">
    <w:name w:val="Emphasis"/>
    <w:uiPriority w:val="20"/>
    <w:qFormat/>
    <w:rsid w:val="006767AC"/>
    <w:rPr>
      <w:i/>
    </w:rPr>
  </w:style>
  <w:style w:type="paragraph" w:styleId="ListParagraph">
    <w:name w:val="List Paragraph"/>
    <w:basedOn w:val="Normal"/>
    <w:uiPriority w:val="34"/>
    <w:qFormat/>
    <w:rsid w:val="006767AC"/>
    <w:pPr>
      <w:ind w:left="720"/>
      <w:contextualSpacing/>
    </w:pPr>
    <w:rPr>
      <w:rFonts w:eastAsia="Yu Mincho"/>
      <w:snapToGrid/>
    </w:rPr>
  </w:style>
  <w:style w:type="character" w:styleId="FollowedHyperlink">
    <w:name w:val="FollowedHyperlink"/>
    <w:uiPriority w:val="99"/>
    <w:rsid w:val="006767AC"/>
    <w:rPr>
      <w:color w:val="954F72"/>
      <w:u w:val="single"/>
    </w:rPr>
  </w:style>
  <w:style w:type="character" w:customStyle="1" w:styleId="UnresolvedMention1">
    <w:name w:val="Unresolved Mention1"/>
    <w:uiPriority w:val="99"/>
    <w:semiHidden/>
    <w:unhideWhenUsed/>
    <w:rsid w:val="006767AC"/>
    <w:rPr>
      <w:color w:val="605E5C"/>
      <w:shd w:val="clear" w:color="auto" w:fill="E1DFDD"/>
    </w:rPr>
  </w:style>
  <w:style w:type="character" w:customStyle="1" w:styleId="FootnoteTextCharChar">
    <w:name w:val="Footnote Text Char Char"/>
    <w:aliases w:val="Footnote Text Char Char Char Char Char Char Char Char,Footnote Text Char Char1 Char Char Char Char,Footnote Text Char1 Char Char Char Char Char Char Char,Footnote Text Char2 Char Char Char Char Char Char"/>
    <w:uiPriority w:val="99"/>
    <w:locked/>
    <w:rsid w:val="006767AC"/>
    <w:rPr>
      <w:rFonts w:ascii="Times New Roman" w:hAnsi="Times New Roman"/>
      <w:sz w:val="20"/>
    </w:rPr>
  </w:style>
  <w:style w:type="paragraph" w:customStyle="1" w:styleId="Paranum0">
    <w:name w:val="Paranum"/>
    <w:basedOn w:val="Normal"/>
    <w:autoRedefine/>
    <w:rsid w:val="006767AC"/>
    <w:pPr>
      <w:spacing w:after="120"/>
      <w:ind w:firstLine="720"/>
    </w:pPr>
    <w:rPr>
      <w:rFonts w:eastAsia="Yu Mincho"/>
      <w:snapToGrid/>
    </w:rPr>
  </w:style>
  <w:style w:type="paragraph" w:styleId="Revision">
    <w:name w:val="Revision"/>
    <w:hidden/>
    <w:uiPriority w:val="99"/>
    <w:semiHidden/>
    <w:rsid w:val="006767AC"/>
    <w:rPr>
      <w:rFonts w:eastAsia="Yu Mincho"/>
      <w:kern w:val="28"/>
      <w:sz w:val="22"/>
    </w:rPr>
  </w:style>
  <w:style w:type="character" w:styleId="Strong">
    <w:name w:val="Strong"/>
    <w:uiPriority w:val="22"/>
    <w:qFormat/>
    <w:rsid w:val="006767AC"/>
    <w:rPr>
      <w:b/>
    </w:rPr>
  </w:style>
  <w:style w:type="character" w:customStyle="1" w:styleId="cosearchterm">
    <w:name w:val="co_searchterm"/>
    <w:rsid w:val="006767AC"/>
  </w:style>
  <w:style w:type="character" w:customStyle="1" w:styleId="cosmallcaps">
    <w:name w:val="co_smallcaps"/>
    <w:rsid w:val="006767AC"/>
  </w:style>
  <w:style w:type="character" w:customStyle="1" w:styleId="copinpointicon">
    <w:name w:val="co_pinpointicon"/>
    <w:rsid w:val="006767AC"/>
  </w:style>
  <w:style w:type="paragraph" w:customStyle="1" w:styleId="xxmsonormal">
    <w:name w:val="x_xmsonormal"/>
    <w:basedOn w:val="Normal"/>
    <w:rsid w:val="006767AC"/>
    <w:pPr>
      <w:widowControl/>
    </w:pPr>
    <w:rPr>
      <w:rFonts w:ascii="Calibri" w:eastAsia="Yu Mincho" w:hAnsi="Calibri" w:cs="Calibri"/>
      <w:snapToGrid/>
      <w:kern w:val="0"/>
      <w:szCs w:val="22"/>
    </w:rPr>
  </w:style>
  <w:style w:type="character" w:customStyle="1" w:styleId="UnresolvedMention2">
    <w:name w:val="Unresolved Mention2"/>
    <w:uiPriority w:val="99"/>
    <w:semiHidden/>
    <w:unhideWhenUsed/>
    <w:rsid w:val="006767AC"/>
    <w:rPr>
      <w:color w:val="605E5C"/>
      <w:shd w:val="clear" w:color="auto" w:fill="E1DFDD"/>
    </w:rPr>
  </w:style>
  <w:style w:type="character" w:customStyle="1" w:styleId="UnresolvedMention3">
    <w:name w:val="Unresolved Mention3"/>
    <w:uiPriority w:val="99"/>
    <w:semiHidden/>
    <w:unhideWhenUsed/>
    <w:rsid w:val="006767A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hairman-pai-demands-industry-adopt-protocols-end-illegal-spoofing" TargetMode="External" /><Relationship Id="rId2" Type="http://schemas.openxmlformats.org/officeDocument/2006/relationships/hyperlink" Target="https://www.census.gov/content/dam/Census/library/publications/2013/econ/g12-cg-org.pdf" TargetMode="External" /><Relationship Id="rId3" Type="http://schemas.openxmlformats.org/officeDocument/2006/relationships/hyperlink" Target="https://www2.census.gov/geo/pdfs/reference/GARM/Ch9GARM.pdf" TargetMode="External" /><Relationship Id="rId4" Type="http://schemas.openxmlformats.org/officeDocument/2006/relationships/hyperlink" Target="https://www.prnewswire.com/news-releases/over-4-25-billion-robocalls-in-october-mark-nearly-12-monthly-increase-says-youmail-robocall-index-301169783.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