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147F4B" w14:paraId="0BD65E73" w14:textId="77777777">
      <w:pPr>
        <w:jc w:val="center"/>
        <w:rPr>
          <w:b/>
        </w:rPr>
      </w:pPr>
      <w:bookmarkStart w:id="0" w:name="_Hlk12960701"/>
      <w:r w:rsidRPr="00147F4B">
        <w:rPr>
          <w:rFonts w:ascii="Times New Roman Bold" w:hAnsi="Times New Roman Bold"/>
          <w:b/>
          <w:kern w:val="0"/>
        </w:rPr>
        <w:t>Before</w:t>
      </w:r>
      <w:r w:rsidRPr="00147F4B">
        <w:rPr>
          <w:b/>
        </w:rPr>
        <w:t xml:space="preserve"> the</w:t>
      </w:r>
    </w:p>
    <w:p w:rsidR="00921803" w:rsidP="00921803" w14:paraId="39F20645" w14:textId="77777777">
      <w:pPr>
        <w:pStyle w:val="StyleBoldCentered"/>
      </w:pPr>
      <w:r>
        <w:t>F</w:t>
      </w:r>
      <w:r>
        <w:rPr>
          <w:caps w:val="0"/>
        </w:rPr>
        <w:t>ederal Communications Commission</w:t>
      </w:r>
    </w:p>
    <w:p w:rsidR="004C2EE3" w:rsidP="006235A7" w14:paraId="08147FC8" w14:textId="032714D7">
      <w:pPr>
        <w:pStyle w:val="StyleBoldCentered"/>
      </w:pPr>
      <w:r>
        <w:rPr>
          <w:caps w:val="0"/>
        </w:rPr>
        <w:t>Washington, D.C. 20554</w:t>
      </w:r>
    </w:p>
    <w:p w:rsidR="004C2EE3" w:rsidP="0070224F" w14:paraId="1576C552" w14:textId="77777777"/>
    <w:tbl>
      <w:tblPr>
        <w:tblW w:w="0" w:type="auto"/>
        <w:tblLayout w:type="fixed"/>
        <w:tblLook w:val="0000"/>
      </w:tblPr>
      <w:tblGrid>
        <w:gridCol w:w="4698"/>
        <w:gridCol w:w="630"/>
        <w:gridCol w:w="4248"/>
      </w:tblGrid>
      <w:tr w14:paraId="00439FAC" w14:textId="77777777">
        <w:tblPrEx>
          <w:tblW w:w="0" w:type="auto"/>
          <w:tblLayout w:type="fixed"/>
          <w:tblLook w:val="0000"/>
        </w:tblPrEx>
        <w:tc>
          <w:tcPr>
            <w:tcW w:w="4698" w:type="dxa"/>
          </w:tcPr>
          <w:p w:rsidR="004C2EE3" w14:paraId="087C8DF8" w14:textId="77777777">
            <w:pPr>
              <w:tabs>
                <w:tab w:val="center" w:pos="4680"/>
              </w:tabs>
              <w:suppressAutoHyphens/>
              <w:rPr>
                <w:spacing w:val="-2"/>
              </w:rPr>
            </w:pPr>
            <w:bookmarkStart w:id="1" w:name="_Hlk500146806"/>
            <w:r>
              <w:rPr>
                <w:spacing w:val="-2"/>
              </w:rPr>
              <w:t>I</w:t>
            </w:r>
            <w:bookmarkEnd w:id="1"/>
            <w:r>
              <w:rPr>
                <w:spacing w:val="-2"/>
              </w:rPr>
              <w:t>n the Matter of</w:t>
            </w:r>
          </w:p>
          <w:p w:rsidR="004C2EE3" w14:paraId="2D5F18E5" w14:textId="77777777">
            <w:pPr>
              <w:tabs>
                <w:tab w:val="center" w:pos="4680"/>
              </w:tabs>
              <w:suppressAutoHyphens/>
              <w:rPr>
                <w:spacing w:val="-2"/>
              </w:rPr>
            </w:pPr>
          </w:p>
          <w:p w:rsidR="006235A7" w:rsidRPr="006235A7" w:rsidP="006235A7" w14:paraId="30AAE4FF" w14:textId="77777777">
            <w:pPr>
              <w:tabs>
                <w:tab w:val="center" w:pos="4680"/>
              </w:tabs>
              <w:suppressAutoHyphens/>
              <w:rPr>
                <w:spacing w:val="-2"/>
              </w:rPr>
            </w:pPr>
            <w:r w:rsidRPr="006235A7">
              <w:rPr>
                <w:spacing w:val="-2"/>
              </w:rPr>
              <w:t>OTA Broadcasting (SFO), LLC</w:t>
            </w:r>
          </w:p>
          <w:p w:rsidR="006235A7" w:rsidRPr="006235A7" w:rsidP="006235A7" w14:paraId="271FE24E" w14:textId="77777777">
            <w:pPr>
              <w:tabs>
                <w:tab w:val="center" w:pos="4680"/>
              </w:tabs>
              <w:suppressAutoHyphens/>
              <w:rPr>
                <w:spacing w:val="-2"/>
              </w:rPr>
            </w:pPr>
            <w:r w:rsidRPr="006235A7">
              <w:rPr>
                <w:spacing w:val="-2"/>
              </w:rPr>
              <w:t xml:space="preserve">(Assignor) </w:t>
            </w:r>
          </w:p>
          <w:p w:rsidR="006235A7" w:rsidRPr="006235A7" w:rsidP="006235A7" w14:paraId="0D3991BF" w14:textId="77777777">
            <w:pPr>
              <w:tabs>
                <w:tab w:val="center" w:pos="4680"/>
              </w:tabs>
              <w:suppressAutoHyphens/>
              <w:rPr>
                <w:spacing w:val="-2"/>
              </w:rPr>
            </w:pPr>
            <w:r w:rsidRPr="006235A7">
              <w:rPr>
                <w:spacing w:val="-2"/>
              </w:rPr>
              <w:t xml:space="preserve"> </w:t>
            </w:r>
          </w:p>
          <w:p w:rsidR="006235A7" w:rsidRPr="006235A7" w:rsidP="006235A7" w14:paraId="749903D5" w14:textId="77777777">
            <w:pPr>
              <w:tabs>
                <w:tab w:val="center" w:pos="4680"/>
              </w:tabs>
              <w:suppressAutoHyphens/>
              <w:rPr>
                <w:spacing w:val="-2"/>
              </w:rPr>
            </w:pPr>
            <w:r w:rsidRPr="006235A7">
              <w:rPr>
                <w:spacing w:val="-2"/>
              </w:rPr>
              <w:t xml:space="preserve">and </w:t>
            </w:r>
          </w:p>
          <w:p w:rsidR="006235A7" w:rsidRPr="006235A7" w:rsidP="006235A7" w14:paraId="2D34EC1B" w14:textId="77777777">
            <w:pPr>
              <w:tabs>
                <w:tab w:val="center" w:pos="4680"/>
              </w:tabs>
              <w:suppressAutoHyphens/>
              <w:rPr>
                <w:spacing w:val="-2"/>
              </w:rPr>
            </w:pPr>
          </w:p>
          <w:p w:rsidR="006235A7" w:rsidRPr="006235A7" w:rsidP="006235A7" w14:paraId="625286AC" w14:textId="77777777">
            <w:pPr>
              <w:tabs>
                <w:tab w:val="center" w:pos="4680"/>
              </w:tabs>
              <w:suppressAutoHyphens/>
              <w:rPr>
                <w:spacing w:val="-2"/>
              </w:rPr>
            </w:pPr>
            <w:r w:rsidRPr="006235A7">
              <w:rPr>
                <w:spacing w:val="-2"/>
              </w:rPr>
              <w:t>TV-49, Inc.</w:t>
            </w:r>
          </w:p>
          <w:p w:rsidR="006235A7" w:rsidRPr="006235A7" w:rsidP="006235A7" w14:paraId="13055D89" w14:textId="77777777">
            <w:pPr>
              <w:tabs>
                <w:tab w:val="center" w:pos="4680"/>
              </w:tabs>
              <w:suppressAutoHyphens/>
              <w:rPr>
                <w:spacing w:val="-2"/>
              </w:rPr>
            </w:pPr>
            <w:r w:rsidRPr="006235A7">
              <w:rPr>
                <w:spacing w:val="-2"/>
              </w:rPr>
              <w:t xml:space="preserve">(Assignee) </w:t>
            </w:r>
          </w:p>
          <w:p w:rsidR="006235A7" w:rsidRPr="006235A7" w:rsidP="006235A7" w14:paraId="4FE21D92" w14:textId="77777777">
            <w:pPr>
              <w:tabs>
                <w:tab w:val="center" w:pos="4680"/>
              </w:tabs>
              <w:suppressAutoHyphens/>
              <w:rPr>
                <w:spacing w:val="-2"/>
              </w:rPr>
            </w:pPr>
          </w:p>
          <w:p w:rsidR="006235A7" w:rsidRPr="006235A7" w:rsidP="006235A7" w14:paraId="30954AD9" w14:textId="77777777">
            <w:pPr>
              <w:tabs>
                <w:tab w:val="center" w:pos="4680"/>
              </w:tabs>
              <w:suppressAutoHyphens/>
              <w:rPr>
                <w:spacing w:val="-2"/>
              </w:rPr>
            </w:pPr>
            <w:r w:rsidRPr="006235A7">
              <w:rPr>
                <w:spacing w:val="-2"/>
              </w:rPr>
              <w:t>Application for Consent to Assignment of License of Class A Television Station KAXT-CD, San Francisco-San Jose, CA</w:t>
            </w:r>
          </w:p>
          <w:p w:rsidR="006235A7" w:rsidRPr="006235A7" w:rsidP="006235A7" w14:paraId="6A653461" w14:textId="77777777">
            <w:pPr>
              <w:tabs>
                <w:tab w:val="center" w:pos="4680"/>
              </w:tabs>
              <w:suppressAutoHyphens/>
              <w:rPr>
                <w:spacing w:val="-2"/>
              </w:rPr>
            </w:pPr>
          </w:p>
          <w:p w:rsidR="004C2EE3" w:rsidRPr="007115F7" w:rsidP="006235A7" w14:paraId="344ACCB4" w14:textId="47976D5E">
            <w:pPr>
              <w:tabs>
                <w:tab w:val="center" w:pos="4680"/>
              </w:tabs>
              <w:suppressAutoHyphens/>
              <w:rPr>
                <w:spacing w:val="-2"/>
              </w:rPr>
            </w:pPr>
            <w:r w:rsidRPr="006235A7">
              <w:rPr>
                <w:spacing w:val="-2"/>
              </w:rPr>
              <w:t>Application for Consent to Assignment of License of Station KTLN-TV, Novato, CA</w:t>
            </w:r>
          </w:p>
        </w:tc>
        <w:tc>
          <w:tcPr>
            <w:tcW w:w="630" w:type="dxa"/>
          </w:tcPr>
          <w:p w:rsidR="004C2EE3" w14:paraId="349BE21E" w14:textId="77777777">
            <w:pPr>
              <w:tabs>
                <w:tab w:val="center" w:pos="4680"/>
              </w:tabs>
              <w:suppressAutoHyphens/>
              <w:rPr>
                <w:b/>
                <w:spacing w:val="-2"/>
              </w:rPr>
            </w:pPr>
            <w:r>
              <w:rPr>
                <w:b/>
                <w:spacing w:val="-2"/>
              </w:rPr>
              <w:t>)</w:t>
            </w:r>
          </w:p>
          <w:p w:rsidR="004C2EE3" w14:paraId="5B3E72BC" w14:textId="77777777">
            <w:pPr>
              <w:tabs>
                <w:tab w:val="center" w:pos="4680"/>
              </w:tabs>
              <w:suppressAutoHyphens/>
              <w:rPr>
                <w:b/>
                <w:spacing w:val="-2"/>
              </w:rPr>
            </w:pPr>
            <w:r>
              <w:rPr>
                <w:b/>
                <w:spacing w:val="-2"/>
              </w:rPr>
              <w:t>)</w:t>
            </w:r>
          </w:p>
          <w:p w:rsidR="004C2EE3" w14:paraId="05C48E56" w14:textId="77777777">
            <w:pPr>
              <w:tabs>
                <w:tab w:val="center" w:pos="4680"/>
              </w:tabs>
              <w:suppressAutoHyphens/>
              <w:rPr>
                <w:b/>
                <w:spacing w:val="-2"/>
              </w:rPr>
            </w:pPr>
            <w:r>
              <w:rPr>
                <w:b/>
                <w:spacing w:val="-2"/>
              </w:rPr>
              <w:t>)</w:t>
            </w:r>
          </w:p>
          <w:p w:rsidR="004C2EE3" w14:paraId="60952C44" w14:textId="77777777">
            <w:pPr>
              <w:tabs>
                <w:tab w:val="center" w:pos="4680"/>
              </w:tabs>
              <w:suppressAutoHyphens/>
              <w:rPr>
                <w:b/>
                <w:spacing w:val="-2"/>
              </w:rPr>
            </w:pPr>
            <w:r>
              <w:rPr>
                <w:b/>
                <w:spacing w:val="-2"/>
              </w:rPr>
              <w:t>)</w:t>
            </w:r>
          </w:p>
          <w:p w:rsidR="004C2EE3" w14:paraId="55D0214A" w14:textId="77777777">
            <w:pPr>
              <w:tabs>
                <w:tab w:val="center" w:pos="4680"/>
              </w:tabs>
              <w:suppressAutoHyphens/>
              <w:rPr>
                <w:b/>
                <w:spacing w:val="-2"/>
              </w:rPr>
            </w:pPr>
            <w:r>
              <w:rPr>
                <w:b/>
                <w:spacing w:val="-2"/>
              </w:rPr>
              <w:t>)</w:t>
            </w:r>
          </w:p>
          <w:p w:rsidR="004C2EE3" w14:paraId="2C9A0600" w14:textId="77777777">
            <w:pPr>
              <w:tabs>
                <w:tab w:val="center" w:pos="4680"/>
              </w:tabs>
              <w:suppressAutoHyphens/>
              <w:rPr>
                <w:b/>
                <w:spacing w:val="-2"/>
              </w:rPr>
            </w:pPr>
            <w:r>
              <w:rPr>
                <w:b/>
                <w:spacing w:val="-2"/>
              </w:rPr>
              <w:t>)</w:t>
            </w:r>
          </w:p>
          <w:p w:rsidR="004C2EE3" w14:paraId="2BE4F9FB" w14:textId="77777777">
            <w:pPr>
              <w:tabs>
                <w:tab w:val="center" w:pos="4680"/>
              </w:tabs>
              <w:suppressAutoHyphens/>
              <w:rPr>
                <w:b/>
                <w:spacing w:val="-2"/>
              </w:rPr>
            </w:pPr>
            <w:r>
              <w:rPr>
                <w:b/>
                <w:spacing w:val="-2"/>
              </w:rPr>
              <w:t>)</w:t>
            </w:r>
          </w:p>
          <w:p w:rsidR="004C2EE3" w14:paraId="0A56CCB5" w14:textId="77777777">
            <w:pPr>
              <w:tabs>
                <w:tab w:val="center" w:pos="4680"/>
              </w:tabs>
              <w:suppressAutoHyphens/>
              <w:rPr>
                <w:b/>
                <w:spacing w:val="-2"/>
              </w:rPr>
            </w:pPr>
            <w:r>
              <w:rPr>
                <w:b/>
                <w:spacing w:val="-2"/>
              </w:rPr>
              <w:t>)</w:t>
            </w:r>
          </w:p>
          <w:p w:rsidR="004C2EE3" w14:paraId="458E7DB5" w14:textId="77777777">
            <w:pPr>
              <w:tabs>
                <w:tab w:val="center" w:pos="4680"/>
              </w:tabs>
              <w:suppressAutoHyphens/>
              <w:rPr>
                <w:b/>
                <w:spacing w:val="-2"/>
              </w:rPr>
            </w:pPr>
            <w:r>
              <w:rPr>
                <w:b/>
                <w:spacing w:val="-2"/>
              </w:rPr>
              <w:t>)</w:t>
            </w:r>
          </w:p>
          <w:p w:rsidR="006235A7" w14:paraId="2452FFB7" w14:textId="77777777">
            <w:pPr>
              <w:tabs>
                <w:tab w:val="center" w:pos="4680"/>
              </w:tabs>
              <w:suppressAutoHyphens/>
              <w:rPr>
                <w:b/>
                <w:spacing w:val="-2"/>
              </w:rPr>
            </w:pPr>
            <w:r>
              <w:rPr>
                <w:b/>
                <w:spacing w:val="-2"/>
              </w:rPr>
              <w:t>)</w:t>
            </w:r>
          </w:p>
          <w:p w:rsidR="006235A7" w14:paraId="49D07495" w14:textId="77777777">
            <w:pPr>
              <w:tabs>
                <w:tab w:val="center" w:pos="4680"/>
              </w:tabs>
              <w:suppressAutoHyphens/>
              <w:rPr>
                <w:b/>
                <w:spacing w:val="-2"/>
              </w:rPr>
            </w:pPr>
            <w:r>
              <w:rPr>
                <w:b/>
                <w:spacing w:val="-2"/>
              </w:rPr>
              <w:t>)</w:t>
            </w:r>
          </w:p>
          <w:p w:rsidR="006235A7" w14:paraId="1707132A" w14:textId="77777777">
            <w:pPr>
              <w:tabs>
                <w:tab w:val="center" w:pos="4680"/>
              </w:tabs>
              <w:suppressAutoHyphens/>
              <w:rPr>
                <w:b/>
                <w:spacing w:val="-2"/>
              </w:rPr>
            </w:pPr>
            <w:r>
              <w:rPr>
                <w:b/>
                <w:spacing w:val="-2"/>
              </w:rPr>
              <w:t>)</w:t>
            </w:r>
          </w:p>
          <w:p w:rsidR="006235A7" w14:paraId="4F263143" w14:textId="77777777">
            <w:pPr>
              <w:tabs>
                <w:tab w:val="center" w:pos="4680"/>
              </w:tabs>
              <w:suppressAutoHyphens/>
              <w:rPr>
                <w:b/>
                <w:spacing w:val="-2"/>
              </w:rPr>
            </w:pPr>
            <w:r>
              <w:rPr>
                <w:b/>
                <w:spacing w:val="-2"/>
              </w:rPr>
              <w:t>)</w:t>
            </w:r>
          </w:p>
          <w:p w:rsidR="006235A7" w14:paraId="23F481C5" w14:textId="77777777">
            <w:pPr>
              <w:tabs>
                <w:tab w:val="center" w:pos="4680"/>
              </w:tabs>
              <w:suppressAutoHyphens/>
              <w:rPr>
                <w:b/>
                <w:spacing w:val="-2"/>
              </w:rPr>
            </w:pPr>
            <w:r>
              <w:rPr>
                <w:b/>
                <w:spacing w:val="-2"/>
              </w:rPr>
              <w:t>)</w:t>
            </w:r>
          </w:p>
          <w:p w:rsidR="006235A7" w14:paraId="1B98D675" w14:textId="77777777">
            <w:pPr>
              <w:tabs>
                <w:tab w:val="center" w:pos="4680"/>
              </w:tabs>
              <w:suppressAutoHyphens/>
              <w:rPr>
                <w:b/>
                <w:spacing w:val="-2"/>
              </w:rPr>
            </w:pPr>
            <w:r>
              <w:rPr>
                <w:b/>
                <w:spacing w:val="-2"/>
              </w:rPr>
              <w:t>)</w:t>
            </w:r>
          </w:p>
          <w:p w:rsidR="006235A7" w:rsidRPr="006235A7" w14:paraId="3EF7E9E9" w14:textId="5DE05B9A">
            <w:pPr>
              <w:tabs>
                <w:tab w:val="center" w:pos="4680"/>
              </w:tabs>
              <w:suppressAutoHyphens/>
              <w:rPr>
                <w:b/>
                <w:spacing w:val="-2"/>
              </w:rPr>
            </w:pPr>
            <w:r>
              <w:rPr>
                <w:b/>
                <w:spacing w:val="-2"/>
              </w:rPr>
              <w:t>)</w:t>
            </w:r>
          </w:p>
        </w:tc>
        <w:tc>
          <w:tcPr>
            <w:tcW w:w="4248" w:type="dxa"/>
          </w:tcPr>
          <w:p w:rsidR="004C2EE3" w14:paraId="47D5654A" w14:textId="77777777">
            <w:pPr>
              <w:tabs>
                <w:tab w:val="center" w:pos="4680"/>
              </w:tabs>
              <w:suppressAutoHyphens/>
              <w:rPr>
                <w:spacing w:val="-2"/>
              </w:rPr>
            </w:pPr>
          </w:p>
          <w:p w:rsidR="004C2EE3" w14:paraId="609B92F6" w14:textId="77777777">
            <w:pPr>
              <w:pStyle w:val="TOAHeading"/>
              <w:tabs>
                <w:tab w:val="center" w:pos="4680"/>
                <w:tab w:val="clear" w:pos="9360"/>
              </w:tabs>
              <w:rPr>
                <w:spacing w:val="-2"/>
              </w:rPr>
            </w:pPr>
          </w:p>
          <w:p w:rsidR="00FC2C76" w:rsidP="00FC2C76" w14:paraId="00E60E3E" w14:textId="77777777">
            <w:pPr>
              <w:pStyle w:val="TOAHeading"/>
              <w:tabs>
                <w:tab w:val="center" w:pos="4680"/>
              </w:tabs>
              <w:rPr>
                <w:spacing w:val="-2"/>
              </w:rPr>
            </w:pPr>
          </w:p>
          <w:p w:rsidR="00FC2C76" w:rsidP="00FC2C76" w14:paraId="34E033BC" w14:textId="77777777">
            <w:pPr>
              <w:pStyle w:val="TOAHeading"/>
              <w:tabs>
                <w:tab w:val="center" w:pos="4680"/>
              </w:tabs>
              <w:rPr>
                <w:spacing w:val="-2"/>
              </w:rPr>
            </w:pPr>
          </w:p>
          <w:p w:rsidR="00FC2C76" w:rsidP="00FC2C76" w14:paraId="24B08ECB" w14:textId="77777777">
            <w:pPr>
              <w:pStyle w:val="TOAHeading"/>
              <w:tabs>
                <w:tab w:val="center" w:pos="4680"/>
              </w:tabs>
              <w:rPr>
                <w:spacing w:val="-2"/>
              </w:rPr>
            </w:pPr>
          </w:p>
          <w:p w:rsidR="00FC2C76" w:rsidP="00FC2C76" w14:paraId="7B577BB9" w14:textId="77777777">
            <w:pPr>
              <w:pStyle w:val="TOAHeading"/>
              <w:tabs>
                <w:tab w:val="center" w:pos="4680"/>
              </w:tabs>
              <w:rPr>
                <w:spacing w:val="-2"/>
              </w:rPr>
            </w:pPr>
          </w:p>
          <w:p w:rsidR="00FC2C76" w:rsidP="00FC2C76" w14:paraId="35DB116E" w14:textId="77777777">
            <w:pPr>
              <w:pStyle w:val="TOAHeading"/>
              <w:tabs>
                <w:tab w:val="center" w:pos="4680"/>
              </w:tabs>
              <w:rPr>
                <w:spacing w:val="-2"/>
              </w:rPr>
            </w:pPr>
          </w:p>
          <w:p w:rsidR="00FC2C76" w:rsidP="00FC2C76" w14:paraId="013B7874" w14:textId="77777777">
            <w:pPr>
              <w:pStyle w:val="TOAHeading"/>
              <w:tabs>
                <w:tab w:val="center" w:pos="4680"/>
              </w:tabs>
              <w:rPr>
                <w:spacing w:val="-2"/>
              </w:rPr>
            </w:pPr>
          </w:p>
          <w:p w:rsidR="00FC2C76" w:rsidP="00FC2C76" w14:paraId="52A1C1C5" w14:textId="77777777">
            <w:pPr>
              <w:pStyle w:val="TOAHeading"/>
              <w:tabs>
                <w:tab w:val="center" w:pos="4680"/>
              </w:tabs>
              <w:rPr>
                <w:spacing w:val="-2"/>
              </w:rPr>
            </w:pPr>
          </w:p>
          <w:p w:rsidR="00FC2C76" w:rsidP="00FC2C76" w14:paraId="11125CB2" w14:textId="77777777">
            <w:pPr>
              <w:pStyle w:val="TOAHeading"/>
              <w:tabs>
                <w:tab w:val="center" w:pos="4680"/>
              </w:tabs>
              <w:rPr>
                <w:spacing w:val="-2"/>
              </w:rPr>
            </w:pPr>
          </w:p>
          <w:p w:rsidR="00FC2C76" w:rsidRPr="00FC2C76" w:rsidP="00FC2C76" w14:paraId="5ED1860E" w14:textId="22938998">
            <w:pPr>
              <w:pStyle w:val="TOAHeading"/>
              <w:tabs>
                <w:tab w:val="center" w:pos="4680"/>
              </w:tabs>
              <w:rPr>
                <w:spacing w:val="-2"/>
              </w:rPr>
            </w:pPr>
            <w:r w:rsidRPr="00FC2C76">
              <w:rPr>
                <w:spacing w:val="-2"/>
              </w:rPr>
              <w:t>File No. BAL-20171026ABS</w:t>
            </w:r>
          </w:p>
          <w:p w:rsidR="00FC2C76" w:rsidRPr="00FC2C76" w:rsidP="00FC2C76" w14:paraId="2710C139" w14:textId="77777777">
            <w:pPr>
              <w:pStyle w:val="TOAHeading"/>
              <w:tabs>
                <w:tab w:val="center" w:pos="4680"/>
              </w:tabs>
              <w:rPr>
                <w:spacing w:val="-2"/>
              </w:rPr>
            </w:pPr>
            <w:r w:rsidRPr="00FC2C76">
              <w:rPr>
                <w:spacing w:val="-2"/>
              </w:rPr>
              <w:t>Facility ID No. 37689</w:t>
            </w:r>
          </w:p>
          <w:p w:rsidR="00FC2C76" w:rsidRPr="00FC2C76" w:rsidP="00FC2C76" w14:paraId="48D17508" w14:textId="77777777">
            <w:pPr>
              <w:pStyle w:val="TOAHeading"/>
              <w:tabs>
                <w:tab w:val="center" w:pos="4680"/>
              </w:tabs>
              <w:rPr>
                <w:spacing w:val="-2"/>
              </w:rPr>
            </w:pPr>
          </w:p>
          <w:p w:rsidR="00FC2C76" w:rsidRPr="00FC2C76" w:rsidP="00FC2C76" w14:paraId="26839F21" w14:textId="77777777">
            <w:pPr>
              <w:pStyle w:val="TOAHeading"/>
              <w:tabs>
                <w:tab w:val="center" w:pos="4680"/>
              </w:tabs>
              <w:rPr>
                <w:spacing w:val="-2"/>
              </w:rPr>
            </w:pPr>
          </w:p>
          <w:p w:rsidR="00FC2C76" w:rsidRPr="00FC2C76" w:rsidP="00FC2C76" w14:paraId="227C8C0F" w14:textId="77777777">
            <w:pPr>
              <w:pStyle w:val="TOAHeading"/>
              <w:tabs>
                <w:tab w:val="center" w:pos="4680"/>
              </w:tabs>
              <w:rPr>
                <w:spacing w:val="-2"/>
              </w:rPr>
            </w:pPr>
            <w:r w:rsidRPr="00FC2C76">
              <w:rPr>
                <w:spacing w:val="-2"/>
              </w:rPr>
              <w:t>File No. BALCDT-20171101ACJ</w:t>
            </w:r>
          </w:p>
          <w:p w:rsidR="004C2EE3" w:rsidP="00FC2C76" w14:paraId="4B61C15B" w14:textId="1F15D17A">
            <w:pPr>
              <w:tabs>
                <w:tab w:val="center" w:pos="4680"/>
              </w:tabs>
              <w:suppressAutoHyphens/>
              <w:rPr>
                <w:spacing w:val="-2"/>
              </w:rPr>
            </w:pPr>
            <w:r w:rsidRPr="00FC2C76">
              <w:rPr>
                <w:spacing w:val="-2"/>
              </w:rPr>
              <w:t>Facility ID No. 49153</w:t>
            </w:r>
          </w:p>
        </w:tc>
      </w:tr>
    </w:tbl>
    <w:p w:rsidR="004C2EE3" w:rsidP="0070224F" w14:paraId="3D513445" w14:textId="1CB28EA5"/>
    <w:p w:rsidR="00841AB1" w:rsidP="00F021FA" w14:paraId="6F4F0A0A" w14:textId="777368BD">
      <w:pPr>
        <w:pStyle w:val="StyleBoldCentered"/>
      </w:pPr>
      <w:r>
        <w:t>memorandum opinion and order</w:t>
      </w:r>
    </w:p>
    <w:p w:rsidR="004C2EE3" w14:paraId="46411B17" w14:textId="77777777">
      <w:pPr>
        <w:tabs>
          <w:tab w:val="left" w:pos="-720"/>
        </w:tabs>
        <w:suppressAutoHyphens/>
        <w:spacing w:line="227" w:lineRule="auto"/>
        <w:rPr>
          <w:spacing w:val="-2"/>
        </w:rPr>
      </w:pPr>
    </w:p>
    <w:p w:rsidR="004C2EE3" w:rsidP="00133F79" w14:paraId="4AB92C21" w14:textId="5FB250F1">
      <w:pPr>
        <w:tabs>
          <w:tab w:val="left" w:pos="720"/>
          <w:tab w:val="right" w:pos="9360"/>
        </w:tabs>
        <w:suppressAutoHyphens/>
        <w:spacing w:line="227" w:lineRule="auto"/>
        <w:rPr>
          <w:spacing w:val="-2"/>
        </w:rPr>
      </w:pPr>
      <w:r>
        <w:rPr>
          <w:b/>
          <w:spacing w:val="-2"/>
        </w:rPr>
        <w:t xml:space="preserve">Adopted:  </w:t>
      </w:r>
      <w:r w:rsidR="006235A7">
        <w:rPr>
          <w:b/>
          <w:spacing w:val="-2"/>
        </w:rPr>
        <w:t>January 21,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235A7">
        <w:rPr>
          <w:b/>
          <w:spacing w:val="-2"/>
        </w:rPr>
        <w:t>January 2</w:t>
      </w:r>
      <w:r w:rsidR="007E3AC1">
        <w:rPr>
          <w:b/>
          <w:spacing w:val="-2"/>
        </w:rPr>
        <w:t>2</w:t>
      </w:r>
      <w:r w:rsidR="006235A7">
        <w:rPr>
          <w:b/>
          <w:spacing w:val="-2"/>
        </w:rPr>
        <w:t>, 2020</w:t>
      </w:r>
    </w:p>
    <w:p w:rsidR="00822CE0" w14:paraId="3CDEC19C" w14:textId="77777777"/>
    <w:p w:rsidR="004C2EE3" w14:paraId="48B64C6C" w14:textId="6D895F63">
      <w:pPr>
        <w:rPr>
          <w:spacing w:val="-2"/>
        </w:rPr>
      </w:pPr>
      <w:r>
        <w:t xml:space="preserve">By </w:t>
      </w:r>
      <w:r w:rsidR="004E4A22">
        <w:t>the</w:t>
      </w:r>
      <w:r w:rsidR="002A2D2E">
        <w:t xml:space="preserve"> </w:t>
      </w:r>
      <w:r w:rsidR="006235A7">
        <w:rPr>
          <w:spacing w:val="-2"/>
        </w:rPr>
        <w:t>Commission</w:t>
      </w:r>
      <w:r>
        <w:rPr>
          <w:spacing w:val="-2"/>
        </w:rPr>
        <w:t>:</w:t>
      </w:r>
    </w:p>
    <w:p w:rsidR="00822CE0" w14:paraId="149EA168" w14:textId="77777777">
      <w:pPr>
        <w:rPr>
          <w:spacing w:val="-2"/>
        </w:rPr>
      </w:pPr>
    </w:p>
    <w:p w:rsidR="006235A7" w:rsidP="00200AEF" w14:paraId="5B3F9C1B" w14:textId="77777777">
      <w:pPr>
        <w:pStyle w:val="Heading1"/>
        <w:keepNext w:val="0"/>
        <w:suppressAutoHyphens w:val="0"/>
      </w:pPr>
      <w:r>
        <w:t>introduction</w:t>
      </w:r>
    </w:p>
    <w:p w:rsidR="006235A7" w:rsidP="00200AEF" w14:paraId="3254A821" w14:textId="77777777">
      <w:pPr>
        <w:pStyle w:val="ParaNum"/>
        <w:numPr>
          <w:ilvl w:val="0"/>
          <w:numId w:val="7"/>
        </w:numPr>
        <w:tabs>
          <w:tab w:val="left" w:pos="1440"/>
        </w:tabs>
        <w:spacing w:after="240"/>
        <w:ind w:left="0" w:firstLine="720"/>
      </w:pPr>
      <w:r w:rsidRPr="00A765DE">
        <w:t xml:space="preserve">The Commission has before it for consideration an Application for Review filed by </w:t>
      </w:r>
      <w:r>
        <w:t>Nalini Kapur, Rishi Kapur, and Ravi Kapur (the Kapurs) in the above-referenced proceeding (AFR).</w:t>
      </w:r>
      <w:r>
        <w:rPr>
          <w:vertAlign w:val="superscript"/>
        </w:rPr>
        <w:footnoteReference w:id="3"/>
      </w:r>
      <w:r w:rsidRPr="00A765DE">
        <w:t xml:space="preserve"> </w:t>
      </w:r>
      <w:r>
        <w:t xml:space="preserve"> The Kapurs se</w:t>
      </w:r>
      <w:r w:rsidRPr="00A765DE">
        <w:t>ek review of</w:t>
      </w:r>
      <w:r>
        <w:t xml:space="preserve"> a decision by the Video Division (the Division) of the Media Bureau </w:t>
      </w:r>
      <w:r w:rsidRPr="00B31DCD">
        <w:rPr>
          <w:color w:val="000000"/>
          <w:szCs w:val="22"/>
        </w:rPr>
        <w:t xml:space="preserve">granting </w:t>
      </w:r>
      <w:r>
        <w:rPr>
          <w:color w:val="000000"/>
          <w:szCs w:val="22"/>
        </w:rPr>
        <w:t>the</w:t>
      </w:r>
      <w:r w:rsidRPr="00B31DCD">
        <w:rPr>
          <w:color w:val="000000"/>
          <w:szCs w:val="22"/>
        </w:rPr>
        <w:t xml:space="preserve"> application</w:t>
      </w:r>
      <w:r>
        <w:rPr>
          <w:color w:val="000000"/>
          <w:szCs w:val="22"/>
        </w:rPr>
        <w:t>s for consent</w:t>
      </w:r>
      <w:r w:rsidRPr="00B31DCD">
        <w:rPr>
          <w:color w:val="000000"/>
          <w:szCs w:val="22"/>
        </w:rPr>
        <w:t xml:space="preserve"> to assign the license</w:t>
      </w:r>
      <w:r>
        <w:rPr>
          <w:color w:val="000000"/>
          <w:szCs w:val="22"/>
        </w:rPr>
        <w:t>s</w:t>
      </w:r>
      <w:r w:rsidRPr="00B31DCD">
        <w:rPr>
          <w:color w:val="000000"/>
          <w:szCs w:val="22"/>
        </w:rPr>
        <w:t xml:space="preserve"> of station</w:t>
      </w:r>
      <w:r>
        <w:rPr>
          <w:color w:val="000000"/>
          <w:szCs w:val="22"/>
        </w:rPr>
        <w:t>s</w:t>
      </w:r>
      <w:r w:rsidRPr="00B31DCD">
        <w:rPr>
          <w:color w:val="000000"/>
          <w:szCs w:val="22"/>
        </w:rPr>
        <w:t xml:space="preserve"> KAXT-CD, San Francisco</w:t>
      </w:r>
      <w:r w:rsidRPr="00B31DCD">
        <w:rPr>
          <w:color w:val="000000"/>
          <w:szCs w:val="22"/>
        </w:rPr>
        <w:noBreakHyphen/>
        <w:t>San Jose, California</w:t>
      </w:r>
      <w:r>
        <w:rPr>
          <w:color w:val="000000"/>
          <w:szCs w:val="22"/>
        </w:rPr>
        <w:t xml:space="preserve"> (KAXT) (KAXT Application), and KTLN-TV, Novato, California (KTLN) (KTLN Application),</w:t>
      </w:r>
      <w:r w:rsidRPr="00B31DCD">
        <w:rPr>
          <w:color w:val="000000"/>
          <w:szCs w:val="22"/>
        </w:rPr>
        <w:t xml:space="preserve"> from OTA Broadcasting </w:t>
      </w:r>
      <w:r>
        <w:t>(SFO), LLC,</w:t>
      </w:r>
      <w:r w:rsidRPr="00B31DCD">
        <w:rPr>
          <w:color w:val="000000"/>
          <w:szCs w:val="22"/>
        </w:rPr>
        <w:t xml:space="preserve"> (OTA)</w:t>
      </w:r>
      <w:r>
        <w:rPr>
          <w:color w:val="000000"/>
          <w:szCs w:val="22"/>
        </w:rPr>
        <w:t xml:space="preserve"> to TV-49, Inc. (TV-49),</w:t>
      </w:r>
      <w:r w:rsidRPr="00B31DCD">
        <w:rPr>
          <w:color w:val="000000"/>
          <w:szCs w:val="22"/>
        </w:rPr>
        <w:t xml:space="preserve"> </w:t>
      </w:r>
      <w:r>
        <w:rPr>
          <w:color w:val="000000"/>
          <w:szCs w:val="22"/>
        </w:rPr>
        <w:t>and denying the Kapurs’ informal objections to those applications.</w:t>
      </w:r>
      <w:r>
        <w:rPr>
          <w:rStyle w:val="FootnoteReference"/>
          <w:color w:val="000000"/>
          <w:szCs w:val="22"/>
        </w:rPr>
        <w:footnoteReference w:id="4"/>
      </w:r>
      <w:r w:rsidRPr="00B31DCD">
        <w:rPr>
          <w:color w:val="000000"/>
          <w:szCs w:val="22"/>
        </w:rPr>
        <w:t xml:space="preserve"> </w:t>
      </w:r>
      <w:r>
        <w:rPr>
          <w:color w:val="000000"/>
          <w:szCs w:val="22"/>
        </w:rPr>
        <w:t xml:space="preserve"> As discussed below, </w:t>
      </w:r>
      <w:r>
        <w:t>we dismiss</w:t>
      </w:r>
      <w:r w:rsidRPr="008A18DF">
        <w:t xml:space="preserve"> the AFR</w:t>
      </w:r>
      <w:r>
        <w:t xml:space="preserve"> for lack of standing.</w:t>
      </w:r>
    </w:p>
    <w:p w:rsidR="006235A7" w:rsidP="00200AEF" w14:paraId="74C2B82D" w14:textId="77777777">
      <w:pPr>
        <w:pStyle w:val="Heading1"/>
        <w:keepNext w:val="0"/>
        <w:tabs>
          <w:tab w:val="num" w:pos="720"/>
        </w:tabs>
        <w:suppressAutoHyphens w:val="0"/>
      </w:pPr>
      <w:r>
        <w:t>BACKGROUND</w:t>
      </w:r>
      <w:bookmarkStart w:id="2" w:name="_Hlk501539640"/>
    </w:p>
    <w:p w:rsidR="006235A7" w:rsidP="00147F4B" w14:paraId="6D208D68" w14:textId="77777777">
      <w:pPr>
        <w:pStyle w:val="ParaNum"/>
        <w:numPr>
          <w:ilvl w:val="0"/>
          <w:numId w:val="7"/>
        </w:numPr>
        <w:tabs>
          <w:tab w:val="left" w:pos="1440"/>
        </w:tabs>
        <w:spacing w:after="240"/>
        <w:ind w:left="0" w:firstLine="720"/>
      </w:pPr>
      <w:r>
        <w:t xml:space="preserve">The history of this </w:t>
      </w:r>
      <w:r w:rsidRPr="003E6AA8">
        <w:rPr>
          <w:color w:val="000000"/>
          <w:szCs w:val="22"/>
        </w:rPr>
        <w:t>dispute</w:t>
      </w:r>
      <w:r>
        <w:t xml:space="preserve"> is well-documented, and we decline to restate it here.  In relevant part, these issues </w:t>
      </w:r>
      <w:r w:rsidRPr="003E6AA8">
        <w:t>stem from the</w:t>
      </w:r>
      <w:r>
        <w:t xml:space="preserve"> Kapurs’</w:t>
      </w:r>
      <w:r w:rsidRPr="003E6AA8">
        <w:t xml:space="preserve"> </w:t>
      </w:r>
      <w:r>
        <w:t xml:space="preserve">unsuccessful </w:t>
      </w:r>
      <w:r w:rsidRPr="003E6AA8">
        <w:t>challenge to the grant of the original assignment of KAXT’s license from KAXT, LLC</w:t>
      </w:r>
      <w:r>
        <w:t>—in which the Kapurs were minority interest holders—</w:t>
      </w:r>
      <w:r w:rsidRPr="003E6AA8">
        <w:t>to OTA in 2014.</w:t>
      </w:r>
      <w:r>
        <w:rPr>
          <w:rStyle w:val="FootnoteReference"/>
        </w:rPr>
        <w:footnoteReference w:id="5"/>
      </w:r>
      <w:r w:rsidRPr="003E6AA8">
        <w:t xml:space="preserve">  The Division also </w:t>
      </w:r>
      <w:r>
        <w:t>renewed</w:t>
      </w:r>
      <w:r w:rsidRPr="003E6AA8">
        <w:t xml:space="preserve"> KAXT</w:t>
      </w:r>
      <w:r>
        <w:t>’s license over the Kapurs’ objection.</w:t>
      </w:r>
      <w:r>
        <w:rPr>
          <w:rStyle w:val="FootnoteReference"/>
        </w:rPr>
        <w:footnoteReference w:id="6"/>
      </w:r>
      <w:r w:rsidRPr="003E6AA8">
        <w:t xml:space="preserve"> </w:t>
      </w:r>
      <w:r>
        <w:t xml:space="preserve"> I</w:t>
      </w:r>
      <w:r w:rsidRPr="003E6AA8">
        <w:t>n several subsequent decisions, the Division and the full Commission have repeatedly rejected the Kapurs’ challenges.</w:t>
      </w:r>
      <w:bookmarkStart w:id="3" w:name="_Ref14421093"/>
      <w:r>
        <w:rPr>
          <w:rStyle w:val="FootnoteReference"/>
        </w:rPr>
        <w:footnoteReference w:id="7"/>
      </w:r>
      <w:bookmarkEnd w:id="3"/>
      <w:r w:rsidRPr="003E6AA8">
        <w:t xml:space="preserve">  </w:t>
      </w:r>
    </w:p>
    <w:p w:rsidR="006235A7" w:rsidP="00147F4B" w14:paraId="14DDC0C0" w14:textId="77777777">
      <w:pPr>
        <w:pStyle w:val="ParaNum"/>
        <w:numPr>
          <w:ilvl w:val="0"/>
          <w:numId w:val="7"/>
        </w:numPr>
        <w:tabs>
          <w:tab w:val="left" w:pos="1440"/>
        </w:tabs>
        <w:spacing w:after="240"/>
        <w:ind w:left="0" w:firstLine="720"/>
      </w:pPr>
      <w:r>
        <w:t>In October 2017, OTA sought Commission approval for the assignment of KAXT to TV</w:t>
      </w:r>
      <w:r>
        <w:noBreakHyphen/>
        <w:t>49.  The Kapurs asked the Commission to deny the assignment, relying primarily on its previous arguments that OTA lacked the character to be a Commission licensee.</w:t>
      </w:r>
      <w:r>
        <w:rPr>
          <w:rStyle w:val="FootnoteReference"/>
        </w:rPr>
        <w:footnoteReference w:id="8"/>
      </w:r>
      <w:r>
        <w:t xml:space="preserve">  In opposition, OTA urged the Commission to reject the Kapurs’ challenge because the arguments had already been rejected in another proceeding.</w:t>
      </w:r>
      <w:r>
        <w:rPr>
          <w:rStyle w:val="FootnoteReference"/>
        </w:rPr>
        <w:footnoteReference w:id="9"/>
      </w:r>
      <w:r>
        <w:t xml:space="preserve">  The Kapurs, in reply, objected to OTA’s characterization of the Kapurs’ arguments and asserted that OTA’s character was still an open matter.</w:t>
      </w:r>
      <w:r>
        <w:rPr>
          <w:rStyle w:val="FootnoteReference"/>
        </w:rPr>
        <w:footnoteReference w:id="10"/>
      </w:r>
      <w:r>
        <w:t xml:space="preserve">  On September 18, 2018, the Division rejected the Kapurs’ objections and approved the assignment of KAXT from OTA to TV-49.  Notably, while the Kapurs styled their challenge to the KAXT Application as a petition to deny,</w:t>
      </w:r>
      <w:r w:rsidRPr="00B95350">
        <w:t xml:space="preserve"> </w:t>
      </w:r>
      <w:r>
        <w:t xml:space="preserve">the </w:t>
      </w:r>
      <w:r w:rsidRPr="008225B4">
        <w:rPr>
          <w:i/>
        </w:rPr>
        <w:t xml:space="preserve">2018 </w:t>
      </w:r>
      <w:r w:rsidRPr="00BF1637">
        <w:rPr>
          <w:i/>
        </w:rPr>
        <w:t>MO&amp;O</w:t>
      </w:r>
      <w:r>
        <w:t xml:space="preserve"> treated it as an informal objection because the Kapurs’ </w:t>
      </w:r>
      <w:r w:rsidRPr="000F27EC">
        <w:t xml:space="preserve">pleading was not supported by an affidavit </w:t>
      </w:r>
      <w:r>
        <w:t>demonstrating standing.</w:t>
      </w:r>
      <w:r>
        <w:rPr>
          <w:rStyle w:val="FootnoteReference"/>
        </w:rPr>
        <w:footnoteReference w:id="11"/>
      </w:r>
      <w:r>
        <w:t xml:space="preserve">  </w:t>
      </w:r>
    </w:p>
    <w:bookmarkEnd w:id="2"/>
    <w:p w:rsidR="006235A7" w:rsidRPr="00935C42" w:rsidP="00147F4B" w14:paraId="1A3843DE" w14:textId="77777777">
      <w:pPr>
        <w:pStyle w:val="ParaNum"/>
        <w:numPr>
          <w:ilvl w:val="0"/>
          <w:numId w:val="7"/>
        </w:numPr>
        <w:tabs>
          <w:tab w:val="left" w:pos="1440"/>
        </w:tabs>
        <w:spacing w:after="240"/>
        <w:ind w:left="0" w:firstLine="720"/>
        <w:rPr>
          <w:szCs w:val="22"/>
        </w:rPr>
      </w:pPr>
      <w:r>
        <w:rPr>
          <w:spacing w:val="-2"/>
        </w:rPr>
        <w:t xml:space="preserve">The Kapurs now seek Commission review of the </w:t>
      </w:r>
      <w:r w:rsidRPr="008225B4">
        <w:rPr>
          <w:i/>
          <w:spacing w:val="-2"/>
        </w:rPr>
        <w:t xml:space="preserve">2018 </w:t>
      </w:r>
      <w:r w:rsidRPr="00BF1637">
        <w:rPr>
          <w:i/>
          <w:spacing w:val="-2"/>
        </w:rPr>
        <w:t>MO&amp;O</w:t>
      </w:r>
      <w:r>
        <w:rPr>
          <w:spacing w:val="-2"/>
        </w:rPr>
        <w:t>.  T</w:t>
      </w:r>
      <w:r>
        <w:rPr>
          <w:szCs w:val="22"/>
        </w:rPr>
        <w:t xml:space="preserve">hey argue that the </w:t>
      </w:r>
      <w:r w:rsidRPr="00E10EB2">
        <w:rPr>
          <w:iCs/>
          <w:szCs w:val="22"/>
        </w:rPr>
        <w:t>Division</w:t>
      </w:r>
      <w:r w:rsidRPr="00D73DA9">
        <w:rPr>
          <w:iCs/>
          <w:szCs w:val="22"/>
        </w:rPr>
        <w:t xml:space="preserve"> </w:t>
      </w:r>
      <w:r>
        <w:rPr>
          <w:szCs w:val="22"/>
        </w:rPr>
        <w:t xml:space="preserve">misapplied the relevant statutory standing requirements of section 309(d)(1) of the Communications Act of 1934, as amended (the </w:t>
      </w:r>
      <w:r w:rsidRPr="00DE69DF">
        <w:rPr>
          <w:szCs w:val="22"/>
        </w:rPr>
        <w:t>Act</w:t>
      </w:r>
      <w:r w:rsidRPr="00BF1637">
        <w:rPr>
          <w:szCs w:val="22"/>
        </w:rPr>
        <w:t>),</w:t>
      </w:r>
      <w:r>
        <w:rPr>
          <w:szCs w:val="22"/>
        </w:rPr>
        <w:t xml:space="preserve"> and thus improperly classified the Kapurs’ petition to deny as an informal objection.</w:t>
      </w:r>
      <w:r>
        <w:rPr>
          <w:rStyle w:val="FootnoteReference"/>
          <w:szCs w:val="22"/>
        </w:rPr>
        <w:footnoteReference w:id="12"/>
      </w:r>
      <w:r>
        <w:rPr>
          <w:szCs w:val="22"/>
        </w:rPr>
        <w:t xml:space="preserve">  The Kapurs also raise various substantive objections to the </w:t>
      </w:r>
      <w:r w:rsidRPr="008225B4">
        <w:rPr>
          <w:i/>
          <w:szCs w:val="22"/>
        </w:rPr>
        <w:t xml:space="preserve">2018 </w:t>
      </w:r>
      <w:r>
        <w:rPr>
          <w:i/>
          <w:szCs w:val="22"/>
        </w:rPr>
        <w:t>MO&amp;</w:t>
      </w:r>
      <w:r w:rsidRPr="002515A2">
        <w:rPr>
          <w:i/>
          <w:szCs w:val="22"/>
        </w:rPr>
        <w:t>O</w:t>
      </w:r>
      <w:r>
        <w:rPr>
          <w:szCs w:val="22"/>
        </w:rPr>
        <w:t>,</w:t>
      </w:r>
      <w:r>
        <w:rPr>
          <w:rStyle w:val="FootnoteReference"/>
          <w:szCs w:val="22"/>
        </w:rPr>
        <w:footnoteReference w:id="13"/>
      </w:r>
      <w:r>
        <w:rPr>
          <w:szCs w:val="22"/>
        </w:rPr>
        <w:t xml:space="preserve"> which, for the reasons discussed below, we decline to address herein.  OTA argues in its AFR Opposition that the</w:t>
      </w:r>
      <w:r w:rsidRPr="00935C42">
        <w:rPr>
          <w:szCs w:val="22"/>
        </w:rPr>
        <w:t xml:space="preserve"> AFR is the Kapurs’ latest attempt to use the Commission’s processes to exact revenge on their former business partners for selling KAXT to OTA</w:t>
      </w:r>
      <w:r>
        <w:rPr>
          <w:szCs w:val="22"/>
        </w:rPr>
        <w:t xml:space="preserve"> and asks </w:t>
      </w:r>
      <w:r w:rsidRPr="00935C42">
        <w:rPr>
          <w:szCs w:val="22"/>
        </w:rPr>
        <w:t>the Commission to sanction the Kapurs for abuse of process.</w:t>
      </w:r>
      <w:r>
        <w:rPr>
          <w:rStyle w:val="FootnoteReference"/>
          <w:szCs w:val="22"/>
        </w:rPr>
        <w:footnoteReference w:id="14"/>
      </w:r>
      <w:r w:rsidRPr="00935C42">
        <w:rPr>
          <w:szCs w:val="22"/>
        </w:rPr>
        <w:t xml:space="preserve"> </w:t>
      </w:r>
      <w:r>
        <w:rPr>
          <w:szCs w:val="22"/>
        </w:rPr>
        <w:t xml:space="preserve"> As it relates to standing, </w:t>
      </w:r>
      <w:r w:rsidRPr="00935C42">
        <w:rPr>
          <w:szCs w:val="22"/>
        </w:rPr>
        <w:t>OTA assert</w:t>
      </w:r>
      <w:r>
        <w:rPr>
          <w:szCs w:val="22"/>
        </w:rPr>
        <w:t>s</w:t>
      </w:r>
      <w:r w:rsidRPr="00935C42">
        <w:rPr>
          <w:szCs w:val="22"/>
        </w:rPr>
        <w:t xml:space="preserve"> that the Kapurs “cannot deny that they failed to comply with the plain letter of the statute.”</w:t>
      </w:r>
      <w:r>
        <w:rPr>
          <w:rStyle w:val="FootnoteReference"/>
          <w:szCs w:val="22"/>
        </w:rPr>
        <w:footnoteReference w:id="15"/>
      </w:r>
      <w:r w:rsidRPr="00935C42">
        <w:rPr>
          <w:szCs w:val="22"/>
        </w:rPr>
        <w:t xml:space="preserve">  In their </w:t>
      </w:r>
      <w:r>
        <w:rPr>
          <w:szCs w:val="22"/>
        </w:rPr>
        <w:t xml:space="preserve">AFR </w:t>
      </w:r>
      <w:r w:rsidRPr="00935C42">
        <w:rPr>
          <w:szCs w:val="22"/>
        </w:rPr>
        <w:t>Reply, the Kapurs contend that</w:t>
      </w:r>
      <w:r>
        <w:rPr>
          <w:szCs w:val="22"/>
        </w:rPr>
        <w:t>,</w:t>
      </w:r>
      <w:r w:rsidRPr="00935C42">
        <w:rPr>
          <w:szCs w:val="22"/>
        </w:rPr>
        <w:t xml:space="preserve"> rather than use its Opposition to oppose the substance of the AFR, OTA </w:t>
      </w:r>
      <w:r>
        <w:rPr>
          <w:szCs w:val="22"/>
        </w:rPr>
        <w:t xml:space="preserve">inappropriately </w:t>
      </w:r>
      <w:r w:rsidRPr="00935C42">
        <w:rPr>
          <w:szCs w:val="22"/>
        </w:rPr>
        <w:t>uses the bulk of the Opposition to launch a personal attack against the Kapurs and their counsel.</w:t>
      </w:r>
      <w:r>
        <w:rPr>
          <w:rStyle w:val="FootnoteReference"/>
          <w:szCs w:val="22"/>
        </w:rPr>
        <w:footnoteReference w:id="16"/>
      </w:r>
    </w:p>
    <w:p w:rsidR="006235A7" w:rsidP="00147F4B" w14:paraId="7B906560" w14:textId="77777777">
      <w:pPr>
        <w:pStyle w:val="Heading1"/>
        <w:keepNext w:val="0"/>
        <w:tabs>
          <w:tab w:val="num" w:pos="720"/>
        </w:tabs>
        <w:suppressAutoHyphens w:val="0"/>
        <w:spacing w:after="220"/>
        <w:jc w:val="both"/>
      </w:pPr>
      <w:r w:rsidRPr="003E0EEE">
        <w:t>DISCUSSION</w:t>
      </w:r>
    </w:p>
    <w:p w:rsidR="006235A7" w:rsidRPr="00505C87" w:rsidP="00147F4B" w14:paraId="6D8E09E2" w14:textId="77777777">
      <w:pPr>
        <w:pStyle w:val="ParaNum"/>
        <w:numPr>
          <w:ilvl w:val="0"/>
          <w:numId w:val="7"/>
        </w:numPr>
        <w:tabs>
          <w:tab w:val="left" w:pos="1440"/>
        </w:tabs>
        <w:spacing w:after="240"/>
        <w:ind w:left="0" w:firstLine="720"/>
        <w:rPr>
          <w:szCs w:val="22"/>
        </w:rPr>
      </w:pPr>
      <w:r>
        <w:t>W</w:t>
      </w:r>
      <w:r w:rsidRPr="00F767FF">
        <w:t xml:space="preserve">e dismiss </w:t>
      </w:r>
      <w:r>
        <w:t>the AFR</w:t>
      </w:r>
      <w:r w:rsidRPr="00F767FF">
        <w:t xml:space="preserve"> for a lack of standing.</w:t>
      </w:r>
      <w:r>
        <w:rPr>
          <w:rStyle w:val="FootnoteReference"/>
        </w:rPr>
        <w:footnoteReference w:id="17"/>
      </w:r>
      <w:r>
        <w:t xml:space="preserve">  </w:t>
      </w:r>
      <w:bookmarkStart w:id="7" w:name="_Hlk18931285"/>
      <w:r w:rsidRPr="00F767FF">
        <w:t>Section 5(c)(4) of the Act provides that “[a]ny person aggrieved by any . . . order, decision, report or action [made or taken pursuant to delegated authority] may file an application for review by the Commission.”</w:t>
      </w:r>
      <w:r>
        <w:rPr>
          <w:rStyle w:val="FootnoteReference"/>
          <w:sz w:val="22"/>
        </w:rPr>
        <w:footnoteReference w:id="18"/>
      </w:r>
      <w:r w:rsidRPr="00F767FF">
        <w:t xml:space="preserve">  In interpreting the </w:t>
      </w:r>
      <w:bookmarkStart w:id="8" w:name="_Hlk18931137"/>
      <w:r w:rsidRPr="00F767FF">
        <w:t>term “aggrieved</w:t>
      </w:r>
      <w:bookmarkEnd w:id="7"/>
      <w:r w:rsidRPr="00F767FF">
        <w:t>,” the Commission has required the applicant to allege facts sufficient to</w:t>
      </w:r>
      <w:r>
        <w:t xml:space="preserve">: </w:t>
      </w:r>
      <w:r w:rsidRPr="00F767FF">
        <w:t xml:space="preserve"> (1) show an injury; (2) demonstrate a direct causal link between the challenged action and its alleged injury; and (3) show that the injury would be prevented or redressed by the requested relief</w:t>
      </w:r>
      <w:bookmarkEnd w:id="8"/>
      <w:r w:rsidRPr="00F767FF">
        <w:t>.</w:t>
      </w:r>
      <w:r>
        <w:rPr>
          <w:rStyle w:val="FootnoteReference"/>
          <w:sz w:val="22"/>
        </w:rPr>
        <w:footnoteReference w:id="19"/>
      </w:r>
      <w:r w:rsidRPr="00F767FF">
        <w:t xml:space="preserve"> </w:t>
      </w:r>
      <w:r w:rsidRPr="002F07E7">
        <w:t xml:space="preserve"> </w:t>
      </w:r>
      <w:r>
        <w:t xml:space="preserve"> </w:t>
      </w:r>
    </w:p>
    <w:p w:rsidR="006235A7" w:rsidRPr="00FF0E58" w:rsidP="00147F4B" w14:paraId="7D1E2699" w14:textId="77777777">
      <w:pPr>
        <w:pStyle w:val="ParaNum"/>
        <w:numPr>
          <w:ilvl w:val="0"/>
          <w:numId w:val="7"/>
        </w:numPr>
        <w:tabs>
          <w:tab w:val="left" w:pos="1440"/>
        </w:tabs>
        <w:spacing w:after="240"/>
        <w:ind w:left="0" w:firstLine="720"/>
        <w:rPr>
          <w:szCs w:val="22"/>
        </w:rPr>
      </w:pPr>
      <w:r>
        <w:rPr>
          <w:szCs w:val="22"/>
        </w:rPr>
        <w:t>Review of the record plainly shows that the Kapurs have failed to demonstrate that they have standing in this proceeding.</w:t>
      </w:r>
      <w:r>
        <w:rPr>
          <w:rStyle w:val="FootnoteReference"/>
          <w:szCs w:val="22"/>
        </w:rPr>
        <w:footnoteReference w:id="20"/>
      </w:r>
      <w:r>
        <w:rPr>
          <w:szCs w:val="22"/>
        </w:rPr>
        <w:t xml:space="preserve">  </w:t>
      </w:r>
      <w:r w:rsidRPr="00FF0E58">
        <w:rPr>
          <w:szCs w:val="22"/>
        </w:rPr>
        <w:t xml:space="preserve"> </w:t>
      </w:r>
      <w:r w:rsidRPr="00A808E5">
        <w:rPr>
          <w:szCs w:val="22"/>
        </w:rPr>
        <w:t xml:space="preserve">First, the Kapurs fail to demonstrate that they have been injured by </w:t>
      </w:r>
      <w:r w:rsidRPr="00A808E5">
        <w:rPr>
          <w:szCs w:val="22"/>
        </w:rPr>
        <w:t>the</w:t>
      </w:r>
      <w:r w:rsidRPr="009B6DA5">
        <w:rPr>
          <w:szCs w:val="22"/>
        </w:rPr>
        <w:t xml:space="preserve"> Bureau’s decision to</w:t>
      </w:r>
      <w:r w:rsidRPr="00A808E5">
        <w:rPr>
          <w:szCs w:val="22"/>
        </w:rPr>
        <w:t xml:space="preserve"> grant the assignment of the KAXT-CD license to TV</w:t>
      </w:r>
      <w:r>
        <w:rPr>
          <w:szCs w:val="22"/>
        </w:rPr>
        <w:t>-</w:t>
      </w:r>
      <w:r w:rsidRPr="00A808E5">
        <w:rPr>
          <w:szCs w:val="22"/>
        </w:rPr>
        <w:t>49</w:t>
      </w:r>
      <w:r w:rsidRPr="00FF0E58">
        <w:rPr>
          <w:szCs w:val="22"/>
        </w:rPr>
        <w:t>.</w:t>
      </w:r>
      <w:r>
        <w:rPr>
          <w:rStyle w:val="FootnoteReference"/>
          <w:szCs w:val="22"/>
        </w:rPr>
        <w:footnoteReference w:id="21"/>
      </w:r>
      <w:r w:rsidRPr="00FF0E58">
        <w:rPr>
          <w:szCs w:val="22"/>
        </w:rPr>
        <w:t xml:space="preserve"> </w:t>
      </w:r>
      <w:r>
        <w:rPr>
          <w:szCs w:val="22"/>
        </w:rPr>
        <w:t xml:space="preserve"> </w:t>
      </w:r>
      <w:r w:rsidRPr="00FF0E58">
        <w:rPr>
          <w:szCs w:val="22"/>
        </w:rPr>
        <w:t xml:space="preserve">Specifically, </w:t>
      </w:r>
      <w:bookmarkStart w:id="9" w:name="_Ref14332037"/>
      <w:r w:rsidRPr="00FF0E58">
        <w:rPr>
          <w:szCs w:val="22"/>
        </w:rPr>
        <w:t xml:space="preserve">we find that </w:t>
      </w:r>
      <w:r w:rsidRPr="005D5634">
        <w:rPr>
          <w:szCs w:val="22"/>
        </w:rPr>
        <w:t>the Kapurs mischaracterize their interest and their injury.  While they inexplicably profess unqualified ownership of KAXT, LLC in their standing argument, the record clearly demonstrates that their ownership interest is non-controlling.</w:t>
      </w:r>
      <w:r>
        <w:rPr>
          <w:rStyle w:val="FootnoteReference"/>
          <w:szCs w:val="22"/>
        </w:rPr>
        <w:footnoteReference w:id="22"/>
      </w:r>
      <w:r w:rsidRPr="00FF0E58">
        <w:rPr>
          <w:szCs w:val="22"/>
        </w:rPr>
        <w:t xml:space="preserve">  The Commission and reviewing federal courts have repeatedly rejected standing assertions advanced by minority interest holders.</w:t>
      </w:r>
      <w:r>
        <w:rPr>
          <w:rStyle w:val="FootnoteReference"/>
          <w:szCs w:val="22"/>
        </w:rPr>
        <w:footnoteReference w:id="23"/>
      </w:r>
      <w:r w:rsidRPr="00FF0E58">
        <w:rPr>
          <w:szCs w:val="22"/>
        </w:rPr>
        <w:t xml:space="preserve"> </w:t>
      </w:r>
      <w:r>
        <w:t xml:space="preserve"> </w:t>
      </w:r>
      <w:r w:rsidRPr="00FF0E58">
        <w:rPr>
          <w:szCs w:val="22"/>
        </w:rPr>
        <w:t xml:space="preserve">Further, we reject the Kapurs’ repeated and conclusory claims that the purported injury here and their purported injury in the prior assignment </w:t>
      </w:r>
      <w:r w:rsidRPr="005D5634">
        <w:rPr>
          <w:szCs w:val="22"/>
        </w:rPr>
        <w:t>and renewal proceedings are somehow “inextricably” linked or intertwined.</w:t>
      </w:r>
      <w:r>
        <w:rPr>
          <w:rStyle w:val="FootnoteReference"/>
          <w:szCs w:val="22"/>
        </w:rPr>
        <w:footnoteReference w:id="24"/>
      </w:r>
      <w:r w:rsidRPr="00FF0E58">
        <w:rPr>
          <w:szCs w:val="22"/>
        </w:rPr>
        <w:t xml:space="preserve">  On the contrary, the instant assignment is distinct and separable from the prior assignment and renewal of the license</w:t>
      </w:r>
      <w:r w:rsidRPr="005D5634">
        <w:rPr>
          <w:szCs w:val="22"/>
        </w:rPr>
        <w:t>.</w:t>
      </w:r>
      <w:r>
        <w:rPr>
          <w:rStyle w:val="FootnoteReference"/>
          <w:szCs w:val="22"/>
        </w:rPr>
        <w:footnoteReference w:id="25"/>
      </w:r>
      <w:r w:rsidRPr="005D5634">
        <w:rPr>
          <w:szCs w:val="22"/>
        </w:rPr>
        <w:t xml:space="preserve">  In denying requests to defer action on a proposed assignment or transfer of control where a prior renewal or other proceeding is pending, the Commission has repeatedly held that Commission actions on applications for assignment or transfer of control amount only to consent, and, absent a stay or injunction by a court, the applicants consummate the transaction at their own risk.</w:t>
      </w:r>
      <w:r>
        <w:rPr>
          <w:rStyle w:val="FootnoteReference"/>
          <w:szCs w:val="22"/>
        </w:rPr>
        <w:footnoteReference w:id="26"/>
      </w:r>
      <w:r w:rsidRPr="00FF0E58">
        <w:rPr>
          <w:szCs w:val="22"/>
        </w:rPr>
        <w:t xml:space="preserve">  The Commission has explained that “consummation of the transaction neither prejudices a petitioner’s right to judicial review nor our ability to take remedial action, if the court so orders,” and that the assignee/transferee “assumes the risk that </w:t>
      </w:r>
      <w:r w:rsidRPr="005D5634">
        <w:rPr>
          <w:szCs w:val="22"/>
        </w:rPr>
        <w:t>transaction may be subject to further proceedings.”</w:t>
      </w:r>
      <w:r>
        <w:rPr>
          <w:rStyle w:val="FootnoteReference"/>
          <w:szCs w:val="22"/>
        </w:rPr>
        <w:footnoteReference w:id="27"/>
      </w:r>
      <w:r w:rsidRPr="00FF0E58">
        <w:rPr>
          <w:szCs w:val="22"/>
        </w:rPr>
        <w:t xml:space="preserve">  Regardless of any claim of standing to challenge the prior assignment/renewal,</w:t>
      </w:r>
      <w:r>
        <w:rPr>
          <w:rStyle w:val="FootnoteReference"/>
          <w:szCs w:val="22"/>
        </w:rPr>
        <w:footnoteReference w:id="28"/>
      </w:r>
      <w:r w:rsidRPr="00FF0E58">
        <w:rPr>
          <w:szCs w:val="22"/>
        </w:rPr>
        <w:t xml:space="preserve"> the requirement to show a direct injury </w:t>
      </w:r>
      <w:r w:rsidRPr="00FF0E58">
        <w:rPr>
          <w:i/>
          <w:szCs w:val="22"/>
        </w:rPr>
        <w:t>in this proceeding</w:t>
      </w:r>
      <w:r w:rsidRPr="00FF0E58">
        <w:rPr>
          <w:szCs w:val="22"/>
        </w:rPr>
        <w:t xml:space="preserve"> does </w:t>
      </w:r>
      <w:r w:rsidRPr="00FF0E58">
        <w:rPr>
          <w:szCs w:val="22"/>
        </w:rPr>
        <w:t>not allow the Kapurs to simply bootstrap such a claim to the subsequent, downstream transaction before us.</w:t>
      </w:r>
      <w:r>
        <w:rPr>
          <w:rStyle w:val="FootnoteReference"/>
          <w:szCs w:val="22"/>
        </w:rPr>
        <w:footnoteReference w:id="29"/>
      </w:r>
      <w:bookmarkEnd w:id="9"/>
      <w:r w:rsidRPr="00FF0E58">
        <w:rPr>
          <w:szCs w:val="22"/>
        </w:rPr>
        <w:t xml:space="preserve"> </w:t>
      </w:r>
    </w:p>
    <w:p w:rsidR="006235A7" w:rsidP="00147F4B" w14:paraId="08BBB365" w14:textId="77777777">
      <w:pPr>
        <w:pStyle w:val="ParaNum"/>
        <w:numPr>
          <w:ilvl w:val="0"/>
          <w:numId w:val="7"/>
        </w:numPr>
        <w:tabs>
          <w:tab w:val="left" w:pos="1440"/>
        </w:tabs>
        <w:spacing w:after="240"/>
        <w:ind w:left="0" w:firstLine="720"/>
        <w:rPr>
          <w:szCs w:val="22"/>
        </w:rPr>
      </w:pPr>
      <w:r>
        <w:rPr>
          <w:szCs w:val="22"/>
        </w:rPr>
        <w:t xml:space="preserve">Second, the Kapurs have failed to </w:t>
      </w:r>
      <w:r w:rsidRPr="00F767FF">
        <w:t xml:space="preserve">demonstrate a direct causal link between </w:t>
      </w:r>
      <w:r w:rsidRPr="00A808E5">
        <w:rPr>
          <w:szCs w:val="22"/>
        </w:rPr>
        <w:t>the</w:t>
      </w:r>
      <w:r w:rsidRPr="009B6DA5">
        <w:rPr>
          <w:szCs w:val="22"/>
        </w:rPr>
        <w:t xml:space="preserve"> Bureau’s </w:t>
      </w:r>
      <w:r w:rsidRPr="00D679C8">
        <w:rPr>
          <w:szCs w:val="22"/>
        </w:rPr>
        <w:t>decision to</w:t>
      </w:r>
      <w:r w:rsidRPr="00A808E5">
        <w:rPr>
          <w:szCs w:val="22"/>
        </w:rPr>
        <w:t xml:space="preserve"> grant the assignment of the KAXT-CD license to TV</w:t>
      </w:r>
      <w:r>
        <w:rPr>
          <w:szCs w:val="22"/>
        </w:rPr>
        <w:t>-</w:t>
      </w:r>
      <w:r w:rsidRPr="00A808E5">
        <w:rPr>
          <w:szCs w:val="22"/>
        </w:rPr>
        <w:t>49</w:t>
      </w:r>
      <w:r>
        <w:rPr>
          <w:szCs w:val="22"/>
        </w:rPr>
        <w:t xml:space="preserve"> </w:t>
      </w:r>
      <w:r w:rsidRPr="00F767FF">
        <w:t xml:space="preserve">and </w:t>
      </w:r>
      <w:r>
        <w:t>their</w:t>
      </w:r>
      <w:r w:rsidRPr="00F767FF">
        <w:t xml:space="preserve"> alleged injury</w:t>
      </w:r>
      <w:r>
        <w:t>.</w:t>
      </w:r>
      <w:r>
        <w:rPr>
          <w:rStyle w:val="FootnoteReference"/>
        </w:rPr>
        <w:footnoteReference w:id="30"/>
      </w:r>
      <w:r>
        <w:rPr>
          <w:szCs w:val="22"/>
        </w:rPr>
        <w:t xml:space="preserve">  In all cases, t</w:t>
      </w:r>
      <w:r w:rsidRPr="00FB7F3D">
        <w:rPr>
          <w:szCs w:val="22"/>
        </w:rPr>
        <w:t xml:space="preserve">he facts must demonstrate </w:t>
      </w:r>
      <w:r w:rsidRPr="00C03FDE">
        <w:rPr>
          <w:szCs w:val="22"/>
        </w:rPr>
        <w:t>that grant of the application would result in, or be reasonably likely to result in, some injury of a direct, tangible</w:t>
      </w:r>
      <w:r>
        <w:rPr>
          <w:szCs w:val="22"/>
        </w:rPr>
        <w:t>,</w:t>
      </w:r>
      <w:r w:rsidRPr="00C03FDE">
        <w:rPr>
          <w:szCs w:val="22"/>
        </w:rPr>
        <w:t xml:space="preserve"> or substantial nature</w:t>
      </w:r>
      <w:r w:rsidRPr="00BB7BEF">
        <w:rPr>
          <w:szCs w:val="22"/>
        </w:rPr>
        <w:t xml:space="preserve"> traceable to the</w:t>
      </w:r>
      <w:r w:rsidRPr="00755972">
        <w:rPr>
          <w:szCs w:val="22"/>
        </w:rPr>
        <w:t xml:space="preserve"> proposed action</w:t>
      </w:r>
      <w:r w:rsidRPr="00084F7C">
        <w:rPr>
          <w:szCs w:val="22"/>
        </w:rPr>
        <w:t>.</w:t>
      </w:r>
      <w:r>
        <w:rPr>
          <w:rStyle w:val="FootnoteReference"/>
          <w:szCs w:val="22"/>
        </w:rPr>
        <w:footnoteReference w:id="31"/>
      </w:r>
      <w:r w:rsidRPr="00FB7F3D">
        <w:rPr>
          <w:szCs w:val="22"/>
        </w:rPr>
        <w:t xml:space="preserve">  Th</w:t>
      </w:r>
      <w:r w:rsidRPr="00C03FDE">
        <w:rPr>
          <w:szCs w:val="22"/>
        </w:rPr>
        <w:t xml:space="preserve">e gravamen of this </w:t>
      </w:r>
      <w:r w:rsidRPr="00BB7BEF">
        <w:rPr>
          <w:szCs w:val="22"/>
        </w:rPr>
        <w:t xml:space="preserve">dispute, despite the </w:t>
      </w:r>
      <w:r w:rsidRPr="00755972">
        <w:rPr>
          <w:szCs w:val="22"/>
        </w:rPr>
        <w:t>numerous pleadings in the several proceedings arising there</w:t>
      </w:r>
      <w:r w:rsidRPr="00084F7C">
        <w:rPr>
          <w:szCs w:val="22"/>
        </w:rPr>
        <w:t xml:space="preserve">from, </w:t>
      </w:r>
      <w:r>
        <w:rPr>
          <w:szCs w:val="22"/>
        </w:rPr>
        <w:t>is</w:t>
      </w:r>
      <w:r w:rsidRPr="00084F7C">
        <w:rPr>
          <w:szCs w:val="22"/>
        </w:rPr>
        <w:t xml:space="preserve"> a </w:t>
      </w:r>
      <w:r>
        <w:rPr>
          <w:szCs w:val="22"/>
        </w:rPr>
        <w:t xml:space="preserve">private </w:t>
      </w:r>
      <w:r w:rsidRPr="00084F7C">
        <w:rPr>
          <w:szCs w:val="22"/>
        </w:rPr>
        <w:t xml:space="preserve">disagreement over whether </w:t>
      </w:r>
      <w:r w:rsidRPr="005C1BC5">
        <w:rPr>
          <w:szCs w:val="22"/>
        </w:rPr>
        <w:t xml:space="preserve">the majority owners of KAXT, LLC had the legal right to sell KAXT to OTA, an issue that has been resolved </w:t>
      </w:r>
      <w:r>
        <w:rPr>
          <w:szCs w:val="22"/>
        </w:rPr>
        <w:t xml:space="preserve">in the affirmative </w:t>
      </w:r>
      <w:r w:rsidRPr="005C1BC5">
        <w:rPr>
          <w:szCs w:val="22"/>
        </w:rPr>
        <w:t>in both arbi</w:t>
      </w:r>
      <w:r w:rsidRPr="00D02A26">
        <w:rPr>
          <w:szCs w:val="22"/>
        </w:rPr>
        <w:t>tration and state courts.</w:t>
      </w:r>
      <w:r>
        <w:rPr>
          <w:szCs w:val="22"/>
        </w:rPr>
        <w:t xml:space="preserve">  </w:t>
      </w:r>
      <w:r w:rsidRPr="00A808E5">
        <w:rPr>
          <w:szCs w:val="22"/>
        </w:rPr>
        <w:t xml:space="preserve">The Kapurs have failed to </w:t>
      </w:r>
      <w:r>
        <w:rPr>
          <w:szCs w:val="22"/>
        </w:rPr>
        <w:t xml:space="preserve">present any facts or provide any analysis </w:t>
      </w:r>
      <w:r w:rsidRPr="00A808E5">
        <w:rPr>
          <w:szCs w:val="22"/>
        </w:rPr>
        <w:t>demonstrat</w:t>
      </w:r>
      <w:r>
        <w:rPr>
          <w:szCs w:val="22"/>
        </w:rPr>
        <w:t xml:space="preserve">ing a </w:t>
      </w:r>
      <w:r w:rsidRPr="00F767FF">
        <w:t xml:space="preserve">direct causal link </w:t>
      </w:r>
      <w:r w:rsidRPr="00A808E5">
        <w:rPr>
          <w:szCs w:val="22"/>
        </w:rPr>
        <w:t xml:space="preserve">between their alleged injury </w:t>
      </w:r>
      <w:r>
        <w:rPr>
          <w:szCs w:val="22"/>
        </w:rPr>
        <w:t xml:space="preserve">in the </w:t>
      </w:r>
      <w:r w:rsidRPr="00A808E5">
        <w:rPr>
          <w:szCs w:val="22"/>
        </w:rPr>
        <w:t xml:space="preserve">loss of </w:t>
      </w:r>
      <w:r>
        <w:rPr>
          <w:szCs w:val="22"/>
        </w:rPr>
        <w:t xml:space="preserve">the </w:t>
      </w:r>
      <w:r w:rsidRPr="00A808E5">
        <w:rPr>
          <w:szCs w:val="22"/>
        </w:rPr>
        <w:t xml:space="preserve">KAXT-CD </w:t>
      </w:r>
      <w:r>
        <w:rPr>
          <w:szCs w:val="22"/>
        </w:rPr>
        <w:t xml:space="preserve">license </w:t>
      </w:r>
      <w:r w:rsidRPr="00A808E5">
        <w:rPr>
          <w:szCs w:val="22"/>
        </w:rPr>
        <w:t xml:space="preserve">to OTA and the Bureau’s subsequent decision to grant the assignment of the KAXT-CD license </w:t>
      </w:r>
      <w:r>
        <w:rPr>
          <w:szCs w:val="22"/>
        </w:rPr>
        <w:t xml:space="preserve">from OTA </w:t>
      </w:r>
      <w:r w:rsidRPr="00A808E5">
        <w:rPr>
          <w:szCs w:val="22"/>
        </w:rPr>
        <w:t>to TV</w:t>
      </w:r>
      <w:r>
        <w:rPr>
          <w:szCs w:val="22"/>
        </w:rPr>
        <w:t>-</w:t>
      </w:r>
      <w:r w:rsidRPr="00A808E5">
        <w:rPr>
          <w:szCs w:val="22"/>
        </w:rPr>
        <w:t>49.</w:t>
      </w:r>
      <w:r>
        <w:rPr>
          <w:rStyle w:val="FootnoteReference"/>
          <w:szCs w:val="22"/>
        </w:rPr>
        <w:footnoteReference w:id="32"/>
      </w:r>
    </w:p>
    <w:p w:rsidR="006235A7" w:rsidP="00147F4B" w14:paraId="23DDEE41" w14:textId="77777777">
      <w:pPr>
        <w:pStyle w:val="ParaNum"/>
        <w:numPr>
          <w:ilvl w:val="0"/>
          <w:numId w:val="7"/>
        </w:numPr>
        <w:tabs>
          <w:tab w:val="left" w:pos="1440"/>
        </w:tabs>
        <w:spacing w:after="240"/>
        <w:ind w:left="0" w:firstLine="720"/>
        <w:rPr>
          <w:szCs w:val="22"/>
        </w:rPr>
      </w:pPr>
      <w:r>
        <w:rPr>
          <w:szCs w:val="22"/>
        </w:rPr>
        <w:t xml:space="preserve">Third, the Kapurs do not </w:t>
      </w:r>
      <w:r w:rsidRPr="00F767FF">
        <w:t>show that the</w:t>
      </w:r>
      <w:r>
        <w:t>ir alleged</w:t>
      </w:r>
      <w:r w:rsidRPr="00F767FF">
        <w:t xml:space="preserve"> injury would be prevented or redressed by the requested relief</w:t>
      </w:r>
      <w:r>
        <w:t>.</w:t>
      </w:r>
      <w:r>
        <w:rPr>
          <w:rStyle w:val="FootnoteReference"/>
        </w:rPr>
        <w:footnoteReference w:id="33"/>
      </w:r>
      <w:r>
        <w:t xml:space="preserve">  </w:t>
      </w:r>
      <w:r>
        <w:rPr>
          <w:szCs w:val="22"/>
        </w:rPr>
        <w:t>The Kapurs here fail to demonstrate</w:t>
      </w:r>
      <w:r w:rsidRPr="00D02A26">
        <w:rPr>
          <w:szCs w:val="22"/>
        </w:rPr>
        <w:t xml:space="preserve"> how </w:t>
      </w:r>
      <w:r>
        <w:rPr>
          <w:szCs w:val="22"/>
        </w:rPr>
        <w:t>denying</w:t>
      </w:r>
      <w:r w:rsidRPr="00D02A26">
        <w:rPr>
          <w:szCs w:val="22"/>
        </w:rPr>
        <w:t xml:space="preserve"> the sale to TV-49 would </w:t>
      </w:r>
      <w:r>
        <w:rPr>
          <w:szCs w:val="22"/>
        </w:rPr>
        <w:t>prevent injury</w:t>
      </w:r>
      <w:r w:rsidRPr="005C1BC5">
        <w:rPr>
          <w:szCs w:val="22"/>
        </w:rPr>
        <w:t xml:space="preserve"> </w:t>
      </w:r>
      <w:r>
        <w:rPr>
          <w:szCs w:val="22"/>
        </w:rPr>
        <w:t xml:space="preserve">to </w:t>
      </w:r>
      <w:r w:rsidRPr="005C1BC5">
        <w:rPr>
          <w:szCs w:val="22"/>
        </w:rPr>
        <w:t>the Kapurs or even address their complaints in the underlying contract disput</w:t>
      </w:r>
      <w:r>
        <w:rPr>
          <w:szCs w:val="22"/>
        </w:rPr>
        <w:t>e</w:t>
      </w:r>
      <w:r w:rsidRPr="005C1BC5">
        <w:rPr>
          <w:szCs w:val="22"/>
        </w:rPr>
        <w:t>.</w:t>
      </w:r>
      <w:r>
        <w:rPr>
          <w:szCs w:val="22"/>
        </w:rPr>
        <w:t xml:space="preserve">  Indeed, </w:t>
      </w:r>
      <w:r>
        <w:t xml:space="preserve">even if the Commission denied the assignment of </w:t>
      </w:r>
      <w:r w:rsidRPr="00B31DCD">
        <w:rPr>
          <w:color w:val="000000"/>
          <w:szCs w:val="22"/>
        </w:rPr>
        <w:t>KAXT-CD</w:t>
      </w:r>
      <w:r>
        <w:rPr>
          <w:color w:val="000000"/>
          <w:szCs w:val="22"/>
        </w:rPr>
        <w:t xml:space="preserve"> to TV-49</w:t>
      </w:r>
      <w:r>
        <w:t>, that would not redress the Kapurs’ alleged injury because denial of the assignment would not restore KAXT-CD to the original licensee—</w:t>
      </w:r>
      <w:r w:rsidRPr="003E6AA8">
        <w:t>KAXT, LLC</w:t>
      </w:r>
      <w:r>
        <w:t>.</w:t>
      </w:r>
      <w:r>
        <w:rPr>
          <w:rStyle w:val="FootnoteReference"/>
        </w:rPr>
        <w:footnoteReference w:id="34"/>
      </w:r>
      <w:r>
        <w:t xml:space="preserve">  </w:t>
      </w:r>
      <w:r>
        <w:rPr>
          <w:szCs w:val="22"/>
        </w:rPr>
        <w:t>This appears to be little more than an attempt to open yet another front in this contractual dispute, an attempt that we cannot countenance.</w:t>
      </w:r>
      <w:r>
        <w:rPr>
          <w:rStyle w:val="FootnoteReference"/>
          <w:szCs w:val="22"/>
        </w:rPr>
        <w:footnoteReference w:id="35"/>
      </w:r>
      <w:r w:rsidRPr="005C1BC5">
        <w:rPr>
          <w:szCs w:val="22"/>
        </w:rPr>
        <w:t xml:space="preserve"> </w:t>
      </w:r>
    </w:p>
    <w:p w:rsidR="006235A7" w:rsidRPr="005C1BC5" w:rsidP="00147F4B" w14:paraId="1409EECF" w14:textId="77777777">
      <w:pPr>
        <w:pStyle w:val="ParaNum"/>
        <w:numPr>
          <w:ilvl w:val="0"/>
          <w:numId w:val="7"/>
        </w:numPr>
        <w:tabs>
          <w:tab w:val="left" w:pos="1440"/>
        </w:tabs>
        <w:spacing w:after="240"/>
        <w:ind w:left="0" w:firstLine="720"/>
        <w:rPr>
          <w:szCs w:val="22"/>
        </w:rPr>
      </w:pPr>
      <w:r>
        <w:rPr>
          <w:szCs w:val="22"/>
        </w:rPr>
        <w:t xml:space="preserve">Ultimately, we find that the Kapurs failed to demonstrate standing to seek review of the </w:t>
      </w:r>
      <w:r w:rsidRPr="008225B4">
        <w:rPr>
          <w:i/>
          <w:szCs w:val="22"/>
        </w:rPr>
        <w:t xml:space="preserve">2018 </w:t>
      </w:r>
      <w:r>
        <w:rPr>
          <w:i/>
          <w:szCs w:val="22"/>
        </w:rPr>
        <w:t>MO&amp;O</w:t>
      </w:r>
      <w:r>
        <w:rPr>
          <w:szCs w:val="22"/>
        </w:rPr>
        <w:t xml:space="preserve">; therefore, we dismiss the AFR.  </w:t>
      </w:r>
      <w:r>
        <w:t>Because we dismiss the AFR as procedurally defective, we decline to consider other arguments raised by the Kapurs therein.</w:t>
      </w:r>
    </w:p>
    <w:p w:rsidR="006235A7" w:rsidRPr="00B46CF7" w:rsidP="00147F4B" w14:paraId="5C1B41B5" w14:textId="77777777">
      <w:pPr>
        <w:pStyle w:val="Heading1"/>
        <w:keepLines/>
        <w:tabs>
          <w:tab w:val="num" w:pos="720"/>
        </w:tabs>
        <w:suppressAutoHyphens w:val="0"/>
        <w:spacing w:after="220"/>
        <w:jc w:val="both"/>
      </w:pPr>
      <w:r w:rsidRPr="003E0EEE">
        <w:t>ORDERING CLAUSE</w:t>
      </w:r>
    </w:p>
    <w:p w:rsidR="006235A7" w:rsidP="00147F4B" w14:paraId="1CB493AC" w14:textId="77777777">
      <w:pPr>
        <w:pStyle w:val="ParaNum"/>
        <w:keepNext/>
        <w:keepLines/>
        <w:numPr>
          <w:ilvl w:val="0"/>
          <w:numId w:val="7"/>
        </w:numPr>
        <w:tabs>
          <w:tab w:val="left" w:pos="1440"/>
        </w:tabs>
        <w:spacing w:after="240"/>
        <w:ind w:left="0" w:firstLine="720"/>
        <w:rPr>
          <w:szCs w:val="22"/>
        </w:rPr>
      </w:pPr>
      <w:r w:rsidRPr="00036E11">
        <w:rPr>
          <w:b/>
          <w:szCs w:val="22"/>
        </w:rPr>
        <w:t>ACCORDINGLY, IT IS ORDERED</w:t>
      </w:r>
      <w:r>
        <w:rPr>
          <w:szCs w:val="22"/>
        </w:rPr>
        <w:t xml:space="preserve"> t</w:t>
      </w:r>
      <w:r w:rsidRPr="00036E11">
        <w:rPr>
          <w:szCs w:val="22"/>
        </w:rPr>
        <w:t>hat</w:t>
      </w:r>
      <w:r>
        <w:rPr>
          <w:szCs w:val="22"/>
        </w:rPr>
        <w:t xml:space="preserve">, pursuant to section 155(c)(4) of the Act, 47 U.S.C. § 155(c)(4), and section 1.115(a) of the Commission’s rules, </w:t>
      </w:r>
      <w:r w:rsidRPr="000D0FB8">
        <w:t>47 CFR § 1.115(a)</w:t>
      </w:r>
      <w:r>
        <w:t>,</w:t>
      </w:r>
      <w:r>
        <w:rPr>
          <w:szCs w:val="22"/>
        </w:rPr>
        <w:t xml:space="preserve"> the Application for Review </w:t>
      </w:r>
      <w:r w:rsidRPr="00065A1F">
        <w:rPr>
          <w:b/>
          <w:bCs/>
          <w:szCs w:val="22"/>
        </w:rPr>
        <w:t>IS DISMISSED</w:t>
      </w:r>
      <w:r w:rsidRPr="00036E11">
        <w:rPr>
          <w:szCs w:val="22"/>
        </w:rPr>
        <w:t>.</w:t>
      </w:r>
    </w:p>
    <w:p w:rsidR="006235A7" w:rsidP="00147F4B" w14:paraId="5691FBEF" w14:textId="77777777">
      <w:r>
        <w:tab/>
      </w:r>
      <w:r>
        <w:tab/>
      </w:r>
      <w:r>
        <w:tab/>
      </w:r>
      <w:r>
        <w:tab/>
      </w:r>
      <w:r>
        <w:tab/>
      </w:r>
      <w:r>
        <w:tab/>
        <w:t>FEDERAL COMMUNICATIONS COMMISSION</w:t>
      </w:r>
    </w:p>
    <w:p w:rsidR="006235A7" w:rsidP="00147F4B" w14:paraId="397AE07C" w14:textId="77777777"/>
    <w:p w:rsidR="006235A7" w:rsidP="00147F4B" w14:paraId="3A02B4A9" w14:textId="77777777"/>
    <w:p w:rsidR="006235A7" w:rsidP="00147F4B" w14:paraId="14D99967" w14:textId="77777777"/>
    <w:p w:rsidR="006235A7" w:rsidP="00147F4B" w14:paraId="7ADECE5E" w14:textId="77777777">
      <w:r>
        <w:tab/>
      </w:r>
      <w:r>
        <w:tab/>
      </w:r>
      <w:r>
        <w:tab/>
      </w:r>
      <w:r>
        <w:tab/>
      </w:r>
      <w:r>
        <w:tab/>
      </w:r>
      <w:r>
        <w:tab/>
        <w:t>Marlene H. Dortch</w:t>
      </w:r>
    </w:p>
    <w:p w:rsidR="00412FC5" w:rsidP="006235A7" w14:paraId="24A2C1EA" w14:textId="5EDD90F8">
      <w:r>
        <w:tab/>
      </w:r>
      <w:r>
        <w:tab/>
      </w:r>
      <w:r>
        <w:tab/>
      </w:r>
      <w:r>
        <w:tab/>
      </w:r>
      <w:r>
        <w:tab/>
      </w:r>
      <w:r>
        <w:tab/>
        <w:t>Secretary</w:t>
      </w:r>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8434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D05F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7F4B" w14:paraId="2000903C" w14:textId="6F0D437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5EFB21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0AEF" w14:paraId="2F10148B" w14:textId="77777777">
      <w:r>
        <w:separator/>
      </w:r>
    </w:p>
  </w:footnote>
  <w:footnote w:type="continuationSeparator" w:id="1">
    <w:p w:rsidR="00200AEF" w:rsidP="00C721AC" w14:paraId="3376CB76" w14:textId="77777777">
      <w:pPr>
        <w:spacing w:before="120"/>
        <w:rPr>
          <w:sz w:val="20"/>
        </w:rPr>
      </w:pPr>
      <w:r>
        <w:rPr>
          <w:sz w:val="20"/>
        </w:rPr>
        <w:t xml:space="preserve">(Continued from previous page)  </w:t>
      </w:r>
      <w:r>
        <w:rPr>
          <w:sz w:val="20"/>
        </w:rPr>
        <w:separator/>
      </w:r>
    </w:p>
  </w:footnote>
  <w:footnote w:type="continuationNotice" w:id="2">
    <w:p w:rsidR="00200AEF" w:rsidP="00C721AC" w14:paraId="0B2CC39D" w14:textId="77777777">
      <w:pPr>
        <w:jc w:val="right"/>
        <w:rPr>
          <w:sz w:val="20"/>
        </w:rPr>
      </w:pPr>
      <w:r>
        <w:rPr>
          <w:sz w:val="20"/>
        </w:rPr>
        <w:t>(continued….)</w:t>
      </w:r>
    </w:p>
  </w:footnote>
  <w:footnote w:id="3">
    <w:p w:rsidR="006235A7" w:rsidRPr="00021E3D" w:rsidP="00147F4B" w14:paraId="23D61807" w14:textId="77777777">
      <w:pPr>
        <w:pStyle w:val="FootnoteText"/>
        <w:widowControl w:val="0"/>
        <w:spacing w:after="200"/>
      </w:pPr>
      <w:r w:rsidRPr="00021E3D">
        <w:rPr>
          <w:rStyle w:val="FootnoteReference"/>
        </w:rPr>
        <w:footnoteRef/>
      </w:r>
      <w:r w:rsidRPr="00021E3D">
        <w:t xml:space="preserve"> Application for Review </w:t>
      </w:r>
      <w:r>
        <w:t xml:space="preserve">of Nalini Kapur, Rishi Kapur, and Ravi Kapur, File Nos. </w:t>
      </w:r>
      <w:r w:rsidRPr="00F67F8D">
        <w:t>BAL-20171026ABS</w:t>
      </w:r>
      <w:r>
        <w:t xml:space="preserve"> &amp; BAL </w:t>
      </w:r>
      <w:r w:rsidRPr="00021E3D">
        <w:t xml:space="preserve">(filed </w:t>
      </w:r>
      <w:r>
        <w:t>Oct. 18, 2018</w:t>
      </w:r>
      <w:r w:rsidRPr="00021E3D">
        <w:t>) (AFR).</w:t>
      </w:r>
      <w:r>
        <w:t xml:space="preserve">  OTA filed an Opposition to the AFR on November 2, 2018 (AFR Opposition), and the Kapurs filed a Reply on November 15, 2018 (AFR </w:t>
      </w:r>
      <w:r w:rsidRPr="00381920">
        <w:t>Reply</w:t>
      </w:r>
      <w:r>
        <w:t xml:space="preserve">).  </w:t>
      </w:r>
    </w:p>
  </w:footnote>
  <w:footnote w:id="4">
    <w:p w:rsidR="006235A7" w:rsidRPr="00E97DA5" w:rsidP="00147F4B" w14:paraId="676477A4" w14:textId="77777777">
      <w:pPr>
        <w:pStyle w:val="FootnoteText"/>
        <w:widowControl w:val="0"/>
        <w:rPr>
          <w:i/>
        </w:rPr>
      </w:pPr>
      <w:r w:rsidRPr="00021E3D">
        <w:rPr>
          <w:rStyle w:val="FootnoteReference"/>
        </w:rPr>
        <w:footnoteRef/>
      </w:r>
      <w:r w:rsidRPr="00021E3D">
        <w:t xml:space="preserve"> </w:t>
      </w:r>
      <w:r>
        <w:rPr>
          <w:i/>
          <w:iCs/>
        </w:rPr>
        <w:t xml:space="preserve">Applications of </w:t>
      </w:r>
      <w:r w:rsidRPr="00021E3D">
        <w:rPr>
          <w:i/>
        </w:rPr>
        <w:t>OTA Broadcasting (SFO), LLC (Assign</w:t>
      </w:r>
      <w:r>
        <w:rPr>
          <w:i/>
        </w:rPr>
        <w:t>or</w:t>
      </w:r>
      <w:r w:rsidRPr="00021E3D">
        <w:rPr>
          <w:i/>
        </w:rPr>
        <w:t>)</w:t>
      </w:r>
      <w:r>
        <w:rPr>
          <w:i/>
        </w:rPr>
        <w:t>,</w:t>
      </w:r>
      <w:r w:rsidRPr="00021E3D">
        <w:rPr>
          <w:i/>
        </w:rPr>
        <w:t xml:space="preserve"> </w:t>
      </w:r>
      <w:r>
        <w:rPr>
          <w:i/>
        </w:rPr>
        <w:t xml:space="preserve">and TV-49, Inc. (Assignee), </w:t>
      </w:r>
      <w:r w:rsidRPr="00021E3D">
        <w:rPr>
          <w:i/>
        </w:rPr>
        <w:t>for Consent to Assign the License</w:t>
      </w:r>
      <w:r>
        <w:rPr>
          <w:i/>
        </w:rPr>
        <w:t>s</w:t>
      </w:r>
      <w:r w:rsidRPr="00021E3D">
        <w:rPr>
          <w:i/>
        </w:rPr>
        <w:t xml:space="preserve"> of Station KAXT-CD, San Francisco-San Jose, C</w:t>
      </w:r>
      <w:r>
        <w:rPr>
          <w:i/>
        </w:rPr>
        <w:t>A, KTLN-TV, Novato, CA</w:t>
      </w:r>
      <w:r w:rsidRPr="00021E3D">
        <w:t>, Memorandum Opinion and Order,</w:t>
      </w:r>
      <w:r>
        <w:t xml:space="preserve"> 33 FCC Rcd 8765 (MB 2018) (</w:t>
      </w:r>
      <w:r>
        <w:rPr>
          <w:i/>
        </w:rPr>
        <w:t>2018 MO&amp;O</w:t>
      </w:r>
      <w:r>
        <w:t>)</w:t>
      </w:r>
      <w:r w:rsidRPr="00021E3D">
        <w:t>.</w:t>
      </w:r>
      <w:r>
        <w:t xml:space="preserve">  Unlike the “petition to deny” filed against the KAXT assignment application, the Kapurs filed an informal objection to the KTLN Application.  Although the AFR nominally asks for the rescission of the assignment grants for both KAXT and KTLN, the Kapurs have failed to advance an argument at any point in this proceeding that they have standing with respect to the assignment of KTLN.  </w:t>
      </w:r>
      <w:r>
        <w:rPr>
          <w:i/>
        </w:rPr>
        <w:t xml:space="preserve">See </w:t>
      </w:r>
      <w:r>
        <w:t xml:space="preserve">AFR at 9; </w:t>
      </w:r>
      <w:r>
        <w:rPr>
          <w:i/>
        </w:rPr>
        <w:t>see also Chapin Enterprises LLC</w:t>
      </w:r>
      <w:r>
        <w:t>, Memorandum Opinion and Order, 29 FCC Rcd 4250, 4252, para. 7 (2014) (</w:t>
      </w:r>
      <w:r>
        <w:rPr>
          <w:i/>
        </w:rPr>
        <w:t>Chapin</w:t>
      </w:r>
      <w:r>
        <w:t xml:space="preserve">) (recognizing that, while an informal objector is </w:t>
      </w:r>
      <w:r w:rsidRPr="00D3213F">
        <w:t>not required to demonstrate standing</w:t>
      </w:r>
      <w:r>
        <w:t xml:space="preserve"> when challenging an application</w:t>
      </w:r>
      <w:r w:rsidRPr="00D3213F">
        <w:t xml:space="preserve">, </w:t>
      </w:r>
      <w:r>
        <w:t>it</w:t>
      </w:r>
      <w:r w:rsidRPr="00D3213F">
        <w:t xml:space="preserve"> </w:t>
      </w:r>
      <w:r>
        <w:t>is</w:t>
      </w:r>
      <w:r w:rsidRPr="00D3213F">
        <w:t xml:space="preserve"> required to do so </w:t>
      </w:r>
      <w:r>
        <w:t>when filing</w:t>
      </w:r>
      <w:r w:rsidRPr="00D3213F">
        <w:t xml:space="preserve"> an applicat</w:t>
      </w:r>
      <w:r>
        <w:t>ion</w:t>
      </w:r>
      <w:r w:rsidRPr="00D3213F">
        <w:t xml:space="preserve"> for review</w:t>
      </w:r>
      <w:r>
        <w:t xml:space="preserve">).  </w:t>
      </w:r>
      <w:r w:rsidRPr="00AB6578">
        <w:t>Therefore, we dismiss the AFR with respect to KTLN for lack of standing.</w:t>
      </w:r>
      <w:r>
        <w:t xml:space="preserve">  </w:t>
      </w:r>
    </w:p>
  </w:footnote>
  <w:footnote w:id="5">
    <w:p w:rsidR="006235A7" w:rsidRPr="00CD0A76" w:rsidP="00147F4B" w14:paraId="144ECA23" w14:textId="77777777">
      <w:pPr>
        <w:pStyle w:val="FootnoteText"/>
        <w:widowControl w:val="0"/>
      </w:pPr>
      <w:r>
        <w:rPr>
          <w:rStyle w:val="FootnoteReference"/>
        </w:rPr>
        <w:footnoteRef/>
      </w:r>
      <w:r>
        <w:t xml:space="preserve"> </w:t>
      </w:r>
      <w:r>
        <w:rPr>
          <w:i/>
          <w:iCs/>
        </w:rPr>
        <w:t xml:space="preserve">Application of </w:t>
      </w:r>
      <w:r>
        <w:rPr>
          <w:i/>
        </w:rPr>
        <w:t>KAXT, LLC (Assignor), and OTA Broadcasting (SFO), LLC (Assignee), for Consent to Assign the License of Station KAXT-CD, San Francisco-San Jose, California</w:t>
      </w:r>
      <w:r>
        <w:t>, Memorandum Opinion and Order, 29 FCC Rcd 8266 (MB</w:t>
      </w:r>
      <w:r w:rsidRPr="00A525C0">
        <w:t xml:space="preserve"> 2014)</w:t>
      </w:r>
      <w:r>
        <w:t xml:space="preserve"> (</w:t>
      </w:r>
      <w:r w:rsidRPr="00705FBF">
        <w:rPr>
          <w:i/>
        </w:rPr>
        <w:t xml:space="preserve">2014 </w:t>
      </w:r>
      <w:r>
        <w:rPr>
          <w:i/>
        </w:rPr>
        <w:t>MO&amp;O)</w:t>
      </w:r>
      <w:r w:rsidRPr="00A525C0">
        <w:t>.  Those seeking additional background can consult recent</w:t>
      </w:r>
      <w:r w:rsidRPr="00BF1637">
        <w:t xml:space="preserve"> decisions in this proceeding.</w:t>
      </w:r>
      <w:r>
        <w:t xml:space="preserve"> </w:t>
      </w:r>
      <w:r w:rsidRPr="00A525C0">
        <w:t xml:space="preserve"> </w:t>
      </w:r>
      <w:r w:rsidRPr="00A525C0">
        <w:rPr>
          <w:i/>
        </w:rPr>
        <w:t xml:space="preserve">See generally </w:t>
      </w:r>
      <w:r>
        <w:rPr>
          <w:i/>
        </w:rPr>
        <w:t xml:space="preserve">Application of </w:t>
      </w:r>
      <w:r w:rsidRPr="00A525C0">
        <w:rPr>
          <w:i/>
        </w:rPr>
        <w:t>KAXT, LLC (Assignor)</w:t>
      </w:r>
      <w:r>
        <w:rPr>
          <w:i/>
        </w:rPr>
        <w:t>,</w:t>
      </w:r>
      <w:r w:rsidRPr="00A525C0">
        <w:rPr>
          <w:i/>
        </w:rPr>
        <w:t xml:space="preserve"> and OTA Broadcasting (SFO), LLC (Assignee)</w:t>
      </w:r>
      <w:r>
        <w:rPr>
          <w:i/>
        </w:rPr>
        <w:t>,</w:t>
      </w:r>
      <w:r w:rsidRPr="00A525C0">
        <w:rPr>
          <w:i/>
        </w:rPr>
        <w:t xml:space="preserve"> for Consent to Assign the License of Stat</w:t>
      </w:r>
      <w:r w:rsidRPr="00BF1637">
        <w:rPr>
          <w:i/>
        </w:rPr>
        <w:t>ion KAXT-CD, San Francisco-San Jose, California</w:t>
      </w:r>
      <w:r w:rsidRPr="00BF1637">
        <w:t>, Memorandum Opinion and Order,</w:t>
      </w:r>
      <w:r w:rsidRPr="00BF1637">
        <w:rPr>
          <w:snapToGrid w:val="0"/>
          <w:kern w:val="28"/>
          <w:sz w:val="22"/>
        </w:rPr>
        <w:t xml:space="preserve"> </w:t>
      </w:r>
      <w:r w:rsidRPr="00BF1637">
        <w:t>33 FCC Rcd 8760 (</w:t>
      </w:r>
      <w:r>
        <w:t>MB</w:t>
      </w:r>
      <w:r w:rsidRPr="00BF1637">
        <w:t xml:space="preserve"> 2018); </w:t>
      </w:r>
      <w:r>
        <w:rPr>
          <w:i/>
          <w:iCs/>
        </w:rPr>
        <w:t xml:space="preserve">Application of </w:t>
      </w:r>
      <w:r w:rsidRPr="00BF1637">
        <w:rPr>
          <w:i/>
        </w:rPr>
        <w:t>KAXT, LLC (Assignor)</w:t>
      </w:r>
      <w:r>
        <w:rPr>
          <w:i/>
        </w:rPr>
        <w:t>,</w:t>
      </w:r>
      <w:r w:rsidRPr="00BF1637">
        <w:rPr>
          <w:i/>
        </w:rPr>
        <w:t xml:space="preserve"> and OTA Broadcasting (SFO), LLC</w:t>
      </w:r>
      <w:r>
        <w:rPr>
          <w:i/>
        </w:rPr>
        <w:t>,</w:t>
      </w:r>
      <w:r w:rsidRPr="00BF1637">
        <w:rPr>
          <w:i/>
        </w:rPr>
        <w:t xml:space="preserve"> (Assignee) for Consent to Assign the License of Station KAXT-CD, San Francisco-San Jose, California</w:t>
      </w:r>
      <w:r w:rsidRPr="00BF1637">
        <w:t>, Memorandum Opinion and Order, 32 FCC Rcd 9638 (2017).</w:t>
      </w:r>
    </w:p>
  </w:footnote>
  <w:footnote w:id="6">
    <w:p w:rsidR="006235A7" w:rsidP="00147F4B" w14:paraId="2DAD6859" w14:textId="77777777">
      <w:pPr>
        <w:pStyle w:val="FootnoteText"/>
        <w:widowControl w:val="0"/>
      </w:pPr>
      <w:r>
        <w:rPr>
          <w:rStyle w:val="FootnoteReference"/>
        </w:rPr>
        <w:footnoteRef/>
      </w:r>
      <w:r>
        <w:t xml:space="preserve"> </w:t>
      </w:r>
      <w:r>
        <w:rPr>
          <w:i/>
        </w:rPr>
        <w:t xml:space="preserve">See Application of </w:t>
      </w:r>
      <w:r w:rsidRPr="009B10E1">
        <w:rPr>
          <w:i/>
        </w:rPr>
        <w:t>KAXT, LLC (Assignor)</w:t>
      </w:r>
      <w:r>
        <w:rPr>
          <w:i/>
        </w:rPr>
        <w:t>,</w:t>
      </w:r>
      <w:r w:rsidRPr="009B10E1">
        <w:rPr>
          <w:i/>
        </w:rPr>
        <w:t xml:space="preserve"> and OTA Broadcasting (SFO), LLC (Assignee)</w:t>
      </w:r>
      <w:r>
        <w:rPr>
          <w:i/>
        </w:rPr>
        <w:t>,</w:t>
      </w:r>
      <w:r w:rsidRPr="009B10E1">
        <w:rPr>
          <w:i/>
        </w:rPr>
        <w:t xml:space="preserve"> for Consent to Assign the License of Station KAXT-CD, San Francisco-San Jose, California</w:t>
      </w:r>
      <w:r w:rsidRPr="009B10E1">
        <w:t>, Memorandum Opinion and Order, 30 FCC Rcd 2691</w:t>
      </w:r>
      <w:r>
        <w:t>, 2691, para. 1</w:t>
      </w:r>
      <w:r w:rsidRPr="009B10E1">
        <w:t xml:space="preserve"> (</w:t>
      </w:r>
      <w:r>
        <w:t>MB</w:t>
      </w:r>
      <w:r w:rsidRPr="009B10E1">
        <w:t xml:space="preserve"> 2015)</w:t>
      </w:r>
      <w:r>
        <w:t>.</w:t>
      </w:r>
    </w:p>
  </w:footnote>
  <w:footnote w:id="7">
    <w:p w:rsidR="006235A7" w:rsidP="00147F4B" w14:paraId="7088EAAE" w14:textId="7E6FA2AC">
      <w:pPr>
        <w:pStyle w:val="FootnoteText"/>
        <w:widowControl w:val="0"/>
      </w:pPr>
      <w:r>
        <w:rPr>
          <w:rStyle w:val="FootnoteReference"/>
        </w:rPr>
        <w:footnoteRef/>
      </w:r>
      <w:r>
        <w:t xml:space="preserve"> In a separate decision issued today, we have rejected the Kapurs’ most recent attempt to overturn the grant of assignment of KAXT to OTA.  </w:t>
      </w:r>
      <w:r>
        <w:rPr>
          <w:i/>
          <w:iCs/>
        </w:rPr>
        <w:t xml:space="preserve">Application of </w:t>
      </w:r>
      <w:r>
        <w:rPr>
          <w:i/>
        </w:rPr>
        <w:t>KAXT, LLC (Assignor), and OTA Broadcasting (SFO), LLC (Assignee), for Consent to Assign the License of Station KAXT-CD, San Francisco-San Jose, California</w:t>
      </w:r>
      <w:r>
        <w:t>, Memorandum Opinion and Order, FCC 20-2 (rel. Jan</w:t>
      </w:r>
      <w:r w:rsidR="00200AEF">
        <w:t>.</w:t>
      </w:r>
      <w:r>
        <w:t xml:space="preserve"> 2</w:t>
      </w:r>
      <w:r w:rsidR="00FE4DE2">
        <w:t>2</w:t>
      </w:r>
      <w:r>
        <w:t>, 2020</w:t>
      </w:r>
      <w:r w:rsidRPr="00991D78">
        <w:t>)</w:t>
      </w:r>
      <w:r>
        <w:t xml:space="preserve">. </w:t>
      </w:r>
    </w:p>
  </w:footnote>
  <w:footnote w:id="8">
    <w:p w:rsidR="006235A7" w:rsidRPr="00BF1637" w:rsidP="00147F4B" w14:paraId="4FA018EF" w14:textId="77777777">
      <w:pPr>
        <w:pStyle w:val="FootnoteText"/>
        <w:widowControl w:val="0"/>
      </w:pPr>
      <w:r>
        <w:rPr>
          <w:rStyle w:val="FootnoteReference"/>
        </w:rPr>
        <w:footnoteRef/>
      </w:r>
      <w:r>
        <w:t xml:space="preserve"> Petition to Deny of Nalini Kapur, Rishi Kapur, and Ravi Kapur, File No. </w:t>
      </w:r>
      <w:r w:rsidRPr="00F67F8D">
        <w:t>BAL-20171026ABS</w:t>
      </w:r>
      <w:r>
        <w:t xml:space="preserve"> </w:t>
      </w:r>
      <w:r w:rsidRPr="00021E3D">
        <w:t xml:space="preserve">(filed </w:t>
      </w:r>
      <w:r>
        <w:t>Nov. 30, 2017</w:t>
      </w:r>
      <w:r w:rsidRPr="00021E3D">
        <w:t>) (</w:t>
      </w:r>
      <w:r>
        <w:t>2017 Objection</w:t>
      </w:r>
      <w:r w:rsidRPr="00021E3D">
        <w:t>)</w:t>
      </w:r>
      <w:r>
        <w:t>.  The Kapurs filed an Erratum on December 5, 2017, and supplemented their petition on February 9, 2018, to raise additional character allegations.  OTA filed an Opposition on December 13, 2017 (2017 Opposition)—</w:t>
      </w:r>
      <w:r w:rsidRPr="00DC211D">
        <w:t>with an Erratum on November 5, 201</w:t>
      </w:r>
      <w:r>
        <w:t>8—and the Kapurs filed a Reply on December 26, 2017 (20</w:t>
      </w:r>
      <w:r w:rsidRPr="00A525C0">
        <w:t xml:space="preserve">17 </w:t>
      </w:r>
      <w:r w:rsidRPr="00BF1637">
        <w:t xml:space="preserve">Reply).  </w:t>
      </w:r>
    </w:p>
  </w:footnote>
  <w:footnote w:id="9">
    <w:p w:rsidR="006235A7" w:rsidP="00147F4B" w14:paraId="4BE96F40" w14:textId="77777777">
      <w:pPr>
        <w:pStyle w:val="FootnoteText"/>
        <w:widowControl w:val="0"/>
      </w:pPr>
      <w:r w:rsidRPr="00A525C0">
        <w:rPr>
          <w:rStyle w:val="FootnoteReference"/>
        </w:rPr>
        <w:footnoteRef/>
      </w:r>
      <w:r w:rsidRPr="00A525C0">
        <w:t xml:space="preserve"> </w:t>
      </w:r>
      <w:r w:rsidRPr="00BF1637">
        <w:t>2017 Opposition at 5.</w:t>
      </w:r>
    </w:p>
  </w:footnote>
  <w:footnote w:id="10">
    <w:p w:rsidR="006235A7" w:rsidP="00147F4B" w14:paraId="555DCFB4" w14:textId="77777777">
      <w:pPr>
        <w:pStyle w:val="FootnoteText"/>
        <w:widowControl w:val="0"/>
      </w:pPr>
      <w:r>
        <w:rPr>
          <w:rStyle w:val="FootnoteReference"/>
        </w:rPr>
        <w:footnoteRef/>
      </w:r>
      <w:r>
        <w:t xml:space="preserve"> 2017 Reply at 2-7.</w:t>
      </w:r>
    </w:p>
  </w:footnote>
  <w:footnote w:id="11">
    <w:p w:rsidR="006235A7" w:rsidRPr="00F13F33" w:rsidP="00147F4B" w14:paraId="0AF603FC" w14:textId="77777777">
      <w:pPr>
        <w:pStyle w:val="FootnoteText"/>
        <w:widowControl w:val="0"/>
      </w:pPr>
      <w:r>
        <w:rPr>
          <w:rStyle w:val="FootnoteReference"/>
        </w:rPr>
        <w:footnoteRef/>
      </w:r>
      <w:r>
        <w:t xml:space="preserve"> </w:t>
      </w:r>
      <w:bookmarkStart w:id="4" w:name="_Hlk18929468"/>
      <w:r>
        <w:rPr>
          <w:i/>
        </w:rPr>
        <w:t>2018 MO&amp;O</w:t>
      </w:r>
      <w:r w:rsidRPr="00BF1637">
        <w:t>, 33 FCC Rcd</w:t>
      </w:r>
      <w:r>
        <w:t xml:space="preserve"> at 8765, para. 1 n.1</w:t>
      </w:r>
      <w:bookmarkEnd w:id="4"/>
      <w:r>
        <w:t>.</w:t>
      </w:r>
    </w:p>
  </w:footnote>
  <w:footnote w:id="12">
    <w:p w:rsidR="006235A7" w:rsidP="00147F4B" w14:paraId="1B039AFD" w14:textId="77777777">
      <w:pPr>
        <w:pStyle w:val="FootnoteText"/>
        <w:widowControl w:val="0"/>
      </w:pPr>
      <w:r>
        <w:rPr>
          <w:rStyle w:val="FootnoteReference"/>
        </w:rPr>
        <w:footnoteRef/>
      </w:r>
      <w:r>
        <w:t xml:space="preserve"> </w:t>
      </w:r>
      <w:bookmarkStart w:id="5" w:name="_Hlk18929383"/>
      <w:r>
        <w:t>AFR at 3-4.</w:t>
      </w:r>
      <w:bookmarkEnd w:id="5"/>
    </w:p>
  </w:footnote>
  <w:footnote w:id="13">
    <w:p w:rsidR="006235A7" w:rsidRPr="00281F17" w:rsidP="005E6C3F" w14:paraId="745D977A" w14:textId="77777777">
      <w:pPr>
        <w:pStyle w:val="FootnoteText"/>
      </w:pPr>
      <w:r>
        <w:rPr>
          <w:rStyle w:val="FootnoteReference"/>
        </w:rPr>
        <w:footnoteRef/>
      </w:r>
      <w:r>
        <w:t xml:space="preserve"> </w:t>
      </w:r>
      <w:r>
        <w:rPr>
          <w:i/>
        </w:rPr>
        <w:t>Id</w:t>
      </w:r>
      <w:r>
        <w:t xml:space="preserve">. at 5-9 (presenting arguments regarding alleged public file violations by OTA and asserting that the </w:t>
      </w:r>
      <w:r>
        <w:rPr>
          <w:i/>
        </w:rPr>
        <w:t>2018 MO&amp;O</w:t>
      </w:r>
      <w:r>
        <w:t xml:space="preserve"> erred in affirming previous Commission rulings in the parallel proceeding involving the sale of KAXT to OTA and KAXT’s license renewal).</w:t>
      </w:r>
    </w:p>
  </w:footnote>
  <w:footnote w:id="14">
    <w:p w:rsidR="006235A7" w:rsidP="00147F4B" w14:paraId="45890CAB" w14:textId="77777777">
      <w:pPr>
        <w:pStyle w:val="FootnoteText"/>
        <w:widowControl w:val="0"/>
      </w:pPr>
      <w:r>
        <w:rPr>
          <w:rStyle w:val="FootnoteReference"/>
        </w:rPr>
        <w:footnoteRef/>
      </w:r>
      <w:r>
        <w:t xml:space="preserve"> AFR Opposition at 2-3, 7-12.</w:t>
      </w:r>
    </w:p>
  </w:footnote>
  <w:footnote w:id="15">
    <w:p w:rsidR="006235A7" w:rsidP="00147F4B" w14:paraId="35B7E4F2" w14:textId="77777777">
      <w:pPr>
        <w:pStyle w:val="FootnoteText"/>
        <w:widowControl w:val="0"/>
      </w:pPr>
      <w:r>
        <w:rPr>
          <w:rStyle w:val="FootnoteReference"/>
        </w:rPr>
        <w:footnoteRef/>
      </w:r>
      <w:r>
        <w:t xml:space="preserve"> </w:t>
      </w:r>
      <w:r w:rsidRPr="008A546E">
        <w:rPr>
          <w:i/>
        </w:rPr>
        <w:t>Id</w:t>
      </w:r>
      <w:r>
        <w:t xml:space="preserve">. </w:t>
      </w:r>
      <w:r w:rsidRPr="008A546E">
        <w:rPr>
          <w:szCs w:val="22"/>
        </w:rPr>
        <w:t>at</w:t>
      </w:r>
      <w:r>
        <w:rPr>
          <w:szCs w:val="22"/>
        </w:rPr>
        <w:t xml:space="preserve"> 1 n.3.</w:t>
      </w:r>
    </w:p>
  </w:footnote>
  <w:footnote w:id="16">
    <w:p w:rsidR="006235A7" w:rsidP="00147F4B" w14:paraId="6AD6F62C" w14:textId="77777777">
      <w:pPr>
        <w:pStyle w:val="FootnoteText"/>
        <w:widowControl w:val="0"/>
      </w:pPr>
      <w:r>
        <w:rPr>
          <w:rStyle w:val="FootnoteReference"/>
        </w:rPr>
        <w:footnoteRef/>
      </w:r>
      <w:r>
        <w:t xml:space="preserve"> AFR Reply at 2-10.</w:t>
      </w:r>
    </w:p>
  </w:footnote>
  <w:footnote w:id="17">
    <w:p w:rsidR="006235A7" w:rsidRPr="001F41CC" w:rsidP="006235A7" w14:paraId="53AEE327" w14:textId="77777777">
      <w:pPr>
        <w:pStyle w:val="CommentText"/>
        <w:rPr>
          <w:color w:val="000000"/>
        </w:rPr>
      </w:pPr>
      <w:r>
        <w:rPr>
          <w:rStyle w:val="FootnoteReference"/>
        </w:rPr>
        <w:footnoteRef/>
      </w:r>
      <w:r>
        <w:t xml:space="preserve"> </w:t>
      </w:r>
      <w:r w:rsidRPr="001F41CC">
        <w:rPr>
          <w:color w:val="000000"/>
        </w:rPr>
        <w:t>We need not address whether the Bureau’s decision can be read to hold that facts purporting to establish standing to file a Petition to Deny must be set forth in an “affidavit asserting standing” that is separate from the text of the petition.  AFR at 3-4 (citing</w:t>
      </w:r>
      <w:r w:rsidRPr="001F41CC">
        <w:rPr>
          <w:i/>
          <w:color w:val="000000"/>
        </w:rPr>
        <w:t xml:space="preserve"> </w:t>
      </w:r>
      <w:bookmarkStart w:id="6" w:name="_Hlk18937204"/>
      <w:r>
        <w:rPr>
          <w:i/>
        </w:rPr>
        <w:t xml:space="preserve">2018 </w:t>
      </w:r>
      <w:r w:rsidRPr="001F41CC">
        <w:rPr>
          <w:i/>
          <w:color w:val="000000"/>
        </w:rPr>
        <w:t>MO&amp;O</w:t>
      </w:r>
      <w:r w:rsidRPr="001F41CC">
        <w:rPr>
          <w:color w:val="000000"/>
        </w:rPr>
        <w:t>, 33 FCC Rcd at 8765, para. 1 n.1</w:t>
      </w:r>
      <w:bookmarkEnd w:id="6"/>
      <w:r w:rsidRPr="001F41CC">
        <w:rPr>
          <w:color w:val="000000"/>
        </w:rPr>
        <w:t xml:space="preserve">).  Rather, as discussed herein, we conclude that because the Kapurs failed to demonstrate how they </w:t>
      </w:r>
      <w:r>
        <w:rPr>
          <w:color w:val="000000"/>
        </w:rPr>
        <w:t>are</w:t>
      </w:r>
      <w:r w:rsidRPr="001F41CC">
        <w:rPr>
          <w:color w:val="000000"/>
        </w:rPr>
        <w:t xml:space="preserve"> “aggrieved” by the grant of the KAXT Application, they do not have standing to file an </w:t>
      </w:r>
      <w:r>
        <w:rPr>
          <w:color w:val="000000"/>
        </w:rPr>
        <w:t>a</w:t>
      </w:r>
      <w:r w:rsidRPr="001F41CC">
        <w:rPr>
          <w:color w:val="000000"/>
        </w:rPr>
        <w:t xml:space="preserve">pplication for </w:t>
      </w:r>
      <w:r>
        <w:rPr>
          <w:color w:val="000000"/>
        </w:rPr>
        <w:t>r</w:t>
      </w:r>
      <w:r w:rsidRPr="001F41CC">
        <w:rPr>
          <w:color w:val="000000"/>
        </w:rPr>
        <w:t>eview.  For th</w:t>
      </w:r>
      <w:r>
        <w:rPr>
          <w:color w:val="000000"/>
        </w:rPr>
        <w:t>e</w:t>
      </w:r>
      <w:r w:rsidRPr="001F41CC">
        <w:rPr>
          <w:color w:val="000000"/>
        </w:rPr>
        <w:t xml:space="preserve"> same reason</w:t>
      </w:r>
      <w:r>
        <w:rPr>
          <w:color w:val="000000"/>
        </w:rPr>
        <w:t>s</w:t>
      </w:r>
      <w:r w:rsidRPr="001F41CC">
        <w:rPr>
          <w:color w:val="000000"/>
        </w:rPr>
        <w:t xml:space="preserve">, we conclude that the Bureau </w:t>
      </w:r>
      <w:r w:rsidRPr="001F41CC">
        <w:rPr>
          <w:color w:val="000000"/>
          <w:shd w:val="clear" w:color="auto" w:fill="FFFFFF"/>
        </w:rPr>
        <w:t xml:space="preserve">properly treated the Kapurs’ self-styled </w:t>
      </w:r>
      <w:r>
        <w:rPr>
          <w:color w:val="000000"/>
          <w:shd w:val="clear" w:color="auto" w:fill="FFFFFF"/>
        </w:rPr>
        <w:t>“</w:t>
      </w:r>
      <w:r w:rsidRPr="001F41CC">
        <w:rPr>
          <w:color w:val="000000"/>
          <w:shd w:val="clear" w:color="auto" w:fill="FFFFFF"/>
        </w:rPr>
        <w:t>Petition to Deny</w:t>
      </w:r>
      <w:r>
        <w:rPr>
          <w:color w:val="000000"/>
          <w:shd w:val="clear" w:color="auto" w:fill="FFFFFF"/>
        </w:rPr>
        <w:t>”</w:t>
      </w:r>
      <w:r w:rsidRPr="001F41CC">
        <w:rPr>
          <w:color w:val="000000"/>
          <w:shd w:val="clear" w:color="auto" w:fill="FFFFFF"/>
        </w:rPr>
        <w:t xml:space="preserve"> as an informal objection.  </w:t>
      </w:r>
      <w:r>
        <w:rPr>
          <w:i/>
          <w:color w:val="000000"/>
        </w:rPr>
        <w:t>See C</w:t>
      </w:r>
      <w:r w:rsidRPr="001F41CC">
        <w:rPr>
          <w:i/>
          <w:color w:val="000000"/>
        </w:rPr>
        <w:t xml:space="preserve">ellco Partnership, </w:t>
      </w:r>
      <w:r w:rsidRPr="009B3E58">
        <w:rPr>
          <w:color w:val="000000"/>
        </w:rPr>
        <w:t>Memorandum Opinion and Order and Declaratory Ruling</w:t>
      </w:r>
      <w:r w:rsidRPr="001F41CC">
        <w:rPr>
          <w:color w:val="000000"/>
        </w:rPr>
        <w:t>, 27 FCC Rcd 10698, 10713, para. 36 (2012) (explaining that standing to file a Petition to Deny under Section 309(d)(1) requires a showing regarding the same factors as under Section 5(c)(4)</w:t>
      </w:r>
      <w:r w:rsidRPr="00BB03C3">
        <w:rPr>
          <w:color w:val="000000"/>
        </w:rPr>
        <w:t xml:space="preserve"> </w:t>
      </w:r>
      <w:r w:rsidRPr="00014377">
        <w:rPr>
          <w:color w:val="000000"/>
        </w:rPr>
        <w:t xml:space="preserve">to establish standing to file an </w:t>
      </w:r>
      <w:r>
        <w:rPr>
          <w:color w:val="000000"/>
        </w:rPr>
        <w:t>a</w:t>
      </w:r>
      <w:r w:rsidRPr="00014377">
        <w:rPr>
          <w:color w:val="000000"/>
        </w:rPr>
        <w:t xml:space="preserve">pplication for </w:t>
      </w:r>
      <w:r>
        <w:rPr>
          <w:color w:val="000000"/>
        </w:rPr>
        <w:t>r</w:t>
      </w:r>
      <w:r w:rsidRPr="00014377">
        <w:rPr>
          <w:color w:val="000000"/>
        </w:rPr>
        <w:t>eview</w:t>
      </w:r>
      <w:r w:rsidRPr="001F41CC">
        <w:rPr>
          <w:color w:val="000000"/>
        </w:rPr>
        <w:t xml:space="preserve">:  (1) injury; (2) a causal link between the challenged action and the claimed injury; and (3) showing that the injury </w:t>
      </w:r>
      <w:r w:rsidRPr="001F41CC">
        <w:rPr>
          <w:color w:val="000000"/>
          <w:shd w:val="clear" w:color="auto" w:fill="FFFFFF"/>
        </w:rPr>
        <w:t>can be traced to the challenged action and that the injury would be prevented or redressed by the relief requested).</w:t>
      </w:r>
      <w:r>
        <w:rPr>
          <w:color w:val="000000"/>
          <w:shd w:val="clear" w:color="auto" w:fill="FFFFFF"/>
        </w:rPr>
        <w:t xml:space="preserve"> </w:t>
      </w:r>
    </w:p>
  </w:footnote>
  <w:footnote w:id="18">
    <w:p w:rsidR="006235A7" w:rsidP="00856447" w14:paraId="774D4208" w14:textId="77777777">
      <w:pPr>
        <w:pStyle w:val="FootnoteText"/>
        <w:widowControl w:val="0"/>
        <w:spacing w:before="120"/>
      </w:pPr>
      <w:r>
        <w:rPr>
          <w:rStyle w:val="FootnoteReference"/>
        </w:rPr>
        <w:footnoteRef/>
      </w:r>
      <w:r>
        <w:t xml:space="preserve"> 47 U.S.C. § 155(c)(4); </w:t>
      </w:r>
      <w:r w:rsidRPr="006715C6">
        <w:rPr>
          <w:i/>
        </w:rPr>
        <w:t>accord</w:t>
      </w:r>
      <w:r>
        <w:t xml:space="preserve"> 47 CFR § 1.115(a) (“Any person aggrieved by any action taken pursuant to delegated authority may file an application requesting review of that action by the Commission. . . .  Any application for review which fails to make an adequate showing in this respect will be dismissed.”).</w:t>
      </w:r>
    </w:p>
  </w:footnote>
  <w:footnote w:id="19">
    <w:p w:rsidR="006235A7" w:rsidP="00856447" w14:paraId="7B0C60EC" w14:textId="062A3485">
      <w:pPr>
        <w:pStyle w:val="FootnoteText"/>
        <w:widowControl w:val="0"/>
      </w:pPr>
      <w:r>
        <w:rPr>
          <w:rStyle w:val="FootnoteReference"/>
        </w:rPr>
        <w:footnoteRef/>
      </w:r>
      <w:r>
        <w:t xml:space="preserve"> </w:t>
      </w:r>
      <w:r w:rsidRPr="00C85CF5">
        <w:rPr>
          <w:i/>
        </w:rPr>
        <w:t>K Licensee, Inc.</w:t>
      </w:r>
      <w:r>
        <w:t xml:space="preserve">, Memorandum Opinion and Order, 31 FCC Rcd 841, 842, para. 3 (2016); </w:t>
      </w:r>
      <w:r w:rsidRPr="003F0EEF">
        <w:rPr>
          <w:i/>
        </w:rPr>
        <w:t>accord</w:t>
      </w:r>
      <w:r>
        <w:t xml:space="preserve"> </w:t>
      </w:r>
      <w:r w:rsidRPr="004C5423">
        <w:rPr>
          <w:i/>
        </w:rPr>
        <w:t>New Jersey Public Broadcasting Authority Request to Cancel License for Translator DW276BX, Pompton Lakes, New Jersey</w:t>
      </w:r>
      <w:r>
        <w:t xml:space="preserve">, Memorandum Opinion and Order, 29 FCC Rcd 5558, 5558-59, paras. 2-3 (2014).  The Commission based this interpretation on the U.S. Supreme Court’s test for constitutional standing.  </w:t>
      </w:r>
      <w:r w:rsidRPr="003F0EEF">
        <w:rPr>
          <w:i/>
        </w:rPr>
        <w:t>E.g.</w:t>
      </w:r>
      <w:r>
        <w:t xml:space="preserve">, </w:t>
      </w:r>
      <w:r w:rsidRPr="003F0EEF">
        <w:rPr>
          <w:i/>
        </w:rPr>
        <w:t>K Licensee, Inc.</w:t>
      </w:r>
      <w:r>
        <w:t xml:space="preserve">, 31 FCC Rcd at 842, para. 3 n.8 (citing </w:t>
      </w:r>
      <w:r w:rsidRPr="003F0EEF">
        <w:rPr>
          <w:i/>
        </w:rPr>
        <w:t>Duke Power Co. v. Carolina Envtl. Study Grp., Inc.</w:t>
      </w:r>
      <w:r>
        <w:t>, 438 U.S. 59 (1978)).</w:t>
      </w:r>
    </w:p>
  </w:footnote>
  <w:footnote w:id="20">
    <w:p w:rsidR="006235A7" w:rsidP="005E6C3F" w14:paraId="24EF3C5D" w14:textId="77777777">
      <w:pPr>
        <w:pStyle w:val="FootnoteText"/>
      </w:pPr>
      <w:r>
        <w:rPr>
          <w:rStyle w:val="FootnoteReference"/>
        </w:rPr>
        <w:footnoteRef/>
      </w:r>
      <w:r>
        <w:t xml:space="preserve"> AFR at 4 n.8 (citing</w:t>
      </w:r>
      <w:r w:rsidRPr="00935C42">
        <w:rPr>
          <w:szCs w:val="22"/>
        </w:rPr>
        <w:t xml:space="preserve"> </w:t>
      </w:r>
      <w:r w:rsidRPr="00935C42">
        <w:rPr>
          <w:i/>
          <w:szCs w:val="22"/>
        </w:rPr>
        <w:t>Lujan v. Defenders of Wildlife</w:t>
      </w:r>
      <w:r w:rsidRPr="00935C42">
        <w:rPr>
          <w:szCs w:val="22"/>
        </w:rPr>
        <w:t>, 504 U.S. 555, 560 (1992)</w:t>
      </w:r>
      <w:r>
        <w:rPr>
          <w:szCs w:val="22"/>
        </w:rPr>
        <w:t xml:space="preserve"> (</w:t>
      </w:r>
      <w:r>
        <w:rPr>
          <w:i/>
          <w:szCs w:val="22"/>
        </w:rPr>
        <w:t>Lujan</w:t>
      </w:r>
      <w:r>
        <w:rPr>
          <w:szCs w:val="22"/>
        </w:rPr>
        <w:t>)).  The Kapurs do not contest that they did not claim standing under the traditional broadcast standards.</w:t>
      </w:r>
      <w:r w:rsidRPr="00FF0E58">
        <w:t xml:space="preserve"> </w:t>
      </w:r>
      <w:r>
        <w:t xml:space="preserve"> </w:t>
      </w:r>
      <w:r w:rsidRPr="008F1673">
        <w:t xml:space="preserve">In the broadcast regulatory context, standing is generally obtained in one of three ways:  (1) as a competitor in the market suffering signal interference; (2) as a competitor in the market suffering economic harm; or (3) as a resident of the station’s service area or regular listener of the station.  </w:t>
      </w:r>
      <w:r w:rsidRPr="008F1673">
        <w:rPr>
          <w:i/>
        </w:rPr>
        <w:t>See Chapin</w:t>
      </w:r>
      <w:r w:rsidRPr="008F1673">
        <w:t xml:space="preserve">, 29 FCC Rcd at 4252, para. 7; </w:t>
      </w:r>
      <w:r w:rsidRPr="008F1673">
        <w:rPr>
          <w:i/>
        </w:rPr>
        <w:t>Sunburst Louisiana, LLC</w:t>
      </w:r>
      <w:r w:rsidRPr="008F1673">
        <w:t>, Memorandum Opinion and Order, 29 FCC Rcd 9777, 9778-79, para. 5 (2014).</w:t>
      </w:r>
    </w:p>
  </w:footnote>
  <w:footnote w:id="21">
    <w:p w:rsidR="006235A7" w:rsidP="00147F4B" w14:paraId="08EB94BB" w14:textId="77777777">
      <w:pPr>
        <w:pStyle w:val="FootnoteText"/>
        <w:widowControl w:val="0"/>
      </w:pPr>
      <w:r>
        <w:rPr>
          <w:rStyle w:val="FootnoteReference"/>
        </w:rPr>
        <w:footnoteRef/>
      </w:r>
      <w:r>
        <w:t xml:space="preserve"> </w:t>
      </w:r>
      <w:r w:rsidRPr="005D5634">
        <w:t xml:space="preserve">The Kapurs claim that as </w:t>
      </w:r>
      <w:r>
        <w:t xml:space="preserve">the </w:t>
      </w:r>
      <w:r w:rsidRPr="005D5634">
        <w:t xml:space="preserve">“owners” of KAXT, LLC seeking reassignment of the KAXT-CD license to KAXT, LLC they have suffered an injury in the </w:t>
      </w:r>
      <w:r w:rsidRPr="00FF0E58">
        <w:rPr>
          <w:szCs w:val="22"/>
        </w:rPr>
        <w:t xml:space="preserve">prior assignment </w:t>
      </w:r>
      <w:r w:rsidRPr="005D5634">
        <w:rPr>
          <w:szCs w:val="22"/>
        </w:rPr>
        <w:t xml:space="preserve">and renewal proceedings </w:t>
      </w:r>
      <w:r w:rsidRPr="005D5634">
        <w:t xml:space="preserve">and in the present “inextricably linked” proceeding through </w:t>
      </w:r>
      <w:r>
        <w:t>“</w:t>
      </w:r>
      <w:r w:rsidRPr="005D5634">
        <w:t>the loss of KAXT-CD to OTA,</w:t>
      </w:r>
      <w:r>
        <w:t>”</w:t>
      </w:r>
      <w:r w:rsidRPr="005D5634">
        <w:t xml:space="preserve"> an injury that is “</w:t>
      </w:r>
      <w:r>
        <w:t xml:space="preserve">only </w:t>
      </w:r>
      <w:r w:rsidRPr="005D5634">
        <w:t>deepened” in this proceeding by the assignment of the same station license to TV</w:t>
      </w:r>
      <w:r>
        <w:t>-</w:t>
      </w:r>
      <w:r w:rsidRPr="005D5634">
        <w:t>49.</w:t>
      </w:r>
      <w:r>
        <w:t xml:space="preserve">  AFR at 4 &amp; n. 8 (citations omitted).</w:t>
      </w:r>
      <w:r w:rsidRPr="00CF0BCA">
        <w:rPr>
          <w:szCs w:val="22"/>
        </w:rPr>
        <w:t xml:space="preserve"> </w:t>
      </w:r>
      <w:r>
        <w:rPr>
          <w:szCs w:val="22"/>
        </w:rPr>
        <w:t xml:space="preserve"> </w:t>
      </w:r>
    </w:p>
  </w:footnote>
  <w:footnote w:id="22">
    <w:p w:rsidR="006235A7" w:rsidRPr="003E27BA" w:rsidP="00147F4B" w14:paraId="50B56E59" w14:textId="77777777">
      <w:pPr>
        <w:pStyle w:val="FootnoteText"/>
        <w:widowControl w:val="0"/>
      </w:pPr>
      <w:r>
        <w:rPr>
          <w:rStyle w:val="FootnoteReference"/>
        </w:rPr>
        <w:footnoteRef/>
      </w:r>
      <w:r>
        <w:t xml:space="preserve"> </w:t>
      </w:r>
      <w:r>
        <w:rPr>
          <w:i/>
        </w:rPr>
        <w:t>See</w:t>
      </w:r>
      <w:r>
        <w:t xml:space="preserve">, </w:t>
      </w:r>
      <w:r>
        <w:rPr>
          <w:i/>
        </w:rPr>
        <w:t>e.g.</w:t>
      </w:r>
      <w:r>
        <w:t xml:space="preserve">, </w:t>
      </w:r>
      <w:r w:rsidRPr="00A52B4E">
        <w:rPr>
          <w:i/>
        </w:rPr>
        <w:t xml:space="preserve">2014 </w:t>
      </w:r>
      <w:r>
        <w:rPr>
          <w:i/>
        </w:rPr>
        <w:t>MO&amp;O</w:t>
      </w:r>
      <w:r>
        <w:t xml:space="preserve">, 29 FCC Rcd at 8269 (citing an arbitrator’s declaration that the contract to sell KAXT to OTA was validly signed and enforceable, and a state court’s confirmation of that determination).  Despite numerous filings reporting protracted litigation and arbitration, the Kapurs have not filed with the Commission any record evidence of any court recognizing their ownership or control over KAXT, LLC.  Further, in their informal objection at issue here, the Kapurs claim only to hold an ownership interest in KAXT LLC—not unqualified ownership.  </w:t>
      </w:r>
      <w:r>
        <w:rPr>
          <w:i/>
        </w:rPr>
        <w:t>See</w:t>
      </w:r>
      <w:r>
        <w:t xml:space="preserve"> 2017 Objection at 2.</w:t>
      </w:r>
    </w:p>
  </w:footnote>
  <w:footnote w:id="23">
    <w:p w:rsidR="006235A7" w:rsidP="00147F4B" w14:paraId="5B5730CF" w14:textId="77777777">
      <w:pPr>
        <w:pStyle w:val="FootnoteText"/>
        <w:widowControl w:val="0"/>
      </w:pPr>
      <w:r>
        <w:rPr>
          <w:rStyle w:val="FootnoteReference"/>
        </w:rPr>
        <w:footnoteRef/>
      </w:r>
      <w:r>
        <w:t xml:space="preserve"> </w:t>
      </w:r>
      <w:r>
        <w:rPr>
          <w:i/>
        </w:rPr>
        <w:t>See</w:t>
      </w:r>
      <w:r>
        <w:t xml:space="preserve">, </w:t>
      </w:r>
      <w:r>
        <w:rPr>
          <w:i/>
        </w:rPr>
        <w:t>e.g.</w:t>
      </w:r>
      <w:r>
        <w:t xml:space="preserve">, </w:t>
      </w:r>
      <w:r>
        <w:rPr>
          <w:i/>
        </w:rPr>
        <w:t>Iacopi v. FCC</w:t>
      </w:r>
      <w:r>
        <w:t>, 451 F.2d 1142 (9</w:t>
      </w:r>
      <w:r w:rsidRPr="00705FBF">
        <w:t>th</w:t>
      </w:r>
      <w:r>
        <w:t xml:space="preserve"> Cir. 1971) (“We are unable to agree that the Commission’s order is responsible for the fact that Iacopi does not enjoy his minority shareholder status.  That Iacopi’s 19% interest is ‘locked-in’ with whoever holds the 81% interest does not seem to us to be an injury flowing from the Commission’s order. . . .  Thus we doubt that Iacopi, as a minority shareholder of TVS, has presented a ‘case or controversy’ within Article III of the Constitution.”); </w:t>
      </w:r>
      <w:r>
        <w:rPr>
          <w:i/>
        </w:rPr>
        <w:t>Lester and Alice Garrison</w:t>
      </w:r>
      <w:r>
        <w:t>, Memorandum Opinion and Order and Notice of Apparent Liability, 6 FCC 2d 270, 272, para. 6 (“Petitioner’s allegations as a stockholder of the licensee are patently speculative and conclusionary and do not show that a grant would cause direct and immediate economic injury to petitioner.”) (citations omitted).</w:t>
      </w:r>
    </w:p>
  </w:footnote>
  <w:footnote w:id="24">
    <w:p w:rsidR="006235A7" w:rsidRPr="00BF1637" w:rsidP="00147F4B" w14:paraId="3AF8654B" w14:textId="77777777">
      <w:pPr>
        <w:pStyle w:val="FootnoteText"/>
        <w:widowControl w:val="0"/>
      </w:pPr>
      <w:r>
        <w:rPr>
          <w:rStyle w:val="FootnoteReference"/>
        </w:rPr>
        <w:footnoteRef/>
      </w:r>
      <w:r>
        <w:t xml:space="preserve"> AFR at 1 n.1, 4, 4 n.8; </w:t>
      </w:r>
      <w:r>
        <w:rPr>
          <w:i/>
        </w:rPr>
        <w:t xml:space="preserve">see also </w:t>
      </w:r>
      <w:r w:rsidRPr="00BF1637">
        <w:rPr>
          <w:i/>
        </w:rPr>
        <w:t>id.</w:t>
      </w:r>
      <w:r>
        <w:t xml:space="preserve"> at 4 (</w:t>
      </w:r>
      <w:r w:rsidRPr="005D50A4">
        <w:rPr>
          <w:szCs w:val="22"/>
        </w:rPr>
        <w:t>“</w:t>
      </w:r>
      <w:r>
        <w:rPr>
          <w:szCs w:val="22"/>
        </w:rPr>
        <w:t>I</w:t>
      </w:r>
      <w:r w:rsidRPr="005D50A4">
        <w:rPr>
          <w:szCs w:val="22"/>
        </w:rPr>
        <w:t>t is difficult to perceive of parties with a greater or more direct ‘interest’ in a license assignment application than those who have been working for years to restore the subject station license to the entity in which they hold ownership interests.”</w:t>
      </w:r>
      <w:r>
        <w:t xml:space="preserve">).  It is worth noting that the controlling members of the entity in which the Kapurs are minority interest holders voluntarily sold the station to OTA and show no interest in being reinstated as the licensee.  </w:t>
      </w:r>
    </w:p>
  </w:footnote>
  <w:footnote w:id="25">
    <w:p w:rsidR="006235A7" w:rsidP="00147F4B" w14:paraId="6652BDE5" w14:textId="77777777">
      <w:pPr>
        <w:pStyle w:val="FootnoteText"/>
        <w:widowControl w:val="0"/>
      </w:pPr>
      <w:r>
        <w:rPr>
          <w:rStyle w:val="FootnoteReference"/>
        </w:rPr>
        <w:footnoteRef/>
      </w:r>
      <w:r>
        <w:t xml:space="preserve"> </w:t>
      </w:r>
      <w:r>
        <w:rPr>
          <w:i/>
        </w:rPr>
        <w:t>See, e.g.</w:t>
      </w:r>
      <w:r>
        <w:t xml:space="preserve">, </w:t>
      </w:r>
      <w:r>
        <w:rPr>
          <w:i/>
        </w:rPr>
        <w:t>Application of National Broadcast Co., Inc.</w:t>
      </w:r>
      <w:r>
        <w:t>, Memorandum Opinion and Order, 11 FCC Rcd 10779, 10780, para. 5 (1996) (“</w:t>
      </w:r>
      <w:r w:rsidRPr="00126144">
        <w:t>The pendency of an objection against a licensee does not confer standing on that objector to challenge another of the licensee</w:t>
      </w:r>
      <w:r>
        <w:t>’</w:t>
      </w:r>
      <w:r w:rsidRPr="00126144">
        <w:t>s applications.</w:t>
      </w:r>
      <w:r>
        <w:t>”).</w:t>
      </w:r>
    </w:p>
  </w:footnote>
  <w:footnote w:id="26">
    <w:p w:rsidR="006235A7" w:rsidRPr="00726BA6" w:rsidP="00147F4B" w14:paraId="0F4BD741" w14:textId="77777777">
      <w:pPr>
        <w:pStyle w:val="FootnoteText"/>
        <w:widowControl w:val="0"/>
      </w:pPr>
      <w:r>
        <w:rPr>
          <w:rStyle w:val="FootnoteReference"/>
        </w:rPr>
        <w:footnoteRef/>
      </w:r>
      <w:r>
        <w:t xml:space="preserve"> </w:t>
      </w:r>
      <w:r>
        <w:rPr>
          <w:i/>
        </w:rPr>
        <w:t xml:space="preserve">See, e.g., </w:t>
      </w:r>
      <w:r w:rsidRPr="00234761">
        <w:rPr>
          <w:i/>
          <w:iCs/>
        </w:rPr>
        <w:t>Application of Pinelands, Inc. (Transferor) and BHC Communications, Inc. (Transferee)</w:t>
      </w:r>
      <w:r w:rsidRPr="00C77F67">
        <w:rPr>
          <w:iCs/>
        </w:rPr>
        <w:t>, Memorandum Opinion and Order</w:t>
      </w:r>
      <w:r w:rsidRPr="00571DA7">
        <w:t>,</w:t>
      </w:r>
      <w:r w:rsidRPr="00DC5E8A">
        <w:t xml:space="preserve"> 7 FCC Rcd 6058, </w:t>
      </w:r>
      <w:r w:rsidRPr="00FA479F">
        <w:t>606</w:t>
      </w:r>
      <w:r>
        <w:t>2</w:t>
      </w:r>
      <w:r w:rsidRPr="00FA479F">
        <w:t xml:space="preserve">, para. </w:t>
      </w:r>
      <w:r>
        <w:t>14</w:t>
      </w:r>
      <w:r w:rsidRPr="00FA479F">
        <w:t xml:space="preserve"> (1992)</w:t>
      </w:r>
      <w:r>
        <w:t>.</w:t>
      </w:r>
    </w:p>
  </w:footnote>
  <w:footnote w:id="27">
    <w:p w:rsidR="006235A7" w:rsidRPr="00AA7447" w:rsidP="00147F4B" w14:paraId="6B8DA304" w14:textId="77777777">
      <w:pPr>
        <w:pStyle w:val="FootnoteText"/>
        <w:widowControl w:val="0"/>
      </w:pPr>
      <w:r w:rsidRPr="00E045C9">
        <w:rPr>
          <w:rStyle w:val="FootnoteReference"/>
        </w:rPr>
        <w:footnoteRef/>
      </w:r>
      <w:r w:rsidRPr="00E045C9">
        <w:t xml:space="preserve"> </w:t>
      </w:r>
      <w:r>
        <w:rPr>
          <w:i/>
          <w:iCs/>
        </w:rPr>
        <w:t>Id</w:t>
      </w:r>
      <w:r w:rsidRPr="00D02A26">
        <w:t>.</w:t>
      </w:r>
      <w:r>
        <w:rPr>
          <w:i/>
          <w:iCs/>
        </w:rPr>
        <w:t xml:space="preserve"> </w:t>
      </w:r>
      <w:r>
        <w:t xml:space="preserve">at 6063, para. 14.  </w:t>
      </w:r>
      <w:r w:rsidRPr="00074333">
        <w:rPr>
          <w:szCs w:val="22"/>
        </w:rPr>
        <w:t>Prior staff decisions have found unpersuasive the argument that it will be difficult for the parties to undo an additional assignment if a grant is eventually reversed,</w:t>
      </w:r>
      <w:r>
        <w:rPr>
          <w:szCs w:val="22"/>
        </w:rPr>
        <w:t xml:space="preserve"> </w:t>
      </w:r>
      <w:r w:rsidRPr="00074333">
        <w:rPr>
          <w:szCs w:val="22"/>
        </w:rPr>
        <w:t>and we make the same finding today.</w:t>
      </w:r>
      <w:r>
        <w:rPr>
          <w:szCs w:val="22"/>
        </w:rPr>
        <w:t xml:space="preserve">  </w:t>
      </w:r>
      <w:r>
        <w:rPr>
          <w:i/>
        </w:rPr>
        <w:t>See, e.g.</w:t>
      </w:r>
      <w:r w:rsidRPr="003C098E">
        <w:t>,</w:t>
      </w:r>
      <w:r>
        <w:rPr>
          <w:i/>
        </w:rPr>
        <w:t xml:space="preserve"> Casewell Capital Partners</w:t>
      </w:r>
      <w:r>
        <w:t>, Letter Order, 24 FCC Rcd 14335, 14338 (AD 2009) (“Thus, a grant is permissive, not mandatory.  When parties consummate after a grant is effective, but before it is ‘final,’ they proceed at their own peril, as the Commission or the courts may require the sale to be undone.”).</w:t>
      </w:r>
    </w:p>
  </w:footnote>
  <w:footnote w:id="28">
    <w:p w:rsidR="006235A7" w:rsidP="00147F4B" w14:paraId="33B3B874" w14:textId="77777777">
      <w:pPr>
        <w:pStyle w:val="FootnoteText"/>
        <w:widowControl w:val="0"/>
      </w:pPr>
      <w:r>
        <w:rPr>
          <w:rStyle w:val="FootnoteReference"/>
        </w:rPr>
        <w:footnoteRef/>
      </w:r>
      <w:r>
        <w:t xml:space="preserve"> We need not address whether the Kapurs have standing to </w:t>
      </w:r>
      <w:r w:rsidRPr="00074333">
        <w:rPr>
          <w:szCs w:val="22"/>
        </w:rPr>
        <w:t>challenge the prior assignment</w:t>
      </w:r>
      <w:r>
        <w:rPr>
          <w:szCs w:val="22"/>
        </w:rPr>
        <w:t>/renewal.</w:t>
      </w:r>
    </w:p>
  </w:footnote>
  <w:footnote w:id="29">
    <w:p w:rsidR="006235A7" w:rsidRPr="00BF1637" w:rsidP="00147F4B" w14:paraId="10B8187B" w14:textId="6814E36F">
      <w:pPr>
        <w:pStyle w:val="FootnoteText"/>
        <w:widowControl w:val="0"/>
      </w:pPr>
      <w:r>
        <w:rPr>
          <w:rStyle w:val="FootnoteReference"/>
        </w:rPr>
        <w:footnoteRef/>
      </w:r>
      <w:r>
        <w:t xml:space="preserve"> </w:t>
      </w:r>
      <w:r>
        <w:rPr>
          <w:i/>
        </w:rPr>
        <w:t xml:space="preserve">See supra </w:t>
      </w:r>
      <w:r>
        <w:t>note</w:t>
      </w:r>
      <w:r w:rsidR="0005200B">
        <w:t xml:space="preserve"> 22</w:t>
      </w:r>
      <w:r>
        <w:t xml:space="preserve">; </w:t>
      </w:r>
      <w:r>
        <w:rPr>
          <w:i/>
        </w:rPr>
        <w:t>see also</w:t>
      </w:r>
      <w:r>
        <w:t xml:space="preserve"> </w:t>
      </w:r>
      <w:r w:rsidRPr="00490366">
        <w:rPr>
          <w:i/>
        </w:rPr>
        <w:t>Entercom Sacramento License, LLC</w:t>
      </w:r>
      <w:r>
        <w:t>, Second Order on Reconsideration, 34 FCC Rcd 5435 (2019) (rejecting a standing claim premised on participation in a related proceeding).</w:t>
      </w:r>
    </w:p>
  </w:footnote>
  <w:footnote w:id="30">
    <w:p w:rsidR="006235A7" w:rsidP="00147F4B" w14:paraId="018FCE1A" w14:textId="77777777">
      <w:pPr>
        <w:pStyle w:val="FootnoteText"/>
        <w:widowControl w:val="0"/>
      </w:pPr>
      <w:r>
        <w:rPr>
          <w:rStyle w:val="FootnoteReference"/>
        </w:rPr>
        <w:footnoteRef/>
      </w:r>
      <w:r>
        <w:t xml:space="preserve"> AFR at 4 &amp; n. 8.</w:t>
      </w:r>
      <w:bookmarkStart w:id="10" w:name="_GoBack"/>
      <w:bookmarkEnd w:id="10"/>
    </w:p>
  </w:footnote>
  <w:footnote w:id="31">
    <w:p w:rsidR="006235A7" w:rsidRPr="009C588E" w:rsidP="00147F4B" w14:paraId="04E25D64" w14:textId="77777777">
      <w:pPr>
        <w:pStyle w:val="FootnoteText"/>
        <w:widowControl w:val="0"/>
      </w:pPr>
      <w:r w:rsidRPr="009C588E">
        <w:rPr>
          <w:rStyle w:val="FootnoteReference"/>
        </w:rPr>
        <w:footnoteRef/>
      </w:r>
      <w:r w:rsidRPr="009C588E">
        <w:t xml:space="preserve"> </w:t>
      </w:r>
      <w:r w:rsidRPr="009C588E">
        <w:rPr>
          <w:i/>
        </w:rPr>
        <w:t>See, e.g.</w:t>
      </w:r>
      <w:r w:rsidRPr="009C588E">
        <w:t xml:space="preserve">, </w:t>
      </w:r>
      <w:r w:rsidRPr="009C588E">
        <w:rPr>
          <w:i/>
          <w:iCs/>
        </w:rPr>
        <w:t>Rainbow/Push</w:t>
      </w:r>
      <w:r w:rsidRPr="009C588E">
        <w:t xml:space="preserve">, 330 F.3d at 543; </w:t>
      </w:r>
      <w:r w:rsidRPr="009C588E">
        <w:rPr>
          <w:i/>
          <w:iCs/>
        </w:rPr>
        <w:t>Pinelands</w:t>
      </w:r>
      <w:r w:rsidRPr="009C588E">
        <w:t>, 7 FCC Rcd at 6063, para. 18 &amp; n.20 (1992).</w:t>
      </w:r>
    </w:p>
  </w:footnote>
  <w:footnote w:id="32">
    <w:p w:rsidR="006235A7" w:rsidP="006235A7" w14:paraId="7B2583AB" w14:textId="77777777">
      <w:pPr>
        <w:spacing w:after="120"/>
      </w:pPr>
      <w:r w:rsidRPr="009C588E">
        <w:rPr>
          <w:rStyle w:val="FootnoteReference"/>
        </w:rPr>
        <w:footnoteRef/>
      </w:r>
      <w:r w:rsidRPr="009C588E">
        <w:rPr>
          <w:sz w:val="20"/>
        </w:rPr>
        <w:t xml:space="preserve"> The Commission is not obligated to mine pleadings in search of arguments that a petitioner </w:t>
      </w:r>
      <w:r w:rsidRPr="009C588E">
        <w:rPr>
          <w:i/>
          <w:sz w:val="20"/>
        </w:rPr>
        <w:t>might</w:t>
      </w:r>
      <w:r w:rsidRPr="009C588E">
        <w:rPr>
          <w:sz w:val="20"/>
        </w:rPr>
        <w:t xml:space="preserve"> have made.  </w:t>
      </w:r>
      <w:r w:rsidRPr="009C588E">
        <w:rPr>
          <w:i/>
          <w:sz w:val="20"/>
        </w:rPr>
        <w:t>See, e.g.</w:t>
      </w:r>
      <w:r w:rsidRPr="009C588E">
        <w:rPr>
          <w:sz w:val="20"/>
        </w:rPr>
        <w:t xml:space="preserve">, </w:t>
      </w:r>
      <w:r w:rsidRPr="009C588E">
        <w:rPr>
          <w:i/>
          <w:sz w:val="20"/>
        </w:rPr>
        <w:t>Entercom License, LLC</w:t>
      </w:r>
      <w:r w:rsidRPr="009C588E">
        <w:rPr>
          <w:sz w:val="20"/>
        </w:rPr>
        <w:t xml:space="preserve">, Memorandum Opinion and Order, 32 FCC Rcd 7149, 7151-52, para. 10 (2017); </w:t>
      </w:r>
      <w:hyperlink r:id="rId1" w:anchor="co_pp_sp_4637_130" w:history="1">
        <w:r w:rsidRPr="009C588E">
          <w:rPr>
            <w:i/>
            <w:sz w:val="20"/>
          </w:rPr>
          <w:t>Tindal v. McHugh</w:t>
        </w:r>
        <w:r w:rsidRPr="009C588E">
          <w:rPr>
            <w:sz w:val="20"/>
          </w:rPr>
          <w:t>, 945 F. Supp.2d 111, 130 (D.D.C. 2013)</w:t>
        </w:r>
      </w:hyperlink>
      <w:r w:rsidRPr="009C588E">
        <w:rPr>
          <w:sz w:val="20"/>
        </w:rPr>
        <w:t xml:space="preserve"> (holding that an agency is not required to anticipate and address any possible argument a party might have made); </w:t>
      </w:r>
      <w:hyperlink r:id="rId2" w:anchor="co_pp_sp_4493_7589" w:history="1">
        <w:r w:rsidRPr="009C588E">
          <w:rPr>
            <w:i/>
            <w:sz w:val="20"/>
          </w:rPr>
          <w:t>Tama Radio Licenses of Tampa Florida, Inc.</w:t>
        </w:r>
        <w:r w:rsidRPr="009C588E">
          <w:rPr>
            <w:sz w:val="20"/>
          </w:rPr>
          <w:t>, Memorandum Opinion and Order, 25 FCC Rcd 7588, 7589, para. 2 (2010)</w:t>
        </w:r>
      </w:hyperlink>
      <w:r w:rsidRPr="009C588E">
        <w:rPr>
          <w:sz w:val="20"/>
        </w:rPr>
        <w:t xml:space="preserve"> (“The Commission is not required to sift through an applicant’s prior pleadings to supply the reasoning that our rules require to be provided in the application for review.”).  </w:t>
      </w:r>
    </w:p>
  </w:footnote>
  <w:footnote w:id="33">
    <w:p w:rsidR="006235A7" w:rsidP="00147F4B" w14:paraId="69392140" w14:textId="77777777">
      <w:pPr>
        <w:pStyle w:val="FootnoteText"/>
        <w:widowControl w:val="0"/>
      </w:pPr>
      <w:r>
        <w:rPr>
          <w:rStyle w:val="FootnoteReference"/>
        </w:rPr>
        <w:footnoteRef/>
      </w:r>
      <w:r>
        <w:t xml:space="preserve"> AFR at 4 &amp; n. 8.</w:t>
      </w:r>
    </w:p>
  </w:footnote>
  <w:footnote w:id="34">
    <w:p w:rsidR="006235A7" w:rsidP="006235A7" w14:paraId="4FBD8504" w14:textId="77777777">
      <w:pPr>
        <w:shd w:val="clear" w:color="auto" w:fill="FFFFFF"/>
        <w:spacing w:after="120"/>
      </w:pPr>
      <w:r w:rsidRPr="00610F2E">
        <w:rPr>
          <w:rStyle w:val="FootnoteReference"/>
        </w:rPr>
        <w:footnoteRef/>
      </w:r>
      <w:r w:rsidRPr="00610F2E">
        <w:rPr>
          <w:sz w:val="20"/>
        </w:rPr>
        <w:t xml:space="preserve"> </w:t>
      </w:r>
      <w:r w:rsidRPr="00610F2E">
        <w:rPr>
          <w:i/>
          <w:iCs/>
          <w:color w:val="000000"/>
          <w:sz w:val="20"/>
        </w:rPr>
        <w:t>See Entercom Sacramento License, LLC</w:t>
      </w:r>
      <w:r w:rsidRPr="00610F2E">
        <w:rPr>
          <w:color w:val="000000"/>
          <w:sz w:val="20"/>
        </w:rPr>
        <w:t xml:space="preserve">, Memorandum Opinion and Order, 33 FCC Rcd 6615, 6618, n.27 (2018) (no standing to challenge renewal application because </w:t>
      </w:r>
      <w:r w:rsidRPr="00610F2E">
        <w:rPr>
          <w:sz w:val="20"/>
        </w:rPr>
        <w:t>claim rested on “an indirect and speculative connection between the claimed injury and the requested relief”; even if the license at issue were revoked or not renewed, objector offered no legal theory or precedent for why license would be returned to him),</w:t>
      </w:r>
      <w:r w:rsidRPr="00610F2E">
        <w:rPr>
          <w:color w:val="000000"/>
          <w:sz w:val="20"/>
        </w:rPr>
        <w:t xml:space="preserve"> </w:t>
      </w:r>
      <w:r w:rsidRPr="00610F2E">
        <w:rPr>
          <w:i/>
          <w:iCs/>
          <w:color w:val="000000"/>
          <w:sz w:val="20"/>
        </w:rPr>
        <w:t>recon. dismissed</w:t>
      </w:r>
      <w:r w:rsidRPr="00610F2E">
        <w:rPr>
          <w:color w:val="000000"/>
          <w:sz w:val="20"/>
        </w:rPr>
        <w:t xml:space="preserve">, </w:t>
      </w:r>
      <w:r>
        <w:rPr>
          <w:color w:val="000000"/>
          <w:sz w:val="20"/>
        </w:rPr>
        <w:t xml:space="preserve">Order on Reconsideration, </w:t>
      </w:r>
      <w:r w:rsidRPr="00610F2E">
        <w:rPr>
          <w:color w:val="000000"/>
          <w:sz w:val="20"/>
        </w:rPr>
        <w:t xml:space="preserve">33 FCC Rcd 10704 (2018), </w:t>
      </w:r>
      <w:r w:rsidRPr="00610F2E">
        <w:rPr>
          <w:i/>
          <w:iCs/>
          <w:color w:val="000000"/>
          <w:sz w:val="20"/>
        </w:rPr>
        <w:t>further recon. dismissed</w:t>
      </w:r>
      <w:r w:rsidRPr="00610F2E">
        <w:rPr>
          <w:color w:val="000000"/>
          <w:sz w:val="20"/>
        </w:rPr>
        <w:t>,</w:t>
      </w:r>
      <w:r w:rsidRPr="00610F2E">
        <w:rPr>
          <w:sz w:val="20"/>
        </w:rPr>
        <w:t xml:space="preserve"> </w:t>
      </w:r>
      <w:r>
        <w:rPr>
          <w:sz w:val="20"/>
        </w:rPr>
        <w:t>Second Order on Reconsideration, 34 FCC Rcd 5435</w:t>
      </w:r>
      <w:r w:rsidRPr="00610F2E">
        <w:rPr>
          <w:sz w:val="20"/>
        </w:rPr>
        <w:t xml:space="preserve"> (2019).  </w:t>
      </w:r>
    </w:p>
  </w:footnote>
  <w:footnote w:id="35">
    <w:p w:rsidR="006235A7" w:rsidRPr="005816FC" w:rsidP="00147F4B" w14:paraId="34A4D274" w14:textId="77777777">
      <w:pPr>
        <w:pStyle w:val="FootnoteText"/>
        <w:widowControl w:val="0"/>
      </w:pPr>
      <w:r>
        <w:rPr>
          <w:rStyle w:val="FootnoteReference"/>
        </w:rPr>
        <w:footnoteRef/>
      </w:r>
      <w:r>
        <w:t xml:space="preserve"> We have addressed OTA’s request for sanctions in the separate item released today.  </w:t>
      </w:r>
      <w:r>
        <w:rPr>
          <w:i/>
        </w:rPr>
        <w:t xml:space="preserve">See supra </w:t>
      </w:r>
      <w:r>
        <w:t xml:space="preserve">note </w:t>
      </w:r>
      <w:r>
        <w:fldChar w:fldCharType="begin"/>
      </w:r>
      <w:r>
        <w:instrText xml:space="preserve"> NOTEREF _Ref14421093 \h </w:instrText>
      </w:r>
      <w:r>
        <w:fldChar w:fldCharType="separate"/>
      </w:r>
      <w:r>
        <w:t>5</w:t>
      </w:r>
      <w:r>
        <w:fldChar w:fldCharType="end"/>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F63EF1" w14:textId="6C0DFCCC">
    <w:pPr>
      <w:pStyle w:val="Header"/>
      <w:rPr>
        <w:b w:val="0"/>
      </w:rPr>
    </w:pPr>
    <w:r>
      <w:tab/>
      <w:t>Federal Communications Commission</w:t>
    </w:r>
    <w:r>
      <w:tab/>
    </w:r>
    <w:r w:rsidR="006235A7">
      <w:t>FCC 20-1</w:t>
    </w:r>
  </w:p>
  <w:p w:rsidR="00D25FB5" w14:paraId="7ED96DBA" w14:textId="1B8C43AF">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653720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6F1905" w14:textId="76F3F60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235A7">
      <w:rPr>
        <w:spacing w:val="-2"/>
      </w:rPr>
      <w:t>FCC 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572F17"/>
    <w:multiLevelType w:val="hybridMultilevel"/>
    <w:tmpl w:val="FB023E02"/>
    <w:lvl w:ilvl="0">
      <w:start w:val="1"/>
      <w:numFmt w:val="decimal"/>
      <w:lvlText w:val="%1."/>
      <w:lvlJc w:val="left"/>
      <w:pPr>
        <w:ind w:left="1620" w:hanging="720"/>
      </w:pPr>
      <w:rPr>
        <w:rFonts w:hint="default"/>
        <w:i w:val="0"/>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C984389"/>
    <w:multiLevelType w:val="hybridMultilevel"/>
    <w:tmpl w:val="52E8F268"/>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A7"/>
    <w:rsid w:val="00002519"/>
    <w:rsid w:val="00002A74"/>
    <w:rsid w:val="00006207"/>
    <w:rsid w:val="000072A5"/>
    <w:rsid w:val="00012AD3"/>
    <w:rsid w:val="00014377"/>
    <w:rsid w:val="00021E3D"/>
    <w:rsid w:val="00023AB8"/>
    <w:rsid w:val="00032EC9"/>
    <w:rsid w:val="00036039"/>
    <w:rsid w:val="00036E11"/>
    <w:rsid w:val="00037F90"/>
    <w:rsid w:val="00041B69"/>
    <w:rsid w:val="00042689"/>
    <w:rsid w:val="00044CBD"/>
    <w:rsid w:val="00044D48"/>
    <w:rsid w:val="00044EC4"/>
    <w:rsid w:val="0005200B"/>
    <w:rsid w:val="00052DD0"/>
    <w:rsid w:val="00063497"/>
    <w:rsid w:val="00065A1F"/>
    <w:rsid w:val="00067E4A"/>
    <w:rsid w:val="00071E38"/>
    <w:rsid w:val="00074333"/>
    <w:rsid w:val="00082D26"/>
    <w:rsid w:val="00084F7C"/>
    <w:rsid w:val="00086B88"/>
    <w:rsid w:val="000875BF"/>
    <w:rsid w:val="00092873"/>
    <w:rsid w:val="000939FA"/>
    <w:rsid w:val="000945B4"/>
    <w:rsid w:val="00096D8C"/>
    <w:rsid w:val="000B241F"/>
    <w:rsid w:val="000B58CA"/>
    <w:rsid w:val="000C0B65"/>
    <w:rsid w:val="000C7E22"/>
    <w:rsid w:val="000D0FB8"/>
    <w:rsid w:val="000D3EF4"/>
    <w:rsid w:val="000E05FE"/>
    <w:rsid w:val="000E0B7F"/>
    <w:rsid w:val="000E3D42"/>
    <w:rsid w:val="000E3DF2"/>
    <w:rsid w:val="000E795C"/>
    <w:rsid w:val="000F27EC"/>
    <w:rsid w:val="00110950"/>
    <w:rsid w:val="00122BD5"/>
    <w:rsid w:val="00126144"/>
    <w:rsid w:val="00130214"/>
    <w:rsid w:val="0013085E"/>
    <w:rsid w:val="00131031"/>
    <w:rsid w:val="00133510"/>
    <w:rsid w:val="00133F79"/>
    <w:rsid w:val="00134509"/>
    <w:rsid w:val="00136A62"/>
    <w:rsid w:val="00141E01"/>
    <w:rsid w:val="00146A4F"/>
    <w:rsid w:val="00147F4B"/>
    <w:rsid w:val="00151CF3"/>
    <w:rsid w:val="0015517F"/>
    <w:rsid w:val="001605B1"/>
    <w:rsid w:val="0016780D"/>
    <w:rsid w:val="0017245E"/>
    <w:rsid w:val="00186024"/>
    <w:rsid w:val="00194A66"/>
    <w:rsid w:val="001B20F6"/>
    <w:rsid w:val="001B33D6"/>
    <w:rsid w:val="001C0491"/>
    <w:rsid w:val="001C2BC2"/>
    <w:rsid w:val="001C32B8"/>
    <w:rsid w:val="001C44FD"/>
    <w:rsid w:val="001C73F4"/>
    <w:rsid w:val="001C7573"/>
    <w:rsid w:val="001D6BCF"/>
    <w:rsid w:val="001D70E5"/>
    <w:rsid w:val="001E01CA"/>
    <w:rsid w:val="001E0CA8"/>
    <w:rsid w:val="001E4BFD"/>
    <w:rsid w:val="001F41CC"/>
    <w:rsid w:val="001F60A3"/>
    <w:rsid w:val="00200919"/>
    <w:rsid w:val="00200AEF"/>
    <w:rsid w:val="002014FC"/>
    <w:rsid w:val="00205BCF"/>
    <w:rsid w:val="00212E9F"/>
    <w:rsid w:val="00214E28"/>
    <w:rsid w:val="00216168"/>
    <w:rsid w:val="00217126"/>
    <w:rsid w:val="00225F7A"/>
    <w:rsid w:val="00227840"/>
    <w:rsid w:val="00227D44"/>
    <w:rsid w:val="00234761"/>
    <w:rsid w:val="002351CA"/>
    <w:rsid w:val="002361E9"/>
    <w:rsid w:val="00240185"/>
    <w:rsid w:val="00240F1C"/>
    <w:rsid w:val="00243018"/>
    <w:rsid w:val="00243C86"/>
    <w:rsid w:val="002515A2"/>
    <w:rsid w:val="002543C9"/>
    <w:rsid w:val="00255402"/>
    <w:rsid w:val="00256711"/>
    <w:rsid w:val="00270F2A"/>
    <w:rsid w:val="002721AD"/>
    <w:rsid w:val="00272F74"/>
    <w:rsid w:val="00275CF5"/>
    <w:rsid w:val="002777BC"/>
    <w:rsid w:val="0028049E"/>
    <w:rsid w:val="00281F17"/>
    <w:rsid w:val="0028301F"/>
    <w:rsid w:val="00285017"/>
    <w:rsid w:val="002877FA"/>
    <w:rsid w:val="00295D8C"/>
    <w:rsid w:val="00295EDF"/>
    <w:rsid w:val="002A2D2E"/>
    <w:rsid w:val="002A3A58"/>
    <w:rsid w:val="002A6C8D"/>
    <w:rsid w:val="002B7663"/>
    <w:rsid w:val="002C00E8"/>
    <w:rsid w:val="002C7951"/>
    <w:rsid w:val="002E4B1D"/>
    <w:rsid w:val="002E5583"/>
    <w:rsid w:val="002F07E7"/>
    <w:rsid w:val="002F387E"/>
    <w:rsid w:val="002F74EF"/>
    <w:rsid w:val="002F7D19"/>
    <w:rsid w:val="003073A1"/>
    <w:rsid w:val="003110AF"/>
    <w:rsid w:val="003116FA"/>
    <w:rsid w:val="00312CC5"/>
    <w:rsid w:val="00314650"/>
    <w:rsid w:val="00317616"/>
    <w:rsid w:val="00325809"/>
    <w:rsid w:val="00327B4C"/>
    <w:rsid w:val="00332049"/>
    <w:rsid w:val="0034198D"/>
    <w:rsid w:val="003424E1"/>
    <w:rsid w:val="00342EE5"/>
    <w:rsid w:val="003431A5"/>
    <w:rsid w:val="00343749"/>
    <w:rsid w:val="00345879"/>
    <w:rsid w:val="00345D22"/>
    <w:rsid w:val="00345D32"/>
    <w:rsid w:val="00350DA9"/>
    <w:rsid w:val="0035116D"/>
    <w:rsid w:val="00365E08"/>
    <w:rsid w:val="003660ED"/>
    <w:rsid w:val="00376246"/>
    <w:rsid w:val="00381920"/>
    <w:rsid w:val="0039234D"/>
    <w:rsid w:val="0039293B"/>
    <w:rsid w:val="00396888"/>
    <w:rsid w:val="00397BE5"/>
    <w:rsid w:val="003A5C32"/>
    <w:rsid w:val="003B0550"/>
    <w:rsid w:val="003B0DA3"/>
    <w:rsid w:val="003B1F28"/>
    <w:rsid w:val="003B4409"/>
    <w:rsid w:val="003B6307"/>
    <w:rsid w:val="003B694F"/>
    <w:rsid w:val="003C098E"/>
    <w:rsid w:val="003C1132"/>
    <w:rsid w:val="003C3AEF"/>
    <w:rsid w:val="003C4B7D"/>
    <w:rsid w:val="003D01DD"/>
    <w:rsid w:val="003E0EEE"/>
    <w:rsid w:val="003E27BA"/>
    <w:rsid w:val="003E3D73"/>
    <w:rsid w:val="003E558F"/>
    <w:rsid w:val="003E5D91"/>
    <w:rsid w:val="003E6AA8"/>
    <w:rsid w:val="003E797F"/>
    <w:rsid w:val="003F0EEF"/>
    <w:rsid w:val="003F171C"/>
    <w:rsid w:val="003F2C04"/>
    <w:rsid w:val="00405442"/>
    <w:rsid w:val="004068F0"/>
    <w:rsid w:val="0040772D"/>
    <w:rsid w:val="00410BD1"/>
    <w:rsid w:val="00411CB6"/>
    <w:rsid w:val="00412CFE"/>
    <w:rsid w:val="00412FC5"/>
    <w:rsid w:val="00413425"/>
    <w:rsid w:val="00421203"/>
    <w:rsid w:val="00421D22"/>
    <w:rsid w:val="00422276"/>
    <w:rsid w:val="00422748"/>
    <w:rsid w:val="004242F1"/>
    <w:rsid w:val="004335A1"/>
    <w:rsid w:val="00433C7B"/>
    <w:rsid w:val="00434390"/>
    <w:rsid w:val="00440BA9"/>
    <w:rsid w:val="00440D29"/>
    <w:rsid w:val="0044550F"/>
    <w:rsid w:val="00445A00"/>
    <w:rsid w:val="00445DEF"/>
    <w:rsid w:val="00451B0F"/>
    <w:rsid w:val="00453751"/>
    <w:rsid w:val="00460ED4"/>
    <w:rsid w:val="004643EF"/>
    <w:rsid w:val="00470ACB"/>
    <w:rsid w:val="004717C6"/>
    <w:rsid w:val="00471F0E"/>
    <w:rsid w:val="00485410"/>
    <w:rsid w:val="00490366"/>
    <w:rsid w:val="00495718"/>
    <w:rsid w:val="00497DBA"/>
    <w:rsid w:val="004A1C8A"/>
    <w:rsid w:val="004A6B8F"/>
    <w:rsid w:val="004B3924"/>
    <w:rsid w:val="004C1E42"/>
    <w:rsid w:val="004C2EE3"/>
    <w:rsid w:val="004C5423"/>
    <w:rsid w:val="004D2C66"/>
    <w:rsid w:val="004E1175"/>
    <w:rsid w:val="004E1C4C"/>
    <w:rsid w:val="004E4792"/>
    <w:rsid w:val="004E4A22"/>
    <w:rsid w:val="004F2719"/>
    <w:rsid w:val="004F2896"/>
    <w:rsid w:val="004F3E3C"/>
    <w:rsid w:val="004F5CE0"/>
    <w:rsid w:val="00504344"/>
    <w:rsid w:val="00505ABB"/>
    <w:rsid w:val="00505C87"/>
    <w:rsid w:val="00511968"/>
    <w:rsid w:val="00516419"/>
    <w:rsid w:val="0052519A"/>
    <w:rsid w:val="005326FE"/>
    <w:rsid w:val="00533372"/>
    <w:rsid w:val="00545C89"/>
    <w:rsid w:val="00545ECC"/>
    <w:rsid w:val="0054793E"/>
    <w:rsid w:val="00550730"/>
    <w:rsid w:val="0055614C"/>
    <w:rsid w:val="0056358F"/>
    <w:rsid w:val="00565BAE"/>
    <w:rsid w:val="00566D06"/>
    <w:rsid w:val="00571DA7"/>
    <w:rsid w:val="00573371"/>
    <w:rsid w:val="005760AF"/>
    <w:rsid w:val="00577E27"/>
    <w:rsid w:val="005813E2"/>
    <w:rsid w:val="005816EB"/>
    <w:rsid w:val="005816FC"/>
    <w:rsid w:val="00581B54"/>
    <w:rsid w:val="00582623"/>
    <w:rsid w:val="00583B10"/>
    <w:rsid w:val="00583B8F"/>
    <w:rsid w:val="00595074"/>
    <w:rsid w:val="005A5264"/>
    <w:rsid w:val="005A53F6"/>
    <w:rsid w:val="005A5AC1"/>
    <w:rsid w:val="005A5F37"/>
    <w:rsid w:val="005B724C"/>
    <w:rsid w:val="005C12FD"/>
    <w:rsid w:val="005C1BC5"/>
    <w:rsid w:val="005C38A3"/>
    <w:rsid w:val="005C5508"/>
    <w:rsid w:val="005D50A4"/>
    <w:rsid w:val="005D5634"/>
    <w:rsid w:val="005D61E6"/>
    <w:rsid w:val="005D7106"/>
    <w:rsid w:val="005E04FC"/>
    <w:rsid w:val="005E14C2"/>
    <w:rsid w:val="005E6C3F"/>
    <w:rsid w:val="00604C37"/>
    <w:rsid w:val="0060507B"/>
    <w:rsid w:val="00607BA5"/>
    <w:rsid w:val="00610C64"/>
    <w:rsid w:val="00610F2E"/>
    <w:rsid w:val="0061180A"/>
    <w:rsid w:val="00612530"/>
    <w:rsid w:val="006235A7"/>
    <w:rsid w:val="006242E8"/>
    <w:rsid w:val="0062455A"/>
    <w:rsid w:val="00626EB6"/>
    <w:rsid w:val="00627BE6"/>
    <w:rsid w:val="006430FA"/>
    <w:rsid w:val="00652115"/>
    <w:rsid w:val="00655799"/>
    <w:rsid w:val="00655D03"/>
    <w:rsid w:val="006715C6"/>
    <w:rsid w:val="00671BF6"/>
    <w:rsid w:val="00676FD1"/>
    <w:rsid w:val="006808E9"/>
    <w:rsid w:val="00683388"/>
    <w:rsid w:val="00683F84"/>
    <w:rsid w:val="00684116"/>
    <w:rsid w:val="00686794"/>
    <w:rsid w:val="00686B29"/>
    <w:rsid w:val="00687205"/>
    <w:rsid w:val="006877D2"/>
    <w:rsid w:val="00691865"/>
    <w:rsid w:val="006926DC"/>
    <w:rsid w:val="00696963"/>
    <w:rsid w:val="00696E38"/>
    <w:rsid w:val="006A110C"/>
    <w:rsid w:val="006A1220"/>
    <w:rsid w:val="006A6A81"/>
    <w:rsid w:val="006B4348"/>
    <w:rsid w:val="006C0A9E"/>
    <w:rsid w:val="006C7CE1"/>
    <w:rsid w:val="006C7DE1"/>
    <w:rsid w:val="006D0DB0"/>
    <w:rsid w:val="006D2605"/>
    <w:rsid w:val="006D2B5B"/>
    <w:rsid w:val="006D470F"/>
    <w:rsid w:val="006D7C5D"/>
    <w:rsid w:val="006E0448"/>
    <w:rsid w:val="006F049F"/>
    <w:rsid w:val="006F3816"/>
    <w:rsid w:val="006F5D21"/>
    <w:rsid w:val="006F7393"/>
    <w:rsid w:val="007002A5"/>
    <w:rsid w:val="0070224F"/>
    <w:rsid w:val="00704B97"/>
    <w:rsid w:val="00705FBF"/>
    <w:rsid w:val="00707CBE"/>
    <w:rsid w:val="007115F7"/>
    <w:rsid w:val="00713028"/>
    <w:rsid w:val="007166D7"/>
    <w:rsid w:val="00716B1D"/>
    <w:rsid w:val="007232D8"/>
    <w:rsid w:val="00726BA6"/>
    <w:rsid w:val="00727A2F"/>
    <w:rsid w:val="00732340"/>
    <w:rsid w:val="00734C25"/>
    <w:rsid w:val="00746BF7"/>
    <w:rsid w:val="00746E5E"/>
    <w:rsid w:val="00753B07"/>
    <w:rsid w:val="00753CD5"/>
    <w:rsid w:val="00755972"/>
    <w:rsid w:val="00762F0B"/>
    <w:rsid w:val="00763D6E"/>
    <w:rsid w:val="00765F22"/>
    <w:rsid w:val="007713BD"/>
    <w:rsid w:val="007738D2"/>
    <w:rsid w:val="00773A32"/>
    <w:rsid w:val="00781A69"/>
    <w:rsid w:val="00785689"/>
    <w:rsid w:val="00792032"/>
    <w:rsid w:val="0079754B"/>
    <w:rsid w:val="0079767E"/>
    <w:rsid w:val="007A1E6D"/>
    <w:rsid w:val="007A3F4C"/>
    <w:rsid w:val="007B0E95"/>
    <w:rsid w:val="007B0EB2"/>
    <w:rsid w:val="007B121F"/>
    <w:rsid w:val="007B28D2"/>
    <w:rsid w:val="007B5D7B"/>
    <w:rsid w:val="007C11F5"/>
    <w:rsid w:val="007C180D"/>
    <w:rsid w:val="007C6D33"/>
    <w:rsid w:val="007D0F74"/>
    <w:rsid w:val="007D2F3F"/>
    <w:rsid w:val="007D6967"/>
    <w:rsid w:val="007E1219"/>
    <w:rsid w:val="007E2599"/>
    <w:rsid w:val="007E3AC1"/>
    <w:rsid w:val="007E40AA"/>
    <w:rsid w:val="007F5D29"/>
    <w:rsid w:val="008001B4"/>
    <w:rsid w:val="008100FF"/>
    <w:rsid w:val="00810B6F"/>
    <w:rsid w:val="00810BB5"/>
    <w:rsid w:val="008225B4"/>
    <w:rsid w:val="00822CE0"/>
    <w:rsid w:val="00823510"/>
    <w:rsid w:val="00826018"/>
    <w:rsid w:val="00830E7A"/>
    <w:rsid w:val="0083239C"/>
    <w:rsid w:val="00832B29"/>
    <w:rsid w:val="00835222"/>
    <w:rsid w:val="0083745D"/>
    <w:rsid w:val="00841AB1"/>
    <w:rsid w:val="00844099"/>
    <w:rsid w:val="00845A01"/>
    <w:rsid w:val="00856157"/>
    <w:rsid w:val="00856447"/>
    <w:rsid w:val="00857124"/>
    <w:rsid w:val="0086161D"/>
    <w:rsid w:val="00862758"/>
    <w:rsid w:val="0087007C"/>
    <w:rsid w:val="00870AE9"/>
    <w:rsid w:val="00870FE8"/>
    <w:rsid w:val="008764E3"/>
    <w:rsid w:val="00886135"/>
    <w:rsid w:val="00896952"/>
    <w:rsid w:val="008A082A"/>
    <w:rsid w:val="008A18DF"/>
    <w:rsid w:val="008A2EFC"/>
    <w:rsid w:val="008A360A"/>
    <w:rsid w:val="008A44E5"/>
    <w:rsid w:val="008A546E"/>
    <w:rsid w:val="008A5D9E"/>
    <w:rsid w:val="008A7F7F"/>
    <w:rsid w:val="008B162C"/>
    <w:rsid w:val="008B1CAD"/>
    <w:rsid w:val="008B5BD7"/>
    <w:rsid w:val="008C144D"/>
    <w:rsid w:val="008C16F1"/>
    <w:rsid w:val="008C6369"/>
    <w:rsid w:val="008C68F1"/>
    <w:rsid w:val="008D46F0"/>
    <w:rsid w:val="008E025B"/>
    <w:rsid w:val="008E210D"/>
    <w:rsid w:val="008E37A6"/>
    <w:rsid w:val="008E3A96"/>
    <w:rsid w:val="008E41F4"/>
    <w:rsid w:val="008F00BF"/>
    <w:rsid w:val="008F1673"/>
    <w:rsid w:val="008F43D9"/>
    <w:rsid w:val="008F664F"/>
    <w:rsid w:val="00901474"/>
    <w:rsid w:val="0091305B"/>
    <w:rsid w:val="009138E0"/>
    <w:rsid w:val="00915DEF"/>
    <w:rsid w:val="0091600C"/>
    <w:rsid w:val="00920331"/>
    <w:rsid w:val="00921803"/>
    <w:rsid w:val="00926503"/>
    <w:rsid w:val="009268F0"/>
    <w:rsid w:val="00930A71"/>
    <w:rsid w:val="00930C80"/>
    <w:rsid w:val="00931218"/>
    <w:rsid w:val="009326C4"/>
    <w:rsid w:val="00933A80"/>
    <w:rsid w:val="00935C42"/>
    <w:rsid w:val="0093759A"/>
    <w:rsid w:val="00941B6D"/>
    <w:rsid w:val="00942190"/>
    <w:rsid w:val="0094255B"/>
    <w:rsid w:val="00943429"/>
    <w:rsid w:val="009468B3"/>
    <w:rsid w:val="00946D39"/>
    <w:rsid w:val="00953F79"/>
    <w:rsid w:val="00962626"/>
    <w:rsid w:val="0097097A"/>
    <w:rsid w:val="009726D8"/>
    <w:rsid w:val="00981A4C"/>
    <w:rsid w:val="00983EDE"/>
    <w:rsid w:val="009851D9"/>
    <w:rsid w:val="00991D78"/>
    <w:rsid w:val="009924BB"/>
    <w:rsid w:val="00993F71"/>
    <w:rsid w:val="009A55AA"/>
    <w:rsid w:val="009B10E1"/>
    <w:rsid w:val="009B38C8"/>
    <w:rsid w:val="009B3E58"/>
    <w:rsid w:val="009B5CFC"/>
    <w:rsid w:val="009B6DA5"/>
    <w:rsid w:val="009B7BE9"/>
    <w:rsid w:val="009C2D16"/>
    <w:rsid w:val="009C588E"/>
    <w:rsid w:val="009C5D1D"/>
    <w:rsid w:val="009D0948"/>
    <w:rsid w:val="009D0BB1"/>
    <w:rsid w:val="009D3C92"/>
    <w:rsid w:val="009D7308"/>
    <w:rsid w:val="009E05A2"/>
    <w:rsid w:val="009F76DB"/>
    <w:rsid w:val="00A03044"/>
    <w:rsid w:val="00A04526"/>
    <w:rsid w:val="00A06D50"/>
    <w:rsid w:val="00A07FD6"/>
    <w:rsid w:val="00A10DC6"/>
    <w:rsid w:val="00A11013"/>
    <w:rsid w:val="00A14808"/>
    <w:rsid w:val="00A22E41"/>
    <w:rsid w:val="00A27206"/>
    <w:rsid w:val="00A30FD1"/>
    <w:rsid w:val="00A31CDC"/>
    <w:rsid w:val="00A32C3B"/>
    <w:rsid w:val="00A35001"/>
    <w:rsid w:val="00A352DE"/>
    <w:rsid w:val="00A413AB"/>
    <w:rsid w:val="00A429BC"/>
    <w:rsid w:val="00A44D90"/>
    <w:rsid w:val="00A45F4F"/>
    <w:rsid w:val="00A512D3"/>
    <w:rsid w:val="00A525C0"/>
    <w:rsid w:val="00A52B4E"/>
    <w:rsid w:val="00A56ED4"/>
    <w:rsid w:val="00A600A9"/>
    <w:rsid w:val="00A63641"/>
    <w:rsid w:val="00A703B8"/>
    <w:rsid w:val="00A7139F"/>
    <w:rsid w:val="00A765DE"/>
    <w:rsid w:val="00A7746C"/>
    <w:rsid w:val="00A808E5"/>
    <w:rsid w:val="00A82237"/>
    <w:rsid w:val="00A86C47"/>
    <w:rsid w:val="00A91D3C"/>
    <w:rsid w:val="00A91EC2"/>
    <w:rsid w:val="00A91ED5"/>
    <w:rsid w:val="00A9398F"/>
    <w:rsid w:val="00AA55B7"/>
    <w:rsid w:val="00AA5B9E"/>
    <w:rsid w:val="00AA5C7B"/>
    <w:rsid w:val="00AA7447"/>
    <w:rsid w:val="00AB2407"/>
    <w:rsid w:val="00AB53DF"/>
    <w:rsid w:val="00AB6578"/>
    <w:rsid w:val="00AC1C43"/>
    <w:rsid w:val="00AC27C9"/>
    <w:rsid w:val="00AC2AC1"/>
    <w:rsid w:val="00AC3444"/>
    <w:rsid w:val="00AD2601"/>
    <w:rsid w:val="00AD5B2C"/>
    <w:rsid w:val="00AD73CA"/>
    <w:rsid w:val="00AE0419"/>
    <w:rsid w:val="00AE1730"/>
    <w:rsid w:val="00AF0529"/>
    <w:rsid w:val="00AF068E"/>
    <w:rsid w:val="00AF2299"/>
    <w:rsid w:val="00AF5134"/>
    <w:rsid w:val="00AF52B4"/>
    <w:rsid w:val="00B042EF"/>
    <w:rsid w:val="00B06E35"/>
    <w:rsid w:val="00B07E5C"/>
    <w:rsid w:val="00B10935"/>
    <w:rsid w:val="00B11867"/>
    <w:rsid w:val="00B12936"/>
    <w:rsid w:val="00B12BFC"/>
    <w:rsid w:val="00B14FDA"/>
    <w:rsid w:val="00B1600C"/>
    <w:rsid w:val="00B21B68"/>
    <w:rsid w:val="00B21E91"/>
    <w:rsid w:val="00B315CC"/>
    <w:rsid w:val="00B31C66"/>
    <w:rsid w:val="00B31DCD"/>
    <w:rsid w:val="00B35E4C"/>
    <w:rsid w:val="00B362D9"/>
    <w:rsid w:val="00B420C2"/>
    <w:rsid w:val="00B44CF1"/>
    <w:rsid w:val="00B4514C"/>
    <w:rsid w:val="00B46CF7"/>
    <w:rsid w:val="00B5023F"/>
    <w:rsid w:val="00B50304"/>
    <w:rsid w:val="00B50D7A"/>
    <w:rsid w:val="00B51B25"/>
    <w:rsid w:val="00B637C2"/>
    <w:rsid w:val="00B66FB8"/>
    <w:rsid w:val="00B769F5"/>
    <w:rsid w:val="00B80EDE"/>
    <w:rsid w:val="00B811F7"/>
    <w:rsid w:val="00B81349"/>
    <w:rsid w:val="00B83DDF"/>
    <w:rsid w:val="00B8419E"/>
    <w:rsid w:val="00B85B2D"/>
    <w:rsid w:val="00B86A00"/>
    <w:rsid w:val="00B8702B"/>
    <w:rsid w:val="00B925BB"/>
    <w:rsid w:val="00B95350"/>
    <w:rsid w:val="00B96C3A"/>
    <w:rsid w:val="00BA2382"/>
    <w:rsid w:val="00BA3123"/>
    <w:rsid w:val="00BA5DC6"/>
    <w:rsid w:val="00BA6196"/>
    <w:rsid w:val="00BB03C3"/>
    <w:rsid w:val="00BB4185"/>
    <w:rsid w:val="00BB6EAE"/>
    <w:rsid w:val="00BB7BEF"/>
    <w:rsid w:val="00BC3893"/>
    <w:rsid w:val="00BC5892"/>
    <w:rsid w:val="00BC6D8C"/>
    <w:rsid w:val="00BD164E"/>
    <w:rsid w:val="00BD1794"/>
    <w:rsid w:val="00BD4B77"/>
    <w:rsid w:val="00BE5C0D"/>
    <w:rsid w:val="00BF1637"/>
    <w:rsid w:val="00BF5642"/>
    <w:rsid w:val="00BF79DF"/>
    <w:rsid w:val="00C00952"/>
    <w:rsid w:val="00C00ED0"/>
    <w:rsid w:val="00C03FDE"/>
    <w:rsid w:val="00C07699"/>
    <w:rsid w:val="00C07935"/>
    <w:rsid w:val="00C14C01"/>
    <w:rsid w:val="00C14ECD"/>
    <w:rsid w:val="00C17E79"/>
    <w:rsid w:val="00C200CE"/>
    <w:rsid w:val="00C26D53"/>
    <w:rsid w:val="00C34006"/>
    <w:rsid w:val="00C35863"/>
    <w:rsid w:val="00C35D88"/>
    <w:rsid w:val="00C36B4C"/>
    <w:rsid w:val="00C37472"/>
    <w:rsid w:val="00C37B70"/>
    <w:rsid w:val="00C426B1"/>
    <w:rsid w:val="00C43521"/>
    <w:rsid w:val="00C43DE2"/>
    <w:rsid w:val="00C453D6"/>
    <w:rsid w:val="00C45693"/>
    <w:rsid w:val="00C474CD"/>
    <w:rsid w:val="00C50236"/>
    <w:rsid w:val="00C5451F"/>
    <w:rsid w:val="00C61810"/>
    <w:rsid w:val="00C66160"/>
    <w:rsid w:val="00C66F51"/>
    <w:rsid w:val="00C721AC"/>
    <w:rsid w:val="00C77C1E"/>
    <w:rsid w:val="00C77F67"/>
    <w:rsid w:val="00C834F8"/>
    <w:rsid w:val="00C83F9D"/>
    <w:rsid w:val="00C85945"/>
    <w:rsid w:val="00C85CF5"/>
    <w:rsid w:val="00C90D6A"/>
    <w:rsid w:val="00CA247E"/>
    <w:rsid w:val="00CA6D21"/>
    <w:rsid w:val="00CC1572"/>
    <w:rsid w:val="00CC1EA7"/>
    <w:rsid w:val="00CC3C0E"/>
    <w:rsid w:val="00CC5CBD"/>
    <w:rsid w:val="00CC72B6"/>
    <w:rsid w:val="00CD0A76"/>
    <w:rsid w:val="00CD1D28"/>
    <w:rsid w:val="00CE0C2A"/>
    <w:rsid w:val="00CE6711"/>
    <w:rsid w:val="00CF0BCA"/>
    <w:rsid w:val="00CF12C8"/>
    <w:rsid w:val="00CF1B99"/>
    <w:rsid w:val="00CF3139"/>
    <w:rsid w:val="00D0218D"/>
    <w:rsid w:val="00D02A26"/>
    <w:rsid w:val="00D036C7"/>
    <w:rsid w:val="00D05E2C"/>
    <w:rsid w:val="00D107C9"/>
    <w:rsid w:val="00D12D4A"/>
    <w:rsid w:val="00D13A4A"/>
    <w:rsid w:val="00D14726"/>
    <w:rsid w:val="00D21232"/>
    <w:rsid w:val="00D22CE7"/>
    <w:rsid w:val="00D23575"/>
    <w:rsid w:val="00D25FB5"/>
    <w:rsid w:val="00D27631"/>
    <w:rsid w:val="00D302C5"/>
    <w:rsid w:val="00D3213F"/>
    <w:rsid w:val="00D333B4"/>
    <w:rsid w:val="00D36C20"/>
    <w:rsid w:val="00D36D5A"/>
    <w:rsid w:val="00D43FCF"/>
    <w:rsid w:val="00D44223"/>
    <w:rsid w:val="00D4605D"/>
    <w:rsid w:val="00D500BB"/>
    <w:rsid w:val="00D55F4A"/>
    <w:rsid w:val="00D6179E"/>
    <w:rsid w:val="00D6610B"/>
    <w:rsid w:val="00D679C8"/>
    <w:rsid w:val="00D70905"/>
    <w:rsid w:val="00D73DA9"/>
    <w:rsid w:val="00D758E3"/>
    <w:rsid w:val="00D85222"/>
    <w:rsid w:val="00D854A1"/>
    <w:rsid w:val="00D874E6"/>
    <w:rsid w:val="00D95598"/>
    <w:rsid w:val="00DA1CAA"/>
    <w:rsid w:val="00DA2529"/>
    <w:rsid w:val="00DA43E5"/>
    <w:rsid w:val="00DA7F17"/>
    <w:rsid w:val="00DB130A"/>
    <w:rsid w:val="00DB2EBB"/>
    <w:rsid w:val="00DB55A3"/>
    <w:rsid w:val="00DC0B4A"/>
    <w:rsid w:val="00DC1030"/>
    <w:rsid w:val="00DC10A1"/>
    <w:rsid w:val="00DC211D"/>
    <w:rsid w:val="00DC2591"/>
    <w:rsid w:val="00DC5E8A"/>
    <w:rsid w:val="00DC655F"/>
    <w:rsid w:val="00DD0B59"/>
    <w:rsid w:val="00DD650C"/>
    <w:rsid w:val="00DD7EBD"/>
    <w:rsid w:val="00DE0A1D"/>
    <w:rsid w:val="00DE43F3"/>
    <w:rsid w:val="00DE53CE"/>
    <w:rsid w:val="00DE69DF"/>
    <w:rsid w:val="00DF1680"/>
    <w:rsid w:val="00DF469D"/>
    <w:rsid w:val="00DF62B6"/>
    <w:rsid w:val="00DF7CB6"/>
    <w:rsid w:val="00E01848"/>
    <w:rsid w:val="00E045C9"/>
    <w:rsid w:val="00E058D4"/>
    <w:rsid w:val="00E07225"/>
    <w:rsid w:val="00E07D26"/>
    <w:rsid w:val="00E105BF"/>
    <w:rsid w:val="00E10EB2"/>
    <w:rsid w:val="00E10F04"/>
    <w:rsid w:val="00E236DC"/>
    <w:rsid w:val="00E23A00"/>
    <w:rsid w:val="00E26EAF"/>
    <w:rsid w:val="00E338A8"/>
    <w:rsid w:val="00E34FE4"/>
    <w:rsid w:val="00E41BAD"/>
    <w:rsid w:val="00E41C5D"/>
    <w:rsid w:val="00E460CD"/>
    <w:rsid w:val="00E52C69"/>
    <w:rsid w:val="00E52DE9"/>
    <w:rsid w:val="00E5409F"/>
    <w:rsid w:val="00E611B3"/>
    <w:rsid w:val="00E637DF"/>
    <w:rsid w:val="00E63E41"/>
    <w:rsid w:val="00E64DF2"/>
    <w:rsid w:val="00E73ED7"/>
    <w:rsid w:val="00E75892"/>
    <w:rsid w:val="00E76D9C"/>
    <w:rsid w:val="00E827C4"/>
    <w:rsid w:val="00E84CA0"/>
    <w:rsid w:val="00E939AE"/>
    <w:rsid w:val="00E94732"/>
    <w:rsid w:val="00E97DA5"/>
    <w:rsid w:val="00EA302E"/>
    <w:rsid w:val="00EA701F"/>
    <w:rsid w:val="00EC3074"/>
    <w:rsid w:val="00ED285F"/>
    <w:rsid w:val="00ED3AD7"/>
    <w:rsid w:val="00ED737A"/>
    <w:rsid w:val="00ED74A2"/>
    <w:rsid w:val="00EE2F31"/>
    <w:rsid w:val="00EE6488"/>
    <w:rsid w:val="00EF18A5"/>
    <w:rsid w:val="00EF20B7"/>
    <w:rsid w:val="00EF2727"/>
    <w:rsid w:val="00EF4667"/>
    <w:rsid w:val="00EF6BBF"/>
    <w:rsid w:val="00F01699"/>
    <w:rsid w:val="00F021FA"/>
    <w:rsid w:val="00F067F2"/>
    <w:rsid w:val="00F11478"/>
    <w:rsid w:val="00F1240A"/>
    <w:rsid w:val="00F13F33"/>
    <w:rsid w:val="00F2026B"/>
    <w:rsid w:val="00F21CEB"/>
    <w:rsid w:val="00F21D71"/>
    <w:rsid w:val="00F23448"/>
    <w:rsid w:val="00F31BFF"/>
    <w:rsid w:val="00F34436"/>
    <w:rsid w:val="00F51B4D"/>
    <w:rsid w:val="00F571B4"/>
    <w:rsid w:val="00F61A12"/>
    <w:rsid w:val="00F61EB0"/>
    <w:rsid w:val="00F62E97"/>
    <w:rsid w:val="00F64209"/>
    <w:rsid w:val="00F64C6A"/>
    <w:rsid w:val="00F67F8D"/>
    <w:rsid w:val="00F761A4"/>
    <w:rsid w:val="00F767FF"/>
    <w:rsid w:val="00F87D0D"/>
    <w:rsid w:val="00F905C1"/>
    <w:rsid w:val="00F93BF5"/>
    <w:rsid w:val="00FA107E"/>
    <w:rsid w:val="00FA10ED"/>
    <w:rsid w:val="00FA479F"/>
    <w:rsid w:val="00FA55A8"/>
    <w:rsid w:val="00FA5CEB"/>
    <w:rsid w:val="00FA74A2"/>
    <w:rsid w:val="00FB354B"/>
    <w:rsid w:val="00FB5622"/>
    <w:rsid w:val="00FB7F3D"/>
    <w:rsid w:val="00FC0F36"/>
    <w:rsid w:val="00FC2C76"/>
    <w:rsid w:val="00FC7BF7"/>
    <w:rsid w:val="00FC7C7D"/>
    <w:rsid w:val="00FD278E"/>
    <w:rsid w:val="00FD4C1E"/>
    <w:rsid w:val="00FD61FD"/>
    <w:rsid w:val="00FE057A"/>
    <w:rsid w:val="00FE4DE2"/>
    <w:rsid w:val="00FE6890"/>
    <w:rsid w:val="00FF0E58"/>
    <w:rsid w:val="00FF1AAA"/>
    <w:rsid w:val="00FF5AE8"/>
    <w:rsid w:val="00FF62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1DEC83A-69AF-4B7B-9BEF-17890E64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200AE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200AEF"/>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n Char"/>
    <w:link w:val="FootnoteText"/>
    <w:rsid w:val="006235A7"/>
  </w:style>
  <w:style w:type="character" w:customStyle="1" w:styleId="ParaNumChar">
    <w:name w:val="ParaNum Char"/>
    <w:link w:val="ParaNum"/>
    <w:rsid w:val="006235A7"/>
    <w:rPr>
      <w:snapToGrid w:val="0"/>
      <w:kern w:val="28"/>
      <w:sz w:val="22"/>
    </w:rPr>
  </w:style>
  <w:style w:type="paragraph" w:styleId="CommentText">
    <w:name w:val="annotation text"/>
    <w:basedOn w:val="Normal"/>
    <w:link w:val="CommentTextChar"/>
    <w:uiPriority w:val="99"/>
    <w:rsid w:val="006235A7"/>
    <w:rPr>
      <w:sz w:val="20"/>
    </w:rPr>
  </w:style>
  <w:style w:type="character" w:customStyle="1" w:styleId="CommentTextChar">
    <w:name w:val="Comment Text Char"/>
    <w:basedOn w:val="DefaultParagraphFont"/>
    <w:link w:val="CommentText"/>
    <w:uiPriority w:val="99"/>
    <w:rsid w:val="006235A7"/>
    <w:rPr>
      <w:snapToGrid w:val="0"/>
      <w:kern w:val="28"/>
    </w:rPr>
  </w:style>
  <w:style w:type="paragraph" w:styleId="BalloonText">
    <w:name w:val="Balloon Text"/>
    <w:basedOn w:val="Normal"/>
    <w:link w:val="BalloonTextChar"/>
    <w:rsid w:val="00200AEF"/>
    <w:rPr>
      <w:rFonts w:ascii="Segoe UI" w:hAnsi="Segoe UI" w:cs="Segoe UI"/>
      <w:sz w:val="18"/>
      <w:szCs w:val="18"/>
    </w:rPr>
  </w:style>
  <w:style w:type="character" w:customStyle="1" w:styleId="BalloonTextChar">
    <w:name w:val="Balloon Text Char"/>
    <w:basedOn w:val="DefaultParagraphFont"/>
    <w:link w:val="BalloonText"/>
    <w:rsid w:val="00200AEF"/>
    <w:rPr>
      <w:rFonts w:ascii="Segoe UI" w:hAnsi="Segoe UI" w:cs="Segoe UI"/>
      <w:snapToGrid w:val="0"/>
      <w:kern w:val="28"/>
      <w:sz w:val="18"/>
      <w:szCs w:val="18"/>
    </w:rPr>
  </w:style>
  <w:style w:type="character" w:customStyle="1" w:styleId="FootnoteTextCharChar">
    <w:name w:val="Footnote Text Char Char"/>
    <w:aliases w:val="Footnote Text Char Char Char1 Char Char Char Char,Footnote Text Char Char Char2 Char Char Char,Footnote Text Char1 Char1 Char Char Char Char,Footnote Text Char2 Char Char,Footnote Text Char3 Char Char Char"/>
    <w:rsid w:val="00200AEF"/>
  </w:style>
  <w:style w:type="paragraph" w:styleId="ListParagraph">
    <w:name w:val="List Paragraph"/>
    <w:basedOn w:val="Normal"/>
    <w:uiPriority w:val="34"/>
    <w:qFormat/>
    <w:rsid w:val="00200AEF"/>
    <w:pPr>
      <w:widowControl/>
      <w:ind w:left="720"/>
    </w:pPr>
    <w:rPr>
      <w:rFonts w:ascii="Calibri" w:eastAsia="Calibri" w:hAnsi="Calibri" w:cs="Calibri"/>
      <w:snapToGrid/>
      <w:kern w:val="0"/>
      <w:szCs w:val="22"/>
    </w:rPr>
  </w:style>
  <w:style w:type="character" w:customStyle="1" w:styleId="UnresolvedMention">
    <w:name w:val="Unresolved Mention"/>
    <w:uiPriority w:val="99"/>
    <w:semiHidden/>
    <w:unhideWhenUsed/>
    <w:rsid w:val="00200AEF"/>
    <w:rPr>
      <w:color w:val="605E5C"/>
      <w:shd w:val="clear" w:color="auto" w:fill="E1DFDD"/>
    </w:rPr>
  </w:style>
  <w:style w:type="character" w:styleId="CommentReference">
    <w:name w:val="annotation reference"/>
    <w:rsid w:val="00200AEF"/>
    <w:rPr>
      <w:sz w:val="16"/>
      <w:szCs w:val="16"/>
    </w:rPr>
  </w:style>
  <w:style w:type="paragraph" w:styleId="CommentSubject">
    <w:name w:val="annotation subject"/>
    <w:basedOn w:val="CommentText"/>
    <w:next w:val="CommentText"/>
    <w:link w:val="CommentSubjectChar"/>
    <w:rsid w:val="00200AEF"/>
    <w:rPr>
      <w:b/>
      <w:bCs/>
    </w:rPr>
  </w:style>
  <w:style w:type="character" w:customStyle="1" w:styleId="CommentSubjectChar">
    <w:name w:val="Comment Subject Char"/>
    <w:basedOn w:val="CommentTextChar"/>
    <w:link w:val="CommentSubject"/>
    <w:rsid w:val="00200AEF"/>
    <w:rPr>
      <w:b/>
      <w:bCs/>
      <w:snapToGrid w:val="0"/>
      <w:kern w:val="28"/>
    </w:rPr>
  </w:style>
  <w:style w:type="paragraph" w:styleId="Revision">
    <w:name w:val="Revision"/>
    <w:hidden/>
    <w:uiPriority w:val="99"/>
    <w:semiHidden/>
    <w:rsid w:val="00200AE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2030595297&amp;pubNum=0004637&amp;originatingDoc=I2886c893953011e7b92bf4314c15140f&amp;refType=RP&amp;fi=co_pp_sp_4637_130&amp;originationContext=document&amp;transitionType=DocumentItem&amp;contextData=(sc.DocLink)" TargetMode="External" /><Relationship Id="rId2" Type="http://schemas.openxmlformats.org/officeDocument/2006/relationships/hyperlink" Target="https://1.next.westlaw.com/Link/Document/FullText?findType=Y&amp;serNum=2022219097&amp;pubNum=0004493&amp;originatingDoc=I2886c893953011e7b92bf4314c15140f&amp;refType=CA&amp;fi=co_pp_sp_4493_7589&amp;originationContext=document&amp;transitionType=DocumentItem&amp;contextData=(sc.DocLin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