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C52441" w:rsidRPr="003C1C2F" w:rsidP="00C52441" w14:paraId="2FFF2551" w14:textId="77777777">
      <w:pPr>
        <w:jc w:val="center"/>
        <w:rPr>
          <w:b/>
        </w:rPr>
      </w:pPr>
      <w:bookmarkStart w:id="0" w:name="_GoBack"/>
      <w:bookmarkEnd w:id="0"/>
      <w:r w:rsidRPr="003C1C2F">
        <w:rPr>
          <w:b/>
        </w:rPr>
        <w:t>Before the</w:t>
      </w:r>
    </w:p>
    <w:p w:rsidR="00C52441" w:rsidRPr="003C1C2F" w:rsidP="00C52441" w14:paraId="6A476509" w14:textId="77777777">
      <w:pPr>
        <w:pStyle w:val="StyleBoldCentered"/>
        <w:rPr>
          <w:rFonts w:ascii="Times New Roman" w:hAnsi="Times New Roman"/>
        </w:rPr>
      </w:pPr>
      <w:r w:rsidRPr="003C1C2F">
        <w:rPr>
          <w:rFonts w:ascii="Times New Roman" w:hAnsi="Times New Roman"/>
        </w:rPr>
        <w:t>F</w:t>
      </w:r>
      <w:r w:rsidRPr="003C1C2F">
        <w:rPr>
          <w:rFonts w:ascii="Times New Roman" w:hAnsi="Times New Roman"/>
          <w:caps w:val="0"/>
        </w:rPr>
        <w:t>ederal Communications Commission</w:t>
      </w:r>
    </w:p>
    <w:p w:rsidR="00C52441" w:rsidRPr="003C1C2F" w:rsidP="00C52441" w14:paraId="4FFC0C4F" w14:textId="77777777">
      <w:pPr>
        <w:pStyle w:val="StyleBoldCentered"/>
        <w:rPr>
          <w:rFonts w:ascii="Times New Roman" w:hAnsi="Times New Roman"/>
        </w:rPr>
      </w:pPr>
      <w:r w:rsidRPr="003C1C2F">
        <w:rPr>
          <w:rFonts w:ascii="Times New Roman" w:hAnsi="Times New Roman"/>
          <w:caps w:val="0"/>
        </w:rPr>
        <w:t>Washington, D.C. 20554</w:t>
      </w:r>
    </w:p>
    <w:p w:rsidR="00C52441" w:rsidP="00C52441" w14:paraId="1371026D" w14:textId="77777777"/>
    <w:p w:rsidR="00C52441" w:rsidP="00C52441" w14:paraId="7176CD43" w14:textId="77777777"/>
    <w:tbl>
      <w:tblPr>
        <w:tblW w:w="9576" w:type="dxa"/>
        <w:tblLayout w:type="fixed"/>
        <w:tblLook w:val="0000"/>
      </w:tblPr>
      <w:tblGrid>
        <w:gridCol w:w="4698"/>
        <w:gridCol w:w="630"/>
        <w:gridCol w:w="4248"/>
      </w:tblGrid>
      <w:tr w14:paraId="7B3667EB" w14:textId="77777777" w:rsidTr="00F8357D">
        <w:tblPrEx>
          <w:tblW w:w="9576" w:type="dxa"/>
          <w:tblLayout w:type="fixed"/>
          <w:tblLook w:val="0000"/>
        </w:tblPrEx>
        <w:tc>
          <w:tcPr>
            <w:tcW w:w="4698" w:type="dxa"/>
          </w:tcPr>
          <w:p w:rsidR="00C52441" w:rsidRPr="00AF5C58" w:rsidP="00F8357D" w14:paraId="75AD6FFC" w14:textId="77777777">
            <w:pPr>
              <w:ind w:right="-18"/>
            </w:pPr>
            <w:r w:rsidRPr="00AF5C58">
              <w:t>In the Matter of</w:t>
            </w:r>
          </w:p>
          <w:p w:rsidR="00C52441" w:rsidRPr="00AF5C58" w:rsidP="00F8357D" w14:paraId="19ADFF13" w14:textId="77777777">
            <w:pPr>
              <w:ind w:right="-18"/>
            </w:pPr>
          </w:p>
          <w:p w:rsidR="00C52441" w:rsidRPr="00AF5C58" w:rsidP="00F8357D" w14:paraId="431F3E5D" w14:textId="77777777">
            <w:pPr>
              <w:ind w:right="-18"/>
            </w:pPr>
            <w:r w:rsidRPr="00AF5C58">
              <w:t>Rules and Regulations Implementing the Telephone Consumer Protection Act of 1991</w:t>
            </w:r>
          </w:p>
          <w:p w:rsidR="00C52441" w:rsidRPr="00AF5C58" w:rsidP="00F8357D" w14:paraId="20A8540C" w14:textId="77777777">
            <w:pPr>
              <w:ind w:right="-18"/>
            </w:pPr>
          </w:p>
          <w:p w:rsidR="00C52441" w:rsidRPr="00AF5C58" w:rsidP="00F8357D" w14:paraId="74AD172A" w14:textId="77777777">
            <w:pPr>
              <w:ind w:right="-18"/>
            </w:pPr>
            <w:r w:rsidRPr="00AF5C58">
              <w:t>Junk Fax Prevention Act of 2005</w:t>
            </w:r>
          </w:p>
          <w:p w:rsidR="00C52441" w:rsidRPr="00AF5C58" w:rsidP="00F8357D" w14:paraId="2F5E990D" w14:textId="77777777">
            <w:pPr>
              <w:ind w:right="-18"/>
            </w:pPr>
          </w:p>
          <w:p w:rsidR="00C52441" w:rsidRPr="00AF5C58" w:rsidP="00F8357D" w14:paraId="5B2245B0" w14:textId="77777777">
            <w:pPr>
              <w:tabs>
                <w:tab w:val="center" w:pos="4680"/>
              </w:tabs>
              <w:suppressAutoHyphens/>
              <w:rPr>
                <w:spacing w:val="-2"/>
              </w:rPr>
            </w:pPr>
            <w:r w:rsidRPr="00AF5C58">
              <w:t xml:space="preserve">Petitions for Reconsideration and/or Declaratory Ruling and Retroactive Waiver of 47 </w:t>
            </w:r>
            <w:r>
              <w:t>CFR</w:t>
            </w:r>
            <w:r w:rsidRPr="00AF5C58">
              <w:t xml:space="preserve"> § 64.1200(a)(4)(iv) Regarding the Commission’s Opt-Out Notice Requirement for Faxes Sent with the Recipient’s Prior Express Permission</w:t>
            </w:r>
          </w:p>
        </w:tc>
        <w:tc>
          <w:tcPr>
            <w:tcW w:w="630" w:type="dxa"/>
          </w:tcPr>
          <w:p w:rsidR="00C52441" w:rsidRPr="002618A8" w:rsidP="00F8357D" w14:paraId="4CD85318" w14:textId="77777777">
            <w:pPr>
              <w:rPr>
                <w:b/>
                <w:bCs/>
              </w:rPr>
            </w:pPr>
            <w:r w:rsidRPr="002618A8">
              <w:rPr>
                <w:b/>
                <w:bCs/>
              </w:rPr>
              <w:t>)</w:t>
            </w:r>
          </w:p>
          <w:p w:rsidR="00C52441" w:rsidRPr="002618A8" w:rsidP="00F8357D" w14:paraId="21F8979D" w14:textId="77777777">
            <w:pPr>
              <w:rPr>
                <w:b/>
                <w:bCs/>
              </w:rPr>
            </w:pPr>
            <w:r w:rsidRPr="002618A8">
              <w:rPr>
                <w:b/>
                <w:bCs/>
              </w:rPr>
              <w:t>)</w:t>
            </w:r>
          </w:p>
          <w:p w:rsidR="00C52441" w:rsidRPr="002618A8" w:rsidP="00F8357D" w14:paraId="58DD17FB" w14:textId="77777777">
            <w:pPr>
              <w:rPr>
                <w:b/>
                <w:bCs/>
              </w:rPr>
            </w:pPr>
            <w:r w:rsidRPr="002618A8">
              <w:rPr>
                <w:b/>
                <w:bCs/>
              </w:rPr>
              <w:t>)</w:t>
            </w:r>
          </w:p>
          <w:p w:rsidR="00C52441" w:rsidRPr="002618A8" w:rsidP="00F8357D" w14:paraId="34EDEFFF" w14:textId="77777777">
            <w:pPr>
              <w:rPr>
                <w:b/>
                <w:bCs/>
              </w:rPr>
            </w:pPr>
            <w:r w:rsidRPr="002618A8">
              <w:rPr>
                <w:b/>
                <w:bCs/>
              </w:rPr>
              <w:t>)</w:t>
            </w:r>
          </w:p>
          <w:p w:rsidR="00C52441" w:rsidRPr="002618A8" w:rsidP="00F8357D" w14:paraId="271CCE1F" w14:textId="77777777">
            <w:pPr>
              <w:rPr>
                <w:b/>
                <w:bCs/>
              </w:rPr>
            </w:pPr>
            <w:r w:rsidRPr="002618A8">
              <w:rPr>
                <w:b/>
                <w:bCs/>
              </w:rPr>
              <w:t>)</w:t>
            </w:r>
          </w:p>
          <w:p w:rsidR="00C52441" w:rsidRPr="002618A8" w:rsidP="00F8357D" w14:paraId="171C55DA" w14:textId="77777777">
            <w:pPr>
              <w:rPr>
                <w:b/>
                <w:bCs/>
              </w:rPr>
            </w:pPr>
            <w:r w:rsidRPr="002618A8">
              <w:rPr>
                <w:b/>
                <w:bCs/>
              </w:rPr>
              <w:t>)</w:t>
            </w:r>
          </w:p>
          <w:p w:rsidR="00C52441" w:rsidRPr="002618A8" w:rsidP="00F8357D" w14:paraId="351656D3" w14:textId="77777777">
            <w:pPr>
              <w:rPr>
                <w:b/>
                <w:bCs/>
              </w:rPr>
            </w:pPr>
            <w:r w:rsidRPr="002618A8">
              <w:rPr>
                <w:b/>
                <w:bCs/>
              </w:rPr>
              <w:t>)</w:t>
            </w:r>
          </w:p>
          <w:p w:rsidR="00C52441" w:rsidRPr="002618A8" w:rsidP="00F8357D" w14:paraId="350DB332" w14:textId="77777777">
            <w:pPr>
              <w:rPr>
                <w:b/>
                <w:bCs/>
              </w:rPr>
            </w:pPr>
            <w:r>
              <w:rPr>
                <w:b/>
                <w:bCs/>
              </w:rPr>
              <w:t>)</w:t>
            </w:r>
          </w:p>
          <w:p w:rsidR="00C52441" w:rsidRPr="002618A8" w:rsidP="00F8357D" w14:paraId="69A05722" w14:textId="77777777">
            <w:pPr>
              <w:rPr>
                <w:b/>
                <w:bCs/>
              </w:rPr>
            </w:pPr>
            <w:r w:rsidRPr="002618A8">
              <w:rPr>
                <w:b/>
                <w:bCs/>
              </w:rPr>
              <w:t>)</w:t>
            </w:r>
          </w:p>
          <w:p w:rsidR="00C52441" w:rsidRPr="002618A8" w:rsidP="00F8357D" w14:paraId="473BA89D" w14:textId="77777777">
            <w:pPr>
              <w:rPr>
                <w:b/>
                <w:bCs/>
              </w:rPr>
            </w:pPr>
            <w:r w:rsidRPr="002618A8">
              <w:rPr>
                <w:b/>
                <w:bCs/>
              </w:rPr>
              <w:t>)</w:t>
            </w:r>
          </w:p>
          <w:p w:rsidR="00C52441" w:rsidRPr="002618A8" w:rsidP="00F8357D" w14:paraId="56C07323" w14:textId="77777777">
            <w:pPr>
              <w:rPr>
                <w:b/>
                <w:bCs/>
              </w:rPr>
            </w:pPr>
            <w:r w:rsidRPr="002618A8">
              <w:rPr>
                <w:b/>
                <w:bCs/>
              </w:rPr>
              <w:t>)</w:t>
            </w:r>
          </w:p>
          <w:p w:rsidR="00C52441" w:rsidP="00F8357D" w14:paraId="300DF955" w14:textId="77777777">
            <w:pPr>
              <w:rPr>
                <w:b/>
                <w:bCs/>
              </w:rPr>
            </w:pPr>
            <w:r w:rsidRPr="002618A8">
              <w:rPr>
                <w:b/>
                <w:bCs/>
              </w:rPr>
              <w:t>)</w:t>
            </w:r>
          </w:p>
          <w:p w:rsidR="00C52441" w:rsidRPr="002618A8" w:rsidP="00F8357D" w14:paraId="2322EFC6" w14:textId="77777777">
            <w:pPr>
              <w:rPr>
                <w:b/>
                <w:bCs/>
              </w:rPr>
            </w:pPr>
          </w:p>
        </w:tc>
        <w:tc>
          <w:tcPr>
            <w:tcW w:w="4248" w:type="dxa"/>
          </w:tcPr>
          <w:p w:rsidR="00C52441" w:rsidRPr="00AF5C58" w:rsidP="00F8357D" w14:paraId="0E5533C2" w14:textId="77777777"/>
          <w:p w:rsidR="00C52441" w:rsidRPr="00AF5C58" w:rsidP="00F8357D" w14:paraId="75AF4F1F" w14:textId="77777777">
            <w:pPr>
              <w:jc w:val="right"/>
            </w:pPr>
          </w:p>
          <w:p w:rsidR="00C52441" w:rsidRPr="00AF5C58" w:rsidP="00F8357D" w14:paraId="617B5A8F" w14:textId="77777777">
            <w:r w:rsidRPr="00AF5C58">
              <w:t>CG Docket No. 02-278</w:t>
            </w:r>
          </w:p>
          <w:p w:rsidR="00C52441" w:rsidRPr="00AF5C58" w:rsidP="00F8357D" w14:paraId="544E1B5B" w14:textId="77777777"/>
          <w:p w:rsidR="00C52441" w:rsidRPr="00AF5C58" w:rsidP="00F8357D" w14:paraId="537C521E" w14:textId="77777777"/>
          <w:p w:rsidR="00C52441" w:rsidRPr="00AF5C58" w:rsidP="00F8357D" w14:paraId="63671D7E" w14:textId="77777777">
            <w:r w:rsidRPr="00AF5C58">
              <w:t>CG Docket No. 05-338</w:t>
            </w:r>
          </w:p>
          <w:p w:rsidR="00C52441" w:rsidRPr="00AF5C58" w:rsidP="00F8357D" w14:paraId="05E34764" w14:textId="77777777">
            <w:pPr>
              <w:tabs>
                <w:tab w:val="center" w:pos="4680"/>
              </w:tabs>
              <w:suppressAutoHyphens/>
              <w:rPr>
                <w:spacing w:val="-2"/>
              </w:rPr>
            </w:pPr>
          </w:p>
        </w:tc>
      </w:tr>
    </w:tbl>
    <w:p w:rsidR="00C52441" w:rsidP="00C52441" w14:paraId="713DA318" w14:textId="77777777">
      <w:pPr>
        <w:pStyle w:val="StyleBoldCentered"/>
      </w:pPr>
      <w:r>
        <w:t>Order</w:t>
      </w:r>
    </w:p>
    <w:p w:rsidR="00C52441" w:rsidP="00C52441" w14:paraId="64A6D251" w14:textId="77777777">
      <w:pPr>
        <w:tabs>
          <w:tab w:val="left" w:pos="-720"/>
        </w:tabs>
        <w:suppressAutoHyphens/>
        <w:spacing w:line="227" w:lineRule="auto"/>
        <w:rPr>
          <w:spacing w:val="-2"/>
        </w:rPr>
      </w:pPr>
    </w:p>
    <w:p w:rsidR="00C52441" w:rsidRPr="00342511" w:rsidP="00C52441" w14:paraId="6EDF5E57" w14:textId="2860C423">
      <w:pPr>
        <w:tabs>
          <w:tab w:val="left" w:pos="720"/>
          <w:tab w:val="right" w:pos="9360"/>
        </w:tabs>
        <w:suppressAutoHyphens/>
        <w:spacing w:line="227" w:lineRule="auto"/>
        <w:rPr>
          <w:spacing w:val="-2"/>
        </w:rPr>
      </w:pPr>
      <w:r w:rsidRPr="00342511">
        <w:rPr>
          <w:b/>
          <w:spacing w:val="-2"/>
        </w:rPr>
        <w:t xml:space="preserve">Adopted:  </w:t>
      </w:r>
      <w:r w:rsidR="000F0FE9">
        <w:rPr>
          <w:b/>
          <w:spacing w:val="-2"/>
        </w:rPr>
        <w:t>March 4, 2020</w:t>
      </w:r>
      <w:r w:rsidRPr="00342511">
        <w:rPr>
          <w:b/>
          <w:spacing w:val="-2"/>
        </w:rPr>
        <w:tab/>
        <w:t xml:space="preserve">Released:  </w:t>
      </w:r>
      <w:r w:rsidR="006B5FAF">
        <w:rPr>
          <w:b/>
          <w:spacing w:val="-2"/>
        </w:rPr>
        <w:t>March 1</w:t>
      </w:r>
      <w:r w:rsidR="004573F8">
        <w:rPr>
          <w:b/>
          <w:spacing w:val="-2"/>
        </w:rPr>
        <w:t>7</w:t>
      </w:r>
      <w:r w:rsidR="006B5FAF">
        <w:rPr>
          <w:b/>
          <w:spacing w:val="-2"/>
        </w:rPr>
        <w:t>, 2020</w:t>
      </w:r>
    </w:p>
    <w:p w:rsidR="00C52441" w:rsidRPr="00342511" w:rsidP="00C52441" w14:paraId="0A33258C" w14:textId="77777777"/>
    <w:p w:rsidR="00C52441" w:rsidRPr="00342511" w:rsidP="00C52441" w14:paraId="67341BBD" w14:textId="7943A53E">
      <w:pPr>
        <w:rPr>
          <w:spacing w:val="-2"/>
        </w:rPr>
      </w:pPr>
      <w:r w:rsidRPr="00342511">
        <w:t xml:space="preserve">By the </w:t>
      </w:r>
      <w:r w:rsidRPr="00342511">
        <w:rPr>
          <w:spacing w:val="-2"/>
        </w:rPr>
        <w:t>Commission:</w:t>
      </w:r>
      <w:r w:rsidR="00274C40">
        <w:rPr>
          <w:spacing w:val="-2"/>
        </w:rPr>
        <w:t xml:space="preserve">  Commissioner </w:t>
      </w:r>
      <w:r w:rsidR="00274C40">
        <w:rPr>
          <w:spacing w:val="-2"/>
        </w:rPr>
        <w:t>Rosenworcel</w:t>
      </w:r>
      <w:r w:rsidR="00274C40">
        <w:rPr>
          <w:spacing w:val="-2"/>
        </w:rPr>
        <w:t xml:space="preserve"> concurring.</w:t>
      </w:r>
    </w:p>
    <w:p w:rsidR="00C52441" w:rsidRPr="00342511" w:rsidP="00C52441" w14:paraId="5518FE1F" w14:textId="77777777">
      <w:pPr>
        <w:rPr>
          <w:spacing w:val="-2"/>
        </w:rPr>
      </w:pPr>
    </w:p>
    <w:p w:rsidR="00C52441" w:rsidRPr="00342511" w:rsidP="00C52441" w14:paraId="3AD9CAA5" w14:textId="77777777">
      <w:pPr>
        <w:pStyle w:val="Heading1"/>
        <w:rPr>
          <w:rFonts w:ascii="Times New Roman" w:hAnsi="Times New Roman"/>
        </w:rPr>
      </w:pPr>
      <w:r w:rsidRPr="00342511">
        <w:rPr>
          <w:rFonts w:ascii="Times New Roman" w:hAnsi="Times New Roman"/>
        </w:rPr>
        <w:t>introduction</w:t>
      </w:r>
    </w:p>
    <w:p w:rsidR="00C52441" w:rsidRPr="005E583A" w:rsidP="00C52441" w14:paraId="503FFE8C" w14:textId="77777777">
      <w:pPr>
        <w:pStyle w:val="ParaNum"/>
        <w:numPr>
          <w:ilvl w:val="0"/>
          <w:numId w:val="7"/>
        </w:numPr>
      </w:pPr>
      <w:r w:rsidRPr="008F5A64">
        <w:t xml:space="preserve">The Telephone Consumer Protection Act (TCPA), as amended by the Junk Fax Protection Act, prohibits any person from sending an </w:t>
      </w:r>
      <w:r>
        <w:t>“</w:t>
      </w:r>
      <w:r w:rsidRPr="008F5A64">
        <w:t>unsolicited advertisement</w:t>
      </w:r>
      <w:r>
        <w:t>”</w:t>
      </w:r>
      <w:r w:rsidRPr="008F5A64">
        <w:t xml:space="preserve"> to a </w:t>
      </w:r>
      <w:r>
        <w:t>fax machine, and requires, among other things, that the</w:t>
      </w:r>
      <w:r w:rsidRPr="00342511">
        <w:t xml:space="preserve"> sender of an unsolicited fax ad</w:t>
      </w:r>
      <w:r>
        <w:t>vertisement</w:t>
      </w:r>
      <w:r w:rsidRPr="00342511">
        <w:t xml:space="preserve"> </w:t>
      </w:r>
      <w:r>
        <w:t>include</w:t>
      </w:r>
      <w:r w:rsidRPr="00342511">
        <w:t xml:space="preserve"> notice and contact information t</w:t>
      </w:r>
      <w:r>
        <w:t>o</w:t>
      </w:r>
      <w:r w:rsidRPr="00342511">
        <w:t xml:space="preserve"> allow recipient</w:t>
      </w:r>
      <w:r>
        <w:t>s</w:t>
      </w:r>
      <w:r w:rsidRPr="00342511">
        <w:t xml:space="preserve"> to opt out of any future fax</w:t>
      </w:r>
      <w:r>
        <w:t>es</w:t>
      </w:r>
      <w:r w:rsidRPr="00342511">
        <w:t xml:space="preserve"> from the sender.</w:t>
      </w:r>
      <w:r>
        <w:rPr>
          <w:vertAlign w:val="superscript"/>
        </w:rPr>
        <w:footnoteReference w:id="3"/>
      </w:r>
      <w:r w:rsidRPr="00342511">
        <w:t xml:space="preserve">  </w:t>
      </w:r>
      <w:r w:rsidRPr="008F5A64">
        <w:t xml:space="preserve">In 2006, the Commission adopted the Solicited Fax Rule, </w:t>
      </w:r>
      <w:r>
        <w:t xml:space="preserve">which extended the Junk Fax Prevention Act’s opt-out notice requirements for unsolicited advertisements to </w:t>
      </w:r>
      <w:r>
        <w:rPr>
          <w:i/>
        </w:rPr>
        <w:t xml:space="preserve">solicited </w:t>
      </w:r>
      <w:r>
        <w:t>advertisements</w:t>
      </w:r>
      <w:r w:rsidRPr="008F5A64">
        <w:t>, i.e., those sent with the recipients’ “prior express invitation or permission.”</w:t>
      </w:r>
      <w:r>
        <w:rPr>
          <w:rStyle w:val="FootnoteReference"/>
        </w:rPr>
        <w:footnoteReference w:id="4"/>
      </w:r>
    </w:p>
    <w:p w:rsidR="00C52441" w:rsidP="00C52441" w14:paraId="42151C32" w14:textId="77777777">
      <w:pPr>
        <w:pStyle w:val="ParaNum"/>
        <w:numPr>
          <w:ilvl w:val="0"/>
          <w:numId w:val="7"/>
        </w:numPr>
      </w:pPr>
      <w:r>
        <w:t>In 2017</w:t>
      </w:r>
      <w:r w:rsidRPr="00FE2C0C">
        <w:t>, the United States Court of Appeals for the D.C. Circuit held that the Solicited Fax Rule was unlawful because it exceeded the Commission’s statutory authority under the TCPA.</w:t>
      </w:r>
      <w:r>
        <w:rPr>
          <w:vertAlign w:val="superscript"/>
        </w:rPr>
        <w:footnoteReference w:id="5"/>
      </w:r>
      <w:r>
        <w:t xml:space="preserve">  Pursuant to that finding, </w:t>
      </w:r>
      <w:r w:rsidRPr="008F5A64">
        <w:t xml:space="preserve">the </w:t>
      </w:r>
      <w:r>
        <w:t xml:space="preserve">Commission’s </w:t>
      </w:r>
      <w:r w:rsidRPr="008F5A64">
        <w:t>Consumer and Governmental Affairs Bureau (Bureau) eliminated the rule.</w:t>
      </w:r>
      <w:r>
        <w:rPr>
          <w:rStyle w:val="FootnoteReference"/>
        </w:rPr>
        <w:footnoteReference w:id="6"/>
      </w:r>
      <w:r w:rsidRPr="008F5A64">
        <w:t xml:space="preserve">  </w:t>
      </w:r>
    </w:p>
    <w:p w:rsidR="00C52441" w:rsidRPr="005E583A" w:rsidP="00C52441" w14:paraId="3EE7941D" w14:textId="77777777">
      <w:pPr>
        <w:pStyle w:val="ParaNum"/>
        <w:numPr>
          <w:ilvl w:val="0"/>
          <w:numId w:val="7"/>
        </w:numPr>
      </w:pPr>
      <w:r>
        <w:t>A</w:t>
      </w:r>
      <w:r w:rsidRPr="005E583A">
        <w:t xml:space="preserve"> group of plaintiffs involved in TCPA litigation filed an application for review of the </w:t>
      </w:r>
      <w:r w:rsidRPr="005E583A">
        <w:t xml:space="preserve">Bureau’s </w:t>
      </w:r>
      <w:r w:rsidRPr="005E583A">
        <w:rPr>
          <w:i/>
        </w:rPr>
        <w:t>2018 Dismissal Order</w:t>
      </w:r>
      <w:r w:rsidRPr="005E583A">
        <w:t>, arguing that the rule should not have been eliminated</w:t>
      </w:r>
      <w:r>
        <w:t>.</w:t>
      </w:r>
      <w:r>
        <w:rPr>
          <w:rStyle w:val="FootnoteReference"/>
        </w:rPr>
        <w:footnoteReference w:id="7"/>
      </w:r>
      <w:r w:rsidRPr="005E583A">
        <w:t xml:space="preserve">  By this Order, we </w:t>
      </w:r>
      <w:r w:rsidRPr="0028390F">
        <w:t>affirm the Bureau</w:t>
      </w:r>
      <w:r>
        <w:t>’</w:t>
      </w:r>
      <w:r w:rsidRPr="0028390F">
        <w:t xml:space="preserve">s decision and uphold </w:t>
      </w:r>
      <w:r>
        <w:t>its</w:t>
      </w:r>
      <w:r w:rsidRPr="0028390F">
        <w:t xml:space="preserve"> determination that the D.C. Circuit clearly found</w:t>
      </w:r>
      <w:r w:rsidRPr="005E583A">
        <w:t xml:space="preserve"> the </w:t>
      </w:r>
      <w:r>
        <w:t>Commission</w:t>
      </w:r>
      <w:r w:rsidRPr="0028390F">
        <w:t xml:space="preserve"> lacked statutory authority to adopt a rule requiring that solicited faxes include opt-out notices</w:t>
      </w:r>
      <w:r w:rsidRPr="005E583A">
        <w:t>.</w:t>
      </w:r>
      <w:r>
        <w:rPr>
          <w:rStyle w:val="FootnoteReference"/>
        </w:rPr>
        <w:footnoteReference w:id="8"/>
      </w:r>
      <w:r w:rsidRPr="005E583A">
        <w:t xml:space="preserve">  We also take this opportunity to clear our backlog of requests related to the eliminated rule and dismiss as moot ten applications for review and one petition for reconsideration, thereby resolving all such pending requests.  </w:t>
      </w:r>
      <w:r>
        <w:t>This order therefore resolves any remaining uncertainty among litigants about the status of the Solicited Fax Rule.</w:t>
      </w:r>
    </w:p>
    <w:p w:rsidR="00C52441" w:rsidRPr="00342511" w:rsidP="00C52441" w14:paraId="5529F03B" w14:textId="77777777">
      <w:pPr>
        <w:pStyle w:val="Heading1"/>
        <w:rPr>
          <w:rFonts w:ascii="Times New Roman" w:hAnsi="Times New Roman"/>
        </w:rPr>
      </w:pPr>
      <w:r w:rsidRPr="00342511">
        <w:rPr>
          <w:rFonts w:ascii="Times New Roman" w:hAnsi="Times New Roman"/>
        </w:rPr>
        <w:t>background</w:t>
      </w:r>
    </w:p>
    <w:p w:rsidR="00C52441" w:rsidRPr="00681E32" w:rsidP="00C52441" w14:paraId="44F1DD27" w14:textId="77777777">
      <w:pPr>
        <w:pStyle w:val="ParaNum"/>
      </w:pPr>
      <w:bookmarkStart w:id="2" w:name="_Hlk27043476"/>
      <w:r w:rsidRPr="00342511">
        <w:t>In 1991, Congress enacted the Telephone Consumer Protection Act (TCPA)</w:t>
      </w:r>
      <w:r>
        <w:t xml:space="preserve"> to protect consumers from unwanted telephone calls and faxes</w:t>
      </w:r>
      <w:r w:rsidRPr="00342511">
        <w:t>.</w:t>
      </w:r>
      <w:r>
        <w:rPr>
          <w:vertAlign w:val="superscript"/>
        </w:rPr>
        <w:footnoteReference w:id="9"/>
      </w:r>
      <w:r w:rsidRPr="00342511">
        <w:t xml:space="preserve">  In relevant part, the TCPA prohibits the use of </w:t>
      </w:r>
      <w:r>
        <w:t>“</w:t>
      </w:r>
      <w:r w:rsidRPr="00342511">
        <w:t>any telephone facsimile machine, computer, or other device to send</w:t>
      </w:r>
      <w:r>
        <w:t>, to a telephone facsimile machine,</w:t>
      </w:r>
      <w:r w:rsidRPr="00342511">
        <w:t xml:space="preserve"> an unsolicited advertisement.</w:t>
      </w:r>
      <w:r>
        <w:t>”</w:t>
      </w:r>
      <w:r>
        <w:rPr>
          <w:vertAlign w:val="superscript"/>
        </w:rPr>
        <w:footnoteReference w:id="10"/>
      </w:r>
      <w:r w:rsidRPr="00342511">
        <w:t xml:space="preserve">  In 1992, the Commission adopted rules implementing the TCPA.</w:t>
      </w:r>
      <w:r>
        <w:rPr>
          <w:vertAlign w:val="superscript"/>
        </w:rPr>
        <w:footnoteReference w:id="11"/>
      </w:r>
    </w:p>
    <w:p w:rsidR="00C52441" w:rsidRPr="0029404E" w:rsidP="00C52441" w14:paraId="0DBDF338" w14:textId="77777777">
      <w:pPr>
        <w:pStyle w:val="ParaNum"/>
      </w:pPr>
      <w:r w:rsidRPr="00342511">
        <w:t>In 2005</w:t>
      </w:r>
      <w:r>
        <w:t>,</w:t>
      </w:r>
      <w:r w:rsidRPr="00342511">
        <w:t xml:space="preserve"> Congress enacted the Junk Fax Prevention Act</w:t>
      </w:r>
      <w:r>
        <w:t>,</w:t>
      </w:r>
      <w:r w:rsidRPr="00342511">
        <w:t xml:space="preserve"> amend</w:t>
      </w:r>
      <w:r>
        <w:t>ing</w:t>
      </w:r>
      <w:r w:rsidRPr="00342511">
        <w:t xml:space="preserve"> the fax advertising provisions of the TCPA.</w:t>
      </w:r>
      <w:r>
        <w:rPr>
          <w:vertAlign w:val="superscript"/>
        </w:rPr>
        <w:footnoteReference w:id="12"/>
      </w:r>
      <w:r w:rsidRPr="00342511">
        <w:t xml:space="preserve">  Among other things, the law</w:t>
      </w:r>
      <w:r>
        <w:t xml:space="preserve"> </w:t>
      </w:r>
      <w:r w:rsidRPr="00342511">
        <w:t>require</w:t>
      </w:r>
      <w:r>
        <w:t>d</w:t>
      </w:r>
      <w:r w:rsidRPr="00342511">
        <w:t xml:space="preserve"> the sender of an unsolicited fax ad</w:t>
      </w:r>
      <w:r>
        <w:t>vertisement</w:t>
      </w:r>
      <w:r w:rsidRPr="00342511">
        <w:t xml:space="preserve"> to provide specified notice and contact information on </w:t>
      </w:r>
      <w:r>
        <w:t>the</w:t>
      </w:r>
      <w:r w:rsidRPr="00342511">
        <w:t xml:space="preserve"> fax t</w:t>
      </w:r>
      <w:r>
        <w:t>o</w:t>
      </w:r>
      <w:r w:rsidRPr="00342511">
        <w:t xml:space="preserve"> allow recipient</w:t>
      </w:r>
      <w:r>
        <w:t>s</w:t>
      </w:r>
      <w:r w:rsidRPr="00342511">
        <w:t xml:space="preserve"> to opt out of any future fax</w:t>
      </w:r>
      <w:r>
        <w:t>es</w:t>
      </w:r>
      <w:r w:rsidRPr="00342511">
        <w:t xml:space="preserve"> from the sender.</w:t>
      </w:r>
      <w:r>
        <w:rPr>
          <w:vertAlign w:val="superscript"/>
        </w:rPr>
        <w:footnoteReference w:id="13"/>
      </w:r>
      <w:r w:rsidRPr="00342511">
        <w:t xml:space="preserve">  </w:t>
      </w:r>
      <w:r w:rsidRPr="0029404E">
        <w:t>In 2006</w:t>
      </w:r>
      <w:r>
        <w:t>,</w:t>
      </w:r>
      <w:r w:rsidRPr="0029404E">
        <w:t xml:space="preserve"> the Commission adopted the </w:t>
      </w:r>
      <w:r w:rsidRPr="0029404E">
        <w:rPr>
          <w:i/>
          <w:iCs/>
        </w:rPr>
        <w:t>Junk Fax Order</w:t>
      </w:r>
      <w:r>
        <w:rPr>
          <w:iCs/>
        </w:rPr>
        <w:t>,</w:t>
      </w:r>
      <w:r w:rsidRPr="0029404E">
        <w:t xml:space="preserve"> </w:t>
      </w:r>
      <w:r>
        <w:t>attempting to conform</w:t>
      </w:r>
      <w:r w:rsidRPr="0029404E">
        <w:t xml:space="preserve"> </w:t>
      </w:r>
      <w:r>
        <w:t>its</w:t>
      </w:r>
      <w:r w:rsidRPr="0029404E">
        <w:t xml:space="preserve"> rules </w:t>
      </w:r>
      <w:r>
        <w:t>to</w:t>
      </w:r>
      <w:r w:rsidRPr="0029404E">
        <w:t xml:space="preserve"> the Junk Fax Prevention Act.</w:t>
      </w:r>
      <w:r>
        <w:rPr>
          <w:vertAlign w:val="superscript"/>
        </w:rPr>
        <w:footnoteReference w:id="14"/>
      </w:r>
      <w:r w:rsidRPr="0029404E">
        <w:t xml:space="preserve">  As part of the </w:t>
      </w:r>
      <w:r w:rsidRPr="0029404E">
        <w:rPr>
          <w:i/>
        </w:rPr>
        <w:t>Junk Fax Order</w:t>
      </w:r>
      <w:r w:rsidRPr="0029404E">
        <w:t>, the Commission adopted the Solicited Fax Rule</w:t>
      </w:r>
      <w:r>
        <w:t>, which</w:t>
      </w:r>
      <w:r w:rsidRPr="0029404E">
        <w:t xml:space="preserve"> </w:t>
      </w:r>
      <w:r>
        <w:t xml:space="preserve">required senders to include opt-out notices on </w:t>
      </w:r>
      <w:r>
        <w:rPr>
          <w:i/>
        </w:rPr>
        <w:t xml:space="preserve">solicited </w:t>
      </w:r>
      <w:r w:rsidRPr="0029404E">
        <w:t>fax ads</w:t>
      </w:r>
      <w:r>
        <w:t>, i.e., those sent with the recipients’ “prior express invitation or permission</w:t>
      </w:r>
      <w:r w:rsidRPr="0029404E">
        <w:t>.</w:t>
      </w:r>
      <w:r>
        <w:t>”</w:t>
      </w:r>
      <w:r>
        <w:rPr>
          <w:vertAlign w:val="superscript"/>
        </w:rPr>
        <w:footnoteReference w:id="15"/>
      </w:r>
      <w:r w:rsidRPr="0029404E">
        <w:t xml:space="preserve">  </w:t>
      </w:r>
    </w:p>
    <w:p w:rsidR="00C52441" w:rsidRPr="00342511" w:rsidP="00C52441" w14:paraId="4B285AD9" w14:textId="77777777">
      <w:pPr>
        <w:pStyle w:val="ParaNum"/>
      </w:pPr>
      <w:r w:rsidRPr="00342511">
        <w:t xml:space="preserve">In 2010, Anda, Inc. sought a declaratory ruling on the Solicited Fax Rule.  Anda asked the Commission to find: (1) that it lacked </w:t>
      </w:r>
      <w:r>
        <w:t xml:space="preserve">the </w:t>
      </w:r>
      <w:r w:rsidRPr="00342511">
        <w:t xml:space="preserve">authority to adopt </w:t>
      </w:r>
      <w:r>
        <w:t>the</w:t>
      </w:r>
      <w:r w:rsidRPr="00342511">
        <w:t xml:space="preserve"> rule; or</w:t>
      </w:r>
      <w:r>
        <w:t>,</w:t>
      </w:r>
      <w:r w:rsidRPr="00342511">
        <w:t xml:space="preserve"> in the alternative,</w:t>
      </w:r>
      <w:r>
        <w:t xml:space="preserve"> (2)</w:t>
      </w:r>
      <w:r w:rsidRPr="00342511">
        <w:t xml:space="preserve"> that Section 227(b) of the Act </w:t>
      </w:r>
      <w:r>
        <w:t xml:space="preserve">was </w:t>
      </w:r>
      <w:r w:rsidRPr="00342511">
        <w:t xml:space="preserve">not the statutory basis for </w:t>
      </w:r>
      <w:r>
        <w:t>it</w:t>
      </w:r>
      <w:r w:rsidRPr="00342511">
        <w:t>.</w:t>
      </w:r>
      <w:r>
        <w:rPr>
          <w:vertAlign w:val="superscript"/>
        </w:rPr>
        <w:footnoteReference w:id="16"/>
      </w:r>
      <w:r w:rsidRPr="00342511">
        <w:t xml:space="preserve">  In 2012, the Bureau dismissed Anda’s petition</w:t>
      </w:r>
      <w:r>
        <w:t>,</w:t>
      </w:r>
      <w:r w:rsidRPr="00342511">
        <w:t xml:space="preserve"> finding</w:t>
      </w:r>
      <w:r>
        <w:t xml:space="preserve"> among other things</w:t>
      </w:r>
      <w:r w:rsidRPr="00342511">
        <w:t xml:space="preserve"> that the Commission had the authority to adopt the</w:t>
      </w:r>
      <w:r>
        <w:t xml:space="preserve"> </w:t>
      </w:r>
      <w:r w:rsidRPr="00342511">
        <w:t>rule and that Section 227(b) had been cited as authority for adopting the rule.</w:t>
      </w:r>
      <w:r>
        <w:rPr>
          <w:vertAlign w:val="superscript"/>
        </w:rPr>
        <w:footnoteReference w:id="17"/>
      </w:r>
    </w:p>
    <w:p w:rsidR="00C52441" w:rsidP="00C52441" w14:paraId="663216D0" w14:textId="77777777">
      <w:pPr>
        <w:pStyle w:val="ParaNum"/>
      </w:pPr>
      <w:r w:rsidRPr="00342511">
        <w:t xml:space="preserve">Anda sought </w:t>
      </w:r>
      <w:r>
        <w:t xml:space="preserve">full </w:t>
      </w:r>
      <w:r w:rsidRPr="00342511">
        <w:t xml:space="preserve">Commission review of the </w:t>
      </w:r>
      <w:r>
        <w:rPr>
          <w:i/>
        </w:rPr>
        <w:t>2012 Anda Order</w:t>
      </w:r>
      <w:r w:rsidRPr="00342511">
        <w:t>.</w:t>
      </w:r>
      <w:r>
        <w:rPr>
          <w:vertAlign w:val="superscript"/>
        </w:rPr>
        <w:footnoteReference w:id="18"/>
      </w:r>
      <w:r w:rsidRPr="00342511">
        <w:t xml:space="preserve">  In 2014, the Commission denied Anda’s </w:t>
      </w:r>
      <w:r>
        <w:t>a</w:t>
      </w:r>
      <w:r w:rsidRPr="00342511">
        <w:t xml:space="preserve">pplication for </w:t>
      </w:r>
      <w:r>
        <w:t>r</w:t>
      </w:r>
      <w:r w:rsidRPr="00342511">
        <w:t>eview but granted</w:t>
      </w:r>
      <w:r>
        <w:t xml:space="preserve"> a</w:t>
      </w:r>
      <w:r w:rsidRPr="00342511">
        <w:t xml:space="preserve"> limited retroactive waiver </w:t>
      </w:r>
      <w:r>
        <w:t>of the Solicited Fax Rule because a</w:t>
      </w:r>
      <w:r w:rsidRPr="00342511">
        <w:t xml:space="preserve"> footnote in the </w:t>
      </w:r>
      <w:r w:rsidRPr="00342511">
        <w:rPr>
          <w:i/>
        </w:rPr>
        <w:t>Junk Fax Order</w:t>
      </w:r>
      <w:r w:rsidRPr="00342511">
        <w:t xml:space="preserve"> </w:t>
      </w:r>
      <w:r>
        <w:t xml:space="preserve">had </w:t>
      </w:r>
      <w:r w:rsidRPr="00342511">
        <w:t>c</w:t>
      </w:r>
      <w:r>
        <w:t>reat</w:t>
      </w:r>
      <w:r w:rsidRPr="00342511">
        <w:t>ed confusion regarding the applicability of the opt-out notice requirement to solicited faxes.</w:t>
      </w:r>
      <w:r>
        <w:rPr>
          <w:vertAlign w:val="superscript"/>
        </w:rPr>
        <w:footnoteReference w:id="19"/>
      </w:r>
      <w:r>
        <w:t xml:space="preserve">  </w:t>
      </w:r>
      <w:r w:rsidRPr="00FD2367">
        <w:t xml:space="preserve">Specifically, </w:t>
      </w:r>
      <w:r>
        <w:t xml:space="preserve">contrary to the rule but consistent with the statutory text, </w:t>
      </w:r>
      <w:r w:rsidRPr="00FD2367">
        <w:t xml:space="preserve">the footnote stated that “the opt-out notice requirement only applies to communications that constitute </w:t>
      </w:r>
      <w:r w:rsidRPr="00FD2367">
        <w:rPr>
          <w:i/>
        </w:rPr>
        <w:t>unsolicited</w:t>
      </w:r>
      <w:r w:rsidRPr="00FD2367">
        <w:t xml:space="preserve"> advertisements.”</w:t>
      </w:r>
      <w:r>
        <w:rPr>
          <w:vertAlign w:val="superscript"/>
        </w:rPr>
        <w:footnoteReference w:id="20"/>
      </w:r>
      <w:r w:rsidRPr="00FD2367">
        <w:t xml:space="preserve">  </w:t>
      </w:r>
      <w:r w:rsidRPr="00092AEA">
        <w:t xml:space="preserve">The </w:t>
      </w:r>
      <w:r w:rsidRPr="00092AEA">
        <w:rPr>
          <w:i/>
        </w:rPr>
        <w:t>2014 Anda Commission Order</w:t>
      </w:r>
      <w:r w:rsidRPr="00092AEA">
        <w:t xml:space="preserve"> invited similarly situated parties to seek a retroactive waiver of the Solicited Fax Rule.</w:t>
      </w:r>
      <w:r>
        <w:rPr>
          <w:rStyle w:val="FootnoteReference"/>
        </w:rPr>
        <w:footnoteReference w:id="21"/>
      </w:r>
      <w:r w:rsidRPr="00092AEA">
        <w:t xml:space="preserve">  The Bureau ruled on </w:t>
      </w:r>
      <w:r>
        <w:t>163</w:t>
      </w:r>
      <w:r w:rsidRPr="00092AEA">
        <w:t xml:space="preserve"> waiver petitions in three orders.</w:t>
      </w:r>
      <w:r>
        <w:rPr>
          <w:rStyle w:val="FootnoteReference"/>
        </w:rPr>
        <w:footnoteReference w:id="22"/>
      </w:r>
      <w:r w:rsidRPr="00092AEA">
        <w:t xml:space="preserve">  Ten parties filed applications for review of one or more of these orders that are pending.</w:t>
      </w:r>
      <w:r>
        <w:rPr>
          <w:rStyle w:val="FootnoteReference"/>
        </w:rPr>
        <w:footnoteReference w:id="23"/>
      </w:r>
      <w:r w:rsidRPr="00092AEA">
        <w:t xml:space="preserve">  One party’s petition for reconsideration of the </w:t>
      </w:r>
      <w:r w:rsidRPr="00092AEA">
        <w:rPr>
          <w:i/>
        </w:rPr>
        <w:t>2014 Anda Commission Order</w:t>
      </w:r>
      <w:r w:rsidRPr="00092AEA">
        <w:t xml:space="preserve"> is also pending.</w:t>
      </w:r>
      <w:r>
        <w:rPr>
          <w:rStyle w:val="FootnoteReference"/>
        </w:rPr>
        <w:footnoteReference w:id="24"/>
      </w:r>
    </w:p>
    <w:p w:rsidR="00C52441" w:rsidP="00C52441" w14:paraId="2AA21D8E" w14:textId="77777777">
      <w:pPr>
        <w:pStyle w:val="ParaNum"/>
      </w:pPr>
      <w:r w:rsidRPr="00FD2367">
        <w:t xml:space="preserve">Anda and other defendants in TCPA litigation jointly appealed the </w:t>
      </w:r>
      <w:r w:rsidRPr="00FD2367">
        <w:rPr>
          <w:i/>
        </w:rPr>
        <w:t xml:space="preserve">2014 Anda </w:t>
      </w:r>
      <w:r w:rsidRPr="00FD2367">
        <w:rPr>
          <w:i/>
        </w:rPr>
        <w:t>Commission Order</w:t>
      </w:r>
      <w:r w:rsidRPr="00FD2367">
        <w:t>, arguing that the Commission lacked authority under the Junk Fax Prevention Act to adopt the Solicited Fax Rule.</w:t>
      </w:r>
      <w:r>
        <w:rPr>
          <w:rStyle w:val="FootnoteReference"/>
        </w:rPr>
        <w:footnoteReference w:id="25"/>
      </w:r>
      <w:r w:rsidRPr="00FD2367">
        <w:t xml:space="preserve">  In March 2017, the U.S. Court of Appeals for the D.C. Circuit held that “the [Junk Fax Prevention] Act does not require . . . [an] opt-out notice on </w:t>
      </w:r>
      <w:r w:rsidRPr="00FD2367">
        <w:rPr>
          <w:i/>
        </w:rPr>
        <w:t>solicited</w:t>
      </w:r>
      <w:r w:rsidRPr="00FD2367">
        <w:t xml:space="preserve"> fax advertisements . . . [n]or does the Act grant the FCC authority to require opt-out notices on solicited fax advertisements.”</w:t>
      </w:r>
      <w:r>
        <w:rPr>
          <w:rStyle w:val="FootnoteReference"/>
        </w:rPr>
        <w:footnoteReference w:id="26"/>
      </w:r>
      <w:r w:rsidRPr="00FD2367">
        <w:t xml:space="preserve">  The court thus concluded that the Solicited Fax Rule was unlawful.</w:t>
      </w:r>
      <w:r>
        <w:rPr>
          <w:rStyle w:val="FootnoteReference"/>
        </w:rPr>
        <w:footnoteReference w:id="27"/>
      </w:r>
      <w:r w:rsidRPr="00FD2367">
        <w:t xml:space="preserve">  </w:t>
      </w:r>
    </w:p>
    <w:p w:rsidR="00C52441" w:rsidRPr="00FD2367" w:rsidP="00C52441" w14:paraId="28548AF5" w14:textId="77777777">
      <w:pPr>
        <w:pStyle w:val="ParaNum"/>
      </w:pPr>
      <w:r w:rsidRPr="00FD2367">
        <w:t>As a result, in November 2018, the Bureau eliminated the Solicited Fax Rule, specifically former section 64.1200(a)(4)(iv).</w:t>
      </w:r>
      <w:r>
        <w:rPr>
          <w:rStyle w:val="FootnoteReference"/>
        </w:rPr>
        <w:footnoteReference w:id="28"/>
      </w:r>
      <w:r w:rsidRPr="00FD2367">
        <w:t xml:space="preserve">  The Bureau also dismissed as moot ten petitions for retroactive waiver and two petitions for reconsideration regarding the eliminated rule.</w:t>
      </w:r>
      <w:r>
        <w:rPr>
          <w:rStyle w:val="FootnoteReference"/>
        </w:rPr>
        <w:footnoteReference w:id="29"/>
      </w:r>
    </w:p>
    <w:bookmarkEnd w:id="2"/>
    <w:p w:rsidR="00C52441" w:rsidRPr="009B4B20" w:rsidP="00C52441" w14:paraId="4E639F96" w14:textId="77777777">
      <w:pPr>
        <w:pStyle w:val="ParaNum"/>
      </w:pPr>
      <w:r w:rsidRPr="009B4B20">
        <w:t xml:space="preserve">A group of plaintiffs involved in TCPA litigation filed an application for review of the </w:t>
      </w:r>
      <w:r w:rsidRPr="009B4B20">
        <w:rPr>
          <w:i/>
        </w:rPr>
        <w:t xml:space="preserve">2018 </w:t>
      </w:r>
      <w:r>
        <w:rPr>
          <w:i/>
        </w:rPr>
        <w:t xml:space="preserve">Dismissal </w:t>
      </w:r>
      <w:r w:rsidRPr="009B4B20">
        <w:rPr>
          <w:i/>
        </w:rPr>
        <w:t>Order</w:t>
      </w:r>
      <w:r w:rsidRPr="009B4B20">
        <w:t>.</w:t>
      </w:r>
      <w:r>
        <w:rPr>
          <w:rStyle w:val="FootnoteReference"/>
        </w:rPr>
        <w:footnoteReference w:id="30"/>
      </w:r>
      <w:r w:rsidRPr="009B4B20">
        <w:t xml:space="preserve">  In </w:t>
      </w:r>
      <w:r>
        <w:t>their</w:t>
      </w:r>
      <w:r w:rsidRPr="009B4B20">
        <w:t xml:space="preserve"> application</w:t>
      </w:r>
      <w:r>
        <w:t>,</w:t>
      </w:r>
      <w:r w:rsidRPr="009B4B20">
        <w:t xml:space="preserve"> </w:t>
      </w:r>
      <w:r>
        <w:t xml:space="preserve">these parties ask the Commission to vacate the Bureau-level order, arguing: (1) the court’s opinion was not a non-discretionary mandate to vacate the rule; and (2) the opinion did not, and could not, vacate the Solicited Fax Rule because the court was reviewing the </w:t>
      </w:r>
      <w:r w:rsidRPr="00B34E30">
        <w:rPr>
          <w:i/>
        </w:rPr>
        <w:t>2014 Anda Commission Order</w:t>
      </w:r>
      <w:r>
        <w:t xml:space="preserve"> and not the 2006 </w:t>
      </w:r>
      <w:r w:rsidRPr="00B34E30">
        <w:rPr>
          <w:i/>
        </w:rPr>
        <w:t>Junk Fax Order</w:t>
      </w:r>
      <w:r>
        <w:t xml:space="preserve"> that created the Solicited Fax Rule.</w:t>
      </w:r>
    </w:p>
    <w:p w:rsidR="00C52441" w:rsidP="00C52441" w14:paraId="5EEE1B60" w14:textId="77777777">
      <w:pPr>
        <w:pStyle w:val="Heading1"/>
      </w:pPr>
      <w:r>
        <w:t>Discussion</w:t>
      </w:r>
    </w:p>
    <w:p w:rsidR="00C52441" w:rsidP="00C52441" w14:paraId="6F9D2291" w14:textId="77777777">
      <w:pPr>
        <w:pStyle w:val="ParaNum"/>
      </w:pPr>
      <w:r>
        <w:t>We find that eliminating the Solicited Fax Rule from the Code of Federal Regulations (CFR) was necessary and appropriate and therefore affirm the Bureau’s order eliminating the rule.  The D.C. Circuit held “that the FCC’s 2006 Solicited Fax Rule is unlawful to the extent that it requires opt-out notices on solicited faxes.”</w:t>
      </w:r>
      <w:r>
        <w:rPr>
          <w:rStyle w:val="FootnoteReference"/>
        </w:rPr>
        <w:footnoteReference w:id="31"/>
      </w:r>
      <w:r>
        <w:t xml:space="preserve">  We find that allowing an unlawful rule to remain in the CFR serves no public interest and would instead create unnecessary confusion and consternation as stakeholders could not use the CFR to know what the law is without also being aware of and understanding the significance of the </w:t>
      </w:r>
      <w:r w:rsidRPr="00B30EF4">
        <w:rPr>
          <w:i/>
        </w:rPr>
        <w:t>Bais</w:t>
      </w:r>
      <w:r w:rsidRPr="00B30EF4">
        <w:rPr>
          <w:i/>
        </w:rPr>
        <w:t xml:space="preserve"> Yaakov</w:t>
      </w:r>
      <w:r>
        <w:t xml:space="preserve"> decision.      </w:t>
      </w:r>
    </w:p>
    <w:p w:rsidR="00C52441" w:rsidRPr="0054211E" w:rsidP="00C52441" w14:paraId="7A43F5B4" w14:textId="77777777">
      <w:pPr>
        <w:pStyle w:val="ParaNum"/>
        <w:rPr>
          <w:sz w:val="20"/>
        </w:rPr>
      </w:pPr>
      <w:r>
        <w:t xml:space="preserve">The Applicants posit two arguments to support their application for review, and we find neither argument merits disturbing the Bureau’s </w:t>
      </w:r>
      <w:r w:rsidRPr="008C39AD">
        <w:rPr>
          <w:i/>
        </w:rPr>
        <w:t>2018 Dismissal Order</w:t>
      </w:r>
      <w:r w:rsidRPr="008C39AD">
        <w:t xml:space="preserve">.  </w:t>
      </w:r>
      <w:r>
        <w:t xml:space="preserve">First, the Applicants argue that the D.C. Circuit’s decision did not and could not vacate the Solicited Fax Rule because the only decision on review was the </w:t>
      </w:r>
      <w:r w:rsidRPr="000A76D1">
        <w:rPr>
          <w:i/>
        </w:rPr>
        <w:t>2014 Anda Commission Order</w:t>
      </w:r>
      <w:r>
        <w:t>.</w:t>
      </w:r>
      <w:r>
        <w:rPr>
          <w:rStyle w:val="FootnoteReference"/>
        </w:rPr>
        <w:footnoteReference w:id="32"/>
      </w:r>
      <w:r>
        <w:t xml:space="preserve">  As courts have found, however, the Solicited Fax Rule was struck down by the D.C. Circuit in </w:t>
      </w:r>
      <w:r>
        <w:rPr>
          <w:i/>
        </w:rPr>
        <w:t>Bais</w:t>
      </w:r>
      <w:r>
        <w:rPr>
          <w:i/>
        </w:rPr>
        <w:t xml:space="preserve"> Yaakov</w:t>
      </w:r>
      <w:r>
        <w:t xml:space="preserve"> even though the 2006 order adopting that rule was not technically before the Court.  For example, in 2018 the United States Court of Appeals for the Ninth Circuit held that </w:t>
      </w:r>
      <w:r w:rsidRPr="009C2B87">
        <w:t>while “</w:t>
      </w:r>
      <w:r w:rsidRPr="00D22540">
        <w:t>[</w:t>
      </w:r>
      <w:r w:rsidRPr="00D22540">
        <w:t>i</w:t>
      </w:r>
      <w:r w:rsidRPr="005F6736">
        <w:t>]</w:t>
      </w:r>
      <w:r w:rsidRPr="00B30AEF">
        <w:rPr>
          <w:shd w:val="clear" w:color="auto" w:fill="FFFFFF"/>
        </w:rPr>
        <w:t>t is, of course, true that </w:t>
      </w:r>
      <w:hyperlink r:id="rId5" w:history="1">
        <w:r w:rsidRPr="00B30AEF">
          <w:rPr>
            <w:i/>
            <w:iCs/>
            <w:bdr w:val="none" w:sz="0" w:space="0" w:color="auto" w:frame="1"/>
            <w:shd w:val="clear" w:color="auto" w:fill="FFFFFF"/>
          </w:rPr>
          <w:t>Bais</w:t>
        </w:r>
        <w:r w:rsidRPr="00B30AEF">
          <w:rPr>
            <w:i/>
            <w:iCs/>
            <w:bdr w:val="none" w:sz="0" w:space="0" w:color="auto" w:frame="1"/>
            <w:shd w:val="clear" w:color="auto" w:fill="FFFFFF"/>
          </w:rPr>
          <w:t xml:space="preserve"> Yaakov</w:t>
        </w:r>
      </w:hyperlink>
      <w:r>
        <w:rPr>
          <w:shd w:val="clear" w:color="auto" w:fill="FFFFFF"/>
        </w:rPr>
        <w:t xml:space="preserve"> </w:t>
      </w:r>
      <w:r w:rsidRPr="00B30AEF">
        <w:rPr>
          <w:shd w:val="clear" w:color="auto" w:fill="FFFFFF"/>
        </w:rPr>
        <w:t>reviewed a 2014 FCC order[,] . . . the validity of the 2014 order depended on the validity of the 2006 Solicited Fax Rule, and the court in </w:t>
      </w:r>
      <w:hyperlink r:id="rId5" w:history="1">
        <w:r w:rsidRPr="00B30AEF">
          <w:rPr>
            <w:i/>
            <w:iCs/>
            <w:bdr w:val="none" w:sz="0" w:space="0" w:color="auto" w:frame="1"/>
            <w:shd w:val="clear" w:color="auto" w:fill="FFFFFF"/>
          </w:rPr>
          <w:t>Bais</w:t>
        </w:r>
        <w:r w:rsidRPr="00B30AEF">
          <w:rPr>
            <w:i/>
            <w:iCs/>
            <w:bdr w:val="none" w:sz="0" w:space="0" w:color="auto" w:frame="1"/>
            <w:shd w:val="clear" w:color="auto" w:fill="FFFFFF"/>
          </w:rPr>
          <w:t xml:space="preserve"> Yaakov</w:t>
        </w:r>
      </w:hyperlink>
      <w:r w:rsidRPr="00B30AEF">
        <w:rPr>
          <w:shd w:val="clear" w:color="auto" w:fill="FFFFFF"/>
        </w:rPr>
        <w:t> squarely held that the underlying Solicited Fax Rule was invalid.”</w:t>
      </w:r>
      <w:r>
        <w:rPr>
          <w:rStyle w:val="FootnoteReference"/>
          <w:shd w:val="clear" w:color="auto" w:fill="FFFFFF"/>
        </w:rPr>
        <w:footnoteReference w:id="33"/>
      </w:r>
      <w:r w:rsidRPr="00B30AEF">
        <w:rPr>
          <w:shd w:val="clear" w:color="auto" w:fill="FFFFFF"/>
        </w:rPr>
        <w:t xml:space="preserve">  Similarly, in 2017 the United States Court of Appeals for the Sixth Circuit held that the </w:t>
      </w:r>
      <w:r w:rsidRPr="00B30AEF">
        <w:rPr>
          <w:i/>
          <w:shd w:val="clear" w:color="auto" w:fill="FFFFFF"/>
        </w:rPr>
        <w:t>Bais</w:t>
      </w:r>
      <w:r w:rsidRPr="00B30AEF">
        <w:rPr>
          <w:i/>
          <w:shd w:val="clear" w:color="auto" w:fill="FFFFFF"/>
        </w:rPr>
        <w:t xml:space="preserve"> Yaakov </w:t>
      </w:r>
      <w:r w:rsidRPr="00B30AEF">
        <w:rPr>
          <w:shd w:val="clear" w:color="auto" w:fill="FFFFFF"/>
        </w:rPr>
        <w:t xml:space="preserve">“court was clear that the </w:t>
      </w:r>
      <w:r w:rsidRPr="00B30AEF">
        <w:rPr>
          <w:shd w:val="clear" w:color="auto" w:fill="FFFFFF"/>
        </w:rPr>
        <w:t>‘Solicited Fax Rule is unlawful</w:t>
      </w:r>
      <w:r>
        <w:rPr>
          <w:shd w:val="clear" w:color="auto" w:fill="FFFFFF"/>
        </w:rPr>
        <w:t>’</w:t>
      </w:r>
      <w:r w:rsidRPr="00B30AEF">
        <w:rPr>
          <w:shd w:val="clear" w:color="auto" w:fill="FFFFFF"/>
        </w:rPr>
        <w:t xml:space="preserve"> . . . . </w:t>
      </w:r>
      <w:r>
        <w:rPr>
          <w:shd w:val="clear" w:color="auto" w:fill="FFFFFF"/>
        </w:rPr>
        <w:t xml:space="preserve"> </w:t>
      </w:r>
      <w:r w:rsidRPr="00B30AEF">
        <w:rPr>
          <w:shd w:val="clear" w:color="auto" w:fill="FFFFFF"/>
        </w:rPr>
        <w:t>Thus, it was the Solicited Fax Rule itself that was struck down.”</w:t>
      </w:r>
      <w:r>
        <w:rPr>
          <w:rStyle w:val="FootnoteReference"/>
          <w:shd w:val="clear" w:color="auto" w:fill="FFFFFF"/>
        </w:rPr>
        <w:footnoteReference w:id="34"/>
      </w:r>
      <w:r w:rsidRPr="00B30AEF">
        <w:rPr>
          <w:shd w:val="clear" w:color="auto" w:fill="FFFFFF"/>
        </w:rPr>
        <w:t xml:space="preserve">  Because </w:t>
      </w:r>
      <w:r w:rsidRPr="00B30AEF">
        <w:rPr>
          <w:i/>
          <w:shd w:val="clear" w:color="auto" w:fill="FFFFFF"/>
        </w:rPr>
        <w:t>Bais</w:t>
      </w:r>
      <w:r w:rsidRPr="00B30AEF">
        <w:rPr>
          <w:i/>
          <w:shd w:val="clear" w:color="auto" w:fill="FFFFFF"/>
        </w:rPr>
        <w:t xml:space="preserve"> Yaakov</w:t>
      </w:r>
      <w:r w:rsidRPr="00B30AEF">
        <w:rPr>
          <w:shd w:val="clear" w:color="auto" w:fill="FFFFFF"/>
        </w:rPr>
        <w:t xml:space="preserve"> </w:t>
      </w:r>
      <w:r>
        <w:rPr>
          <w:shd w:val="clear" w:color="auto" w:fill="FFFFFF"/>
        </w:rPr>
        <w:t xml:space="preserve">struck down </w:t>
      </w:r>
      <w:r w:rsidRPr="00B30AEF">
        <w:rPr>
          <w:shd w:val="clear" w:color="auto" w:fill="FFFFFF"/>
        </w:rPr>
        <w:t xml:space="preserve">the Solicited Fax Rule, the </w:t>
      </w:r>
      <w:r>
        <w:rPr>
          <w:shd w:val="clear" w:color="auto" w:fill="FFFFFF"/>
        </w:rPr>
        <w:t>B</w:t>
      </w:r>
      <w:r w:rsidRPr="00B30AEF">
        <w:rPr>
          <w:shd w:val="clear" w:color="auto" w:fill="FFFFFF"/>
        </w:rPr>
        <w:t>ureau acted properly in eliminating that rule and, indeed, had no discretion but to do so.</w:t>
      </w:r>
      <w:r>
        <w:rPr>
          <w:color w:val="3D3D3D"/>
          <w:shd w:val="clear" w:color="auto" w:fill="FFFFFF"/>
        </w:rPr>
        <w:t xml:space="preserve">  </w:t>
      </w:r>
    </w:p>
    <w:p w:rsidR="00C52441" w:rsidP="00C52441" w14:paraId="1C36034A" w14:textId="5029DBBA">
      <w:pPr>
        <w:pStyle w:val="ParaNum"/>
      </w:pPr>
      <w:r w:rsidRPr="005E583A">
        <w:rPr>
          <w:shd w:val="clear" w:color="auto" w:fill="FFFFFF"/>
        </w:rPr>
        <w:t xml:space="preserve">As a separate and independent basis for this holding, we find that </w:t>
      </w:r>
      <w:r w:rsidRPr="005E583A">
        <w:t xml:space="preserve">the Commission reopened the question of whether the Solicited Fax Rule was authorized by the statute when it issued the </w:t>
      </w:r>
      <w:r w:rsidRPr="005E583A">
        <w:rPr>
          <w:i/>
        </w:rPr>
        <w:t>2014 Anda Commission Order</w:t>
      </w:r>
      <w:r w:rsidRPr="005E583A">
        <w:t xml:space="preserve">, and therefore the Solicited Fax Rule was properly before the </w:t>
      </w:r>
      <w:r w:rsidRPr="005E583A">
        <w:rPr>
          <w:i/>
        </w:rPr>
        <w:t>Bais</w:t>
      </w:r>
      <w:r w:rsidRPr="005E583A">
        <w:rPr>
          <w:i/>
        </w:rPr>
        <w:t xml:space="preserve"> Yaakov </w:t>
      </w:r>
      <w:r w:rsidRPr="005E583A">
        <w:t>court on appeal.</w:t>
      </w:r>
      <w:r w:rsidRPr="005E583A">
        <w:rPr>
          <w:color w:val="3D3D3D"/>
          <w:shd w:val="clear" w:color="auto" w:fill="FFFFFF"/>
        </w:rPr>
        <w:t xml:space="preserve">  </w:t>
      </w:r>
      <w:r w:rsidRPr="005E583A">
        <w:t xml:space="preserve">For example, the </w:t>
      </w:r>
      <w:r w:rsidRPr="00092AEA">
        <w:rPr>
          <w:i/>
        </w:rPr>
        <w:t>2014 Anda Commission Order</w:t>
      </w:r>
      <w:r w:rsidRPr="005E583A">
        <w:t xml:space="preserve"> undertook “‘a serious, substantive reconsideration of the [existing] rule.’</w:t>
      </w:r>
      <w:r w:rsidRPr="005E583A">
        <w:rPr>
          <w:color w:val="000000"/>
        </w:rPr>
        <w:t>”</w:t>
      </w:r>
      <w:r>
        <w:rPr>
          <w:rStyle w:val="FootnoteReference"/>
        </w:rPr>
        <w:footnoteReference w:id="35"/>
      </w:r>
      <w:r w:rsidRPr="005E583A">
        <w:rPr>
          <w:color w:val="000000"/>
        </w:rPr>
        <w:t xml:space="preserve">  The </w:t>
      </w:r>
      <w:r>
        <w:rPr>
          <w:color w:val="000000"/>
        </w:rPr>
        <w:t xml:space="preserve">Commission’s </w:t>
      </w:r>
      <w:r w:rsidRPr="005E583A">
        <w:rPr>
          <w:color w:val="000000"/>
        </w:rPr>
        <w:t xml:space="preserve">examination of the statutory authority for the rule unfolded over three pages of its </w:t>
      </w:r>
      <w:r>
        <w:rPr>
          <w:color w:val="000000"/>
        </w:rPr>
        <w:t>o</w:t>
      </w:r>
      <w:r w:rsidRPr="005E583A">
        <w:rPr>
          <w:color w:val="000000"/>
        </w:rPr>
        <w:t xml:space="preserve">rder, and it was the </w:t>
      </w:r>
      <w:r w:rsidR="0075126F">
        <w:rPr>
          <w:color w:val="000000"/>
        </w:rPr>
        <w:t>primary</w:t>
      </w:r>
      <w:r w:rsidRPr="005E583A" w:rsidR="0075126F">
        <w:rPr>
          <w:color w:val="000000"/>
        </w:rPr>
        <w:t xml:space="preserve"> </w:t>
      </w:r>
      <w:r w:rsidRPr="005E583A">
        <w:rPr>
          <w:color w:val="000000"/>
        </w:rPr>
        <w:t>basis for the</w:t>
      </w:r>
      <w:r>
        <w:rPr>
          <w:color w:val="000000"/>
        </w:rPr>
        <w:t xml:space="preserve"> Commission’</w:t>
      </w:r>
      <w:r w:rsidRPr="005E583A">
        <w:rPr>
          <w:color w:val="000000"/>
        </w:rPr>
        <w:t xml:space="preserve">s rejection of the petition for </w:t>
      </w:r>
      <w:r>
        <w:rPr>
          <w:color w:val="000000"/>
        </w:rPr>
        <w:t xml:space="preserve">declaratory ruling, waiver, and/or </w:t>
      </w:r>
      <w:r w:rsidRPr="005E583A">
        <w:rPr>
          <w:color w:val="000000"/>
        </w:rPr>
        <w:t xml:space="preserve">rulemaking.  No case stands for the proposition that the substantive legal justification for an agency’s action is not subject to judicial review.  In addition, the </w:t>
      </w:r>
      <w:r w:rsidRPr="00092AEA">
        <w:rPr>
          <w:i/>
        </w:rPr>
        <w:t>2014 Anda Commission Order</w:t>
      </w:r>
      <w:r w:rsidRPr="005E583A">
        <w:rPr>
          <w:color w:val="000000"/>
        </w:rPr>
        <w:t xml:space="preserve"> was the first time the </w:t>
      </w:r>
      <w:r>
        <w:rPr>
          <w:color w:val="000000"/>
        </w:rPr>
        <w:t xml:space="preserve">Commission </w:t>
      </w:r>
      <w:r w:rsidRPr="005E583A">
        <w:rPr>
          <w:color w:val="000000"/>
        </w:rPr>
        <w:t>had ever offered any legal rationale for the Solicited Fax Rule.</w:t>
      </w:r>
      <w:r>
        <w:rPr>
          <w:rStyle w:val="FootnoteReference"/>
        </w:rPr>
        <w:footnoteReference w:id="36"/>
      </w:r>
      <w:r w:rsidRPr="005E583A">
        <w:rPr>
          <w:color w:val="000000"/>
        </w:rPr>
        <w:t xml:space="preserve">  Under these circumstances, we find that the </w:t>
      </w:r>
      <w:r>
        <w:rPr>
          <w:color w:val="000000"/>
        </w:rPr>
        <w:t xml:space="preserve">Commission </w:t>
      </w:r>
      <w:r w:rsidRPr="005E583A">
        <w:rPr>
          <w:color w:val="000000"/>
        </w:rPr>
        <w:t>reopened the question of whether the Solicited Fax Rule was authorized by the statute, and</w:t>
      </w:r>
      <w:r>
        <w:rPr>
          <w:color w:val="000000"/>
        </w:rPr>
        <w:t>,</w:t>
      </w:r>
      <w:r w:rsidRPr="005E583A">
        <w:rPr>
          <w:color w:val="000000"/>
        </w:rPr>
        <w:t xml:space="preserve"> hence</w:t>
      </w:r>
      <w:r>
        <w:rPr>
          <w:color w:val="000000"/>
        </w:rPr>
        <w:t>,</w:t>
      </w:r>
      <w:r w:rsidRPr="005E583A">
        <w:rPr>
          <w:color w:val="000000"/>
        </w:rPr>
        <w:t xml:space="preserve"> its “renewed adherence [was] substantively reviewable” by the court of appeals.</w:t>
      </w:r>
      <w:r>
        <w:rPr>
          <w:rStyle w:val="FootnoteReference"/>
        </w:rPr>
        <w:footnoteReference w:id="37"/>
      </w:r>
    </w:p>
    <w:p w:rsidR="00C52441" w:rsidRPr="00C94146" w:rsidP="00C52441" w14:paraId="5F28DBF6" w14:textId="77777777">
      <w:pPr>
        <w:pStyle w:val="ParaNum"/>
      </w:pPr>
      <w:r>
        <w:t>Second, the Applicants argue that the opinion of the D.C. Circuit was “not a non-discretionary mandate.”  In other words, the Applicants argue that the Bureau was not required to vacate the Solicited Fax Rule, notwithstanding the decision of the D.C. Circuit Court.  We disagree.</w:t>
      </w:r>
    </w:p>
    <w:p w:rsidR="00C52441" w:rsidRPr="007B1A88" w:rsidP="00C52441" w14:paraId="3D8B6168" w14:textId="77777777">
      <w:pPr>
        <w:pStyle w:val="ParaNum"/>
        <w:rPr>
          <w:sz w:val="20"/>
        </w:rPr>
      </w:pPr>
      <w:r w:rsidRPr="007A31F7">
        <w:t>The D.C. Circuit explicitly concluded that the Commission was not authorized to enact a rule requiring opt-out notices on solicited faxes.</w:t>
      </w:r>
      <w:r>
        <w:rPr>
          <w:rStyle w:val="FootnoteReference"/>
        </w:rPr>
        <w:footnoteReference w:id="38"/>
      </w:r>
      <w:r w:rsidRPr="007A31F7">
        <w:t xml:space="preserve">  It held “that the FCC’s 2006 Solicited Fax Rule is unlawful to the extent it requires opt-out notices on solicited faxes.”</w:t>
      </w:r>
      <w:r>
        <w:rPr>
          <w:rStyle w:val="FootnoteReference"/>
        </w:rPr>
        <w:footnoteReference w:id="39"/>
      </w:r>
      <w:r w:rsidRPr="007A31F7">
        <w:t xml:space="preserve">  The court therefore vacated the </w:t>
      </w:r>
      <w:r w:rsidRPr="00DE45EE">
        <w:rPr>
          <w:i/>
        </w:rPr>
        <w:t>2014 Anda Commission Order</w:t>
      </w:r>
      <w:r w:rsidRPr="007A31F7">
        <w:t xml:space="preserve"> and remanded the matter to the Commission for further proceedings consistent with its decision.</w:t>
      </w:r>
      <w:r>
        <w:rPr>
          <w:rStyle w:val="FootnoteReference"/>
        </w:rPr>
        <w:footnoteReference w:id="40"/>
      </w:r>
      <w:r w:rsidRPr="007A31F7">
        <w:t xml:space="preserve">  Because the Solicited Fax Rule could no longer be viewed as lawful after the court’s pronouncement, the Bureau’s order eliminating the rule was </w:t>
      </w:r>
      <w:r>
        <w:t xml:space="preserve">not a </w:t>
      </w:r>
      <w:r w:rsidRPr="007A31F7">
        <w:t xml:space="preserve">discretionary implementation of the court’s mandate, which had issued on March 31, 2017.  </w:t>
      </w:r>
      <w:bookmarkStart w:id="5" w:name="_Hlk27045309"/>
      <w:r w:rsidRPr="001737B0">
        <w:t>We also reject the Applicants’ notion that the Commission is not required to “acquiesce” to the court’s opinion.</w:t>
      </w:r>
      <w:r>
        <w:rPr>
          <w:rStyle w:val="FootnoteReference"/>
        </w:rPr>
        <w:footnoteReference w:id="41"/>
      </w:r>
      <w:r w:rsidRPr="001737B0">
        <w:t xml:space="preserve">  </w:t>
      </w:r>
      <w:r w:rsidRPr="00C15589">
        <w:t xml:space="preserve">As </w:t>
      </w:r>
      <w:r w:rsidRPr="00C15589">
        <w:t>numerous courts have held, the D.C. Circuit’s decision is binding on all other circuits.</w:t>
      </w:r>
      <w:r>
        <w:rPr>
          <w:rStyle w:val="FootnoteReference"/>
        </w:rPr>
        <w:footnoteReference w:id="42"/>
      </w:r>
      <w:r w:rsidRPr="00C15589">
        <w:t xml:space="preserve">  The Commission is thus bound to comply with the D.C. Circuit’s mandate.</w:t>
      </w:r>
      <w:bookmarkEnd w:id="5"/>
    </w:p>
    <w:p w:rsidR="00C52441" w:rsidRPr="009C3D50" w:rsidP="00C52441" w14:paraId="2724A1FB" w14:textId="77777777">
      <w:pPr>
        <w:pStyle w:val="ParaNum"/>
      </w:pPr>
      <w:r w:rsidRPr="009C3D50">
        <w:t xml:space="preserve">In light of the Bureau’s </w:t>
      </w:r>
      <w:r w:rsidRPr="00D07BD8">
        <w:t>elimination of the Solicited Fax Rule, w</w:t>
      </w:r>
      <w:r w:rsidRPr="00B9452D">
        <w:t xml:space="preserve">e </w:t>
      </w:r>
      <w:r w:rsidRPr="00DC1BB4">
        <w:t>also dismiss as moot the ten pending applications for review</w:t>
      </w:r>
      <w:r w:rsidRPr="00E27FEE">
        <w:t xml:space="preserve"> of the orders released in 2015 and 2016</w:t>
      </w:r>
      <w:r w:rsidRPr="00F44C91">
        <w:t>, as well as the pending petition for reconsideration</w:t>
      </w:r>
      <w:r w:rsidRPr="004A4412">
        <w:t xml:space="preserve"> of a grant of a retroactive waiver in the </w:t>
      </w:r>
      <w:r w:rsidRPr="004A4412">
        <w:rPr>
          <w:i/>
        </w:rPr>
        <w:t>2014 Anda Commission Order</w:t>
      </w:r>
      <w:r w:rsidRPr="004A4412">
        <w:t>.</w:t>
      </w:r>
      <w:r>
        <w:rPr>
          <w:rStyle w:val="FootnoteReference"/>
        </w:rPr>
        <w:footnoteReference w:id="43"/>
      </w:r>
      <w:r w:rsidRPr="009C3D50">
        <w:t xml:space="preserve">  </w:t>
      </w:r>
      <w:r>
        <w:t>T</w:t>
      </w:r>
      <w:r w:rsidRPr="00B9452D">
        <w:t xml:space="preserve">he </w:t>
      </w:r>
      <w:r>
        <w:t xml:space="preserve">D.C. Circuit has found the </w:t>
      </w:r>
      <w:r w:rsidRPr="00DC1BB4">
        <w:t xml:space="preserve">Solicited Fax Rule </w:t>
      </w:r>
      <w:r>
        <w:t>to be</w:t>
      </w:r>
      <w:r w:rsidRPr="004A4412">
        <w:t xml:space="preserve"> unlawful.  Therefore, we find no need to consider the pending requests seeking review or reconsideration</w:t>
      </w:r>
      <w:r w:rsidRPr="00F10F99">
        <w:t xml:space="preserve"> of t</w:t>
      </w:r>
      <w:r w:rsidRPr="007020C9">
        <w:t>he Commission’s or the Bureau’s application of</w:t>
      </w:r>
      <w:r w:rsidRPr="00D62874">
        <w:t xml:space="preserve"> the unlawful </w:t>
      </w:r>
      <w:r w:rsidRPr="008A3442">
        <w:t xml:space="preserve">rule, which </w:t>
      </w:r>
      <w:r w:rsidRPr="009C2B87">
        <w:t xml:space="preserve">the Commission </w:t>
      </w:r>
      <w:r w:rsidRPr="00D22540">
        <w:t>did not have the</w:t>
      </w:r>
      <w:r w:rsidRPr="005F6736">
        <w:t xml:space="preserve"> authority to </w:t>
      </w:r>
      <w:r>
        <w:t xml:space="preserve">adopt or </w:t>
      </w:r>
      <w:r w:rsidRPr="005F6736">
        <w:t>enforce</w:t>
      </w:r>
      <w:r w:rsidRPr="00B30AEF">
        <w:t>.</w:t>
      </w:r>
      <w:r>
        <w:rPr>
          <w:rStyle w:val="FootnoteReference"/>
        </w:rPr>
        <w:footnoteReference w:id="44"/>
      </w:r>
      <w:r w:rsidRPr="009C3D50">
        <w:t xml:space="preserve"> </w:t>
      </w:r>
    </w:p>
    <w:p w:rsidR="00C52441" w:rsidP="00C52441" w14:paraId="4366F3CC" w14:textId="77777777">
      <w:pPr>
        <w:pStyle w:val="Heading1"/>
      </w:pPr>
      <w:r>
        <w:t>ordering clauses</w:t>
      </w:r>
    </w:p>
    <w:p w:rsidR="00C52441" w:rsidP="00C52441" w14:paraId="5FA3BC3D" w14:textId="77777777">
      <w:pPr>
        <w:pStyle w:val="ParaNum"/>
        <w:tabs>
          <w:tab w:val="clear" w:pos="1440"/>
        </w:tabs>
      </w:pPr>
      <w:r w:rsidRPr="00017A19">
        <w:t xml:space="preserve">Accordingly, </w:t>
      </w:r>
      <w:r>
        <w:t>IT IS</w:t>
      </w:r>
      <w:r w:rsidRPr="00017A19">
        <w:t xml:space="preserve"> ORDERED,</w:t>
      </w:r>
      <w:r w:rsidRPr="00773E4D">
        <w:t xml:space="preserve"> </w:t>
      </w:r>
      <w:r w:rsidRPr="00017A19">
        <w:t>pursuant to sections 4(</w:t>
      </w:r>
      <w:r w:rsidRPr="00017A19">
        <w:t>i</w:t>
      </w:r>
      <w:r w:rsidRPr="00017A19">
        <w:t>), 4(j), and 227 of the Communications Act of 1934, as amended, 47 U.S.C. §§ 154(</w:t>
      </w:r>
      <w:r w:rsidRPr="00017A19">
        <w:t>i</w:t>
      </w:r>
      <w:r w:rsidRPr="00017A19">
        <w:t>), (j), 227, and section 1.</w:t>
      </w:r>
      <w:r>
        <w:t>115</w:t>
      </w:r>
      <w:r w:rsidRPr="00017A19">
        <w:t xml:space="preserve"> of the Commission’s rules, 47 CFR § </w:t>
      </w:r>
      <w:r>
        <w:t>1.115</w:t>
      </w:r>
      <w:r w:rsidRPr="00017A19">
        <w:t xml:space="preserve">, that the </w:t>
      </w:r>
      <w:r>
        <w:t>application for review</w:t>
      </w:r>
      <w:r w:rsidRPr="00017A19">
        <w:t xml:space="preserve"> filed by</w:t>
      </w:r>
      <w:r>
        <w:t xml:space="preserve"> </w:t>
      </w:r>
      <w:r>
        <w:t>Gorss</w:t>
      </w:r>
      <w:r>
        <w:t xml:space="preserve"> Motels, Inc., Compressor Engineering Corporation, </w:t>
      </w:r>
      <w:r>
        <w:t>Swetlic</w:t>
      </w:r>
      <w:r>
        <w:t xml:space="preserve"> Chiropractic &amp; Rehabilitation Center, Inc., Shaun </w:t>
      </w:r>
      <w:r>
        <w:t>Fauley</w:t>
      </w:r>
      <w:r>
        <w:t xml:space="preserve">, and JT’s Frames, Inc. IS DENIED. </w:t>
      </w:r>
      <w:r w:rsidRPr="00017A19">
        <w:t xml:space="preserve"> </w:t>
      </w:r>
    </w:p>
    <w:p w:rsidR="00C52441" w:rsidRPr="00E30A74" w:rsidP="00C52441" w14:paraId="277955EA" w14:textId="77777777">
      <w:pPr>
        <w:pStyle w:val="ParaNum"/>
        <w:tabs>
          <w:tab w:val="clear" w:pos="1440"/>
        </w:tabs>
      </w:pPr>
      <w:r w:rsidRPr="00E30A74">
        <w:t>IT IS FURTHER ORDERED, pursuant to sections 4(</w:t>
      </w:r>
      <w:r w:rsidRPr="00E30A74">
        <w:t>i</w:t>
      </w:r>
      <w:r w:rsidRPr="00E30A74">
        <w:t>), 4(j), and 227 of the Communications Act of 1934, as amended, 47 U.S.C. §§ 154(</w:t>
      </w:r>
      <w:r w:rsidRPr="00E30A74">
        <w:t>i</w:t>
      </w:r>
      <w:r w:rsidRPr="00E30A74">
        <w:t>), (j), 227, and section 1.</w:t>
      </w:r>
      <w:r>
        <w:t>115</w:t>
      </w:r>
      <w:r w:rsidRPr="00E30A74">
        <w:t xml:space="preserve"> of the Commission’s rules, 47 CFR § 1</w:t>
      </w:r>
      <w:r>
        <w:t>.115</w:t>
      </w:r>
      <w:r w:rsidRPr="00E30A74">
        <w:t xml:space="preserve">, that the </w:t>
      </w:r>
      <w:r>
        <w:t>applications for review</w:t>
      </w:r>
      <w:r w:rsidRPr="00E30A74">
        <w:t xml:space="preserve"> filed by </w:t>
      </w:r>
      <w:r>
        <w:t xml:space="preserve">(1) </w:t>
      </w:r>
      <w:r w:rsidRPr="00E30A74">
        <w:t>Bais</w:t>
      </w:r>
      <w:r w:rsidRPr="00E30A74">
        <w:t xml:space="preserve"> Yaakov of Spring Valley, Roger H. Kaye, and Roger H. Kaye MD PC</w:t>
      </w:r>
      <w:r>
        <w:t>;</w:t>
      </w:r>
      <w:r w:rsidRPr="00E30A74">
        <w:t xml:space="preserve"> </w:t>
      </w:r>
      <w:r>
        <w:t xml:space="preserve">(2) </w:t>
      </w:r>
      <w:r w:rsidRPr="00A95CC2">
        <w:t>Craftwood</w:t>
      </w:r>
      <w:r w:rsidRPr="00A95CC2">
        <w:t xml:space="preserve"> Lumber Company</w:t>
      </w:r>
      <w:r>
        <w:t>;</w:t>
      </w:r>
      <w:r w:rsidRPr="00A95CC2">
        <w:t xml:space="preserve"> </w:t>
      </w:r>
      <w:r>
        <w:t xml:space="preserve">(3) </w:t>
      </w:r>
      <w:r w:rsidRPr="00A95CC2">
        <w:t>Edward Simon, DC</w:t>
      </w:r>
      <w:r>
        <w:t>;</w:t>
      </w:r>
      <w:r w:rsidRPr="00A95CC2">
        <w:t xml:space="preserve"> </w:t>
      </w:r>
      <w:r>
        <w:t xml:space="preserve">(4) </w:t>
      </w:r>
      <w:r w:rsidRPr="00A95CC2">
        <w:t>Craftwood</w:t>
      </w:r>
      <w:r w:rsidRPr="00A95CC2">
        <w:t xml:space="preserve"> II, Inc., dba Bay Hardware, and </w:t>
      </w:r>
      <w:r w:rsidRPr="00A95CC2">
        <w:t>Craftwood</w:t>
      </w:r>
      <w:r w:rsidRPr="00A95CC2">
        <w:t xml:space="preserve"> Lumber Company</w:t>
      </w:r>
      <w:r>
        <w:t>;</w:t>
      </w:r>
      <w:r w:rsidRPr="00A95CC2">
        <w:t xml:space="preserve"> </w:t>
      </w:r>
      <w:r>
        <w:t xml:space="preserve">(5) </w:t>
      </w:r>
      <w:r w:rsidRPr="00A95CC2">
        <w:t xml:space="preserve">Beck Simmons, LLC, Physicians Healthsource, Inc., Radha </w:t>
      </w:r>
      <w:r w:rsidRPr="00A95CC2">
        <w:t>Geismann</w:t>
      </w:r>
      <w:r w:rsidRPr="00A95CC2">
        <w:t xml:space="preserve">, M.D., P.C., Sandusky Wellness, LLC, Alan L. </w:t>
      </w:r>
      <w:r w:rsidRPr="00A95CC2">
        <w:t>Laub</w:t>
      </w:r>
      <w:r w:rsidRPr="00A95CC2">
        <w:t xml:space="preserve">, DDS, Inc., North Branch Pizza &amp; Burger Co., True Health Chiropractic, Inc., Alan </w:t>
      </w:r>
      <w:r w:rsidRPr="00A95CC2">
        <w:t>Presswood</w:t>
      </w:r>
      <w:r w:rsidRPr="00A95CC2">
        <w:t xml:space="preserve">, D.C., P.C., Carradine Chiropractic Center, Inc., Christopher Lowe Hicklin, DC, PLC, J. Barrett Company, Central Alarm Signal, Inc., St. Louis Heart Center, Inc., Eric B. </w:t>
      </w:r>
      <w:r w:rsidRPr="00A95CC2">
        <w:t>Fromer</w:t>
      </w:r>
      <w:r w:rsidRPr="00A95CC2">
        <w:t xml:space="preserve"> Chiropractic, Inc., Arnold Chapman, Shaun </w:t>
      </w:r>
      <w:r w:rsidRPr="00A95CC2">
        <w:t>Fauley</w:t>
      </w:r>
      <w:r w:rsidRPr="00A95CC2">
        <w:t xml:space="preserve">, Keith Bunch Associates, LCC, Michael C. Zimmer, D.C., P.C., Wilder Chiropractic, Inc., Law Office of Stuart R. Berkowitz, </w:t>
      </w:r>
      <w:r w:rsidRPr="00A95CC2">
        <w:t>Proex</w:t>
      </w:r>
      <w:r w:rsidRPr="00A95CC2">
        <w:t xml:space="preserve"> Janitorial, Inc., and Italia Foods, Inc.</w:t>
      </w:r>
      <w:r>
        <w:t>;</w:t>
      </w:r>
      <w:r w:rsidRPr="00A95CC2">
        <w:t xml:space="preserve"> </w:t>
      </w:r>
      <w:r>
        <w:t xml:space="preserve">(6) </w:t>
      </w:r>
      <w:r w:rsidRPr="00A95CC2">
        <w:t>Renaissance Systems and Service, LLC</w:t>
      </w:r>
      <w:r>
        <w:t>;</w:t>
      </w:r>
      <w:r w:rsidRPr="00A95CC2">
        <w:t xml:space="preserve"> </w:t>
      </w:r>
      <w:r>
        <w:t xml:space="preserve">(7) </w:t>
      </w:r>
      <w:r w:rsidRPr="00A95CC2">
        <w:t>Wilder Chiropractic, Inc.</w:t>
      </w:r>
      <w:r>
        <w:t>;</w:t>
      </w:r>
      <w:r w:rsidRPr="00A95CC2">
        <w:t xml:space="preserve"> </w:t>
      </w:r>
      <w:r>
        <w:t xml:space="preserve">(8) </w:t>
      </w:r>
      <w:r w:rsidRPr="00A95CC2">
        <w:t>Bais</w:t>
      </w:r>
      <w:r w:rsidRPr="00A95CC2">
        <w:t xml:space="preserve"> Yaakov of Spring Valley</w:t>
      </w:r>
      <w:r>
        <w:t>;</w:t>
      </w:r>
      <w:r w:rsidRPr="00A95CC2">
        <w:t xml:space="preserve"> </w:t>
      </w:r>
      <w:r>
        <w:t xml:space="preserve">(9) </w:t>
      </w:r>
      <w:r w:rsidRPr="00A95CC2">
        <w:t>West Loop Chiropractic &amp; Sports Injury Center, Ltd. and West Loop Health &amp; Sports Performance Center, LLC</w:t>
      </w:r>
      <w:r>
        <w:t>; and</w:t>
      </w:r>
      <w:r w:rsidRPr="00A95CC2">
        <w:t xml:space="preserve"> </w:t>
      </w:r>
      <w:r>
        <w:t xml:space="preserve">(10) </w:t>
      </w:r>
      <w:r w:rsidRPr="00A95CC2">
        <w:t xml:space="preserve">Lawrence S. Brodsky, JT’s Frames, Inc., Career Counseling, Inc. </w:t>
      </w:r>
      <w:r>
        <w:t>dba</w:t>
      </w:r>
      <w:r w:rsidRPr="00A95CC2">
        <w:t xml:space="preserve"> Snelling Staffing Services, Big Thyme Enterprises, Inc., </w:t>
      </w:r>
      <w:r w:rsidRPr="00A95CC2">
        <w:t>Whiteamire</w:t>
      </w:r>
      <w:r w:rsidRPr="00A95CC2">
        <w:t xml:space="preserve"> Clinic, P.A., Inc., </w:t>
      </w:r>
      <w:r w:rsidRPr="00A95CC2">
        <w:t>Cin</w:t>
      </w:r>
      <w:r w:rsidRPr="00A95CC2">
        <w:t xml:space="preserve">-Q Automobiles, Inc., Medical &amp; Chiropractic Clinic, Inc., Shaun </w:t>
      </w:r>
      <w:r w:rsidRPr="00A95CC2">
        <w:t>Fauley</w:t>
      </w:r>
      <w:r w:rsidRPr="00A95CC2">
        <w:t>, St. Louis Heart Center, Inc., JWD Automotive, Inc., Russell M. Holstein, PhD, LLC., and Carradine Chiropractic Center, Inc.</w:t>
      </w:r>
      <w:r w:rsidRPr="00E30A74">
        <w:t xml:space="preserve"> ARE DISMISSED as moot.</w:t>
      </w:r>
    </w:p>
    <w:p w:rsidR="00C52441" w:rsidRPr="00002868" w:rsidP="00C52441" w14:paraId="74E1BF1B" w14:textId="77777777">
      <w:pPr>
        <w:pStyle w:val="ParaNum"/>
        <w:keepNext/>
      </w:pPr>
      <w:r>
        <w:t>IT IS FURTHER ORDERED,</w:t>
      </w:r>
      <w:r w:rsidRPr="00773E4D">
        <w:t xml:space="preserve"> </w:t>
      </w:r>
      <w:r w:rsidRPr="00017A19">
        <w:t>pursuant to sections 4(</w:t>
      </w:r>
      <w:r w:rsidRPr="00017A19">
        <w:t>i</w:t>
      </w:r>
      <w:r w:rsidRPr="00017A19">
        <w:t>), 4(j), and 227 of the Communications Act of 1934, as amended, 47 U.S.C. §§ 154(</w:t>
      </w:r>
      <w:r w:rsidRPr="00017A19">
        <w:t>i</w:t>
      </w:r>
      <w:r w:rsidRPr="00017A19">
        <w:t>), (j), 227, and section 1.</w:t>
      </w:r>
      <w:r>
        <w:t>106</w:t>
      </w:r>
      <w:r w:rsidRPr="00017A19">
        <w:t xml:space="preserve"> of the </w:t>
      </w:r>
      <w:r w:rsidRPr="00017A19">
        <w:t>Commission’s rules, 47 CFR § 1.</w:t>
      </w:r>
      <w:r>
        <w:t>106</w:t>
      </w:r>
      <w:r w:rsidRPr="00017A19">
        <w:t xml:space="preserve">, that the petition for reconsideration filed by Florence </w:t>
      </w:r>
      <w:r w:rsidRPr="00017A19">
        <w:t>Mussat</w:t>
      </w:r>
      <w:r w:rsidRPr="00017A19">
        <w:t>, M.D., S.C.</w:t>
      </w:r>
      <w:r w:rsidRPr="00017A19">
        <w:rPr>
          <w:i/>
        </w:rPr>
        <w:t xml:space="preserve"> </w:t>
      </w:r>
      <w:r>
        <w:t>IS</w:t>
      </w:r>
      <w:r w:rsidRPr="00017A19">
        <w:t xml:space="preserve"> DISMISSED as moot.</w:t>
      </w:r>
      <w:r>
        <w:t xml:space="preserve">  </w:t>
      </w:r>
    </w:p>
    <w:p w:rsidR="00C52441" w:rsidRPr="00002868" w:rsidP="00C52441" w14:paraId="136D6B7E" w14:textId="77777777">
      <w:pPr>
        <w:pStyle w:val="ParaNum"/>
        <w:keepNext/>
        <w:numPr>
          <w:ilvl w:val="0"/>
          <w:numId w:val="0"/>
        </w:numPr>
        <w:spacing w:after="0"/>
        <w:ind w:left="4320"/>
      </w:pPr>
      <w:r w:rsidRPr="00002868">
        <w:t>FEDERAL COMMUNI</w:t>
      </w:r>
      <w:r>
        <w:t>C</w:t>
      </w:r>
      <w:r w:rsidRPr="00002868">
        <w:t>ATIONS COMMISSION</w:t>
      </w:r>
    </w:p>
    <w:p w:rsidR="00C52441" w:rsidRPr="00002868" w:rsidP="00C52441" w14:paraId="67C17DD7" w14:textId="77777777">
      <w:pPr>
        <w:pStyle w:val="ParaNum"/>
        <w:keepNext/>
        <w:numPr>
          <w:ilvl w:val="0"/>
          <w:numId w:val="0"/>
        </w:numPr>
        <w:spacing w:after="0"/>
        <w:ind w:left="4320"/>
      </w:pPr>
    </w:p>
    <w:p w:rsidR="00C52441" w:rsidRPr="00002868" w:rsidP="00C52441" w14:paraId="05057C5F" w14:textId="77777777">
      <w:pPr>
        <w:pStyle w:val="ParaNum"/>
        <w:keepNext/>
        <w:numPr>
          <w:ilvl w:val="0"/>
          <w:numId w:val="0"/>
        </w:numPr>
        <w:spacing w:after="0"/>
        <w:ind w:left="4320"/>
      </w:pPr>
    </w:p>
    <w:p w:rsidR="00C52441" w:rsidRPr="00002868" w:rsidP="00C52441" w14:paraId="3E810521" w14:textId="77777777">
      <w:pPr>
        <w:pStyle w:val="ParaNum"/>
        <w:keepNext/>
        <w:numPr>
          <w:ilvl w:val="0"/>
          <w:numId w:val="0"/>
        </w:numPr>
        <w:spacing w:after="0"/>
        <w:ind w:left="4320"/>
      </w:pPr>
    </w:p>
    <w:p w:rsidR="00C52441" w:rsidP="00C52441" w14:paraId="76AE9ACD" w14:textId="77777777">
      <w:pPr>
        <w:pStyle w:val="ParaNum"/>
        <w:keepNext/>
        <w:numPr>
          <w:ilvl w:val="0"/>
          <w:numId w:val="0"/>
        </w:numPr>
        <w:spacing w:after="0"/>
        <w:ind w:left="4320"/>
      </w:pPr>
      <w:r>
        <w:t>Marlene H. Dortch</w:t>
      </w:r>
    </w:p>
    <w:p w:rsidR="00C52441" w:rsidRPr="00002868" w:rsidP="00C52441" w14:paraId="2375A62E" w14:textId="77777777">
      <w:pPr>
        <w:pStyle w:val="ParaNum"/>
        <w:numPr>
          <w:ilvl w:val="0"/>
          <w:numId w:val="0"/>
        </w:numPr>
        <w:spacing w:after="0"/>
        <w:ind w:left="4320"/>
      </w:pPr>
      <w:r>
        <w:t>Secretary</w:t>
      </w:r>
    </w:p>
    <w:p w:rsidR="00C52441" w:rsidRPr="00947323" w:rsidP="00C52441" w14:paraId="7375085A" w14:textId="77777777"/>
    <w:p w:rsidR="00C52441" w:rsidRPr="00286365" w:rsidP="00C52441" w14:paraId="6BCE5622" w14:textId="77777777"/>
    <w:p w:rsidR="00412FC5" w:rsidRPr="00C52441" w:rsidP="00C52441" w14:paraId="76F45711" w14:textId="77777777"/>
    <w:sectPr w:rsidSect="0055614C">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4C99B6D7"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40082F9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7FD5CA6D"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47C3AA50"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6865B9D8"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40263" w14:paraId="4F9E55E7" w14:textId="77777777">
      <w:r>
        <w:separator/>
      </w:r>
    </w:p>
  </w:footnote>
  <w:footnote w:type="continuationSeparator" w:id="1">
    <w:p w:rsidR="00040263" w:rsidP="00C721AC" w14:paraId="5999F95C" w14:textId="77777777">
      <w:pPr>
        <w:spacing w:before="120"/>
        <w:rPr>
          <w:sz w:val="20"/>
        </w:rPr>
      </w:pPr>
      <w:r>
        <w:rPr>
          <w:sz w:val="20"/>
        </w:rPr>
        <w:t xml:space="preserve">(Continued from previous page)  </w:t>
      </w:r>
      <w:r>
        <w:rPr>
          <w:sz w:val="20"/>
        </w:rPr>
        <w:separator/>
      </w:r>
    </w:p>
  </w:footnote>
  <w:footnote w:type="continuationNotice" w:id="2">
    <w:p w:rsidR="00040263" w:rsidP="00C721AC" w14:paraId="35287A17" w14:textId="77777777">
      <w:pPr>
        <w:jc w:val="right"/>
        <w:rPr>
          <w:sz w:val="20"/>
        </w:rPr>
      </w:pPr>
      <w:r>
        <w:rPr>
          <w:sz w:val="20"/>
        </w:rPr>
        <w:t>(continued….)</w:t>
      </w:r>
    </w:p>
  </w:footnote>
  <w:footnote w:id="3">
    <w:p w:rsidR="00C52441" w:rsidP="00C52441" w14:paraId="65CB56DA" w14:textId="77777777">
      <w:pPr>
        <w:pStyle w:val="FootnoteText"/>
      </w:pPr>
      <w:r w:rsidRPr="002C4A91">
        <w:rPr>
          <w:rStyle w:val="FootnoteReference"/>
        </w:rPr>
        <w:footnoteRef/>
      </w:r>
      <w:r w:rsidRPr="002C4A91">
        <w:t xml:space="preserve"> </w:t>
      </w:r>
      <w:r w:rsidRPr="002C4A91">
        <w:rPr>
          <w:i/>
          <w:iCs/>
        </w:rPr>
        <w:t xml:space="preserve">See </w:t>
      </w:r>
      <w:r>
        <w:rPr>
          <w:iCs/>
        </w:rPr>
        <w:t xml:space="preserve">47 U.S.C. </w:t>
      </w:r>
      <w:r w:rsidRPr="000C6544">
        <w:rPr>
          <w:iCs/>
        </w:rPr>
        <w:t>§</w:t>
      </w:r>
      <w:r w:rsidRPr="004F3406">
        <w:t xml:space="preserve"> </w:t>
      </w:r>
      <w:r>
        <w:t>227(b)(1)(C)</w:t>
      </w:r>
      <w:r w:rsidRPr="002C4A91">
        <w:t xml:space="preserve">.  </w:t>
      </w:r>
    </w:p>
  </w:footnote>
  <w:footnote w:id="4">
    <w:p w:rsidR="00C52441" w:rsidRPr="00962D12" w:rsidP="00C52441" w14:paraId="44CFD6D1" w14:textId="77777777">
      <w:pPr>
        <w:pStyle w:val="FootnoteText"/>
      </w:pPr>
      <w:r>
        <w:rPr>
          <w:rStyle w:val="FootnoteReference"/>
        </w:rPr>
        <w:footnoteRef/>
      </w:r>
      <w:r>
        <w:t xml:space="preserve"> Former 47 CFR § 64.1200(a)(4)(iv) (Solicited Fax Rule); </w:t>
      </w:r>
      <w:r>
        <w:rPr>
          <w:i/>
        </w:rPr>
        <w:t xml:space="preserve">see also </w:t>
      </w:r>
      <w:r w:rsidRPr="002C4A91">
        <w:rPr>
          <w:i/>
          <w:iCs/>
        </w:rPr>
        <w:t xml:space="preserve">Rules and </w:t>
      </w:r>
      <w:r w:rsidRPr="002C4A91">
        <w:rPr>
          <w:i/>
        </w:rPr>
        <w:t>Regulations</w:t>
      </w:r>
      <w:r w:rsidRPr="002C4A91">
        <w:rPr>
          <w:i/>
          <w:iCs/>
        </w:rPr>
        <w:t xml:space="preserve"> Implementing the Telephone Consumer Protection Act of 1991</w:t>
      </w:r>
      <w:r>
        <w:t>;</w:t>
      </w:r>
      <w:r w:rsidRPr="002C4A91">
        <w:t xml:space="preserve"> </w:t>
      </w:r>
      <w:r w:rsidRPr="002C4A91">
        <w:rPr>
          <w:i/>
          <w:iCs/>
        </w:rPr>
        <w:t>Junk Fax Prevention Act of 2005</w:t>
      </w:r>
      <w:r w:rsidRPr="002C4A91">
        <w:t>,</w:t>
      </w:r>
      <w:r w:rsidRPr="002C4A91">
        <w:rPr>
          <w:i/>
          <w:iCs/>
        </w:rPr>
        <w:t xml:space="preserve"> </w:t>
      </w:r>
      <w:r w:rsidRPr="002C4A91">
        <w:t>CG Docket Nos. 02-278</w:t>
      </w:r>
      <w:r>
        <w:t xml:space="preserve"> and</w:t>
      </w:r>
      <w:r w:rsidRPr="002C4A91">
        <w:t xml:space="preserve"> 05-338, Report and Order and Third Order on Reconsideration, 21 FCC </w:t>
      </w:r>
      <w:r w:rsidRPr="002C4A91">
        <w:t>Rcd</w:t>
      </w:r>
      <w:r w:rsidRPr="002C4A91">
        <w:t xml:space="preserve"> 3787 (2006) (</w:t>
      </w:r>
      <w:r w:rsidRPr="002C4A91">
        <w:rPr>
          <w:i/>
          <w:iCs/>
        </w:rPr>
        <w:t>Junk Fax Order</w:t>
      </w:r>
      <w:r w:rsidRPr="002C4A91">
        <w:t>)</w:t>
      </w:r>
      <w:r>
        <w:t>.</w:t>
      </w:r>
    </w:p>
  </w:footnote>
  <w:footnote w:id="5">
    <w:p w:rsidR="00C52441" w:rsidRPr="005E583A" w:rsidP="00C52441" w14:paraId="7470DFCC" w14:textId="77777777">
      <w:pPr>
        <w:pStyle w:val="FootnoteText"/>
      </w:pPr>
      <w:r w:rsidRPr="005E583A">
        <w:rPr>
          <w:rStyle w:val="FootnoteReference"/>
        </w:rPr>
        <w:footnoteRef/>
      </w:r>
      <w:r w:rsidRPr="005E583A">
        <w:t xml:space="preserve"> </w:t>
      </w:r>
      <w:r w:rsidRPr="005E583A">
        <w:rPr>
          <w:i/>
        </w:rPr>
        <w:t xml:space="preserve">See </w:t>
      </w:r>
      <w:r w:rsidRPr="005E583A">
        <w:rPr>
          <w:i/>
        </w:rPr>
        <w:t>Bais</w:t>
      </w:r>
      <w:r w:rsidRPr="005E583A">
        <w:rPr>
          <w:i/>
        </w:rPr>
        <w:t xml:space="preserve"> Yaakov of Spring Valley v. FCC</w:t>
      </w:r>
      <w:r w:rsidRPr="005E583A">
        <w:t>, 852 F.3d 1078, 1079, 1083 (D.C. Cir. 2017) (</w:t>
      </w:r>
      <w:r w:rsidRPr="005E583A">
        <w:rPr>
          <w:i/>
          <w:iCs/>
        </w:rPr>
        <w:t>Bais</w:t>
      </w:r>
      <w:r w:rsidRPr="005E583A">
        <w:rPr>
          <w:i/>
          <w:iCs/>
        </w:rPr>
        <w:t xml:space="preserve"> Yaakov</w:t>
      </w:r>
      <w:r w:rsidRPr="005E583A">
        <w:t>).</w:t>
      </w:r>
    </w:p>
  </w:footnote>
  <w:footnote w:id="6">
    <w:p w:rsidR="00C52441" w:rsidRPr="005E583A" w:rsidP="00C52441" w14:paraId="29468714" w14:textId="77777777">
      <w:pPr>
        <w:pStyle w:val="FootnoteText"/>
      </w:pPr>
      <w:r w:rsidRPr="005E583A">
        <w:rPr>
          <w:rStyle w:val="FootnoteReference"/>
        </w:rPr>
        <w:footnoteRef/>
      </w:r>
      <w:r w:rsidRPr="005E583A">
        <w:t xml:space="preserve"> </w:t>
      </w:r>
      <w:r w:rsidRPr="005E583A">
        <w:rPr>
          <w:i/>
        </w:rPr>
        <w:t>See</w:t>
      </w:r>
      <w:r w:rsidRPr="005E583A">
        <w:t xml:space="preserve"> </w:t>
      </w:r>
      <w:r w:rsidRPr="005E583A">
        <w:rPr>
          <w:i/>
        </w:rPr>
        <w:t>Rules and Regulations Implementing the Telephone Consumer Protection Act of 1991</w:t>
      </w:r>
      <w:r w:rsidRPr="005E583A">
        <w:t>;</w:t>
      </w:r>
      <w:r w:rsidRPr="005E583A">
        <w:rPr>
          <w:i/>
        </w:rPr>
        <w:t xml:space="preserve"> Junk Fax Prevention Act of 2005</w:t>
      </w:r>
      <w:r w:rsidRPr="005E583A">
        <w:t>;</w:t>
      </w:r>
      <w:r w:rsidRPr="005E583A">
        <w:rPr>
          <w:i/>
        </w:rPr>
        <w:t xml:space="preserve"> Petitions for Declaratory Ruling and/or Retroactive Waiver of 47 CFR § 64.1200(a)(4)(iv) Regarding the Commission’s Opt-Out Notice Requirement for Faxes Sent with the Recipient’s Prior Express Permission</w:t>
      </w:r>
      <w:r w:rsidRPr="005E583A">
        <w:t xml:space="preserve">, CG Docket Nos. 02-278, 05-338, Order, 33 FCC </w:t>
      </w:r>
      <w:r w:rsidRPr="005E583A">
        <w:t>Rcd</w:t>
      </w:r>
      <w:r w:rsidRPr="005E583A">
        <w:t xml:space="preserve"> 11179 (CGB 2018) (</w:t>
      </w:r>
      <w:r w:rsidRPr="005E583A">
        <w:rPr>
          <w:i/>
        </w:rPr>
        <w:t>2018 Dismissal Order</w:t>
      </w:r>
      <w:r w:rsidRPr="005E583A">
        <w:t>)</w:t>
      </w:r>
      <w:r>
        <w:t>.</w:t>
      </w:r>
    </w:p>
  </w:footnote>
  <w:footnote w:id="7">
    <w:p w:rsidR="00C52441" w:rsidRPr="005E583A" w:rsidP="00C52441" w14:paraId="11B8C862" w14:textId="77777777">
      <w:pPr>
        <w:pStyle w:val="FootnoteText"/>
      </w:pPr>
      <w:r w:rsidRPr="005E583A">
        <w:rPr>
          <w:rStyle w:val="FootnoteReference"/>
        </w:rPr>
        <w:footnoteRef/>
      </w:r>
      <w:r w:rsidRPr="005E583A">
        <w:t xml:space="preserve"> </w:t>
      </w:r>
      <w:r w:rsidRPr="005E583A">
        <w:rPr>
          <w:i/>
        </w:rPr>
        <w:t>See</w:t>
      </w:r>
      <w:r w:rsidRPr="005E583A">
        <w:t xml:space="preserve"> Application </w:t>
      </w:r>
      <w:r w:rsidRPr="005E583A">
        <w:t>For</w:t>
      </w:r>
      <w:r w:rsidRPr="005E583A">
        <w:t xml:space="preserve"> Review of </w:t>
      </w:r>
      <w:r w:rsidRPr="005E583A">
        <w:t>Gorss</w:t>
      </w:r>
      <w:r w:rsidRPr="005E583A">
        <w:t xml:space="preserve"> Motels, Inc. et al</w:t>
      </w:r>
      <w:r w:rsidRPr="005E583A">
        <w:rPr>
          <w:i/>
        </w:rPr>
        <w:t>.</w:t>
      </w:r>
      <w:r w:rsidRPr="005E583A">
        <w:t>, CG Docket Nos. 02-278, 05-338 (filed Dec. 14, 2018) (</w:t>
      </w:r>
      <w:r w:rsidRPr="005E583A">
        <w:t>Gorss</w:t>
      </w:r>
      <w:r w:rsidRPr="005E583A">
        <w:t xml:space="preserve"> Application).</w:t>
      </w:r>
    </w:p>
  </w:footnote>
  <w:footnote w:id="8">
    <w:p w:rsidR="00C52441" w:rsidRPr="005E583A" w:rsidP="00C52441" w14:paraId="78EC2154" w14:textId="77777777">
      <w:pPr>
        <w:pStyle w:val="FootnoteText"/>
      </w:pPr>
      <w:r w:rsidRPr="005E583A">
        <w:rPr>
          <w:rStyle w:val="FootnoteReference"/>
        </w:rPr>
        <w:footnoteRef/>
      </w:r>
      <w:r w:rsidRPr="005E583A">
        <w:t xml:space="preserve"> </w:t>
      </w:r>
      <w:bookmarkStart w:id="1" w:name="_Hlk26799960"/>
      <w:r w:rsidRPr="005E583A">
        <w:rPr>
          <w:i/>
        </w:rPr>
        <w:t xml:space="preserve">See </w:t>
      </w:r>
      <w:r w:rsidRPr="005E583A">
        <w:rPr>
          <w:i/>
        </w:rPr>
        <w:t>Bais</w:t>
      </w:r>
      <w:r w:rsidRPr="005E583A">
        <w:rPr>
          <w:i/>
        </w:rPr>
        <w:t xml:space="preserve"> Yaakov</w:t>
      </w:r>
      <w:r w:rsidRPr="005E583A">
        <w:t>, 852 F.3d at 1079.</w:t>
      </w:r>
      <w:bookmarkEnd w:id="1"/>
    </w:p>
  </w:footnote>
  <w:footnote w:id="9">
    <w:p w:rsidR="00C52441" w:rsidRPr="005E583A" w:rsidP="00C52441" w14:paraId="15C78988" w14:textId="77777777">
      <w:pPr>
        <w:pStyle w:val="FootnoteText"/>
      </w:pPr>
      <w:r w:rsidRPr="005E583A">
        <w:rPr>
          <w:rStyle w:val="FootnoteReference"/>
        </w:rPr>
        <w:footnoteRef/>
      </w:r>
      <w:r w:rsidRPr="005E583A">
        <w:t xml:space="preserve"> The TCPA is codified as Section 227 of the Communications Act of 1934, as amended, 47 U.S.C. § 227.</w:t>
      </w:r>
    </w:p>
  </w:footnote>
  <w:footnote w:id="10">
    <w:p w:rsidR="00C52441" w:rsidRPr="005E583A" w:rsidP="00C52441" w14:paraId="22F3DD2E" w14:textId="77777777">
      <w:pPr>
        <w:pStyle w:val="FootnoteText"/>
      </w:pPr>
      <w:r w:rsidRPr="005E583A">
        <w:rPr>
          <w:rStyle w:val="FootnoteReference"/>
        </w:rPr>
        <w:footnoteRef/>
      </w:r>
      <w:r w:rsidRPr="005E583A">
        <w:t xml:space="preserve"> </w:t>
      </w:r>
      <w:r w:rsidRPr="005E583A">
        <w:rPr>
          <w:i/>
        </w:rPr>
        <w:t>Id</w:t>
      </w:r>
      <w:r w:rsidRPr="005E583A">
        <w:t xml:space="preserve">. § 227(b)(1)(C).  </w:t>
      </w:r>
    </w:p>
  </w:footnote>
  <w:footnote w:id="11">
    <w:p w:rsidR="00C52441" w:rsidRPr="005E583A" w:rsidP="00C52441" w14:paraId="0078FF16" w14:textId="77777777">
      <w:pPr>
        <w:pStyle w:val="FootnoteText"/>
      </w:pPr>
      <w:r w:rsidRPr="005E583A">
        <w:rPr>
          <w:rStyle w:val="FootnoteReference"/>
        </w:rPr>
        <w:footnoteRef/>
      </w:r>
      <w:r w:rsidRPr="005E583A">
        <w:t xml:space="preserve"> </w:t>
      </w:r>
      <w:r w:rsidRPr="005E583A">
        <w:rPr>
          <w:i/>
          <w:iCs/>
        </w:rPr>
        <w:t xml:space="preserve">See </w:t>
      </w:r>
      <w:r w:rsidRPr="005E583A">
        <w:rPr>
          <w:i/>
        </w:rPr>
        <w:t>Rules</w:t>
      </w:r>
      <w:r w:rsidRPr="005E583A">
        <w:rPr>
          <w:i/>
          <w:iCs/>
        </w:rPr>
        <w:t xml:space="preserve"> </w:t>
      </w:r>
      <w:r w:rsidRPr="005E583A">
        <w:rPr>
          <w:i/>
        </w:rPr>
        <w:t>and</w:t>
      </w:r>
      <w:r w:rsidRPr="005E583A">
        <w:rPr>
          <w:i/>
          <w:iCs/>
        </w:rPr>
        <w:t xml:space="preserve"> Regulations Implementing the Telephone Consumer Protection Act of 1991</w:t>
      </w:r>
      <w:r w:rsidRPr="005E583A">
        <w:t xml:space="preserve">, CC Docket No. 92-90, Report and Order, 7 FCC </w:t>
      </w:r>
      <w:r w:rsidRPr="005E583A">
        <w:t>Rcd</w:t>
      </w:r>
      <w:r w:rsidRPr="005E583A">
        <w:t xml:space="preserve"> 8752 (1992) (</w:t>
      </w:r>
      <w:r w:rsidRPr="005E583A">
        <w:rPr>
          <w:i/>
          <w:iCs/>
        </w:rPr>
        <w:t>1992 TCPA Order</w:t>
      </w:r>
      <w:r w:rsidRPr="005E583A">
        <w:t xml:space="preserve">); </w:t>
      </w:r>
      <w:r w:rsidRPr="005E583A">
        <w:rPr>
          <w:i/>
          <w:iCs/>
        </w:rPr>
        <w:t xml:space="preserve">see also </w:t>
      </w:r>
      <w:r w:rsidRPr="005E583A">
        <w:t xml:space="preserve">47 CFR § 64.1200(a)(4). </w:t>
      </w:r>
    </w:p>
  </w:footnote>
  <w:footnote w:id="12">
    <w:p w:rsidR="00C52441" w:rsidRPr="005E583A" w:rsidP="00C52441" w14:paraId="3CDEAC82" w14:textId="77777777">
      <w:pPr>
        <w:pStyle w:val="FootnoteText"/>
      </w:pPr>
      <w:r w:rsidRPr="005E583A">
        <w:rPr>
          <w:rStyle w:val="FootnoteReference"/>
        </w:rPr>
        <w:footnoteRef/>
      </w:r>
      <w:r w:rsidRPr="005E583A">
        <w:t xml:space="preserve"> </w:t>
      </w:r>
      <w:r w:rsidRPr="005E583A">
        <w:rPr>
          <w:i/>
          <w:iCs/>
        </w:rPr>
        <w:t xml:space="preserve">See </w:t>
      </w:r>
      <w:r w:rsidRPr="005E583A">
        <w:t xml:space="preserve">Junk Fax Prevention Act of 2005, Pub. L. No. 109-21, 119 Stat. 359 (2005) (Junk Fax Prevention Act); </w:t>
      </w:r>
      <w:r w:rsidRPr="005E583A">
        <w:rPr>
          <w:i/>
        </w:rPr>
        <w:t>see also</w:t>
      </w:r>
      <w:r w:rsidRPr="005E583A">
        <w:t xml:space="preserve"> 47 U.S.C. § 227(b)(1)(C).  </w:t>
      </w:r>
    </w:p>
  </w:footnote>
  <w:footnote w:id="13">
    <w:p w:rsidR="00C52441" w:rsidRPr="005E583A" w:rsidP="00C52441" w14:paraId="458CD5F0" w14:textId="77777777">
      <w:pPr>
        <w:pStyle w:val="FootnoteText"/>
      </w:pPr>
      <w:r w:rsidRPr="005E583A">
        <w:rPr>
          <w:rStyle w:val="FootnoteReference"/>
        </w:rPr>
        <w:footnoteRef/>
      </w:r>
      <w:r w:rsidRPr="005E583A">
        <w:t xml:space="preserve"> </w:t>
      </w:r>
      <w:r w:rsidRPr="005E583A">
        <w:rPr>
          <w:i/>
          <w:iCs/>
        </w:rPr>
        <w:t xml:space="preserve">See </w:t>
      </w:r>
      <w:r w:rsidRPr="005E583A">
        <w:rPr>
          <w:iCs/>
        </w:rPr>
        <w:t>47 U.S.C. §</w:t>
      </w:r>
      <w:r w:rsidRPr="005E583A">
        <w:t xml:space="preserve"> 227(b)(2)(D).  </w:t>
      </w:r>
    </w:p>
  </w:footnote>
  <w:footnote w:id="14">
    <w:p w:rsidR="00C52441" w:rsidRPr="005E583A" w:rsidP="00C52441" w14:paraId="46F82DE8" w14:textId="77777777">
      <w:pPr>
        <w:pStyle w:val="FootnoteText"/>
      </w:pPr>
      <w:r w:rsidRPr="005E583A">
        <w:rPr>
          <w:rStyle w:val="FootnoteReference"/>
        </w:rPr>
        <w:footnoteRef/>
      </w:r>
      <w:r w:rsidRPr="005E583A">
        <w:t xml:space="preserve"> </w:t>
      </w:r>
      <w:r w:rsidRPr="005E583A">
        <w:rPr>
          <w:i/>
          <w:iCs/>
        </w:rPr>
        <w:t xml:space="preserve">Rules and </w:t>
      </w:r>
      <w:r w:rsidRPr="005E583A">
        <w:rPr>
          <w:i/>
        </w:rPr>
        <w:t>Regulations</w:t>
      </w:r>
      <w:r w:rsidRPr="005E583A">
        <w:rPr>
          <w:i/>
          <w:iCs/>
        </w:rPr>
        <w:t xml:space="preserve"> Implementing the Telephone Consumer Protection Act of 1991</w:t>
      </w:r>
      <w:r w:rsidRPr="005E583A">
        <w:t xml:space="preserve">; </w:t>
      </w:r>
      <w:r w:rsidRPr="005E583A">
        <w:rPr>
          <w:i/>
          <w:iCs/>
        </w:rPr>
        <w:t>Junk Fax Prevention Act of 2005</w:t>
      </w:r>
      <w:r w:rsidRPr="005E583A">
        <w:t>,</w:t>
      </w:r>
      <w:r w:rsidRPr="005E583A">
        <w:rPr>
          <w:i/>
          <w:iCs/>
        </w:rPr>
        <w:t xml:space="preserve"> </w:t>
      </w:r>
      <w:r w:rsidRPr="005E583A">
        <w:t xml:space="preserve">CG Docket Nos. 02-278, 05-338, Report and Order and Third Order on Reconsideration, 21 FCC </w:t>
      </w:r>
      <w:r w:rsidRPr="005E583A">
        <w:t>Rcd</w:t>
      </w:r>
      <w:r w:rsidRPr="005E583A">
        <w:t xml:space="preserve"> 3787 (2006) (</w:t>
      </w:r>
      <w:r w:rsidRPr="005E583A">
        <w:rPr>
          <w:i/>
          <w:iCs/>
        </w:rPr>
        <w:t>Junk Fax Order</w:t>
      </w:r>
      <w:r w:rsidRPr="005E583A">
        <w:t xml:space="preserve">); </w:t>
      </w:r>
      <w:r w:rsidRPr="005E583A">
        <w:rPr>
          <w:i/>
        </w:rPr>
        <w:t>see also</w:t>
      </w:r>
      <w:r w:rsidRPr="005E583A">
        <w:t xml:space="preserve"> 47 CFR § 64.1200(a)(4).   </w:t>
      </w:r>
      <w:r w:rsidRPr="005E583A">
        <w:rPr>
          <w:sz w:val="24"/>
        </w:rPr>
        <w:t xml:space="preserve">  </w:t>
      </w:r>
    </w:p>
  </w:footnote>
  <w:footnote w:id="15">
    <w:p w:rsidR="00C52441" w:rsidRPr="005E583A" w:rsidP="00C52441" w14:paraId="3A05EF54" w14:textId="77777777">
      <w:pPr>
        <w:pStyle w:val="FootnoteText"/>
      </w:pPr>
      <w:r w:rsidRPr="005E583A">
        <w:rPr>
          <w:rStyle w:val="FootnoteReference"/>
        </w:rPr>
        <w:footnoteRef/>
      </w:r>
      <w:r w:rsidRPr="005E583A">
        <w:t xml:space="preserve"> 47 CFR § 64.1200(a)(4)(iv) (2018), </w:t>
      </w:r>
      <w:r w:rsidRPr="005E583A">
        <w:rPr>
          <w:i/>
        </w:rPr>
        <w:t xml:space="preserve">held unlawful by </w:t>
      </w:r>
      <w:r w:rsidRPr="005E583A">
        <w:rPr>
          <w:i/>
        </w:rPr>
        <w:t>Bais</w:t>
      </w:r>
      <w:r w:rsidRPr="005E583A">
        <w:rPr>
          <w:i/>
        </w:rPr>
        <w:t xml:space="preserve"> Yaakov of Spring Valley v. FCC</w:t>
      </w:r>
      <w:r w:rsidRPr="005E583A">
        <w:t xml:space="preserve">, 852 F.3d 1078 (D.C. Cir. 2017); </w:t>
      </w:r>
      <w:r w:rsidRPr="005E583A">
        <w:rPr>
          <w:i/>
        </w:rPr>
        <w:t>see also</w:t>
      </w:r>
      <w:r w:rsidRPr="005E583A">
        <w:t xml:space="preserve"> </w:t>
      </w:r>
      <w:r w:rsidRPr="005E583A">
        <w:rPr>
          <w:i/>
          <w:iCs/>
        </w:rPr>
        <w:t>Junk Fax Order</w:t>
      </w:r>
      <w:r w:rsidRPr="005E583A">
        <w:t xml:space="preserve">, 21 FCC </w:t>
      </w:r>
      <w:r w:rsidRPr="005E583A">
        <w:t>Rcd</w:t>
      </w:r>
      <w:r w:rsidRPr="005E583A">
        <w:t xml:space="preserve"> at 3812, para. 48. </w:t>
      </w:r>
    </w:p>
  </w:footnote>
  <w:footnote w:id="16">
    <w:p w:rsidR="00C52441" w:rsidRPr="005E583A" w:rsidP="00C52441" w14:paraId="10BB3F63" w14:textId="77777777">
      <w:pPr>
        <w:pStyle w:val="FootnoteText"/>
      </w:pPr>
      <w:r w:rsidRPr="005E583A">
        <w:rPr>
          <w:rStyle w:val="FootnoteReference"/>
        </w:rPr>
        <w:footnoteRef/>
      </w:r>
      <w:r w:rsidRPr="005E583A">
        <w:t xml:space="preserve"> </w:t>
      </w:r>
      <w:bookmarkStart w:id="3" w:name="_Hlk513041745"/>
      <w:r w:rsidRPr="005E583A">
        <w:rPr>
          <w:i/>
        </w:rPr>
        <w:t>See generally</w:t>
      </w:r>
      <w:r w:rsidRPr="005E583A">
        <w:t xml:space="preserve"> Petition of Anda, Inc. for Declaratory Ruling to Clarify that 47 U.S.C. § 227(b) Was Not the Statutory Basis for Commission’s Rules Requiring an Opt-Out Notice for Fax Advertisements Sent with Recipient’s Prior Express Consent, CG Docket No. 05-338 (filed Nov. 30, 2010).  </w:t>
      </w:r>
      <w:bookmarkEnd w:id="3"/>
    </w:p>
  </w:footnote>
  <w:footnote w:id="17">
    <w:p w:rsidR="00C52441" w:rsidRPr="005E583A" w:rsidP="00C52441" w14:paraId="7A7B7295" w14:textId="77777777">
      <w:pPr>
        <w:pStyle w:val="FootnoteText"/>
      </w:pPr>
      <w:r w:rsidRPr="005E583A">
        <w:rPr>
          <w:rStyle w:val="FootnoteReference"/>
        </w:rPr>
        <w:footnoteRef/>
      </w:r>
      <w:r w:rsidRPr="005E583A">
        <w:t xml:space="preserve"> </w:t>
      </w:r>
      <w:r w:rsidRPr="005E583A">
        <w:rPr>
          <w:i/>
        </w:rPr>
        <w:t>See Junk Fax Prevention Act of 2005</w:t>
      </w:r>
      <w:r w:rsidRPr="005E583A">
        <w:t>;</w:t>
      </w:r>
      <w:r w:rsidRPr="005E583A">
        <w:rPr>
          <w:i/>
        </w:rPr>
        <w:t xml:space="preserve"> Petition for Declaratory Ruling to Clarify that 47 U.S.C. § 227(b) Was Not the Statutory Basis for Commission’s Rules Requiring an Opt-Out Notice for Fax Advertisements Sent with Recipient’s Prior Express Consent</w:t>
      </w:r>
      <w:r w:rsidRPr="005E583A">
        <w:t xml:space="preserve">, CG Docket No. 05-338, Order, 27 FCC </w:t>
      </w:r>
      <w:r w:rsidRPr="005E583A">
        <w:t>Rcd</w:t>
      </w:r>
      <w:r w:rsidRPr="005E583A">
        <w:t xml:space="preserve"> 4912, 4914, para. 5 (CGB 2012) (</w:t>
      </w:r>
      <w:r w:rsidRPr="005E583A">
        <w:rPr>
          <w:i/>
        </w:rPr>
        <w:t>2012 Anda Order</w:t>
      </w:r>
      <w:r w:rsidRPr="005E583A">
        <w:t>).</w:t>
      </w:r>
    </w:p>
  </w:footnote>
  <w:footnote w:id="18">
    <w:p w:rsidR="00C52441" w:rsidRPr="005E583A" w:rsidP="00C52441" w14:paraId="6CE7B21E" w14:textId="77777777">
      <w:pPr>
        <w:pStyle w:val="FootnoteText"/>
      </w:pPr>
      <w:r w:rsidRPr="005E583A">
        <w:rPr>
          <w:rStyle w:val="FootnoteReference"/>
        </w:rPr>
        <w:footnoteRef/>
      </w:r>
      <w:r w:rsidRPr="005E583A">
        <w:t xml:space="preserve"> </w:t>
      </w:r>
      <w:r w:rsidRPr="005E583A">
        <w:rPr>
          <w:i/>
          <w:iCs/>
        </w:rPr>
        <w:t xml:space="preserve">See </w:t>
      </w:r>
      <w:r w:rsidRPr="005E583A">
        <w:t xml:space="preserve">Application for Review of Anda, Inc., CG Docket No. 05-338, at 10-13 (filed May 14, 2012). </w:t>
      </w:r>
    </w:p>
  </w:footnote>
  <w:footnote w:id="19">
    <w:p w:rsidR="00C52441" w:rsidRPr="005E583A" w:rsidP="00C52441" w14:paraId="0FA909A2" w14:textId="77777777">
      <w:pPr>
        <w:pStyle w:val="FootnoteText"/>
      </w:pPr>
      <w:r w:rsidRPr="005E583A">
        <w:rPr>
          <w:rStyle w:val="FootnoteReference"/>
        </w:rPr>
        <w:footnoteRef/>
      </w:r>
      <w:r w:rsidRPr="005E583A">
        <w:t xml:space="preserve"> </w:t>
      </w:r>
      <w:r w:rsidRPr="005E583A">
        <w:rPr>
          <w:i/>
        </w:rPr>
        <w:t>See</w:t>
      </w:r>
      <w:r w:rsidRPr="005E583A">
        <w:t xml:space="preserve"> </w:t>
      </w:r>
      <w:r w:rsidRPr="005E583A">
        <w:rPr>
          <w:i/>
        </w:rPr>
        <w:t>Petition for Declaratory Ruling, Waiver, and/or Rulemaking Regarding the Commission’s Opt-Out Requirement for Faxes Sent with the Recipient’s Prior Express Permission</w:t>
      </w:r>
      <w:r w:rsidRPr="005E583A">
        <w:t xml:space="preserve">, CG Docket Nos. 02-278, 05-338, Order, 29 FCC </w:t>
      </w:r>
      <w:r w:rsidRPr="005E583A">
        <w:t>Rcd</w:t>
      </w:r>
      <w:r w:rsidRPr="005E583A">
        <w:t xml:space="preserve"> 13998, 14008-12, paras. 22-31 (2014) (</w:t>
      </w:r>
      <w:r w:rsidRPr="005E583A">
        <w:rPr>
          <w:i/>
        </w:rPr>
        <w:t>2014 Anda Commission Order</w:t>
      </w:r>
      <w:r w:rsidRPr="005E583A">
        <w:t xml:space="preserve">).  </w:t>
      </w:r>
      <w:r w:rsidRPr="005E583A">
        <w:rPr>
          <w:szCs w:val="22"/>
        </w:rPr>
        <w:t xml:space="preserve">The Commission emphasized that full compliance with the Solicited Fax Rule would be required within six months from the release of the </w:t>
      </w:r>
      <w:r w:rsidRPr="005E583A">
        <w:rPr>
          <w:i/>
          <w:szCs w:val="22"/>
        </w:rPr>
        <w:t xml:space="preserve">2014 Anda Commission Order </w:t>
      </w:r>
      <w:r w:rsidRPr="005E583A">
        <w:rPr>
          <w:szCs w:val="22"/>
        </w:rPr>
        <w:t>(i.e., by April 30, 2015).</w:t>
      </w:r>
      <w:r w:rsidRPr="005E583A">
        <w:t xml:space="preserve">  </w:t>
      </w:r>
      <w:r w:rsidRPr="005E583A">
        <w:rPr>
          <w:i/>
        </w:rPr>
        <w:t>See id</w:t>
      </w:r>
      <w:r w:rsidRPr="005E583A">
        <w:t xml:space="preserve">. at 14011, para. 29.  </w:t>
      </w:r>
    </w:p>
  </w:footnote>
  <w:footnote w:id="20">
    <w:p w:rsidR="00C52441" w:rsidRPr="005E583A" w:rsidP="00C52441" w14:paraId="62E35282" w14:textId="77777777">
      <w:pPr>
        <w:pStyle w:val="FootnoteText"/>
      </w:pPr>
      <w:r w:rsidRPr="005E583A">
        <w:rPr>
          <w:rStyle w:val="FootnoteReference"/>
        </w:rPr>
        <w:footnoteRef/>
      </w:r>
      <w:r w:rsidRPr="005E583A">
        <w:t xml:space="preserve"> </w:t>
      </w:r>
      <w:r w:rsidRPr="005E583A">
        <w:rPr>
          <w:i/>
        </w:rPr>
        <w:t>See</w:t>
      </w:r>
      <w:r w:rsidRPr="005E583A">
        <w:t xml:space="preserve"> </w:t>
      </w:r>
      <w:r w:rsidRPr="005E583A">
        <w:rPr>
          <w:i/>
          <w:iCs/>
        </w:rPr>
        <w:t>Junk Fax Order</w:t>
      </w:r>
      <w:r w:rsidRPr="005E583A">
        <w:t xml:space="preserve">, 21 FCC </w:t>
      </w:r>
      <w:r w:rsidRPr="005E583A">
        <w:t>Rcd</w:t>
      </w:r>
      <w:r w:rsidRPr="005E583A">
        <w:t xml:space="preserve"> at 3810, n.154 (emphasis added).</w:t>
      </w:r>
    </w:p>
  </w:footnote>
  <w:footnote w:id="21">
    <w:p w:rsidR="00C52441" w:rsidRPr="005E583A" w:rsidP="00C52441" w14:paraId="45E12A14" w14:textId="77777777">
      <w:pPr>
        <w:pStyle w:val="FootnoteText"/>
      </w:pPr>
      <w:r w:rsidRPr="005E583A">
        <w:rPr>
          <w:rStyle w:val="FootnoteReference"/>
        </w:rPr>
        <w:footnoteRef/>
      </w:r>
      <w:r w:rsidRPr="005E583A">
        <w:t xml:space="preserve"> </w:t>
      </w:r>
      <w:r w:rsidRPr="005E583A">
        <w:rPr>
          <w:i/>
        </w:rPr>
        <w:t xml:space="preserve">See </w:t>
      </w:r>
      <w:r w:rsidRPr="005E583A">
        <w:rPr>
          <w:i/>
          <w:szCs w:val="22"/>
        </w:rPr>
        <w:t>Anda Commission Order</w:t>
      </w:r>
      <w:r>
        <w:rPr>
          <w:szCs w:val="22"/>
        </w:rPr>
        <w:t xml:space="preserve">, 29 FCC </w:t>
      </w:r>
      <w:r>
        <w:rPr>
          <w:szCs w:val="22"/>
        </w:rPr>
        <w:t>Rcd</w:t>
      </w:r>
      <w:r w:rsidRPr="005E583A">
        <w:t xml:space="preserve"> at 10411, para. 30.</w:t>
      </w:r>
    </w:p>
  </w:footnote>
  <w:footnote w:id="22">
    <w:p w:rsidR="00C52441" w:rsidRPr="005E583A" w:rsidP="00C52441" w14:paraId="6A182DD6" w14:textId="77777777">
      <w:pPr>
        <w:pStyle w:val="FootnoteText"/>
      </w:pPr>
      <w:r w:rsidRPr="005E583A">
        <w:rPr>
          <w:rStyle w:val="FootnoteReference"/>
        </w:rPr>
        <w:footnoteRef/>
      </w:r>
      <w:r w:rsidRPr="005E583A">
        <w:t xml:space="preserve"> </w:t>
      </w:r>
      <w:r w:rsidRPr="005E583A">
        <w:rPr>
          <w:i/>
        </w:rPr>
        <w:t>See Rules and Regulations Implementing the Telephone Consumer Protection Act of 1991</w:t>
      </w:r>
      <w:r w:rsidRPr="005E583A">
        <w:t>;</w:t>
      </w:r>
      <w:r w:rsidRPr="005E583A">
        <w:rPr>
          <w:i/>
        </w:rPr>
        <w:t xml:space="preserve"> Junk Fax Prevention Act of 2005</w:t>
      </w:r>
      <w:r w:rsidRPr="005E583A">
        <w:t>;</w:t>
      </w:r>
      <w:r w:rsidRPr="005E583A">
        <w:rPr>
          <w:i/>
        </w:rPr>
        <w:t xml:space="preserve"> Petitions for Declaratory Ruling and Retroactive Waiver of 47 CFR § 64.1200(a)(4)(iv) Regarding the Commission’s Opt-Out Notice Requirement for Faxes Sent with the Recipient’s Prior Express Permission</w:t>
      </w:r>
      <w:r w:rsidRPr="005E583A">
        <w:t xml:space="preserve">, CG Docket Nos. 02-278, 05-338, Order, 30 FCC </w:t>
      </w:r>
      <w:r w:rsidRPr="005E583A">
        <w:t>Rcd</w:t>
      </w:r>
      <w:r w:rsidRPr="005E583A">
        <w:t xml:space="preserve"> 8598 (CGB 2015); </w:t>
      </w:r>
      <w:r w:rsidRPr="005E583A">
        <w:rPr>
          <w:i/>
        </w:rPr>
        <w:t>Rules and Regulations Implementing the Telephone Consumer Protection Act of 1991</w:t>
      </w:r>
      <w:r w:rsidRPr="005E583A">
        <w:t>;</w:t>
      </w:r>
      <w:r w:rsidRPr="005E583A">
        <w:rPr>
          <w:i/>
        </w:rPr>
        <w:t xml:space="preserve"> Junk Fax Prevention Act of 2005</w:t>
      </w:r>
      <w:r w:rsidRPr="005E583A">
        <w:t>;</w:t>
      </w:r>
      <w:r w:rsidRPr="005E583A">
        <w:rPr>
          <w:i/>
        </w:rPr>
        <w:t xml:space="preserve"> Petitions for Declaratory Ruling and Retroactive Waiver of 47 CFR § 64.1200(a)(4)(iv) Regarding the Commission’s Opt-Out Notice Requirement for Faxes Sent with the Recipient’s Prior Express Permission</w:t>
      </w:r>
      <w:r w:rsidRPr="005E583A">
        <w:t xml:space="preserve">, CG Docket Nos. 02-278, 05-338, Order, 30 FCC </w:t>
      </w:r>
      <w:r w:rsidRPr="005E583A">
        <w:t>Rcd</w:t>
      </w:r>
      <w:r w:rsidRPr="005E583A">
        <w:t xml:space="preserve"> 14057 (CGB 2015); </w:t>
      </w:r>
      <w:r w:rsidRPr="005E583A">
        <w:rPr>
          <w:i/>
        </w:rPr>
        <w:t>Rules and Regulations Implementing the Telephone Consumer Protection Act of 1991</w:t>
      </w:r>
      <w:r w:rsidRPr="005E583A">
        <w:t>;</w:t>
      </w:r>
      <w:r w:rsidRPr="005E583A">
        <w:rPr>
          <w:i/>
        </w:rPr>
        <w:t xml:space="preserve"> Junk Fax Prevention Act of 2005</w:t>
      </w:r>
      <w:r w:rsidRPr="005E583A">
        <w:t>;</w:t>
      </w:r>
      <w:r w:rsidRPr="005E583A">
        <w:rPr>
          <w:i/>
        </w:rPr>
        <w:t xml:space="preserve"> Petitions for Declaratory Ruling and Retroactive Waiver of 47 CFR § 64.1200(a)(4)(iv) Regarding the Commission’s Opt-Out Notice Requirement for Faxes Sent with the Recipient’s Prior Express Permission</w:t>
      </w:r>
      <w:r w:rsidRPr="005E583A">
        <w:t xml:space="preserve">, CG Docket Nos. 02-278, 05-338, Order, 31 FCC </w:t>
      </w:r>
      <w:r w:rsidRPr="005E583A">
        <w:t>Rcd</w:t>
      </w:r>
      <w:r w:rsidRPr="005E583A">
        <w:t xml:space="preserve"> 11943 (CGB 2016).</w:t>
      </w:r>
    </w:p>
  </w:footnote>
  <w:footnote w:id="23">
    <w:p w:rsidR="00C52441" w:rsidRPr="001B2DD9" w:rsidP="00C52441" w14:paraId="3CA34C26" w14:textId="77777777">
      <w:pPr>
        <w:spacing w:after="120"/>
        <w:rPr>
          <w:sz w:val="20"/>
        </w:rPr>
      </w:pPr>
      <w:r w:rsidRPr="00DB3DE2">
        <w:rPr>
          <w:rStyle w:val="FootnoteReference"/>
        </w:rPr>
        <w:footnoteRef/>
      </w:r>
      <w:r w:rsidRPr="00DB3DE2">
        <w:rPr>
          <w:sz w:val="20"/>
        </w:rPr>
        <w:t xml:space="preserve"> </w:t>
      </w:r>
      <w:r w:rsidRPr="00B30EF4">
        <w:rPr>
          <w:i/>
          <w:sz w:val="20"/>
        </w:rPr>
        <w:t>See</w:t>
      </w:r>
      <w:r w:rsidRPr="00B30EF4">
        <w:rPr>
          <w:sz w:val="20"/>
        </w:rPr>
        <w:t xml:space="preserve"> Application For Full Commission Review of </w:t>
      </w:r>
      <w:r w:rsidRPr="00B30EF4">
        <w:rPr>
          <w:sz w:val="20"/>
        </w:rPr>
        <w:t>Bais</w:t>
      </w:r>
      <w:r w:rsidRPr="00B30EF4">
        <w:rPr>
          <w:sz w:val="20"/>
        </w:rPr>
        <w:t xml:space="preserve"> Yaakov of Spring Valley et al., CG Docket Nos. 02-278, 05-338 (filed Sept. 25, 2015)</w:t>
      </w:r>
      <w:r>
        <w:rPr>
          <w:sz w:val="20"/>
        </w:rPr>
        <w:t xml:space="preserve"> (Yaakov Application)</w:t>
      </w:r>
      <w:r w:rsidRPr="00B30EF4">
        <w:rPr>
          <w:sz w:val="20"/>
        </w:rPr>
        <w:t xml:space="preserve">; Application for Review of </w:t>
      </w:r>
      <w:r w:rsidRPr="00B30EF4">
        <w:rPr>
          <w:sz w:val="20"/>
        </w:rPr>
        <w:t>Craftwood</w:t>
      </w:r>
      <w:r w:rsidRPr="00B30EF4">
        <w:rPr>
          <w:sz w:val="20"/>
        </w:rPr>
        <w:t xml:space="preserve"> Lumber Company, CG Docket Nos. 02-278, 05-338 (filed Sept. 28, 2015)</w:t>
      </w:r>
      <w:r>
        <w:rPr>
          <w:sz w:val="20"/>
        </w:rPr>
        <w:t xml:space="preserve"> (</w:t>
      </w:r>
      <w:r>
        <w:rPr>
          <w:sz w:val="20"/>
        </w:rPr>
        <w:t>Craftwood</w:t>
      </w:r>
      <w:r>
        <w:rPr>
          <w:sz w:val="20"/>
        </w:rPr>
        <w:t xml:space="preserve"> Application)</w:t>
      </w:r>
      <w:r w:rsidRPr="00B30EF4">
        <w:rPr>
          <w:sz w:val="20"/>
        </w:rPr>
        <w:t>; Application for Review of Edward Simon,</w:t>
      </w:r>
      <w:r w:rsidRPr="00B30EF4">
        <w:rPr>
          <w:i/>
          <w:sz w:val="20"/>
        </w:rPr>
        <w:t xml:space="preserve"> </w:t>
      </w:r>
      <w:r w:rsidRPr="00B30EF4">
        <w:rPr>
          <w:sz w:val="20"/>
        </w:rPr>
        <w:t>DC, CG Docket Nos. 02-278, 05-338 (filed Sept. 28, 2015)</w:t>
      </w:r>
      <w:r>
        <w:rPr>
          <w:sz w:val="20"/>
        </w:rPr>
        <w:t xml:space="preserve"> (Simon Application)</w:t>
      </w:r>
      <w:r w:rsidRPr="00B30EF4">
        <w:rPr>
          <w:sz w:val="20"/>
        </w:rPr>
        <w:t xml:space="preserve">; Application for Review of </w:t>
      </w:r>
      <w:r w:rsidRPr="00B30EF4">
        <w:rPr>
          <w:sz w:val="20"/>
        </w:rPr>
        <w:t>Craftwood</w:t>
      </w:r>
      <w:r w:rsidRPr="00B30EF4">
        <w:rPr>
          <w:sz w:val="20"/>
        </w:rPr>
        <w:t xml:space="preserve"> II, Inc., dba Bay Hardware and </w:t>
      </w:r>
      <w:r w:rsidRPr="00B30EF4">
        <w:rPr>
          <w:sz w:val="20"/>
        </w:rPr>
        <w:t>Craftwood</w:t>
      </w:r>
      <w:r w:rsidRPr="00B30EF4">
        <w:rPr>
          <w:sz w:val="20"/>
        </w:rPr>
        <w:t xml:space="preserve"> Lumber Company, CG Docket Nos. 02-278, 05-338 (filed Sept. 28, 2015)</w:t>
      </w:r>
      <w:r>
        <w:rPr>
          <w:sz w:val="20"/>
        </w:rPr>
        <w:t xml:space="preserve"> (</w:t>
      </w:r>
      <w:r>
        <w:rPr>
          <w:sz w:val="20"/>
        </w:rPr>
        <w:t>Craftwood</w:t>
      </w:r>
      <w:r>
        <w:rPr>
          <w:sz w:val="20"/>
        </w:rPr>
        <w:t xml:space="preserve"> II Application)</w:t>
      </w:r>
      <w:r w:rsidRPr="00B30EF4">
        <w:rPr>
          <w:sz w:val="20"/>
        </w:rPr>
        <w:t>; Application for Review of Beck Simmons, LLC et al., CG Docket Nos. 02-278, 05-338 (filed Sept. 28, 2015)</w:t>
      </w:r>
      <w:r>
        <w:rPr>
          <w:sz w:val="20"/>
        </w:rPr>
        <w:t xml:space="preserve"> (Simmons Application)</w:t>
      </w:r>
      <w:r w:rsidRPr="00B30EF4">
        <w:rPr>
          <w:sz w:val="20"/>
        </w:rPr>
        <w:t>; Application for Full Commission Review of Renaissance Systems and Service,</w:t>
      </w:r>
      <w:r w:rsidRPr="00B30EF4">
        <w:rPr>
          <w:i/>
          <w:sz w:val="20"/>
        </w:rPr>
        <w:t xml:space="preserve"> LLC</w:t>
      </w:r>
      <w:r w:rsidRPr="00B30EF4">
        <w:rPr>
          <w:sz w:val="20"/>
        </w:rPr>
        <w:t>, CG Docket Nos. 02-278, 05-338 (filed Jan. 8, 2016)</w:t>
      </w:r>
      <w:r>
        <w:rPr>
          <w:sz w:val="20"/>
        </w:rPr>
        <w:t xml:space="preserve"> (Renaissance Application)</w:t>
      </w:r>
      <w:r w:rsidRPr="00B30EF4">
        <w:rPr>
          <w:sz w:val="20"/>
        </w:rPr>
        <w:t>; Application for Review of Wilder Chiropractic, Inc., CG Docket Nos. 02-278, 05-338 (filed Jan. 8, 2016)</w:t>
      </w:r>
      <w:r>
        <w:rPr>
          <w:sz w:val="20"/>
        </w:rPr>
        <w:t xml:space="preserve"> (Wilder Application)</w:t>
      </w:r>
      <w:r w:rsidRPr="00B30EF4">
        <w:rPr>
          <w:sz w:val="20"/>
        </w:rPr>
        <w:t xml:space="preserve">; Application for Full Commission Review of </w:t>
      </w:r>
      <w:r w:rsidRPr="00B30EF4">
        <w:rPr>
          <w:sz w:val="20"/>
        </w:rPr>
        <w:t>Bais</w:t>
      </w:r>
      <w:r w:rsidRPr="00B30EF4">
        <w:rPr>
          <w:sz w:val="20"/>
        </w:rPr>
        <w:t xml:space="preserve"> Yaakov of Spring Valley, CG Docket Nos. 02-2378, 05-338 (filed Dec. 1, 2016)</w:t>
      </w:r>
      <w:r>
        <w:rPr>
          <w:sz w:val="20"/>
        </w:rPr>
        <w:t xml:space="preserve"> (</w:t>
      </w:r>
      <w:r>
        <w:rPr>
          <w:sz w:val="20"/>
        </w:rPr>
        <w:t>Bais</w:t>
      </w:r>
      <w:r>
        <w:rPr>
          <w:sz w:val="20"/>
        </w:rPr>
        <w:t xml:space="preserve"> Yaakov Application)</w:t>
      </w:r>
      <w:r w:rsidRPr="00B30EF4">
        <w:rPr>
          <w:sz w:val="20"/>
        </w:rPr>
        <w:t>; Application for Review of West Loop Chiropractic &amp; Sports Injury Center, Ltd. and West Loop Health &amp; Sports Performance Center, LLC, CG Docket Nos. 02-278, 05-338 (filed Dec. 2, 2018)</w:t>
      </w:r>
      <w:r>
        <w:rPr>
          <w:sz w:val="20"/>
        </w:rPr>
        <w:t xml:space="preserve"> (West Loop Application)</w:t>
      </w:r>
      <w:r w:rsidRPr="00B30EF4">
        <w:rPr>
          <w:sz w:val="20"/>
        </w:rPr>
        <w:t>; Application for Review of Lawrence S. Brodsky</w:t>
      </w:r>
      <w:r w:rsidRPr="00B30EF4">
        <w:rPr>
          <w:i/>
          <w:sz w:val="20"/>
        </w:rPr>
        <w:t xml:space="preserve"> </w:t>
      </w:r>
      <w:r w:rsidRPr="00B30EF4">
        <w:rPr>
          <w:sz w:val="20"/>
        </w:rPr>
        <w:t>et al., CG Docket Nos. 02-278, 05-338 (filed Dec. 2, 2016)</w:t>
      </w:r>
      <w:r>
        <w:rPr>
          <w:sz w:val="20"/>
        </w:rPr>
        <w:t xml:space="preserve"> (Brodsky Application)</w:t>
      </w:r>
      <w:r w:rsidRPr="00DB3DE2">
        <w:rPr>
          <w:sz w:val="20"/>
        </w:rPr>
        <w:t xml:space="preserve">.  </w:t>
      </w:r>
    </w:p>
  </w:footnote>
  <w:footnote w:id="24">
    <w:p w:rsidR="00C52441" w:rsidRPr="001B2DD9" w:rsidP="00C52441" w14:paraId="5FAD2CBD" w14:textId="77777777">
      <w:pPr>
        <w:spacing w:after="120"/>
        <w:rPr>
          <w:sz w:val="20"/>
        </w:rPr>
      </w:pPr>
      <w:r w:rsidRPr="00DB3DE2">
        <w:rPr>
          <w:rStyle w:val="FootnoteReference"/>
        </w:rPr>
        <w:footnoteRef/>
      </w:r>
      <w:r w:rsidRPr="00B30EF4">
        <w:rPr>
          <w:sz w:val="20"/>
        </w:rPr>
        <w:t xml:space="preserve"> </w:t>
      </w:r>
      <w:r w:rsidRPr="00B30EF4">
        <w:rPr>
          <w:i/>
          <w:sz w:val="20"/>
        </w:rPr>
        <w:t xml:space="preserve">See </w:t>
      </w:r>
      <w:r w:rsidRPr="00B30EF4">
        <w:rPr>
          <w:sz w:val="20"/>
        </w:rPr>
        <w:t xml:space="preserve">Petition of Florence </w:t>
      </w:r>
      <w:r w:rsidRPr="00B30EF4">
        <w:rPr>
          <w:sz w:val="20"/>
        </w:rPr>
        <w:t>Mussat</w:t>
      </w:r>
      <w:r w:rsidRPr="00B30EF4">
        <w:rPr>
          <w:sz w:val="20"/>
        </w:rPr>
        <w:t>, M.D., S.C. for Reconsideration of Retroactive Waiver to Power Liens, LLC, CG Docket Nos. 02-278, 05-338 (filed Nov. 18, 2014)</w:t>
      </w:r>
      <w:r>
        <w:rPr>
          <w:sz w:val="20"/>
        </w:rPr>
        <w:t xml:space="preserve"> (</w:t>
      </w:r>
      <w:r>
        <w:rPr>
          <w:sz w:val="20"/>
        </w:rPr>
        <w:t>Mussat</w:t>
      </w:r>
      <w:r>
        <w:rPr>
          <w:sz w:val="20"/>
        </w:rPr>
        <w:t xml:space="preserve"> Petition)</w:t>
      </w:r>
      <w:r w:rsidRPr="00B30EF4">
        <w:rPr>
          <w:sz w:val="20"/>
        </w:rPr>
        <w:t>.</w:t>
      </w:r>
    </w:p>
  </w:footnote>
  <w:footnote w:id="25">
    <w:p w:rsidR="00C52441" w:rsidRPr="005E583A" w:rsidP="00C52441" w14:paraId="119A2DD2" w14:textId="77777777">
      <w:pPr>
        <w:pStyle w:val="FootnoteText"/>
        <w:tabs>
          <w:tab w:val="left" w:pos="4320"/>
        </w:tabs>
      </w:pPr>
      <w:r w:rsidRPr="005E583A">
        <w:rPr>
          <w:rStyle w:val="FootnoteReference"/>
        </w:rPr>
        <w:footnoteRef/>
      </w:r>
      <w:r w:rsidRPr="005E583A">
        <w:t xml:space="preserve"> </w:t>
      </w:r>
      <w:r w:rsidRPr="005E583A">
        <w:rPr>
          <w:i/>
        </w:rPr>
        <w:t xml:space="preserve">See </w:t>
      </w:r>
      <w:r w:rsidRPr="005E583A">
        <w:t xml:space="preserve">Petition for Review of An Agency, Board, Commission, or Officer, </w:t>
      </w:r>
      <w:r w:rsidRPr="005E583A">
        <w:rPr>
          <w:i/>
        </w:rPr>
        <w:t>Bais</w:t>
      </w:r>
      <w:r w:rsidRPr="005E583A">
        <w:rPr>
          <w:i/>
        </w:rPr>
        <w:t xml:space="preserve"> Yaakov of Spring Valley v. FCC</w:t>
      </w:r>
      <w:r w:rsidRPr="005E583A">
        <w:t>, (D.C. Cir. Nov. 10, 2014) (No. 14-1234).</w:t>
      </w:r>
    </w:p>
  </w:footnote>
  <w:footnote w:id="26">
    <w:p w:rsidR="00C52441" w:rsidRPr="005E583A" w:rsidP="00C52441" w14:paraId="62DC9EFD" w14:textId="77777777">
      <w:pPr>
        <w:pStyle w:val="FootnoteText"/>
      </w:pPr>
      <w:r w:rsidRPr="005E583A">
        <w:rPr>
          <w:rStyle w:val="FootnoteReference"/>
        </w:rPr>
        <w:footnoteRef/>
      </w:r>
      <w:r w:rsidRPr="005E583A">
        <w:t xml:space="preserve"> </w:t>
      </w:r>
      <w:r w:rsidRPr="005E583A">
        <w:rPr>
          <w:i/>
        </w:rPr>
        <w:t xml:space="preserve">See </w:t>
      </w:r>
      <w:r w:rsidRPr="005E583A">
        <w:rPr>
          <w:i/>
        </w:rPr>
        <w:t>Bais</w:t>
      </w:r>
      <w:r w:rsidRPr="005E583A">
        <w:rPr>
          <w:i/>
        </w:rPr>
        <w:t xml:space="preserve"> Yaakov</w:t>
      </w:r>
      <w:r w:rsidRPr="005E583A">
        <w:t>, 852 F.3d at 1082 (emphasis in original).</w:t>
      </w:r>
    </w:p>
  </w:footnote>
  <w:footnote w:id="27">
    <w:p w:rsidR="00C52441" w:rsidRPr="005E583A" w:rsidP="00C52441" w14:paraId="44CC379C" w14:textId="77777777">
      <w:pPr>
        <w:pStyle w:val="FootnoteText"/>
      </w:pPr>
      <w:r w:rsidRPr="005E583A">
        <w:rPr>
          <w:rStyle w:val="FootnoteReference"/>
        </w:rPr>
        <w:footnoteRef/>
      </w:r>
      <w:r w:rsidRPr="005E583A">
        <w:t xml:space="preserve"> </w:t>
      </w:r>
      <w:r w:rsidRPr="005E583A">
        <w:rPr>
          <w:i/>
        </w:rPr>
        <w:t>See id</w:t>
      </w:r>
      <w:r w:rsidRPr="005E583A">
        <w:t xml:space="preserve">. at 1083.  The court’s mandate became effective on July 6, 2017.  </w:t>
      </w:r>
      <w:r w:rsidRPr="005E583A">
        <w:rPr>
          <w:i/>
        </w:rPr>
        <w:t>See</w:t>
      </w:r>
      <w:r w:rsidRPr="005E583A">
        <w:t xml:space="preserve"> Mandate, </w:t>
      </w:r>
      <w:r w:rsidRPr="005E583A">
        <w:rPr>
          <w:i/>
          <w:iCs/>
        </w:rPr>
        <w:t>Bais</w:t>
      </w:r>
      <w:r w:rsidRPr="005E583A">
        <w:rPr>
          <w:i/>
          <w:iCs/>
        </w:rPr>
        <w:t xml:space="preserve"> Yaakov of Spring Valley v. FCC</w:t>
      </w:r>
      <w:r w:rsidRPr="005E583A">
        <w:t>, No. 14-1234 (D.C. Cir. July 6, 2017) (issuance of formal mandate of Mar. 31, 2017 judgment).</w:t>
      </w:r>
    </w:p>
  </w:footnote>
  <w:footnote w:id="28">
    <w:p w:rsidR="00C52441" w:rsidRPr="005E583A" w:rsidP="00C52441" w14:paraId="697E447F" w14:textId="77777777">
      <w:pPr>
        <w:pStyle w:val="FootnoteText"/>
      </w:pPr>
      <w:r w:rsidRPr="005E583A">
        <w:rPr>
          <w:rStyle w:val="FootnoteReference"/>
        </w:rPr>
        <w:footnoteRef/>
      </w:r>
      <w:r w:rsidRPr="005E583A">
        <w:t xml:space="preserve"> </w:t>
      </w:r>
      <w:bookmarkStart w:id="4" w:name="_Hlk23506377"/>
      <w:r w:rsidRPr="005E583A">
        <w:rPr>
          <w:i/>
        </w:rPr>
        <w:t xml:space="preserve">See 2018 Dismissal Order, </w:t>
      </w:r>
      <w:r w:rsidRPr="005E583A">
        <w:t xml:space="preserve">33 FCC </w:t>
      </w:r>
      <w:r w:rsidRPr="005E583A">
        <w:t>Rcd</w:t>
      </w:r>
      <w:r w:rsidRPr="005E583A">
        <w:t xml:space="preserve"> at 1183, para. 9. </w:t>
      </w:r>
      <w:bookmarkEnd w:id="4"/>
      <w:r w:rsidRPr="005E583A">
        <w:t xml:space="preserve">  </w:t>
      </w:r>
    </w:p>
  </w:footnote>
  <w:footnote w:id="29">
    <w:p w:rsidR="00C52441" w:rsidRPr="005E583A" w:rsidP="00C52441" w14:paraId="2C169A66" w14:textId="77777777">
      <w:pPr>
        <w:pStyle w:val="FootnoteText"/>
      </w:pPr>
      <w:r w:rsidRPr="005E583A">
        <w:rPr>
          <w:rStyle w:val="FootnoteReference"/>
        </w:rPr>
        <w:footnoteRef/>
      </w:r>
      <w:r w:rsidRPr="005E583A">
        <w:t xml:space="preserve"> </w:t>
      </w:r>
      <w:r w:rsidRPr="005E583A">
        <w:rPr>
          <w:i/>
        </w:rPr>
        <w:t>See id.</w:t>
      </w:r>
      <w:r w:rsidRPr="005E583A">
        <w:t xml:space="preserve"> at 1183, para. 10.</w:t>
      </w:r>
      <w:r w:rsidRPr="005E583A">
        <w:rPr>
          <w:i/>
        </w:rPr>
        <w:t xml:space="preserve">  </w:t>
      </w:r>
      <w:r w:rsidRPr="005E583A">
        <w:rPr>
          <w:iCs/>
        </w:rPr>
        <w:t xml:space="preserve">Although </w:t>
      </w:r>
      <w:r w:rsidRPr="005E583A">
        <w:t xml:space="preserve">the ten pending applications for review that are addressed herein were pending at the Commission when the Bureau issued the </w:t>
      </w:r>
      <w:r w:rsidRPr="005E583A">
        <w:rPr>
          <w:i/>
        </w:rPr>
        <w:t>2018 Dismissal Order</w:t>
      </w:r>
      <w:r w:rsidRPr="005E583A">
        <w:rPr>
          <w:iCs/>
        </w:rPr>
        <w:t>, the Bureau</w:t>
      </w:r>
      <w:r w:rsidRPr="005E583A">
        <w:t xml:space="preserve"> did not have delegated authority to resolve them.  </w:t>
      </w:r>
      <w:r w:rsidRPr="005E583A">
        <w:rPr>
          <w:i/>
        </w:rPr>
        <w:t>See</w:t>
      </w:r>
      <w:r w:rsidRPr="005E583A">
        <w:t xml:space="preserve"> 47 U.S.C § 155(c); </w:t>
      </w:r>
      <w:r w:rsidRPr="005E583A">
        <w:rPr>
          <w:i/>
        </w:rPr>
        <w:t>see also</w:t>
      </w:r>
      <w:r w:rsidRPr="005E583A">
        <w:t xml:space="preserve"> 47 CFR § 1.115.  </w:t>
      </w:r>
      <w:r w:rsidRPr="005E583A">
        <w:rPr>
          <w:highlight w:val="yellow"/>
        </w:rPr>
        <w:t xml:space="preserve"> </w:t>
      </w:r>
      <w:r w:rsidRPr="005E583A">
        <w:t xml:space="preserve"> </w:t>
      </w:r>
    </w:p>
  </w:footnote>
  <w:footnote w:id="30">
    <w:p w:rsidR="00C52441" w:rsidRPr="005E583A" w:rsidP="00C52441" w14:paraId="7A2E01DC" w14:textId="77777777">
      <w:pPr>
        <w:pStyle w:val="FootnoteText"/>
      </w:pPr>
      <w:r w:rsidRPr="005E583A">
        <w:rPr>
          <w:rStyle w:val="FootnoteReference"/>
        </w:rPr>
        <w:footnoteRef/>
      </w:r>
      <w:r w:rsidRPr="005E583A">
        <w:t xml:space="preserve"> </w:t>
      </w:r>
      <w:r w:rsidRPr="005E583A">
        <w:rPr>
          <w:i/>
        </w:rPr>
        <w:t>See</w:t>
      </w:r>
      <w:r w:rsidRPr="005E583A">
        <w:t xml:space="preserve"> </w:t>
      </w:r>
      <w:r w:rsidRPr="005E583A">
        <w:t>Gorss</w:t>
      </w:r>
      <w:r w:rsidRPr="005E583A">
        <w:t xml:space="preserve"> Application.  </w:t>
      </w:r>
    </w:p>
  </w:footnote>
  <w:footnote w:id="31">
    <w:p w:rsidR="00C52441" w:rsidP="00C52441" w14:paraId="520A47B6" w14:textId="77777777">
      <w:pPr>
        <w:pStyle w:val="FootnoteText"/>
      </w:pPr>
      <w:r>
        <w:rPr>
          <w:rStyle w:val="FootnoteReference"/>
        </w:rPr>
        <w:footnoteRef/>
      </w:r>
      <w:r>
        <w:t xml:space="preserve"> </w:t>
      </w:r>
      <w:r w:rsidRPr="00B30EF4">
        <w:rPr>
          <w:i/>
        </w:rPr>
        <w:t>Bais</w:t>
      </w:r>
      <w:r w:rsidRPr="00B30EF4">
        <w:rPr>
          <w:i/>
        </w:rPr>
        <w:t xml:space="preserve"> Yaakov</w:t>
      </w:r>
      <w:r>
        <w:t>, 852 F.3d at 1083.</w:t>
      </w:r>
    </w:p>
  </w:footnote>
  <w:footnote w:id="32">
    <w:p w:rsidR="00C52441" w:rsidRPr="005E583A" w:rsidP="00C52441" w14:paraId="6F6DF572" w14:textId="77777777">
      <w:pPr>
        <w:pStyle w:val="FootnoteText"/>
      </w:pPr>
      <w:r w:rsidRPr="005E583A">
        <w:rPr>
          <w:rStyle w:val="FootnoteReference"/>
        </w:rPr>
        <w:footnoteRef/>
      </w:r>
      <w:r w:rsidRPr="005E583A">
        <w:t xml:space="preserve"> </w:t>
      </w:r>
      <w:r w:rsidRPr="005E583A">
        <w:rPr>
          <w:i/>
        </w:rPr>
        <w:t xml:space="preserve">See </w:t>
      </w:r>
      <w:r w:rsidRPr="005E583A">
        <w:t>Gorss</w:t>
      </w:r>
      <w:r w:rsidRPr="005E583A">
        <w:t xml:space="preserve"> Application at 13.</w:t>
      </w:r>
    </w:p>
  </w:footnote>
  <w:footnote w:id="33">
    <w:p w:rsidR="00C52441" w:rsidRPr="005E583A" w:rsidP="00C52441" w14:paraId="686DF891" w14:textId="77777777">
      <w:pPr>
        <w:pStyle w:val="FootnoteText"/>
      </w:pPr>
      <w:r w:rsidRPr="005E583A">
        <w:rPr>
          <w:rStyle w:val="FootnoteReference"/>
        </w:rPr>
        <w:footnoteRef/>
      </w:r>
      <w:r w:rsidRPr="005E583A">
        <w:t xml:space="preserve"> </w:t>
      </w:r>
      <w:r w:rsidRPr="005E583A">
        <w:rPr>
          <w:i/>
        </w:rPr>
        <w:t>True Health Chiropractic, Inc. v. McKesson Corp.</w:t>
      </w:r>
      <w:r w:rsidRPr="005E583A">
        <w:t>, 896 F.3d 923, 930 (9</w:t>
      </w:r>
      <w:r w:rsidRPr="00994210">
        <w:t>th</w:t>
      </w:r>
      <w:r w:rsidRPr="005E583A">
        <w:t xml:space="preserve"> Cir. 2018).</w:t>
      </w:r>
      <w:r w:rsidRPr="005E583A">
        <w:rPr>
          <w:i/>
        </w:rPr>
        <w:t xml:space="preserve"> </w:t>
      </w:r>
    </w:p>
  </w:footnote>
  <w:footnote w:id="34">
    <w:p w:rsidR="00C52441" w:rsidRPr="005E583A" w:rsidP="00C52441" w14:paraId="5DE5D114" w14:textId="77777777">
      <w:pPr>
        <w:pStyle w:val="FootnoteText"/>
      </w:pPr>
      <w:r w:rsidRPr="005E583A">
        <w:rPr>
          <w:rStyle w:val="FootnoteReference"/>
        </w:rPr>
        <w:footnoteRef/>
      </w:r>
      <w:r w:rsidRPr="005E583A">
        <w:t xml:space="preserve"> </w:t>
      </w:r>
      <w:r w:rsidRPr="005E583A">
        <w:rPr>
          <w:i/>
        </w:rPr>
        <w:t>Sandusky Wellness Ctr. v. ASD Specialty Healthcare</w:t>
      </w:r>
      <w:r w:rsidRPr="005E583A">
        <w:t>, 863 F.3d 460, 467</w:t>
      </w:r>
      <w:r>
        <w:t>-68</w:t>
      </w:r>
      <w:r w:rsidRPr="005E583A">
        <w:t xml:space="preserve"> (6</w:t>
      </w:r>
      <w:r w:rsidRPr="00994210">
        <w:t>th</w:t>
      </w:r>
      <w:r w:rsidRPr="005223EB">
        <w:t xml:space="preserve"> </w:t>
      </w:r>
      <w:r w:rsidRPr="005E583A">
        <w:t>Cir. 2017</w:t>
      </w:r>
      <w:r w:rsidRPr="005E583A">
        <w:rPr>
          <w:i/>
        </w:rPr>
        <w:t>)</w:t>
      </w:r>
      <w:r>
        <w:rPr>
          <w:iCs/>
        </w:rPr>
        <w:t>,</w:t>
      </w:r>
      <w:r>
        <w:t xml:space="preserve"> </w:t>
      </w:r>
      <w:r w:rsidRPr="005E583A">
        <w:rPr>
          <w:i/>
        </w:rPr>
        <w:t>accord</w:t>
      </w:r>
      <w:r w:rsidRPr="005E583A">
        <w:t xml:space="preserve"> </w:t>
      </w:r>
      <w:r w:rsidRPr="005E583A">
        <w:rPr>
          <w:i/>
        </w:rPr>
        <w:t>Alpha Tech Pet Inc. v. Lagasse, LLC</w:t>
      </w:r>
      <w:r w:rsidRPr="005E583A">
        <w:t>, No. 16-C-4321, 2017 WL 5069946 at *3 (N.D. Ill. Nov. 3, 2017) (finding that “</w:t>
      </w:r>
      <w:r w:rsidRPr="005E583A">
        <w:rPr>
          <w:shd w:val="clear" w:color="auto" w:fill="FFFFFF"/>
        </w:rPr>
        <w:t>[t]he D.C. Circuit was clear and unequivocal [in holding that] the ‘Solicited Fax Rule is unlawful to the extent that it requires opt-out notices on solicited faxes,’ </w:t>
      </w:r>
      <w:r w:rsidRPr="005E583A">
        <w:t xml:space="preserve">and agreeing with </w:t>
      </w:r>
      <w:r w:rsidRPr="005E583A">
        <w:rPr>
          <w:i/>
        </w:rPr>
        <w:t xml:space="preserve">Sandusky </w:t>
      </w:r>
      <w:r w:rsidRPr="005E583A">
        <w:t>that</w:t>
      </w:r>
      <w:r w:rsidRPr="005E583A">
        <w:rPr>
          <w:shd w:val="clear" w:color="auto" w:fill="FFFFFF"/>
        </w:rPr>
        <w:t xml:space="preserve"> ‘[t]</w:t>
      </w:r>
      <w:r w:rsidRPr="005E583A">
        <w:rPr>
          <w:shd w:val="clear" w:color="auto" w:fill="FFFFFF"/>
        </w:rPr>
        <w:t>hus</w:t>
      </w:r>
      <w:r w:rsidRPr="005E583A">
        <w:rPr>
          <w:shd w:val="clear" w:color="auto" w:fill="FFFFFF"/>
        </w:rPr>
        <w:t>, .</w:t>
      </w:r>
      <w:r>
        <w:rPr>
          <w:shd w:val="clear" w:color="auto" w:fill="FFFFFF"/>
        </w:rPr>
        <w:t xml:space="preserve"> </w:t>
      </w:r>
      <w:r w:rsidRPr="005E583A">
        <w:rPr>
          <w:shd w:val="clear" w:color="auto" w:fill="FFFFFF"/>
        </w:rPr>
        <w:t>.</w:t>
      </w:r>
      <w:r>
        <w:rPr>
          <w:shd w:val="clear" w:color="auto" w:fill="FFFFFF"/>
        </w:rPr>
        <w:t xml:space="preserve"> </w:t>
      </w:r>
      <w:r w:rsidRPr="005E583A">
        <w:rPr>
          <w:shd w:val="clear" w:color="auto" w:fill="FFFFFF"/>
        </w:rPr>
        <w:t>. the Solicited Fax Rule itself .</w:t>
      </w:r>
      <w:r>
        <w:rPr>
          <w:shd w:val="clear" w:color="auto" w:fill="FFFFFF"/>
        </w:rPr>
        <w:t xml:space="preserve"> </w:t>
      </w:r>
      <w:r w:rsidRPr="005E583A">
        <w:rPr>
          <w:shd w:val="clear" w:color="auto" w:fill="FFFFFF"/>
        </w:rPr>
        <w:t>.</w:t>
      </w:r>
      <w:r>
        <w:rPr>
          <w:shd w:val="clear" w:color="auto" w:fill="FFFFFF"/>
        </w:rPr>
        <w:t xml:space="preserve"> </w:t>
      </w:r>
      <w:r w:rsidRPr="005E583A">
        <w:rPr>
          <w:shd w:val="clear" w:color="auto" w:fill="FFFFFF"/>
        </w:rPr>
        <w:t>. was struck down’”</w:t>
      </w:r>
      <w:r w:rsidRPr="005E583A">
        <w:t xml:space="preserve">).  </w:t>
      </w:r>
    </w:p>
  </w:footnote>
  <w:footnote w:id="35">
    <w:p w:rsidR="00C52441" w:rsidP="00C52441" w14:paraId="5492D683" w14:textId="77777777">
      <w:pPr>
        <w:pStyle w:val="FootnoteText"/>
      </w:pPr>
      <w:r>
        <w:rPr>
          <w:rStyle w:val="FootnoteReference"/>
        </w:rPr>
        <w:footnoteRef/>
      </w:r>
      <w:r>
        <w:t xml:space="preserve"> </w:t>
      </w:r>
      <w:r w:rsidRPr="00741C73">
        <w:rPr>
          <w:rStyle w:val="Hyperlink"/>
          <w:i/>
          <w:iCs/>
          <w:color w:val="000000"/>
          <w:u w:val="none"/>
        </w:rPr>
        <w:t xml:space="preserve">P&amp;V Enters. v. U.S. Army Corps of </w:t>
      </w:r>
      <w:r w:rsidRPr="00741C73">
        <w:rPr>
          <w:rStyle w:val="Hyperlink"/>
          <w:i/>
          <w:iCs/>
          <w:color w:val="000000"/>
          <w:u w:val="none"/>
        </w:rPr>
        <w:t>Eng’rs</w:t>
      </w:r>
      <w:r w:rsidRPr="00741C73">
        <w:rPr>
          <w:rStyle w:val="Hyperlink"/>
          <w:color w:val="000000"/>
          <w:u w:val="none"/>
        </w:rPr>
        <w:t>, 516 F.3d 1021, 1024</w:t>
      </w:r>
      <w:r w:rsidRPr="005E583A">
        <w:rPr>
          <w:color w:val="000000"/>
        </w:rPr>
        <w:t> (D.C. Cir. 2008) (alteration in original) (quoting </w:t>
      </w:r>
      <w:r w:rsidRPr="00741C73">
        <w:rPr>
          <w:rStyle w:val="Hyperlink"/>
          <w:i/>
          <w:iCs/>
          <w:color w:val="000000"/>
          <w:u w:val="none"/>
        </w:rPr>
        <w:t xml:space="preserve">Nat’l Mining </w:t>
      </w:r>
      <w:r w:rsidRPr="00741C73">
        <w:rPr>
          <w:rStyle w:val="Hyperlink"/>
          <w:i/>
          <w:iCs/>
          <w:color w:val="000000"/>
          <w:u w:val="none"/>
        </w:rPr>
        <w:t>Ass’n</w:t>
      </w:r>
      <w:r w:rsidRPr="00741C73">
        <w:rPr>
          <w:rStyle w:val="Hyperlink"/>
          <w:i/>
          <w:iCs/>
          <w:color w:val="000000"/>
          <w:u w:val="none"/>
        </w:rPr>
        <w:t xml:space="preserve"> v. U.S. Dep’t of the Interior,</w:t>
      </w:r>
      <w:r w:rsidRPr="00741C73">
        <w:rPr>
          <w:rStyle w:val="Hyperlink"/>
          <w:color w:val="000000"/>
          <w:u w:val="none"/>
        </w:rPr>
        <w:t> 70 F.3d 1345, 1352 (D.C. Cir. 1995)</w:t>
      </w:r>
      <w:r w:rsidRPr="00741C73">
        <w:rPr>
          <w:color w:val="000000"/>
        </w:rPr>
        <w:t>).</w:t>
      </w:r>
    </w:p>
  </w:footnote>
  <w:footnote w:id="36">
    <w:p w:rsidR="00C52441" w:rsidP="00C52441" w14:paraId="203C4F29" w14:textId="77777777">
      <w:pPr>
        <w:pStyle w:val="FootnoteText"/>
      </w:pPr>
      <w:r>
        <w:rPr>
          <w:rStyle w:val="FootnoteReference"/>
        </w:rPr>
        <w:footnoteRef/>
      </w:r>
      <w:r>
        <w:t xml:space="preserve"> </w:t>
      </w:r>
      <w:r w:rsidRPr="005E583A">
        <w:rPr>
          <w:i/>
          <w:iCs/>
          <w:color w:val="000000"/>
        </w:rPr>
        <w:t>See </w:t>
      </w:r>
      <w:r w:rsidRPr="00741C73">
        <w:rPr>
          <w:rStyle w:val="Hyperlink"/>
          <w:i/>
          <w:iCs/>
          <w:color w:val="000000"/>
          <w:u w:val="none"/>
        </w:rPr>
        <w:t xml:space="preserve">CTIA - The Wireless </w:t>
      </w:r>
      <w:r w:rsidRPr="00741C73">
        <w:rPr>
          <w:rStyle w:val="Hyperlink"/>
          <w:i/>
          <w:iCs/>
          <w:color w:val="000000"/>
          <w:u w:val="none"/>
        </w:rPr>
        <w:t>Ass'n</w:t>
      </w:r>
      <w:r w:rsidRPr="00741C73">
        <w:rPr>
          <w:rStyle w:val="Hyperlink"/>
          <w:i/>
          <w:iCs/>
          <w:color w:val="000000"/>
          <w:u w:val="none"/>
        </w:rPr>
        <w:t xml:space="preserve"> v. FCC,</w:t>
      </w:r>
      <w:r w:rsidRPr="00741C73">
        <w:rPr>
          <w:rStyle w:val="Hyperlink"/>
          <w:color w:val="000000"/>
          <w:u w:val="none"/>
        </w:rPr>
        <w:t> 466 F.3d 105, 112 (D.C. Cir. 2006)</w:t>
      </w:r>
      <w:r>
        <w:rPr>
          <w:color w:val="000000"/>
        </w:rPr>
        <w:t xml:space="preserve"> </w:t>
      </w:r>
      <w:r w:rsidRPr="005E583A">
        <w:rPr>
          <w:color w:val="000000"/>
        </w:rPr>
        <w:t>(finding reopening where the subsequent order “indisputably offers two new justifications not found” in the earlier order, and where those justifications “offer the Commission's first explicit rationales” for the rule).</w:t>
      </w:r>
    </w:p>
  </w:footnote>
  <w:footnote w:id="37">
    <w:p w:rsidR="00C52441" w:rsidP="00C52441" w14:paraId="44B59D21" w14:textId="77777777">
      <w:pPr>
        <w:pStyle w:val="FootnoteText"/>
      </w:pPr>
      <w:r>
        <w:rPr>
          <w:rStyle w:val="FootnoteReference"/>
        </w:rPr>
        <w:footnoteRef/>
      </w:r>
      <w:r>
        <w:t xml:space="preserve"> </w:t>
      </w:r>
      <w:r w:rsidRPr="0054211E">
        <w:rPr>
          <w:i/>
        </w:rPr>
        <w:t>See</w:t>
      </w:r>
      <w:r>
        <w:t xml:space="preserve"> </w:t>
      </w:r>
      <w:r w:rsidRPr="00741C73">
        <w:rPr>
          <w:rStyle w:val="Hyperlink"/>
          <w:i/>
          <w:iCs/>
          <w:color w:val="000000"/>
          <w:u w:val="none"/>
        </w:rPr>
        <w:t>Ass’n</w:t>
      </w:r>
      <w:r w:rsidRPr="00741C73">
        <w:rPr>
          <w:rStyle w:val="Hyperlink"/>
          <w:i/>
          <w:iCs/>
          <w:color w:val="000000"/>
          <w:u w:val="none"/>
        </w:rPr>
        <w:t xml:space="preserve"> of Am. Railroads v. ICC</w:t>
      </w:r>
      <w:r w:rsidRPr="00741C73">
        <w:rPr>
          <w:rStyle w:val="Hyperlink"/>
          <w:iCs/>
          <w:color w:val="000000"/>
          <w:u w:val="none"/>
        </w:rPr>
        <w:t>,</w:t>
      </w:r>
      <w:r w:rsidRPr="00741C73">
        <w:rPr>
          <w:rStyle w:val="Hyperlink"/>
          <w:color w:val="000000"/>
          <w:u w:val="none"/>
        </w:rPr>
        <w:t> 846 F.2d 1465, 1473 (D.C. Cir. 1988)</w:t>
      </w:r>
      <w:r w:rsidRPr="005E583A">
        <w:rPr>
          <w:color w:val="000000"/>
        </w:rPr>
        <w:t>.</w:t>
      </w:r>
    </w:p>
  </w:footnote>
  <w:footnote w:id="38">
    <w:p w:rsidR="00C52441" w:rsidRPr="005E583A" w:rsidP="00C52441" w14:paraId="0659CE8A" w14:textId="77777777">
      <w:pPr>
        <w:pStyle w:val="FootnoteText"/>
      </w:pPr>
      <w:r w:rsidRPr="005E583A">
        <w:rPr>
          <w:rStyle w:val="FootnoteReference"/>
        </w:rPr>
        <w:footnoteRef/>
      </w:r>
      <w:r w:rsidRPr="005E583A">
        <w:t xml:space="preserve"> </w:t>
      </w:r>
      <w:r w:rsidRPr="005E583A">
        <w:rPr>
          <w:i/>
        </w:rPr>
        <w:t xml:space="preserve">See </w:t>
      </w:r>
      <w:r w:rsidRPr="005E583A">
        <w:rPr>
          <w:i/>
        </w:rPr>
        <w:t>Bais</w:t>
      </w:r>
      <w:r w:rsidRPr="005E583A">
        <w:rPr>
          <w:i/>
        </w:rPr>
        <w:t xml:space="preserve"> Yaakov</w:t>
      </w:r>
      <w:r w:rsidRPr="005E583A">
        <w:t>, 852 F.3d at 1082.</w:t>
      </w:r>
    </w:p>
  </w:footnote>
  <w:footnote w:id="39">
    <w:p w:rsidR="00C52441" w:rsidRPr="005E583A" w:rsidP="00C52441" w14:paraId="3E55258D" w14:textId="77777777">
      <w:pPr>
        <w:pStyle w:val="FootnoteText"/>
      </w:pPr>
      <w:r w:rsidRPr="005E583A">
        <w:rPr>
          <w:rStyle w:val="FootnoteReference"/>
        </w:rPr>
        <w:footnoteRef/>
      </w:r>
      <w:r w:rsidRPr="005E583A">
        <w:t xml:space="preserve"> </w:t>
      </w:r>
      <w:r w:rsidRPr="005E583A">
        <w:rPr>
          <w:i/>
        </w:rPr>
        <w:t>Id</w:t>
      </w:r>
      <w:r w:rsidRPr="005E583A">
        <w:t>. at 1083.</w:t>
      </w:r>
    </w:p>
  </w:footnote>
  <w:footnote w:id="40">
    <w:p w:rsidR="00C52441" w:rsidRPr="005E583A" w:rsidP="00C52441" w14:paraId="638E6C82" w14:textId="77777777">
      <w:pPr>
        <w:pStyle w:val="FootnoteText"/>
      </w:pPr>
      <w:r w:rsidRPr="005E583A">
        <w:rPr>
          <w:rStyle w:val="FootnoteReference"/>
        </w:rPr>
        <w:footnoteRef/>
      </w:r>
      <w:r w:rsidRPr="005E583A">
        <w:t xml:space="preserve"> </w:t>
      </w:r>
      <w:r w:rsidRPr="005E583A">
        <w:rPr>
          <w:i/>
        </w:rPr>
        <w:t>See id</w:t>
      </w:r>
      <w:r w:rsidRPr="005E583A">
        <w:t xml:space="preserve">. </w:t>
      </w:r>
    </w:p>
  </w:footnote>
  <w:footnote w:id="41">
    <w:p w:rsidR="00C52441" w:rsidRPr="005E583A" w:rsidP="00C52441" w14:paraId="69E5B2B5" w14:textId="77777777">
      <w:pPr>
        <w:pStyle w:val="FootnoteText"/>
      </w:pPr>
      <w:r w:rsidRPr="005E583A">
        <w:rPr>
          <w:rStyle w:val="FootnoteReference"/>
        </w:rPr>
        <w:footnoteRef/>
      </w:r>
      <w:r w:rsidRPr="005E583A">
        <w:t xml:space="preserve"> </w:t>
      </w:r>
      <w:r w:rsidRPr="005E583A">
        <w:t>Gorss</w:t>
      </w:r>
      <w:r w:rsidRPr="005E583A">
        <w:t xml:space="preserve"> Application at 2.  Applicants rely on </w:t>
      </w:r>
      <w:r w:rsidRPr="005E583A">
        <w:rPr>
          <w:i/>
        </w:rPr>
        <w:t xml:space="preserve">Nat’l </w:t>
      </w:r>
      <w:r w:rsidRPr="005E583A">
        <w:rPr>
          <w:i/>
        </w:rPr>
        <w:t>Envtl</w:t>
      </w:r>
      <w:r w:rsidRPr="005E583A">
        <w:rPr>
          <w:i/>
        </w:rPr>
        <w:t xml:space="preserve">. Dev. </w:t>
      </w:r>
      <w:r w:rsidRPr="005E583A">
        <w:rPr>
          <w:i/>
        </w:rPr>
        <w:t>Ass’n’s</w:t>
      </w:r>
      <w:r w:rsidRPr="005E583A">
        <w:rPr>
          <w:i/>
        </w:rPr>
        <w:t xml:space="preserve"> Clean Air Project v. EPA</w:t>
      </w:r>
      <w:r w:rsidRPr="005E583A">
        <w:t>, 891 F.3d 1040 (D.C. Cir. 2018) (</w:t>
      </w:r>
      <w:r w:rsidRPr="005E583A">
        <w:rPr>
          <w:i/>
        </w:rPr>
        <w:t>NEDACAP</w:t>
      </w:r>
      <w:r w:rsidRPr="005E583A">
        <w:t xml:space="preserve">), for the proposition that the Agency is not required to implement policy based on the opinion of the first court to issue an order in a consolidated appeal on the subject.  </w:t>
      </w:r>
      <w:r w:rsidRPr="005E583A">
        <w:rPr>
          <w:i/>
        </w:rPr>
        <w:t>See</w:t>
      </w:r>
      <w:r w:rsidRPr="005E583A">
        <w:t xml:space="preserve"> </w:t>
      </w:r>
      <w:r w:rsidRPr="005E583A">
        <w:t>Gorss</w:t>
      </w:r>
      <w:r w:rsidRPr="005E583A">
        <w:t xml:space="preserve"> Application at 11-13.  </w:t>
      </w:r>
      <w:r w:rsidRPr="005E583A">
        <w:rPr>
          <w:i/>
        </w:rPr>
        <w:t>NEDACAP</w:t>
      </w:r>
      <w:r w:rsidRPr="005E583A">
        <w:t xml:space="preserve"> is not a Hobbs Act case and is therefore irrelevant.  </w:t>
      </w:r>
    </w:p>
  </w:footnote>
  <w:footnote w:id="42">
    <w:p w:rsidR="00C52441" w:rsidRPr="005E583A" w:rsidP="00C52441" w14:paraId="2C05B0C8" w14:textId="77777777">
      <w:pPr>
        <w:pStyle w:val="FootnoteText"/>
      </w:pPr>
      <w:r w:rsidRPr="005E583A">
        <w:rPr>
          <w:rStyle w:val="FootnoteReference"/>
        </w:rPr>
        <w:footnoteRef/>
      </w:r>
      <w:r w:rsidRPr="005E583A">
        <w:t xml:space="preserve"> </w:t>
      </w:r>
      <w:r w:rsidRPr="005E583A">
        <w:rPr>
          <w:i/>
        </w:rPr>
        <w:t>See</w:t>
      </w:r>
      <w:r w:rsidRPr="005E583A">
        <w:t xml:space="preserve"> Administrative Orders Review Act (Hobbs Act), </w:t>
      </w:r>
      <w:r w:rsidRPr="005E583A">
        <w:t>ch.</w:t>
      </w:r>
      <w:r w:rsidRPr="005E583A">
        <w:t xml:space="preserve"> 1189, 64 Stat. 1129, </w:t>
      </w:r>
      <w:r w:rsidRPr="005E583A">
        <w:rPr>
          <w:i/>
        </w:rPr>
        <w:t>codified at</w:t>
      </w:r>
      <w:r w:rsidRPr="005E583A">
        <w:t xml:space="preserve"> 28 U.S.C. § 2342 </w:t>
      </w:r>
      <w:r w:rsidRPr="005E583A">
        <w:rPr>
          <w:i/>
        </w:rPr>
        <w:t xml:space="preserve">et seq.; </w:t>
      </w:r>
      <w:r>
        <w:rPr>
          <w:i/>
        </w:rPr>
        <w:t xml:space="preserve">see also </w:t>
      </w:r>
      <w:r w:rsidRPr="005E583A">
        <w:rPr>
          <w:i/>
        </w:rPr>
        <w:t>Sandusky Wellness Ctr.</w:t>
      </w:r>
      <w:r w:rsidRPr="005E583A">
        <w:t xml:space="preserve">, 863 F.3d </w:t>
      </w:r>
      <w:r>
        <w:t>at</w:t>
      </w:r>
      <w:r w:rsidRPr="005E583A">
        <w:t xml:space="preserve"> 467</w:t>
      </w:r>
      <w:r w:rsidRPr="005E583A">
        <w:rPr>
          <w:i/>
        </w:rPr>
        <w:t>; Peck v. Cingular Wireless, LLC</w:t>
      </w:r>
      <w:r w:rsidRPr="005E583A">
        <w:t>, 535 F.3d 1053, 1057 (</w:t>
      </w:r>
      <w:r w:rsidRPr="009669FF">
        <w:t>9</w:t>
      </w:r>
      <w:r w:rsidRPr="00994210">
        <w:t>th</w:t>
      </w:r>
      <w:r w:rsidRPr="005E583A">
        <w:t xml:space="preserve"> Cir. 2008</w:t>
      </w:r>
      <w:r w:rsidRPr="005E583A">
        <w:rPr>
          <w:i/>
        </w:rPr>
        <w:t xml:space="preserve">); MCI </w:t>
      </w:r>
      <w:r w:rsidRPr="005E583A">
        <w:rPr>
          <w:i/>
        </w:rPr>
        <w:t>Telecomms</w:t>
      </w:r>
      <w:r w:rsidRPr="005E583A">
        <w:rPr>
          <w:i/>
        </w:rPr>
        <w:t>. Corp. v. U.S. West Comms</w:t>
      </w:r>
      <w:r w:rsidRPr="005E583A">
        <w:t>., 204 F.3d 1262, 1267 (</w:t>
      </w:r>
      <w:r w:rsidRPr="009669FF">
        <w:t>9</w:t>
      </w:r>
      <w:r w:rsidRPr="00994210">
        <w:t>th</w:t>
      </w:r>
      <w:r w:rsidRPr="009669FF">
        <w:t xml:space="preserve"> </w:t>
      </w:r>
      <w:r w:rsidRPr="005E583A">
        <w:t>Cir. 2000</w:t>
      </w:r>
      <w:r w:rsidRPr="005E583A">
        <w:rPr>
          <w:i/>
        </w:rPr>
        <w:t xml:space="preserve">); Brodsky v. </w:t>
      </w:r>
      <w:r w:rsidRPr="005E583A">
        <w:rPr>
          <w:i/>
        </w:rPr>
        <w:t>HumanaDental</w:t>
      </w:r>
      <w:r w:rsidRPr="005E583A">
        <w:t>, 910 F.3d 285, 290 (</w:t>
      </w:r>
      <w:r w:rsidRPr="009669FF">
        <w:t>7</w:t>
      </w:r>
      <w:r w:rsidRPr="00994210">
        <w:t>th</w:t>
      </w:r>
      <w:r w:rsidRPr="005E583A">
        <w:t xml:space="preserve"> Cir. 2018).     </w:t>
      </w:r>
    </w:p>
  </w:footnote>
  <w:footnote w:id="43">
    <w:p w:rsidR="00C52441" w:rsidRPr="005E583A" w:rsidP="00C52441" w14:paraId="715BB920" w14:textId="77777777">
      <w:pPr>
        <w:pStyle w:val="FootnoteText"/>
      </w:pPr>
      <w:r w:rsidRPr="005E583A">
        <w:rPr>
          <w:rStyle w:val="FootnoteReference"/>
        </w:rPr>
        <w:footnoteRef/>
      </w:r>
      <w:r w:rsidRPr="005E583A">
        <w:t xml:space="preserve"> </w:t>
      </w:r>
      <w:r w:rsidRPr="005E583A">
        <w:rPr>
          <w:i/>
        </w:rPr>
        <w:t>See</w:t>
      </w:r>
      <w:r w:rsidRPr="005E583A">
        <w:t xml:space="preserve"> </w:t>
      </w:r>
      <w:r>
        <w:t>Yaakov Application</w:t>
      </w:r>
      <w:r w:rsidRPr="005E583A">
        <w:t xml:space="preserve">; </w:t>
      </w:r>
      <w:r>
        <w:t>Craftwood</w:t>
      </w:r>
      <w:r>
        <w:t xml:space="preserve"> Application</w:t>
      </w:r>
      <w:r w:rsidRPr="005E583A">
        <w:t xml:space="preserve">; </w:t>
      </w:r>
      <w:r>
        <w:t xml:space="preserve">Simon </w:t>
      </w:r>
      <w:r w:rsidRPr="005E583A">
        <w:t>Application</w:t>
      </w:r>
      <w:r>
        <w:t>;</w:t>
      </w:r>
      <w:r w:rsidRPr="005E583A">
        <w:t xml:space="preserve"> </w:t>
      </w:r>
      <w:r>
        <w:t>Craftwood</w:t>
      </w:r>
      <w:r>
        <w:t xml:space="preserve"> II Application</w:t>
      </w:r>
      <w:r w:rsidRPr="005E583A">
        <w:t xml:space="preserve">; </w:t>
      </w:r>
      <w:r>
        <w:t xml:space="preserve">Simmons </w:t>
      </w:r>
      <w:r w:rsidRPr="005E583A">
        <w:t>Application</w:t>
      </w:r>
      <w:r>
        <w:t xml:space="preserve">; Renaissance </w:t>
      </w:r>
      <w:r w:rsidRPr="005E583A">
        <w:t xml:space="preserve">Application; </w:t>
      </w:r>
      <w:r>
        <w:t xml:space="preserve">Wilder </w:t>
      </w:r>
      <w:r w:rsidRPr="005E583A">
        <w:t>Application;</w:t>
      </w:r>
      <w:r>
        <w:t xml:space="preserve"> </w:t>
      </w:r>
      <w:r>
        <w:t>Bais</w:t>
      </w:r>
      <w:r>
        <w:t xml:space="preserve"> Yaakov</w:t>
      </w:r>
      <w:r w:rsidRPr="005E583A">
        <w:t xml:space="preserve"> Application; </w:t>
      </w:r>
      <w:r>
        <w:t xml:space="preserve">West Loop </w:t>
      </w:r>
      <w:r w:rsidRPr="005E583A">
        <w:t xml:space="preserve">Application; </w:t>
      </w:r>
      <w:r>
        <w:t xml:space="preserve">Brodsky </w:t>
      </w:r>
      <w:r w:rsidRPr="005E583A">
        <w:t>Application;</w:t>
      </w:r>
      <w:r w:rsidRPr="005E583A">
        <w:rPr>
          <w:i/>
        </w:rPr>
        <w:t xml:space="preserve"> see also </w:t>
      </w:r>
      <w:r w:rsidRPr="005E583A">
        <w:t>Mussat</w:t>
      </w:r>
      <w:r>
        <w:t xml:space="preserve"> Petition</w:t>
      </w:r>
      <w:r w:rsidRPr="005E583A">
        <w:t>.</w:t>
      </w:r>
    </w:p>
  </w:footnote>
  <w:footnote w:id="44">
    <w:p w:rsidR="00C52441" w:rsidRPr="005E583A" w:rsidP="00C52441" w14:paraId="66DA03F9" w14:textId="77777777">
      <w:pPr>
        <w:pStyle w:val="FootnoteText"/>
      </w:pPr>
      <w:r w:rsidRPr="005E583A">
        <w:rPr>
          <w:rStyle w:val="FootnoteReference"/>
        </w:rPr>
        <w:footnoteRef/>
      </w:r>
      <w:r w:rsidRPr="005E583A">
        <w:t xml:space="preserve"> The D.C. Circuit held that the Commission did not have the authority to adopt the Solicited Fax Rule in the first instance.  </w:t>
      </w:r>
      <w:r w:rsidRPr="005E583A">
        <w:rPr>
          <w:i/>
        </w:rPr>
        <w:t xml:space="preserve">See </w:t>
      </w:r>
      <w:r w:rsidRPr="005E583A">
        <w:rPr>
          <w:i/>
        </w:rPr>
        <w:t>Bais</w:t>
      </w:r>
      <w:r w:rsidRPr="005E583A">
        <w:rPr>
          <w:i/>
        </w:rPr>
        <w:t xml:space="preserve"> Yaakov</w:t>
      </w:r>
      <w:r w:rsidRPr="005E583A">
        <w:t xml:space="preserve">, 852 F.3d at 1082.  The Solicited Fax Rule was therefore never legally valid or enforceable.  </w:t>
      </w:r>
      <w:r w:rsidRPr="005E583A">
        <w:rPr>
          <w:i/>
        </w:rPr>
        <w:t>See, e.g.</w:t>
      </w:r>
      <w:r w:rsidRPr="00E901A0">
        <w:t>,</w:t>
      </w:r>
      <w:r w:rsidRPr="005E583A">
        <w:rPr>
          <w:i/>
        </w:rPr>
        <w:t xml:space="preserve"> Dixon v. U.S., </w:t>
      </w:r>
      <w:r w:rsidRPr="005E583A">
        <w:t xml:space="preserve">381 U.S. 68, 74 (1965) (“The power . . . to prescribe rules and regulations . . . is not the power to make law[,] but the power to adopt regulations to carry into effect the will of Congress as expressed by the statute.  A regulation which does not do </w:t>
      </w:r>
      <w:r w:rsidRPr="005E583A">
        <w:t>this, but</w:t>
      </w:r>
      <w:r w:rsidRPr="005E583A">
        <w:t xml:space="preserve"> operates to create a rule out of harmony with the statute, is a mere nullity.” (citations omitted).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6037D70" w14:textId="33A84489">
    <w:pPr>
      <w:pStyle w:val="Header"/>
      <w:rPr>
        <w:b w:val="0"/>
      </w:rPr>
    </w:pPr>
    <w:r>
      <w:tab/>
      <w:t>Federal Communications Commission</w:t>
    </w:r>
    <w:r>
      <w:tab/>
    </w:r>
    <w:r w:rsidR="00F3308D">
      <w:t>FCC 20-29</w:t>
    </w:r>
  </w:p>
  <w:p w:rsidR="00D25FB5" w14:paraId="1EEFE5B1"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744B6D06"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6A5A162" w14:textId="6AFAE82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F3308D">
      <w:rPr>
        <w:spacing w:val="-2"/>
      </w:rPr>
      <w:t>FCC 20-29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6130E7E2"/>
    <w:lvl w:ilvl="0">
      <w:start w:val="1"/>
      <w:numFmt w:val="decimal"/>
      <w:pStyle w:val="ParaNum"/>
      <w:lvlText w:val="%1."/>
      <w:lvlJc w:val="left"/>
      <w:pPr>
        <w:tabs>
          <w:tab w:val="num" w:pos="1080"/>
        </w:tabs>
        <w:ind w:left="0" w:firstLine="720"/>
      </w:pPr>
      <w:rPr>
        <w:sz w:val="22"/>
        <w:szCs w:val="22"/>
      </w:r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441"/>
    <w:rsid w:val="00002868"/>
    <w:rsid w:val="00017A19"/>
    <w:rsid w:val="00036039"/>
    <w:rsid w:val="00037F90"/>
    <w:rsid w:val="00040263"/>
    <w:rsid w:val="000875BF"/>
    <w:rsid w:val="00092AEA"/>
    <w:rsid w:val="00096D8C"/>
    <w:rsid w:val="000A76D1"/>
    <w:rsid w:val="000C0B65"/>
    <w:rsid w:val="000C6544"/>
    <w:rsid w:val="000E05FE"/>
    <w:rsid w:val="000E3D42"/>
    <w:rsid w:val="000F0FE9"/>
    <w:rsid w:val="00122BD5"/>
    <w:rsid w:val="00133F79"/>
    <w:rsid w:val="001737B0"/>
    <w:rsid w:val="00194A66"/>
    <w:rsid w:val="001B2DD9"/>
    <w:rsid w:val="001D6BCF"/>
    <w:rsid w:val="001E01CA"/>
    <w:rsid w:val="001E4266"/>
    <w:rsid w:val="00256EFA"/>
    <w:rsid w:val="002618A8"/>
    <w:rsid w:val="00274C40"/>
    <w:rsid w:val="00275CF5"/>
    <w:rsid w:val="0028301F"/>
    <w:rsid w:val="0028390F"/>
    <w:rsid w:val="00285017"/>
    <w:rsid w:val="00286365"/>
    <w:rsid w:val="0029404E"/>
    <w:rsid w:val="002A2D2E"/>
    <w:rsid w:val="002C00E8"/>
    <w:rsid w:val="002C4A91"/>
    <w:rsid w:val="00342511"/>
    <w:rsid w:val="00343749"/>
    <w:rsid w:val="003660ED"/>
    <w:rsid w:val="003B0550"/>
    <w:rsid w:val="003B694F"/>
    <w:rsid w:val="003C1C2F"/>
    <w:rsid w:val="003F171C"/>
    <w:rsid w:val="00412FC5"/>
    <w:rsid w:val="00422276"/>
    <w:rsid w:val="004242F1"/>
    <w:rsid w:val="00445A00"/>
    <w:rsid w:val="00451B0F"/>
    <w:rsid w:val="004573F8"/>
    <w:rsid w:val="004A4412"/>
    <w:rsid w:val="004C2EE3"/>
    <w:rsid w:val="004E4A22"/>
    <w:rsid w:val="004F3406"/>
    <w:rsid w:val="00511968"/>
    <w:rsid w:val="005223EB"/>
    <w:rsid w:val="0054211E"/>
    <w:rsid w:val="0055614C"/>
    <w:rsid w:val="00566D06"/>
    <w:rsid w:val="00584758"/>
    <w:rsid w:val="005E14C2"/>
    <w:rsid w:val="005E583A"/>
    <w:rsid w:val="005F6736"/>
    <w:rsid w:val="00607BA5"/>
    <w:rsid w:val="0061180A"/>
    <w:rsid w:val="00626EB6"/>
    <w:rsid w:val="00655D03"/>
    <w:rsid w:val="00681E32"/>
    <w:rsid w:val="00683388"/>
    <w:rsid w:val="00683F84"/>
    <w:rsid w:val="006A6A81"/>
    <w:rsid w:val="006B5FAF"/>
    <w:rsid w:val="006F7393"/>
    <w:rsid w:val="007020C9"/>
    <w:rsid w:val="0070224F"/>
    <w:rsid w:val="007115F7"/>
    <w:rsid w:val="00741C73"/>
    <w:rsid w:val="0075126F"/>
    <w:rsid w:val="00773E4D"/>
    <w:rsid w:val="00785689"/>
    <w:rsid w:val="0079754B"/>
    <w:rsid w:val="007A1E6D"/>
    <w:rsid w:val="007A31F7"/>
    <w:rsid w:val="007B0EB2"/>
    <w:rsid w:val="007B1A88"/>
    <w:rsid w:val="00810B6F"/>
    <w:rsid w:val="00822CE0"/>
    <w:rsid w:val="00841AB1"/>
    <w:rsid w:val="008A3442"/>
    <w:rsid w:val="008C39AD"/>
    <w:rsid w:val="008C68F1"/>
    <w:rsid w:val="008F5A64"/>
    <w:rsid w:val="0092091A"/>
    <w:rsid w:val="00921803"/>
    <w:rsid w:val="00926503"/>
    <w:rsid w:val="00947323"/>
    <w:rsid w:val="00962D12"/>
    <w:rsid w:val="009669FF"/>
    <w:rsid w:val="009726D8"/>
    <w:rsid w:val="00994210"/>
    <w:rsid w:val="009B4B20"/>
    <w:rsid w:val="009C2B87"/>
    <w:rsid w:val="009C3D50"/>
    <w:rsid w:val="009D7308"/>
    <w:rsid w:val="009F76DB"/>
    <w:rsid w:val="00A32C3B"/>
    <w:rsid w:val="00A45F4F"/>
    <w:rsid w:val="00A600A9"/>
    <w:rsid w:val="00A95CC2"/>
    <w:rsid w:val="00AA55B7"/>
    <w:rsid w:val="00AA5B9E"/>
    <w:rsid w:val="00AB2407"/>
    <w:rsid w:val="00AB53DF"/>
    <w:rsid w:val="00AF5C58"/>
    <w:rsid w:val="00B07E5C"/>
    <w:rsid w:val="00B30AEF"/>
    <w:rsid w:val="00B30EF4"/>
    <w:rsid w:val="00B34E30"/>
    <w:rsid w:val="00B811F7"/>
    <w:rsid w:val="00B9452D"/>
    <w:rsid w:val="00BA5DC6"/>
    <w:rsid w:val="00BA6196"/>
    <w:rsid w:val="00BC6D8C"/>
    <w:rsid w:val="00C15589"/>
    <w:rsid w:val="00C22D48"/>
    <w:rsid w:val="00C34006"/>
    <w:rsid w:val="00C36B4C"/>
    <w:rsid w:val="00C426B1"/>
    <w:rsid w:val="00C52441"/>
    <w:rsid w:val="00C66160"/>
    <w:rsid w:val="00C721AC"/>
    <w:rsid w:val="00C90D6A"/>
    <w:rsid w:val="00C94146"/>
    <w:rsid w:val="00CA247E"/>
    <w:rsid w:val="00CA6D21"/>
    <w:rsid w:val="00CC72B6"/>
    <w:rsid w:val="00D0218D"/>
    <w:rsid w:val="00D07BD8"/>
    <w:rsid w:val="00D22540"/>
    <w:rsid w:val="00D25FB5"/>
    <w:rsid w:val="00D44223"/>
    <w:rsid w:val="00D62874"/>
    <w:rsid w:val="00D8437A"/>
    <w:rsid w:val="00DA2529"/>
    <w:rsid w:val="00DB130A"/>
    <w:rsid w:val="00DB2EBB"/>
    <w:rsid w:val="00DB3DE2"/>
    <w:rsid w:val="00DC10A1"/>
    <w:rsid w:val="00DC1BB4"/>
    <w:rsid w:val="00DC655F"/>
    <w:rsid w:val="00DD0B59"/>
    <w:rsid w:val="00DD7EBD"/>
    <w:rsid w:val="00DE45EE"/>
    <w:rsid w:val="00DF62B6"/>
    <w:rsid w:val="00E07225"/>
    <w:rsid w:val="00E27FEE"/>
    <w:rsid w:val="00E30A74"/>
    <w:rsid w:val="00E5409F"/>
    <w:rsid w:val="00E901A0"/>
    <w:rsid w:val="00EE6488"/>
    <w:rsid w:val="00F021FA"/>
    <w:rsid w:val="00F10F99"/>
    <w:rsid w:val="00F3308D"/>
    <w:rsid w:val="00F44C91"/>
    <w:rsid w:val="00F62E97"/>
    <w:rsid w:val="00F64209"/>
    <w:rsid w:val="00F8357D"/>
    <w:rsid w:val="00F93BF5"/>
    <w:rsid w:val="00FB1179"/>
    <w:rsid w:val="00FD2367"/>
    <w:rsid w:val="00FE2C0C"/>
    <w:rsid w:val="00FF2A6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2D78058C-52B4-4599-8C00-E82BF98E8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441"/>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Footnote Text Char Char Char,Footnote Text Char Char Char Char Char Char,Footnote Text Char1,Footnote Text Char1 Char Char Char,Footnote Text Char1 Char3,Footnote Text Char2,Footnote Text Char2 Char Char Char Char"/>
    <w:link w:val="FootnoteTextChar"/>
    <w:rsid w:val="000E3D42"/>
    <w:pPr>
      <w:spacing w:after="120"/>
    </w:pPr>
  </w:style>
  <w:style w:type="character" w:styleId="FootnoteReference">
    <w:name w:val="footnote reference"/>
    <w:aliases w:val="(NECG) Footnote Reference,Appel note de bas de p,FR,Footnote Reference/,Style 12,Style 124,Style 13,Style 17,Style 3,Style 6,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Heading1Char">
    <w:name w:val="Heading 1 Char"/>
    <w:link w:val="Heading1"/>
    <w:locked/>
    <w:rsid w:val="00C52441"/>
    <w:rPr>
      <w:rFonts w:ascii="Times New Roman Bold" w:hAnsi="Times New Roman Bold"/>
      <w:b/>
      <w:caps/>
      <w:snapToGrid w:val="0"/>
      <w:kern w:val="28"/>
      <w:sz w:val="22"/>
    </w:rPr>
  </w:style>
  <w:style w:type="character" w:customStyle="1" w:styleId="FootnoteTextChar">
    <w:name w:val="Footnote Text Char"/>
    <w:aliases w:val="Footnote Text Char Char Char Char,Footnote Text Char Char Char Char Char Char Char,Footnote Text Char Char Char1,Footnote Text Char1 Char,Footnote Text Char1 Char Char Char Char,Footnote Text Char1 Char3 Char,Footnote Text Char2 Char"/>
    <w:link w:val="FootnoteText"/>
    <w:locked/>
    <w:rsid w:val="00C524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1.next.westlaw.com/Link/Document/FullText?findType=Y&amp;serNum=2041347299&amp;pubNum=0000506&amp;originatingDoc=Ia19c2f8089df11e8a5b89e7029628dd3&amp;refType=RP&amp;originationContext=document&amp;transitionType=DocumentItem&amp;contextData=(sc.UserEnteredCitation)"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