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9463E" w:rsidP="0029463E" w14:paraId="5A3ABE73" w14:textId="77777777">
      <w:pPr>
        <w:jc w:val="center"/>
        <w:rPr>
          <w:b/>
        </w:rPr>
      </w:pPr>
      <w:r w:rsidRPr="0070224F">
        <w:rPr>
          <w:rFonts w:ascii="Times New Roman Bold" w:hAnsi="Times New Roman Bold"/>
          <w:b/>
          <w:kern w:val="0"/>
          <w:szCs w:val="22"/>
        </w:rPr>
        <w:t>Before</w:t>
      </w:r>
      <w:r>
        <w:rPr>
          <w:b/>
        </w:rPr>
        <w:t xml:space="preserve"> the</w:t>
      </w:r>
    </w:p>
    <w:p w:rsidR="0029463E" w:rsidP="0029463E" w14:paraId="1AA93252" w14:textId="77777777">
      <w:pPr>
        <w:pStyle w:val="StyleBoldCentered"/>
      </w:pPr>
      <w:r>
        <w:t>F</w:t>
      </w:r>
      <w:r>
        <w:rPr>
          <w:caps w:val="0"/>
        </w:rPr>
        <w:t>ederal Communications Commission</w:t>
      </w:r>
    </w:p>
    <w:p w:rsidR="0029463E" w:rsidP="0029463E" w14:paraId="67FC46E2" w14:textId="77777777">
      <w:pPr>
        <w:pStyle w:val="StyleBoldCentered"/>
      </w:pPr>
      <w:r>
        <w:rPr>
          <w:caps w:val="0"/>
        </w:rPr>
        <w:t>Washington, D.C. 20554</w:t>
      </w:r>
    </w:p>
    <w:p w:rsidR="0029463E" w:rsidP="0029463E" w14:paraId="543836CC" w14:textId="77777777"/>
    <w:tbl>
      <w:tblPr>
        <w:tblW w:w="0" w:type="auto"/>
        <w:tblLayout w:type="fixed"/>
        <w:tblLook w:val="0000"/>
      </w:tblPr>
      <w:tblGrid>
        <w:gridCol w:w="4698"/>
        <w:gridCol w:w="630"/>
        <w:gridCol w:w="4248"/>
      </w:tblGrid>
      <w:tr w14:paraId="4FAA0613" w14:textId="77777777" w:rsidTr="00F13E4E">
        <w:tblPrEx>
          <w:tblW w:w="0" w:type="auto"/>
          <w:tblLayout w:type="fixed"/>
          <w:tblLook w:val="0000"/>
        </w:tblPrEx>
        <w:tc>
          <w:tcPr>
            <w:tcW w:w="4698" w:type="dxa"/>
          </w:tcPr>
          <w:p w:rsidR="0029463E" w:rsidP="00F13E4E" w14:paraId="0B9B2321" w14:textId="77777777">
            <w:pPr>
              <w:tabs>
                <w:tab w:val="center" w:pos="4680"/>
              </w:tabs>
              <w:suppressAutoHyphens/>
              <w:rPr>
                <w:spacing w:val="-2"/>
              </w:rPr>
            </w:pPr>
            <w:r>
              <w:rPr>
                <w:spacing w:val="-2"/>
              </w:rPr>
              <w:t xml:space="preserve">In the Matter of the </w:t>
            </w:r>
          </w:p>
          <w:p w:rsidR="0029463E" w:rsidP="00F13E4E" w14:paraId="599F557F" w14:textId="77777777">
            <w:pPr>
              <w:tabs>
                <w:tab w:val="center" w:pos="4680"/>
              </w:tabs>
              <w:suppressAutoHyphens/>
              <w:rPr>
                <w:spacing w:val="-2"/>
              </w:rPr>
            </w:pPr>
          </w:p>
          <w:p w:rsidR="0029463E" w:rsidP="00F13E4E" w14:paraId="509FBEEE" w14:textId="77777777">
            <w:pPr>
              <w:tabs>
                <w:tab w:val="center" w:pos="4680"/>
              </w:tabs>
              <w:suppressAutoHyphens/>
              <w:rPr>
                <w:spacing w:val="-2"/>
              </w:rPr>
            </w:pPr>
            <w:r>
              <w:rPr>
                <w:spacing w:val="-2"/>
              </w:rPr>
              <w:t>KAXT, LLC</w:t>
            </w:r>
          </w:p>
          <w:p w:rsidR="0029463E" w:rsidP="00F13E4E" w14:paraId="1B6C897A" w14:textId="77777777">
            <w:pPr>
              <w:tabs>
                <w:tab w:val="center" w:pos="4680"/>
              </w:tabs>
              <w:suppressAutoHyphens/>
              <w:rPr>
                <w:spacing w:val="-2"/>
              </w:rPr>
            </w:pPr>
            <w:r>
              <w:rPr>
                <w:spacing w:val="-2"/>
              </w:rPr>
              <w:t>(Assignor)</w:t>
            </w:r>
          </w:p>
          <w:p w:rsidR="0029463E" w:rsidP="00F13E4E" w14:paraId="2DE2DF12" w14:textId="77777777">
            <w:pPr>
              <w:tabs>
                <w:tab w:val="center" w:pos="4680"/>
              </w:tabs>
              <w:suppressAutoHyphens/>
              <w:rPr>
                <w:spacing w:val="-2"/>
              </w:rPr>
            </w:pPr>
          </w:p>
          <w:p w:rsidR="0029463E" w:rsidP="00F13E4E" w14:paraId="73946F88" w14:textId="77777777">
            <w:pPr>
              <w:tabs>
                <w:tab w:val="center" w:pos="4680"/>
              </w:tabs>
              <w:suppressAutoHyphens/>
              <w:rPr>
                <w:spacing w:val="-2"/>
              </w:rPr>
            </w:pPr>
            <w:r>
              <w:rPr>
                <w:spacing w:val="-2"/>
              </w:rPr>
              <w:t>and</w:t>
            </w:r>
          </w:p>
          <w:p w:rsidR="0029463E" w:rsidP="00F13E4E" w14:paraId="2087A4E0" w14:textId="77777777">
            <w:pPr>
              <w:tabs>
                <w:tab w:val="center" w:pos="4680"/>
              </w:tabs>
              <w:suppressAutoHyphens/>
              <w:rPr>
                <w:spacing w:val="-2"/>
              </w:rPr>
            </w:pPr>
          </w:p>
          <w:p w:rsidR="0029463E" w:rsidP="00F13E4E" w14:paraId="0ECCF195" w14:textId="77777777">
            <w:pPr>
              <w:tabs>
                <w:tab w:val="center" w:pos="4680"/>
              </w:tabs>
              <w:suppressAutoHyphens/>
              <w:rPr>
                <w:spacing w:val="-2"/>
              </w:rPr>
            </w:pPr>
            <w:r>
              <w:rPr>
                <w:spacing w:val="-2"/>
              </w:rPr>
              <w:t>OTA Broadcasting (SFO), LLC</w:t>
            </w:r>
          </w:p>
          <w:p w:rsidR="0029463E" w:rsidP="00F13E4E" w14:paraId="675C8A30" w14:textId="77777777">
            <w:pPr>
              <w:tabs>
                <w:tab w:val="center" w:pos="4680"/>
              </w:tabs>
              <w:suppressAutoHyphens/>
              <w:rPr>
                <w:spacing w:val="-2"/>
              </w:rPr>
            </w:pPr>
            <w:r w:rsidRPr="00105057">
              <w:rPr>
                <w:spacing w:val="-2"/>
              </w:rPr>
              <w:t>(Assign</w:t>
            </w:r>
            <w:r>
              <w:rPr>
                <w:spacing w:val="-2"/>
              </w:rPr>
              <w:t>ee</w:t>
            </w:r>
            <w:r w:rsidRPr="00105057">
              <w:rPr>
                <w:spacing w:val="-2"/>
              </w:rPr>
              <w:t xml:space="preserve">) </w:t>
            </w:r>
          </w:p>
          <w:p w:rsidR="0029463E" w:rsidRPr="00105057" w:rsidP="00F13E4E" w14:paraId="642E41F4" w14:textId="77777777">
            <w:pPr>
              <w:tabs>
                <w:tab w:val="center" w:pos="4680"/>
              </w:tabs>
              <w:suppressAutoHyphens/>
              <w:rPr>
                <w:spacing w:val="-2"/>
              </w:rPr>
            </w:pPr>
            <w:r w:rsidRPr="00105057">
              <w:rPr>
                <w:spacing w:val="-2"/>
              </w:rPr>
              <w:t xml:space="preserve"> </w:t>
            </w:r>
          </w:p>
          <w:p w:rsidR="0029463E" w:rsidP="00F13E4E" w14:paraId="5DA52AC5" w14:textId="77777777">
            <w:pPr>
              <w:tabs>
                <w:tab w:val="center" w:pos="4680"/>
              </w:tabs>
              <w:suppressAutoHyphens/>
              <w:rPr>
                <w:spacing w:val="-2"/>
              </w:rPr>
            </w:pPr>
            <w:r>
              <w:rPr>
                <w:spacing w:val="-2"/>
              </w:rPr>
              <w:t xml:space="preserve">For Consent to Assign the License </w:t>
            </w:r>
            <w:r w:rsidRPr="00105057">
              <w:rPr>
                <w:spacing w:val="-2"/>
              </w:rPr>
              <w:t xml:space="preserve">of </w:t>
            </w:r>
            <w:r>
              <w:rPr>
                <w:spacing w:val="-2"/>
              </w:rPr>
              <w:t>Class A Television Station KAXT-CD, San Francisco-San Jose, California</w:t>
            </w:r>
          </w:p>
          <w:p w:rsidR="0029463E" w:rsidP="00F13E4E" w14:paraId="2466AE72" w14:textId="77777777">
            <w:pPr>
              <w:tabs>
                <w:tab w:val="center" w:pos="4680"/>
              </w:tabs>
              <w:suppressAutoHyphens/>
              <w:rPr>
                <w:spacing w:val="-2"/>
              </w:rPr>
            </w:pPr>
          </w:p>
          <w:p w:rsidR="0029463E" w:rsidP="00F13E4E" w14:paraId="123F0DF4" w14:textId="77777777">
            <w:pPr>
              <w:tabs>
                <w:tab w:val="center" w:pos="4680"/>
              </w:tabs>
              <w:suppressAutoHyphens/>
              <w:rPr>
                <w:spacing w:val="-2"/>
              </w:rPr>
            </w:pPr>
            <w:r>
              <w:rPr>
                <w:spacing w:val="-2"/>
              </w:rPr>
              <w:t xml:space="preserve">In re Application of </w:t>
            </w:r>
          </w:p>
          <w:p w:rsidR="0029463E" w:rsidP="00F13E4E" w14:paraId="18070882" w14:textId="77777777">
            <w:pPr>
              <w:tabs>
                <w:tab w:val="center" w:pos="4680"/>
              </w:tabs>
              <w:suppressAutoHyphens/>
              <w:rPr>
                <w:spacing w:val="-2"/>
              </w:rPr>
            </w:pPr>
          </w:p>
          <w:p w:rsidR="0029463E" w:rsidP="00F13E4E" w14:paraId="60DE25E9" w14:textId="77777777">
            <w:pPr>
              <w:tabs>
                <w:tab w:val="center" w:pos="4680"/>
              </w:tabs>
              <w:suppressAutoHyphens/>
              <w:rPr>
                <w:spacing w:val="-2"/>
              </w:rPr>
            </w:pPr>
            <w:r>
              <w:rPr>
                <w:spacing w:val="-2"/>
              </w:rPr>
              <w:t>OTA Broadcasting (SFO), LLC</w:t>
            </w:r>
          </w:p>
          <w:p w:rsidR="0029463E" w:rsidP="00F13E4E" w14:paraId="45614ECF" w14:textId="77777777">
            <w:pPr>
              <w:tabs>
                <w:tab w:val="center" w:pos="4680"/>
              </w:tabs>
              <w:suppressAutoHyphens/>
              <w:rPr>
                <w:spacing w:val="-2"/>
              </w:rPr>
            </w:pPr>
          </w:p>
          <w:p w:rsidR="0029463E" w:rsidP="00F13E4E" w14:paraId="41193C02" w14:textId="77777777">
            <w:pPr>
              <w:tabs>
                <w:tab w:val="center" w:pos="4680"/>
              </w:tabs>
              <w:suppressAutoHyphens/>
              <w:rPr>
                <w:spacing w:val="-2"/>
              </w:rPr>
            </w:pPr>
            <w:r>
              <w:rPr>
                <w:spacing w:val="-2"/>
              </w:rPr>
              <w:t xml:space="preserve">For Renewal of the License of Class A </w:t>
            </w:r>
          </w:p>
          <w:p w:rsidR="0029463E" w:rsidRPr="007115F7" w:rsidP="00F13E4E" w14:paraId="001FE648" w14:textId="77777777">
            <w:pPr>
              <w:tabs>
                <w:tab w:val="center" w:pos="4680"/>
              </w:tabs>
              <w:suppressAutoHyphens/>
              <w:rPr>
                <w:spacing w:val="-2"/>
              </w:rPr>
            </w:pPr>
            <w:r>
              <w:rPr>
                <w:spacing w:val="-2"/>
              </w:rPr>
              <w:t>Television Station KAXT-CD, San Francisco-San Jose, California</w:t>
            </w:r>
          </w:p>
        </w:tc>
        <w:tc>
          <w:tcPr>
            <w:tcW w:w="630" w:type="dxa"/>
          </w:tcPr>
          <w:p w:rsidR="0029463E" w:rsidRPr="00B31DCD" w:rsidP="00F13E4E" w14:paraId="62D20B8E" w14:textId="77777777">
            <w:pPr>
              <w:tabs>
                <w:tab w:val="center" w:pos="4680"/>
              </w:tabs>
              <w:suppressAutoHyphens/>
              <w:rPr>
                <w:b/>
                <w:spacing w:val="-2"/>
              </w:rPr>
            </w:pPr>
            <w:r w:rsidRPr="00B31DCD">
              <w:rPr>
                <w:b/>
                <w:spacing w:val="-2"/>
              </w:rPr>
              <w:t>)</w:t>
            </w:r>
          </w:p>
          <w:p w:rsidR="0029463E" w:rsidRPr="00B31DCD" w:rsidP="00F13E4E" w14:paraId="2F1237A8" w14:textId="77777777">
            <w:pPr>
              <w:tabs>
                <w:tab w:val="center" w:pos="4680"/>
              </w:tabs>
              <w:suppressAutoHyphens/>
              <w:rPr>
                <w:b/>
                <w:spacing w:val="-2"/>
              </w:rPr>
            </w:pPr>
            <w:r w:rsidRPr="00B31DCD">
              <w:rPr>
                <w:b/>
                <w:spacing w:val="-2"/>
              </w:rPr>
              <w:t>)</w:t>
            </w:r>
          </w:p>
          <w:p w:rsidR="0029463E" w:rsidRPr="00B31DCD" w:rsidP="00F13E4E" w14:paraId="68EDED90" w14:textId="77777777">
            <w:pPr>
              <w:tabs>
                <w:tab w:val="center" w:pos="4680"/>
              </w:tabs>
              <w:suppressAutoHyphens/>
              <w:rPr>
                <w:b/>
                <w:spacing w:val="-2"/>
              </w:rPr>
            </w:pPr>
            <w:r w:rsidRPr="00B31DCD">
              <w:rPr>
                <w:b/>
                <w:spacing w:val="-2"/>
              </w:rPr>
              <w:t>)</w:t>
            </w:r>
          </w:p>
          <w:p w:rsidR="0029463E" w:rsidRPr="00B31DCD" w:rsidP="00F13E4E" w14:paraId="0ABF9CBC" w14:textId="77777777">
            <w:pPr>
              <w:tabs>
                <w:tab w:val="center" w:pos="4680"/>
              </w:tabs>
              <w:suppressAutoHyphens/>
              <w:rPr>
                <w:b/>
                <w:spacing w:val="-2"/>
              </w:rPr>
            </w:pPr>
            <w:r w:rsidRPr="00B31DCD">
              <w:rPr>
                <w:b/>
                <w:spacing w:val="-2"/>
              </w:rPr>
              <w:t>)</w:t>
            </w:r>
          </w:p>
          <w:p w:rsidR="0029463E" w:rsidRPr="00B31DCD" w:rsidP="00F13E4E" w14:paraId="73EC8F97" w14:textId="77777777">
            <w:pPr>
              <w:tabs>
                <w:tab w:val="center" w:pos="4680"/>
              </w:tabs>
              <w:suppressAutoHyphens/>
              <w:rPr>
                <w:b/>
                <w:spacing w:val="-2"/>
              </w:rPr>
            </w:pPr>
            <w:r w:rsidRPr="00B31DCD">
              <w:rPr>
                <w:b/>
                <w:spacing w:val="-2"/>
              </w:rPr>
              <w:t>)</w:t>
            </w:r>
          </w:p>
          <w:p w:rsidR="0029463E" w:rsidRPr="00B31DCD" w:rsidP="00F13E4E" w14:paraId="554D9601" w14:textId="77777777">
            <w:pPr>
              <w:tabs>
                <w:tab w:val="center" w:pos="4680"/>
              </w:tabs>
              <w:suppressAutoHyphens/>
              <w:rPr>
                <w:b/>
                <w:spacing w:val="-2"/>
              </w:rPr>
            </w:pPr>
            <w:r w:rsidRPr="00B31DCD">
              <w:rPr>
                <w:b/>
                <w:spacing w:val="-2"/>
              </w:rPr>
              <w:t>)</w:t>
            </w:r>
          </w:p>
          <w:p w:rsidR="0029463E" w:rsidRPr="00B31DCD" w:rsidP="00F13E4E" w14:paraId="1C8091D6" w14:textId="77777777">
            <w:pPr>
              <w:tabs>
                <w:tab w:val="center" w:pos="4680"/>
              </w:tabs>
              <w:suppressAutoHyphens/>
              <w:rPr>
                <w:b/>
                <w:spacing w:val="-2"/>
              </w:rPr>
            </w:pPr>
            <w:r w:rsidRPr="00B31DCD">
              <w:rPr>
                <w:b/>
                <w:spacing w:val="-2"/>
              </w:rPr>
              <w:t>)</w:t>
            </w:r>
          </w:p>
          <w:p w:rsidR="0029463E" w:rsidRPr="00B31DCD" w:rsidP="00F13E4E" w14:paraId="0B6780AF" w14:textId="77777777">
            <w:pPr>
              <w:tabs>
                <w:tab w:val="center" w:pos="4680"/>
              </w:tabs>
              <w:suppressAutoHyphens/>
              <w:rPr>
                <w:b/>
                <w:spacing w:val="-2"/>
              </w:rPr>
            </w:pPr>
            <w:r w:rsidRPr="00B31DCD">
              <w:rPr>
                <w:b/>
                <w:spacing w:val="-2"/>
              </w:rPr>
              <w:t>)</w:t>
            </w:r>
          </w:p>
          <w:p w:rsidR="0029463E" w:rsidRPr="00B31DCD" w:rsidP="00F13E4E" w14:paraId="1CC0670F" w14:textId="77777777">
            <w:pPr>
              <w:tabs>
                <w:tab w:val="center" w:pos="4680"/>
              </w:tabs>
              <w:suppressAutoHyphens/>
              <w:rPr>
                <w:b/>
                <w:spacing w:val="-2"/>
              </w:rPr>
            </w:pPr>
            <w:r w:rsidRPr="00B31DCD">
              <w:rPr>
                <w:b/>
                <w:spacing w:val="-2"/>
              </w:rPr>
              <w:t>)</w:t>
            </w:r>
          </w:p>
          <w:p w:rsidR="0029463E" w:rsidRPr="00B31DCD" w:rsidP="00F13E4E" w14:paraId="1C3E67BE" w14:textId="77777777">
            <w:pPr>
              <w:tabs>
                <w:tab w:val="center" w:pos="4680"/>
              </w:tabs>
              <w:suppressAutoHyphens/>
              <w:rPr>
                <w:b/>
                <w:spacing w:val="-2"/>
              </w:rPr>
            </w:pPr>
            <w:r w:rsidRPr="00B31DCD">
              <w:rPr>
                <w:b/>
                <w:spacing w:val="-2"/>
              </w:rPr>
              <w:t>)</w:t>
            </w:r>
          </w:p>
          <w:p w:rsidR="0029463E" w:rsidRPr="00B31DCD" w:rsidP="00F13E4E" w14:paraId="211EADD4" w14:textId="77777777">
            <w:pPr>
              <w:tabs>
                <w:tab w:val="center" w:pos="4680"/>
              </w:tabs>
              <w:suppressAutoHyphens/>
              <w:rPr>
                <w:b/>
                <w:spacing w:val="-2"/>
              </w:rPr>
            </w:pPr>
            <w:r w:rsidRPr="00B31DCD">
              <w:rPr>
                <w:b/>
                <w:spacing w:val="-2"/>
              </w:rPr>
              <w:t>)</w:t>
            </w:r>
          </w:p>
          <w:p w:rsidR="0029463E" w:rsidRPr="00B31DCD" w:rsidP="00F13E4E" w14:paraId="30FF74A2" w14:textId="77777777">
            <w:pPr>
              <w:tabs>
                <w:tab w:val="center" w:pos="4680"/>
              </w:tabs>
              <w:suppressAutoHyphens/>
              <w:rPr>
                <w:b/>
                <w:spacing w:val="-2"/>
              </w:rPr>
            </w:pPr>
            <w:r w:rsidRPr="00B31DCD">
              <w:rPr>
                <w:b/>
                <w:spacing w:val="-2"/>
              </w:rPr>
              <w:t>)</w:t>
            </w:r>
          </w:p>
          <w:p w:rsidR="0029463E" w:rsidRPr="00B31DCD" w:rsidP="00F13E4E" w14:paraId="532A43CA" w14:textId="77777777">
            <w:pPr>
              <w:tabs>
                <w:tab w:val="center" w:pos="4680"/>
              </w:tabs>
              <w:suppressAutoHyphens/>
              <w:rPr>
                <w:b/>
                <w:spacing w:val="-2"/>
              </w:rPr>
            </w:pPr>
            <w:r w:rsidRPr="00B31DCD">
              <w:rPr>
                <w:b/>
                <w:spacing w:val="-2"/>
              </w:rPr>
              <w:t>)</w:t>
            </w:r>
          </w:p>
          <w:p w:rsidR="0029463E" w:rsidRPr="00B31DCD" w:rsidP="00F13E4E" w14:paraId="17778D87" w14:textId="77777777">
            <w:pPr>
              <w:tabs>
                <w:tab w:val="center" w:pos="4680"/>
              </w:tabs>
              <w:suppressAutoHyphens/>
              <w:rPr>
                <w:b/>
                <w:spacing w:val="-2"/>
              </w:rPr>
            </w:pPr>
            <w:r w:rsidRPr="00B31DCD">
              <w:rPr>
                <w:b/>
                <w:spacing w:val="-2"/>
              </w:rPr>
              <w:t>)</w:t>
            </w:r>
          </w:p>
          <w:p w:rsidR="0029463E" w:rsidRPr="00B31DCD" w:rsidP="00F13E4E" w14:paraId="607D3228" w14:textId="77777777">
            <w:pPr>
              <w:tabs>
                <w:tab w:val="center" w:pos="4680"/>
              </w:tabs>
              <w:suppressAutoHyphens/>
              <w:rPr>
                <w:b/>
                <w:spacing w:val="-2"/>
              </w:rPr>
            </w:pPr>
            <w:r w:rsidRPr="00B31DCD">
              <w:rPr>
                <w:b/>
                <w:spacing w:val="-2"/>
              </w:rPr>
              <w:t>)</w:t>
            </w:r>
          </w:p>
          <w:p w:rsidR="0029463E" w:rsidP="00F13E4E" w14:paraId="3DFA18A0" w14:textId="77777777">
            <w:pPr>
              <w:tabs>
                <w:tab w:val="center" w:pos="4680"/>
              </w:tabs>
              <w:suppressAutoHyphens/>
              <w:rPr>
                <w:b/>
                <w:spacing w:val="-2"/>
              </w:rPr>
            </w:pPr>
            <w:r w:rsidRPr="00B31DCD">
              <w:rPr>
                <w:b/>
                <w:spacing w:val="-2"/>
              </w:rPr>
              <w:t>)</w:t>
            </w:r>
          </w:p>
          <w:p w:rsidR="0029463E" w:rsidP="00F13E4E" w14:paraId="3E8F81C6" w14:textId="77777777">
            <w:pPr>
              <w:tabs>
                <w:tab w:val="center" w:pos="4680"/>
              </w:tabs>
              <w:suppressAutoHyphens/>
              <w:rPr>
                <w:b/>
                <w:spacing w:val="-2"/>
              </w:rPr>
            </w:pPr>
            <w:r>
              <w:rPr>
                <w:b/>
                <w:spacing w:val="-2"/>
              </w:rPr>
              <w:t>)</w:t>
            </w:r>
          </w:p>
          <w:p w:rsidR="0029463E" w:rsidP="00F13E4E" w14:paraId="227265FE" w14:textId="77777777">
            <w:pPr>
              <w:tabs>
                <w:tab w:val="center" w:pos="4680"/>
              </w:tabs>
              <w:suppressAutoHyphens/>
              <w:rPr>
                <w:b/>
                <w:spacing w:val="-2"/>
              </w:rPr>
            </w:pPr>
            <w:r>
              <w:rPr>
                <w:b/>
                <w:spacing w:val="-2"/>
              </w:rPr>
              <w:t>)</w:t>
            </w:r>
          </w:p>
          <w:p w:rsidR="0029463E" w:rsidP="00F13E4E" w14:paraId="19BF8BAE" w14:textId="77777777">
            <w:pPr>
              <w:tabs>
                <w:tab w:val="center" w:pos="4680"/>
              </w:tabs>
              <w:suppressAutoHyphens/>
              <w:rPr>
                <w:b/>
                <w:spacing w:val="-2"/>
              </w:rPr>
            </w:pPr>
            <w:r>
              <w:rPr>
                <w:b/>
                <w:spacing w:val="-2"/>
              </w:rPr>
              <w:t>)</w:t>
            </w:r>
          </w:p>
          <w:p w:rsidR="0029463E" w:rsidP="00F13E4E" w14:paraId="645E53D9" w14:textId="77777777">
            <w:pPr>
              <w:tabs>
                <w:tab w:val="center" w:pos="4680"/>
              </w:tabs>
              <w:suppressAutoHyphens/>
              <w:rPr>
                <w:b/>
                <w:spacing w:val="-2"/>
              </w:rPr>
            </w:pPr>
            <w:r>
              <w:rPr>
                <w:b/>
                <w:spacing w:val="-2"/>
              </w:rPr>
              <w:t>)</w:t>
            </w:r>
          </w:p>
          <w:p w:rsidR="009D74CB" w:rsidRPr="00B31DCD" w:rsidP="00F13E4E" w14:paraId="15986166" w14:textId="27342562">
            <w:pPr>
              <w:tabs>
                <w:tab w:val="center" w:pos="4680"/>
              </w:tabs>
              <w:suppressAutoHyphens/>
              <w:rPr>
                <w:b/>
                <w:spacing w:val="-2"/>
              </w:rPr>
            </w:pPr>
            <w:r>
              <w:rPr>
                <w:b/>
                <w:spacing w:val="-2"/>
              </w:rPr>
              <w:t>)</w:t>
            </w:r>
          </w:p>
        </w:tc>
        <w:tc>
          <w:tcPr>
            <w:tcW w:w="4248" w:type="dxa"/>
          </w:tcPr>
          <w:p w:rsidR="0029463E" w:rsidRPr="00314FDE" w:rsidP="00F13E4E" w14:paraId="11DD4E5D" w14:textId="77777777">
            <w:pPr>
              <w:tabs>
                <w:tab w:val="center" w:pos="4680"/>
              </w:tabs>
              <w:suppressAutoHyphens/>
              <w:rPr>
                <w:spacing w:val="-2"/>
              </w:rPr>
            </w:pPr>
          </w:p>
          <w:p w:rsidR="00AD41D1" w:rsidP="00F13E4E" w14:paraId="253FF371" w14:textId="77777777">
            <w:pPr>
              <w:tabs>
                <w:tab w:val="center" w:pos="4680"/>
              </w:tabs>
              <w:suppressAutoHyphens/>
              <w:rPr>
                <w:spacing w:val="-2"/>
              </w:rPr>
            </w:pPr>
          </w:p>
          <w:p w:rsidR="0029463E" w:rsidP="00F13E4E" w14:paraId="7214041F" w14:textId="787B1776">
            <w:pPr>
              <w:tabs>
                <w:tab w:val="center" w:pos="4680"/>
              </w:tabs>
              <w:suppressAutoHyphens/>
              <w:rPr>
                <w:spacing w:val="-2"/>
              </w:rPr>
            </w:pPr>
            <w:r>
              <w:rPr>
                <w:spacing w:val="-2"/>
              </w:rPr>
              <w:t>Facility ID No. 37689</w:t>
            </w:r>
          </w:p>
          <w:p w:rsidR="0029463E" w:rsidP="00F13E4E" w14:paraId="04EF1E43" w14:textId="77777777">
            <w:pPr>
              <w:tabs>
                <w:tab w:val="center" w:pos="4680"/>
              </w:tabs>
              <w:suppressAutoHyphens/>
              <w:rPr>
                <w:spacing w:val="-2"/>
              </w:rPr>
            </w:pPr>
            <w:bookmarkStart w:id="0" w:name="_Hlk500146806"/>
          </w:p>
          <w:p w:rsidR="0029463E" w:rsidP="00F13E4E" w14:paraId="6468B3B3" w14:textId="77777777">
            <w:pPr>
              <w:tabs>
                <w:tab w:val="center" w:pos="4680"/>
              </w:tabs>
              <w:suppressAutoHyphens/>
              <w:rPr>
                <w:spacing w:val="-2"/>
              </w:rPr>
            </w:pPr>
          </w:p>
          <w:p w:rsidR="0029463E" w:rsidRPr="00314FDE" w:rsidP="00F13E4E" w14:paraId="1FC2BF2F" w14:textId="77777777">
            <w:pPr>
              <w:tabs>
                <w:tab w:val="center" w:pos="4680"/>
              </w:tabs>
              <w:suppressAutoHyphens/>
              <w:rPr>
                <w:spacing w:val="-2"/>
              </w:rPr>
            </w:pPr>
          </w:p>
          <w:bookmarkEnd w:id="0"/>
          <w:p w:rsidR="0029463E" w:rsidRPr="00B31DCD" w:rsidP="00F13E4E" w14:paraId="0D2D29CC" w14:textId="77777777">
            <w:pPr>
              <w:tabs>
                <w:tab w:val="center" w:pos="4680"/>
              </w:tabs>
              <w:suppressAutoHyphens/>
              <w:rPr>
                <w:spacing w:val="-2"/>
              </w:rPr>
            </w:pPr>
          </w:p>
          <w:p w:rsidR="0029463E" w:rsidP="00F13E4E" w14:paraId="18A921AC" w14:textId="77777777">
            <w:pPr>
              <w:tabs>
                <w:tab w:val="center" w:pos="4680"/>
              </w:tabs>
              <w:suppressAutoHyphens/>
              <w:rPr>
                <w:spacing w:val="-2"/>
              </w:rPr>
            </w:pPr>
          </w:p>
          <w:p w:rsidR="0029463E" w:rsidRPr="00314FDE" w:rsidP="00F13E4E" w14:paraId="2B7D7D8E" w14:textId="77777777">
            <w:pPr>
              <w:tabs>
                <w:tab w:val="center" w:pos="4680"/>
              </w:tabs>
              <w:suppressAutoHyphens/>
              <w:rPr>
                <w:spacing w:val="-2"/>
              </w:rPr>
            </w:pPr>
          </w:p>
          <w:p w:rsidR="0029463E" w:rsidP="00F13E4E" w14:paraId="084681A9" w14:textId="77777777">
            <w:pPr>
              <w:tabs>
                <w:tab w:val="center" w:pos="4680"/>
              </w:tabs>
              <w:suppressAutoHyphens/>
              <w:rPr>
                <w:spacing w:val="-2"/>
              </w:rPr>
            </w:pPr>
          </w:p>
          <w:p w:rsidR="0029463E" w:rsidP="00F13E4E" w14:paraId="6B8E503F" w14:textId="77777777">
            <w:pPr>
              <w:tabs>
                <w:tab w:val="center" w:pos="4680"/>
              </w:tabs>
              <w:suppressAutoHyphens/>
              <w:rPr>
                <w:spacing w:val="-2"/>
              </w:rPr>
            </w:pPr>
            <w:r>
              <w:rPr>
                <w:spacing w:val="-2"/>
              </w:rPr>
              <w:t>File No. BALDTA-20130211ACT</w:t>
            </w:r>
          </w:p>
          <w:p w:rsidR="0029463E" w:rsidP="00F13E4E" w14:paraId="4DA97001" w14:textId="77777777">
            <w:pPr>
              <w:tabs>
                <w:tab w:val="center" w:pos="4680"/>
              </w:tabs>
              <w:suppressAutoHyphens/>
              <w:rPr>
                <w:spacing w:val="-2"/>
              </w:rPr>
            </w:pPr>
          </w:p>
          <w:p w:rsidR="0029463E" w:rsidP="00F13E4E" w14:paraId="783ABE96" w14:textId="77777777">
            <w:pPr>
              <w:tabs>
                <w:tab w:val="center" w:pos="4680"/>
              </w:tabs>
              <w:suppressAutoHyphens/>
              <w:rPr>
                <w:spacing w:val="-2"/>
              </w:rPr>
            </w:pPr>
          </w:p>
          <w:p w:rsidR="0029463E" w:rsidP="00F13E4E" w14:paraId="00AE73BC" w14:textId="77777777">
            <w:pPr>
              <w:tabs>
                <w:tab w:val="center" w:pos="4680"/>
              </w:tabs>
              <w:suppressAutoHyphens/>
              <w:rPr>
                <w:spacing w:val="-2"/>
              </w:rPr>
            </w:pPr>
          </w:p>
          <w:p w:rsidR="0029463E" w:rsidP="00F13E4E" w14:paraId="3F9AB4DC" w14:textId="77777777">
            <w:pPr>
              <w:tabs>
                <w:tab w:val="center" w:pos="4680"/>
              </w:tabs>
              <w:suppressAutoHyphens/>
              <w:rPr>
                <w:spacing w:val="-2"/>
              </w:rPr>
            </w:pPr>
          </w:p>
          <w:p w:rsidR="0029463E" w:rsidP="00F13E4E" w14:paraId="2D19334A" w14:textId="77777777">
            <w:pPr>
              <w:tabs>
                <w:tab w:val="center" w:pos="4680"/>
              </w:tabs>
              <w:suppressAutoHyphens/>
              <w:rPr>
                <w:spacing w:val="-2"/>
              </w:rPr>
            </w:pPr>
          </w:p>
          <w:p w:rsidR="0029463E" w:rsidP="00F13E4E" w14:paraId="3AD17B3E" w14:textId="77777777">
            <w:pPr>
              <w:tabs>
                <w:tab w:val="center" w:pos="4680"/>
              </w:tabs>
              <w:suppressAutoHyphens/>
              <w:rPr>
                <w:spacing w:val="-2"/>
              </w:rPr>
            </w:pPr>
          </w:p>
          <w:p w:rsidR="0029463E" w:rsidP="00F13E4E" w14:paraId="1171DFCE" w14:textId="77777777">
            <w:pPr>
              <w:tabs>
                <w:tab w:val="center" w:pos="4680"/>
              </w:tabs>
              <w:suppressAutoHyphens/>
              <w:rPr>
                <w:spacing w:val="-2"/>
              </w:rPr>
            </w:pPr>
          </w:p>
          <w:p w:rsidR="0029463E" w:rsidP="00F13E4E" w14:paraId="58A392FD" w14:textId="77777777">
            <w:pPr>
              <w:tabs>
                <w:tab w:val="center" w:pos="4680"/>
              </w:tabs>
              <w:suppressAutoHyphens/>
              <w:rPr>
                <w:spacing w:val="-2"/>
              </w:rPr>
            </w:pPr>
            <w:r>
              <w:rPr>
                <w:spacing w:val="-2"/>
              </w:rPr>
              <w:t>File No. BRDTA-20140731ANH</w:t>
            </w:r>
          </w:p>
          <w:p w:rsidR="0029463E" w:rsidRPr="00314FDE" w:rsidP="00F13E4E" w14:paraId="164AD3BF" w14:textId="77777777">
            <w:pPr>
              <w:tabs>
                <w:tab w:val="center" w:pos="4680"/>
              </w:tabs>
              <w:suppressAutoHyphens/>
              <w:rPr>
                <w:spacing w:val="-2"/>
              </w:rPr>
            </w:pPr>
          </w:p>
        </w:tc>
      </w:tr>
      <w:tr w14:paraId="282A5846" w14:textId="77777777" w:rsidTr="00F13E4E">
        <w:tblPrEx>
          <w:tblW w:w="0" w:type="auto"/>
          <w:tblLayout w:type="fixed"/>
          <w:tblLook w:val="0000"/>
        </w:tblPrEx>
        <w:tc>
          <w:tcPr>
            <w:tcW w:w="4698" w:type="dxa"/>
          </w:tcPr>
          <w:p w:rsidR="0029463E" w:rsidRPr="007115F7" w:rsidP="00F13E4E" w14:paraId="48B7EFE0" w14:textId="77777777">
            <w:pPr>
              <w:tabs>
                <w:tab w:val="center" w:pos="4680"/>
              </w:tabs>
              <w:suppressAutoHyphens/>
              <w:rPr>
                <w:spacing w:val="-2"/>
              </w:rPr>
            </w:pPr>
          </w:p>
        </w:tc>
        <w:tc>
          <w:tcPr>
            <w:tcW w:w="630" w:type="dxa"/>
          </w:tcPr>
          <w:p w:rsidR="0029463E" w:rsidP="00F13E4E" w14:paraId="537A5092" w14:textId="77777777">
            <w:pPr>
              <w:tabs>
                <w:tab w:val="center" w:pos="4680"/>
              </w:tabs>
              <w:suppressAutoHyphens/>
              <w:rPr>
                <w:spacing w:val="-2"/>
              </w:rPr>
            </w:pPr>
          </w:p>
        </w:tc>
        <w:tc>
          <w:tcPr>
            <w:tcW w:w="4248" w:type="dxa"/>
          </w:tcPr>
          <w:p w:rsidR="0029463E" w:rsidP="00F13E4E" w14:paraId="1671D5F8" w14:textId="77777777">
            <w:pPr>
              <w:tabs>
                <w:tab w:val="center" w:pos="4680"/>
              </w:tabs>
              <w:suppressAutoHyphens/>
              <w:rPr>
                <w:spacing w:val="-2"/>
              </w:rPr>
            </w:pPr>
          </w:p>
        </w:tc>
      </w:tr>
    </w:tbl>
    <w:p w:rsidR="0029463E" w:rsidP="0029463E" w14:paraId="7B892C59" w14:textId="77777777">
      <w:pPr>
        <w:pStyle w:val="StyleBoldCentered"/>
      </w:pPr>
      <w:r>
        <w:t>Memorandum opinion and order</w:t>
      </w:r>
    </w:p>
    <w:p w:rsidR="0029463E" w:rsidP="0029463E" w14:paraId="58775801" w14:textId="77777777">
      <w:pPr>
        <w:tabs>
          <w:tab w:val="left" w:pos="-720"/>
        </w:tabs>
        <w:suppressAutoHyphens/>
        <w:spacing w:line="227" w:lineRule="auto"/>
        <w:rPr>
          <w:spacing w:val="-2"/>
        </w:rPr>
      </w:pPr>
    </w:p>
    <w:p w:rsidR="0029463E" w:rsidP="0029463E" w14:paraId="7577F9FF" w14:textId="22EBB3E6">
      <w:pPr>
        <w:tabs>
          <w:tab w:val="left" w:pos="720"/>
          <w:tab w:val="right" w:pos="9360"/>
        </w:tabs>
        <w:suppressAutoHyphens/>
        <w:spacing w:line="227" w:lineRule="auto"/>
        <w:rPr>
          <w:spacing w:val="-2"/>
        </w:rPr>
      </w:pPr>
      <w:r>
        <w:rPr>
          <w:b/>
          <w:spacing w:val="-2"/>
        </w:rPr>
        <w:t xml:space="preserve">Adopted:  </w:t>
      </w:r>
      <w:r w:rsidR="003C7AB4">
        <w:rPr>
          <w:b/>
          <w:spacing w:val="-2"/>
        </w:rPr>
        <w:t>January 21, 2020</w:t>
      </w:r>
      <w:r>
        <w:rPr>
          <w:b/>
          <w:spacing w:val="-2"/>
        </w:rPr>
        <w:tab/>
        <w:t xml:space="preserve">Released:  </w:t>
      </w:r>
      <w:r w:rsidR="003C7AB4">
        <w:rPr>
          <w:b/>
          <w:spacing w:val="-2"/>
        </w:rPr>
        <w:t>January 2</w:t>
      </w:r>
      <w:r w:rsidR="00AD41D1">
        <w:rPr>
          <w:b/>
          <w:spacing w:val="-2"/>
        </w:rPr>
        <w:t>2</w:t>
      </w:r>
      <w:r w:rsidR="003C7AB4">
        <w:rPr>
          <w:b/>
          <w:spacing w:val="-2"/>
        </w:rPr>
        <w:t>, 2020</w:t>
      </w:r>
    </w:p>
    <w:p w:rsidR="0029463E" w:rsidP="0029463E" w14:paraId="16BEB176" w14:textId="77777777"/>
    <w:p w:rsidR="0029463E" w:rsidP="0029463E" w14:paraId="2CAABF3B" w14:textId="77777777">
      <w:pPr>
        <w:rPr>
          <w:spacing w:val="-2"/>
        </w:rPr>
      </w:pPr>
      <w:r>
        <w:t xml:space="preserve">By the </w:t>
      </w:r>
      <w:r>
        <w:rPr>
          <w:spacing w:val="-2"/>
        </w:rPr>
        <w:t>Commission:</w:t>
      </w:r>
    </w:p>
    <w:p w:rsidR="0029463E" w:rsidP="0029463E" w14:paraId="2D76F93A" w14:textId="77777777">
      <w:pPr>
        <w:rPr>
          <w:spacing w:val="-2"/>
        </w:rPr>
      </w:pPr>
    </w:p>
    <w:p w:rsidR="0029463E" w:rsidP="0029463E" w14:paraId="4843E1CA" w14:textId="77777777">
      <w:pPr>
        <w:pStyle w:val="Heading1"/>
      </w:pPr>
      <w:r>
        <w:t>introduction</w:t>
      </w:r>
    </w:p>
    <w:p w:rsidR="0029463E" w:rsidP="003C7AB4" w14:paraId="6F39D34E" w14:textId="77777777">
      <w:pPr>
        <w:pStyle w:val="ParaNum"/>
        <w:widowControl/>
        <w:numPr>
          <w:ilvl w:val="0"/>
          <w:numId w:val="3"/>
        </w:numPr>
        <w:tabs>
          <w:tab w:val="left" w:pos="1440"/>
        </w:tabs>
        <w:spacing w:after="240"/>
        <w:ind w:left="0" w:firstLine="720"/>
      </w:pPr>
      <w:r w:rsidRPr="00A765DE">
        <w:t>The Commission has before it for consideration</w:t>
      </w:r>
      <w:r w:rsidR="00005CD0">
        <w:t xml:space="preserve"> </w:t>
      </w:r>
      <w:r w:rsidRPr="00A765DE">
        <w:t xml:space="preserve">an Application for Review </w:t>
      </w:r>
      <w:r w:rsidR="003159C9">
        <w:t xml:space="preserve">(2018 AFR) </w:t>
      </w:r>
      <w:r w:rsidRPr="00A765DE">
        <w:t xml:space="preserve">filed by </w:t>
      </w:r>
      <w:r>
        <w:t>Nalini Kapur, Rishi Kapur, and Ravi Kapur (the Kapurs) in the above-referenced proceedings.</w:t>
      </w:r>
      <w:r>
        <w:rPr>
          <w:vertAlign w:val="superscript"/>
        </w:rPr>
        <w:footnoteReference w:id="3"/>
      </w:r>
      <w:r w:rsidRPr="00A765DE">
        <w:t xml:space="preserve"> </w:t>
      </w:r>
      <w:r>
        <w:t xml:space="preserve"> The Kapurs are </w:t>
      </w:r>
      <w:r w:rsidRPr="00A765DE">
        <w:t>seeking review of</w:t>
      </w:r>
      <w:r>
        <w:t xml:space="preserve"> a decision by the Video Division (the Division) of the Media Bureau (the Bureau)</w:t>
      </w:r>
      <w:r>
        <w:rPr>
          <w:rStyle w:val="FootnoteReference"/>
        </w:rPr>
        <w:footnoteReference w:id="4"/>
      </w:r>
      <w:r>
        <w:t xml:space="preserve"> rejecting, on delegated authority, the Kapur</w:t>
      </w:r>
      <w:r w:rsidR="003E2584">
        <w:t>s</w:t>
      </w:r>
      <w:r>
        <w:t>’ Petition for Reconsideration (201</w:t>
      </w:r>
      <w:r w:rsidR="00395080">
        <w:t>7</w:t>
      </w:r>
      <w:r>
        <w:t xml:space="preserve"> Recon Petition)</w:t>
      </w:r>
      <w:r>
        <w:rPr>
          <w:rStyle w:val="FootnoteReference"/>
        </w:rPr>
        <w:footnoteReference w:id="5"/>
      </w:r>
      <w:r>
        <w:t xml:space="preserve"> of the Commission’s Memorandum Opinion and Order, released November 3, 2017 (</w:t>
      </w:r>
      <w:r w:rsidRPr="00172C80">
        <w:rPr>
          <w:i/>
        </w:rPr>
        <w:t>2017 Commission MO&amp;O</w:t>
      </w:r>
      <w:r>
        <w:t>), which denied the Kapur</w:t>
      </w:r>
      <w:r w:rsidR="003E2584">
        <w:t>s</w:t>
      </w:r>
      <w:r>
        <w:t xml:space="preserve">’ first Application for Review of multiple staff decisions </w:t>
      </w:r>
      <w:r>
        <w:t xml:space="preserve">that relate to the sale of station </w:t>
      </w:r>
      <w:r w:rsidRPr="00B31DCD">
        <w:rPr>
          <w:color w:val="000000"/>
          <w:szCs w:val="22"/>
        </w:rPr>
        <w:t>KAXT-CD, San Francisco</w:t>
      </w:r>
      <w:r w:rsidRPr="00B31DCD">
        <w:rPr>
          <w:color w:val="000000"/>
          <w:szCs w:val="22"/>
        </w:rPr>
        <w:noBreakHyphen/>
        <w:t>San Jose, California</w:t>
      </w:r>
      <w:r>
        <w:rPr>
          <w:color w:val="000000"/>
          <w:szCs w:val="22"/>
        </w:rPr>
        <w:t xml:space="preserve"> (KAXT), to</w:t>
      </w:r>
      <w:r w:rsidRPr="00B31DCD">
        <w:rPr>
          <w:color w:val="000000"/>
          <w:szCs w:val="22"/>
        </w:rPr>
        <w:t xml:space="preserve"> OTA Broadcasting </w:t>
      </w:r>
      <w:r>
        <w:t>(SFO), LLC</w:t>
      </w:r>
      <w:r w:rsidRPr="00B31DCD">
        <w:rPr>
          <w:color w:val="000000"/>
          <w:szCs w:val="22"/>
        </w:rPr>
        <w:t xml:space="preserve"> (OTA)</w:t>
      </w:r>
      <w:r w:rsidR="00355A61">
        <w:rPr>
          <w:color w:val="000000"/>
          <w:szCs w:val="22"/>
        </w:rPr>
        <w:t xml:space="preserve"> and the renewal of KAXT’s license</w:t>
      </w:r>
      <w:r>
        <w:rPr>
          <w:color w:val="000000"/>
          <w:szCs w:val="22"/>
        </w:rPr>
        <w:t>.</w:t>
      </w:r>
      <w:r>
        <w:rPr>
          <w:rStyle w:val="FootnoteReference"/>
          <w:szCs w:val="22"/>
        </w:rPr>
        <w:footnoteReference w:id="6"/>
      </w:r>
      <w:r w:rsidRPr="00B31DCD">
        <w:rPr>
          <w:color w:val="000000"/>
          <w:szCs w:val="22"/>
        </w:rPr>
        <w:t xml:space="preserve"> </w:t>
      </w:r>
      <w:r>
        <w:rPr>
          <w:color w:val="000000"/>
          <w:szCs w:val="22"/>
        </w:rPr>
        <w:t xml:space="preserve"> </w:t>
      </w:r>
      <w:r>
        <w:t>We deny the 2018 AFR.</w:t>
      </w:r>
    </w:p>
    <w:p w:rsidR="0029463E" w:rsidRPr="00B135A5" w:rsidP="005732CE" w14:paraId="186C37C5" w14:textId="77777777">
      <w:pPr>
        <w:pStyle w:val="Heading1"/>
        <w:keepNext w:val="0"/>
        <w:tabs>
          <w:tab w:val="num" w:pos="720"/>
        </w:tabs>
        <w:suppressAutoHyphens w:val="0"/>
      </w:pPr>
      <w:r>
        <w:t>BACKGROUND</w:t>
      </w:r>
      <w:bookmarkStart w:id="1" w:name="_Hlk501539640"/>
    </w:p>
    <w:p w:rsidR="003E6AA8" w:rsidP="005732CE" w14:paraId="0AA451B8" w14:textId="77777777">
      <w:pPr>
        <w:pStyle w:val="ParaNum"/>
        <w:numPr>
          <w:ilvl w:val="0"/>
          <w:numId w:val="3"/>
        </w:numPr>
        <w:tabs>
          <w:tab w:val="left" w:pos="1440"/>
        </w:tabs>
        <w:spacing w:after="240"/>
        <w:ind w:left="0" w:firstLine="720"/>
      </w:pPr>
      <w:r>
        <w:t xml:space="preserve">The history of this </w:t>
      </w:r>
      <w:r w:rsidRPr="003E6AA8">
        <w:rPr>
          <w:color w:val="000000"/>
          <w:szCs w:val="22"/>
        </w:rPr>
        <w:t>dispute</w:t>
      </w:r>
      <w:r>
        <w:t xml:space="preserve"> is well</w:t>
      </w:r>
      <w:r w:rsidR="000A7B90">
        <w:t>-</w:t>
      </w:r>
      <w:r>
        <w:t>documented, and we decline to restate it here.</w:t>
      </w:r>
      <w:r>
        <w:rPr>
          <w:rStyle w:val="FootnoteReference"/>
        </w:rPr>
        <w:footnoteReference w:id="7"/>
      </w:r>
      <w:r>
        <w:t xml:space="preserve">  In relevant part</w:t>
      </w:r>
      <w:r>
        <w:t>, these issues</w:t>
      </w:r>
      <w:r>
        <w:t xml:space="preserve"> </w:t>
      </w:r>
      <w:r w:rsidRPr="003E6AA8">
        <w:t>stem from the</w:t>
      </w:r>
      <w:r>
        <w:t xml:space="preserve"> Kapurs</w:t>
      </w:r>
      <w:r w:rsidR="00BF5AAE">
        <w:t>’</w:t>
      </w:r>
      <w:r w:rsidRPr="003E6AA8">
        <w:t xml:space="preserve"> </w:t>
      </w:r>
      <w:r>
        <w:t xml:space="preserve">unsuccessful </w:t>
      </w:r>
      <w:r w:rsidRPr="003E6AA8">
        <w:t>challenge to the grant of the original assignment of KAXT’s license from KAXT, LLC</w:t>
      </w:r>
      <w:r>
        <w:t>—in which the Kapurs were minority interest holders—</w:t>
      </w:r>
      <w:r w:rsidRPr="003E6AA8">
        <w:t>to OTA in 2014.</w:t>
      </w:r>
      <w:r>
        <w:rPr>
          <w:rStyle w:val="FootnoteReference"/>
        </w:rPr>
        <w:footnoteReference w:id="8"/>
      </w:r>
      <w:r w:rsidRPr="003E6AA8">
        <w:t xml:space="preserve">  The Division also </w:t>
      </w:r>
      <w:r w:rsidR="00D435DE">
        <w:t>renewed</w:t>
      </w:r>
      <w:r w:rsidRPr="003E6AA8">
        <w:t xml:space="preserve"> KAXT</w:t>
      </w:r>
      <w:r w:rsidR="00D435DE">
        <w:t>’s license</w:t>
      </w:r>
      <w:r w:rsidR="005D0789">
        <w:t xml:space="preserve"> over the Kap</w:t>
      </w:r>
      <w:r w:rsidR="00551377">
        <w:t>ur</w:t>
      </w:r>
      <w:r w:rsidR="005D0789">
        <w:t>s’ objection.</w:t>
      </w:r>
      <w:r>
        <w:rPr>
          <w:rStyle w:val="FootnoteReference"/>
        </w:rPr>
        <w:footnoteReference w:id="9"/>
      </w:r>
      <w:r w:rsidRPr="003E6AA8">
        <w:t xml:space="preserve"> </w:t>
      </w:r>
      <w:r w:rsidR="005D0789">
        <w:t xml:space="preserve"> I</w:t>
      </w:r>
      <w:r w:rsidRPr="003E6AA8">
        <w:t xml:space="preserve">n several subsequent decisions, the Division and the full Commission have repeatedly rejected the Kapurs’ challenges.  </w:t>
      </w:r>
    </w:p>
    <w:p w:rsidR="003E6AA8" w:rsidP="005732CE" w14:paraId="5CDFA874" w14:textId="77777777">
      <w:pPr>
        <w:pStyle w:val="ParaNum"/>
        <w:numPr>
          <w:ilvl w:val="0"/>
          <w:numId w:val="3"/>
        </w:numPr>
        <w:tabs>
          <w:tab w:val="left" w:pos="1440"/>
        </w:tabs>
        <w:spacing w:after="240"/>
        <w:ind w:left="0" w:firstLine="720"/>
      </w:pPr>
      <w:r w:rsidRPr="00411C85">
        <w:t xml:space="preserve">On January 18, 2017, </w:t>
      </w:r>
      <w:r>
        <w:t xml:space="preserve">in a proceeding separate from and unrelated to the assignment and renewal dockets, </w:t>
      </w:r>
      <w:r w:rsidRPr="00411C85">
        <w:t xml:space="preserve">the Bureau entered into a </w:t>
      </w:r>
      <w:r>
        <w:t>c</w:t>
      </w:r>
      <w:r w:rsidRPr="00411C85">
        <w:t xml:space="preserve">onsent </w:t>
      </w:r>
      <w:r>
        <w:t>d</w:t>
      </w:r>
      <w:r w:rsidRPr="00411C85">
        <w:t>ecree with OTA to resolve an investigation into OTA’s political file practi</w:t>
      </w:r>
      <w:r>
        <w:t>ces</w:t>
      </w:r>
      <w:r w:rsidRPr="00411C85">
        <w:t>.</w:t>
      </w:r>
      <w:r>
        <w:rPr>
          <w:rStyle w:val="FootnoteReference"/>
        </w:rPr>
        <w:footnoteReference w:id="10"/>
      </w:r>
      <w:r w:rsidRPr="00411C85">
        <w:t xml:space="preserve"> </w:t>
      </w:r>
      <w:r>
        <w:t xml:space="preserve"> In the order adopting the consent decree, the Bureau terminated its </w:t>
      </w:r>
      <w:r w:rsidRPr="001F6000">
        <w:rPr>
          <w:szCs w:val="22"/>
        </w:rPr>
        <w:t>investigation</w:t>
      </w:r>
      <w:r w:rsidR="005D0789">
        <w:rPr>
          <w:szCs w:val="22"/>
        </w:rPr>
        <w:t xml:space="preserve">, while </w:t>
      </w:r>
      <w:r w:rsidR="005D0789">
        <w:t xml:space="preserve">OTA agreed to pay $32,000 and </w:t>
      </w:r>
      <w:r w:rsidR="00355A61">
        <w:t xml:space="preserve">to </w:t>
      </w:r>
      <w:r w:rsidR="005D0789">
        <w:t>implement a compliance plan to help ensure future compliance with the political file disclosure requirements</w:t>
      </w:r>
      <w:r>
        <w:rPr>
          <w:szCs w:val="22"/>
        </w:rPr>
        <w:t>.</w:t>
      </w:r>
      <w:r>
        <w:rPr>
          <w:rStyle w:val="FootnoteReference"/>
          <w:szCs w:val="22"/>
        </w:rPr>
        <w:footnoteReference w:id="11"/>
      </w:r>
      <w:r w:rsidR="005D0789">
        <w:rPr>
          <w:szCs w:val="22"/>
        </w:rPr>
        <w:t xml:space="preserve">  In the </w:t>
      </w:r>
      <w:r w:rsidRPr="00355A61" w:rsidR="00355A61">
        <w:rPr>
          <w:i/>
          <w:szCs w:val="22"/>
        </w:rPr>
        <w:t>2017 C</w:t>
      </w:r>
      <w:r w:rsidRPr="00355A61" w:rsidR="005D0789">
        <w:rPr>
          <w:i/>
          <w:szCs w:val="22"/>
        </w:rPr>
        <w:t xml:space="preserve">onsent </w:t>
      </w:r>
      <w:r w:rsidRPr="00355A61" w:rsidR="00355A61">
        <w:rPr>
          <w:i/>
          <w:szCs w:val="22"/>
        </w:rPr>
        <w:t>D</w:t>
      </w:r>
      <w:r w:rsidRPr="00355A61" w:rsidR="005D0789">
        <w:rPr>
          <w:i/>
          <w:szCs w:val="22"/>
        </w:rPr>
        <w:t>ecree</w:t>
      </w:r>
      <w:r w:rsidR="005D0789">
        <w:rPr>
          <w:szCs w:val="22"/>
        </w:rPr>
        <w:t>, OTA admitted to certain violations, which could not be used against OTA by the Commission in any other proceedings “in the absence of new material evidence.”</w:t>
      </w:r>
      <w:r>
        <w:rPr>
          <w:rStyle w:val="FootnoteReference"/>
          <w:szCs w:val="22"/>
        </w:rPr>
        <w:footnoteReference w:id="12"/>
      </w:r>
      <w:r w:rsidR="005D0789">
        <w:rPr>
          <w:szCs w:val="22"/>
        </w:rPr>
        <w:t xml:space="preserve"> </w:t>
      </w:r>
      <w:r>
        <w:rPr>
          <w:szCs w:val="22"/>
        </w:rPr>
        <w:t xml:space="preserve"> </w:t>
      </w:r>
    </w:p>
    <w:p w:rsidR="00B52961" w:rsidP="005732CE" w14:paraId="0B4E5537" w14:textId="77777777">
      <w:pPr>
        <w:pStyle w:val="ParaNum"/>
        <w:numPr>
          <w:ilvl w:val="0"/>
          <w:numId w:val="3"/>
        </w:numPr>
        <w:tabs>
          <w:tab w:val="left" w:pos="1440"/>
        </w:tabs>
        <w:spacing w:after="240"/>
        <w:ind w:left="0" w:firstLine="720"/>
      </w:pPr>
      <w:r>
        <w:t>T</w:t>
      </w:r>
      <w:r w:rsidRPr="00B52961">
        <w:t xml:space="preserve">he </w:t>
      </w:r>
      <w:r w:rsidRPr="006C174C">
        <w:rPr>
          <w:i/>
        </w:rPr>
        <w:t>201</w:t>
      </w:r>
      <w:r>
        <w:rPr>
          <w:i/>
        </w:rPr>
        <w:t>8</w:t>
      </w:r>
      <w:r w:rsidRPr="006C174C">
        <w:rPr>
          <w:i/>
        </w:rPr>
        <w:t xml:space="preserve"> Division MO&amp;O</w:t>
      </w:r>
      <w:r>
        <w:t xml:space="preserve"> dismissed the Kapurs</w:t>
      </w:r>
      <w:r w:rsidR="00BF5AAE">
        <w:t>’</w:t>
      </w:r>
      <w:r>
        <w:t xml:space="preserve"> </w:t>
      </w:r>
      <w:r>
        <w:t>request</w:t>
      </w:r>
      <w:r>
        <w:t xml:space="preserve"> for </w:t>
      </w:r>
      <w:r>
        <w:t>r</w:t>
      </w:r>
      <w:r>
        <w:t xml:space="preserve">econsideration of the </w:t>
      </w:r>
      <w:r w:rsidRPr="00172C80" w:rsidR="001A2970">
        <w:rPr>
          <w:i/>
        </w:rPr>
        <w:t>2017 Commission MO&amp;O</w:t>
      </w:r>
      <w:r w:rsidR="001A2970">
        <w:t>.  The 201</w:t>
      </w:r>
      <w:r w:rsidR="002C4CC3">
        <w:t>7</w:t>
      </w:r>
      <w:r w:rsidR="001A2970">
        <w:t xml:space="preserve"> Recon Petition relied primarily on “new </w:t>
      </w:r>
      <w:r w:rsidR="00355A61">
        <w:t xml:space="preserve">material </w:t>
      </w:r>
      <w:r w:rsidR="001A2970">
        <w:t xml:space="preserve">evidence” that, according to the Kapurs, confirmed OTA’s lack of character qualifications. </w:t>
      </w:r>
      <w:r w:rsidR="00C57C87">
        <w:t xml:space="preserve"> </w:t>
      </w:r>
      <w:r w:rsidR="001A2970">
        <w:t>Specifically, the Kapurs provided evidence</w:t>
      </w:r>
      <w:r w:rsidR="00995FDB">
        <w:t xml:space="preserve"> </w:t>
      </w:r>
      <w:r w:rsidR="001A2970">
        <w:t xml:space="preserve">of additional public file violations during the investigation period that were not mentioned in the </w:t>
      </w:r>
      <w:r w:rsidRPr="00884E1B" w:rsidR="001A2970">
        <w:rPr>
          <w:i/>
        </w:rPr>
        <w:t>2017 Consent Decree</w:t>
      </w:r>
      <w:r w:rsidR="001A2970">
        <w:rPr>
          <w:i/>
        </w:rPr>
        <w:t>.</w:t>
      </w:r>
      <w:r>
        <w:rPr>
          <w:rStyle w:val="FootnoteReference"/>
        </w:rPr>
        <w:footnoteReference w:id="13"/>
      </w:r>
      <w:r w:rsidR="001A2970">
        <w:rPr>
          <w:i/>
        </w:rPr>
        <w:t xml:space="preserve"> </w:t>
      </w:r>
      <w:r w:rsidR="001A2970">
        <w:t xml:space="preserve"> The Kap</w:t>
      </w:r>
      <w:r w:rsidR="002F68C4">
        <w:t>ur</w:t>
      </w:r>
      <w:r w:rsidR="001A2970">
        <w:t>s asserted that this constituted “new material evidence” that would allow the Commission to use OTA’s admissions against it in a hearing on OTA’s fitness to be a licensee.</w:t>
      </w:r>
      <w:r>
        <w:rPr>
          <w:rStyle w:val="FootnoteReference"/>
        </w:rPr>
        <w:footnoteReference w:id="14"/>
      </w:r>
      <w:r w:rsidR="00EA239B">
        <w:t xml:space="preserve"> </w:t>
      </w:r>
      <w:r w:rsidR="001A2970">
        <w:t xml:space="preserve"> The </w:t>
      </w:r>
      <w:r w:rsidR="00EA239B">
        <w:t>Kapurs</w:t>
      </w:r>
      <w:r w:rsidR="001A2970">
        <w:t xml:space="preserve"> also raised objections to various findings in the </w:t>
      </w:r>
      <w:r w:rsidRPr="00172C80" w:rsidR="001A2970">
        <w:rPr>
          <w:i/>
        </w:rPr>
        <w:t>2017 Commission MO&amp;O</w:t>
      </w:r>
      <w:r w:rsidR="001A2970">
        <w:t xml:space="preserve">.  </w:t>
      </w:r>
      <w:r w:rsidR="001562F3">
        <w:t>In opposition, OTA asserted that the Kapurs had failed to demonstrate that reconsideration was warranted and argued that the Kapurs</w:t>
      </w:r>
      <w:r w:rsidR="00355A61">
        <w:t>’</w:t>
      </w:r>
      <w:r w:rsidR="001562F3">
        <w:t xml:space="preserve"> conduct before the Commission constituted abuse of process.</w:t>
      </w:r>
      <w:r>
        <w:rPr>
          <w:rStyle w:val="FootnoteReference"/>
        </w:rPr>
        <w:footnoteReference w:id="15"/>
      </w:r>
      <w:r w:rsidR="001562F3">
        <w:t xml:space="preserve">  </w:t>
      </w:r>
      <w:r w:rsidR="001562F3">
        <w:t>The Kapu</w:t>
      </w:r>
      <w:r w:rsidR="000B2550">
        <w:t>r</w:t>
      </w:r>
      <w:r w:rsidR="001562F3">
        <w:t>s, in reply, rejected the claim that they were engaging in abuse of process and claimed that OTA had failed to address the substance of the 2017 Recon Petition.</w:t>
      </w:r>
      <w:r>
        <w:rPr>
          <w:rStyle w:val="FootnoteReference"/>
        </w:rPr>
        <w:footnoteReference w:id="16"/>
      </w:r>
      <w:r w:rsidR="001562F3">
        <w:t xml:space="preserve">  </w:t>
      </w:r>
      <w:r w:rsidR="001A2970">
        <w:t xml:space="preserve">Upon review, </w:t>
      </w:r>
      <w:r w:rsidR="001C706E">
        <w:t>the Division dismissed the 201</w:t>
      </w:r>
      <w:r w:rsidR="002C4CC3">
        <w:t>7</w:t>
      </w:r>
      <w:r w:rsidR="001C706E">
        <w:t xml:space="preserve"> Recon Petition, finding that it failed to warrant review by the full Commission</w:t>
      </w:r>
      <w:r w:rsidR="008069DE">
        <w:t xml:space="preserve">, because it raised </w:t>
      </w:r>
      <w:r w:rsidR="00AE3952">
        <w:t>arguments</w:t>
      </w:r>
      <w:r w:rsidR="008069DE">
        <w:t xml:space="preserve"> previously </w:t>
      </w:r>
      <w:r w:rsidR="00AE3952">
        <w:t xml:space="preserve">considered and </w:t>
      </w:r>
      <w:r w:rsidR="008069DE">
        <w:t>rejected</w:t>
      </w:r>
      <w:r w:rsidR="00AE3952">
        <w:t xml:space="preserve"> by the Commission, or </w:t>
      </w:r>
      <w:r w:rsidR="008303CA">
        <w:t xml:space="preserve">pertained to matters resolved by the </w:t>
      </w:r>
      <w:r w:rsidR="008303CA">
        <w:rPr>
          <w:i/>
        </w:rPr>
        <w:t>2017 Consent Decree</w:t>
      </w:r>
      <w:r w:rsidR="001C706E">
        <w:t>.</w:t>
      </w:r>
      <w:r>
        <w:rPr>
          <w:rStyle w:val="FootnoteReference"/>
        </w:rPr>
        <w:footnoteReference w:id="17"/>
      </w:r>
    </w:p>
    <w:p w:rsidR="0054656F" w:rsidP="005732CE" w14:paraId="5727E81C" w14:textId="77777777">
      <w:pPr>
        <w:pStyle w:val="ParaNum"/>
        <w:numPr>
          <w:ilvl w:val="0"/>
          <w:numId w:val="3"/>
        </w:numPr>
        <w:tabs>
          <w:tab w:val="left" w:pos="1440"/>
        </w:tabs>
        <w:spacing w:after="240"/>
        <w:ind w:left="0" w:firstLine="720"/>
      </w:pPr>
      <w:r w:rsidRPr="00C85D3D">
        <w:t xml:space="preserve">In the 2018 AFR, the Kapurs ask us not only to reverse the </w:t>
      </w:r>
      <w:r w:rsidRPr="00C85D3D">
        <w:rPr>
          <w:i/>
        </w:rPr>
        <w:t>201</w:t>
      </w:r>
      <w:r w:rsidRPr="001F110E">
        <w:rPr>
          <w:i/>
        </w:rPr>
        <w:t>8 Division MO&amp;O</w:t>
      </w:r>
      <w:r w:rsidRPr="001F110E" w:rsidR="009C4016">
        <w:t>, but also to rescind the initial assignment to OTA and set the matter for a hearing.</w:t>
      </w:r>
      <w:r>
        <w:rPr>
          <w:rStyle w:val="FootnoteReference"/>
        </w:rPr>
        <w:footnoteReference w:id="18"/>
      </w:r>
      <w:r w:rsidRPr="00C85D3D" w:rsidR="005579E0">
        <w:t xml:space="preserve">  </w:t>
      </w:r>
      <w:r w:rsidRPr="00C85D3D" w:rsidR="00B836FC">
        <w:t xml:space="preserve">Specifically, the Kapurs </w:t>
      </w:r>
      <w:r w:rsidRPr="001F110E" w:rsidR="00B836FC">
        <w:t xml:space="preserve">assert that the </w:t>
      </w:r>
      <w:r w:rsidRPr="001F110E" w:rsidR="00071C9E">
        <w:t>Division</w:t>
      </w:r>
      <w:r w:rsidRPr="001F110E" w:rsidR="00B836FC">
        <w:t xml:space="preserve"> </w:t>
      </w:r>
      <w:r w:rsidR="00066A5B">
        <w:t>erred in</w:t>
      </w:r>
      <w:r w:rsidRPr="00356AFE" w:rsidR="00B836FC">
        <w:t xml:space="preserve"> </w:t>
      </w:r>
      <w:r w:rsidRPr="00356AFE" w:rsidR="00071C9E">
        <w:t xml:space="preserve">rejecting the purported “new material evidence” of additional political file violations because </w:t>
      </w:r>
      <w:r w:rsidRPr="00C97929" w:rsidR="00071C9E">
        <w:t>the Bureau had no</w:t>
      </w:r>
      <w:r w:rsidRPr="00C97929" w:rsidR="002A5006">
        <w:t xml:space="preserve"> </w:t>
      </w:r>
      <w:r w:rsidRPr="00C97929" w:rsidR="00071C9E">
        <w:t xml:space="preserve">knowledge of those violations when it entered into the </w:t>
      </w:r>
      <w:r w:rsidRPr="00C97929" w:rsidR="00071C9E">
        <w:rPr>
          <w:i/>
        </w:rPr>
        <w:t>2017 Consent Decree</w:t>
      </w:r>
      <w:r w:rsidRPr="00356AFE" w:rsidR="00071C9E">
        <w:t>.</w:t>
      </w:r>
      <w:r>
        <w:rPr>
          <w:rStyle w:val="FootnoteReference"/>
        </w:rPr>
        <w:footnoteReference w:id="19"/>
      </w:r>
      <w:r w:rsidRPr="00C85D3D" w:rsidR="002A5006">
        <w:t xml:space="preserve"> </w:t>
      </w:r>
      <w:r w:rsidRPr="00C85D3D" w:rsidR="00071C9E">
        <w:t xml:space="preserve"> </w:t>
      </w:r>
      <w:r w:rsidRPr="001F110E" w:rsidR="00071C9E">
        <w:t xml:space="preserve">The Kapurs also contend that the </w:t>
      </w:r>
      <w:r w:rsidRPr="001F110E" w:rsidR="00071C9E">
        <w:rPr>
          <w:i/>
        </w:rPr>
        <w:t>2018 Division MO&amp;O</w:t>
      </w:r>
      <w:r w:rsidRPr="001F110E" w:rsidR="00071C9E">
        <w:t xml:space="preserve"> erred </w:t>
      </w:r>
      <w:r w:rsidRPr="00356AFE" w:rsidR="00071C9E">
        <w:t>in two other respects:  (1)</w:t>
      </w:r>
      <w:r w:rsidR="00D923CD">
        <w:t> </w:t>
      </w:r>
      <w:r w:rsidRPr="00356AFE" w:rsidR="00071C9E">
        <w:t>by rejecting</w:t>
      </w:r>
      <w:r w:rsidRPr="00356AFE" w:rsidR="00A0484D">
        <w:t xml:space="preserve"> </w:t>
      </w:r>
      <w:r w:rsidRPr="00356AFE" w:rsidR="00793C8B">
        <w:t>the argument that insulation cannot be effected by letter agreement;</w:t>
      </w:r>
      <w:r>
        <w:rPr>
          <w:rStyle w:val="FootnoteReference"/>
        </w:rPr>
        <w:footnoteReference w:id="20"/>
      </w:r>
      <w:r w:rsidRPr="00C85D3D" w:rsidR="00793C8B">
        <w:t xml:space="preserve"> and (2)</w:t>
      </w:r>
      <w:r w:rsidR="00D923CD">
        <w:t> </w:t>
      </w:r>
      <w:r w:rsidRPr="00C85D3D" w:rsidR="00793C8B">
        <w:t>by concluding tha</w:t>
      </w:r>
      <w:r w:rsidRPr="001F110E" w:rsidR="00793C8B">
        <w:t>t the Kapurs failed “to demonstrate how a local ballot on affordable housing would be a national legislative issue of public importance</w:t>
      </w:r>
      <w:r w:rsidRPr="00356AFE" w:rsidR="00793C8B">
        <w:t>” that would constitute a “political matter of national importance.”</w:t>
      </w:r>
      <w:r>
        <w:rPr>
          <w:rStyle w:val="FootnoteReference"/>
        </w:rPr>
        <w:footnoteReference w:id="21"/>
      </w:r>
      <w:r w:rsidRPr="00C85D3D" w:rsidR="00793C8B">
        <w:t xml:space="preserve"> </w:t>
      </w:r>
      <w:r w:rsidRPr="00C85D3D" w:rsidR="00071C9E">
        <w:t xml:space="preserve"> </w:t>
      </w:r>
      <w:r w:rsidRPr="001F110E" w:rsidR="002A5006">
        <w:t>The Kapur</w:t>
      </w:r>
      <w:r w:rsidRPr="001F110E" w:rsidR="001D6219">
        <w:t>s</w:t>
      </w:r>
      <w:r w:rsidRPr="001F110E" w:rsidR="002A5006">
        <w:t>’ ultimate goal is that KAXT, LLC</w:t>
      </w:r>
      <w:r w:rsidRPr="001F110E" w:rsidR="00B15FCD">
        <w:t>,</w:t>
      </w:r>
      <w:r w:rsidRPr="001F110E" w:rsidR="002A5006">
        <w:t xml:space="preserve"> be reinstated as the station licensee.</w:t>
      </w:r>
      <w:r>
        <w:rPr>
          <w:rStyle w:val="FootnoteReference"/>
        </w:rPr>
        <w:footnoteReference w:id="22"/>
      </w:r>
      <w:r w:rsidRPr="00C85D3D" w:rsidR="001D6219">
        <w:t xml:space="preserve">  OTA, in opposition, asks us to affirm the </w:t>
      </w:r>
      <w:r w:rsidRPr="00C85D3D" w:rsidR="001D6219">
        <w:rPr>
          <w:i/>
        </w:rPr>
        <w:t>201</w:t>
      </w:r>
      <w:r w:rsidRPr="001F110E" w:rsidR="001D6219">
        <w:rPr>
          <w:i/>
        </w:rPr>
        <w:t>8 Division MO&amp;O</w:t>
      </w:r>
      <w:r w:rsidRPr="001F110E" w:rsidR="001D6219">
        <w:t xml:space="preserve"> and to impose sanctions on the Kapurs for</w:t>
      </w:r>
      <w:r w:rsidR="001D6219">
        <w:t xml:space="preserve"> abuse of process.</w:t>
      </w:r>
      <w:r>
        <w:rPr>
          <w:rStyle w:val="FootnoteReference"/>
        </w:rPr>
        <w:footnoteReference w:id="23"/>
      </w:r>
      <w:r w:rsidR="00247A8B">
        <w:t xml:space="preserve">  In reply, the Kapurs reject OTA’s arguments and assert that OTA should instead be sanctioned.</w:t>
      </w:r>
      <w:r>
        <w:rPr>
          <w:rStyle w:val="FootnoteReference"/>
        </w:rPr>
        <w:footnoteReference w:id="24"/>
      </w:r>
      <w:r w:rsidR="00247A8B">
        <w:t xml:space="preserve"> </w:t>
      </w:r>
      <w:r w:rsidR="001D6219">
        <w:t xml:space="preserve"> </w:t>
      </w:r>
    </w:p>
    <w:bookmarkEnd w:id="1"/>
    <w:p w:rsidR="0029463E" w:rsidRPr="00447D8E" w:rsidP="005732CE" w14:paraId="31005ECD" w14:textId="77777777">
      <w:pPr>
        <w:pStyle w:val="Heading1"/>
        <w:keepNext w:val="0"/>
        <w:tabs>
          <w:tab w:val="num" w:pos="720"/>
        </w:tabs>
        <w:suppressAutoHyphens w:val="0"/>
        <w:spacing w:after="220"/>
        <w:jc w:val="both"/>
      </w:pPr>
      <w:r w:rsidRPr="003E0EEE">
        <w:t>DISCUSSION</w:t>
      </w:r>
    </w:p>
    <w:p w:rsidR="0029463E" w:rsidP="005732CE" w14:paraId="7641B623" w14:textId="77777777">
      <w:pPr>
        <w:pStyle w:val="ParaNum"/>
        <w:numPr>
          <w:ilvl w:val="0"/>
          <w:numId w:val="3"/>
        </w:numPr>
        <w:tabs>
          <w:tab w:val="left" w:pos="1440"/>
        </w:tabs>
        <w:spacing w:after="240"/>
        <w:ind w:left="0" w:firstLine="720"/>
      </w:pPr>
      <w:r>
        <w:rPr>
          <w:i/>
        </w:rPr>
        <w:t>Issues previously rejected by the Commission</w:t>
      </w:r>
      <w:r w:rsidRPr="001739D9">
        <w:t>.</w:t>
      </w:r>
      <w:r w:rsidR="001F110E">
        <w:t xml:space="preserve">  In </w:t>
      </w:r>
      <w:r w:rsidR="00356AFE">
        <w:t>their 2017 Recon Petition</w:t>
      </w:r>
      <w:r w:rsidR="00E21044">
        <w:t xml:space="preserve"> and again in their 2018 AFR</w:t>
      </w:r>
      <w:r w:rsidR="00356AFE">
        <w:t>, the Kapurs re-assert numerous arguments</w:t>
      </w:r>
      <w:r w:rsidR="004B66C0">
        <w:t>, including that</w:t>
      </w:r>
      <w:r w:rsidR="00356AFE">
        <w:t xml:space="preserve">:  </w:t>
      </w:r>
      <w:r w:rsidR="004B66C0">
        <w:t>(1)</w:t>
      </w:r>
      <w:r w:rsidRPr="005E2BA4" w:rsidR="00356AFE">
        <w:t xml:space="preserve"> </w:t>
      </w:r>
      <w:bookmarkStart w:id="4" w:name="_Hlk18673265"/>
      <w:r w:rsidRPr="005E2BA4" w:rsidR="00356AFE">
        <w:t xml:space="preserve">OTA threatened the Kapurs with </w:t>
      </w:r>
      <w:r w:rsidR="00356AFE">
        <w:t xml:space="preserve">“punishing </w:t>
      </w:r>
      <w:r w:rsidRPr="005E2BA4" w:rsidR="00356AFE">
        <w:t>litigation” in a letter from OTA’s counsel</w:t>
      </w:r>
      <w:r w:rsidR="00356AFE">
        <w:t xml:space="preserve"> unless they withdrew their pleadings</w:t>
      </w:r>
      <w:r w:rsidRPr="005E2BA4" w:rsidR="00356AFE">
        <w:t xml:space="preserve">;  </w:t>
      </w:r>
      <w:r w:rsidR="004B66C0">
        <w:t>(2)</w:t>
      </w:r>
      <w:r w:rsidRPr="005E2BA4" w:rsidR="00356AFE">
        <w:t xml:space="preserve"> OTA has continued to omit pending character allegations in its applications even after a March 2015 admonishment by staff</w:t>
      </w:r>
      <w:r w:rsidR="004B66C0">
        <w:t xml:space="preserve"> (that was subsequently overturned by the Commission)</w:t>
      </w:r>
      <w:r w:rsidRPr="005E2BA4" w:rsidR="00356AFE">
        <w:t xml:space="preserve">; </w:t>
      </w:r>
      <w:r w:rsidR="004B66C0">
        <w:t>(3)</w:t>
      </w:r>
      <w:r w:rsidRPr="005E2BA4" w:rsidR="00356AFE">
        <w:t xml:space="preserve"> </w:t>
      </w:r>
      <w:bookmarkStart w:id="5" w:name="_Hlk18584876"/>
      <w:r w:rsidRPr="005E2BA4" w:rsidR="00356AFE">
        <w:t>OTA actively collaborated with the controlling members of KAXT, LLC, against the Kapurs during arbitration of a contractual dispute</w:t>
      </w:r>
      <w:bookmarkEnd w:id="5"/>
      <w:r w:rsidRPr="005E2BA4" w:rsidR="00356AFE">
        <w:t xml:space="preserve">; </w:t>
      </w:r>
      <w:r w:rsidR="007F43CD">
        <w:t xml:space="preserve">and </w:t>
      </w:r>
      <w:r w:rsidR="004B66C0">
        <w:t>(</w:t>
      </w:r>
      <w:r w:rsidR="007F43CD">
        <w:t>4</w:t>
      </w:r>
      <w:r w:rsidR="004B66C0">
        <w:t>)</w:t>
      </w:r>
      <w:r w:rsidRPr="005E2BA4" w:rsidR="00356AFE">
        <w:t xml:space="preserve"> OTA misrepresented to the Commission by not certifying “Yes” as to </w:t>
      </w:r>
      <w:r w:rsidRPr="005E2BA4" w:rsidR="00356AFE">
        <w:t xml:space="preserve">whether a felon is a party to </w:t>
      </w:r>
      <w:bookmarkEnd w:id="4"/>
      <w:r w:rsidRPr="005E2BA4" w:rsidR="00356AFE">
        <w:t>the assignor’s portion of the Application</w:t>
      </w:r>
      <w:r w:rsidR="007F43CD">
        <w:t xml:space="preserve"> because the felon was not properly insulated</w:t>
      </w:r>
      <w:r w:rsidRPr="005E2BA4" w:rsidR="00356AFE">
        <w:t>.</w:t>
      </w:r>
      <w:r>
        <w:rPr>
          <w:rStyle w:val="FootnoteReference"/>
        </w:rPr>
        <w:footnoteReference w:id="25"/>
      </w:r>
      <w:r>
        <w:rPr>
          <w:i/>
        </w:rPr>
        <w:t xml:space="preserve">  </w:t>
      </w:r>
      <w:r w:rsidR="00E21044">
        <w:t>T</w:t>
      </w:r>
      <w:r>
        <w:t>he</w:t>
      </w:r>
      <w:r w:rsidR="004B66C0">
        <w:t>se issues</w:t>
      </w:r>
      <w:r>
        <w:t xml:space="preserve"> have been thoroughly considered in this proceeding and plainly d</w:t>
      </w:r>
      <w:r w:rsidR="003D2D0B">
        <w:t>o</w:t>
      </w:r>
      <w:r>
        <w:t xml:space="preserve"> not provide cause for reconsideration.</w:t>
      </w:r>
      <w:r>
        <w:rPr>
          <w:rStyle w:val="FootnoteReference"/>
        </w:rPr>
        <w:footnoteReference w:id="26"/>
      </w:r>
      <w:r>
        <w:t xml:space="preserve">  The Commission has already addressed these issues in detail, and we decline to do so again here.</w:t>
      </w:r>
      <w:r>
        <w:rPr>
          <w:rStyle w:val="FootnoteReference"/>
        </w:rPr>
        <w:footnoteReference w:id="27"/>
      </w:r>
    </w:p>
    <w:p w:rsidR="0029463E" w:rsidP="005732CE" w14:paraId="51F54A7C" w14:textId="77777777">
      <w:pPr>
        <w:pStyle w:val="ParaNum"/>
        <w:numPr>
          <w:ilvl w:val="0"/>
          <w:numId w:val="3"/>
        </w:numPr>
        <w:tabs>
          <w:tab w:val="left" w:pos="1440"/>
        </w:tabs>
        <w:spacing w:after="240"/>
        <w:ind w:left="0" w:firstLine="720"/>
      </w:pPr>
      <w:r w:rsidRPr="001739D9">
        <w:rPr>
          <w:i/>
        </w:rPr>
        <w:t>Issues</w:t>
      </w:r>
      <w:r w:rsidR="00E94759">
        <w:rPr>
          <w:i/>
        </w:rPr>
        <w:t xml:space="preserve"> not previously addressed by the Commission</w:t>
      </w:r>
      <w:r w:rsidRPr="001739D9">
        <w:rPr>
          <w:i/>
        </w:rPr>
        <w:t>.</w:t>
      </w:r>
      <w:r>
        <w:t xml:space="preserve">  In addition to restating arguments that had already been considered and rejected</w:t>
      </w:r>
      <w:r w:rsidR="00E94759">
        <w:t xml:space="preserve"> by the Commission</w:t>
      </w:r>
      <w:r>
        <w:t>, the Kapurs</w:t>
      </w:r>
      <w:r w:rsidR="00E94759">
        <w:t xml:space="preserve"> </w:t>
      </w:r>
      <w:r>
        <w:t xml:space="preserve">argue that the Commission should initiate a hearing on OTA’s character qualifications as a result of alleged public file violations not </w:t>
      </w:r>
      <w:r w:rsidR="00E94759">
        <w:t xml:space="preserve">addressed </w:t>
      </w:r>
      <w:r>
        <w:t xml:space="preserve">in the </w:t>
      </w:r>
      <w:r w:rsidRPr="00DC59F6">
        <w:rPr>
          <w:i/>
        </w:rPr>
        <w:t>2017 Consent Decree</w:t>
      </w:r>
      <w:r>
        <w:rPr>
          <w:i/>
        </w:rPr>
        <w:t>.</w:t>
      </w:r>
      <w:r>
        <w:t xml:space="preserve">  Specifically, the </w:t>
      </w:r>
      <w:r w:rsidR="00192367">
        <w:t>2017</w:t>
      </w:r>
      <w:r>
        <w:t xml:space="preserve"> Recon Petition attempted to use OTA’s admissions in </w:t>
      </w:r>
      <w:r w:rsidR="008303CA">
        <w:t xml:space="preserve">the </w:t>
      </w:r>
      <w:r w:rsidR="008303CA">
        <w:rPr>
          <w:i/>
        </w:rPr>
        <w:t>2017 Consent Decree</w:t>
      </w:r>
      <w:r>
        <w:t xml:space="preserve"> as justification for designating the applications at issue in this proceeding for hearing</w:t>
      </w:r>
      <w:r w:rsidR="00E94759">
        <w:t xml:space="preserve"> on OTA’s basic qualifications</w:t>
      </w:r>
      <w:r>
        <w:t xml:space="preserve">—something the </w:t>
      </w:r>
      <w:r w:rsidRPr="00DC59F6">
        <w:rPr>
          <w:i/>
        </w:rPr>
        <w:t>2017 Consent Decree</w:t>
      </w:r>
      <w:r>
        <w:t xml:space="preserve"> prohibits absent “new material evidence</w:t>
      </w:r>
      <w:r w:rsidR="00E94759">
        <w:t>.</w:t>
      </w:r>
      <w:r>
        <w:t>”</w:t>
      </w:r>
      <w:r>
        <w:rPr>
          <w:rStyle w:val="FootnoteReference"/>
        </w:rPr>
        <w:footnoteReference w:id="28"/>
      </w:r>
      <w:r>
        <w:t xml:space="preserve">   </w:t>
      </w:r>
    </w:p>
    <w:p w:rsidR="0029463E" w:rsidP="005732CE" w14:paraId="4A3754EF" w14:textId="77777777">
      <w:pPr>
        <w:pStyle w:val="ParaNum"/>
        <w:numPr>
          <w:ilvl w:val="0"/>
          <w:numId w:val="3"/>
        </w:numPr>
        <w:tabs>
          <w:tab w:val="left" w:pos="1440"/>
        </w:tabs>
        <w:spacing w:after="240"/>
        <w:ind w:left="0" w:firstLine="720"/>
      </w:pPr>
      <w:r>
        <w:t>We have reviewed the evidence provided by the Kapurs and conclude that, even when considered in conjunction with the admitted violations set forth in the Consent Decree, it does not provide a sufficient basis to call into question OTA’s basic qualifications.</w:t>
      </w:r>
      <w:r>
        <w:rPr>
          <w:rStyle w:val="FootnoteReference"/>
        </w:rPr>
        <w:footnoteReference w:id="29"/>
      </w:r>
      <w:r>
        <w:t xml:space="preserve">  </w:t>
      </w:r>
      <w:r>
        <w:t>In general, the evidence submitted by the Kapurs confirmed what the Commission already knew—OTA’s maintenance of its political file during the investigation period failed to comply with Commission rules.</w:t>
      </w:r>
      <w:r>
        <w:rPr>
          <w:rStyle w:val="FootnoteReference"/>
        </w:rPr>
        <w:footnoteReference w:id="30"/>
      </w:r>
      <w:r>
        <w:t xml:space="preserve">  </w:t>
      </w:r>
      <w:r w:rsidR="00A07EDA">
        <w:t xml:space="preserve">We find no </w:t>
      </w:r>
      <w:r w:rsidR="00F46D34">
        <w:t>indication</w:t>
      </w:r>
      <w:r w:rsidR="000A2BE7">
        <w:t>, however,</w:t>
      </w:r>
      <w:r w:rsidR="00A07EDA">
        <w:t xml:space="preserve"> that OTA was </w:t>
      </w:r>
      <w:r w:rsidR="00F46D34">
        <w:t xml:space="preserve">intentionally </w:t>
      </w:r>
      <w:r>
        <w:t>hid</w:t>
      </w:r>
      <w:r w:rsidR="00F46D34">
        <w:t xml:space="preserve">ing </w:t>
      </w:r>
      <w:r w:rsidR="00A07EDA">
        <w:t xml:space="preserve">these </w:t>
      </w:r>
      <w:r>
        <w:t>additional violations from the Commission.</w:t>
      </w:r>
      <w:r>
        <w:rPr>
          <w:rStyle w:val="FootnoteReference"/>
        </w:rPr>
        <w:footnoteReference w:id="31"/>
      </w:r>
      <w:r>
        <w:t xml:space="preserve">   </w:t>
      </w:r>
      <w:r w:rsidR="00E16479">
        <w:t>I</w:t>
      </w:r>
      <w:r>
        <w:t xml:space="preserve">n the </w:t>
      </w:r>
      <w:r>
        <w:t>absence of any actual evidence of misrepresentation, lack of candor, or any other aggravating conduct that speaks more directly to OTA’s character,</w:t>
      </w:r>
      <w:r>
        <w:rPr>
          <w:rStyle w:val="FootnoteReference"/>
        </w:rPr>
        <w:footnoteReference w:id="32"/>
      </w:r>
      <w:r>
        <w:t xml:space="preserve"> </w:t>
      </w:r>
      <w:r w:rsidR="007A12D8">
        <w:t xml:space="preserve">we </w:t>
      </w:r>
      <w:r w:rsidR="000E29DF">
        <w:t>agree with the staff that t</w:t>
      </w:r>
      <w:r w:rsidR="008C3EB4">
        <w:t>here w</w:t>
      </w:r>
      <w:r w:rsidR="000E29DF">
        <w:t xml:space="preserve">ere </w:t>
      </w:r>
      <w:r w:rsidR="007A12D8">
        <w:t xml:space="preserve">no </w:t>
      </w:r>
      <w:bookmarkStart w:id="6" w:name="_Hlk19017780"/>
      <w:r w:rsidR="000E29DF">
        <w:t xml:space="preserve">substantial and material questions of fact as to </w:t>
      </w:r>
      <w:r w:rsidR="008C3EB4">
        <w:t>OTA’s basic qualifications</w:t>
      </w:r>
      <w:bookmarkEnd w:id="6"/>
      <w:r>
        <w:t>.</w:t>
      </w:r>
      <w:r>
        <w:rPr>
          <w:rStyle w:val="FootnoteReference"/>
        </w:rPr>
        <w:footnoteReference w:id="33"/>
      </w:r>
      <w:r>
        <w:t xml:space="preserve">   </w:t>
      </w:r>
    </w:p>
    <w:p w:rsidR="0029463E" w:rsidRPr="00C04935" w:rsidP="005732CE" w14:paraId="47C21F27" w14:textId="77777777">
      <w:pPr>
        <w:pStyle w:val="ParaNum"/>
        <w:numPr>
          <w:ilvl w:val="0"/>
          <w:numId w:val="3"/>
        </w:numPr>
        <w:tabs>
          <w:tab w:val="left" w:pos="1440"/>
        </w:tabs>
        <w:spacing w:after="240"/>
        <w:ind w:left="0" w:firstLine="720"/>
      </w:pPr>
      <w:r>
        <w:rPr>
          <w:i/>
        </w:rPr>
        <w:t xml:space="preserve">OTA’s request for </w:t>
      </w:r>
      <w:r w:rsidRPr="006965AB">
        <w:rPr>
          <w:i/>
        </w:rPr>
        <w:t>sanctions</w:t>
      </w:r>
      <w:r>
        <w:t xml:space="preserve">.  </w:t>
      </w:r>
      <w:r w:rsidRPr="006965AB">
        <w:t>The</w:t>
      </w:r>
      <w:r>
        <w:t xml:space="preserve"> Commission—at both the staff and Commission level—has given the Kapurs a full and fair opportunity to be heard.  While we decline to impose any sanctions at this time, we remind all parties before the Commission that our processes and procedures should not be abused in an effort to resolve private contractual disputes</w:t>
      </w:r>
      <w:r w:rsidR="00D4149C">
        <w:t xml:space="preserve">.   </w:t>
      </w:r>
    </w:p>
    <w:p w:rsidR="0029463E" w:rsidRPr="00B46CF7" w:rsidP="005732CE" w14:paraId="7D31FC32" w14:textId="77777777">
      <w:pPr>
        <w:pStyle w:val="Heading1"/>
        <w:keepNext w:val="0"/>
        <w:tabs>
          <w:tab w:val="num" w:pos="720"/>
        </w:tabs>
        <w:suppressAutoHyphens w:val="0"/>
        <w:spacing w:after="220"/>
        <w:jc w:val="both"/>
      </w:pPr>
      <w:r w:rsidRPr="003E0EEE">
        <w:t>ORDERING CLAUSE</w:t>
      </w:r>
    </w:p>
    <w:p w:rsidR="00D641D3" w:rsidP="003C7AB4" w14:paraId="4D945A20" w14:textId="7A4917B9">
      <w:pPr>
        <w:pStyle w:val="ParaNum"/>
        <w:numPr>
          <w:ilvl w:val="0"/>
          <w:numId w:val="3"/>
        </w:numPr>
        <w:tabs>
          <w:tab w:val="left" w:pos="1440"/>
        </w:tabs>
        <w:spacing w:after="240"/>
        <w:ind w:left="0" w:firstLine="720"/>
        <w:rPr>
          <w:szCs w:val="22"/>
        </w:rPr>
      </w:pPr>
      <w:r w:rsidRPr="00A57358">
        <w:rPr>
          <w:b/>
          <w:bCs/>
          <w:szCs w:val="22"/>
        </w:rPr>
        <w:t>ACCORDINGLY, IT IS ORDERED</w:t>
      </w:r>
      <w:r>
        <w:rPr>
          <w:szCs w:val="22"/>
        </w:rPr>
        <w:t xml:space="preserve"> t</w:t>
      </w:r>
      <w:r w:rsidRPr="00036E11">
        <w:rPr>
          <w:szCs w:val="22"/>
        </w:rPr>
        <w:t>hat</w:t>
      </w:r>
      <w:r>
        <w:rPr>
          <w:szCs w:val="22"/>
        </w:rPr>
        <w:t xml:space="preserve">, </w:t>
      </w:r>
      <w:r w:rsidRPr="00DC59F6">
        <w:t>pursuant</w:t>
      </w:r>
      <w:r w:rsidRPr="00DC59F6">
        <w:rPr>
          <w:szCs w:val="22"/>
        </w:rPr>
        <w:t xml:space="preserve"> to section 5(c)(5) of the Communications Act of 1934, as amended, 47 U.S.C. § 155(c)(5), and section 1.11</w:t>
      </w:r>
      <w:r>
        <w:rPr>
          <w:szCs w:val="22"/>
        </w:rPr>
        <w:t>5</w:t>
      </w:r>
      <w:r w:rsidRPr="00DC59F6">
        <w:rPr>
          <w:szCs w:val="22"/>
        </w:rPr>
        <w:t xml:space="preserve">(g) of the Commission’s rules, 47 CFR § 1.115(g), the Application for Review </w:t>
      </w:r>
      <w:bookmarkStart w:id="7" w:name="_GoBack"/>
      <w:r w:rsidRPr="00A57358">
        <w:rPr>
          <w:b/>
          <w:bCs/>
          <w:szCs w:val="22"/>
        </w:rPr>
        <w:t>IS DENIED</w:t>
      </w:r>
      <w:bookmarkEnd w:id="7"/>
      <w:r w:rsidRPr="00036E11">
        <w:rPr>
          <w:szCs w:val="22"/>
        </w:rPr>
        <w:t>.</w:t>
      </w:r>
    </w:p>
    <w:p w:rsidR="00623B77" w:rsidP="0017296B" w14:paraId="48745380" w14:textId="77777777">
      <w:r>
        <w:tab/>
      </w:r>
      <w:r>
        <w:tab/>
      </w:r>
      <w:r>
        <w:tab/>
      </w:r>
      <w:r>
        <w:tab/>
      </w:r>
      <w:r>
        <w:tab/>
      </w:r>
      <w:r>
        <w:tab/>
        <w:t>FEDERAL COMMUNICATIONS COMMISSION</w:t>
      </w:r>
    </w:p>
    <w:p w:rsidR="00623B77" w:rsidP="0017296B" w14:paraId="31B42D04" w14:textId="77777777"/>
    <w:p w:rsidR="00623B77" w:rsidP="0017296B" w14:paraId="682FD249" w14:textId="77777777"/>
    <w:p w:rsidR="00623B77" w:rsidP="0017296B" w14:paraId="0DA32093" w14:textId="77777777"/>
    <w:p w:rsidR="00623B77" w:rsidP="0017296B" w14:paraId="46256A03" w14:textId="77777777"/>
    <w:p w:rsidR="00623B77" w:rsidP="0017296B" w14:paraId="2460E14A" w14:textId="77777777">
      <w:r>
        <w:tab/>
      </w:r>
      <w:r>
        <w:tab/>
      </w:r>
      <w:r>
        <w:tab/>
      </w:r>
      <w:r>
        <w:tab/>
      </w:r>
      <w:r>
        <w:tab/>
      </w:r>
      <w:r>
        <w:tab/>
        <w:t>Marlene H. Dortch</w:t>
      </w:r>
    </w:p>
    <w:p w:rsidR="00623B77" w:rsidRPr="00623B77" w:rsidP="00623B77" w14:paraId="6120130F" w14:textId="719212F3">
      <w:r>
        <w:tab/>
      </w:r>
      <w:r>
        <w:tab/>
      </w:r>
      <w:r>
        <w:tab/>
      </w:r>
      <w:r>
        <w:tab/>
      </w:r>
      <w:r>
        <w:tab/>
      </w:r>
      <w:r>
        <w:tab/>
        <w:t>Secretary</w:t>
      </w:r>
    </w:p>
    <w:sectPr w:rsidSect="00F13E4E">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E4E" w:rsidP="00F13E4E" w14:paraId="3FD27A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F13E4E" w14:paraId="08ABC5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E4E" w:rsidP="005732CE" w14:paraId="1D1B66AE" w14:textId="79C164A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E4E" w14:paraId="5FB5851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0143" w:rsidP="0029463E" w14:paraId="0BB2CE42" w14:textId="77777777">
      <w:r>
        <w:separator/>
      </w:r>
    </w:p>
  </w:footnote>
  <w:footnote w:type="continuationSeparator" w:id="1">
    <w:p w:rsidR="00D60143" w:rsidP="004021F5" w14:paraId="2F3703D3" w14:textId="77777777">
      <w:pPr>
        <w:spacing w:before="120"/>
        <w:rPr>
          <w:sz w:val="20"/>
        </w:rPr>
      </w:pPr>
      <w:r>
        <w:rPr>
          <w:sz w:val="20"/>
        </w:rPr>
        <w:t xml:space="preserve">(Continued from previous page)  </w:t>
      </w:r>
      <w:r>
        <w:rPr>
          <w:sz w:val="20"/>
        </w:rPr>
        <w:separator/>
      </w:r>
    </w:p>
  </w:footnote>
  <w:footnote w:type="continuationNotice" w:id="2">
    <w:p w:rsidR="00D60143" w:rsidP="004021F5" w14:paraId="001B0AFA" w14:textId="77777777">
      <w:pPr>
        <w:jc w:val="right"/>
        <w:rPr>
          <w:sz w:val="20"/>
        </w:rPr>
      </w:pPr>
      <w:r>
        <w:rPr>
          <w:sz w:val="20"/>
        </w:rPr>
        <w:t>(continued….)</w:t>
      </w:r>
    </w:p>
  </w:footnote>
  <w:footnote w:id="3">
    <w:p w:rsidR="0029463E" w:rsidRPr="00021E3D" w:rsidP="005732CE" w14:paraId="39CF827D" w14:textId="77777777">
      <w:pPr>
        <w:pStyle w:val="FootnoteText"/>
        <w:widowControl w:val="0"/>
      </w:pPr>
      <w:r w:rsidRPr="00021E3D">
        <w:rPr>
          <w:rStyle w:val="FootnoteReference"/>
        </w:rPr>
        <w:footnoteRef/>
      </w:r>
      <w:r w:rsidRPr="00021E3D">
        <w:t xml:space="preserve"> Application for Review </w:t>
      </w:r>
      <w:r>
        <w:t xml:space="preserve">of Nalini Kapur, Rishi Kapur, and Ravi Kapur, File Nos. BALDTA-20130211ACT &amp; BRDTA-20140731ANH </w:t>
      </w:r>
      <w:r w:rsidRPr="00021E3D">
        <w:t>(</w:t>
      </w:r>
      <w:r>
        <w:t>filed Oct. 18, 2018</w:t>
      </w:r>
      <w:r w:rsidRPr="00021E3D">
        <w:t>) (</w:t>
      </w:r>
      <w:r>
        <w:t xml:space="preserve">2018 </w:t>
      </w:r>
      <w:r w:rsidRPr="00021E3D">
        <w:t>AFR).</w:t>
      </w:r>
      <w:r>
        <w:t xml:space="preserve">  OTA filed an Opposition to the AFR on November 2, 2018 (2018 AFR Opposition), and the Kapurs filed a Reply on November 15, 2018 (2018 AFR </w:t>
      </w:r>
      <w:r w:rsidRPr="00381920">
        <w:t>Reply</w:t>
      </w:r>
      <w:r>
        <w:t>).</w:t>
      </w:r>
    </w:p>
  </w:footnote>
  <w:footnote w:id="4">
    <w:p w:rsidR="0029463E" w:rsidP="005732CE" w14:paraId="68CDBEB0" w14:textId="77777777">
      <w:pPr>
        <w:pStyle w:val="FootnoteText"/>
        <w:widowControl w:val="0"/>
      </w:pPr>
      <w:r>
        <w:rPr>
          <w:rStyle w:val="FootnoteReference"/>
        </w:rPr>
        <w:footnoteRef/>
      </w:r>
      <w:r>
        <w:t xml:space="preserve"> </w:t>
      </w:r>
      <w:r w:rsidRPr="006C174C">
        <w:rPr>
          <w:i/>
        </w:rPr>
        <w:t>KAXT, LLC (Assignor) and OTA Broadcasting (SFO), LLC (Assignee) for Consent to Assign the License of Station KAXT-CD, San Francisco-San Jose, California</w:t>
      </w:r>
      <w:r w:rsidRPr="006C174C">
        <w:t>, Memorandum Opinion and Order</w:t>
      </w:r>
      <w:r>
        <w:t>,</w:t>
      </w:r>
      <w:r w:rsidRPr="006C174C">
        <w:rPr>
          <w:snapToGrid w:val="0"/>
          <w:kern w:val="28"/>
          <w:sz w:val="22"/>
        </w:rPr>
        <w:t xml:space="preserve"> </w:t>
      </w:r>
      <w:r>
        <w:t>33</w:t>
      </w:r>
      <w:r w:rsidRPr="006C174C">
        <w:t xml:space="preserve"> FCC Rcd 8</w:t>
      </w:r>
      <w:r>
        <w:t>760</w:t>
      </w:r>
      <w:r w:rsidRPr="006C174C">
        <w:t xml:space="preserve"> (</w:t>
      </w:r>
      <w:r w:rsidR="00C07AD5">
        <w:t>MB</w:t>
      </w:r>
      <w:r w:rsidRPr="006C174C" w:rsidR="00C07AD5">
        <w:t xml:space="preserve"> </w:t>
      </w:r>
      <w:r w:rsidRPr="006C174C">
        <w:t>201</w:t>
      </w:r>
      <w:r>
        <w:t>8</w:t>
      </w:r>
      <w:r w:rsidRPr="006C174C">
        <w:t>) (</w:t>
      </w:r>
      <w:r w:rsidRPr="006C174C">
        <w:rPr>
          <w:i/>
        </w:rPr>
        <w:t>201</w:t>
      </w:r>
      <w:r>
        <w:rPr>
          <w:i/>
        </w:rPr>
        <w:t>8</w:t>
      </w:r>
      <w:r w:rsidRPr="006C174C">
        <w:rPr>
          <w:i/>
        </w:rPr>
        <w:t xml:space="preserve"> Division MO&amp;O</w:t>
      </w:r>
      <w:r w:rsidRPr="006C174C">
        <w:t>)</w:t>
      </w:r>
      <w:r>
        <w:t>.</w:t>
      </w:r>
    </w:p>
  </w:footnote>
  <w:footnote w:id="5">
    <w:p w:rsidR="00681938" w:rsidP="005732CE" w14:paraId="38195881" w14:textId="77777777">
      <w:pPr>
        <w:pStyle w:val="FootnoteText"/>
        <w:widowControl w:val="0"/>
      </w:pPr>
      <w:r>
        <w:rPr>
          <w:rStyle w:val="FootnoteReference"/>
        </w:rPr>
        <w:footnoteRef/>
      </w:r>
      <w:r>
        <w:t xml:space="preserve"> </w:t>
      </w:r>
      <w:r w:rsidR="002C4CC3">
        <w:t xml:space="preserve">Petition for Reconsideration of Nalini Kapur, Rishi Kapur, and Ravi Kapur, File Nos. BALDTA-20130211ACT &amp; BRDTA-20140731ANH </w:t>
      </w:r>
      <w:r w:rsidRPr="00021E3D" w:rsidR="002C4CC3">
        <w:t>(</w:t>
      </w:r>
      <w:r w:rsidR="002C4CC3">
        <w:t>filed Dec. 4, 2017</w:t>
      </w:r>
      <w:r w:rsidRPr="00021E3D" w:rsidR="002C4CC3">
        <w:t>) (</w:t>
      </w:r>
      <w:r w:rsidR="002C4CC3">
        <w:t>2017 Recon Petition</w:t>
      </w:r>
      <w:r w:rsidRPr="00021E3D" w:rsidR="002C4CC3">
        <w:t>).</w:t>
      </w:r>
      <w:r w:rsidR="002C4CC3">
        <w:t xml:space="preserve">  OTA filed an Opposition on December 18, 2017 (2017 Recon Opposition), and the Kapurs filed a Reply on December 2</w:t>
      </w:r>
      <w:r w:rsidR="00355A61">
        <w:t>8</w:t>
      </w:r>
      <w:r w:rsidR="002C4CC3">
        <w:t xml:space="preserve">, 2017 (2017 </w:t>
      </w:r>
      <w:r w:rsidR="00DD33C8">
        <w:t>Recon</w:t>
      </w:r>
      <w:r w:rsidR="002C4CC3">
        <w:t xml:space="preserve"> </w:t>
      </w:r>
      <w:r w:rsidRPr="00381920" w:rsidR="002C4CC3">
        <w:t>Reply</w:t>
      </w:r>
      <w:r w:rsidR="002C4CC3">
        <w:t>).</w:t>
      </w:r>
    </w:p>
  </w:footnote>
  <w:footnote w:id="6">
    <w:p w:rsidR="0029463E" w:rsidP="005732CE" w14:paraId="3F651C4A" w14:textId="77777777">
      <w:pPr>
        <w:pStyle w:val="FootnoteText"/>
        <w:widowControl w:val="0"/>
      </w:pPr>
      <w:r>
        <w:rPr>
          <w:rStyle w:val="FootnoteReference"/>
        </w:rPr>
        <w:footnoteRef/>
      </w:r>
      <w:r>
        <w:t xml:space="preserve"> </w:t>
      </w:r>
      <w:r w:rsidRPr="006C174C">
        <w:rPr>
          <w:i/>
        </w:rPr>
        <w:t>KAXT, LLC (Assignor) and OTA Broadcasting (SFO), LLC (Assignee) for Consent to Assign the License of Station KAXT-CD, San Francisco-San Jose, California</w:t>
      </w:r>
      <w:r w:rsidRPr="006C174C">
        <w:t>, Memorandum Opinion and Order,</w:t>
      </w:r>
      <w:r>
        <w:t xml:space="preserve"> 32 FCC Rcd 9638 (2017) (</w:t>
      </w:r>
      <w:r w:rsidRPr="0084366F">
        <w:rPr>
          <w:i/>
        </w:rPr>
        <w:t>2017</w:t>
      </w:r>
      <w:r>
        <w:t xml:space="preserve"> </w:t>
      </w:r>
      <w:r w:rsidRPr="006C174C">
        <w:rPr>
          <w:i/>
        </w:rPr>
        <w:t>Commission MO&amp;O</w:t>
      </w:r>
      <w:r>
        <w:t>)</w:t>
      </w:r>
      <w:r w:rsidR="00EE4E24">
        <w:t>.</w:t>
      </w:r>
    </w:p>
  </w:footnote>
  <w:footnote w:id="7">
    <w:p w:rsidR="005579E0" w:rsidRPr="005579E0" w:rsidP="005732CE" w14:paraId="24FB0B0A" w14:textId="77777777">
      <w:pPr>
        <w:pStyle w:val="FootnoteText"/>
        <w:widowControl w:val="0"/>
      </w:pPr>
      <w:r>
        <w:rPr>
          <w:rStyle w:val="FootnoteReference"/>
        </w:rPr>
        <w:footnoteRef/>
      </w:r>
      <w:r>
        <w:t xml:space="preserve"> </w:t>
      </w:r>
      <w:r>
        <w:rPr>
          <w:i/>
        </w:rPr>
        <w:t>See id</w:t>
      </w:r>
      <w:r>
        <w:t>. at 9639-9642, paras. 2-9 (recounting prior decisions and underlying facts).</w:t>
      </w:r>
    </w:p>
  </w:footnote>
  <w:footnote w:id="8">
    <w:p w:rsidR="003E6AA8" w:rsidRPr="00CD0A76" w:rsidP="005732CE" w14:paraId="4DE35566" w14:textId="77777777">
      <w:pPr>
        <w:pStyle w:val="FootnoteText"/>
        <w:widowControl w:val="0"/>
      </w:pPr>
      <w:r>
        <w:rPr>
          <w:rStyle w:val="FootnoteReference"/>
        </w:rPr>
        <w:footnoteRef/>
      </w:r>
      <w:r>
        <w:t xml:space="preserve"> </w:t>
      </w:r>
      <w:r>
        <w:rPr>
          <w:i/>
        </w:rPr>
        <w:t>KAXT, LLC (Assignor</w:t>
      </w:r>
      <w:r w:rsidR="00722EC2">
        <w:rPr>
          <w:i/>
        </w:rPr>
        <w:t>)</w:t>
      </w:r>
      <w:r>
        <w:rPr>
          <w:i/>
        </w:rPr>
        <w:t xml:space="preserve"> and OTA Broadcasting (SFO), LLC (Assignee) for Consent to Assign the License of Station KAXT-CD, San Francisco-San Jose, California</w:t>
      </w:r>
      <w:r>
        <w:t>, Memorandum Opinion and Order, 29 FCC Rcd 8266 (</w:t>
      </w:r>
      <w:r w:rsidR="00C07AD5">
        <w:t xml:space="preserve">MB </w:t>
      </w:r>
      <w:r>
        <w:t>2014).</w:t>
      </w:r>
      <w:r w:rsidR="00282317">
        <w:t xml:space="preserve">  Those seeking additional background can consult recent decisions in this proceeding.</w:t>
      </w:r>
      <w:r w:rsidR="007C0F82">
        <w:t xml:space="preserve"> </w:t>
      </w:r>
      <w:r w:rsidR="00282317">
        <w:t xml:space="preserve"> </w:t>
      </w:r>
      <w:r w:rsidR="00282317">
        <w:rPr>
          <w:i/>
        </w:rPr>
        <w:t xml:space="preserve">See generally </w:t>
      </w:r>
      <w:r w:rsidRPr="006C174C" w:rsidR="00282317">
        <w:rPr>
          <w:i/>
        </w:rPr>
        <w:t>201</w:t>
      </w:r>
      <w:r w:rsidR="00282317">
        <w:rPr>
          <w:i/>
        </w:rPr>
        <w:t>8</w:t>
      </w:r>
      <w:r w:rsidRPr="006C174C" w:rsidR="00282317">
        <w:rPr>
          <w:i/>
        </w:rPr>
        <w:t xml:space="preserve"> Division MO&amp;O</w:t>
      </w:r>
      <w:r w:rsidR="00282317">
        <w:t xml:space="preserve">, 33 FCC Rcd 8760; </w:t>
      </w:r>
      <w:r w:rsidRPr="0084366F" w:rsidR="00282317">
        <w:rPr>
          <w:i/>
        </w:rPr>
        <w:t>2017</w:t>
      </w:r>
      <w:r w:rsidR="00282317">
        <w:t xml:space="preserve"> </w:t>
      </w:r>
      <w:r w:rsidRPr="006C174C" w:rsidR="00282317">
        <w:rPr>
          <w:i/>
        </w:rPr>
        <w:t>Commission MO&amp;O</w:t>
      </w:r>
      <w:r w:rsidR="00282317">
        <w:t>, 32 FCC Rcd 9638.</w:t>
      </w:r>
    </w:p>
  </w:footnote>
  <w:footnote w:id="9">
    <w:p w:rsidR="00D435DE" w:rsidP="005732CE" w14:paraId="255010EF" w14:textId="77777777">
      <w:pPr>
        <w:pStyle w:val="FootnoteText"/>
        <w:widowControl w:val="0"/>
      </w:pPr>
      <w:r>
        <w:rPr>
          <w:rStyle w:val="FootnoteReference"/>
        </w:rPr>
        <w:footnoteRef/>
      </w:r>
      <w:r>
        <w:t xml:space="preserve"> </w:t>
      </w:r>
      <w:r w:rsidR="007A48A3">
        <w:rPr>
          <w:i/>
        </w:rPr>
        <w:t xml:space="preserve">See </w:t>
      </w:r>
      <w:r w:rsidRPr="009B10E1" w:rsidR="007A48A3">
        <w:rPr>
          <w:i/>
        </w:rPr>
        <w:t>KAXT, LLC (Assignor) and OTA Broadcasting (SFO), LLC (Assignee) for Consent to Assign the License of Station KAXT-CD, San Francisco-San Jose, California</w:t>
      </w:r>
      <w:r w:rsidRPr="009B10E1" w:rsidR="007A48A3">
        <w:t>, Memorandum Opinion and Order, 30 FCC Rcd 2691</w:t>
      </w:r>
      <w:r w:rsidR="00BE2A55">
        <w:t>, 2691, para. 1</w:t>
      </w:r>
      <w:r w:rsidRPr="009B10E1" w:rsidR="007A48A3">
        <w:t xml:space="preserve"> (</w:t>
      </w:r>
      <w:r w:rsidR="00C07AD5">
        <w:t>MB</w:t>
      </w:r>
      <w:r w:rsidRPr="009B10E1" w:rsidR="00C07AD5">
        <w:t xml:space="preserve"> </w:t>
      </w:r>
      <w:r w:rsidRPr="009B10E1" w:rsidR="007A48A3">
        <w:t>2015)</w:t>
      </w:r>
      <w:r w:rsidR="007A48A3">
        <w:t>.</w:t>
      </w:r>
    </w:p>
  </w:footnote>
  <w:footnote w:id="10">
    <w:p w:rsidR="003E6AA8" w:rsidRPr="004A6E57" w:rsidP="005732CE" w14:paraId="0BA6635D" w14:textId="77777777">
      <w:pPr>
        <w:pStyle w:val="FootnoteText"/>
        <w:widowControl w:val="0"/>
      </w:pPr>
      <w:r>
        <w:rPr>
          <w:rStyle w:val="FootnoteReference"/>
        </w:rPr>
        <w:footnoteRef/>
      </w:r>
      <w:r>
        <w:t xml:space="preserve"> </w:t>
      </w:r>
      <w:r>
        <w:rPr>
          <w:i/>
        </w:rPr>
        <w:t xml:space="preserve">Investigation into the Political File Practices of OTA Broadcasting (SFO), LLC, </w:t>
      </w:r>
      <w:r>
        <w:t xml:space="preserve">Order and Consent Decree, </w:t>
      </w:r>
      <w:bookmarkStart w:id="2" w:name="_Hlk18663998"/>
      <w:r>
        <w:t>32 FCC Rcd 795 (MB 2017) (</w:t>
      </w:r>
      <w:r w:rsidRPr="00884E1B">
        <w:rPr>
          <w:i/>
        </w:rPr>
        <w:t>2017 Consent Decree</w:t>
      </w:r>
      <w:r>
        <w:t>)</w:t>
      </w:r>
      <w:bookmarkEnd w:id="2"/>
      <w:r>
        <w:t xml:space="preserve">. </w:t>
      </w:r>
    </w:p>
  </w:footnote>
  <w:footnote w:id="11">
    <w:p w:rsidR="003E6AA8" w:rsidRPr="0016780D" w:rsidP="005732CE" w14:paraId="093EA5A7" w14:textId="77777777">
      <w:pPr>
        <w:pStyle w:val="FootnoteText"/>
        <w:widowControl w:val="0"/>
      </w:pPr>
      <w:r>
        <w:rPr>
          <w:rStyle w:val="FootnoteReference"/>
        </w:rPr>
        <w:footnoteRef/>
      </w:r>
      <w:r>
        <w:t xml:space="preserve"> </w:t>
      </w:r>
      <w:r>
        <w:rPr>
          <w:i/>
        </w:rPr>
        <w:t>Id</w:t>
      </w:r>
      <w:r>
        <w:t xml:space="preserve">. at </w:t>
      </w:r>
      <w:r w:rsidR="005D0789">
        <w:t xml:space="preserve">795, </w:t>
      </w:r>
      <w:r>
        <w:t>para. 2.</w:t>
      </w:r>
    </w:p>
  </w:footnote>
  <w:footnote w:id="12">
    <w:p w:rsidR="005D0789" w:rsidP="005732CE" w14:paraId="4365BA5B" w14:textId="77777777">
      <w:pPr>
        <w:pStyle w:val="FootnoteText"/>
        <w:widowControl w:val="0"/>
      </w:pPr>
      <w:r>
        <w:rPr>
          <w:rStyle w:val="FootnoteReference"/>
        </w:rPr>
        <w:footnoteRef/>
      </w:r>
      <w:r>
        <w:t xml:space="preserve"> </w:t>
      </w:r>
      <w:r>
        <w:rPr>
          <w:i/>
        </w:rPr>
        <w:t>Id</w:t>
      </w:r>
      <w:r>
        <w:t xml:space="preserve">. </w:t>
      </w:r>
      <w:bookmarkStart w:id="3" w:name="_Hlk18664022"/>
      <w:r>
        <w:t>at 799-800, paras. 10-11</w:t>
      </w:r>
      <w:bookmarkEnd w:id="3"/>
      <w:r>
        <w:t>.</w:t>
      </w:r>
    </w:p>
  </w:footnote>
  <w:footnote w:id="13">
    <w:p w:rsidR="001A2970" w:rsidP="005732CE" w14:paraId="30AB01DD" w14:textId="77777777">
      <w:pPr>
        <w:pStyle w:val="FootnoteText"/>
        <w:widowControl w:val="0"/>
      </w:pPr>
      <w:r>
        <w:rPr>
          <w:rStyle w:val="FootnoteReference"/>
        </w:rPr>
        <w:footnoteRef/>
      </w:r>
      <w:r>
        <w:t xml:space="preserve"> </w:t>
      </w:r>
      <w:r w:rsidR="002C4CC3">
        <w:t xml:space="preserve">2017 Recon Petition at </w:t>
      </w:r>
      <w:r w:rsidR="00B314F1">
        <w:t>7-10</w:t>
      </w:r>
      <w:r w:rsidR="00BD1BFC">
        <w:t>, Exhibit A</w:t>
      </w:r>
      <w:r w:rsidR="006447FB">
        <w:t xml:space="preserve">; </w:t>
      </w:r>
      <w:r w:rsidR="006447FB">
        <w:rPr>
          <w:i/>
        </w:rPr>
        <w:t>see also id</w:t>
      </w:r>
      <w:r w:rsidR="006447FB">
        <w:t>. at 3 (</w:t>
      </w:r>
      <w:r w:rsidR="008E1533">
        <w:t>noting that the evidence was previously submitted to the Commission on July 12, 2017, in the Incentive Auction context and referenced in this proceeding on July 21, 2017, in a “Statement for the Record”)</w:t>
      </w:r>
      <w:r w:rsidR="00B314F1">
        <w:t>.</w:t>
      </w:r>
    </w:p>
  </w:footnote>
  <w:footnote w:id="14">
    <w:p w:rsidR="001A2970" w:rsidP="005732CE" w14:paraId="2B7335BB" w14:textId="77777777">
      <w:pPr>
        <w:pStyle w:val="FootnoteText"/>
        <w:widowControl w:val="0"/>
      </w:pPr>
      <w:r>
        <w:rPr>
          <w:rStyle w:val="FootnoteReference"/>
        </w:rPr>
        <w:footnoteRef/>
      </w:r>
      <w:r>
        <w:t xml:space="preserve"> </w:t>
      </w:r>
      <w:r w:rsidR="002C4CC3">
        <w:rPr>
          <w:i/>
        </w:rPr>
        <w:t xml:space="preserve">Id. </w:t>
      </w:r>
      <w:r w:rsidR="002C4CC3">
        <w:t xml:space="preserve">at </w:t>
      </w:r>
      <w:r>
        <w:t>10</w:t>
      </w:r>
      <w:r w:rsidR="00355A61">
        <w:t>.</w:t>
      </w:r>
    </w:p>
  </w:footnote>
  <w:footnote w:id="15">
    <w:p w:rsidR="000B2550" w:rsidRPr="00AD1472" w:rsidP="005732CE" w14:paraId="7DE1147B" w14:textId="77777777">
      <w:pPr>
        <w:pStyle w:val="FootnoteText"/>
        <w:widowControl w:val="0"/>
      </w:pPr>
      <w:r>
        <w:rPr>
          <w:rStyle w:val="FootnoteReference"/>
        </w:rPr>
        <w:footnoteRef/>
      </w:r>
      <w:r>
        <w:t xml:space="preserve"> </w:t>
      </w:r>
      <w:r w:rsidR="00AD1472">
        <w:rPr>
          <w:i/>
        </w:rPr>
        <w:t xml:space="preserve">See generally </w:t>
      </w:r>
      <w:r w:rsidR="00AD1472">
        <w:t>2017 Recon Opposition.</w:t>
      </w:r>
    </w:p>
  </w:footnote>
  <w:footnote w:id="16">
    <w:p w:rsidR="000B2550" w:rsidP="005732CE" w14:paraId="3EDBB2D0" w14:textId="77777777">
      <w:pPr>
        <w:pStyle w:val="FootnoteText"/>
        <w:widowControl w:val="0"/>
      </w:pPr>
      <w:r>
        <w:rPr>
          <w:rStyle w:val="FootnoteReference"/>
        </w:rPr>
        <w:footnoteRef/>
      </w:r>
      <w:r>
        <w:t xml:space="preserve"> </w:t>
      </w:r>
      <w:r w:rsidR="00AD1472">
        <w:rPr>
          <w:i/>
        </w:rPr>
        <w:t xml:space="preserve">See generally </w:t>
      </w:r>
      <w:r w:rsidR="00AD1472">
        <w:t>2017 Recon Reply.</w:t>
      </w:r>
    </w:p>
  </w:footnote>
  <w:footnote w:id="17">
    <w:p w:rsidR="00DB44DA" w:rsidRPr="00DB44DA" w:rsidP="005732CE" w14:paraId="0D67A06B" w14:textId="77777777">
      <w:pPr>
        <w:pStyle w:val="FootnoteText"/>
        <w:widowControl w:val="0"/>
      </w:pPr>
      <w:r>
        <w:rPr>
          <w:rStyle w:val="FootnoteReference"/>
        </w:rPr>
        <w:footnoteRef/>
      </w:r>
      <w:r>
        <w:t xml:space="preserve"> </w:t>
      </w:r>
      <w:r>
        <w:rPr>
          <w:i/>
        </w:rPr>
        <w:t xml:space="preserve">See generally </w:t>
      </w:r>
      <w:r w:rsidRPr="006C174C">
        <w:rPr>
          <w:i/>
        </w:rPr>
        <w:t>201</w:t>
      </w:r>
      <w:r>
        <w:rPr>
          <w:i/>
        </w:rPr>
        <w:t>8</w:t>
      </w:r>
      <w:r w:rsidRPr="006C174C">
        <w:rPr>
          <w:i/>
        </w:rPr>
        <w:t xml:space="preserve"> Division MO&amp;O</w:t>
      </w:r>
      <w:r>
        <w:t>, 33 FCC Rcd 8760.</w:t>
      </w:r>
    </w:p>
  </w:footnote>
  <w:footnote w:id="18">
    <w:p w:rsidR="009C4016" w:rsidP="005732CE" w14:paraId="5B81EDF4" w14:textId="77777777">
      <w:pPr>
        <w:pStyle w:val="FootnoteText"/>
        <w:widowControl w:val="0"/>
      </w:pPr>
      <w:r>
        <w:rPr>
          <w:rStyle w:val="FootnoteReference"/>
        </w:rPr>
        <w:footnoteRef/>
      </w:r>
      <w:r>
        <w:t xml:space="preserve"> </w:t>
      </w:r>
      <w:r w:rsidR="002A5006">
        <w:t>2018 AFR at 10.</w:t>
      </w:r>
    </w:p>
  </w:footnote>
  <w:footnote w:id="19">
    <w:p w:rsidR="00071C9E" w:rsidP="005732CE" w14:paraId="2292959D" w14:textId="77777777">
      <w:pPr>
        <w:pStyle w:val="FootnoteText"/>
        <w:widowControl w:val="0"/>
      </w:pPr>
      <w:r>
        <w:rPr>
          <w:rStyle w:val="FootnoteReference"/>
        </w:rPr>
        <w:footnoteRef/>
      </w:r>
      <w:r>
        <w:t xml:space="preserve"> </w:t>
      </w:r>
      <w:r w:rsidR="00793C8B">
        <w:rPr>
          <w:i/>
        </w:rPr>
        <w:t>Id</w:t>
      </w:r>
      <w:r w:rsidR="00793C8B">
        <w:t xml:space="preserve">. </w:t>
      </w:r>
      <w:r>
        <w:t>at 4-7,</w:t>
      </w:r>
    </w:p>
  </w:footnote>
  <w:footnote w:id="20">
    <w:p w:rsidR="00793C8B" w:rsidRPr="00793C8B" w:rsidP="005732CE" w14:paraId="6C82780E" w14:textId="77777777">
      <w:pPr>
        <w:pStyle w:val="FootnoteText"/>
        <w:widowControl w:val="0"/>
      </w:pPr>
      <w:r>
        <w:rPr>
          <w:rStyle w:val="FootnoteReference"/>
        </w:rPr>
        <w:footnoteRef/>
      </w:r>
      <w:r>
        <w:t xml:space="preserve"> </w:t>
      </w:r>
      <w:r>
        <w:rPr>
          <w:i/>
        </w:rPr>
        <w:t>Id</w:t>
      </w:r>
      <w:r>
        <w:t xml:space="preserve">. at 7-8 (citing </w:t>
      </w:r>
      <w:r w:rsidRPr="006C174C">
        <w:rPr>
          <w:i/>
        </w:rPr>
        <w:t>201</w:t>
      </w:r>
      <w:r>
        <w:rPr>
          <w:i/>
        </w:rPr>
        <w:t>8</w:t>
      </w:r>
      <w:r w:rsidRPr="006C174C">
        <w:rPr>
          <w:i/>
        </w:rPr>
        <w:t xml:space="preserve"> Division MO&amp;O</w:t>
      </w:r>
      <w:r>
        <w:t>, 33 FCC Rcd at 8763, para. 8 n.26).</w:t>
      </w:r>
    </w:p>
  </w:footnote>
  <w:footnote w:id="21">
    <w:p w:rsidR="00793C8B" w:rsidRPr="00793C8B" w:rsidP="005732CE" w14:paraId="6444B0FD" w14:textId="77777777">
      <w:pPr>
        <w:pStyle w:val="FootnoteText"/>
        <w:widowControl w:val="0"/>
      </w:pPr>
      <w:r>
        <w:rPr>
          <w:rStyle w:val="FootnoteReference"/>
        </w:rPr>
        <w:footnoteRef/>
      </w:r>
      <w:r>
        <w:t xml:space="preserve"> </w:t>
      </w:r>
      <w:r>
        <w:rPr>
          <w:i/>
        </w:rPr>
        <w:t>Id</w:t>
      </w:r>
      <w:r>
        <w:t xml:space="preserve">. at 8-9 (citing </w:t>
      </w:r>
      <w:r w:rsidRPr="006C174C">
        <w:rPr>
          <w:i/>
        </w:rPr>
        <w:t>201</w:t>
      </w:r>
      <w:r>
        <w:rPr>
          <w:i/>
        </w:rPr>
        <w:t>8</w:t>
      </w:r>
      <w:r w:rsidRPr="006C174C">
        <w:rPr>
          <w:i/>
        </w:rPr>
        <w:t xml:space="preserve"> Division MO&amp;O</w:t>
      </w:r>
      <w:r>
        <w:t>, 33 FCC Rcd at 8764, para. 9 n.32).</w:t>
      </w:r>
    </w:p>
  </w:footnote>
  <w:footnote w:id="22">
    <w:p w:rsidR="002A5006" w:rsidRPr="003C7AB4" w:rsidP="005732CE" w14:paraId="3A46B626" w14:textId="755D318B">
      <w:pPr>
        <w:pStyle w:val="FootnoteText"/>
        <w:widowControl w:val="0"/>
      </w:pPr>
      <w:r>
        <w:rPr>
          <w:rStyle w:val="FootnoteReference"/>
        </w:rPr>
        <w:footnoteRef/>
      </w:r>
      <w:r>
        <w:t xml:space="preserve"> </w:t>
      </w:r>
      <w:r>
        <w:rPr>
          <w:i/>
        </w:rPr>
        <w:t>Id</w:t>
      </w:r>
      <w:r>
        <w:t xml:space="preserve">.  We note, however, that OTA is not currently the licensee of KAXT.  The </w:t>
      </w:r>
      <w:r w:rsidR="00995FDB">
        <w:t>Bureau</w:t>
      </w:r>
      <w:r w:rsidR="00DD33C8">
        <w:t xml:space="preserve"> recently</w:t>
      </w:r>
      <w:r>
        <w:t xml:space="preserve"> approved the assignment of the station from OTA to </w:t>
      </w:r>
      <w:r>
        <w:rPr>
          <w:color w:val="000000"/>
          <w:szCs w:val="22"/>
        </w:rPr>
        <w:t>TV-49, Inc.</w:t>
      </w:r>
      <w:r w:rsidR="00F651C7">
        <w:rPr>
          <w:color w:val="000000"/>
          <w:szCs w:val="22"/>
        </w:rPr>
        <w:t xml:space="preserve"> (TV-49)</w:t>
      </w:r>
      <w:r>
        <w:rPr>
          <w:color w:val="000000"/>
          <w:szCs w:val="22"/>
        </w:rPr>
        <w:t xml:space="preserve">—again over the Kapurs’ objection.  </w:t>
      </w:r>
      <w:r>
        <w:rPr>
          <w:i/>
          <w:color w:val="000000"/>
          <w:szCs w:val="22"/>
        </w:rPr>
        <w:t xml:space="preserve">See </w:t>
      </w:r>
      <w:r w:rsidRPr="00021E3D">
        <w:rPr>
          <w:i/>
        </w:rPr>
        <w:t>OTA Broadcasting (SFO), LLC (Assign</w:t>
      </w:r>
      <w:r>
        <w:rPr>
          <w:i/>
        </w:rPr>
        <w:t>or</w:t>
      </w:r>
      <w:r w:rsidRPr="00021E3D">
        <w:rPr>
          <w:i/>
        </w:rPr>
        <w:t xml:space="preserve">) </w:t>
      </w:r>
      <w:r>
        <w:rPr>
          <w:i/>
        </w:rPr>
        <w:t xml:space="preserve">and TV-49, Inc. (Assignee), Application </w:t>
      </w:r>
      <w:r w:rsidRPr="00021E3D">
        <w:rPr>
          <w:i/>
        </w:rPr>
        <w:t>for Consent to Assign the License of Station KAXT-CD, San Francisco-San Jose, C</w:t>
      </w:r>
      <w:r>
        <w:rPr>
          <w:i/>
        </w:rPr>
        <w:t>A, Application for Consent to Assignment of Station KTLN-TV, Novato, CA</w:t>
      </w:r>
      <w:r w:rsidRPr="00021E3D">
        <w:t>, Memorandum Opinion and Order,</w:t>
      </w:r>
      <w:r>
        <w:t xml:space="preserve"> 33 FCC Rcd 8765 (</w:t>
      </w:r>
      <w:r w:rsidR="002B621F">
        <w:t xml:space="preserve">MB </w:t>
      </w:r>
      <w:r>
        <w:t>2018)</w:t>
      </w:r>
      <w:r w:rsidR="00355A61">
        <w:t>.</w:t>
      </w:r>
      <w:r w:rsidR="002B621F">
        <w:t xml:space="preserve">  We affirm the Bureau’s decision today concurrent with our denial here of the Kapurs’ 2018 AFR.  </w:t>
      </w:r>
      <w:r w:rsidR="002B621F">
        <w:rPr>
          <w:i/>
        </w:rPr>
        <w:t xml:space="preserve">See </w:t>
      </w:r>
      <w:r w:rsidRPr="00021E3D" w:rsidR="002B621F">
        <w:rPr>
          <w:i/>
        </w:rPr>
        <w:t>OTA Broadcasting (SFO), LLC (Assign</w:t>
      </w:r>
      <w:r w:rsidR="002B621F">
        <w:rPr>
          <w:i/>
        </w:rPr>
        <w:t>or</w:t>
      </w:r>
      <w:r w:rsidRPr="00021E3D" w:rsidR="002B621F">
        <w:rPr>
          <w:i/>
        </w:rPr>
        <w:t xml:space="preserve">) </w:t>
      </w:r>
      <w:r w:rsidR="002B621F">
        <w:rPr>
          <w:i/>
        </w:rPr>
        <w:t>and TV-49, Inc. (</w:t>
      </w:r>
      <w:r w:rsidRPr="003C7AB4" w:rsidR="002B621F">
        <w:rPr>
          <w:i/>
        </w:rPr>
        <w:t>Assignee), Application for Consent to Assign the License of Station KAXT-CD, San Francisco-San Jose, CA, Application for Consent to Assignment of Station KTLN-TV, Novato, CA</w:t>
      </w:r>
      <w:r w:rsidRPr="003C7AB4" w:rsidR="002B621F">
        <w:t xml:space="preserve">, Memorandum Opinion and Order, FCC </w:t>
      </w:r>
      <w:r w:rsidRPr="003C7AB4" w:rsidR="003C7AB4">
        <w:t>20-</w:t>
      </w:r>
      <w:r w:rsidR="003C7AB4">
        <w:t>1</w:t>
      </w:r>
      <w:r w:rsidRPr="005732CE" w:rsidR="002B621F">
        <w:t xml:space="preserve"> (rel. </w:t>
      </w:r>
      <w:r w:rsidRPr="003C7AB4" w:rsidR="003C7AB4">
        <w:t>Jan. 2</w:t>
      </w:r>
      <w:r w:rsidR="00D92FB7">
        <w:t>2</w:t>
      </w:r>
      <w:r w:rsidRPr="003C7AB4" w:rsidR="003C7AB4">
        <w:t>, 2020</w:t>
      </w:r>
      <w:r w:rsidRPr="005732CE" w:rsidR="002B621F">
        <w:t>).</w:t>
      </w:r>
      <w:r w:rsidRPr="003C7AB4" w:rsidR="00355A61">
        <w:t xml:space="preserve">  OTA and TV-49 consummated the transaction on April 17, 2019.</w:t>
      </w:r>
      <w:r w:rsidRPr="003C7AB4">
        <w:t xml:space="preserve"> </w:t>
      </w:r>
      <w:r w:rsidRPr="003C7AB4">
        <w:rPr>
          <w:i/>
          <w:color w:val="000000"/>
          <w:szCs w:val="22"/>
        </w:rPr>
        <w:t xml:space="preserve"> </w:t>
      </w:r>
    </w:p>
  </w:footnote>
  <w:footnote w:id="23">
    <w:p w:rsidR="001D6219" w:rsidRPr="001D6219" w:rsidP="005732CE" w14:paraId="45C69A49" w14:textId="77777777">
      <w:pPr>
        <w:pStyle w:val="FootnoteText"/>
        <w:widowControl w:val="0"/>
      </w:pPr>
      <w:r w:rsidRPr="003C7AB4">
        <w:rPr>
          <w:rStyle w:val="FootnoteReference"/>
        </w:rPr>
        <w:footnoteRef/>
      </w:r>
      <w:r w:rsidRPr="003C7AB4">
        <w:t xml:space="preserve"> </w:t>
      </w:r>
      <w:r w:rsidRPr="003C7AB4" w:rsidR="000B2550">
        <w:t>2018</w:t>
      </w:r>
      <w:r w:rsidRPr="003C7AB4" w:rsidR="00D86AD4">
        <w:t xml:space="preserve"> </w:t>
      </w:r>
      <w:r w:rsidRPr="003C7AB4" w:rsidR="000B2550">
        <w:t>AFR</w:t>
      </w:r>
      <w:r w:rsidRPr="003C7AB4" w:rsidR="00D86AD4">
        <w:t xml:space="preserve"> Opposition at </w:t>
      </w:r>
      <w:r w:rsidRPr="003C7AB4">
        <w:t>5-12.  OTA also raises a procedural objection to the 2018 AFR</w:t>
      </w:r>
      <w:r w:rsidRPr="003C7AB4" w:rsidR="008303CA">
        <w:t xml:space="preserve">, asserting that the Kapurs could have sought judicial review of the </w:t>
      </w:r>
      <w:r w:rsidRPr="003C7AB4" w:rsidR="008303CA">
        <w:rPr>
          <w:i/>
        </w:rPr>
        <w:t>2017</w:t>
      </w:r>
      <w:r w:rsidRPr="003C7AB4" w:rsidR="008303CA">
        <w:t xml:space="preserve"> </w:t>
      </w:r>
      <w:r w:rsidRPr="003C7AB4" w:rsidR="008303CA">
        <w:rPr>
          <w:i/>
        </w:rPr>
        <w:t>Commission</w:t>
      </w:r>
      <w:r w:rsidRPr="006C174C" w:rsidR="008303CA">
        <w:rPr>
          <w:i/>
        </w:rPr>
        <w:t xml:space="preserve"> MO&amp;O</w:t>
      </w:r>
      <w:r w:rsidR="008303CA">
        <w:t xml:space="preserve"> or supplemented their initial Application for Review to include the “new” evidence</w:t>
      </w:r>
      <w:r>
        <w:t xml:space="preserve">.  </w:t>
      </w:r>
      <w:r>
        <w:rPr>
          <w:i/>
        </w:rPr>
        <w:t>Id</w:t>
      </w:r>
      <w:r>
        <w:t xml:space="preserve">. at </w:t>
      </w:r>
      <w:r w:rsidR="00DB44DA">
        <w:t>4-5</w:t>
      </w:r>
      <w:r w:rsidR="00247A8B">
        <w:t xml:space="preserve">; </w:t>
      </w:r>
      <w:r w:rsidR="00247A8B">
        <w:rPr>
          <w:i/>
        </w:rPr>
        <w:t xml:space="preserve">see also </w:t>
      </w:r>
      <w:r w:rsidR="00D86AD4">
        <w:t>2018 Recon Reply at</w:t>
      </w:r>
      <w:r w:rsidR="00D86AD4">
        <w:rPr>
          <w:i/>
        </w:rPr>
        <w:t xml:space="preserve"> </w:t>
      </w:r>
      <w:r w:rsidR="00247A8B">
        <w:t>3-9</w:t>
      </w:r>
      <w:r w:rsidR="00D86AD4">
        <w:t xml:space="preserve"> (</w:t>
      </w:r>
      <w:r w:rsidR="000B10D6">
        <w:t>rejecting OTA’s procedural argument)</w:t>
      </w:r>
      <w:r w:rsidR="00DB44DA">
        <w:t>.</w:t>
      </w:r>
      <w:r w:rsidR="008303CA">
        <w:t xml:space="preserve">  We decline to address this issue, as it now moot.  </w:t>
      </w:r>
    </w:p>
  </w:footnote>
  <w:footnote w:id="24">
    <w:p w:rsidR="00247A8B" w:rsidP="005732CE" w14:paraId="6F19AB1F" w14:textId="77777777">
      <w:pPr>
        <w:pStyle w:val="FootnoteText"/>
        <w:widowControl w:val="0"/>
      </w:pPr>
      <w:r>
        <w:rPr>
          <w:rStyle w:val="FootnoteReference"/>
        </w:rPr>
        <w:footnoteRef/>
      </w:r>
      <w:r>
        <w:t xml:space="preserve"> </w:t>
      </w:r>
      <w:r w:rsidR="00D86AD4">
        <w:t>201</w:t>
      </w:r>
      <w:r w:rsidR="000B2550">
        <w:t>8 AFR</w:t>
      </w:r>
      <w:r w:rsidR="00D86AD4">
        <w:t xml:space="preserve"> Reply at </w:t>
      </w:r>
      <w:r>
        <w:t>2-10.</w:t>
      </w:r>
    </w:p>
  </w:footnote>
  <w:footnote w:id="25">
    <w:p w:rsidR="00356AFE" w:rsidP="005732CE" w14:paraId="46C6C4D7" w14:textId="77777777">
      <w:pPr>
        <w:pStyle w:val="FootnoteText"/>
        <w:widowControl w:val="0"/>
      </w:pPr>
      <w:r>
        <w:rPr>
          <w:rStyle w:val="FootnoteReference"/>
        </w:rPr>
        <w:footnoteRef/>
      </w:r>
      <w:r>
        <w:t xml:space="preserve"> </w:t>
      </w:r>
      <w:r w:rsidRPr="006C174C">
        <w:rPr>
          <w:i/>
        </w:rPr>
        <w:t>201</w:t>
      </w:r>
      <w:r>
        <w:rPr>
          <w:i/>
        </w:rPr>
        <w:t>8</w:t>
      </w:r>
      <w:r w:rsidRPr="006C174C">
        <w:rPr>
          <w:i/>
        </w:rPr>
        <w:t xml:space="preserve"> Division MO&amp;O</w:t>
      </w:r>
      <w:r>
        <w:t>, 33 FCC Rcd at 8761, para. 2 (citing 2017 Recon Petition at 3-12) (further citations omitted)</w:t>
      </w:r>
      <w:r w:rsidR="00E21044">
        <w:t xml:space="preserve">; </w:t>
      </w:r>
      <w:r w:rsidR="00376082">
        <w:t>2018 AFR at 3 n.7 and 7-8</w:t>
      </w:r>
      <w:r>
        <w:t>.</w:t>
      </w:r>
    </w:p>
  </w:footnote>
  <w:footnote w:id="26">
    <w:p w:rsidR="0029463E" w:rsidRPr="005E7D0B" w:rsidP="003C7AB4" w14:paraId="527A3A41" w14:textId="77777777">
      <w:pPr>
        <w:pStyle w:val="ListParagraph"/>
        <w:autoSpaceDE w:val="0"/>
        <w:autoSpaceDN w:val="0"/>
        <w:adjustRightInd w:val="0"/>
        <w:spacing w:after="120"/>
        <w:ind w:left="0"/>
      </w:pPr>
      <w:r w:rsidRPr="00996BD1">
        <w:rPr>
          <w:rStyle w:val="FootnoteReference"/>
        </w:rPr>
        <w:footnoteRef/>
      </w:r>
      <w:r w:rsidRPr="00996BD1">
        <w:rPr>
          <w:sz w:val="20"/>
        </w:rPr>
        <w:t xml:space="preserve"> </w:t>
      </w:r>
      <w:r w:rsidRPr="00996BD1">
        <w:rPr>
          <w:i/>
          <w:sz w:val="20"/>
        </w:rPr>
        <w:t>2018 Division MO&amp;O</w:t>
      </w:r>
      <w:r w:rsidRPr="00996BD1">
        <w:rPr>
          <w:sz w:val="20"/>
        </w:rPr>
        <w:t xml:space="preserve">, 33 FCC Rcd at 8762-63, para. </w:t>
      </w:r>
      <w:r w:rsidRPr="00216DF2">
        <w:rPr>
          <w:sz w:val="20"/>
        </w:rPr>
        <w:t>8</w:t>
      </w:r>
      <w:r w:rsidRPr="00216DF2" w:rsidR="00216DF2">
        <w:rPr>
          <w:sz w:val="20"/>
        </w:rPr>
        <w:t xml:space="preserve">; </w:t>
      </w:r>
      <w:r w:rsidRPr="00216DF2" w:rsidR="00216DF2">
        <w:rPr>
          <w:i/>
          <w:sz w:val="20"/>
        </w:rPr>
        <w:t>2017</w:t>
      </w:r>
      <w:r w:rsidRPr="00216DF2" w:rsidR="00216DF2">
        <w:rPr>
          <w:sz w:val="20"/>
        </w:rPr>
        <w:t xml:space="preserve"> </w:t>
      </w:r>
      <w:r w:rsidRPr="00216DF2" w:rsidR="00216DF2">
        <w:rPr>
          <w:i/>
          <w:sz w:val="20"/>
        </w:rPr>
        <w:t>Commission MO&amp;O</w:t>
      </w:r>
      <w:r w:rsidRPr="00216DF2" w:rsidR="00216DF2">
        <w:rPr>
          <w:sz w:val="20"/>
        </w:rPr>
        <w:t xml:space="preserve">, 32 FCC Rcd </w:t>
      </w:r>
      <w:r w:rsidR="00216DF2">
        <w:rPr>
          <w:sz w:val="20"/>
        </w:rPr>
        <w:t>at 9644-48, paras. 14-20</w:t>
      </w:r>
      <w:r w:rsidRPr="00996BD1">
        <w:rPr>
          <w:sz w:val="20"/>
        </w:rPr>
        <w:t xml:space="preserve">.  </w:t>
      </w:r>
      <w:r w:rsidRPr="00996BD1" w:rsidR="00E21044">
        <w:rPr>
          <w:sz w:val="20"/>
        </w:rPr>
        <w:t>W</w:t>
      </w:r>
      <w:r w:rsidRPr="00996BD1">
        <w:rPr>
          <w:sz w:val="20"/>
        </w:rPr>
        <w:t xml:space="preserve">e affirm the </w:t>
      </w:r>
      <w:r w:rsidRPr="00996BD1" w:rsidR="00192367">
        <w:rPr>
          <w:i/>
          <w:sz w:val="20"/>
        </w:rPr>
        <w:t>2018 Division MO&amp;O</w:t>
      </w:r>
      <w:r w:rsidRPr="00996BD1">
        <w:rPr>
          <w:sz w:val="20"/>
        </w:rPr>
        <w:t xml:space="preserve"> to the extent that it determined that these issues did not warrant reconsideration under 47 CFR </w:t>
      </w:r>
      <w:r w:rsidRPr="00996BD1" w:rsidR="000914D7">
        <w:rPr>
          <w:sz w:val="20"/>
        </w:rPr>
        <w:t xml:space="preserve">§ </w:t>
      </w:r>
      <w:r w:rsidRPr="00996BD1">
        <w:rPr>
          <w:sz w:val="20"/>
        </w:rPr>
        <w:t>1.106(p).</w:t>
      </w:r>
      <w:r w:rsidRPr="00996BD1" w:rsidR="00E21044">
        <w:rPr>
          <w:sz w:val="20"/>
        </w:rPr>
        <w:t xml:space="preserve">  </w:t>
      </w:r>
      <w:r w:rsidRPr="00996BD1" w:rsidR="00996BD1">
        <w:rPr>
          <w:sz w:val="20"/>
        </w:rPr>
        <w:t xml:space="preserve">We need not </w:t>
      </w:r>
      <w:r w:rsidR="009E4074">
        <w:rPr>
          <w:sz w:val="20"/>
        </w:rPr>
        <w:t xml:space="preserve">decide </w:t>
      </w:r>
      <w:r w:rsidRPr="00996BD1" w:rsidR="00996BD1">
        <w:rPr>
          <w:sz w:val="20"/>
        </w:rPr>
        <w:t>whether, due to the nature of the letter agreement at issue here, the FCC Form 314 instructions required OTA</w:t>
      </w:r>
      <w:r w:rsidRPr="00050591" w:rsidR="00996BD1">
        <w:rPr>
          <w:sz w:val="20"/>
        </w:rPr>
        <w:t xml:space="preserve"> to answer “No” </w:t>
      </w:r>
      <w:r w:rsidR="00050591">
        <w:rPr>
          <w:sz w:val="20"/>
        </w:rPr>
        <w:t xml:space="preserve">in response </w:t>
      </w:r>
      <w:r w:rsidRPr="00050591" w:rsidR="00996BD1">
        <w:rPr>
          <w:sz w:val="20"/>
        </w:rPr>
        <w:t xml:space="preserve">to the certification </w:t>
      </w:r>
      <w:r w:rsidR="00050591">
        <w:rPr>
          <w:sz w:val="20"/>
        </w:rPr>
        <w:t xml:space="preserve">that no </w:t>
      </w:r>
      <w:r w:rsidRPr="00996BD1" w:rsidR="00996BD1">
        <w:rPr>
          <w:sz w:val="20"/>
        </w:rPr>
        <w:t xml:space="preserve">“party to the application” is a felon and to include an exhibit setting forth its reasons for not treating the felon as a party to the application.  </w:t>
      </w:r>
      <w:r w:rsidRPr="009E4074" w:rsidR="009E4074">
        <w:rPr>
          <w:i/>
          <w:sz w:val="20"/>
        </w:rPr>
        <w:t>Cf</w:t>
      </w:r>
      <w:r w:rsidR="009E4074">
        <w:rPr>
          <w:sz w:val="20"/>
        </w:rPr>
        <w:t xml:space="preserve">. </w:t>
      </w:r>
      <w:r w:rsidRPr="00996BD1" w:rsidR="00050591">
        <w:rPr>
          <w:i/>
          <w:sz w:val="20"/>
        </w:rPr>
        <w:t>2018 Division MO&amp;O</w:t>
      </w:r>
      <w:r w:rsidRPr="00996BD1" w:rsidR="00050591">
        <w:rPr>
          <w:sz w:val="20"/>
        </w:rPr>
        <w:t>, 33 FCC Rcd at 8762-63, para. 8</w:t>
      </w:r>
      <w:r w:rsidR="00216DF2">
        <w:rPr>
          <w:sz w:val="20"/>
        </w:rPr>
        <w:t xml:space="preserve"> n.26</w:t>
      </w:r>
      <w:r w:rsidR="00050591">
        <w:rPr>
          <w:sz w:val="20"/>
        </w:rPr>
        <w:t xml:space="preserve">.  </w:t>
      </w:r>
      <w:r w:rsidRPr="00996BD1" w:rsidR="00996BD1">
        <w:rPr>
          <w:sz w:val="20"/>
        </w:rPr>
        <w:t>The Commission has previou</w:t>
      </w:r>
      <w:r w:rsidRPr="00050591" w:rsidR="00996BD1">
        <w:rPr>
          <w:sz w:val="20"/>
        </w:rPr>
        <w:t xml:space="preserve">sly explained that </w:t>
      </w:r>
      <w:r w:rsidRPr="00050591" w:rsidR="00996BD1">
        <w:rPr>
          <w:snapToGrid/>
          <w:sz w:val="20"/>
        </w:rPr>
        <w:t xml:space="preserve">OTA </w:t>
      </w:r>
      <w:r w:rsidRPr="00050591" w:rsidR="00996BD1">
        <w:rPr>
          <w:sz w:val="20"/>
        </w:rPr>
        <w:t>did not c</w:t>
      </w:r>
      <w:r w:rsidRPr="00050591" w:rsidR="00996BD1">
        <w:rPr>
          <w:snapToGrid/>
          <w:sz w:val="20"/>
        </w:rPr>
        <w:t xml:space="preserve">onceal </w:t>
      </w:r>
      <w:r w:rsidR="00050591">
        <w:rPr>
          <w:snapToGrid/>
          <w:sz w:val="20"/>
        </w:rPr>
        <w:t xml:space="preserve">any </w:t>
      </w:r>
      <w:r w:rsidRPr="00050591" w:rsidR="00996BD1">
        <w:rPr>
          <w:snapToGrid/>
          <w:sz w:val="20"/>
        </w:rPr>
        <w:t xml:space="preserve">facts </w:t>
      </w:r>
      <w:r w:rsidR="00050591">
        <w:rPr>
          <w:snapToGrid/>
          <w:sz w:val="20"/>
        </w:rPr>
        <w:t>on this issue</w:t>
      </w:r>
      <w:r w:rsidRPr="00050591" w:rsidR="00996BD1">
        <w:rPr>
          <w:snapToGrid/>
          <w:sz w:val="20"/>
        </w:rPr>
        <w:t>, which would be an essential predicate for any showing of misrepresentation</w:t>
      </w:r>
      <w:r w:rsidR="006323F4">
        <w:rPr>
          <w:snapToGrid/>
          <w:sz w:val="20"/>
        </w:rPr>
        <w:t xml:space="preserve"> relevant to the question of OTA’s character qualifications</w:t>
      </w:r>
      <w:r w:rsidRPr="00050591" w:rsidR="00996BD1">
        <w:rPr>
          <w:sz w:val="20"/>
        </w:rPr>
        <w:t>.</w:t>
      </w:r>
      <w:r w:rsidRPr="00216DF2" w:rsidR="00216DF2">
        <w:rPr>
          <w:i/>
          <w:sz w:val="20"/>
        </w:rPr>
        <w:t xml:space="preserve"> 2017</w:t>
      </w:r>
      <w:r w:rsidRPr="00216DF2" w:rsidR="00216DF2">
        <w:rPr>
          <w:sz w:val="20"/>
        </w:rPr>
        <w:t xml:space="preserve"> </w:t>
      </w:r>
      <w:r w:rsidRPr="00216DF2" w:rsidR="00216DF2">
        <w:rPr>
          <w:i/>
          <w:sz w:val="20"/>
        </w:rPr>
        <w:t>Commission MO&amp;O</w:t>
      </w:r>
      <w:r w:rsidRPr="00216DF2" w:rsidR="00216DF2">
        <w:rPr>
          <w:sz w:val="20"/>
        </w:rPr>
        <w:t xml:space="preserve">, 32 FCC Rcd </w:t>
      </w:r>
      <w:r w:rsidR="00216DF2">
        <w:rPr>
          <w:sz w:val="20"/>
        </w:rPr>
        <w:t>at 9647, para. 19.</w:t>
      </w:r>
    </w:p>
  </w:footnote>
  <w:footnote w:id="27">
    <w:p w:rsidR="008E1533" w:rsidP="005732CE" w14:paraId="3619BAC3" w14:textId="77777777">
      <w:pPr>
        <w:pStyle w:val="FootnoteText"/>
        <w:widowControl w:val="0"/>
      </w:pPr>
      <w:r>
        <w:rPr>
          <w:rStyle w:val="FootnoteReference"/>
        </w:rPr>
        <w:footnoteRef/>
      </w:r>
      <w:r>
        <w:t xml:space="preserve"> </w:t>
      </w:r>
      <w:r>
        <w:rPr>
          <w:i/>
        </w:rPr>
        <w:t xml:space="preserve">See generally </w:t>
      </w:r>
      <w:r w:rsidRPr="0084366F">
        <w:rPr>
          <w:i/>
        </w:rPr>
        <w:t>2017</w:t>
      </w:r>
      <w:r>
        <w:t xml:space="preserve"> </w:t>
      </w:r>
      <w:r w:rsidRPr="006C174C">
        <w:rPr>
          <w:i/>
        </w:rPr>
        <w:t>Commission MO&amp;O</w:t>
      </w:r>
      <w:r>
        <w:t>, 32 FCC Rcd 9638.</w:t>
      </w:r>
    </w:p>
  </w:footnote>
  <w:footnote w:id="28">
    <w:p w:rsidR="0029463E" w:rsidP="005732CE" w14:paraId="141E9AF1" w14:textId="77777777">
      <w:pPr>
        <w:pStyle w:val="FootnoteText"/>
        <w:widowControl w:val="0"/>
      </w:pPr>
      <w:r>
        <w:rPr>
          <w:rStyle w:val="FootnoteReference"/>
        </w:rPr>
        <w:footnoteRef/>
      </w:r>
      <w:r>
        <w:t xml:space="preserve"> </w:t>
      </w:r>
      <w:r w:rsidR="00BA0D92">
        <w:t xml:space="preserve">2018 AFR at 4-7; </w:t>
      </w:r>
      <w:r w:rsidR="00192367">
        <w:t>201</w:t>
      </w:r>
      <w:r w:rsidR="00395080">
        <w:t>7</w:t>
      </w:r>
      <w:r>
        <w:t xml:space="preserve"> Recon Petition at 7-10; </w:t>
      </w:r>
      <w:r w:rsidR="004E1F4F">
        <w:rPr>
          <w:i/>
        </w:rPr>
        <w:t>2017</w:t>
      </w:r>
      <w:r>
        <w:rPr>
          <w:i/>
        </w:rPr>
        <w:t xml:space="preserve"> Consent Decree</w:t>
      </w:r>
      <w:r>
        <w:t xml:space="preserve">, 32 FCC Rcd at 800, para. 10. </w:t>
      </w:r>
    </w:p>
  </w:footnote>
  <w:footnote w:id="29">
    <w:p w:rsidR="00E92646" w:rsidP="005732CE" w14:paraId="752AC9B1" w14:textId="77777777">
      <w:pPr>
        <w:pStyle w:val="FootnoteText"/>
        <w:widowControl w:val="0"/>
      </w:pPr>
      <w:r>
        <w:rPr>
          <w:rStyle w:val="FootnoteReference"/>
        </w:rPr>
        <w:footnoteRef/>
      </w:r>
      <w:r>
        <w:t xml:space="preserve"> </w:t>
      </w:r>
      <w:r w:rsidRPr="003369FC" w:rsidR="000C0224">
        <w:t>We need not decide whether the advertisement regarding the local ballot on affordable housing was a “political matter of national importance” or a “national legislative issue of public importance” under Section 315(e) or otherwise required to be disclosed in the political file.</w:t>
      </w:r>
      <w:r w:rsidR="000C0224">
        <w:t xml:space="preserve"> </w:t>
      </w:r>
      <w:r w:rsidRPr="003369FC" w:rsidR="000C0224">
        <w:t xml:space="preserve"> </w:t>
      </w:r>
      <w:r w:rsidRPr="003369FC" w:rsidR="000C0224">
        <w:rPr>
          <w:i/>
        </w:rPr>
        <w:t>Cf</w:t>
      </w:r>
      <w:r w:rsidRPr="003369FC" w:rsidR="000C0224">
        <w:t xml:space="preserve">. </w:t>
      </w:r>
      <w:r w:rsidRPr="003369FC" w:rsidR="000C0224">
        <w:rPr>
          <w:i/>
        </w:rPr>
        <w:t>2018 Division MO&amp;O</w:t>
      </w:r>
      <w:r w:rsidRPr="003369FC" w:rsidR="000C0224">
        <w:t xml:space="preserve">, 33 FCC Rcd at 8764, para. 9 n.32.  Even assuming a violation, we do not find </w:t>
      </w:r>
      <w:r w:rsidR="000C0224">
        <w:t>it</w:t>
      </w:r>
      <w:r w:rsidRPr="003369FC" w:rsidR="000C0224">
        <w:t xml:space="preserve"> would call into question OTA’s basic character qualifications for the reasons discussed </w:t>
      </w:r>
      <w:r w:rsidR="000C0224">
        <w:t>herein</w:t>
      </w:r>
      <w:r w:rsidRPr="003369FC" w:rsidR="000C0224">
        <w:t>.</w:t>
      </w:r>
      <w:r w:rsidR="000C0224">
        <w:t xml:space="preserve">  </w:t>
      </w:r>
    </w:p>
  </w:footnote>
  <w:footnote w:id="30">
    <w:p w:rsidR="0029463E" w:rsidRPr="000A2BE7" w:rsidP="005732CE" w14:paraId="058889B5" w14:textId="77777777">
      <w:pPr>
        <w:pStyle w:val="FootnoteText"/>
        <w:widowControl w:val="0"/>
      </w:pPr>
      <w:r>
        <w:rPr>
          <w:rStyle w:val="FootnoteReference"/>
        </w:rPr>
        <w:footnoteRef/>
      </w:r>
      <w:r>
        <w:t xml:space="preserve"> </w:t>
      </w:r>
      <w:r>
        <w:rPr>
          <w:i/>
        </w:rPr>
        <w:t xml:space="preserve">See generally </w:t>
      </w:r>
      <w:r w:rsidR="004E1F4F">
        <w:rPr>
          <w:i/>
        </w:rPr>
        <w:t>2017</w:t>
      </w:r>
      <w:r>
        <w:rPr>
          <w:i/>
        </w:rPr>
        <w:t xml:space="preserve"> </w:t>
      </w:r>
      <w:r w:rsidRPr="007339A3">
        <w:rPr>
          <w:i/>
        </w:rPr>
        <w:t>Consent</w:t>
      </w:r>
      <w:r>
        <w:rPr>
          <w:i/>
        </w:rPr>
        <w:t xml:space="preserve"> Decree</w:t>
      </w:r>
      <w:r>
        <w:t>, 32 FCC Rcd 795.</w:t>
      </w:r>
      <w:r w:rsidR="000A2BE7">
        <w:t xml:space="preserve">  To the extent the Bureau determined that the new political file violations first uncovered by the Kapurs in July 2017 were already “captured” by the </w:t>
      </w:r>
      <w:r w:rsidRPr="00DC59F6" w:rsidR="000A2BE7">
        <w:rPr>
          <w:i/>
        </w:rPr>
        <w:t>2017 Consent Decree</w:t>
      </w:r>
      <w:r w:rsidR="000A2BE7">
        <w:t xml:space="preserve">, we reject that view.   </w:t>
      </w:r>
      <w:r w:rsidRPr="003369FC" w:rsidR="000A2BE7">
        <w:rPr>
          <w:i/>
        </w:rPr>
        <w:t>Cf</w:t>
      </w:r>
      <w:r w:rsidRPr="003369FC" w:rsidR="000A2BE7">
        <w:t xml:space="preserve">. </w:t>
      </w:r>
      <w:r w:rsidRPr="003369FC" w:rsidR="000A2BE7">
        <w:rPr>
          <w:i/>
        </w:rPr>
        <w:t>2018 Division MO&amp;O</w:t>
      </w:r>
      <w:r w:rsidRPr="003369FC" w:rsidR="000A2BE7">
        <w:t>, 33 FCC Rcd at 8764, para. 9.</w:t>
      </w:r>
    </w:p>
  </w:footnote>
  <w:footnote w:id="31">
    <w:p w:rsidR="0029463E" w:rsidP="005732CE" w14:paraId="6217A8B6" w14:textId="77777777">
      <w:pPr>
        <w:pStyle w:val="FootnoteText"/>
        <w:widowControl w:val="0"/>
      </w:pPr>
      <w:r>
        <w:rPr>
          <w:rStyle w:val="FootnoteReference"/>
        </w:rPr>
        <w:footnoteRef/>
      </w:r>
      <w:r>
        <w:t xml:space="preserve"> </w:t>
      </w:r>
      <w:r>
        <w:rPr>
          <w:i/>
        </w:rPr>
        <w:t xml:space="preserve">See </w:t>
      </w:r>
      <w:r w:rsidR="00442A3B">
        <w:t xml:space="preserve">2018 AFR at 4-7; </w:t>
      </w:r>
      <w:r w:rsidRPr="00FC0788" w:rsidR="00FC0788">
        <w:t>2017</w:t>
      </w:r>
      <w:r w:rsidR="00FC0788">
        <w:rPr>
          <w:i/>
        </w:rPr>
        <w:t xml:space="preserve"> </w:t>
      </w:r>
      <w:r w:rsidR="00FC0788">
        <w:t xml:space="preserve">Recon </w:t>
      </w:r>
      <w:r>
        <w:t xml:space="preserve">Petition at 7-10. </w:t>
      </w:r>
      <w:r w:rsidR="00864FBE">
        <w:t xml:space="preserve"> </w:t>
      </w:r>
      <w:r w:rsidRPr="00864FBE" w:rsidR="00864FBE">
        <w:rPr>
          <w:color w:val="000000"/>
        </w:rPr>
        <w:t xml:space="preserve">OTA has explained that the advertisements at issue were aired on two multicast channels that were programmed under time brokerage agreements and the programmers did not disclose to KAXT the airing of these advertisements, in “express violation of the terms of the time brokerage agreements.”  </w:t>
      </w:r>
      <w:r w:rsidRPr="00864FBE" w:rsidR="00864FBE">
        <w:rPr>
          <w:i/>
          <w:color w:val="000000"/>
        </w:rPr>
        <w:t>See</w:t>
      </w:r>
      <w:r w:rsidRPr="00864FBE" w:rsidR="00864FBE">
        <w:rPr>
          <w:color w:val="000000"/>
        </w:rPr>
        <w:t xml:space="preserve"> Reply of Nalini Kapur, Rishi Kapur, and Ravi Kapur to Opposition to Petition for </w:t>
      </w:r>
      <w:r w:rsidRPr="001573E3" w:rsidR="00864FBE">
        <w:rPr>
          <w:color w:val="000000"/>
        </w:rPr>
        <w:t>Reconsideration of the Kapurs (filed Dec. 28, 2017), Exhibit 1 (attaching OTA’s Oc</w:t>
      </w:r>
      <w:r w:rsidRPr="006323F4" w:rsidR="00864FBE">
        <w:rPr>
          <w:color w:val="000000"/>
        </w:rPr>
        <w:t xml:space="preserve">tober 2017 Compliance Report).  </w:t>
      </w:r>
      <w:r w:rsidRPr="001573E3" w:rsidR="001573E3">
        <w:rPr>
          <w:color w:val="000000"/>
        </w:rPr>
        <w:t xml:space="preserve">While this is no way excuses the licensee’s ultimate responsibility for a rule violation, there is no evidence that KAXT was aware </w:t>
      </w:r>
      <w:r w:rsidRPr="001573E3" w:rsidR="00864FBE">
        <w:rPr>
          <w:color w:val="000000"/>
        </w:rPr>
        <w:t xml:space="preserve">of these violations at the time of the 2017 </w:t>
      </w:r>
      <w:r w:rsidRPr="001573E3" w:rsidR="00864FBE">
        <w:rPr>
          <w:i/>
          <w:color w:val="000000"/>
        </w:rPr>
        <w:t>Consent Decree</w:t>
      </w:r>
      <w:r w:rsidRPr="001573E3" w:rsidR="00864FBE">
        <w:rPr>
          <w:color w:val="000000"/>
        </w:rPr>
        <w:t xml:space="preserve"> and chose to conceal</w:t>
      </w:r>
      <w:r w:rsidRPr="006323F4" w:rsidR="00864FBE">
        <w:rPr>
          <w:color w:val="000000"/>
        </w:rPr>
        <w:t xml:space="preserve"> them from the Bureau.</w:t>
      </w:r>
      <w:r w:rsidRPr="009B238E" w:rsidR="00864FBE">
        <w:rPr>
          <w:color w:val="000000"/>
        </w:rPr>
        <w:t xml:space="preserve"> </w:t>
      </w:r>
      <w:r>
        <w:t xml:space="preserve"> In the 2018 AFR, the Kapurs express grave concerns </w:t>
      </w:r>
      <w:r w:rsidR="00FB06B3">
        <w:t xml:space="preserve">about </w:t>
      </w:r>
      <w:r>
        <w:t>undermining the integrity of the consent decree process.  2018 AFR at 4-7.  These concerns are unfounded.  While it should go without saying, efforts to conceal violations or otherwise mislead Commission investigators will not be tolerated</w:t>
      </w:r>
      <w:r w:rsidR="00E16479">
        <w:t>.  N</w:t>
      </w:r>
      <w:r>
        <w:t xml:space="preserve">othing in </w:t>
      </w:r>
      <w:r w:rsidR="00864FBE">
        <w:t xml:space="preserve">our decision here </w:t>
      </w:r>
      <w:r>
        <w:t>stands for the contrary.</w:t>
      </w:r>
    </w:p>
  </w:footnote>
  <w:footnote w:id="32">
    <w:p w:rsidR="0029463E" w:rsidP="005732CE" w14:paraId="40B044A7" w14:textId="77777777">
      <w:pPr>
        <w:pStyle w:val="FootnoteText"/>
        <w:widowControl w:val="0"/>
      </w:pPr>
      <w:r>
        <w:rPr>
          <w:rStyle w:val="FootnoteReference"/>
        </w:rPr>
        <w:footnoteRef/>
      </w:r>
      <w:r>
        <w:t xml:space="preserve"> </w:t>
      </w:r>
      <w:r w:rsidR="009B238E">
        <w:t>W</w:t>
      </w:r>
      <w:r w:rsidRPr="00DF3E66" w:rsidR="009E7FBE">
        <w:t>e reject the Kapurs’ continued efforts to use conduct by OTA as a licensee—alleged and actual—to establish that OTA lacked the character and fitness to be a licensee at the time the Commission approved the sale of KAXT to OTA (this finding would be necessary for us to grant the Kapurs’ ultimate request for relief, i.e., to reinstate KAXT, LLC</w:t>
      </w:r>
      <w:r w:rsidR="00DF3E66">
        <w:t>,</w:t>
      </w:r>
      <w:r w:rsidRPr="00DF3E66" w:rsidR="009E7FBE">
        <w:t xml:space="preserve"> as the licensee of KAXT).  The fact that an entity may subsequently fail in its obligations as a licensee, such that it no can no longer remain a licensee, in no way invalidates the Commission’s earlier finding that the entity was fit to be a licensee</w:t>
      </w:r>
      <w:r w:rsidRPr="00DF3E66" w:rsidR="00C1506F">
        <w:t xml:space="preserve"> at the time </w:t>
      </w:r>
      <w:r w:rsidR="00B71F7C">
        <w:t>a transaction was approved (or a license renewed)</w:t>
      </w:r>
      <w:r w:rsidRPr="00DF3E66" w:rsidR="009E7FBE">
        <w:t>.</w:t>
      </w:r>
      <w:r w:rsidR="008B467C">
        <w:t xml:space="preserve"> </w:t>
      </w:r>
      <w:r w:rsidR="009B34F5">
        <w:t xml:space="preserve"> The Kapurs provide no support for their theory that OTA’s conduct as a licensee is grounds to rescind the grant of the assignment of KAXT.</w:t>
      </w:r>
      <w:r w:rsidR="009B34F5">
        <w:rPr>
          <w:i/>
        </w:rPr>
        <w:t xml:space="preserve">  See, e,g., Entercom Sacramento License, LLC</w:t>
      </w:r>
      <w:r w:rsidR="009B34F5">
        <w:t xml:space="preserve">, Memorandum Opinion and Order, 33 FCC Rcd 6615, </w:t>
      </w:r>
      <w:r w:rsidR="002B621F">
        <w:t xml:space="preserve">6618, para. 9 </w:t>
      </w:r>
      <w:r w:rsidR="009B34F5">
        <w:t xml:space="preserve">n. 27 (2018) (rejecting argument that misconduct at station years after assignment of its license is grounds to return license to previous licensee); </w:t>
      </w:r>
      <w:r w:rsidR="009B34F5">
        <w:rPr>
          <w:i/>
        </w:rPr>
        <w:t>c</w:t>
      </w:r>
      <w:r w:rsidRPr="009B34F5" w:rsidR="009B34F5">
        <w:rPr>
          <w:i/>
        </w:rPr>
        <w:t>f. Rural Cellular Ass'n v. FCC</w:t>
      </w:r>
      <w:r w:rsidRPr="009B34F5" w:rsidR="009B34F5">
        <w:t xml:space="preserve">, 588 F.3d 1095, 1107 (D.C. Cir. 2009) (“[W]e judge the reasonableness of an agency's decision on the basis of the record before the agency at the time it made its decision”). </w:t>
      </w:r>
      <w:r w:rsidRPr="00DF3E66" w:rsidR="009E7FBE">
        <w:t xml:space="preserve">As such, </w:t>
      </w:r>
      <w:r w:rsidRPr="001E1731" w:rsidR="009E7FBE">
        <w:t>to the extent it would ever be relevant to a Commission proceeding</w:t>
      </w:r>
      <w:r w:rsidRPr="001E1731" w:rsidR="00C1506F">
        <w:t xml:space="preserve"> regarding character</w:t>
      </w:r>
      <w:r w:rsidRPr="001E1731" w:rsidR="009E7FBE">
        <w:t xml:space="preserve">, the </w:t>
      </w:r>
      <w:r w:rsidRPr="001E1731" w:rsidR="009E7FBE">
        <w:rPr>
          <w:i/>
        </w:rPr>
        <w:t>2017 Consent Decree</w:t>
      </w:r>
      <w:r w:rsidRPr="001E1731" w:rsidR="009E7FBE">
        <w:t xml:space="preserve"> would be relevant to an evaluation of OTA’s continuing fitness to be a licensee, not </w:t>
      </w:r>
      <w:r w:rsidRPr="001E1731" w:rsidR="00463F8F">
        <w:t>to a re-evaluation</w:t>
      </w:r>
      <w:r w:rsidRPr="001E1731" w:rsidR="00DF3E66">
        <w:t xml:space="preserve"> </w:t>
      </w:r>
      <w:r w:rsidRPr="001E1731" w:rsidR="009E7FBE">
        <w:t>of its acquisition of KAXT</w:t>
      </w:r>
      <w:r w:rsidRPr="001E1731" w:rsidR="00DD336B">
        <w:t xml:space="preserve"> or the 2015 license renewal</w:t>
      </w:r>
      <w:r w:rsidRPr="00DF3E66" w:rsidR="009E7FBE">
        <w:t>.</w:t>
      </w:r>
      <w:r w:rsidR="009E7FBE">
        <w:t xml:space="preserve">    </w:t>
      </w:r>
    </w:p>
  </w:footnote>
  <w:footnote w:id="33">
    <w:p w:rsidR="0029463E" w:rsidRPr="0097426C" w:rsidP="005732CE" w14:paraId="4546A225" w14:textId="77777777">
      <w:pPr>
        <w:pStyle w:val="FootnoteText"/>
        <w:widowControl w:val="0"/>
      </w:pPr>
      <w:r>
        <w:rPr>
          <w:rStyle w:val="FootnoteReference"/>
        </w:rPr>
        <w:footnoteRef/>
      </w:r>
      <w:r>
        <w:t xml:space="preserve"> </w:t>
      </w:r>
      <w:r w:rsidR="009E7FBE">
        <w:t>W</w:t>
      </w:r>
      <w:r>
        <w:t>e</w:t>
      </w:r>
      <w:r w:rsidR="009E7FBE">
        <w:t xml:space="preserve"> also</w:t>
      </w:r>
      <w:r>
        <w:t xml:space="preserve"> uphold the Division’s finding that the alleged separate violation of section 73.3526(e)(10) failed to raise a substantial and material question of fact as to character.  </w:t>
      </w:r>
      <w:r w:rsidRPr="006C174C">
        <w:rPr>
          <w:i/>
        </w:rPr>
        <w:t>201</w:t>
      </w:r>
      <w:r>
        <w:rPr>
          <w:i/>
        </w:rPr>
        <w:t>8</w:t>
      </w:r>
      <w:r w:rsidRPr="006C174C">
        <w:rPr>
          <w:i/>
        </w:rPr>
        <w:t xml:space="preserve"> Division MO&amp;O</w:t>
      </w:r>
      <w:r>
        <w:t>, 33 FCC Rcd at 8764, para. 9</w:t>
      </w:r>
      <w:r w:rsidR="0058581C">
        <w:t xml:space="preserve">; </w:t>
      </w:r>
      <w:r w:rsidR="0058581C">
        <w:rPr>
          <w:i/>
        </w:rPr>
        <w:t xml:space="preserve">see also </w:t>
      </w:r>
      <w:r w:rsidR="0058581C">
        <w:t>47 CFR § 73.3526(e)(10)</w:t>
      </w:r>
      <w:r>
        <w:t xml:space="preserve">.  </w:t>
      </w:r>
      <w:r w:rsidR="000E29DF">
        <w:t xml:space="preserve">Based on the facts presented here, we find no basis to </w:t>
      </w:r>
      <w:r>
        <w:t>initiat</w:t>
      </w:r>
      <w:r w:rsidR="000E29DF">
        <w:t>e</w:t>
      </w:r>
      <w:r>
        <w:t xml:space="preserve"> a hearing to assess </w:t>
      </w:r>
      <w:r w:rsidR="00690D53">
        <w:t xml:space="preserve">OTA’s </w:t>
      </w:r>
      <w:r>
        <w:t xml:space="preserve">character qualifications based on </w:t>
      </w:r>
      <w:r w:rsidR="0023294F">
        <w:t xml:space="preserve">the </w:t>
      </w:r>
      <w:r>
        <w:t>public file rule violations</w:t>
      </w:r>
      <w:r w:rsidR="0023294F">
        <w:t xml:space="preserve"> alleged here</w:t>
      </w:r>
      <w:r>
        <w:t>.</w:t>
      </w:r>
      <w:r w:rsidR="00861FD1">
        <w:t xml:space="preserve">  </w:t>
      </w:r>
      <w:r w:rsidR="00861FD1">
        <w:rPr>
          <w:i/>
        </w:rPr>
        <w:t>See, e.g.</w:t>
      </w:r>
      <w:r w:rsidR="00861FD1">
        <w:t xml:space="preserve">, </w:t>
      </w:r>
      <w:r w:rsidRPr="007A5C78" w:rsidR="007A5C78">
        <w:rPr>
          <w:i/>
        </w:rPr>
        <w:t>R</w:t>
      </w:r>
      <w:r w:rsidR="007A5C78">
        <w:rPr>
          <w:i/>
        </w:rPr>
        <w:t xml:space="preserve"> </w:t>
      </w:r>
      <w:r w:rsidRPr="007A5C78" w:rsidR="007A5C78">
        <w:rPr>
          <w:i/>
        </w:rPr>
        <w:t>&amp;</w:t>
      </w:r>
      <w:r w:rsidR="007A5C78">
        <w:rPr>
          <w:i/>
        </w:rPr>
        <w:t xml:space="preserve"> </w:t>
      </w:r>
      <w:r w:rsidRPr="007A5C78" w:rsidR="007A5C78">
        <w:rPr>
          <w:i/>
        </w:rPr>
        <w:t>L Broadcasters</w:t>
      </w:r>
      <w:r w:rsidR="007A5C78">
        <w:t xml:space="preserve">, </w:t>
      </w:r>
      <w:r w:rsidR="00E15D14">
        <w:t xml:space="preserve">Memorandum Opinion and Order, </w:t>
      </w:r>
      <w:r w:rsidR="007A5C78">
        <w:t>7 FCC Rcd 5551, 5554, para. 16 (1992)</w:t>
      </w:r>
      <w:r w:rsidR="00861FD1">
        <w:t xml:space="preserve"> (“</w:t>
      </w:r>
      <w:r w:rsidRPr="00861FD1" w:rsidR="00861FD1">
        <w:t>The Commission’s policy is not to designate a potentially disqualifying public file issue for hearing when there is no evidence of intentional misconduct.</w:t>
      </w:r>
      <w:r w:rsidR="00861FD1">
        <w:t>”)</w:t>
      </w:r>
      <w:r w:rsidR="009E73E2">
        <w:t>.</w:t>
      </w:r>
      <w:r w:rsidR="0097426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E4E" w:rsidP="00F13E4E" w14:paraId="41C7395C" w14:textId="2073138A">
    <w:pPr>
      <w:pStyle w:val="Header"/>
      <w:rPr>
        <w:b w:val="0"/>
      </w:rPr>
    </w:pPr>
    <w:r>
      <w:tab/>
      <w:t>Federal Communications Commission</w:t>
    </w:r>
    <w:r>
      <w:tab/>
    </w:r>
    <w:r w:rsidR="008406C4">
      <w:rPr>
        <w:spacing w:val="-2"/>
      </w:rPr>
      <w:t xml:space="preserve">FCC </w:t>
    </w:r>
    <w:r w:rsidR="003C7AB4">
      <w:rPr>
        <w:spacing w:val="-2"/>
      </w:rPr>
      <w:t>20-2</w:t>
    </w:r>
  </w:p>
  <w:p w:rsidR="00F13E4E" w14:paraId="12F0690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F13E4E" w14:paraId="2BFAB70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E4E" w:rsidP="00F13E4E" w14:paraId="6A551FE1" w14:textId="74746E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BE2A55">
      <w:tab/>
      <w:t>Federal Communications Commission</w:t>
    </w:r>
    <w:r w:rsidR="00BE2A55">
      <w:tab/>
    </w:r>
    <w:r w:rsidR="008406C4">
      <w:rPr>
        <w:spacing w:val="-2"/>
      </w:rPr>
      <w:t xml:space="preserve">FCC </w:t>
    </w:r>
    <w:r w:rsidR="003C7AB4">
      <w:rPr>
        <w:spacing w:val="-2"/>
      </w:rPr>
      <w:t>20</w:t>
    </w:r>
    <w:r w:rsidR="008406C4">
      <w:rPr>
        <w:spacing w:val="-2"/>
      </w:rPr>
      <w:t>-</w:t>
    </w:r>
    <w:r w:rsidR="003C7AB4">
      <w:rPr>
        <w:spacing w:val="-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1572F17"/>
    <w:multiLevelType w:val="hybridMultilevel"/>
    <w:tmpl w:val="FB023E02"/>
    <w:lvl w:ilvl="0">
      <w:start w:val="1"/>
      <w:numFmt w:val="decimal"/>
      <w:lvlText w:val="%1."/>
      <w:lvlJc w:val="left"/>
      <w:pPr>
        <w:ind w:left="1620" w:hanging="720"/>
      </w:pPr>
      <w:rPr>
        <w:rFonts w:hint="default"/>
        <w:i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3"/>
  </w:num>
  <w:num w:numId="3">
    <w:abstractNumId w:val="5"/>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oNotTrackMoves/>
  <w:defaultTabStop w:val="720"/>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3E"/>
    <w:rsid w:val="00005CD0"/>
    <w:rsid w:val="00021E3D"/>
    <w:rsid w:val="0002375C"/>
    <w:rsid w:val="00032F16"/>
    <w:rsid w:val="00036E11"/>
    <w:rsid w:val="000432D9"/>
    <w:rsid w:val="00050591"/>
    <w:rsid w:val="0005580C"/>
    <w:rsid w:val="00066A5B"/>
    <w:rsid w:val="00071C9E"/>
    <w:rsid w:val="000914D7"/>
    <w:rsid w:val="000A2BE7"/>
    <w:rsid w:val="000A6690"/>
    <w:rsid w:val="000A6CFA"/>
    <w:rsid w:val="000A7B90"/>
    <w:rsid w:val="000B10D6"/>
    <w:rsid w:val="000B1581"/>
    <w:rsid w:val="000B2550"/>
    <w:rsid w:val="000C0224"/>
    <w:rsid w:val="000C3809"/>
    <w:rsid w:val="000E29DF"/>
    <w:rsid w:val="000E2DCA"/>
    <w:rsid w:val="000E4BEA"/>
    <w:rsid w:val="0010171C"/>
    <w:rsid w:val="00104688"/>
    <w:rsid w:val="00105057"/>
    <w:rsid w:val="0013411D"/>
    <w:rsid w:val="001562F3"/>
    <w:rsid w:val="00156B2E"/>
    <w:rsid w:val="001573E3"/>
    <w:rsid w:val="0016780D"/>
    <w:rsid w:val="0017296B"/>
    <w:rsid w:val="00172C80"/>
    <w:rsid w:val="001739D9"/>
    <w:rsid w:val="001855DA"/>
    <w:rsid w:val="00192367"/>
    <w:rsid w:val="001A2970"/>
    <w:rsid w:val="001C706E"/>
    <w:rsid w:val="001C7E13"/>
    <w:rsid w:val="001D4237"/>
    <w:rsid w:val="001D6219"/>
    <w:rsid w:val="001E0A1F"/>
    <w:rsid w:val="001E1731"/>
    <w:rsid w:val="001E4FE4"/>
    <w:rsid w:val="001E5B33"/>
    <w:rsid w:val="001F110E"/>
    <w:rsid w:val="001F15FE"/>
    <w:rsid w:val="001F6000"/>
    <w:rsid w:val="00216DF2"/>
    <w:rsid w:val="002229F0"/>
    <w:rsid w:val="0023294F"/>
    <w:rsid w:val="0024231D"/>
    <w:rsid w:val="00247A8B"/>
    <w:rsid w:val="002750A9"/>
    <w:rsid w:val="00282317"/>
    <w:rsid w:val="0029463E"/>
    <w:rsid w:val="00297959"/>
    <w:rsid w:val="002A5006"/>
    <w:rsid w:val="002B2AD9"/>
    <w:rsid w:val="002B4FB2"/>
    <w:rsid w:val="002B621F"/>
    <w:rsid w:val="002B73C2"/>
    <w:rsid w:val="002C13BE"/>
    <w:rsid w:val="002C2FF7"/>
    <w:rsid w:val="002C4CC3"/>
    <w:rsid w:val="002E1F8E"/>
    <w:rsid w:val="002E3A19"/>
    <w:rsid w:val="002F3BD1"/>
    <w:rsid w:val="002F68C4"/>
    <w:rsid w:val="00307720"/>
    <w:rsid w:val="00311E4C"/>
    <w:rsid w:val="00314FDE"/>
    <w:rsid w:val="003159C9"/>
    <w:rsid w:val="003231F2"/>
    <w:rsid w:val="0033436D"/>
    <w:rsid w:val="003369FC"/>
    <w:rsid w:val="00355A61"/>
    <w:rsid w:val="00356111"/>
    <w:rsid w:val="00356AFE"/>
    <w:rsid w:val="00364B0B"/>
    <w:rsid w:val="00373B3B"/>
    <w:rsid w:val="00376082"/>
    <w:rsid w:val="00377EBE"/>
    <w:rsid w:val="00381920"/>
    <w:rsid w:val="003829F2"/>
    <w:rsid w:val="003853DB"/>
    <w:rsid w:val="00395080"/>
    <w:rsid w:val="003A12DC"/>
    <w:rsid w:val="003A4BC8"/>
    <w:rsid w:val="003C7AB4"/>
    <w:rsid w:val="003D2D0B"/>
    <w:rsid w:val="003E0EEE"/>
    <w:rsid w:val="003E2584"/>
    <w:rsid w:val="003E6AA8"/>
    <w:rsid w:val="004021F5"/>
    <w:rsid w:val="00411C85"/>
    <w:rsid w:val="00431715"/>
    <w:rsid w:val="004329F3"/>
    <w:rsid w:val="00442A3B"/>
    <w:rsid w:val="00447D8E"/>
    <w:rsid w:val="0045235C"/>
    <w:rsid w:val="00463F8F"/>
    <w:rsid w:val="0048757B"/>
    <w:rsid w:val="004922FD"/>
    <w:rsid w:val="004A51E4"/>
    <w:rsid w:val="004A6E57"/>
    <w:rsid w:val="004B66C0"/>
    <w:rsid w:val="004E1F4F"/>
    <w:rsid w:val="004F0BF6"/>
    <w:rsid w:val="00503C9A"/>
    <w:rsid w:val="005101CA"/>
    <w:rsid w:val="0054656F"/>
    <w:rsid w:val="00551377"/>
    <w:rsid w:val="005579E0"/>
    <w:rsid w:val="005732CE"/>
    <w:rsid w:val="0058581C"/>
    <w:rsid w:val="005D0789"/>
    <w:rsid w:val="005E2BA4"/>
    <w:rsid w:val="005E7D0B"/>
    <w:rsid w:val="005F5F64"/>
    <w:rsid w:val="00613599"/>
    <w:rsid w:val="00613D77"/>
    <w:rsid w:val="00623B77"/>
    <w:rsid w:val="006323F4"/>
    <w:rsid w:val="00640D73"/>
    <w:rsid w:val="00643457"/>
    <w:rsid w:val="006447FB"/>
    <w:rsid w:val="006663DD"/>
    <w:rsid w:val="00674868"/>
    <w:rsid w:val="00681938"/>
    <w:rsid w:val="00690D53"/>
    <w:rsid w:val="006965AB"/>
    <w:rsid w:val="006A5698"/>
    <w:rsid w:val="006B4963"/>
    <w:rsid w:val="006B6807"/>
    <w:rsid w:val="006B7B99"/>
    <w:rsid w:val="006C174C"/>
    <w:rsid w:val="006F3B7D"/>
    <w:rsid w:val="0070224F"/>
    <w:rsid w:val="007039D3"/>
    <w:rsid w:val="007115F7"/>
    <w:rsid w:val="00722EC2"/>
    <w:rsid w:val="00730118"/>
    <w:rsid w:val="007339A3"/>
    <w:rsid w:val="007500D6"/>
    <w:rsid w:val="0075155B"/>
    <w:rsid w:val="00782CCF"/>
    <w:rsid w:val="00790190"/>
    <w:rsid w:val="00793C8B"/>
    <w:rsid w:val="007A12D8"/>
    <w:rsid w:val="007A48A3"/>
    <w:rsid w:val="007A5C78"/>
    <w:rsid w:val="007C0F82"/>
    <w:rsid w:val="007C1D31"/>
    <w:rsid w:val="007C7806"/>
    <w:rsid w:val="007E78CC"/>
    <w:rsid w:val="007F43CD"/>
    <w:rsid w:val="007F5257"/>
    <w:rsid w:val="008069DE"/>
    <w:rsid w:val="00810970"/>
    <w:rsid w:val="008110BF"/>
    <w:rsid w:val="008303CA"/>
    <w:rsid w:val="008406C4"/>
    <w:rsid w:val="0084366F"/>
    <w:rsid w:val="00861FD1"/>
    <w:rsid w:val="00864FBE"/>
    <w:rsid w:val="00871D47"/>
    <w:rsid w:val="00884E1B"/>
    <w:rsid w:val="008B467C"/>
    <w:rsid w:val="008C33A5"/>
    <w:rsid w:val="008C3EB4"/>
    <w:rsid w:val="008C5D89"/>
    <w:rsid w:val="008D3F4C"/>
    <w:rsid w:val="008D4484"/>
    <w:rsid w:val="008E1533"/>
    <w:rsid w:val="008E2200"/>
    <w:rsid w:val="008E302C"/>
    <w:rsid w:val="00926CBC"/>
    <w:rsid w:val="0097276A"/>
    <w:rsid w:val="0097426C"/>
    <w:rsid w:val="009916C6"/>
    <w:rsid w:val="00995FDB"/>
    <w:rsid w:val="00996BD1"/>
    <w:rsid w:val="009B10E1"/>
    <w:rsid w:val="009B238E"/>
    <w:rsid w:val="009B34F5"/>
    <w:rsid w:val="009C4016"/>
    <w:rsid w:val="009D74CB"/>
    <w:rsid w:val="009E3267"/>
    <w:rsid w:val="009E4074"/>
    <w:rsid w:val="009E73E2"/>
    <w:rsid w:val="009E7E4D"/>
    <w:rsid w:val="009E7FBE"/>
    <w:rsid w:val="00A0484D"/>
    <w:rsid w:val="00A07EDA"/>
    <w:rsid w:val="00A41557"/>
    <w:rsid w:val="00A57358"/>
    <w:rsid w:val="00A765DE"/>
    <w:rsid w:val="00AB68BA"/>
    <w:rsid w:val="00AC5DEA"/>
    <w:rsid w:val="00AC6AD4"/>
    <w:rsid w:val="00AD1472"/>
    <w:rsid w:val="00AD41D1"/>
    <w:rsid w:val="00AE3952"/>
    <w:rsid w:val="00AE7562"/>
    <w:rsid w:val="00AF572C"/>
    <w:rsid w:val="00AF7CC7"/>
    <w:rsid w:val="00B061AD"/>
    <w:rsid w:val="00B135A5"/>
    <w:rsid w:val="00B15FCD"/>
    <w:rsid w:val="00B314F1"/>
    <w:rsid w:val="00B31DCD"/>
    <w:rsid w:val="00B409AB"/>
    <w:rsid w:val="00B46CF7"/>
    <w:rsid w:val="00B52961"/>
    <w:rsid w:val="00B53C79"/>
    <w:rsid w:val="00B71F7C"/>
    <w:rsid w:val="00B81559"/>
    <w:rsid w:val="00B836FC"/>
    <w:rsid w:val="00B94AB1"/>
    <w:rsid w:val="00BA0D92"/>
    <w:rsid w:val="00BD1BFC"/>
    <w:rsid w:val="00BE2A55"/>
    <w:rsid w:val="00BE5270"/>
    <w:rsid w:val="00BF2111"/>
    <w:rsid w:val="00BF5AAE"/>
    <w:rsid w:val="00C04935"/>
    <w:rsid w:val="00C04AD1"/>
    <w:rsid w:val="00C07AD5"/>
    <w:rsid w:val="00C1506F"/>
    <w:rsid w:val="00C31149"/>
    <w:rsid w:val="00C415B1"/>
    <w:rsid w:val="00C455D8"/>
    <w:rsid w:val="00C50DE7"/>
    <w:rsid w:val="00C562E7"/>
    <w:rsid w:val="00C57C87"/>
    <w:rsid w:val="00C77F15"/>
    <w:rsid w:val="00C845CF"/>
    <w:rsid w:val="00C85D3D"/>
    <w:rsid w:val="00C97929"/>
    <w:rsid w:val="00CC37B4"/>
    <w:rsid w:val="00CC61DF"/>
    <w:rsid w:val="00CD0A76"/>
    <w:rsid w:val="00CF511D"/>
    <w:rsid w:val="00D11A2B"/>
    <w:rsid w:val="00D24916"/>
    <w:rsid w:val="00D2557B"/>
    <w:rsid w:val="00D34753"/>
    <w:rsid w:val="00D4149C"/>
    <w:rsid w:val="00D435DE"/>
    <w:rsid w:val="00D60143"/>
    <w:rsid w:val="00D637FB"/>
    <w:rsid w:val="00D641D3"/>
    <w:rsid w:val="00D86AD4"/>
    <w:rsid w:val="00D923CD"/>
    <w:rsid w:val="00D92FB7"/>
    <w:rsid w:val="00DB44DA"/>
    <w:rsid w:val="00DC59F6"/>
    <w:rsid w:val="00DD336B"/>
    <w:rsid w:val="00DD33C8"/>
    <w:rsid w:val="00DF3E66"/>
    <w:rsid w:val="00E00835"/>
    <w:rsid w:val="00E15D14"/>
    <w:rsid w:val="00E16479"/>
    <w:rsid w:val="00E21044"/>
    <w:rsid w:val="00E2437D"/>
    <w:rsid w:val="00E92646"/>
    <w:rsid w:val="00E94759"/>
    <w:rsid w:val="00EA0A02"/>
    <w:rsid w:val="00EA239B"/>
    <w:rsid w:val="00EE46E1"/>
    <w:rsid w:val="00EE4E24"/>
    <w:rsid w:val="00EF24A2"/>
    <w:rsid w:val="00EF7B61"/>
    <w:rsid w:val="00F01027"/>
    <w:rsid w:val="00F02AFE"/>
    <w:rsid w:val="00F1114F"/>
    <w:rsid w:val="00F12BED"/>
    <w:rsid w:val="00F13E4E"/>
    <w:rsid w:val="00F2111F"/>
    <w:rsid w:val="00F34C4F"/>
    <w:rsid w:val="00F46D34"/>
    <w:rsid w:val="00F651C7"/>
    <w:rsid w:val="00FA0769"/>
    <w:rsid w:val="00FA3A54"/>
    <w:rsid w:val="00FB06B3"/>
    <w:rsid w:val="00FC0788"/>
    <w:rsid w:val="00FC1F1C"/>
    <w:rsid w:val="00FD45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B03E32A-A185-4EC8-A4C0-19DF611A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58"/>
    <w:pPr>
      <w:widowControl w:val="0"/>
    </w:pPr>
    <w:rPr>
      <w:rFonts w:ascii="Times New Roman" w:eastAsia="Times New Roman" w:hAnsi="Times New Roman"/>
      <w:snapToGrid w:val="0"/>
      <w:kern w:val="28"/>
      <w:sz w:val="22"/>
    </w:rPr>
  </w:style>
  <w:style w:type="paragraph" w:styleId="Heading1">
    <w:name w:val="heading 1"/>
    <w:basedOn w:val="Normal"/>
    <w:next w:val="ParaNum"/>
    <w:link w:val="Heading1Char"/>
    <w:qFormat/>
    <w:rsid w:val="00A5735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57358"/>
    <w:pPr>
      <w:keepNext/>
      <w:numPr>
        <w:ilvl w:val="1"/>
        <w:numId w:val="2"/>
      </w:numPr>
      <w:spacing w:after="120"/>
      <w:outlineLvl w:val="1"/>
    </w:pPr>
    <w:rPr>
      <w:b/>
    </w:rPr>
  </w:style>
  <w:style w:type="paragraph" w:styleId="Heading3">
    <w:name w:val="heading 3"/>
    <w:basedOn w:val="Normal"/>
    <w:next w:val="ParaNum"/>
    <w:link w:val="Heading3Char"/>
    <w:qFormat/>
    <w:rsid w:val="00A5735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5735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5735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5735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5735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5735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5735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73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7358"/>
  </w:style>
  <w:style w:type="character" w:customStyle="1" w:styleId="Heading1Char">
    <w:name w:val="Heading 1 Char"/>
    <w:link w:val="Heading1"/>
    <w:rsid w:val="0029463E"/>
    <w:rPr>
      <w:rFonts w:ascii="Times New Roman Bold" w:eastAsia="Times New Roman" w:hAnsi="Times New Roman Bold"/>
      <w:b/>
      <w:caps/>
      <w:snapToGrid w:val="0"/>
      <w:kern w:val="28"/>
      <w:sz w:val="22"/>
    </w:rPr>
  </w:style>
  <w:style w:type="character" w:customStyle="1" w:styleId="Heading2Char">
    <w:name w:val="Heading 2 Char"/>
    <w:link w:val="Heading2"/>
    <w:rsid w:val="0029463E"/>
    <w:rPr>
      <w:rFonts w:ascii="Times New Roman" w:eastAsia="Times New Roman" w:hAnsi="Times New Roman"/>
      <w:b/>
      <w:snapToGrid w:val="0"/>
      <w:kern w:val="28"/>
      <w:sz w:val="22"/>
    </w:rPr>
  </w:style>
  <w:style w:type="character" w:customStyle="1" w:styleId="Heading3Char">
    <w:name w:val="Heading 3 Char"/>
    <w:link w:val="Heading3"/>
    <w:rsid w:val="0029463E"/>
    <w:rPr>
      <w:rFonts w:ascii="Times New Roman" w:eastAsia="Times New Roman" w:hAnsi="Times New Roman"/>
      <w:b/>
      <w:snapToGrid w:val="0"/>
      <w:kern w:val="28"/>
      <w:sz w:val="22"/>
    </w:rPr>
  </w:style>
  <w:style w:type="character" w:customStyle="1" w:styleId="Heading4Char">
    <w:name w:val="Heading 4 Char"/>
    <w:link w:val="Heading4"/>
    <w:rsid w:val="0029463E"/>
    <w:rPr>
      <w:rFonts w:ascii="Times New Roman" w:eastAsia="Times New Roman" w:hAnsi="Times New Roman"/>
      <w:b/>
      <w:snapToGrid w:val="0"/>
      <w:kern w:val="28"/>
      <w:sz w:val="22"/>
    </w:rPr>
  </w:style>
  <w:style w:type="character" w:customStyle="1" w:styleId="Heading5Char">
    <w:name w:val="Heading 5 Char"/>
    <w:link w:val="Heading5"/>
    <w:rsid w:val="0029463E"/>
    <w:rPr>
      <w:rFonts w:ascii="Times New Roman" w:eastAsia="Times New Roman" w:hAnsi="Times New Roman"/>
      <w:b/>
      <w:snapToGrid w:val="0"/>
      <w:kern w:val="28"/>
      <w:sz w:val="22"/>
    </w:rPr>
  </w:style>
  <w:style w:type="character" w:customStyle="1" w:styleId="Heading6Char">
    <w:name w:val="Heading 6 Char"/>
    <w:link w:val="Heading6"/>
    <w:rsid w:val="0029463E"/>
    <w:rPr>
      <w:rFonts w:ascii="Times New Roman" w:eastAsia="Times New Roman" w:hAnsi="Times New Roman"/>
      <w:b/>
      <w:snapToGrid w:val="0"/>
      <w:kern w:val="28"/>
      <w:sz w:val="22"/>
    </w:rPr>
  </w:style>
  <w:style w:type="character" w:customStyle="1" w:styleId="Heading7Char">
    <w:name w:val="Heading 7 Char"/>
    <w:link w:val="Heading7"/>
    <w:rsid w:val="0029463E"/>
    <w:rPr>
      <w:rFonts w:ascii="Times New Roman" w:eastAsia="Times New Roman" w:hAnsi="Times New Roman"/>
      <w:b/>
      <w:snapToGrid w:val="0"/>
      <w:kern w:val="28"/>
      <w:sz w:val="22"/>
    </w:rPr>
  </w:style>
  <w:style w:type="character" w:customStyle="1" w:styleId="Heading8Char">
    <w:name w:val="Heading 8 Char"/>
    <w:link w:val="Heading8"/>
    <w:rsid w:val="0029463E"/>
    <w:rPr>
      <w:rFonts w:ascii="Times New Roman" w:eastAsia="Times New Roman" w:hAnsi="Times New Roman"/>
      <w:b/>
      <w:snapToGrid w:val="0"/>
      <w:kern w:val="28"/>
      <w:sz w:val="22"/>
    </w:rPr>
  </w:style>
  <w:style w:type="character" w:customStyle="1" w:styleId="Heading9Char">
    <w:name w:val="Heading 9 Char"/>
    <w:link w:val="Heading9"/>
    <w:rsid w:val="0029463E"/>
    <w:rPr>
      <w:rFonts w:ascii="Times New Roman" w:eastAsia="Times New Roman" w:hAnsi="Times New Roman"/>
      <w:b/>
      <w:snapToGrid w:val="0"/>
      <w:kern w:val="28"/>
      <w:sz w:val="22"/>
    </w:rPr>
  </w:style>
  <w:style w:type="paragraph" w:customStyle="1" w:styleId="ParaNum">
    <w:name w:val="ParaNum"/>
    <w:basedOn w:val="Normal"/>
    <w:link w:val="ParaNumChar"/>
    <w:rsid w:val="00A57358"/>
    <w:pPr>
      <w:numPr>
        <w:numId w:val="1"/>
      </w:numPr>
      <w:tabs>
        <w:tab w:val="clear" w:pos="1080"/>
        <w:tab w:val="num" w:pos="1440"/>
      </w:tabs>
      <w:spacing w:after="120"/>
    </w:p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A57358"/>
    <w:pPr>
      <w:spacing w:after="120"/>
    </w:pPr>
    <w:rPr>
      <w:rFonts w:ascii="Times New Roman" w:eastAsia="Times New Roman" w:hAnsi="Times New Roman"/>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29463E"/>
    <w:rPr>
      <w:rFonts w:ascii="Times New Roman" w:eastAsia="Times New Roman" w:hAnsi="Times New Roman"/>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A57358"/>
    <w:rPr>
      <w:rFonts w:ascii="Times New Roman" w:hAnsi="Times New Roman"/>
      <w:dstrike w:val="0"/>
      <w:color w:val="auto"/>
      <w:sz w:val="20"/>
      <w:vertAlign w:val="superscript"/>
    </w:rPr>
  </w:style>
  <w:style w:type="paragraph" w:styleId="Header">
    <w:name w:val="header"/>
    <w:basedOn w:val="Normal"/>
    <w:link w:val="HeaderChar"/>
    <w:autoRedefine/>
    <w:rsid w:val="00A57358"/>
    <w:pPr>
      <w:tabs>
        <w:tab w:val="center" w:pos="4680"/>
        <w:tab w:val="right" w:pos="9360"/>
      </w:tabs>
    </w:pPr>
    <w:rPr>
      <w:b/>
    </w:rPr>
  </w:style>
  <w:style w:type="character" w:customStyle="1" w:styleId="HeaderChar">
    <w:name w:val="Header Char"/>
    <w:link w:val="Header"/>
    <w:rsid w:val="0029463E"/>
    <w:rPr>
      <w:rFonts w:ascii="Times New Roman" w:eastAsia="Times New Roman" w:hAnsi="Times New Roman"/>
      <w:b/>
      <w:snapToGrid w:val="0"/>
      <w:kern w:val="28"/>
      <w:sz w:val="22"/>
    </w:rPr>
  </w:style>
  <w:style w:type="paragraph" w:styleId="Footer">
    <w:name w:val="footer"/>
    <w:basedOn w:val="Normal"/>
    <w:link w:val="FooterChar"/>
    <w:uiPriority w:val="99"/>
    <w:rsid w:val="00A57358"/>
    <w:pPr>
      <w:tabs>
        <w:tab w:val="center" w:pos="4320"/>
        <w:tab w:val="right" w:pos="8640"/>
      </w:tabs>
    </w:pPr>
  </w:style>
  <w:style w:type="character" w:customStyle="1" w:styleId="FooterChar">
    <w:name w:val="Footer Char"/>
    <w:link w:val="Footer"/>
    <w:uiPriority w:val="99"/>
    <w:rsid w:val="00A57358"/>
    <w:rPr>
      <w:rFonts w:ascii="Times New Roman" w:eastAsia="Times New Roman" w:hAnsi="Times New Roman"/>
      <w:snapToGrid w:val="0"/>
      <w:kern w:val="28"/>
      <w:sz w:val="22"/>
    </w:rPr>
  </w:style>
  <w:style w:type="paragraph" w:customStyle="1" w:styleId="StyleBoldCentered">
    <w:name w:val="Style Bold Centered"/>
    <w:basedOn w:val="Normal"/>
    <w:rsid w:val="00A57358"/>
    <w:pPr>
      <w:jc w:val="center"/>
    </w:pPr>
    <w:rPr>
      <w:rFonts w:ascii="Times New Roman Bold" w:hAnsi="Times New Roman Bold"/>
      <w:b/>
      <w:bCs/>
      <w:caps/>
      <w:szCs w:val="22"/>
    </w:rPr>
  </w:style>
  <w:style w:type="character" w:customStyle="1" w:styleId="ParaNumChar">
    <w:name w:val="ParaNum Char"/>
    <w:link w:val="ParaNum"/>
    <w:rsid w:val="0029463E"/>
    <w:rPr>
      <w:rFonts w:ascii="Times New Roman" w:eastAsia="Times New Roman" w:hAnsi="Times New Roman"/>
      <w:snapToGrid w:val="0"/>
      <w:kern w:val="28"/>
      <w:sz w:val="22"/>
    </w:rPr>
  </w:style>
  <w:style w:type="paragraph" w:styleId="ListParagraph">
    <w:name w:val="List Paragraph"/>
    <w:basedOn w:val="Normal"/>
    <w:uiPriority w:val="34"/>
    <w:qFormat/>
    <w:rsid w:val="003E6AA8"/>
    <w:pPr>
      <w:ind w:left="720"/>
      <w:contextualSpacing/>
    </w:pPr>
  </w:style>
  <w:style w:type="paragraph" w:styleId="BalloonText">
    <w:name w:val="Balloon Text"/>
    <w:basedOn w:val="Normal"/>
    <w:link w:val="BalloonTextChar"/>
    <w:uiPriority w:val="99"/>
    <w:semiHidden/>
    <w:unhideWhenUsed/>
    <w:rsid w:val="00C31149"/>
    <w:rPr>
      <w:rFonts w:ascii="Segoe UI" w:hAnsi="Segoe UI" w:cs="Segoe UI"/>
      <w:sz w:val="18"/>
      <w:szCs w:val="18"/>
    </w:rPr>
  </w:style>
  <w:style w:type="character" w:customStyle="1" w:styleId="BalloonTextChar">
    <w:name w:val="Balloon Text Char"/>
    <w:link w:val="BalloonText"/>
    <w:uiPriority w:val="99"/>
    <w:semiHidden/>
    <w:rsid w:val="00C31149"/>
    <w:rPr>
      <w:rFonts w:ascii="Segoe UI" w:eastAsia="Times New Roman" w:hAnsi="Segoe UI" w:cs="Segoe UI"/>
      <w:snapToGrid w:val="0"/>
      <w:kern w:val="28"/>
      <w:sz w:val="18"/>
      <w:szCs w:val="18"/>
    </w:rPr>
  </w:style>
  <w:style w:type="character" w:styleId="CommentReference">
    <w:name w:val="annotation reference"/>
    <w:uiPriority w:val="99"/>
    <w:semiHidden/>
    <w:unhideWhenUsed/>
    <w:rsid w:val="00926CBC"/>
    <w:rPr>
      <w:sz w:val="16"/>
      <w:szCs w:val="16"/>
    </w:rPr>
  </w:style>
  <w:style w:type="paragraph" w:styleId="CommentText">
    <w:name w:val="annotation text"/>
    <w:basedOn w:val="Normal"/>
    <w:link w:val="CommentTextChar"/>
    <w:uiPriority w:val="99"/>
    <w:unhideWhenUsed/>
    <w:rsid w:val="00926CBC"/>
    <w:rPr>
      <w:sz w:val="20"/>
    </w:rPr>
  </w:style>
  <w:style w:type="character" w:customStyle="1" w:styleId="CommentTextChar">
    <w:name w:val="Comment Text Char"/>
    <w:link w:val="CommentText"/>
    <w:uiPriority w:val="99"/>
    <w:rsid w:val="00926CB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26CBC"/>
    <w:rPr>
      <w:b/>
      <w:bCs/>
    </w:rPr>
  </w:style>
  <w:style w:type="character" w:customStyle="1" w:styleId="CommentSubjectChar">
    <w:name w:val="Comment Subject Char"/>
    <w:link w:val="CommentSubject"/>
    <w:uiPriority w:val="99"/>
    <w:semiHidden/>
    <w:rsid w:val="00926CBC"/>
    <w:rPr>
      <w:rFonts w:ascii="Times New Roman" w:eastAsia="Times New Roman" w:hAnsi="Times New Roman" w:cs="Times New Roman"/>
      <w:b/>
      <w:bCs/>
      <w:snapToGrid w:val="0"/>
      <w:kern w:val="28"/>
      <w:sz w:val="20"/>
      <w:szCs w:val="20"/>
    </w:rPr>
  </w:style>
  <w:style w:type="paragraph" w:styleId="EndnoteText">
    <w:name w:val="endnote text"/>
    <w:basedOn w:val="Normal"/>
    <w:link w:val="EndnoteTextChar"/>
    <w:semiHidden/>
    <w:rsid w:val="00A57358"/>
    <w:rPr>
      <w:sz w:val="20"/>
    </w:rPr>
  </w:style>
  <w:style w:type="character" w:customStyle="1" w:styleId="EndnoteTextChar">
    <w:name w:val="Endnote Text Char"/>
    <w:link w:val="EndnoteText"/>
    <w:semiHidden/>
    <w:rsid w:val="004021F5"/>
    <w:rPr>
      <w:rFonts w:ascii="Times New Roman" w:eastAsia="Times New Roman" w:hAnsi="Times New Roman"/>
      <w:snapToGrid w:val="0"/>
      <w:kern w:val="28"/>
    </w:rPr>
  </w:style>
  <w:style w:type="character" w:styleId="EndnoteReference">
    <w:name w:val="endnote reference"/>
    <w:semiHidden/>
    <w:rsid w:val="00A57358"/>
    <w:rPr>
      <w:vertAlign w:val="superscript"/>
    </w:rPr>
  </w:style>
  <w:style w:type="paragraph" w:styleId="TOC1">
    <w:name w:val="toc 1"/>
    <w:basedOn w:val="Normal"/>
    <w:next w:val="Normal"/>
    <w:semiHidden/>
    <w:rsid w:val="00A5735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57358"/>
    <w:pPr>
      <w:tabs>
        <w:tab w:val="left" w:pos="720"/>
        <w:tab w:val="right" w:leader="dot" w:pos="9360"/>
      </w:tabs>
      <w:suppressAutoHyphens/>
      <w:ind w:left="720" w:right="720" w:hanging="360"/>
    </w:pPr>
    <w:rPr>
      <w:noProof/>
    </w:rPr>
  </w:style>
  <w:style w:type="paragraph" w:styleId="TOC3">
    <w:name w:val="toc 3"/>
    <w:basedOn w:val="Normal"/>
    <w:next w:val="Normal"/>
    <w:semiHidden/>
    <w:rsid w:val="00A5735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5735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5735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5735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5735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5735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5735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57358"/>
    <w:pPr>
      <w:tabs>
        <w:tab w:val="right" w:pos="9360"/>
      </w:tabs>
      <w:suppressAutoHyphens/>
    </w:pPr>
  </w:style>
  <w:style w:type="character" w:customStyle="1" w:styleId="EquationCaption">
    <w:name w:val="_Equation Caption"/>
    <w:rsid w:val="00A57358"/>
  </w:style>
  <w:style w:type="character" w:styleId="PageNumber">
    <w:name w:val="page number"/>
    <w:basedOn w:val="DefaultParagraphFont"/>
    <w:rsid w:val="00A57358"/>
  </w:style>
  <w:style w:type="paragraph" w:styleId="BlockText">
    <w:name w:val="Block Text"/>
    <w:basedOn w:val="Normal"/>
    <w:rsid w:val="00A57358"/>
    <w:pPr>
      <w:spacing w:after="240"/>
      <w:ind w:left="1440" w:right="1440"/>
    </w:pPr>
  </w:style>
  <w:style w:type="paragraph" w:customStyle="1" w:styleId="Paratitle">
    <w:name w:val="Para title"/>
    <w:basedOn w:val="Normal"/>
    <w:rsid w:val="00A57358"/>
    <w:pPr>
      <w:tabs>
        <w:tab w:val="center" w:pos="9270"/>
      </w:tabs>
      <w:spacing w:after="240"/>
    </w:pPr>
    <w:rPr>
      <w:spacing w:val="-2"/>
    </w:rPr>
  </w:style>
  <w:style w:type="paragraph" w:customStyle="1" w:styleId="Bullet">
    <w:name w:val="Bullet"/>
    <w:basedOn w:val="Normal"/>
    <w:rsid w:val="00A57358"/>
    <w:pPr>
      <w:tabs>
        <w:tab w:val="left" w:pos="2160"/>
      </w:tabs>
      <w:spacing w:after="220"/>
      <w:ind w:left="2160" w:hanging="720"/>
    </w:pPr>
  </w:style>
  <w:style w:type="paragraph" w:customStyle="1" w:styleId="TableFormat">
    <w:name w:val="TableFormat"/>
    <w:basedOn w:val="Bullet"/>
    <w:rsid w:val="00A57358"/>
    <w:pPr>
      <w:tabs>
        <w:tab w:val="clear" w:pos="2160"/>
        <w:tab w:val="left" w:pos="5040"/>
      </w:tabs>
      <w:ind w:left="5040" w:hanging="3600"/>
    </w:pPr>
  </w:style>
  <w:style w:type="paragraph" w:customStyle="1" w:styleId="TOCTitle">
    <w:name w:val="TOC Title"/>
    <w:basedOn w:val="Normal"/>
    <w:rsid w:val="00A57358"/>
    <w:pPr>
      <w:spacing w:before="240" w:after="240"/>
      <w:jc w:val="center"/>
    </w:pPr>
    <w:rPr>
      <w:rFonts w:ascii="Times New Roman Bold" w:hAnsi="Times New Roman Bold"/>
      <w:b/>
      <w:caps/>
      <w:spacing w:val="-2"/>
    </w:rPr>
  </w:style>
  <w:style w:type="character" w:styleId="Hyperlink">
    <w:name w:val="Hyperlink"/>
    <w:rsid w:val="00A57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