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475A8" w:rsidRPr="003D5AFE" w:rsidP="008475A8" w14:paraId="681F60FF" w14:textId="77777777">
      <w:pPr>
        <w:pStyle w:val="Header"/>
        <w:spacing w:before="120"/>
      </w:pPr>
      <w:bookmarkStart w:id="0" w:name="_GoBack"/>
      <w:bookmarkEnd w:id="0"/>
      <w:r>
        <w:tab/>
      </w:r>
      <w:r w:rsidRPr="003D5AFE">
        <w:t>Before the</w:t>
      </w:r>
    </w:p>
    <w:p w:rsidR="008475A8" w:rsidRPr="00ED051C" w:rsidP="008475A8" w14:paraId="16D9042F" w14:textId="77777777">
      <w:pPr>
        <w:pStyle w:val="StyleBoldCentered"/>
        <w:rPr>
          <w:rFonts w:ascii="Times New Roman" w:hAnsi="Times New Roman"/>
          <w:color w:val="000000"/>
        </w:rPr>
      </w:pPr>
      <w:r w:rsidRPr="00ED051C">
        <w:rPr>
          <w:rFonts w:ascii="Times New Roman" w:hAnsi="Times New Roman"/>
          <w:color w:val="000000"/>
        </w:rPr>
        <w:t>F</w:t>
      </w:r>
      <w:r w:rsidRPr="00ED051C">
        <w:rPr>
          <w:rFonts w:ascii="Times New Roman" w:hAnsi="Times New Roman"/>
          <w:caps w:val="0"/>
          <w:color w:val="000000"/>
        </w:rPr>
        <w:t>ederal Communications Commission</w:t>
      </w:r>
    </w:p>
    <w:p w:rsidR="008475A8" w:rsidRPr="00ED051C" w:rsidP="008475A8" w14:paraId="1E8247FB" w14:textId="77777777">
      <w:pPr>
        <w:jc w:val="center"/>
        <w:rPr>
          <w:b/>
          <w:color w:val="000000"/>
        </w:rPr>
      </w:pPr>
      <w:r w:rsidRPr="00ED051C">
        <w:rPr>
          <w:b/>
          <w:color w:val="000000"/>
        </w:rPr>
        <w:t xml:space="preserve">Washington, DC 20554 </w:t>
      </w:r>
    </w:p>
    <w:tbl>
      <w:tblPr>
        <w:tblW w:w="0" w:type="auto"/>
        <w:tblLayout w:type="fixed"/>
        <w:tblLook w:val="0000"/>
      </w:tblPr>
      <w:tblGrid>
        <w:gridCol w:w="4518"/>
        <w:gridCol w:w="630"/>
        <w:gridCol w:w="4248"/>
      </w:tblGrid>
      <w:tr w14:paraId="6BB3297C" w14:textId="77777777" w:rsidTr="000D058B">
        <w:tblPrEx>
          <w:tblW w:w="0" w:type="auto"/>
          <w:tblLayout w:type="fixed"/>
          <w:tblLook w:val="0000"/>
        </w:tblPrEx>
        <w:tc>
          <w:tcPr>
            <w:tcW w:w="4518" w:type="dxa"/>
          </w:tcPr>
          <w:p w:rsidR="008475A8" w:rsidRPr="00ED051C" w:rsidP="000D058B" w14:paraId="071037E9" w14:textId="77777777">
            <w:pPr>
              <w:tabs>
                <w:tab w:val="center" w:pos="4680"/>
              </w:tabs>
              <w:suppressAutoHyphens/>
              <w:rPr>
                <w:color w:val="000000"/>
                <w:spacing w:val="-2"/>
              </w:rPr>
            </w:pPr>
          </w:p>
          <w:p w:rsidR="008475A8" w:rsidP="000D058B" w14:paraId="143DA350" w14:textId="77777777">
            <w:pPr>
              <w:tabs>
                <w:tab w:val="center" w:pos="4680"/>
              </w:tabs>
              <w:suppressAutoHyphens/>
              <w:rPr>
                <w:color w:val="000000"/>
                <w:spacing w:val="-2"/>
              </w:rPr>
            </w:pPr>
            <w:r w:rsidRPr="00ED051C">
              <w:rPr>
                <w:color w:val="000000"/>
                <w:spacing w:val="-2"/>
              </w:rPr>
              <w:t>In the Matter of</w:t>
            </w:r>
          </w:p>
          <w:p w:rsidR="008475A8" w:rsidRPr="00ED051C" w:rsidP="000D058B" w14:paraId="1BAEFA59" w14:textId="77777777">
            <w:pPr>
              <w:tabs>
                <w:tab w:val="center" w:pos="4680"/>
              </w:tabs>
              <w:suppressAutoHyphens/>
              <w:rPr>
                <w:color w:val="000000"/>
                <w:spacing w:val="-2"/>
              </w:rPr>
            </w:pPr>
          </w:p>
          <w:p w:rsidR="008475A8" w:rsidRPr="00ED051C" w:rsidP="000D058B" w14:paraId="22C6EA59" w14:textId="77777777">
            <w:pPr>
              <w:tabs>
                <w:tab w:val="center" w:pos="4680"/>
              </w:tabs>
              <w:suppressAutoHyphens/>
              <w:rPr>
                <w:color w:val="000000"/>
                <w:spacing w:val="-2"/>
              </w:rPr>
            </w:pPr>
            <w:r w:rsidRPr="00ED051C">
              <w:rPr>
                <w:color w:val="000000"/>
                <w:spacing w:val="-2"/>
              </w:rPr>
              <w:t>Sound Around, Inc.</w:t>
            </w:r>
          </w:p>
        </w:tc>
        <w:tc>
          <w:tcPr>
            <w:tcW w:w="630" w:type="dxa"/>
          </w:tcPr>
          <w:p w:rsidR="008475A8" w:rsidRPr="00ED051C" w:rsidP="000D058B" w14:paraId="44190CC8" w14:textId="77777777">
            <w:pPr>
              <w:tabs>
                <w:tab w:val="center" w:pos="4680"/>
              </w:tabs>
              <w:suppressAutoHyphens/>
              <w:rPr>
                <w:b/>
                <w:color w:val="000000"/>
                <w:spacing w:val="-2"/>
              </w:rPr>
            </w:pPr>
          </w:p>
          <w:p w:rsidR="008475A8" w:rsidRPr="00ED051C" w:rsidP="000D058B" w14:paraId="100C3431" w14:textId="77777777">
            <w:pPr>
              <w:tabs>
                <w:tab w:val="center" w:pos="4680"/>
              </w:tabs>
              <w:suppressAutoHyphens/>
              <w:rPr>
                <w:b/>
                <w:color w:val="000000"/>
                <w:spacing w:val="-2"/>
              </w:rPr>
            </w:pPr>
            <w:r w:rsidRPr="00ED051C">
              <w:rPr>
                <w:b/>
                <w:color w:val="000000"/>
                <w:spacing w:val="-2"/>
              </w:rPr>
              <w:t xml:space="preserve">  ) </w:t>
            </w:r>
          </w:p>
          <w:p w:rsidR="008475A8" w:rsidRPr="00ED051C" w:rsidP="000D058B" w14:paraId="3F3B05FB" w14:textId="77777777">
            <w:pPr>
              <w:tabs>
                <w:tab w:val="center" w:pos="4680"/>
              </w:tabs>
              <w:suppressAutoHyphens/>
              <w:rPr>
                <w:b/>
                <w:color w:val="000000"/>
                <w:spacing w:val="-2"/>
              </w:rPr>
            </w:pPr>
            <w:r w:rsidRPr="00ED051C">
              <w:rPr>
                <w:b/>
                <w:color w:val="000000"/>
                <w:spacing w:val="-2"/>
              </w:rPr>
              <w:t xml:space="preserve">  )</w:t>
            </w:r>
          </w:p>
          <w:p w:rsidR="008475A8" w:rsidRPr="00ED051C" w:rsidP="000D058B" w14:paraId="56614147" w14:textId="77777777">
            <w:pPr>
              <w:tabs>
                <w:tab w:val="center" w:pos="4680"/>
              </w:tabs>
              <w:suppressAutoHyphens/>
              <w:rPr>
                <w:b/>
                <w:color w:val="000000"/>
                <w:spacing w:val="-2"/>
              </w:rPr>
            </w:pPr>
            <w:r w:rsidRPr="00ED051C">
              <w:rPr>
                <w:b/>
                <w:color w:val="000000"/>
                <w:spacing w:val="-2"/>
              </w:rPr>
              <w:t xml:space="preserve">  )</w:t>
            </w:r>
          </w:p>
          <w:p w:rsidR="008475A8" w:rsidRPr="00ED051C" w:rsidP="000D058B" w14:paraId="6C122B7D" w14:textId="77777777">
            <w:pPr>
              <w:tabs>
                <w:tab w:val="center" w:pos="4680"/>
              </w:tabs>
              <w:suppressAutoHyphens/>
              <w:rPr>
                <w:b/>
                <w:color w:val="000000"/>
                <w:spacing w:val="-2"/>
              </w:rPr>
            </w:pPr>
            <w:r w:rsidRPr="00ED051C">
              <w:rPr>
                <w:b/>
                <w:color w:val="000000"/>
                <w:spacing w:val="-2"/>
              </w:rPr>
              <w:t xml:space="preserve">  )</w:t>
            </w:r>
          </w:p>
          <w:p w:rsidR="008475A8" w:rsidRPr="00ED051C" w:rsidP="000D058B" w14:paraId="101B4D6E" w14:textId="77777777">
            <w:pPr>
              <w:tabs>
                <w:tab w:val="center" w:pos="4680"/>
              </w:tabs>
              <w:suppressAutoHyphens/>
              <w:rPr>
                <w:b/>
                <w:color w:val="000000"/>
                <w:spacing w:val="-2"/>
              </w:rPr>
            </w:pPr>
            <w:r w:rsidRPr="00ED051C">
              <w:rPr>
                <w:b/>
                <w:color w:val="000000"/>
                <w:spacing w:val="-2"/>
              </w:rPr>
              <w:t xml:space="preserve">  )</w:t>
            </w:r>
          </w:p>
          <w:p w:rsidR="008475A8" w:rsidRPr="00ED051C" w:rsidP="000D058B" w14:paraId="0276218C" w14:textId="77777777">
            <w:pPr>
              <w:tabs>
                <w:tab w:val="center" w:pos="4680"/>
              </w:tabs>
              <w:suppressAutoHyphens/>
              <w:rPr>
                <w:b/>
                <w:color w:val="000000"/>
                <w:spacing w:val="-2"/>
              </w:rPr>
            </w:pPr>
            <w:r w:rsidRPr="00ED051C">
              <w:rPr>
                <w:b/>
                <w:color w:val="000000"/>
                <w:spacing w:val="-2"/>
              </w:rPr>
              <w:t xml:space="preserve"> </w:t>
            </w:r>
          </w:p>
        </w:tc>
        <w:tc>
          <w:tcPr>
            <w:tcW w:w="4248" w:type="dxa"/>
          </w:tcPr>
          <w:p w:rsidR="008475A8" w:rsidRPr="00ED051C" w:rsidP="000D058B" w14:paraId="08F1AE43" w14:textId="77777777">
            <w:pPr>
              <w:tabs>
                <w:tab w:val="center" w:pos="4680"/>
              </w:tabs>
              <w:suppressAutoHyphens/>
              <w:rPr>
                <w:color w:val="000000"/>
                <w:spacing w:val="-2"/>
              </w:rPr>
            </w:pPr>
          </w:p>
          <w:p w:rsidR="008475A8" w:rsidRPr="00ED051C" w:rsidP="000D058B" w14:paraId="3AB6EEE0" w14:textId="77777777">
            <w:pPr>
              <w:tabs>
                <w:tab w:val="center" w:pos="4680"/>
              </w:tabs>
              <w:suppressAutoHyphens/>
              <w:rPr>
                <w:color w:val="000000"/>
                <w:spacing w:val="-2"/>
              </w:rPr>
            </w:pPr>
            <w:r w:rsidRPr="00ED051C">
              <w:rPr>
                <w:color w:val="000000"/>
                <w:spacing w:val="-2"/>
              </w:rPr>
              <w:t>File No:  EB-SED-17-00024010</w:t>
            </w:r>
          </w:p>
          <w:p w:rsidR="008475A8" w:rsidRPr="00ED051C" w:rsidP="000D058B" w14:paraId="16F6CA21" w14:textId="77777777">
            <w:pPr>
              <w:tabs>
                <w:tab w:val="center" w:pos="4680"/>
              </w:tabs>
              <w:suppressAutoHyphens/>
              <w:rPr>
                <w:color w:val="000000"/>
                <w:spacing w:val="-2"/>
              </w:rPr>
            </w:pPr>
            <w:r w:rsidRPr="00ED051C">
              <w:rPr>
                <w:color w:val="000000"/>
                <w:spacing w:val="-2"/>
              </w:rPr>
              <w:t xml:space="preserve">NAL/Acct. No.: </w:t>
            </w:r>
            <w:r>
              <w:rPr>
                <w:color w:val="000000"/>
                <w:spacing w:val="-2"/>
              </w:rPr>
              <w:t>202032100006</w:t>
            </w:r>
          </w:p>
          <w:p w:rsidR="008475A8" w:rsidRPr="00ED051C" w:rsidP="000D058B" w14:paraId="14B5187A" w14:textId="77777777">
            <w:pPr>
              <w:tabs>
                <w:tab w:val="center" w:pos="4680"/>
              </w:tabs>
              <w:suppressAutoHyphens/>
              <w:rPr>
                <w:color w:val="000000"/>
                <w:spacing w:val="-2"/>
              </w:rPr>
            </w:pPr>
            <w:r w:rsidRPr="00ED051C">
              <w:rPr>
                <w:color w:val="000000"/>
                <w:spacing w:val="-2"/>
              </w:rPr>
              <w:t xml:space="preserve">FRN:  </w:t>
            </w:r>
            <w:r>
              <w:t>0028317733</w:t>
            </w:r>
          </w:p>
          <w:p w:rsidR="008475A8" w:rsidRPr="00ED051C" w:rsidP="000D058B" w14:paraId="0278B48D" w14:textId="77777777">
            <w:pPr>
              <w:tabs>
                <w:tab w:val="center" w:pos="4680"/>
              </w:tabs>
              <w:suppressAutoHyphens/>
              <w:rPr>
                <w:color w:val="000000"/>
                <w:spacing w:val="-2"/>
              </w:rPr>
            </w:pPr>
            <w:r w:rsidRPr="00ED051C">
              <w:rPr>
                <w:color w:val="000000"/>
                <w:spacing w:val="-2"/>
              </w:rPr>
              <w:t xml:space="preserve">             </w:t>
            </w:r>
          </w:p>
        </w:tc>
      </w:tr>
    </w:tbl>
    <w:p w:rsidR="008475A8" w:rsidRPr="00ED051C" w:rsidP="008475A8" w14:paraId="534B76F4" w14:textId="77777777">
      <w:pPr>
        <w:pStyle w:val="StyleBoldCentered"/>
        <w:rPr>
          <w:rFonts w:ascii="Times New Roman" w:hAnsi="Times New Roman"/>
          <w:color w:val="000000"/>
        </w:rPr>
      </w:pPr>
      <w:r w:rsidRPr="00ED051C">
        <w:rPr>
          <w:rFonts w:ascii="Times New Roman" w:hAnsi="Times New Roman"/>
          <w:color w:val="000000"/>
        </w:rPr>
        <w:t>NOTICE OF APPARENT LIABILITY FOR FORFEITURE</w:t>
      </w:r>
    </w:p>
    <w:p w:rsidR="008475A8" w:rsidRPr="00ED051C" w:rsidP="008475A8" w14:paraId="111F579E" w14:textId="77777777">
      <w:pPr>
        <w:pStyle w:val="BodyText"/>
        <w:tabs>
          <w:tab w:val="left" w:pos="4680"/>
        </w:tabs>
        <w:jc w:val="center"/>
        <w:rPr>
          <w:color w:val="000000"/>
          <w:sz w:val="22"/>
          <w:u w:val="none"/>
        </w:rPr>
      </w:pPr>
    </w:p>
    <w:p w:rsidR="008475A8" w:rsidRPr="003D5AFE" w:rsidP="008475A8" w14:paraId="7A710E3A" w14:textId="77777777">
      <w:pPr>
        <w:tabs>
          <w:tab w:val="left" w:pos="720"/>
          <w:tab w:val="right" w:pos="9360"/>
        </w:tabs>
        <w:suppressAutoHyphens/>
        <w:spacing w:line="227" w:lineRule="auto"/>
        <w:rPr>
          <w:b/>
          <w:spacing w:val="-2"/>
        </w:rPr>
      </w:pPr>
      <w:r w:rsidRPr="003D5AFE">
        <w:rPr>
          <w:b/>
          <w:spacing w:val="-2"/>
        </w:rPr>
        <w:t xml:space="preserve">Adopted:  </w:t>
      </w:r>
      <w:r>
        <w:rPr>
          <w:b/>
          <w:spacing w:val="-2"/>
        </w:rPr>
        <w:t>April 2, 2020</w:t>
      </w:r>
      <w:r w:rsidRPr="003D5AFE">
        <w:rPr>
          <w:b/>
          <w:spacing w:val="-2"/>
        </w:rPr>
        <w:tab/>
        <w:t xml:space="preserve">Released:  </w:t>
      </w:r>
      <w:r>
        <w:rPr>
          <w:b/>
          <w:spacing w:val="-2"/>
        </w:rPr>
        <w:t>April 3, 2020</w:t>
      </w:r>
    </w:p>
    <w:p w:rsidR="008475A8" w:rsidRPr="00ED051C" w:rsidP="008475A8" w14:paraId="5E3BD25C" w14:textId="77777777">
      <w:pPr>
        <w:pStyle w:val="BodyText"/>
        <w:tabs>
          <w:tab w:val="left" w:pos="4680"/>
        </w:tabs>
        <w:spacing w:after="120"/>
        <w:jc w:val="center"/>
        <w:rPr>
          <w:color w:val="000000"/>
          <w:sz w:val="22"/>
          <w:u w:val="none"/>
        </w:rPr>
      </w:pPr>
    </w:p>
    <w:p w:rsidR="008475A8" w:rsidP="008475A8" w14:paraId="38020709" w14:textId="77777777">
      <w:pPr>
        <w:tabs>
          <w:tab w:val="left" w:pos="720"/>
          <w:tab w:val="left" w:pos="5760"/>
        </w:tabs>
        <w:suppressAutoHyphens/>
        <w:spacing w:line="227" w:lineRule="auto"/>
        <w:jc w:val="both"/>
        <w:rPr>
          <w:spacing w:val="-2"/>
        </w:rPr>
      </w:pPr>
      <w:r w:rsidRPr="00AE2519">
        <w:rPr>
          <w:spacing w:val="-2"/>
        </w:rPr>
        <w:t>By the Commission:</w:t>
      </w:r>
    </w:p>
    <w:p w:rsidR="008475A8" w:rsidP="008475A8" w14:paraId="40D4C886" w14:textId="77777777">
      <w:pPr>
        <w:pStyle w:val="TOCTitle"/>
      </w:pPr>
      <w:bookmarkStart w:id="1" w:name="TOChere"/>
      <w:r>
        <w:t>Table of Contents</w:t>
      </w:r>
    </w:p>
    <w:p w:rsidR="008475A8" w:rsidP="008475A8" w14:paraId="3E1D97DE" w14:textId="77777777">
      <w:pPr>
        <w:pStyle w:val="Paratitle"/>
      </w:pPr>
      <w:r>
        <w:t>Heading</w:t>
      </w:r>
      <w:r>
        <w:tab/>
        <w:t>Paragraph #</w:t>
      </w:r>
      <w:bookmarkStart w:id="2" w:name="start_here"/>
      <w:bookmarkEnd w:id="2"/>
    </w:p>
    <w:p w:rsidR="008475A8" w:rsidRPr="008475A8" w:rsidP="008475A8" w14:paraId="1057FBAA" w14:textId="77777777">
      <w:pPr>
        <w:pStyle w:val="TOC1"/>
        <w:rPr>
          <w:rFonts w:ascii="Calibri" w:hAnsi="Calibri"/>
          <w:caps w:val="0"/>
          <w:snapToGrid/>
          <w:kern w:val="0"/>
          <w:szCs w:val="22"/>
        </w:rPr>
      </w:pPr>
      <w:r w:rsidRPr="00F40ABA">
        <w:rPr>
          <w:color w:val="000000"/>
        </w:rPr>
        <w:t>I.</w:t>
      </w:r>
      <w:r w:rsidRPr="008475A8">
        <w:rPr>
          <w:rFonts w:ascii="Calibri" w:hAnsi="Calibri"/>
          <w:caps w:val="0"/>
          <w:snapToGrid/>
          <w:kern w:val="0"/>
          <w:szCs w:val="22"/>
        </w:rPr>
        <w:tab/>
      </w:r>
      <w:r w:rsidRPr="00F40ABA">
        <w:rPr>
          <w:color w:val="000000"/>
        </w:rPr>
        <w:t>INTRODUCTION</w:t>
      </w:r>
      <w:r>
        <w:tab/>
        <w:t>1</w:t>
      </w:r>
    </w:p>
    <w:p w:rsidR="008475A8" w:rsidRPr="008475A8" w:rsidP="008475A8" w14:paraId="1A5E5E56" w14:textId="77777777">
      <w:pPr>
        <w:pStyle w:val="TOC1"/>
        <w:rPr>
          <w:rFonts w:ascii="Calibri" w:hAnsi="Calibri"/>
          <w:caps w:val="0"/>
          <w:snapToGrid/>
          <w:kern w:val="0"/>
          <w:szCs w:val="22"/>
        </w:rPr>
      </w:pPr>
      <w:r w:rsidRPr="00F40ABA">
        <w:rPr>
          <w:color w:val="000000"/>
        </w:rPr>
        <w:t>II.</w:t>
      </w:r>
      <w:r w:rsidRPr="008475A8">
        <w:rPr>
          <w:rFonts w:ascii="Calibri" w:hAnsi="Calibri"/>
          <w:caps w:val="0"/>
          <w:snapToGrid/>
          <w:kern w:val="0"/>
          <w:szCs w:val="22"/>
        </w:rPr>
        <w:tab/>
      </w:r>
      <w:r w:rsidRPr="00F40ABA">
        <w:rPr>
          <w:color w:val="000000"/>
        </w:rPr>
        <w:t>BACKGROUND</w:t>
      </w:r>
      <w:r>
        <w:tab/>
        <w:t>3</w:t>
      </w:r>
    </w:p>
    <w:p w:rsidR="008475A8" w:rsidRPr="008475A8" w:rsidP="008475A8" w14:paraId="3155B7D9" w14:textId="77777777">
      <w:pPr>
        <w:pStyle w:val="TOC1"/>
        <w:rPr>
          <w:rFonts w:ascii="Calibri" w:hAnsi="Calibri"/>
          <w:caps w:val="0"/>
          <w:snapToGrid/>
          <w:kern w:val="0"/>
          <w:szCs w:val="22"/>
        </w:rPr>
      </w:pPr>
      <w:r>
        <w:t>III.</w:t>
      </w:r>
      <w:r w:rsidRPr="008475A8">
        <w:rPr>
          <w:rFonts w:ascii="Calibri" w:hAnsi="Calibri"/>
          <w:caps w:val="0"/>
          <w:snapToGrid/>
          <w:kern w:val="0"/>
          <w:szCs w:val="22"/>
        </w:rPr>
        <w:tab/>
      </w:r>
      <w:r>
        <w:t>DISCUSSION</w:t>
      </w:r>
      <w:r>
        <w:tab/>
        <w:t>13</w:t>
      </w:r>
    </w:p>
    <w:p w:rsidR="008475A8" w:rsidRPr="008475A8" w:rsidP="008475A8" w14:paraId="407AD8EC" w14:textId="77777777">
      <w:pPr>
        <w:pStyle w:val="TOC2"/>
        <w:tabs>
          <w:tab w:val="left" w:pos="360"/>
        </w:tabs>
        <w:rPr>
          <w:rFonts w:ascii="Calibri" w:hAnsi="Calibri"/>
          <w:snapToGrid/>
          <w:kern w:val="0"/>
          <w:szCs w:val="22"/>
        </w:rPr>
      </w:pPr>
      <w:r>
        <w:t>A.</w:t>
      </w:r>
      <w:r w:rsidRPr="008475A8">
        <w:rPr>
          <w:rFonts w:ascii="Calibri" w:hAnsi="Calibri"/>
          <w:snapToGrid/>
          <w:kern w:val="0"/>
          <w:szCs w:val="22"/>
        </w:rPr>
        <w:tab/>
      </w:r>
      <w:r>
        <w:t>Sound Around Apparently Violated Section 302 of the Act and Sections 2.803 and 74.851 of the Commission’s Rules</w:t>
      </w:r>
      <w:r>
        <w:tab/>
        <w:t>14</w:t>
      </w:r>
    </w:p>
    <w:p w:rsidR="008475A8" w:rsidRPr="008475A8" w:rsidP="008475A8" w14:paraId="43E0AE73" w14:textId="77777777">
      <w:pPr>
        <w:pStyle w:val="TOC2"/>
        <w:tabs>
          <w:tab w:val="left" w:pos="360"/>
        </w:tabs>
        <w:rPr>
          <w:rFonts w:ascii="Calibri" w:hAnsi="Calibri"/>
          <w:snapToGrid/>
          <w:kern w:val="0"/>
          <w:szCs w:val="22"/>
        </w:rPr>
      </w:pPr>
      <w:r>
        <w:t>B.</w:t>
      </w:r>
      <w:r w:rsidRPr="008475A8">
        <w:rPr>
          <w:rFonts w:ascii="Calibri" w:hAnsi="Calibri"/>
          <w:snapToGrid/>
          <w:kern w:val="0"/>
          <w:szCs w:val="22"/>
        </w:rPr>
        <w:tab/>
      </w:r>
      <w:r>
        <w:t>Proposed Forfeiture</w:t>
      </w:r>
      <w:r>
        <w:tab/>
        <w:t>18</w:t>
      </w:r>
    </w:p>
    <w:p w:rsidR="008475A8" w:rsidRPr="008475A8" w:rsidP="008475A8" w14:paraId="1D914E04" w14:textId="77777777">
      <w:pPr>
        <w:pStyle w:val="TOC1"/>
        <w:rPr>
          <w:rFonts w:ascii="Calibri" w:hAnsi="Calibri"/>
          <w:caps w:val="0"/>
          <w:snapToGrid/>
          <w:kern w:val="0"/>
          <w:szCs w:val="22"/>
        </w:rPr>
      </w:pPr>
      <w:r>
        <w:t>IV.</w:t>
      </w:r>
      <w:r w:rsidRPr="008475A8">
        <w:rPr>
          <w:rFonts w:ascii="Calibri" w:hAnsi="Calibri"/>
          <w:caps w:val="0"/>
          <w:snapToGrid/>
          <w:kern w:val="0"/>
          <w:szCs w:val="22"/>
        </w:rPr>
        <w:tab/>
      </w:r>
      <w:r>
        <w:t>ORDERING CLAUSES</w:t>
      </w:r>
      <w:r>
        <w:tab/>
        <w:t>27</w:t>
      </w:r>
    </w:p>
    <w:bookmarkEnd w:id="1"/>
    <w:p w:rsidR="008475A8" w:rsidRPr="00ED051C" w:rsidP="008475A8" w14:paraId="6A6AB9EE" w14:textId="77777777">
      <w:pPr>
        <w:tabs>
          <w:tab w:val="left" w:pos="720"/>
          <w:tab w:val="left" w:pos="5760"/>
        </w:tabs>
        <w:suppressAutoHyphens/>
        <w:spacing w:after="120"/>
        <w:jc w:val="both"/>
        <w:rPr>
          <w:b/>
          <w:color w:val="000000"/>
        </w:rPr>
      </w:pPr>
    </w:p>
    <w:p w:rsidR="008475A8" w:rsidRPr="00ED051C" w:rsidP="008475A8" w14:paraId="1B6BCE6F" w14:textId="77777777">
      <w:pPr>
        <w:pStyle w:val="Heading1"/>
        <w:rPr>
          <w:rFonts w:ascii="Times New Roman" w:hAnsi="Times New Roman"/>
          <w:color w:val="000000"/>
        </w:rPr>
      </w:pPr>
      <w:bookmarkStart w:id="3" w:name="_Toc30159975"/>
      <w:bookmarkStart w:id="4" w:name="_Toc30682815"/>
      <w:bookmarkStart w:id="5" w:name="_Toc31974077"/>
      <w:bookmarkStart w:id="6" w:name="_Toc34812802"/>
      <w:bookmarkStart w:id="7" w:name="_Toc34923184"/>
      <w:r w:rsidRPr="00ED051C">
        <w:rPr>
          <w:rFonts w:ascii="Times New Roman" w:hAnsi="Times New Roman"/>
          <w:color w:val="000000"/>
        </w:rPr>
        <w:t>INTRODUCTION</w:t>
      </w:r>
      <w:bookmarkEnd w:id="3"/>
      <w:bookmarkEnd w:id="4"/>
      <w:bookmarkEnd w:id="5"/>
      <w:bookmarkEnd w:id="6"/>
      <w:bookmarkEnd w:id="7"/>
    </w:p>
    <w:p w:rsidR="008475A8" w:rsidRPr="005F3E70" w:rsidP="008475A8" w14:paraId="11DB2C2E" w14:textId="77777777">
      <w:pPr>
        <w:pStyle w:val="ParaNum"/>
        <w:widowControl/>
        <w:rPr>
          <w:szCs w:val="22"/>
        </w:rPr>
      </w:pPr>
      <w:r>
        <w:t xml:space="preserve">Wireless microphones play an important role in enabling broadcasters and non-broadcasters, such as professional theaters and television and movie producers, to orchestrate a variety of events, including news stories, local entertainment, and production services.  </w:t>
      </w:r>
      <w:r w:rsidRPr="008C1091">
        <w:t>The Commission has authorized wireless microphone operations in different spectrum bands to accommodate the growing use of these devices by different users.  The technical and operational rules for wireless microphone operations in these different bands var</w:t>
      </w:r>
      <w:r>
        <w:t>y</w:t>
      </w:r>
      <w:r w:rsidRPr="008C1091">
        <w:t>, depending on the band, and generally are designed to enable wireless microphone users to operate in shared bands along with other users</w:t>
      </w:r>
      <w:r>
        <w:t>, including licensed users</w:t>
      </w:r>
      <w:r w:rsidRPr="008C1091">
        <w:t xml:space="preserve">.  </w:t>
      </w:r>
      <w:r>
        <w:t xml:space="preserve"> This, in turn, heightens our responsibility to ensure that wireless microphones are marketed in accordance with the Commission’s equipment marketing requirements.  Parties that market wireless microphones in a manner inconsistent with their equipment authorizations increase the potential for harmful interference</w:t>
      </w:r>
      <w:r w:rsidRPr="00A53202">
        <w:t xml:space="preserve"> </w:t>
      </w:r>
      <w:r>
        <w:t xml:space="preserve">and undermine the system of spectrum sharing.  </w:t>
      </w:r>
    </w:p>
    <w:p w:rsidR="008475A8" w:rsidRPr="00DB357F" w:rsidP="008475A8" w14:paraId="203A8880" w14:textId="77777777">
      <w:pPr>
        <w:pStyle w:val="ParaNum"/>
        <w:widowControl/>
        <w:rPr>
          <w:szCs w:val="22"/>
        </w:rPr>
      </w:pPr>
      <w:r>
        <w:t xml:space="preserve">Here, </w:t>
      </w:r>
      <w:r w:rsidRPr="00AE2519">
        <w:t xml:space="preserve">Sound Around, Inc. (Sound Around or Company) marketed </w:t>
      </w:r>
      <w:r>
        <w:t>32 apparently noncompliant m</w:t>
      </w:r>
      <w:r w:rsidRPr="00AE2519">
        <w:t xml:space="preserve">odels of wireless microphones </w:t>
      </w:r>
      <w:r>
        <w:t>in the last year that do not appear to have been authorized in accordance with the Commission’s rules.</w:t>
      </w:r>
      <w:r>
        <w:rPr>
          <w:rStyle w:val="FootnoteReference"/>
        </w:rPr>
        <w:footnoteReference w:id="3"/>
      </w:r>
      <w:r>
        <w:t xml:space="preserve">  The Enforcement Bureau (Bureau) previously issued a citation that notified Sound Around of its legal and regulatory equipment marketing obligations and </w:t>
      </w:r>
      <w:r>
        <w:t>ordered it to stop marketing noncompliant radio frequency devices.</w:t>
      </w:r>
      <w:bookmarkStart w:id="8" w:name="_Ref22630605"/>
      <w:r>
        <w:rPr>
          <w:rStyle w:val="FootnoteReference"/>
        </w:rPr>
        <w:footnoteReference w:id="4"/>
      </w:r>
      <w:bookmarkEnd w:id="8"/>
      <w:r>
        <w:t xml:space="preserve">  </w:t>
      </w:r>
      <w:r>
        <w:rPr>
          <w:szCs w:val="22"/>
        </w:rPr>
        <w:t xml:space="preserve">Despite the issuance of this </w:t>
      </w:r>
      <w:r w:rsidRPr="003E7B0F">
        <w:rPr>
          <w:i/>
          <w:iCs/>
          <w:szCs w:val="22"/>
        </w:rPr>
        <w:t>Marketing Citation</w:t>
      </w:r>
      <w:r>
        <w:rPr>
          <w:szCs w:val="22"/>
        </w:rPr>
        <w:t>, Sound Around continued its apparently unlawful practices.</w:t>
      </w:r>
      <w:r w:rsidRPr="008D0CA2">
        <w:t xml:space="preserve"> </w:t>
      </w:r>
      <w:r>
        <w:t xml:space="preserve"> Therefore, w</w:t>
      </w:r>
      <w:r w:rsidRPr="00AE2519">
        <w:t xml:space="preserve">e propose a penalty of </w:t>
      </w:r>
      <w:r w:rsidRPr="00ED1A36">
        <w:t>$685</w:t>
      </w:r>
      <w:r>
        <w:t>,</w:t>
      </w:r>
      <w:r w:rsidRPr="00ED1A36">
        <w:t>338</w:t>
      </w:r>
      <w:r>
        <w:t xml:space="preserve"> </w:t>
      </w:r>
      <w:r w:rsidRPr="00AE2519">
        <w:t>against Sound Around for marketing</w:t>
      </w:r>
      <w:r>
        <w:t xml:space="preserve"> 32</w:t>
      </w:r>
      <w:r w:rsidRPr="00AE2519">
        <w:t xml:space="preserve"> </w:t>
      </w:r>
      <w:r>
        <w:t xml:space="preserve">models of apparently noncompliant </w:t>
      </w:r>
      <w:r w:rsidRPr="00AE2519">
        <w:t>wireless microphones.</w:t>
      </w:r>
      <w:r>
        <w:t xml:space="preserve">  </w:t>
      </w:r>
    </w:p>
    <w:p w:rsidR="008475A8" w:rsidP="008475A8" w14:paraId="00935B4A" w14:textId="77777777">
      <w:pPr>
        <w:pStyle w:val="Heading1"/>
        <w:rPr>
          <w:rFonts w:ascii="Times New Roman" w:hAnsi="Times New Roman"/>
          <w:color w:val="000000"/>
        </w:rPr>
      </w:pPr>
      <w:bookmarkStart w:id="9" w:name="_Toc30159976"/>
      <w:bookmarkStart w:id="10" w:name="_Toc30682816"/>
      <w:bookmarkStart w:id="11" w:name="_Toc31974078"/>
      <w:bookmarkStart w:id="12" w:name="_Toc34812803"/>
      <w:bookmarkStart w:id="13" w:name="_Toc34923185"/>
      <w:r w:rsidRPr="00ED051C">
        <w:rPr>
          <w:rFonts w:ascii="Times New Roman" w:hAnsi="Times New Roman"/>
          <w:color w:val="000000"/>
        </w:rPr>
        <w:t>BACKGROUND</w:t>
      </w:r>
      <w:bookmarkStart w:id="14" w:name="_Hlk30063395"/>
      <w:bookmarkEnd w:id="9"/>
      <w:bookmarkEnd w:id="10"/>
      <w:bookmarkEnd w:id="11"/>
      <w:bookmarkEnd w:id="12"/>
      <w:bookmarkEnd w:id="13"/>
    </w:p>
    <w:p w:rsidR="008475A8" w:rsidRPr="009D0B1C" w:rsidP="008475A8" w14:paraId="3021CF9F" w14:textId="77777777">
      <w:pPr>
        <w:pStyle w:val="ParaNum"/>
        <w:rPr>
          <w:color w:val="000000"/>
        </w:rPr>
      </w:pPr>
      <w:r w:rsidRPr="009D0B1C">
        <w:rPr>
          <w:i/>
          <w:iCs/>
        </w:rPr>
        <w:t xml:space="preserve">Legal Background.  </w:t>
      </w:r>
      <w:r>
        <w:t xml:space="preserve">Section 302(b) of the Communications Act of 1934, as amended (Act) provides that </w:t>
      </w:r>
      <w:r w:rsidRPr="007043A4">
        <w:t>“[n]o person shall manufacture, import, sell, offer for sale, or ship devices or home electronic equipment and systems, or use devices, which fail to comply with regulations promulgated pursuant to this section.”</w:t>
      </w:r>
      <w:r>
        <w:rPr>
          <w:rStyle w:val="FootnoteReference"/>
        </w:rPr>
        <w:footnoteReference w:id="5"/>
      </w:r>
      <w:r w:rsidRPr="007043A4">
        <w:t xml:space="preserve">  </w:t>
      </w:r>
      <w:r>
        <w:t>Section 2.803(b)(1) of the Commission’s rules provides that no person may market a radio frequency device</w:t>
      </w:r>
      <w:r w:rsidRPr="007043A4">
        <w:t xml:space="preserve"> that </w:t>
      </w:r>
      <w:r>
        <w:t>is</w:t>
      </w:r>
      <w:r w:rsidRPr="007043A4">
        <w:t xml:space="preserve"> subject to certification</w:t>
      </w:r>
      <w:r>
        <w:t xml:space="preserve"> unless </w:t>
      </w:r>
      <w:r w:rsidRPr="007043A4">
        <w:t xml:space="preserve">the device has been authorized in accordance with the rules and is </w:t>
      </w:r>
      <w:r>
        <w:t>properly identified and labeled.</w:t>
      </w:r>
      <w:r>
        <w:rPr>
          <w:rStyle w:val="FootnoteReference"/>
        </w:rPr>
        <w:footnoteReference w:id="6"/>
      </w:r>
      <w:r>
        <w:t xml:space="preserve">  Similarly, pursuant to section 74.851(f) of the Commission’s rules, transmitters like certain wireless microphones to which the part 74 rules apply must be authorized in accordance with the certification procedures before they may be marketed in the United States.</w:t>
      </w:r>
      <w:r>
        <w:rPr>
          <w:rStyle w:val="FootnoteReference"/>
        </w:rPr>
        <w:footnoteReference w:id="7"/>
      </w:r>
      <w:r>
        <w:t xml:space="preserve">  </w:t>
      </w:r>
      <w:r w:rsidRPr="008C1091">
        <w:t>In the context of the Commission’s equipment marketing rules, the term “</w:t>
      </w:r>
      <w:r>
        <w:t>m</w:t>
      </w:r>
      <w:r w:rsidRPr="008C1091">
        <w:t>arketing” mean</w:t>
      </w:r>
      <w:r>
        <w:t>s</w:t>
      </w:r>
      <w:r w:rsidRPr="008C1091">
        <w:t xml:space="preserve"> the </w:t>
      </w:r>
      <w:r>
        <w:t>“</w:t>
      </w:r>
      <w:r w:rsidRPr="008C1091">
        <w:t>sale or lease, or offering for sale or lease, including advertising for sale or lease, or importation, shipment, or distribution for the purpose of selling or leasing or offering for sale or lease.</w:t>
      </w:r>
      <w:r>
        <w:t>”</w:t>
      </w:r>
      <w:r>
        <w:rPr>
          <w:rStyle w:val="FootnoteReference"/>
        </w:rPr>
        <w:footnoteReference w:id="8"/>
      </w:r>
    </w:p>
    <w:bookmarkEnd w:id="14"/>
    <w:p w:rsidR="008475A8" w:rsidRPr="00AA6B9C" w:rsidP="008475A8" w14:paraId="1C26C0E9" w14:textId="77777777">
      <w:pPr>
        <w:pStyle w:val="ParaNum"/>
      </w:pPr>
      <w:r w:rsidRPr="000B305A">
        <w:rPr>
          <w:szCs w:val="22"/>
          <w:shd w:val="clear" w:color="auto" w:fill="FFFFFF"/>
        </w:rPr>
        <w:t xml:space="preserve">The </w:t>
      </w:r>
      <w:r w:rsidRPr="000B305A">
        <w:rPr>
          <w:shd w:val="clear" w:color="auto" w:fill="FFFFFF"/>
        </w:rPr>
        <w:t xml:space="preserve">Commission </w:t>
      </w:r>
      <w:r w:rsidRPr="000B305A">
        <w:rPr>
          <w:szCs w:val="22"/>
          <w:shd w:val="clear" w:color="auto" w:fill="FFFFFF"/>
        </w:rPr>
        <w:t>allows the use of wireless microphones on a licensed and unlicensed basis, depending on the spectrum band</w:t>
      </w:r>
      <w:r>
        <w:rPr>
          <w:szCs w:val="22"/>
          <w:shd w:val="clear" w:color="auto" w:fill="FFFFFF"/>
        </w:rPr>
        <w:t xml:space="preserve"> used</w:t>
      </w:r>
      <w:r w:rsidRPr="000B305A">
        <w:rPr>
          <w:szCs w:val="22"/>
          <w:shd w:val="clear" w:color="auto" w:fill="FFFFFF"/>
        </w:rPr>
        <w:t>, technical characteristics</w:t>
      </w:r>
      <w:r>
        <w:rPr>
          <w:szCs w:val="22"/>
          <w:shd w:val="clear" w:color="auto" w:fill="FFFFFF"/>
        </w:rPr>
        <w:t xml:space="preserve"> of the devices</w:t>
      </w:r>
      <w:r w:rsidRPr="000B305A">
        <w:rPr>
          <w:szCs w:val="22"/>
          <w:shd w:val="clear" w:color="auto" w:fill="FFFFFF"/>
        </w:rPr>
        <w:t>, and user eligibility.</w:t>
      </w:r>
      <w:r>
        <w:rPr>
          <w:rStyle w:val="FootnoteReference"/>
        </w:rPr>
        <w:footnoteReference w:id="9"/>
      </w:r>
      <w:r>
        <w:t xml:space="preserve"> </w:t>
      </w:r>
      <w:r w:rsidRPr="000B305A">
        <w:rPr>
          <w:shd w:val="clear" w:color="auto" w:fill="FFFFFF"/>
        </w:rPr>
        <w:t xml:space="preserve"> </w:t>
      </w:r>
      <w:r w:rsidRPr="000B305A">
        <w:rPr>
          <w:szCs w:val="22"/>
          <w:shd w:val="clear" w:color="auto" w:fill="FFFFFF"/>
        </w:rPr>
        <w:t>The technical rules under which wireless microphones operate will differ depending on the spectrum band in which they operate.</w:t>
      </w:r>
      <w:r>
        <w:rPr>
          <w:szCs w:val="22"/>
          <w:shd w:val="clear" w:color="auto" w:fill="FFFFFF"/>
        </w:rPr>
        <w:t xml:space="preserve"> </w:t>
      </w:r>
      <w:r w:rsidRPr="000B305A">
        <w:rPr>
          <w:szCs w:val="22"/>
          <w:shd w:val="clear" w:color="auto" w:fill="FFFFFF"/>
        </w:rPr>
        <w:t xml:space="preserve"> Wireless microphones may be designed to operate on discrete frequencies within a spectrum band, or they may operate over a range of frequencies.  </w:t>
      </w:r>
      <w:r w:rsidRPr="000B305A">
        <w:t>In 2015, the Commission adopted two related orders that revised our rules with regard to licensed wireless microphone operations in various frequency bands</w:t>
      </w:r>
      <w:r>
        <w:t xml:space="preserve">, including the TV bands and on 600 MHz band frequencies (600 MHz guard band, 600 MHz duplex gap, and 600 MHz service band), </w:t>
      </w:r>
      <w:r w:rsidRPr="000B305A">
        <w:t xml:space="preserve">and unlicensed wireless microphone operations in the TV bands and the 600 MHz </w:t>
      </w:r>
      <w:r>
        <w:t>band frequencies</w:t>
      </w:r>
      <w:r w:rsidRPr="000B305A">
        <w:t>.</w:t>
      </w:r>
      <w:r>
        <w:rPr>
          <w:rStyle w:val="FootnoteReference"/>
        </w:rPr>
        <w:footnoteReference w:id="10"/>
      </w:r>
      <w:r w:rsidRPr="000B305A">
        <w:t xml:space="preserve">  </w:t>
      </w:r>
    </w:p>
    <w:p w:rsidR="008475A8" w:rsidRPr="000B305A" w:rsidP="008475A8" w14:paraId="15C367D4" w14:textId="77777777">
      <w:pPr>
        <w:pStyle w:val="ParaNum"/>
        <w:keepNext/>
        <w:widowControl/>
      </w:pPr>
      <w:r w:rsidRPr="00870756">
        <w:rPr>
          <w:szCs w:val="22"/>
        </w:rPr>
        <w:t>The Commission has allocated certain frequency bands for specific use</w:t>
      </w:r>
      <w:r>
        <w:rPr>
          <w:szCs w:val="22"/>
        </w:rPr>
        <w:t>s</w:t>
      </w:r>
      <w:r w:rsidRPr="00870756">
        <w:rPr>
          <w:szCs w:val="22"/>
        </w:rPr>
        <w:t xml:space="preserve">.  Under </w:t>
      </w:r>
      <w:r>
        <w:rPr>
          <w:szCs w:val="22"/>
        </w:rPr>
        <w:t>p</w:t>
      </w:r>
      <w:r w:rsidRPr="00870756">
        <w:rPr>
          <w:szCs w:val="22"/>
        </w:rPr>
        <w:t>art 87 of the Commission’s rules</w:t>
      </w:r>
      <w:r>
        <w:rPr>
          <w:szCs w:val="22"/>
        </w:rPr>
        <w:t>,</w:t>
      </w:r>
      <w:r w:rsidRPr="00870756">
        <w:rPr>
          <w:szCs w:val="22"/>
        </w:rPr>
        <w:t xml:space="preserve"> 108</w:t>
      </w:r>
      <w:r>
        <w:rPr>
          <w:szCs w:val="22"/>
        </w:rPr>
        <w:t>-</w:t>
      </w:r>
      <w:r w:rsidRPr="00870756">
        <w:rPr>
          <w:szCs w:val="22"/>
        </w:rPr>
        <w:t>117.975 MHz</w:t>
      </w:r>
      <w:r w:rsidRPr="00870756">
        <w:rPr>
          <w:szCs w:val="22"/>
        </w:rPr>
        <w:t xml:space="preserve"> </w:t>
      </w:r>
      <w:r w:rsidRPr="00870756">
        <w:rPr>
          <w:szCs w:val="22"/>
        </w:rPr>
        <w:t xml:space="preserve">is set aside for </w:t>
      </w:r>
      <w:r>
        <w:rPr>
          <w:szCs w:val="22"/>
        </w:rPr>
        <w:t>a</w:t>
      </w:r>
      <w:r w:rsidRPr="00870756">
        <w:rPr>
          <w:szCs w:val="22"/>
        </w:rPr>
        <w:t>viation</w:t>
      </w:r>
      <w:r>
        <w:rPr>
          <w:szCs w:val="22"/>
        </w:rPr>
        <w:t>-related uses</w:t>
      </w:r>
      <w:r w:rsidRPr="00870756">
        <w:rPr>
          <w:szCs w:val="22"/>
        </w:rPr>
        <w:t>.</w:t>
      </w:r>
      <w:bookmarkStart w:id="15" w:name="_Ref31720222"/>
      <w:r>
        <w:rPr>
          <w:rStyle w:val="FootnoteReference"/>
          <w:szCs w:val="22"/>
        </w:rPr>
        <w:footnoteReference w:id="11"/>
      </w:r>
      <w:bookmarkEnd w:id="15"/>
      <w:r w:rsidRPr="00870756">
        <w:rPr>
          <w:szCs w:val="22"/>
        </w:rPr>
        <w:t xml:space="preserve">  Wireless microphones are not authorized to operate in the aviation bands</w:t>
      </w:r>
      <w:r>
        <w:rPr>
          <w:szCs w:val="22"/>
        </w:rPr>
        <w:t xml:space="preserve"> for public safety reasons, as these aviation bands are set aside for instrument landing systems and radio navigation, among other important </w:t>
      </w:r>
      <w:r>
        <w:rPr>
          <w:szCs w:val="22"/>
        </w:rPr>
        <w:t>services.</w:t>
      </w:r>
      <w:bookmarkStart w:id="16" w:name="_Ref33004518"/>
      <w:r>
        <w:rPr>
          <w:rStyle w:val="FootnoteReference"/>
          <w:szCs w:val="22"/>
        </w:rPr>
        <w:footnoteReference w:id="12"/>
      </w:r>
      <w:bookmarkEnd w:id="16"/>
      <w:r w:rsidRPr="00870756">
        <w:rPr>
          <w:szCs w:val="22"/>
        </w:rPr>
        <w:t xml:space="preserve">  </w:t>
      </w:r>
      <w:r>
        <w:rPr>
          <w:szCs w:val="22"/>
        </w:rPr>
        <w:t xml:space="preserve">Conversely, among the bands where </w:t>
      </w:r>
      <w:r w:rsidRPr="00870756">
        <w:rPr>
          <w:szCs w:val="22"/>
        </w:rPr>
        <w:t xml:space="preserve">wireless microphones are permitted to operate </w:t>
      </w:r>
      <w:r>
        <w:rPr>
          <w:szCs w:val="22"/>
        </w:rPr>
        <w:t xml:space="preserve">are </w:t>
      </w:r>
      <w:r w:rsidRPr="00870756">
        <w:rPr>
          <w:szCs w:val="22"/>
        </w:rPr>
        <w:t xml:space="preserve">the </w:t>
      </w:r>
      <w:r>
        <w:rPr>
          <w:szCs w:val="22"/>
        </w:rPr>
        <w:t>b</w:t>
      </w:r>
      <w:r w:rsidRPr="00870756">
        <w:rPr>
          <w:szCs w:val="22"/>
        </w:rPr>
        <w:t xml:space="preserve">roadcast </w:t>
      </w:r>
      <w:r>
        <w:rPr>
          <w:szCs w:val="22"/>
        </w:rPr>
        <w:t xml:space="preserve">television (TV) </w:t>
      </w:r>
      <w:r w:rsidRPr="00870756">
        <w:rPr>
          <w:szCs w:val="22"/>
        </w:rPr>
        <w:t>bands</w:t>
      </w:r>
      <w:r>
        <w:rPr>
          <w:szCs w:val="22"/>
        </w:rPr>
        <w:t xml:space="preserve"> and 600 MHz frequencies pursuant to specified rules, including marketing rules.  </w:t>
      </w:r>
      <w:r w:rsidRPr="00870756">
        <w:rPr>
          <w:szCs w:val="22"/>
        </w:rPr>
        <w:t xml:space="preserve">The </w:t>
      </w:r>
      <w:r>
        <w:rPr>
          <w:szCs w:val="22"/>
        </w:rPr>
        <w:t xml:space="preserve">frequencies applicable in this case include, </w:t>
      </w:r>
      <w:r w:rsidRPr="00870756">
        <w:rPr>
          <w:szCs w:val="22"/>
        </w:rPr>
        <w:t xml:space="preserve">54 to 72 MHz, 174 to 216 MHz, and 470 to 608 </w:t>
      </w:r>
      <w:r>
        <w:rPr>
          <w:szCs w:val="22"/>
        </w:rPr>
        <w:t xml:space="preserve">MHz, the </w:t>
      </w:r>
      <w:r w:rsidRPr="00870756">
        <w:rPr>
          <w:szCs w:val="22"/>
        </w:rPr>
        <w:t xml:space="preserve">designated </w:t>
      </w:r>
      <w:r>
        <w:rPr>
          <w:szCs w:val="22"/>
        </w:rPr>
        <w:t>b</w:t>
      </w:r>
      <w:r w:rsidRPr="00870756">
        <w:rPr>
          <w:szCs w:val="22"/>
        </w:rPr>
        <w:t xml:space="preserve">roadcast </w:t>
      </w:r>
      <w:r>
        <w:rPr>
          <w:szCs w:val="22"/>
        </w:rPr>
        <w:t>TV</w:t>
      </w:r>
      <w:r w:rsidRPr="00870756">
        <w:rPr>
          <w:szCs w:val="22"/>
        </w:rPr>
        <w:t xml:space="preserve"> bands</w:t>
      </w:r>
      <w:r>
        <w:rPr>
          <w:szCs w:val="22"/>
        </w:rPr>
        <w:t>, and 600 MHz frequencies</w:t>
      </w:r>
      <w:r w:rsidRPr="00870756">
        <w:rPr>
          <w:szCs w:val="22"/>
        </w:rPr>
        <w:t>.</w:t>
      </w:r>
      <w:r>
        <w:rPr>
          <w:rStyle w:val="FootnoteReference"/>
          <w:szCs w:val="22"/>
        </w:rPr>
        <w:footnoteReference w:id="13"/>
      </w:r>
      <w:r w:rsidRPr="00870756">
        <w:rPr>
          <w:szCs w:val="22"/>
        </w:rPr>
        <w:t xml:space="preserve"> </w:t>
      </w:r>
      <w:r>
        <w:rPr>
          <w:szCs w:val="22"/>
        </w:rPr>
        <w:t xml:space="preserve"> </w:t>
      </w:r>
    </w:p>
    <w:p w:rsidR="008475A8" w:rsidP="008475A8" w14:paraId="0472DC31" w14:textId="77777777">
      <w:pPr>
        <w:pStyle w:val="ParaNum"/>
        <w:keepNext/>
        <w:widowControl/>
        <w:rPr>
          <w:spacing w:val="-2"/>
        </w:rPr>
      </w:pPr>
      <w:r w:rsidRPr="003A0CDD">
        <w:rPr>
          <w:i/>
          <w:iCs/>
        </w:rPr>
        <w:t>Factual Background.</w:t>
      </w:r>
      <w:r>
        <w:t xml:space="preserve">  </w:t>
      </w:r>
      <w:r w:rsidRPr="00AE2519">
        <w:t>Sound Around is a privately</w:t>
      </w:r>
      <w:r>
        <w:t xml:space="preserve"> </w:t>
      </w:r>
      <w:r w:rsidRPr="00AE2519">
        <w:t xml:space="preserve">held company </w:t>
      </w:r>
      <w:r>
        <w:t>located in Brooklyn, New York.</w:t>
      </w:r>
      <w:r>
        <w:rPr>
          <w:rStyle w:val="FootnoteReference"/>
        </w:rPr>
        <w:footnoteReference w:id="14"/>
      </w:r>
      <w:r>
        <w:t xml:space="preserve">  Sound Around se</w:t>
      </w:r>
      <w:r w:rsidRPr="00AE2519">
        <w:t>lls a</w:t>
      </w:r>
      <w:r>
        <w:t>udio and video electronics and accessories for the home, car, professional, and marine audio/video markets</w:t>
      </w:r>
      <w:r w:rsidRPr="00AE2519">
        <w:t xml:space="preserve"> </w:t>
      </w:r>
      <w:r>
        <w:t xml:space="preserve">through its own websites, pyleusa.com and pyleaudio.com, </w:t>
      </w:r>
      <w:r w:rsidRPr="00AE2519">
        <w:t>and the websites of other retailers.</w:t>
      </w:r>
      <w:r>
        <w:rPr>
          <w:rStyle w:val="FootnoteReference"/>
        </w:rPr>
        <w:footnoteReference w:id="15"/>
      </w:r>
      <w:r w:rsidRPr="00AE2519">
        <w:t xml:space="preserve"> </w:t>
      </w:r>
      <w:r>
        <w:t xml:space="preserve"> In particular, Sound Around has long marketed wireless microphones.</w:t>
      </w:r>
      <w:r>
        <w:rPr>
          <w:rStyle w:val="FootnoteReference"/>
        </w:rPr>
        <w:footnoteReference w:id="16"/>
      </w:r>
      <w:r>
        <w:t xml:space="preserve">  </w:t>
      </w:r>
    </w:p>
    <w:p w:rsidR="008475A8" w:rsidP="008475A8" w14:paraId="4575E70E" w14:textId="77777777">
      <w:pPr>
        <w:pStyle w:val="ParaNum"/>
        <w:keepNext/>
        <w:widowControl/>
      </w:pPr>
      <w:r>
        <w:t xml:space="preserve">After receiving and investigating a complaint, the Bureau’s Spectrum Enforcement Division (Division) issued the </w:t>
      </w:r>
      <w:r w:rsidRPr="003E7B0F">
        <w:rPr>
          <w:i/>
          <w:iCs/>
        </w:rPr>
        <w:t>Marketing</w:t>
      </w:r>
      <w:r>
        <w:rPr>
          <w:i/>
          <w:iCs/>
        </w:rPr>
        <w:t xml:space="preserve"> </w:t>
      </w:r>
      <w:r w:rsidRPr="003E7B0F">
        <w:rPr>
          <w:i/>
          <w:iCs/>
        </w:rPr>
        <w:t>Citation</w:t>
      </w:r>
      <w:r>
        <w:t xml:space="preserve"> in 2011 to Sound Around for violations of section 302(b) of the </w:t>
      </w:r>
      <w:r w:rsidRPr="00DB0F68">
        <w:t>Act,</w:t>
      </w:r>
      <w:r>
        <w:rPr>
          <w:rStyle w:val="FootnoteReference"/>
        </w:rPr>
        <w:footnoteReference w:id="17"/>
      </w:r>
      <w:r w:rsidRPr="00DB0F68">
        <w:t xml:space="preserve"> and </w:t>
      </w:r>
      <w:r>
        <w:t>sections 2.803, 15.205(a), and 74.851(g) of the Commission’s rules,</w:t>
      </w:r>
      <w:r>
        <w:rPr>
          <w:rStyle w:val="FootnoteReference"/>
        </w:rPr>
        <w:footnoteReference w:id="18"/>
      </w:r>
      <w:r>
        <w:t xml:space="preserve"> for marketing noncompliant wireless microphones that were apparently capable of operating in restricted frequency bands</w:t>
      </w:r>
      <w:r>
        <w:rPr>
          <w:rStyle w:val="FootnoteReference"/>
        </w:rPr>
        <w:footnoteReference w:id="19"/>
      </w:r>
      <w:r>
        <w:t xml:space="preserve"> as well as the 700 MHz frequency band, where they were no longer authorized to operate in the United States.</w:t>
      </w:r>
      <w:r>
        <w:rPr>
          <w:rStyle w:val="FootnoteReference"/>
        </w:rPr>
        <w:footnoteReference w:id="20"/>
      </w:r>
      <w:r>
        <w:t xml:space="preserve">  The </w:t>
      </w:r>
      <w:r w:rsidRPr="003E7B0F">
        <w:rPr>
          <w:i/>
          <w:iCs/>
        </w:rPr>
        <w:t>Marketing Citation</w:t>
      </w:r>
      <w:r>
        <w:t xml:space="preserve"> warned the Company to take immediate measures to ensure compliance with the equipment marketing rules.</w:t>
      </w:r>
      <w:r>
        <w:rPr>
          <w:rStyle w:val="FootnoteReference"/>
        </w:rPr>
        <w:footnoteReference w:id="21"/>
      </w:r>
    </w:p>
    <w:p w:rsidR="008475A8" w:rsidRPr="00C06C08" w:rsidP="008475A8" w14:paraId="572DDC76" w14:textId="77777777">
      <w:pPr>
        <w:pStyle w:val="ParaNum"/>
        <w:widowControl/>
        <w:rPr>
          <w:spacing w:val="-2"/>
        </w:rPr>
      </w:pPr>
      <w:r>
        <w:rPr>
          <w:spacing w:val="-2"/>
        </w:rPr>
        <w:t>F</w:t>
      </w:r>
      <w:r w:rsidRPr="00C06C08">
        <w:rPr>
          <w:spacing w:val="-2"/>
        </w:rPr>
        <w:t xml:space="preserve">ollowing receipt of an additional complaint </w:t>
      </w:r>
      <w:r>
        <w:rPr>
          <w:spacing w:val="-2"/>
        </w:rPr>
        <w:t xml:space="preserve">in 2016 </w:t>
      </w:r>
      <w:r w:rsidRPr="00C06C08">
        <w:rPr>
          <w:spacing w:val="-2"/>
        </w:rPr>
        <w:t>that S</w:t>
      </w:r>
      <w:r>
        <w:t>ound Around was continuing to market noncompliant wireless microphones, the Division</w:t>
      </w:r>
      <w:r w:rsidRPr="00AE2519">
        <w:t xml:space="preserve"> </w:t>
      </w:r>
      <w:r>
        <w:t xml:space="preserve">sent </w:t>
      </w:r>
      <w:r w:rsidRPr="00AE2519">
        <w:t xml:space="preserve">a Letter of Inquiry (LOI) </w:t>
      </w:r>
      <w:r>
        <w:t xml:space="preserve">in 2017 </w:t>
      </w:r>
      <w:r w:rsidRPr="00AE2519">
        <w:t xml:space="preserve">to </w:t>
      </w:r>
      <w:r>
        <w:t>Sound Around</w:t>
      </w:r>
      <w:r w:rsidRPr="00AE2519">
        <w:t xml:space="preserve"> </w:t>
      </w:r>
      <w:r>
        <w:t>that</w:t>
      </w:r>
      <w:r w:rsidRPr="00AE2519">
        <w:t xml:space="preserve"> directed the Company to submit a sworn written response to questions about its </w:t>
      </w:r>
      <w:r>
        <w:t xml:space="preserve">allegedly unauthorized </w:t>
      </w:r>
      <w:r w:rsidRPr="00AE2519">
        <w:t xml:space="preserve">marketing of </w:t>
      </w:r>
      <w:r>
        <w:t>wireless microphones</w:t>
      </w:r>
      <w:r w:rsidRPr="00AE2519">
        <w:t>.</w:t>
      </w:r>
      <w:r>
        <w:rPr>
          <w:rStyle w:val="FootnoteReference"/>
          <w:spacing w:val="-2"/>
        </w:rPr>
        <w:footnoteReference w:id="22"/>
      </w:r>
      <w:r>
        <w:t xml:space="preserve">  On July 11, 2017, five days after the due date, Sound </w:t>
      </w:r>
      <w:r>
        <w:t>Around sent to the Division an e-mail that purported to respond to the LOI.</w:t>
      </w:r>
      <w:r>
        <w:rPr>
          <w:rStyle w:val="FootnoteReference"/>
        </w:rPr>
        <w:footnoteReference w:id="23"/>
      </w:r>
      <w:r>
        <w:t xml:space="preserve">  On July 12, 2017, the Division informed Sound Around that its e-mail did not constitute an adequate response.</w:t>
      </w:r>
      <w:r>
        <w:rPr>
          <w:rStyle w:val="FootnoteReference"/>
        </w:rPr>
        <w:footnoteReference w:id="24"/>
      </w:r>
      <w:r>
        <w:t xml:space="preserve">  Subsequently, </w:t>
      </w:r>
      <w:r w:rsidRPr="00C06C08">
        <w:rPr>
          <w:color w:val="000000"/>
        </w:rPr>
        <w:t>Sound Around filed responses on September</w:t>
      </w:r>
      <w:r>
        <w:rPr>
          <w:color w:val="000000"/>
        </w:rPr>
        <w:t> </w:t>
      </w:r>
      <w:r w:rsidRPr="00C06C08">
        <w:rPr>
          <w:color w:val="000000"/>
        </w:rPr>
        <w:t>1 and 19, 2017</w:t>
      </w:r>
      <w:r>
        <w:rPr>
          <w:color w:val="000000"/>
        </w:rPr>
        <w:t>,</w:t>
      </w:r>
      <w:r w:rsidRPr="00C06C08">
        <w:rPr>
          <w:color w:val="000000"/>
        </w:rPr>
        <w:t xml:space="preserve"> </w:t>
      </w:r>
      <w:r>
        <w:rPr>
          <w:color w:val="000000"/>
        </w:rPr>
        <w:t>and again</w:t>
      </w:r>
      <w:r w:rsidRPr="00C06C08">
        <w:rPr>
          <w:color w:val="000000"/>
        </w:rPr>
        <w:t xml:space="preserve"> </w:t>
      </w:r>
      <w:r>
        <w:t>on December 19, 2017.</w:t>
      </w:r>
      <w:r>
        <w:rPr>
          <w:rStyle w:val="FootnoteReference"/>
        </w:rPr>
        <w:footnoteReference w:id="25"/>
      </w:r>
      <w:r>
        <w:t xml:space="preserve">  Finally, the Company made additional submissions in </w:t>
      </w:r>
      <w:r w:rsidRPr="00C06C08">
        <w:rPr>
          <w:spacing w:val="-2"/>
        </w:rPr>
        <w:t>February and August 2018.</w:t>
      </w:r>
      <w:r>
        <w:rPr>
          <w:rStyle w:val="FootnoteReference"/>
          <w:spacing w:val="-2"/>
        </w:rPr>
        <w:footnoteReference w:id="26"/>
      </w:r>
      <w:r w:rsidRPr="00C06C08">
        <w:rPr>
          <w:spacing w:val="-2"/>
        </w:rPr>
        <w:t xml:space="preserve"> </w:t>
      </w:r>
      <w:r>
        <w:rPr>
          <w:spacing w:val="-2"/>
        </w:rPr>
        <w:t xml:space="preserve"> </w:t>
      </w:r>
    </w:p>
    <w:p w:rsidR="008475A8" w:rsidP="008475A8" w14:paraId="156F9142" w14:textId="77777777">
      <w:pPr>
        <w:pStyle w:val="ParaNum"/>
      </w:pPr>
      <w:r>
        <w:t>Sound Around’s submissions contained inconsistent and sometimes conflicting information; thus, the Division was not able to determine the actual frequencies on which many of the subject wireless microphones operate, or if the microphones were even authorized in accordance with the Commission’s requirements.  To resolve these inconsistencies, on April 9, 2019, the</w:t>
      </w:r>
      <w:r w:rsidRPr="00696AF6">
        <w:t xml:space="preserve"> Division </w:t>
      </w:r>
      <w:r>
        <w:t xml:space="preserve">took a </w:t>
      </w:r>
      <w:r w:rsidRPr="00696AF6">
        <w:t xml:space="preserve">screenshot </w:t>
      </w:r>
      <w:r>
        <w:t>of Sound Around’s website</w:t>
      </w:r>
      <w:r w:rsidRPr="00696AF6">
        <w:t>, pyleusa.com</w:t>
      </w:r>
      <w:r>
        <w:t>, which showed all of the</w:t>
      </w:r>
      <w:r w:rsidRPr="00696AF6">
        <w:t xml:space="preserve"> wireless microphone models</w:t>
      </w:r>
      <w:r>
        <w:t xml:space="preserve"> available for purchase at that time.</w:t>
      </w:r>
      <w:bookmarkStart w:id="17" w:name="_Ref30495564"/>
      <w:r>
        <w:rPr>
          <w:rStyle w:val="FootnoteReference"/>
        </w:rPr>
        <w:footnoteReference w:id="27"/>
      </w:r>
      <w:bookmarkEnd w:id="17"/>
      <w:r>
        <w:t xml:space="preserve">  On April 30, 2019, the Division sent a follow-up LOI to Sound Around.</w:t>
      </w:r>
      <w:r>
        <w:rPr>
          <w:rStyle w:val="FootnoteReference"/>
        </w:rPr>
        <w:footnoteReference w:id="28"/>
      </w:r>
      <w:r>
        <w:t xml:space="preserve">  </w:t>
      </w:r>
      <w:r w:rsidRPr="00696AF6">
        <w:t xml:space="preserve">In </w:t>
      </w:r>
      <w:r>
        <w:t>the</w:t>
      </w:r>
      <w:r w:rsidRPr="00696AF6">
        <w:t xml:space="preserve"> 2019 LOI, the Division directed Sound Around to provide the actual operating frequencies</w:t>
      </w:r>
      <w:r>
        <w:t>,</w:t>
      </w:r>
      <w:r w:rsidRPr="00696AF6">
        <w:t xml:space="preserve"> </w:t>
      </w:r>
      <w:r>
        <w:t>the</w:t>
      </w:r>
      <w:r w:rsidRPr="00696AF6">
        <w:t xml:space="preserve"> FCC identification numbers</w:t>
      </w:r>
      <w:r>
        <w:t>, and the authorized frequencies</w:t>
      </w:r>
      <w:r w:rsidRPr="00696AF6">
        <w:t xml:space="preserve"> for 82 wireless microphone</w:t>
      </w:r>
      <w:r>
        <w:t xml:space="preserve"> model</w:t>
      </w:r>
      <w:r w:rsidRPr="00696AF6">
        <w:t xml:space="preserve">s that were advertised for sale on the </w:t>
      </w:r>
      <w:r>
        <w:t>C</w:t>
      </w:r>
      <w:r w:rsidRPr="00696AF6">
        <w:t>ompany’s website</w:t>
      </w:r>
      <w:r>
        <w:t xml:space="preserve"> as of April 9, 2019</w:t>
      </w:r>
      <w:r w:rsidRPr="00696AF6">
        <w:t>.</w:t>
      </w:r>
      <w:r>
        <w:rPr>
          <w:rStyle w:val="FootnoteReference"/>
        </w:rPr>
        <w:footnoteReference w:id="29"/>
      </w:r>
      <w:r w:rsidRPr="00696AF6">
        <w:t xml:space="preserve">  </w:t>
      </w:r>
      <w:r>
        <w:t xml:space="preserve">  </w:t>
      </w:r>
    </w:p>
    <w:p w:rsidR="008475A8" w:rsidP="008475A8" w14:paraId="74244426" w14:textId="77777777">
      <w:pPr>
        <w:pStyle w:val="ParaNum"/>
      </w:pPr>
      <w:r>
        <w:t>On June 7, 2019, Sound Around responded to the 2019 LOI.</w:t>
      </w:r>
      <w:r>
        <w:rPr>
          <w:rStyle w:val="FootnoteReference"/>
        </w:rPr>
        <w:footnoteReference w:id="30"/>
      </w:r>
      <w:r>
        <w:t xml:space="preserve">  The 2019 LOI Response provided the FCC identification numbers and actual operating frequencies for some, but not all, of the 82 models in question.  The 2019 LOI Response also indicated that some models had not been sold after January 1, 2017.</w:t>
      </w:r>
      <w:r>
        <w:rPr>
          <w:rStyle w:val="FootnoteReference"/>
        </w:rPr>
        <w:footnoteReference w:id="31"/>
      </w:r>
      <w:r>
        <w:t xml:space="preserve">  For the models for which Sound Around provided the FCC identification numbers, Division staff </w:t>
      </w:r>
      <w:r w:rsidRPr="00696AF6">
        <w:t>enter</w:t>
      </w:r>
      <w:r>
        <w:t>ed</w:t>
      </w:r>
      <w:r w:rsidRPr="00696AF6">
        <w:t xml:space="preserve"> the numbers into the search function of the Commission’s equipment authorization database </w:t>
      </w:r>
      <w:r>
        <w:t>and</w:t>
      </w:r>
      <w:r w:rsidRPr="00696AF6">
        <w:t xml:space="preserve"> </w:t>
      </w:r>
      <w:r>
        <w:t xml:space="preserve">obtained the grant of authorization associated with each such number.  Each grant approved a </w:t>
      </w:r>
      <w:r w:rsidRPr="00696AF6">
        <w:t>microphone</w:t>
      </w:r>
      <w:r>
        <w:t xml:space="preserve"> model that would purportedly operate as a low power auxiliary station pursuant to part 74 of the Commission’s rules.    </w:t>
      </w:r>
    </w:p>
    <w:p w:rsidR="008475A8" w:rsidP="008475A8" w14:paraId="2E576855" w14:textId="77777777">
      <w:pPr>
        <w:pStyle w:val="ParaNum"/>
      </w:pPr>
      <w:r>
        <w:t>A closer review of the information provided by Sound Around in its 2019 LOI Response, however, indicated that 32 models of the 82 at issue in the 2019 LOI either (</w:t>
      </w:r>
      <w:r>
        <w:t>i</w:t>
      </w:r>
      <w:r>
        <w:t xml:space="preserve">) were operating on </w:t>
      </w:r>
      <w:r>
        <w:t>frequencies for which the models had no authorization, or (ii) were not certified, as evidenced by the lack of an FCC identification number.  Specifically, regarding the microphone models operating on unauthorized frequencies:</w:t>
      </w:r>
    </w:p>
    <w:p w:rsidR="008475A8" w:rsidP="008475A8" w14:paraId="6A4A4889" w14:textId="77777777">
      <w:pPr>
        <w:pStyle w:val="ListParagraph"/>
        <w:widowControl/>
        <w:numPr>
          <w:ilvl w:val="0"/>
          <w:numId w:val="41"/>
        </w:numPr>
        <w:spacing w:after="120"/>
      </w:pPr>
      <w:r>
        <w:t xml:space="preserve">For </w:t>
      </w:r>
      <w:r w:rsidRPr="00696AF6">
        <w:t>2</w:t>
      </w:r>
      <w:r>
        <w:t>2</w:t>
      </w:r>
      <w:r w:rsidRPr="00696AF6">
        <w:t xml:space="preserve"> of the microphone</w:t>
      </w:r>
      <w:r>
        <w:t xml:space="preserve"> model</w:t>
      </w:r>
      <w:r w:rsidRPr="00696AF6">
        <w:t xml:space="preserve">s, the operating frequencies provided by Sound Around differed from the frequencies assigned to the microphones’ FCC </w:t>
      </w:r>
      <w:r>
        <w:t>i</w:t>
      </w:r>
      <w:r w:rsidRPr="00696AF6">
        <w:t>dentification numbers</w:t>
      </w:r>
      <w:r>
        <w:t>.</w:t>
      </w:r>
      <w:r>
        <w:rPr>
          <w:rStyle w:val="FootnoteReference"/>
        </w:rPr>
        <w:footnoteReference w:id="32"/>
      </w:r>
      <w:r>
        <w:t xml:space="preserve"> </w:t>
      </w:r>
    </w:p>
    <w:p w:rsidR="008475A8" w:rsidRPr="00702D12" w:rsidP="008475A8" w14:paraId="3ECDB0CC" w14:textId="77777777">
      <w:pPr>
        <w:pStyle w:val="ListParagraph"/>
        <w:numPr>
          <w:ilvl w:val="0"/>
          <w:numId w:val="41"/>
        </w:numPr>
        <w:spacing w:after="120"/>
      </w:pPr>
      <w:r w:rsidRPr="00702D12">
        <w:t xml:space="preserve">Two of the 22 </w:t>
      </w:r>
      <w:r w:rsidRPr="00702D12">
        <w:rPr>
          <w:szCs w:val="22"/>
        </w:rPr>
        <w:t xml:space="preserve">models, </w:t>
      </w:r>
      <w:bookmarkStart w:id="18" w:name="_Hlk34813663"/>
      <w:r w:rsidRPr="00702D12">
        <w:rPr>
          <w:szCs w:val="22"/>
        </w:rPr>
        <w:t>PDMW94 and PDMW96</w:t>
      </w:r>
      <w:bookmarkEnd w:id="18"/>
      <w:r w:rsidRPr="00702D12">
        <w:rPr>
          <w:szCs w:val="22"/>
        </w:rPr>
        <w:t xml:space="preserve">, had operating </w:t>
      </w:r>
      <w:r w:rsidRPr="00702D12">
        <w:t>frequencies</w:t>
      </w:r>
      <w:r w:rsidRPr="00702D12">
        <w:rPr>
          <w:szCs w:val="22"/>
        </w:rPr>
        <w:t xml:space="preserve"> in the aviation band, 108 – 117.975 </w:t>
      </w:r>
      <w:r w:rsidRPr="00702D12">
        <w:rPr>
          <w:szCs w:val="22"/>
        </w:rPr>
        <w:t>MHz.</w:t>
      </w:r>
      <w:r>
        <w:rPr>
          <w:rStyle w:val="FootnoteReference"/>
          <w:szCs w:val="22"/>
        </w:rPr>
        <w:footnoteReference w:id="33"/>
      </w:r>
      <w:r w:rsidRPr="00702D12">
        <w:rPr>
          <w:szCs w:val="22"/>
        </w:rPr>
        <w:t xml:space="preserve">  </w:t>
      </w:r>
      <w:r>
        <w:t>The Division also further observed continued marketing of these two models on January 28, 2020.</w:t>
      </w:r>
      <w:bookmarkStart w:id="19" w:name="_Ref34914962"/>
      <w:r>
        <w:rPr>
          <w:rStyle w:val="FootnoteReference"/>
        </w:rPr>
        <w:footnoteReference w:id="34"/>
      </w:r>
      <w:bookmarkEnd w:id="19"/>
      <w:r>
        <w:t xml:space="preserve">  </w:t>
      </w:r>
    </w:p>
    <w:p w:rsidR="008475A8" w:rsidP="008475A8" w14:paraId="740453B4" w14:textId="77777777">
      <w:pPr>
        <w:pStyle w:val="ListParagraph"/>
        <w:numPr>
          <w:ilvl w:val="0"/>
          <w:numId w:val="41"/>
        </w:numPr>
        <w:spacing w:after="120"/>
      </w:pPr>
      <w:r>
        <w:t xml:space="preserve">For another microphone model for which Sound Around provided an FCC </w:t>
      </w:r>
      <w:r w:rsidRPr="00696AF6">
        <w:t>identification number</w:t>
      </w:r>
      <w:r>
        <w:t>, the Company failed to provide the actual operating frequencies</w:t>
      </w:r>
      <w:r w:rsidRPr="00696AF6">
        <w:t>.</w:t>
      </w:r>
      <w:r>
        <w:rPr>
          <w:rStyle w:val="FootnoteReference"/>
        </w:rPr>
        <w:footnoteReference w:id="35"/>
      </w:r>
      <w:r w:rsidRPr="00696AF6">
        <w:t xml:space="preserve">  </w:t>
      </w:r>
    </w:p>
    <w:p w:rsidR="008475A8" w:rsidP="008475A8" w14:paraId="650C192C" w14:textId="77777777">
      <w:pPr>
        <w:spacing w:after="120"/>
      </w:pPr>
      <w:r>
        <w:t>Regarding the uncertified microphone models:</w:t>
      </w:r>
    </w:p>
    <w:p w:rsidR="008475A8" w:rsidP="008475A8" w14:paraId="1C2EA5B2" w14:textId="77777777">
      <w:pPr>
        <w:pStyle w:val="ListParagraph"/>
        <w:numPr>
          <w:ilvl w:val="0"/>
          <w:numId w:val="41"/>
        </w:numPr>
        <w:spacing w:after="120"/>
      </w:pPr>
      <w:r w:rsidRPr="00696AF6">
        <w:t>For eight microphone</w:t>
      </w:r>
      <w:r>
        <w:t xml:space="preserve"> model</w:t>
      </w:r>
      <w:r w:rsidRPr="00696AF6">
        <w:t>s, Sound Around stated that it d</w:t>
      </w:r>
      <w:r>
        <w:t>id</w:t>
      </w:r>
      <w:r w:rsidRPr="00696AF6">
        <w:t xml:space="preserve"> not know the FCC identification number.</w:t>
      </w:r>
      <w:r>
        <w:rPr>
          <w:rStyle w:val="FootnoteReference"/>
        </w:rPr>
        <w:footnoteReference w:id="36"/>
      </w:r>
      <w:r w:rsidRPr="00696AF6">
        <w:t xml:space="preserve">  </w:t>
      </w:r>
    </w:p>
    <w:p w:rsidR="008475A8" w:rsidP="008475A8" w14:paraId="4497690B" w14:textId="77777777">
      <w:pPr>
        <w:pStyle w:val="ListParagraph"/>
        <w:numPr>
          <w:ilvl w:val="0"/>
          <w:numId w:val="41"/>
        </w:numPr>
        <w:spacing w:after="120"/>
      </w:pPr>
      <w:r>
        <w:t>F</w:t>
      </w:r>
      <w:r w:rsidRPr="00696AF6">
        <w:t>or one microphone</w:t>
      </w:r>
      <w:r>
        <w:t xml:space="preserve"> model</w:t>
      </w:r>
      <w:r w:rsidRPr="00696AF6">
        <w:t>, Sound Around stated</w:t>
      </w:r>
      <w:r w:rsidRPr="00582377">
        <w:t xml:space="preserve"> </w:t>
      </w:r>
      <w:r>
        <w:t>without any elaboration</w:t>
      </w:r>
      <w:r w:rsidRPr="00696AF6">
        <w:t xml:space="preserve"> that an FCC identification number </w:t>
      </w:r>
      <w:r>
        <w:t>wa</w:t>
      </w:r>
      <w:r w:rsidRPr="00696AF6">
        <w:t>s not applicable</w:t>
      </w:r>
      <w:r>
        <w:t>.</w:t>
      </w:r>
      <w:r>
        <w:rPr>
          <w:rStyle w:val="FootnoteReference"/>
        </w:rPr>
        <w:footnoteReference w:id="37"/>
      </w:r>
      <w:r>
        <w:t xml:space="preserve"> </w:t>
      </w:r>
    </w:p>
    <w:p w:rsidR="008475A8" w:rsidP="008475A8" w14:paraId="7FA59A7E" w14:textId="77777777">
      <w:pPr>
        <w:pStyle w:val="ParaNum"/>
      </w:pPr>
      <w:bookmarkStart w:id="20" w:name="_Ref33800275"/>
      <w:r>
        <w:t>The 50 other models listed in the 2019 LOI consisted either of models that Sound Around claimed it had not sold after January 1, 2017, or models for which Division staff were able to determine that (</w:t>
      </w:r>
      <w:r>
        <w:t>i</w:t>
      </w:r>
      <w:r>
        <w:t xml:space="preserve">) the authorized frequencies associated with the FCC </w:t>
      </w:r>
      <w:r w:rsidRPr="00696AF6">
        <w:t>identification number</w:t>
      </w:r>
      <w:r>
        <w:t>s provided by Sound Around matched the actual operating frequencies provided by Sound Around, or (ii) there was indicia of compliance with the Commission’s rules</w:t>
      </w:r>
      <w:bookmarkStart w:id="21" w:name="_Ref29978675"/>
      <w:r>
        <w:t>.</w:t>
      </w:r>
      <w:r>
        <w:rPr>
          <w:rStyle w:val="FootnoteReference"/>
        </w:rPr>
        <w:footnoteReference w:id="38"/>
      </w:r>
      <w:bookmarkEnd w:id="20"/>
      <w:r>
        <w:t xml:space="preserve">  </w:t>
      </w:r>
    </w:p>
    <w:p w:rsidR="008475A8" w:rsidP="008475A8" w14:paraId="0F24C944" w14:textId="77777777">
      <w:pPr>
        <w:pStyle w:val="Heading1"/>
      </w:pPr>
      <w:bookmarkStart w:id="22" w:name="_Toc30159981"/>
      <w:bookmarkStart w:id="23" w:name="_Toc30682821"/>
      <w:bookmarkStart w:id="24" w:name="_Toc31974079"/>
      <w:bookmarkStart w:id="25" w:name="_Toc34812804"/>
      <w:bookmarkStart w:id="26" w:name="_Toc34923186"/>
      <w:bookmarkEnd w:id="21"/>
      <w:r w:rsidRPr="00ED051C">
        <w:t>DISCUSSION</w:t>
      </w:r>
      <w:bookmarkEnd w:id="22"/>
      <w:bookmarkEnd w:id="23"/>
      <w:bookmarkEnd w:id="24"/>
      <w:bookmarkEnd w:id="25"/>
      <w:bookmarkEnd w:id="26"/>
    </w:p>
    <w:p w:rsidR="008475A8" w:rsidRPr="00E92349" w:rsidP="008475A8" w14:paraId="1149E1FD" w14:textId="77777777">
      <w:pPr>
        <w:pStyle w:val="ParaNum"/>
      </w:pPr>
      <w:r>
        <w:rPr>
          <w:spacing w:val="-2"/>
        </w:rPr>
        <w:t>The Commission</w:t>
      </w:r>
      <w:r w:rsidRPr="003A0D15">
        <w:rPr>
          <w:spacing w:val="-2"/>
        </w:rPr>
        <w:t xml:space="preserve"> find</w:t>
      </w:r>
      <w:r>
        <w:rPr>
          <w:spacing w:val="-2"/>
        </w:rPr>
        <w:t>s</w:t>
      </w:r>
      <w:r w:rsidRPr="003A0D15">
        <w:rPr>
          <w:spacing w:val="-2"/>
        </w:rPr>
        <w:t xml:space="preserve"> that Sound Around </w:t>
      </w:r>
      <w:r w:rsidRPr="003D5AFE">
        <w:t xml:space="preserve">apparently willfully and repeatedly violated </w:t>
      </w:r>
      <w:r>
        <w:t>section 302 of the Act and sections</w:t>
      </w:r>
      <w:r w:rsidRPr="003A0D15">
        <w:t xml:space="preserve"> 2.803</w:t>
      </w:r>
      <w:r>
        <w:t xml:space="preserve"> and 74.851 </w:t>
      </w:r>
      <w:r w:rsidRPr="003A0D15">
        <w:t>of the Commission’s rules</w:t>
      </w:r>
      <w:r>
        <w:t xml:space="preserve"> when it marketed 32 models of wireless microphones that were noncompliant or not authorized.</w:t>
      </w:r>
      <w:r>
        <w:rPr>
          <w:rStyle w:val="FootnoteReference"/>
          <w:szCs w:val="22"/>
        </w:rPr>
        <w:footnoteReference w:id="39"/>
      </w:r>
      <w:r>
        <w:t xml:space="preserve">  Sound Around’s apparent violations of the Commission’s rules occurred notwithstanding the previously issued </w:t>
      </w:r>
      <w:r w:rsidRPr="003E7B0F">
        <w:rPr>
          <w:i/>
          <w:iCs/>
        </w:rPr>
        <w:t>Marketing Citation</w:t>
      </w:r>
      <w:r>
        <w:t xml:space="preserve"> that alerted the Company to its earlier marketing of radio frequency devices in violation of the Act and of the Commission’s equipment marketing rules.  Accordingly, the Commission proposes a forfeiture of $</w:t>
      </w:r>
      <w:r w:rsidRPr="00ED1A36">
        <w:t>685</w:t>
      </w:r>
      <w:r>
        <w:t>,</w:t>
      </w:r>
      <w:r w:rsidRPr="00ED1A36">
        <w:t>338</w:t>
      </w:r>
      <w:r>
        <w:t>.</w:t>
      </w:r>
      <w:r>
        <w:rPr>
          <w:rStyle w:val="FootnoteReference"/>
        </w:rPr>
        <w:footnoteReference w:id="40"/>
      </w:r>
      <w:r>
        <w:t xml:space="preserve">  </w:t>
      </w:r>
    </w:p>
    <w:p w:rsidR="008475A8" w:rsidRPr="003D5AFE" w:rsidP="008475A8" w14:paraId="5A6F67CC" w14:textId="77777777">
      <w:pPr>
        <w:pStyle w:val="Heading2"/>
      </w:pPr>
      <w:bookmarkStart w:id="27" w:name="_Toc30159982"/>
      <w:bookmarkStart w:id="28" w:name="_Toc30682822"/>
      <w:bookmarkStart w:id="29" w:name="_Toc31974080"/>
      <w:bookmarkStart w:id="30" w:name="_Toc34812805"/>
      <w:bookmarkStart w:id="31" w:name="_Toc34923187"/>
      <w:r w:rsidRPr="003D5AFE">
        <w:t>S</w:t>
      </w:r>
      <w:r>
        <w:t>ound Around Apparently Violated Section 302 of the Act and Sections 2.803 and 74.851 of the Commission’s Rules</w:t>
      </w:r>
      <w:bookmarkEnd w:id="27"/>
      <w:bookmarkEnd w:id="28"/>
      <w:bookmarkEnd w:id="29"/>
      <w:bookmarkEnd w:id="30"/>
      <w:bookmarkEnd w:id="31"/>
    </w:p>
    <w:p w:rsidR="008475A8" w:rsidP="008475A8" w14:paraId="7EEDE27C" w14:textId="77777777">
      <w:pPr>
        <w:pStyle w:val="ParaNum"/>
        <w:widowControl/>
      </w:pPr>
      <w:r>
        <w:t>All devices that intentionally emit radio frequency energy and are marketed in the United States must be properly authorized and obtain an identification number issued in accordance with a Commission authorization.</w:t>
      </w:r>
      <w:r>
        <w:rPr>
          <w:rStyle w:val="FootnoteReference"/>
        </w:rPr>
        <w:footnoteReference w:id="41"/>
      </w:r>
      <w:r>
        <w:t xml:space="preserve">  The identification number will, in part, identify the type of equipment being marketed.  Based on the FCC identification numbers provided by Sound Around in its most recent response,</w:t>
      </w:r>
      <w:r>
        <w:rPr>
          <w:rStyle w:val="FootnoteReference"/>
        </w:rPr>
        <w:footnoteReference w:id="42"/>
      </w:r>
      <w:r>
        <w:t xml:space="preserve"> all of the wireless microphones at issue are certified for use under part 74 of the Commission’s rules concerning low power auxiliary stations.</w:t>
      </w:r>
      <w:r>
        <w:rPr>
          <w:rStyle w:val="FootnoteReference"/>
        </w:rPr>
        <w:footnoteReference w:id="43"/>
      </w:r>
      <w:r>
        <w:t xml:space="preserve">  Pursuant to section 74.851(f), the wireless microphones at issue here must be authorized in accordance with the Commission’s certification procedures before they may be marketed in the United States.</w:t>
      </w:r>
      <w:r>
        <w:rPr>
          <w:rStyle w:val="FootnoteReference"/>
        </w:rPr>
        <w:footnoteReference w:id="44"/>
      </w:r>
      <w:r>
        <w:t xml:space="preserve">  The 32 wireless microphone models at issue here are apparently noncompliant because they are either (</w:t>
      </w:r>
      <w:r>
        <w:t>i</w:t>
      </w:r>
      <w:r>
        <w:t>) authorized and operating contrary to their authorizations or (ii) not authorized at all.  The charts in the Appendix show that for 23 of the models in question, the frequencies authorized to the FCC ID and actual operating frequencies Sound Around attributed to the devices were inconsistent, and for nine additional models, Sound Around did not have an FCC ID.</w:t>
      </w:r>
      <w:r>
        <w:rPr>
          <w:rStyle w:val="FootnoteReference"/>
        </w:rPr>
        <w:footnoteReference w:id="45"/>
      </w:r>
    </w:p>
    <w:p w:rsidR="008475A8" w:rsidP="008475A8" w14:paraId="0716A609" w14:textId="77777777">
      <w:pPr>
        <w:pStyle w:val="ParaNum"/>
      </w:pPr>
      <w:r w:rsidRPr="008A3B05">
        <w:rPr>
          <w:i/>
          <w:iCs/>
        </w:rPr>
        <w:t>Operation Contrary to an Authorization</w:t>
      </w:r>
      <w:r>
        <w:t>.  For 23 models listed in the 2019 LOI and the response to the LOI, we find Sound Around apparently violated section 302(b) of the Act and sections 2.803 and 74.851 of the Commission’s rules.  F</w:t>
      </w:r>
      <w:r w:rsidRPr="00EE218E">
        <w:t>or</w:t>
      </w:r>
      <w:r>
        <w:t xml:space="preserve"> 22 of the wireless microphone models for which Sound Around both provided an FCC ID and identified the actual operating frequencies, those actual operating frequency bands, in fact, differ from the limited frequency bands for which the manufacturer requested authorization and for which the Commission issued the authorization associated with each microphone’s FCC ID.</w:t>
      </w:r>
      <w:r>
        <w:rPr>
          <w:rStyle w:val="FootnoteReference"/>
        </w:rPr>
        <w:footnoteReference w:id="46"/>
      </w:r>
      <w:r>
        <w:t xml:space="preserve">  For the one wireless microphone for which Sound Around did not provide actual operating frequencies, </w:t>
      </w:r>
      <w:r w:rsidRPr="004D4B4D">
        <w:t>PDWM3378</w:t>
      </w:r>
      <w:r>
        <w:t xml:space="preserve">, Sound Around has not shown that the model actually operates on compliant frequencies associated with its purported FCC ID, despite repeated requests from the Division for such information.  It thus appears that these 23 wireless microphone models operate on frequencies on which they are not authorized to operate and therefore they are apparently not compliant with section 302(b) of the Act </w:t>
      </w:r>
      <w:r w:rsidRPr="003A0D15">
        <w:t xml:space="preserve">and </w:t>
      </w:r>
      <w:r>
        <w:t>s</w:t>
      </w:r>
      <w:r w:rsidRPr="003A0D15">
        <w:t>ection</w:t>
      </w:r>
      <w:r>
        <w:t>s</w:t>
      </w:r>
      <w:r w:rsidRPr="003A0D15">
        <w:t xml:space="preserve"> 2.803</w:t>
      </w:r>
      <w:r>
        <w:t xml:space="preserve"> and 74.851 </w:t>
      </w:r>
      <w:r w:rsidRPr="003A0D15">
        <w:t>of the Commission’s rules</w:t>
      </w:r>
      <w:r>
        <w:t xml:space="preserve">.  </w:t>
      </w:r>
    </w:p>
    <w:p w:rsidR="008475A8" w:rsidP="008475A8" w14:paraId="0AEC6BD5" w14:textId="77777777">
      <w:pPr>
        <w:pStyle w:val="ParaNum"/>
      </w:pPr>
      <w:r w:rsidRPr="00EE218E">
        <w:rPr>
          <w:i/>
          <w:iCs/>
        </w:rPr>
        <w:t>Operati</w:t>
      </w:r>
      <w:r>
        <w:rPr>
          <w:i/>
          <w:iCs/>
        </w:rPr>
        <w:t>o</w:t>
      </w:r>
      <w:r w:rsidRPr="00EE218E">
        <w:rPr>
          <w:i/>
          <w:iCs/>
        </w:rPr>
        <w:t>n with</w:t>
      </w:r>
      <w:r>
        <w:rPr>
          <w:i/>
          <w:iCs/>
        </w:rPr>
        <w:t>out</w:t>
      </w:r>
      <w:r w:rsidRPr="00EE218E">
        <w:rPr>
          <w:i/>
          <w:iCs/>
        </w:rPr>
        <w:t xml:space="preserve"> an Authorization</w:t>
      </w:r>
      <w:r>
        <w:t>.  We also find that for nine additional Sound Around models, the Company has violated the Act and the Commission’s rules by failing to have the devices authorized and properly labeled.  Each grant of equipment certification for a wireless microphone includes a unique FCC ID assigned to each authorized device.</w:t>
      </w:r>
      <w:r>
        <w:rPr>
          <w:rStyle w:val="FootnoteReference"/>
        </w:rPr>
        <w:footnoteReference w:id="47"/>
      </w:r>
      <w:r>
        <w:t xml:space="preserve">  Further, each authorized device must bear either a physical or electronic label that lists the device’s FCC ID,</w:t>
      </w:r>
      <w:r>
        <w:rPr>
          <w:rStyle w:val="FootnoteReference"/>
        </w:rPr>
        <w:footnoteReference w:id="48"/>
      </w:r>
      <w:r>
        <w:t xml:space="preserve"> and the FCC ID must be “readily </w:t>
      </w:r>
      <w:r>
        <w:t>legible”</w:t>
      </w:r>
      <w:r>
        <w:rPr>
          <w:rStyle w:val="FootnoteReference"/>
        </w:rPr>
        <w:footnoteReference w:id="49"/>
      </w:r>
      <w:r>
        <w:t xml:space="preserve"> and “readily accessible.”</w:t>
      </w:r>
      <w:r>
        <w:rPr>
          <w:rStyle w:val="FootnoteReference"/>
        </w:rPr>
        <w:footnoteReference w:id="50"/>
      </w:r>
      <w:r>
        <w:t xml:space="preserve">  In its response to the LOI, Sound Around failed to provide FCC IDs for nine models of wireless microphones listed for sale on its website.  Moreover, a review of the </w:t>
      </w:r>
      <w:r w:rsidRPr="00696AF6">
        <w:t>Commission’s equipment authorization database</w:t>
      </w:r>
      <w:r>
        <w:t xml:space="preserve"> for authorizations under Sound Around’s name, its tradename Pyle, and its </w:t>
      </w:r>
      <w:r w:rsidRPr="004F6B94">
        <w:t>FCC Registration Number</w:t>
      </w:r>
      <w:r>
        <w:t xml:space="preserve"> did not reveal FCC IDs for these nine models.  Accordingly, we find that these nine models do not appear to have been authorized and therefore are being marketed in violation of the Commission’s rules and section 302(b) of the Act.    </w:t>
      </w:r>
    </w:p>
    <w:p w:rsidR="008475A8" w:rsidRPr="00930752" w:rsidP="008475A8" w14:paraId="2AF18593" w14:textId="77777777">
      <w:pPr>
        <w:pStyle w:val="ParaNum"/>
        <w:widowControl/>
      </w:pPr>
      <w:r>
        <w:t xml:space="preserve">In short, the investigation revealed that Sound Around </w:t>
      </w:r>
      <w:r w:rsidRPr="00930752">
        <w:t>marketed</w:t>
      </w:r>
      <w:r>
        <w:t xml:space="preserve"> 32 models of noncompliant</w:t>
      </w:r>
      <w:r w:rsidRPr="00930752">
        <w:t xml:space="preserve"> </w:t>
      </w:r>
      <w:r>
        <w:t xml:space="preserve">wireless microphones that </w:t>
      </w:r>
      <w:r w:rsidRPr="00930752">
        <w:t xml:space="preserve">are </w:t>
      </w:r>
      <w:r>
        <w:t xml:space="preserve">apparently </w:t>
      </w:r>
      <w:r w:rsidRPr="00930752">
        <w:t xml:space="preserve">not </w:t>
      </w:r>
      <w:r>
        <w:t>a</w:t>
      </w:r>
      <w:r w:rsidRPr="00930752">
        <w:t>uthorized</w:t>
      </w:r>
      <w:r>
        <w:t xml:space="preserve"> or are operating contrary to their authorizations.</w:t>
      </w:r>
      <w:r>
        <w:rPr>
          <w:rStyle w:val="FootnoteReference"/>
        </w:rPr>
        <w:footnoteReference w:id="51"/>
      </w:r>
      <w:r>
        <w:t xml:space="preserve">  </w:t>
      </w:r>
      <w:r w:rsidRPr="00904DEE">
        <w:t>Sound Around marketed the 32 subject wireless microphone models within the past twelve months</w:t>
      </w:r>
      <w:r>
        <w:t>, including the two models operating in the aviation band being marketed as recently as January 28, 2020.</w:t>
      </w:r>
      <w:r>
        <w:rPr>
          <w:rStyle w:val="FootnoteReference"/>
        </w:rPr>
        <w:footnoteReference w:id="52"/>
      </w:r>
      <w:r>
        <w:t xml:space="preserve">  </w:t>
      </w:r>
      <w:r w:rsidRPr="00930752">
        <w:t xml:space="preserve">Accordingly, we find that </w:t>
      </w:r>
      <w:r>
        <w:t>Sound Around</w:t>
      </w:r>
      <w:r w:rsidRPr="00930752">
        <w:t xml:space="preserve"> unlawfully marketed in the United States </w:t>
      </w:r>
      <w:r>
        <w:t xml:space="preserve">32 models of </w:t>
      </w:r>
      <w:r w:rsidRPr="00930752">
        <w:t xml:space="preserve">noncompliant </w:t>
      </w:r>
      <w:r>
        <w:t>wireless microphones</w:t>
      </w:r>
      <w:r w:rsidRPr="00930752">
        <w:t xml:space="preserve"> on its website in apparent violation of </w:t>
      </w:r>
      <w:r>
        <w:t>s</w:t>
      </w:r>
      <w:r w:rsidRPr="00930752">
        <w:t xml:space="preserve">ection 302 of the Act and </w:t>
      </w:r>
      <w:r>
        <w:t>s</w:t>
      </w:r>
      <w:r w:rsidRPr="00930752">
        <w:t>ection</w:t>
      </w:r>
      <w:r>
        <w:t>s</w:t>
      </w:r>
      <w:r w:rsidRPr="00930752">
        <w:t xml:space="preserve"> 2.803 </w:t>
      </w:r>
      <w:r>
        <w:t xml:space="preserve">and 74.851 </w:t>
      </w:r>
      <w:r w:rsidRPr="00930752">
        <w:t xml:space="preserve">of the Commission’s rules.  </w:t>
      </w:r>
    </w:p>
    <w:p w:rsidR="008475A8" w:rsidRPr="003D5AFE" w:rsidP="008475A8" w14:paraId="0E9E1EEA" w14:textId="77777777">
      <w:pPr>
        <w:pStyle w:val="Heading2"/>
      </w:pPr>
      <w:bookmarkStart w:id="32" w:name="_Toc30159983"/>
      <w:bookmarkStart w:id="33" w:name="_Toc30682823"/>
      <w:bookmarkStart w:id="34" w:name="_Toc31974081"/>
      <w:bookmarkStart w:id="35" w:name="_Toc34812806"/>
      <w:bookmarkStart w:id="36" w:name="_Toc34923188"/>
      <w:r>
        <w:t>Proposed Forfeiture</w:t>
      </w:r>
      <w:bookmarkEnd w:id="32"/>
      <w:bookmarkEnd w:id="33"/>
      <w:bookmarkEnd w:id="34"/>
      <w:bookmarkEnd w:id="35"/>
      <w:bookmarkEnd w:id="36"/>
      <w:r>
        <w:t xml:space="preserve"> </w:t>
      </w:r>
    </w:p>
    <w:p w:rsidR="008475A8" w:rsidRPr="00981F23" w:rsidP="008475A8" w14:paraId="6314A78F" w14:textId="77777777">
      <w:pPr>
        <w:pStyle w:val="ParaNum"/>
        <w:widowControl/>
      </w:pPr>
      <w:r w:rsidRPr="00981F23">
        <w:t>Section 503(b) of the Act authorizes the Commission to impose a forfeiture against any entity that “willfully or repeatedly fail</w:t>
      </w:r>
      <w:r>
        <w:t>[</w:t>
      </w:r>
      <w:r w:rsidRPr="00981F23">
        <w:t>s</w:t>
      </w:r>
      <w:r>
        <w:t>]</w:t>
      </w:r>
      <w:r w:rsidRPr="00981F23">
        <w:t xml:space="preserve"> to comply with any of the provisions of </w:t>
      </w:r>
      <w:r>
        <w:t>[</w:t>
      </w:r>
      <w:r w:rsidRPr="00981F23">
        <w:t>the Act</w:t>
      </w:r>
      <w:r>
        <w:t>]</w:t>
      </w:r>
      <w:r w:rsidRPr="00981F23">
        <w:t xml:space="preserve"> or of any rule, regulation, or order issued by the Commission.”</w:t>
      </w:r>
      <w:r>
        <w:rPr>
          <w:vertAlign w:val="superscript"/>
        </w:rPr>
        <w:footnoteReference w:id="53"/>
      </w:r>
      <w:r>
        <w:t xml:space="preserve">  </w:t>
      </w:r>
      <w:r w:rsidRPr="007921D7">
        <w:t xml:space="preserve">Here, </w:t>
      </w:r>
      <w:r>
        <w:t>s</w:t>
      </w:r>
      <w:r w:rsidRPr="007921D7">
        <w:t>ection 503(b)(2)(D) of the Act authorizes us to assess a forfeiture against Sound Around of up to $</w:t>
      </w:r>
      <w:r>
        <w:t>20</w:t>
      </w:r>
      <w:r w:rsidRPr="007921D7">
        <w:t>,</w:t>
      </w:r>
      <w:r>
        <w:t>489</w:t>
      </w:r>
      <w:r w:rsidRPr="007921D7">
        <w:t xml:space="preserve"> for each day of a continuing violation, up to a statutory maximum of $1</w:t>
      </w:r>
      <w:r>
        <w:t>53</w:t>
      </w:r>
      <w:r w:rsidRPr="007921D7">
        <w:t>,</w:t>
      </w:r>
      <w:r>
        <w:t>669</w:t>
      </w:r>
      <w:r w:rsidRPr="007921D7">
        <w:t xml:space="preserve"> for a single act or failure to act.</w:t>
      </w:r>
      <w:r>
        <w:rPr>
          <w:rStyle w:val="FootnoteReference"/>
          <w:color w:val="000000"/>
          <w:szCs w:val="22"/>
        </w:rPr>
        <w:footnoteReference w:id="54"/>
      </w:r>
      <w:r w:rsidRPr="007043A4">
        <w:t xml:space="preserve">  </w:t>
      </w:r>
      <w:r w:rsidRPr="00981F23">
        <w:t>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color w:val="000000"/>
          <w:szCs w:val="22"/>
        </w:rPr>
        <w:footnoteReference w:id="55"/>
      </w:r>
      <w:r w:rsidRPr="00981F23">
        <w:rPr>
          <w:spacing w:val="-2"/>
        </w:rPr>
        <w:t xml:space="preserve">  </w:t>
      </w:r>
      <w:r w:rsidRPr="00981F23">
        <w:t>In addition, the Commission has established forfeiture guidelines</w:t>
      </w:r>
      <w:r>
        <w:t xml:space="preserve">, which provide </w:t>
      </w:r>
      <w:r w:rsidRPr="00981F23">
        <w:t>base penalties for certain violations and identify criteria that we consider when determining the appropriate penalty in any given case.</w:t>
      </w:r>
      <w:r>
        <w:rPr>
          <w:rStyle w:val="FootnoteReference"/>
          <w:color w:val="000000"/>
        </w:rPr>
        <w:footnoteReference w:id="56"/>
      </w:r>
      <w:r w:rsidRPr="00981F23">
        <w:t xml:space="preserve">  Under these guidelines, we may adjust a forfeiture upward for violations that are egregious, intentional, </w:t>
      </w:r>
      <w:r>
        <w:t xml:space="preserve">or </w:t>
      </w:r>
      <w:r w:rsidRPr="00981F23">
        <w:t xml:space="preserve">repeated, </w:t>
      </w:r>
      <w:r>
        <w:t xml:space="preserve">or that </w:t>
      </w:r>
      <w:r w:rsidRPr="00981F23">
        <w:t>cause substantial harm</w:t>
      </w:r>
      <w:r>
        <w:t xml:space="preserve"> or</w:t>
      </w:r>
      <w:r w:rsidRPr="00981F23">
        <w:t xml:space="preserve"> generate substantial economic gain for the violator.</w:t>
      </w:r>
      <w:r>
        <w:rPr>
          <w:rStyle w:val="FootnoteReference"/>
          <w:color w:val="000000"/>
        </w:rPr>
        <w:footnoteReference w:id="57"/>
      </w:r>
      <w:r w:rsidRPr="00981F23">
        <w:t xml:space="preserve">  </w:t>
      </w:r>
    </w:p>
    <w:p w:rsidR="008475A8" w:rsidRPr="007043A4" w:rsidP="008475A8" w14:paraId="2A6D0DC4" w14:textId="77777777">
      <w:pPr>
        <w:pStyle w:val="ParaNum"/>
        <w:widowControl/>
      </w:pPr>
      <w:r w:rsidRPr="007043A4">
        <w:t xml:space="preserve">When </w:t>
      </w:r>
      <w:r>
        <w:t>entities</w:t>
      </w:r>
      <w:r w:rsidRPr="007043A4">
        <w:t xml:space="preserve"> who are not themselves holders of (or applicants for) any form of Commission authorization and whose violations do not involve conduct for which such authorization is necessary, the Commission must issue a citation warning them of the violation charged before imposing monetary penalties.</w:t>
      </w:r>
      <w:r>
        <w:rPr>
          <w:vertAlign w:val="superscript"/>
        </w:rPr>
        <w:footnoteReference w:id="58"/>
      </w:r>
      <w:r w:rsidRPr="007043A4">
        <w:rPr>
          <w:vertAlign w:val="superscript"/>
        </w:rPr>
        <w:t xml:space="preserve"> </w:t>
      </w:r>
      <w:r w:rsidRPr="007043A4">
        <w:t xml:space="preserve"> If such persons subsequently engage “in conduct of the type described in [the] citation,” the Commission can issue a</w:t>
      </w:r>
      <w:r>
        <w:t xml:space="preserve"> Notice of Apparent Liability (</w:t>
      </w:r>
      <w:r w:rsidRPr="007043A4">
        <w:t>NAL</w:t>
      </w:r>
      <w:r>
        <w:t>)</w:t>
      </w:r>
      <w:r w:rsidRPr="007043A4">
        <w:t xml:space="preserve"> proposing a forfeiture.</w:t>
      </w:r>
      <w:r>
        <w:rPr>
          <w:vertAlign w:val="superscript"/>
        </w:rPr>
        <w:footnoteReference w:id="59"/>
      </w:r>
      <w:r w:rsidRPr="007043A4">
        <w:rPr>
          <w:vertAlign w:val="superscript"/>
        </w:rPr>
        <w:t xml:space="preserve"> </w:t>
      </w:r>
      <w:r w:rsidRPr="007043A4">
        <w:t xml:space="preserve">  In assessing such forfeitures, the Commission may consider both the conduct that led to the citation and the conduct following it.</w:t>
      </w:r>
      <w:r>
        <w:rPr>
          <w:vertAlign w:val="superscript"/>
        </w:rPr>
        <w:footnoteReference w:id="60"/>
      </w:r>
      <w:r w:rsidRPr="007043A4">
        <w:t xml:space="preserve">  Here, </w:t>
      </w:r>
      <w:r>
        <w:t xml:space="preserve">Sound Around does not hold the necessary Commission authorizations for 32 models of devices it is marketing.  The Division issued </w:t>
      </w:r>
      <w:r w:rsidRPr="007043A4">
        <w:t xml:space="preserve">the </w:t>
      </w:r>
      <w:r w:rsidRPr="003E7B0F">
        <w:rPr>
          <w:i/>
          <w:iCs/>
        </w:rPr>
        <w:t>Marketing Citation</w:t>
      </w:r>
      <w:r w:rsidRPr="007043A4">
        <w:t xml:space="preserve"> </w:t>
      </w:r>
      <w:r>
        <w:t>to Sound Around in 2011</w:t>
      </w:r>
      <w:r w:rsidRPr="007043A4">
        <w:t>.</w:t>
      </w:r>
      <w:r>
        <w:rPr>
          <w:rStyle w:val="FootnoteReference"/>
        </w:rPr>
        <w:footnoteReference w:id="61"/>
      </w:r>
      <w:r w:rsidRPr="007043A4">
        <w:t xml:space="preserve">  </w:t>
      </w:r>
      <w:r>
        <w:t xml:space="preserve">Because Sound Around subsequently engaged in the conduct that led to the </w:t>
      </w:r>
      <w:r w:rsidRPr="003E7B0F">
        <w:rPr>
          <w:i/>
          <w:iCs/>
        </w:rPr>
        <w:t>Marketing Citation</w:t>
      </w:r>
      <w:r>
        <w:t xml:space="preserve"> by marketing devices that are apparently not authorized, an NAL against Sound Around is now appropriate.</w:t>
      </w:r>
      <w:r>
        <w:rPr>
          <w:rStyle w:val="FootnoteReference"/>
        </w:rPr>
        <w:footnoteReference w:id="62"/>
      </w:r>
    </w:p>
    <w:p w:rsidR="008475A8" w:rsidP="008475A8" w14:paraId="34B5D280" w14:textId="77777777">
      <w:pPr>
        <w:pStyle w:val="ParaNum"/>
        <w:keepNext/>
        <w:widowControl/>
      </w:pPr>
      <w:r w:rsidRPr="007043A4">
        <w:t xml:space="preserve">Section 1.80(b) of the </w:t>
      </w:r>
      <w:r>
        <w:t>Commission’s r</w:t>
      </w:r>
      <w:r w:rsidRPr="007043A4">
        <w:t>ules sets a base forfeiture of $7,000 for marketing of unauthorized equipment for each violation or each day of a continuing violation.</w:t>
      </w:r>
      <w:r>
        <w:rPr>
          <w:vertAlign w:val="superscript"/>
        </w:rPr>
        <w:footnoteReference w:id="63"/>
      </w:r>
      <w:r w:rsidRPr="007043A4">
        <w:t xml:space="preserve">  </w:t>
      </w:r>
      <w:r>
        <w:t xml:space="preserve">Sound Around has been marketing 32 models of apparently noncompliant wireless microphones during the statute of limitations period based on the April 9, 2019, screenshots and the information provided by the Company during the investigation.  </w:t>
      </w:r>
      <w:r w:rsidRPr="007043A4">
        <w:t>Accordingly,</w:t>
      </w:r>
      <w:r>
        <w:t xml:space="preserve"> </w:t>
      </w:r>
      <w:r w:rsidRPr="007043A4">
        <w:t>we propose a total base forfeiture of $</w:t>
      </w:r>
      <w:r>
        <w:t>224,</w:t>
      </w:r>
      <w:r w:rsidRPr="00AD5EDD">
        <w:t>000</w:t>
      </w:r>
      <w:r>
        <w:t>.</w:t>
      </w:r>
      <w:r>
        <w:rPr>
          <w:rStyle w:val="FootnoteReference"/>
        </w:rPr>
        <w:footnoteReference w:id="64"/>
      </w:r>
      <w:r>
        <w:t xml:space="preserve">  </w:t>
      </w:r>
    </w:p>
    <w:p w:rsidR="008475A8" w:rsidP="008475A8" w14:paraId="3E59381D" w14:textId="77777777">
      <w:pPr>
        <w:pStyle w:val="ParaNum"/>
        <w:widowControl/>
      </w:pPr>
      <w:r w:rsidRPr="00F65869">
        <w:t xml:space="preserve">In addition, given the totality of the circumstances, and consistent with the </w:t>
      </w:r>
      <w:r w:rsidRPr="00F65869">
        <w:rPr>
          <w:i/>
          <w:iCs/>
        </w:rPr>
        <w:t>Forfeiture</w:t>
      </w:r>
      <w:r w:rsidRPr="00FF5711">
        <w:rPr>
          <w:i/>
          <w:iCs/>
        </w:rPr>
        <w:t xml:space="preserve"> Policy Statement</w:t>
      </w:r>
      <w:r w:rsidRPr="007043A4">
        <w:t>, we conclude that significant upward adjustment</w:t>
      </w:r>
      <w:r>
        <w:t>s are</w:t>
      </w:r>
      <w:r w:rsidRPr="007043A4">
        <w:t xml:space="preserve"> warranted</w:t>
      </w:r>
      <w:r>
        <w:t xml:space="preserve"> for Sound Around’s apparent (</w:t>
      </w:r>
      <w:r>
        <w:t>i</w:t>
      </w:r>
      <w:r>
        <w:t>) long-running (repeated and continuous) marketing of noncompliant wireless microphone models (applied to 30 models) and (ii) egregious threats to public safety for two models.</w:t>
      </w:r>
      <w:r>
        <w:rPr>
          <w:rStyle w:val="FootnoteReference"/>
        </w:rPr>
        <w:footnoteReference w:id="65"/>
      </w:r>
      <w:r>
        <w:t xml:space="preserve">  </w:t>
      </w:r>
    </w:p>
    <w:p w:rsidR="008475A8" w:rsidP="008475A8" w14:paraId="7FCA928A" w14:textId="77777777">
      <w:pPr>
        <w:pStyle w:val="ParaNum"/>
        <w:widowControl/>
      </w:pPr>
      <w:r w:rsidRPr="003E7B0F">
        <w:rPr>
          <w:i/>
          <w:iCs/>
        </w:rPr>
        <w:t>First</w:t>
      </w:r>
      <w:r>
        <w:t xml:space="preserve">, </w:t>
      </w:r>
      <w:r w:rsidRPr="00336477">
        <w:t>Sound Around has been apparently repeatedly and continuously marketing noncompliant radio frequency devices for a considerable period of time—since at least 2009.</w:t>
      </w:r>
      <w:r>
        <w:rPr>
          <w:vertAlign w:val="superscript"/>
        </w:rPr>
        <w:footnoteReference w:id="66"/>
      </w:r>
      <w:r w:rsidRPr="00336477">
        <w:t xml:space="preserve">  </w:t>
      </w:r>
      <w:r w:rsidRPr="00336477">
        <w:t xml:space="preserve">Moreover, Sound Around was issued </w:t>
      </w:r>
      <w:r>
        <w:t xml:space="preserve">the </w:t>
      </w:r>
      <w:r w:rsidRPr="003E7B0F">
        <w:rPr>
          <w:i/>
          <w:iCs/>
        </w:rPr>
        <w:t>Marketing Citation</w:t>
      </w:r>
      <w:r w:rsidRPr="00336477">
        <w:t xml:space="preserve"> for unlawfully marketing wireless microphones in 2011, and thus was on notice that such conduct violates the Commission’s rules.  Despite this notice, the Company apparently </w:t>
      </w:r>
      <w:r>
        <w:t xml:space="preserve">continued to </w:t>
      </w:r>
      <w:r w:rsidRPr="00336477">
        <w:t xml:space="preserve">market noncompliant wireless microphones.  This long history of repeated and continuous marketing </w:t>
      </w:r>
      <w:r>
        <w:t xml:space="preserve">of </w:t>
      </w:r>
      <w:r w:rsidRPr="00336477">
        <w:t>non-compliant wireless microphones in apparent violation of the Commission’s rules and section 302 of the Act warrants a significant upward adjustment.</w:t>
      </w:r>
      <w:r>
        <w:rPr>
          <w:vertAlign w:val="superscript"/>
        </w:rPr>
        <w:footnoteReference w:id="67"/>
      </w:r>
      <w:r w:rsidRPr="00336477">
        <w:t xml:space="preserve">  </w:t>
      </w:r>
    </w:p>
    <w:p w:rsidR="008475A8" w:rsidP="008475A8" w14:paraId="1964A874" w14:textId="77777777">
      <w:pPr>
        <w:pStyle w:val="ParaNum"/>
      </w:pPr>
      <w:r w:rsidRPr="003E7B0F">
        <w:rPr>
          <w:i/>
          <w:iCs/>
        </w:rPr>
        <w:t>Second</w:t>
      </w:r>
      <w:r w:rsidRPr="00336477">
        <w:t xml:space="preserve">, </w:t>
      </w:r>
      <w:r>
        <w:t>Sound Around’s marketing of the two microphone models that operate in the aviation band appears to have been egregious because of the microphones’ potential for causing harmful interference to a critical public safety radio service.</w:t>
      </w:r>
      <w:r>
        <w:rPr>
          <w:rStyle w:val="FootnoteReference"/>
        </w:rPr>
        <w:footnoteReference w:id="68"/>
      </w:r>
      <w:r>
        <w:t xml:space="preserve">  In its 2019 LOI Response, Sound Around provided the actual operating frequencies for 22 apparently unauthorized wireless microphones listed for sale on its website, pyleusa.com.</w:t>
      </w:r>
      <w:r>
        <w:rPr>
          <w:rStyle w:val="FootnoteReference"/>
        </w:rPr>
        <w:footnoteReference w:id="69"/>
      </w:r>
      <w:r>
        <w:t xml:space="preserve">  </w:t>
      </w:r>
      <w:r w:rsidRPr="00870756">
        <w:rPr>
          <w:szCs w:val="22"/>
        </w:rPr>
        <w:t>Sound Around lists models PDMW94 and PDMW96 as actually operating in the aviation band.</w:t>
      </w:r>
      <w:r>
        <w:rPr>
          <w:rStyle w:val="FootnoteReference"/>
          <w:szCs w:val="22"/>
        </w:rPr>
        <w:footnoteReference w:id="70"/>
      </w:r>
      <w:r>
        <w:rPr>
          <w:szCs w:val="22"/>
        </w:rPr>
        <w:t xml:space="preserve">  </w:t>
      </w:r>
      <w:bookmarkStart w:id="38" w:name="_Hlk35003154"/>
      <w:r>
        <w:t>We treat these two apparent violations as continuing violations because we have evidence of the apparent violations continuing from April 9, 2019 to as recently as January 28, 2020.  Moreover, the possibility of causing harmful interference to operations in frequencies reserved for aviation has the potential to cause substantial harm to public safety and supports an upward adjustment for those two models to the statutory maximum for a continuing violation of $153,669 for each model.</w:t>
      </w:r>
      <w:r>
        <w:rPr>
          <w:rStyle w:val="FootnoteReference"/>
        </w:rPr>
        <w:footnoteReference w:id="71"/>
      </w:r>
      <w:r>
        <w:t xml:space="preserve">  </w:t>
      </w:r>
      <w:bookmarkEnd w:id="38"/>
    </w:p>
    <w:p w:rsidR="008475A8" w:rsidP="008475A8" w14:paraId="459F2868" w14:textId="77777777">
      <w:pPr>
        <w:pStyle w:val="ParaNum"/>
        <w:widowControl/>
      </w:pPr>
      <w:r w:rsidRPr="00336477">
        <w:t xml:space="preserve">Based on the foregoing, </w:t>
      </w:r>
      <w:r>
        <w:t>we propose to upwardly adjust the proposed forfeiture for the 30 apparent equipment marketing violations (not involving public safety spectrum) by $168,000 (</w:t>
      </w:r>
      <w:r w:rsidRPr="00FC7430">
        <w:rPr>
          <w:i/>
          <w:iCs/>
        </w:rPr>
        <w:t>i.e.</w:t>
      </w:r>
      <w:r>
        <w:t xml:space="preserve"> $5,600 x 30 models), resulting in a proposed forfeiture of $</w:t>
      </w:r>
      <w:r w:rsidRPr="00FC7430">
        <w:t>378</w:t>
      </w:r>
      <w:r>
        <w:t>,</w:t>
      </w:r>
      <w:r w:rsidRPr="00FC7430">
        <w:t>000</w:t>
      </w:r>
      <w:r>
        <w:t xml:space="preserve"> for these models (base forfeiture of $7,000 x 30 models = $210,000 +  $168,000 upward adjustment).  For the two models that threaten public safety, we propose to upwardly adjust to the statutory maximum of $153,669 for a continuing violation </w:t>
      </w:r>
      <w:r>
        <w:t>for each model, resulting in a proposed forfeiture of $</w:t>
      </w:r>
      <w:r w:rsidRPr="00FC7430">
        <w:t>307</w:t>
      </w:r>
      <w:r>
        <w:t>,</w:t>
      </w:r>
      <w:r w:rsidRPr="00FC7430">
        <w:t xml:space="preserve">338 </w:t>
      </w:r>
      <w:r>
        <w:t>(</w:t>
      </w:r>
      <w:r w:rsidRPr="003275DB">
        <w:rPr>
          <w:i/>
        </w:rPr>
        <w:t>i.e.</w:t>
      </w:r>
      <w:r>
        <w:t>, $153,669 x 2 models) for those two apparent violations.</w:t>
      </w:r>
      <w:r>
        <w:rPr>
          <w:rStyle w:val="FootnoteReference"/>
        </w:rPr>
        <w:footnoteReference w:id="72"/>
      </w:r>
      <w:r>
        <w:t xml:space="preserve">  The </w:t>
      </w:r>
      <w:bookmarkStart w:id="39" w:name="_Hlk34813078"/>
      <w:r>
        <w:t>overall proposed forfeiture, base plus upward adjustments, for the apparent equipment marketing violations is $</w:t>
      </w:r>
      <w:r w:rsidRPr="00ED1A36">
        <w:t>685</w:t>
      </w:r>
      <w:r>
        <w:t>,</w:t>
      </w:r>
      <w:r w:rsidRPr="00ED1A36">
        <w:t>338</w:t>
      </w:r>
      <w:r>
        <w:t>.</w:t>
      </w:r>
      <w:bookmarkEnd w:id="39"/>
      <w:r>
        <w:t xml:space="preserve"> </w:t>
      </w:r>
    </w:p>
    <w:p w:rsidR="008475A8" w:rsidP="008475A8" w14:paraId="05DDF574" w14:textId="77777777">
      <w:pPr>
        <w:pStyle w:val="ParaNum"/>
        <w:widowControl/>
      </w:pPr>
      <w:r>
        <w:t xml:space="preserve">In applying the applicable statutory factors, we also consider whether there is any basis for a downward adjustment of the proposed forfeiture.  Here, we find none.  </w:t>
      </w:r>
    </w:p>
    <w:p w:rsidR="008475A8" w:rsidRPr="00F84546" w:rsidP="008475A8" w14:paraId="2F1E042F" w14:textId="77777777">
      <w:pPr>
        <w:pStyle w:val="ParaNum"/>
        <w:widowControl/>
      </w:pPr>
      <w:r w:rsidRPr="007043A4">
        <w:t xml:space="preserve">Therefore, after applying the </w:t>
      </w:r>
      <w:r w:rsidRPr="003F75AF">
        <w:rPr>
          <w:i/>
        </w:rPr>
        <w:t>Forfeiture Policy Statement</w:t>
      </w:r>
      <w:r w:rsidRPr="007043A4">
        <w:t xml:space="preserve">, </w:t>
      </w:r>
      <w:r>
        <w:t>s</w:t>
      </w:r>
      <w:r w:rsidRPr="007043A4">
        <w:t xml:space="preserve">ection 1.80 of the </w:t>
      </w:r>
      <w:r>
        <w:t>Commission’s r</w:t>
      </w:r>
      <w:r w:rsidRPr="007043A4">
        <w:t xml:space="preserve">ules, and the statutory factors, we propose a total forfeiture of </w:t>
      </w:r>
      <w:r w:rsidRPr="00580F66">
        <w:t>$</w:t>
      </w:r>
      <w:r w:rsidRPr="00ED1A36">
        <w:t>685</w:t>
      </w:r>
      <w:r>
        <w:t>,</w:t>
      </w:r>
      <w:r w:rsidRPr="00ED1A36">
        <w:t>338,</w:t>
      </w:r>
      <w:r w:rsidRPr="007043A4">
        <w:t xml:space="preserve"> for which </w:t>
      </w:r>
      <w:r>
        <w:t xml:space="preserve">Sound Around </w:t>
      </w:r>
      <w:r w:rsidRPr="007043A4">
        <w:t>is apparently liable</w:t>
      </w:r>
      <w:r>
        <w:t>.</w:t>
      </w:r>
    </w:p>
    <w:p w:rsidR="008475A8" w:rsidP="008475A8" w14:paraId="2D935CE3" w14:textId="77777777">
      <w:pPr>
        <w:pStyle w:val="Heading1"/>
      </w:pPr>
      <w:bookmarkStart w:id="40" w:name="_Toc30159985"/>
      <w:bookmarkStart w:id="41" w:name="_Toc30682825"/>
      <w:bookmarkStart w:id="42" w:name="_Toc31974083"/>
      <w:bookmarkStart w:id="43" w:name="_Toc34812807"/>
      <w:bookmarkStart w:id="44" w:name="_Toc34923189"/>
      <w:r>
        <w:t>ORDERING CLAUSES</w:t>
      </w:r>
      <w:bookmarkEnd w:id="40"/>
      <w:bookmarkEnd w:id="41"/>
      <w:bookmarkEnd w:id="42"/>
      <w:bookmarkEnd w:id="43"/>
      <w:bookmarkEnd w:id="44"/>
    </w:p>
    <w:p w:rsidR="008475A8" w:rsidRPr="003D5AFE" w:rsidP="008475A8" w14:paraId="095F33D4" w14:textId="77777777">
      <w:pPr>
        <w:pStyle w:val="ParaNum"/>
        <w:keepNext/>
        <w:widowControl/>
        <w:rPr>
          <w:spacing w:val="-2"/>
        </w:rPr>
      </w:pPr>
      <w:r w:rsidRPr="003D5AFE">
        <w:t xml:space="preserve">Accordingly, </w:t>
      </w:r>
      <w:r w:rsidRPr="003D5AFE">
        <w:rPr>
          <w:b/>
        </w:rPr>
        <w:t>IT IS ORDERED</w:t>
      </w:r>
      <w:r w:rsidRPr="003D5AFE">
        <w:t xml:space="preserve"> that, pursuant to </w:t>
      </w:r>
      <w:r>
        <w:t>s</w:t>
      </w:r>
      <w:r w:rsidRPr="003D5AFE">
        <w:t>ection 503(b) of the Act</w:t>
      </w:r>
      <w:r>
        <w:rPr>
          <w:vertAlign w:val="superscript"/>
        </w:rPr>
        <w:footnoteReference w:id="73"/>
      </w:r>
      <w:r w:rsidRPr="003D5AFE">
        <w:t xml:space="preserve"> and </w:t>
      </w:r>
      <w:r>
        <w:t>s</w:t>
      </w:r>
      <w:r w:rsidRPr="003D5AFE">
        <w:t xml:space="preserve">ection 1.80 of the </w:t>
      </w:r>
      <w:r>
        <w:t>Commission’s r</w:t>
      </w:r>
      <w:r w:rsidRPr="003D5AFE">
        <w:t>ules,</w:t>
      </w:r>
      <w:r>
        <w:rPr>
          <w:vertAlign w:val="superscript"/>
        </w:rPr>
        <w:footnoteReference w:id="74"/>
      </w:r>
      <w:r w:rsidRPr="003D5AFE">
        <w:t xml:space="preserve"> </w:t>
      </w:r>
      <w:r>
        <w:t xml:space="preserve">Sound Around, Inc. </w:t>
      </w:r>
      <w:r w:rsidRPr="003D5AFE">
        <w:t xml:space="preserve">is hereby </w:t>
      </w:r>
      <w:r w:rsidRPr="003D5AFE">
        <w:rPr>
          <w:b/>
        </w:rPr>
        <w:t>NOTIFIED</w:t>
      </w:r>
      <w:r w:rsidRPr="003D5AFE">
        <w:t xml:space="preserve"> of </w:t>
      </w:r>
      <w:r>
        <w:t xml:space="preserve">its </w:t>
      </w:r>
      <w:r w:rsidRPr="003D5AFE">
        <w:rPr>
          <w:b/>
        </w:rPr>
        <w:t>APPARENT LIABILITY FOR A FORFEITURE</w:t>
      </w:r>
      <w:r w:rsidRPr="003D5AFE">
        <w:t xml:space="preserve"> in the amount of </w:t>
      </w:r>
      <w:r w:rsidRPr="00ED1A36">
        <w:t>six hundred and eighty-five thousand three hundred and thirty-eight dollars ($685,338)</w:t>
      </w:r>
      <w:r w:rsidRPr="003D5AFE">
        <w:t xml:space="preserve"> for willful and repeated violations of </w:t>
      </w:r>
      <w:r>
        <w:t>section 302(b) of the Act</w:t>
      </w:r>
      <w:r>
        <w:rPr>
          <w:rStyle w:val="FootnoteReference"/>
        </w:rPr>
        <w:footnoteReference w:id="75"/>
      </w:r>
      <w:r>
        <w:t xml:space="preserve"> </w:t>
      </w:r>
      <w:r w:rsidRPr="003A0D15">
        <w:t xml:space="preserve">and </w:t>
      </w:r>
      <w:r>
        <w:t>s</w:t>
      </w:r>
      <w:r w:rsidRPr="003A0D15">
        <w:t>ection</w:t>
      </w:r>
      <w:r>
        <w:t>s</w:t>
      </w:r>
      <w:r w:rsidRPr="003A0D15">
        <w:t xml:space="preserve"> 2.803(b)(1) </w:t>
      </w:r>
      <w:r>
        <w:t xml:space="preserve">and 74.851(f) </w:t>
      </w:r>
      <w:r w:rsidRPr="003A0D15">
        <w:t>of the Commission’s rules</w:t>
      </w:r>
      <w:r>
        <w:t>.</w:t>
      </w:r>
      <w:r>
        <w:rPr>
          <w:rStyle w:val="FootnoteReference"/>
          <w:szCs w:val="22"/>
        </w:rPr>
        <w:footnoteReference w:id="76"/>
      </w:r>
      <w:r>
        <w:t xml:space="preserve"> </w:t>
      </w:r>
    </w:p>
    <w:p w:rsidR="008475A8" w:rsidRPr="003D5AFE" w:rsidP="008475A8" w14:paraId="24540ACF" w14:textId="77777777">
      <w:pPr>
        <w:pStyle w:val="ParaNum"/>
        <w:rPr>
          <w:spacing w:val="-2"/>
        </w:rPr>
      </w:pPr>
      <w:r w:rsidRPr="003D5AFE">
        <w:rPr>
          <w:b/>
        </w:rPr>
        <w:t xml:space="preserve">IT IS FURTHER ORDERED </w:t>
      </w:r>
      <w:r w:rsidRPr="003D5AFE">
        <w:t xml:space="preserve">that, pursuant to </w:t>
      </w:r>
      <w:r>
        <w:t>s</w:t>
      </w:r>
      <w:r w:rsidRPr="003D5AFE">
        <w:t xml:space="preserve">ection 1.80 of the </w:t>
      </w:r>
      <w:r>
        <w:t>Commission’s r</w:t>
      </w:r>
      <w:r w:rsidRPr="003D5AFE">
        <w:t>ules,</w:t>
      </w:r>
      <w:r>
        <w:rPr>
          <w:vertAlign w:val="superscript"/>
        </w:rPr>
        <w:footnoteReference w:id="77"/>
      </w:r>
      <w:r w:rsidRPr="003D5AFE">
        <w:rPr>
          <w:vertAlign w:val="superscript"/>
        </w:rPr>
        <w:t xml:space="preserve"> </w:t>
      </w:r>
      <w:r w:rsidRPr="003D5AFE">
        <w:t xml:space="preserve">within thirty (30) calendar days of the release date of this Notice of Apparent Liability for Forfeiture, </w:t>
      </w:r>
      <w:r>
        <w:t xml:space="preserve">Sound Around, Inc. </w:t>
      </w:r>
      <w:r w:rsidRPr="003D5AFE">
        <w:rPr>
          <w:b/>
        </w:rPr>
        <w:t>SHALL PAY</w:t>
      </w:r>
      <w:r w:rsidRPr="003D5AFE">
        <w:t xml:space="preserve"> the full amount of the proposed forfeiture or </w:t>
      </w:r>
      <w:r w:rsidRPr="003D5AFE">
        <w:rPr>
          <w:b/>
        </w:rPr>
        <w:t>SHALL FILE</w:t>
      </w:r>
      <w:r w:rsidRPr="003D5AFE">
        <w:t xml:space="preserve"> a written statement seeking reduction or cancellation of the proposed forfeiture consistent with paragraph </w:t>
      </w:r>
      <w:r>
        <w:fldChar w:fldCharType="begin"/>
      </w:r>
      <w:r>
        <w:instrText xml:space="preserve"> REF _Ref30774128 \r \h </w:instrText>
      </w:r>
      <w:r>
        <w:fldChar w:fldCharType="separate"/>
      </w:r>
      <w:r>
        <w:t>31</w:t>
      </w:r>
      <w:r>
        <w:fldChar w:fldCharType="end"/>
      </w:r>
      <w:r w:rsidRPr="003D5AFE">
        <w:t xml:space="preserve"> below.</w:t>
      </w:r>
    </w:p>
    <w:p w:rsidR="008475A8" w:rsidRPr="001852BC" w:rsidP="008475A8" w14:paraId="472F62EB" w14:textId="77777777">
      <w:pPr>
        <w:pStyle w:val="ParaNum"/>
        <w:widowControl/>
        <w:rPr>
          <w:spacing w:val="-2"/>
        </w:rPr>
      </w:pPr>
      <w:r>
        <w:t xml:space="preserve">Sound Around, Inc. shall send electronic notification of payment to EB-SED-Response@fcc.gov on the date said payment is made.  </w:t>
      </w: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78"/>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79"/>
      </w:r>
      <w:r w:rsidRPr="00981F23">
        <w:tab/>
      </w:r>
      <w:r w:rsidRPr="003D5AFE">
        <w:tab/>
      </w:r>
    </w:p>
    <w:p w:rsidR="008475A8" w:rsidRPr="00AD0726" w:rsidP="008475A8" w14:paraId="7FF2A24A" w14:textId="77777777">
      <w:pPr>
        <w:numPr>
          <w:ilvl w:val="0"/>
          <w:numId w:val="10"/>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w:t>
      </w:r>
      <w:r w:rsidRPr="00AD0726">
        <w:t xml:space="preserve">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80"/>
      </w:r>
      <w:r w:rsidRPr="00AD0726">
        <w:t xml:space="preserve">  For additional detail and wire transfer instructions</w:t>
      </w:r>
      <w:r>
        <w:t>,</w:t>
      </w:r>
      <w:r w:rsidRPr="00AD0726">
        <w:t xml:space="preserve"> go to</w:t>
      </w:r>
      <w:r>
        <w:t xml:space="preserve"> </w:t>
      </w:r>
      <w:r>
        <w:fldChar w:fldCharType="begin"/>
      </w:r>
      <w:r>
        <w:instrText xml:space="preserve"> "https://www.fcc.gov/licensing-databases/fees/wire-transfer</w:instrText>
      </w:r>
      <w:r>
        <w:fldChar w:fldCharType="separate"/>
      </w:r>
      <w:r w:rsidRPr="001852BC">
        <w:rPr>
          <w:rStyle w:val="Hyperlink"/>
          <w:rFonts w:eastAsia="Calibri"/>
          <w:kern w:val="0"/>
        </w:rPr>
        <w:t>https://www.fcc.gov/licensing-databases/fees/wire-transfer</w:t>
      </w:r>
      <w:r>
        <w:rPr>
          <w:rStyle w:val="Hyperlink"/>
          <w:rFonts w:eastAsia="Calibri"/>
          <w:kern w:val="0"/>
        </w:rPr>
        <w:fldChar w:fldCharType="end"/>
      </w:r>
      <w:r>
        <w:fldChar w:fldCharType="begin"/>
      </w:r>
      <w:r>
        <w:instrText xml:space="preserve"> "https://www.fcc.gov/licensing-databases/fees/wire-transfer</w:instrText>
      </w:r>
      <w:r>
        <w:fldChar w:fldCharType="separate"/>
      </w:r>
      <w:r w:rsidRPr="001852BC">
        <w:rPr>
          <w:rStyle w:val="Hyperlink"/>
          <w:rFonts w:eastAsia="Calibri"/>
          <w:kern w:val="0"/>
        </w:rPr>
        <w:t>https://www.fcc.gov/licensing-databases/fees/wire-transfer</w:t>
      </w:r>
      <w:r>
        <w:rPr>
          <w:rStyle w:val="Hyperlink"/>
          <w:rFonts w:eastAsia="Calibri"/>
          <w:kern w:val="0"/>
        </w:rPr>
        <w:fldChar w:fldCharType="end"/>
      </w:r>
      <w:r w:rsidRPr="009A41F0">
        <w:t xml:space="preserve"> </w:t>
      </w:r>
      <w:hyperlink r:id="rId5" w:history="1">
        <w:r w:rsidRPr="003047D3">
          <w:rPr>
            <w:rStyle w:val="Hyperlink"/>
          </w:rPr>
          <w:t>https://www.fcc.gov/licensing-databases/fees/wire-transfer</w:t>
        </w:r>
      </w:hyperlink>
      <w:r w:rsidRPr="00AD0726">
        <w:t xml:space="preserve">.  </w:t>
      </w:r>
    </w:p>
    <w:p w:rsidR="008475A8" w:rsidRPr="00AD0726" w:rsidP="008475A8" w14:paraId="1A48F7AE" w14:textId="77777777">
      <w:pPr>
        <w:numPr>
          <w:ilvl w:val="0"/>
          <w:numId w:val="10"/>
        </w:numPr>
        <w:spacing w:after="120"/>
      </w:pPr>
      <w:r w:rsidRPr="00AD0726">
        <w:t xml:space="preserve">Payment by credit card must be made by using the </w:t>
      </w:r>
      <w:r>
        <w:t xml:space="preserve">Commission’s </w:t>
      </w:r>
      <w:r w:rsidRPr="00AD0726">
        <w:t xml:space="preserve">Fee Filer website at </w:t>
      </w:r>
      <w:hyperlink r:id="rId6"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 xml:space="preserve">the “Pay by Credit Card” option.  </w:t>
      </w:r>
      <w:r>
        <w:t xml:space="preserve">IMPORTANT NOTE: </w:t>
      </w:r>
      <w:r w:rsidRPr="00AD0726">
        <w:t>there is a $24,999.99</w:t>
      </w:r>
      <w:r>
        <w:t xml:space="preserve"> </w:t>
      </w:r>
      <w:r w:rsidRPr="00AD0726">
        <w:t>limit on credit card transactions.</w:t>
      </w:r>
    </w:p>
    <w:p w:rsidR="008475A8" w:rsidRPr="001852BC" w:rsidP="008475A8" w14:paraId="7C529F5B" w14:textId="77777777">
      <w:pPr>
        <w:widowControl/>
        <w:numPr>
          <w:ilvl w:val="0"/>
          <w:numId w:val="10"/>
        </w:numPr>
        <w:spacing w:after="120"/>
        <w:rPr>
          <w:b/>
          <w:color w:val="000000"/>
          <w:szCs w:val="22"/>
        </w:rPr>
      </w:pPr>
      <w:r w:rsidRPr="00AD0726">
        <w:t>Payment by ACH</w:t>
      </w:r>
      <w:r>
        <w:t xml:space="preserve"> </w:t>
      </w:r>
      <w:r w:rsidRPr="00AD0726">
        <w:t xml:space="preserve">must be made by using the Commission’s Fee Filer website at </w:t>
      </w:r>
      <w:hyperlink r:id="rId6" w:history="1">
        <w:r w:rsidRPr="001852BC">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 xml:space="preserve">select “Pay bills” on the Fee Filer Menu and then select the bill number associated </w:t>
      </w:r>
      <w:r>
        <w:t>with</w:t>
      </w:r>
      <w:r w:rsidRPr="00AD0726">
        <w:t xml:space="preserve"> the NAL Account – the bill number is the NAL Account number with the first two digits excluded</w:t>
      </w:r>
      <w:r>
        <w:t xml:space="preserve"> (</w:t>
      </w:r>
      <w:r w:rsidRPr="007B4D10">
        <w:t>e.g.</w:t>
      </w:r>
      <w:r>
        <w:t xml:space="preserve">, NAL 1912345678 = FCC bill Number 12345678)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8475A8" w:rsidRPr="00981F23" w:rsidP="008475A8" w14:paraId="08B85B66" w14:textId="77777777">
      <w:pPr>
        <w:pStyle w:val="ParaNum"/>
      </w:pPr>
      <w:r w:rsidRPr="00981F23">
        <w:t>Any request for making full payment over time under an installment plan should be sent to:  Chief Financial Officer</w:t>
      </w:r>
      <w:r>
        <w:t xml:space="preserve">  </w:t>
      </w:r>
      <w:r w:rsidRPr="00981F23">
        <w:t>—Financial Operations, Federal Communications Commission, 445 12th Street, SW, Room 1-A625, Washington, DC 20554.</w:t>
      </w:r>
      <w:r>
        <w:rPr>
          <w:rStyle w:val="FootnoteReference"/>
          <w:szCs w:val="22"/>
        </w:rPr>
        <w:footnoteReference w:id="81"/>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ARINQUIRIES@fcc.gov.</w:t>
      </w:r>
    </w:p>
    <w:p w:rsidR="008475A8" w:rsidRPr="003D5AFE" w:rsidP="008475A8" w14:paraId="23971CEA" w14:textId="77777777">
      <w:pPr>
        <w:pStyle w:val="ParaNum"/>
      </w:pPr>
      <w:bookmarkStart w:id="45" w:name="_Ref30774128"/>
      <w:r w:rsidRPr="003D5AFE">
        <w:t xml:space="preserve">The written statement seeking reduction or cancellation of the proposed forfeiture, if any, must include a detailed factual statement supported by appropriate documentation and affidavits pursuant to </w:t>
      </w:r>
      <w:r>
        <w:t>s</w:t>
      </w:r>
      <w:r w:rsidRPr="003D5AFE">
        <w:t xml:space="preserve">ections 1.16 and 1.80(f)(3) of the </w:t>
      </w:r>
      <w:r>
        <w:t>Commission’s r</w:t>
      </w:r>
      <w:r w:rsidRPr="003D5AFE">
        <w:t>ules.</w:t>
      </w:r>
      <w:r>
        <w:rPr>
          <w:vertAlign w:val="superscript"/>
        </w:rPr>
        <w:footnoteReference w:id="82"/>
      </w:r>
      <w:r w:rsidRPr="003D5AFE">
        <w:t xml:space="preserve">  The written statement must be mailed to the Office of the Secretary, Federal Communications Commission, 445 12th Street, SW, Washington, DC 20554, ATTN:  Enforcement Bureau – S</w:t>
      </w:r>
      <w:r>
        <w:t>pectrum Enforcement Division</w:t>
      </w:r>
      <w:r w:rsidRPr="003D5AFE">
        <w:t xml:space="preserve">, and must include the NAL/Account Number referenced in the caption.  The statement must also be e-mailed to </w:t>
      </w:r>
      <w:r>
        <w:t>EB-SED-Response@fcc.gov</w:t>
      </w:r>
      <w:r w:rsidRPr="003D5AFE">
        <w:t>.</w:t>
      </w:r>
      <w:bookmarkEnd w:id="45"/>
      <w:r w:rsidRPr="003D5AFE">
        <w:t xml:space="preserve">  </w:t>
      </w:r>
    </w:p>
    <w:p w:rsidR="008475A8" w:rsidP="008475A8" w14:paraId="773D1412" w14:textId="77777777">
      <w:pPr>
        <w:pStyle w:val="ParaNum"/>
      </w:pPr>
      <w:r w:rsidRPr="003D5AFE">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8475A8" w:rsidRPr="003D5AFE" w:rsidP="008475A8" w14:paraId="7D37F949" w14:textId="77777777">
      <w:pPr>
        <w:pStyle w:val="ParaNum"/>
        <w:keepNext/>
        <w:keepLines/>
        <w:widowControl/>
      </w:pPr>
      <w:r w:rsidRPr="003D5AFE">
        <w:rPr>
          <w:b/>
        </w:rPr>
        <w:t xml:space="preserve">IT IS FURTHER ORDERED </w:t>
      </w:r>
      <w:r w:rsidRPr="003D5AFE">
        <w:t xml:space="preserve">that a copy of this Notice of Apparent Liability for Forfeiture shall be sent by first class mail and certified mail, return receipt requested, to </w:t>
      </w:r>
      <w:r>
        <w:t>Zigmond</w:t>
      </w:r>
      <w:r>
        <w:t xml:space="preserve"> Brach, Chief Executive Officer</w:t>
      </w:r>
      <w:r w:rsidRPr="003D5AFE">
        <w:t xml:space="preserve">, </w:t>
      </w:r>
      <w:r>
        <w:t>Sound Around, Inc.</w:t>
      </w:r>
      <w:r w:rsidRPr="003D5AFE">
        <w:t xml:space="preserve">, </w:t>
      </w:r>
      <w:r>
        <w:t>1600 63</w:t>
      </w:r>
      <w:r w:rsidRPr="007A423B">
        <w:rPr>
          <w:vertAlign w:val="superscript"/>
        </w:rPr>
        <w:t>rd</w:t>
      </w:r>
      <w:r>
        <w:t xml:space="preserve"> Street, Brooklyn, New York 11204</w:t>
      </w:r>
      <w:r w:rsidRPr="003D5AFE">
        <w:t xml:space="preserve">, and to </w:t>
      </w:r>
      <w:r>
        <w:t xml:space="preserve">Max Moskowitz, </w:t>
      </w:r>
      <w:r w:rsidRPr="003D5AFE">
        <w:t xml:space="preserve">Esq., </w:t>
      </w:r>
      <w:r>
        <w:t>Ostrolenk</w:t>
      </w:r>
      <w:r>
        <w:t xml:space="preserve"> Faber LLP</w:t>
      </w:r>
      <w:r w:rsidRPr="003D5AFE">
        <w:t xml:space="preserve">, </w:t>
      </w:r>
      <w:r>
        <w:t>11800 Avenue of the Americas, New York, New York 10036</w:t>
      </w:r>
      <w:r w:rsidRPr="003D5AFE">
        <w:t>.</w:t>
      </w:r>
    </w:p>
    <w:p w:rsidR="008475A8" w:rsidRPr="00ED051C" w:rsidP="008475A8" w14:paraId="6763645F" w14:textId="77777777">
      <w:pPr>
        <w:keepNext/>
        <w:keepLines/>
        <w:widowControl/>
        <w:spacing w:after="120"/>
        <w:rPr>
          <w:color w:val="000000"/>
        </w:rPr>
      </w:pPr>
    </w:p>
    <w:p w:rsidR="008475A8" w:rsidP="008475A8" w14:paraId="6B0E7E48" w14:textId="77777777">
      <w:pPr>
        <w:keepNext/>
        <w:keepLines/>
        <w:widowControl/>
      </w:pPr>
      <w:r>
        <w:tab/>
      </w:r>
      <w:r>
        <w:tab/>
      </w:r>
      <w:r>
        <w:tab/>
      </w:r>
      <w:r>
        <w:tab/>
      </w:r>
      <w:r>
        <w:tab/>
      </w:r>
      <w:r>
        <w:tab/>
        <w:t>FEDERAL COMMUNICATIONS COMMISSION</w:t>
      </w:r>
    </w:p>
    <w:p w:rsidR="008475A8" w:rsidP="008475A8" w14:paraId="260F6DF8" w14:textId="77777777">
      <w:pPr>
        <w:keepNext/>
        <w:keepLines/>
        <w:widowControl/>
      </w:pPr>
    </w:p>
    <w:p w:rsidR="008475A8" w:rsidP="008475A8" w14:paraId="38FA8674" w14:textId="77777777">
      <w:pPr>
        <w:keepNext/>
        <w:keepLines/>
        <w:widowControl/>
      </w:pPr>
    </w:p>
    <w:p w:rsidR="008475A8" w:rsidP="008475A8" w14:paraId="7E04F54A" w14:textId="77777777">
      <w:pPr>
        <w:keepNext/>
        <w:keepLines/>
        <w:widowControl/>
      </w:pPr>
    </w:p>
    <w:p w:rsidR="008475A8" w:rsidP="008475A8" w14:paraId="1F432054" w14:textId="77777777">
      <w:pPr>
        <w:keepNext/>
        <w:keepLines/>
        <w:widowControl/>
      </w:pPr>
    </w:p>
    <w:p w:rsidR="008475A8" w:rsidP="008475A8" w14:paraId="6D3C0783" w14:textId="77777777">
      <w:pPr>
        <w:keepNext/>
        <w:keepLines/>
        <w:widowControl/>
      </w:pPr>
      <w:r>
        <w:tab/>
      </w:r>
      <w:r>
        <w:tab/>
      </w:r>
      <w:r>
        <w:tab/>
      </w:r>
      <w:r>
        <w:tab/>
      </w:r>
      <w:r>
        <w:tab/>
      </w:r>
      <w:r>
        <w:tab/>
        <w:t>Marlene H. Dortch</w:t>
      </w:r>
    </w:p>
    <w:p w:rsidR="008475A8" w:rsidP="008475A8" w14:paraId="32F913FE" w14:textId="77777777">
      <w:pPr>
        <w:keepNext/>
        <w:keepLines/>
        <w:widowControl/>
      </w:pPr>
      <w:r>
        <w:tab/>
      </w:r>
      <w:r>
        <w:tab/>
      </w:r>
      <w:r>
        <w:tab/>
      </w:r>
      <w:r>
        <w:tab/>
      </w:r>
      <w:r>
        <w:tab/>
      </w:r>
      <w:r>
        <w:tab/>
        <w:t>Secretary</w:t>
      </w:r>
    </w:p>
    <w:p w:rsidR="008475A8" w:rsidP="008475A8" w14:paraId="1880C43A" w14:textId="77777777">
      <w:pPr>
        <w:jc w:val="center"/>
        <w:rPr>
          <w:b/>
          <w:bCs/>
          <w:szCs w:val="22"/>
        </w:rPr>
      </w:pPr>
    </w:p>
    <w:p w:rsidR="008475A8" w:rsidP="008475A8" w14:paraId="1EF4AD74" w14:textId="77777777">
      <w:pPr>
        <w:jc w:val="center"/>
        <w:rPr>
          <w:b/>
          <w:bCs/>
          <w:szCs w:val="22"/>
        </w:rPr>
        <w:sectPr w:rsidSect="00B779A6">
          <w:headerReference w:type="default" r:id="rId7"/>
          <w:footerReference w:type="even" r:id="rId8"/>
          <w:footerReference w:type="default" r:id="rId9"/>
          <w:headerReference w:type="first" r:id="rId10"/>
          <w:footerReference w:type="first" r:id="rId11"/>
          <w:footnotePr>
            <w:numRestart w:val="eachSect"/>
          </w:footnotePr>
          <w:pgSz w:w="12240" w:h="15840" w:code="1"/>
          <w:pgMar w:top="1440" w:right="1440" w:bottom="720" w:left="1440" w:header="720" w:footer="720" w:gutter="0"/>
          <w:cols w:space="720"/>
          <w:titlePg/>
          <w:docGrid w:linePitch="299"/>
        </w:sectPr>
      </w:pPr>
    </w:p>
    <w:p w:rsidR="008475A8" w:rsidRPr="001649AC" w:rsidP="008475A8" w14:paraId="2BAF0073" w14:textId="77777777">
      <w:pPr>
        <w:jc w:val="center"/>
        <w:rPr>
          <w:b/>
          <w:bCs/>
          <w:szCs w:val="22"/>
        </w:rPr>
      </w:pPr>
      <w:r w:rsidRPr="001649AC">
        <w:rPr>
          <w:b/>
          <w:bCs/>
          <w:szCs w:val="22"/>
        </w:rPr>
        <w:t>APPENDIX</w:t>
      </w:r>
    </w:p>
    <w:p w:rsidR="008475A8" w:rsidP="008475A8" w14:paraId="73B1164A" w14:textId="77777777">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581"/>
        <w:gridCol w:w="2579"/>
        <w:gridCol w:w="2579"/>
      </w:tblGrid>
      <w:tr w14:paraId="5C9454CE"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1" w:type="dxa"/>
            <w:shd w:val="clear" w:color="auto" w:fill="auto"/>
          </w:tcPr>
          <w:p w:rsidR="008475A8" w:rsidRPr="00D83856" w:rsidP="000D058B" w14:paraId="6BB0FEE7" w14:textId="77777777">
            <w:pPr>
              <w:pStyle w:val="ParaNum"/>
              <w:keepNext/>
              <w:keepLines/>
              <w:widowControl/>
              <w:numPr>
                <w:ilvl w:val="0"/>
                <w:numId w:val="0"/>
              </w:numPr>
              <w:spacing w:after="0"/>
              <w:rPr>
                <w:b/>
              </w:rPr>
            </w:pPr>
            <w:r w:rsidRPr="00D83856">
              <w:rPr>
                <w:b/>
              </w:rPr>
              <w:t>FCC ID:</w:t>
            </w:r>
          </w:p>
          <w:p w:rsidR="008475A8" w:rsidRPr="00D83856" w:rsidP="000D058B" w14:paraId="002FE506" w14:textId="77777777">
            <w:pPr>
              <w:pStyle w:val="ParaNum"/>
              <w:keepNext/>
              <w:keepLines/>
              <w:widowControl/>
              <w:numPr>
                <w:ilvl w:val="0"/>
                <w:numId w:val="0"/>
              </w:numPr>
              <w:spacing w:after="0"/>
              <w:rPr>
                <w:b/>
              </w:rPr>
            </w:pPr>
            <w:r w:rsidRPr="00D83856">
              <w:rPr>
                <w:b/>
              </w:rPr>
              <w:t>X6CGM-633</w:t>
            </w:r>
          </w:p>
        </w:tc>
        <w:tc>
          <w:tcPr>
            <w:tcW w:w="2581" w:type="dxa"/>
            <w:shd w:val="clear" w:color="auto" w:fill="auto"/>
          </w:tcPr>
          <w:p w:rsidR="008475A8" w:rsidRPr="00D83856" w:rsidP="000D058B" w14:paraId="4871C975" w14:textId="77777777">
            <w:pPr>
              <w:pStyle w:val="ParaNum"/>
              <w:keepNext/>
              <w:keepLines/>
              <w:widowControl/>
              <w:numPr>
                <w:ilvl w:val="0"/>
                <w:numId w:val="0"/>
              </w:numPr>
              <w:spacing w:after="0"/>
              <w:rPr>
                <w:b/>
              </w:rPr>
            </w:pPr>
            <w:r w:rsidRPr="00D83856">
              <w:rPr>
                <w:b/>
              </w:rPr>
              <w:t>Model</w:t>
            </w:r>
          </w:p>
        </w:tc>
        <w:tc>
          <w:tcPr>
            <w:tcW w:w="2579" w:type="dxa"/>
            <w:shd w:val="clear" w:color="auto" w:fill="auto"/>
          </w:tcPr>
          <w:p w:rsidR="008475A8" w:rsidRPr="00D83856" w:rsidP="000D058B" w14:paraId="504A62C6" w14:textId="77777777">
            <w:pPr>
              <w:pStyle w:val="ParaNum"/>
              <w:keepNext/>
              <w:keepLines/>
              <w:widowControl/>
              <w:numPr>
                <w:ilvl w:val="0"/>
                <w:numId w:val="0"/>
              </w:numPr>
              <w:spacing w:after="0"/>
              <w:rPr>
                <w:b/>
              </w:rPr>
            </w:pPr>
            <w:r w:rsidRPr="00D83856">
              <w:rPr>
                <w:b/>
              </w:rPr>
              <w:t>FCC ID authorized frequencies</w:t>
            </w:r>
          </w:p>
        </w:tc>
        <w:tc>
          <w:tcPr>
            <w:tcW w:w="2579" w:type="dxa"/>
            <w:shd w:val="clear" w:color="auto" w:fill="auto"/>
          </w:tcPr>
          <w:p w:rsidR="008475A8" w:rsidRPr="00D83856" w:rsidP="000D058B" w14:paraId="50BC22EA" w14:textId="77777777">
            <w:pPr>
              <w:pStyle w:val="ParaNum"/>
              <w:keepNext/>
              <w:keepLines/>
              <w:widowControl/>
              <w:numPr>
                <w:ilvl w:val="0"/>
                <w:numId w:val="0"/>
              </w:numPr>
              <w:spacing w:after="0"/>
              <w:rPr>
                <w:b/>
              </w:rPr>
            </w:pPr>
            <w:r w:rsidRPr="00D83856">
              <w:rPr>
                <w:b/>
              </w:rPr>
              <w:t>Actual operating frequencies</w:t>
            </w:r>
          </w:p>
        </w:tc>
      </w:tr>
      <w:tr w14:paraId="16C2B8F9" w14:textId="77777777" w:rsidTr="000D058B">
        <w:tblPrEx>
          <w:tblW w:w="0" w:type="auto"/>
          <w:tblLook w:val="04A0"/>
        </w:tblPrEx>
        <w:trPr>
          <w:cantSplit/>
        </w:trPr>
        <w:tc>
          <w:tcPr>
            <w:tcW w:w="1611" w:type="dxa"/>
            <w:shd w:val="clear" w:color="auto" w:fill="auto"/>
          </w:tcPr>
          <w:p w:rsidR="008475A8" w:rsidP="000D058B" w14:paraId="41864EF5" w14:textId="77777777">
            <w:pPr>
              <w:pStyle w:val="ParaNum"/>
              <w:keepNext/>
              <w:keepLines/>
              <w:widowControl/>
              <w:numPr>
                <w:ilvl w:val="0"/>
                <w:numId w:val="0"/>
              </w:numPr>
              <w:spacing w:after="0"/>
            </w:pPr>
            <w:r>
              <w:t>1</w:t>
            </w:r>
          </w:p>
        </w:tc>
        <w:tc>
          <w:tcPr>
            <w:tcW w:w="2581" w:type="dxa"/>
            <w:shd w:val="clear" w:color="auto" w:fill="auto"/>
          </w:tcPr>
          <w:p w:rsidR="008475A8" w:rsidP="000D058B" w14:paraId="588FEAF6" w14:textId="77777777">
            <w:pPr>
              <w:pStyle w:val="ParaNum"/>
              <w:keepNext/>
              <w:keepLines/>
              <w:widowControl/>
              <w:numPr>
                <w:ilvl w:val="0"/>
                <w:numId w:val="0"/>
              </w:numPr>
              <w:spacing w:after="0"/>
            </w:pPr>
            <w:r w:rsidRPr="004D4B4D">
              <w:t>PDWM94</w:t>
            </w:r>
          </w:p>
        </w:tc>
        <w:tc>
          <w:tcPr>
            <w:tcW w:w="2579" w:type="dxa"/>
            <w:shd w:val="clear" w:color="auto" w:fill="auto"/>
          </w:tcPr>
          <w:p w:rsidR="008475A8" w:rsidP="000D058B" w14:paraId="2435D708" w14:textId="77777777">
            <w:pPr>
              <w:pStyle w:val="ParaNum"/>
              <w:keepNext/>
              <w:keepLines/>
              <w:widowControl/>
              <w:numPr>
                <w:ilvl w:val="0"/>
                <w:numId w:val="0"/>
              </w:numPr>
              <w:spacing w:after="0"/>
            </w:pPr>
            <w:r>
              <w:t>174.2 – 215.8 MHz</w:t>
            </w:r>
          </w:p>
        </w:tc>
        <w:tc>
          <w:tcPr>
            <w:tcW w:w="2579" w:type="dxa"/>
            <w:shd w:val="clear" w:color="auto" w:fill="auto"/>
          </w:tcPr>
          <w:p w:rsidR="008475A8" w:rsidP="000D058B" w14:paraId="40870474" w14:textId="77777777">
            <w:pPr>
              <w:pStyle w:val="ParaNum"/>
              <w:keepNext/>
              <w:keepLines/>
              <w:widowControl/>
              <w:numPr>
                <w:ilvl w:val="0"/>
                <w:numId w:val="0"/>
              </w:numPr>
              <w:spacing w:after="0"/>
            </w:pPr>
            <w:r w:rsidRPr="004D4B4D">
              <w:t>117.5/114.5 MHz</w:t>
            </w:r>
          </w:p>
        </w:tc>
      </w:tr>
      <w:tr w14:paraId="305E9126" w14:textId="77777777" w:rsidTr="000D058B">
        <w:tblPrEx>
          <w:tblW w:w="0" w:type="auto"/>
          <w:tblLook w:val="04A0"/>
        </w:tblPrEx>
        <w:trPr>
          <w:cantSplit/>
        </w:trPr>
        <w:tc>
          <w:tcPr>
            <w:tcW w:w="1611" w:type="dxa"/>
            <w:shd w:val="clear" w:color="auto" w:fill="auto"/>
          </w:tcPr>
          <w:p w:rsidR="008475A8" w:rsidP="000D058B" w14:paraId="473EF256" w14:textId="77777777">
            <w:pPr>
              <w:pStyle w:val="ParaNum"/>
              <w:keepNext/>
              <w:keepLines/>
              <w:widowControl/>
              <w:numPr>
                <w:ilvl w:val="0"/>
                <w:numId w:val="0"/>
              </w:numPr>
              <w:spacing w:after="0"/>
            </w:pPr>
            <w:r>
              <w:t>2</w:t>
            </w:r>
          </w:p>
        </w:tc>
        <w:tc>
          <w:tcPr>
            <w:tcW w:w="2581" w:type="dxa"/>
            <w:shd w:val="clear" w:color="auto" w:fill="auto"/>
          </w:tcPr>
          <w:p w:rsidR="008475A8" w:rsidP="000D058B" w14:paraId="54E3AAD4" w14:textId="77777777">
            <w:pPr>
              <w:pStyle w:val="ParaNum"/>
              <w:keepNext/>
              <w:keepLines/>
              <w:widowControl/>
              <w:numPr>
                <w:ilvl w:val="0"/>
                <w:numId w:val="0"/>
              </w:numPr>
              <w:spacing w:after="0"/>
            </w:pPr>
            <w:r w:rsidRPr="004D4B4D">
              <w:t>PDWM96</w:t>
            </w:r>
          </w:p>
        </w:tc>
        <w:tc>
          <w:tcPr>
            <w:tcW w:w="2579" w:type="dxa"/>
            <w:shd w:val="clear" w:color="auto" w:fill="auto"/>
          </w:tcPr>
          <w:p w:rsidR="008475A8" w:rsidP="000D058B" w14:paraId="3D1D5BD6" w14:textId="77777777">
            <w:pPr>
              <w:pStyle w:val="ParaNum"/>
              <w:keepNext/>
              <w:keepLines/>
              <w:widowControl/>
              <w:numPr>
                <w:ilvl w:val="0"/>
                <w:numId w:val="0"/>
              </w:numPr>
              <w:spacing w:after="0"/>
            </w:pPr>
            <w:r>
              <w:t>174.2 – 215.8 MHz</w:t>
            </w:r>
          </w:p>
        </w:tc>
        <w:tc>
          <w:tcPr>
            <w:tcW w:w="2579" w:type="dxa"/>
            <w:shd w:val="clear" w:color="auto" w:fill="auto"/>
          </w:tcPr>
          <w:p w:rsidR="008475A8" w:rsidP="000D058B" w14:paraId="2A58EBE6" w14:textId="77777777">
            <w:pPr>
              <w:pStyle w:val="ParaNum"/>
              <w:keepNext/>
              <w:keepLines/>
              <w:widowControl/>
              <w:numPr>
                <w:ilvl w:val="0"/>
                <w:numId w:val="0"/>
              </w:numPr>
              <w:spacing w:after="0"/>
            </w:pPr>
            <w:r w:rsidRPr="004D4B4D">
              <w:t>117.5/114.5 MHz</w:t>
            </w:r>
          </w:p>
        </w:tc>
      </w:tr>
      <w:tr w14:paraId="49A27286" w14:textId="77777777" w:rsidTr="000D058B">
        <w:tblPrEx>
          <w:tblW w:w="0" w:type="auto"/>
          <w:tblLook w:val="04A0"/>
        </w:tblPrEx>
        <w:trPr>
          <w:cantSplit/>
        </w:trPr>
        <w:tc>
          <w:tcPr>
            <w:tcW w:w="1611" w:type="dxa"/>
            <w:shd w:val="clear" w:color="auto" w:fill="auto"/>
          </w:tcPr>
          <w:p w:rsidR="008475A8" w:rsidP="000D058B" w14:paraId="36F33A4B" w14:textId="77777777">
            <w:pPr>
              <w:pStyle w:val="ParaNum"/>
              <w:keepNext/>
              <w:keepLines/>
              <w:widowControl/>
              <w:numPr>
                <w:ilvl w:val="0"/>
                <w:numId w:val="0"/>
              </w:numPr>
              <w:spacing w:after="0"/>
            </w:pPr>
            <w:r>
              <w:t>3</w:t>
            </w:r>
          </w:p>
        </w:tc>
        <w:tc>
          <w:tcPr>
            <w:tcW w:w="2581" w:type="dxa"/>
            <w:shd w:val="clear" w:color="auto" w:fill="auto"/>
          </w:tcPr>
          <w:p w:rsidR="008475A8" w:rsidP="000D058B" w14:paraId="2C1020C5" w14:textId="77777777">
            <w:pPr>
              <w:pStyle w:val="ParaNum"/>
              <w:keepNext/>
              <w:keepLines/>
              <w:widowControl/>
              <w:numPr>
                <w:ilvl w:val="0"/>
                <w:numId w:val="0"/>
              </w:numPr>
              <w:spacing w:after="0"/>
            </w:pPr>
            <w:r w:rsidRPr="004D4B4D">
              <w:t>PDWM4650</w:t>
            </w:r>
          </w:p>
        </w:tc>
        <w:tc>
          <w:tcPr>
            <w:tcW w:w="2579" w:type="dxa"/>
            <w:shd w:val="clear" w:color="auto" w:fill="auto"/>
          </w:tcPr>
          <w:p w:rsidR="008475A8" w:rsidP="000D058B" w14:paraId="01C5F106" w14:textId="77777777">
            <w:pPr>
              <w:pStyle w:val="ParaNum"/>
              <w:keepNext/>
              <w:keepLines/>
              <w:widowControl/>
              <w:numPr>
                <w:ilvl w:val="0"/>
                <w:numId w:val="0"/>
              </w:numPr>
              <w:spacing w:after="0"/>
            </w:pPr>
            <w:r>
              <w:t>174.2 – 215.8 MHz</w:t>
            </w:r>
          </w:p>
        </w:tc>
        <w:tc>
          <w:tcPr>
            <w:tcW w:w="2579" w:type="dxa"/>
            <w:shd w:val="clear" w:color="auto" w:fill="auto"/>
          </w:tcPr>
          <w:p w:rsidR="008475A8" w:rsidP="000D058B" w14:paraId="21BC2349" w14:textId="77777777">
            <w:pPr>
              <w:pStyle w:val="ParaNum"/>
              <w:keepNext/>
              <w:keepLines/>
              <w:widowControl/>
              <w:numPr>
                <w:ilvl w:val="0"/>
                <w:numId w:val="0"/>
              </w:numPr>
              <w:spacing w:after="0"/>
            </w:pPr>
            <w:r w:rsidRPr="004D4B4D">
              <w:t>65.10 MHz</w:t>
            </w:r>
          </w:p>
        </w:tc>
      </w:tr>
      <w:tr w14:paraId="78ACA1C3" w14:textId="77777777" w:rsidTr="000D058B">
        <w:tblPrEx>
          <w:tblW w:w="0" w:type="auto"/>
          <w:tblLook w:val="04A0"/>
        </w:tblPrEx>
        <w:trPr>
          <w:cantSplit/>
        </w:trPr>
        <w:tc>
          <w:tcPr>
            <w:tcW w:w="1611" w:type="dxa"/>
            <w:shd w:val="clear" w:color="auto" w:fill="auto"/>
          </w:tcPr>
          <w:p w:rsidR="008475A8" w:rsidP="000D058B" w14:paraId="781068B3" w14:textId="77777777">
            <w:pPr>
              <w:pStyle w:val="ParaNum"/>
              <w:keepNext/>
              <w:keepLines/>
              <w:widowControl/>
              <w:numPr>
                <w:ilvl w:val="0"/>
                <w:numId w:val="0"/>
              </w:numPr>
              <w:spacing w:after="0"/>
            </w:pPr>
            <w:r>
              <w:t>4</w:t>
            </w:r>
          </w:p>
        </w:tc>
        <w:tc>
          <w:tcPr>
            <w:tcW w:w="2581" w:type="dxa"/>
            <w:shd w:val="clear" w:color="auto" w:fill="auto"/>
          </w:tcPr>
          <w:p w:rsidR="008475A8" w:rsidP="000D058B" w14:paraId="288D9C0E" w14:textId="77777777">
            <w:pPr>
              <w:pStyle w:val="ParaNum"/>
              <w:keepNext/>
              <w:keepLines/>
              <w:widowControl/>
              <w:numPr>
                <w:ilvl w:val="0"/>
                <w:numId w:val="0"/>
              </w:numPr>
              <w:spacing w:after="0"/>
            </w:pPr>
            <w:r w:rsidRPr="004D4B4D">
              <w:t>PDWM4700</w:t>
            </w:r>
          </w:p>
        </w:tc>
        <w:tc>
          <w:tcPr>
            <w:tcW w:w="2579" w:type="dxa"/>
            <w:shd w:val="clear" w:color="auto" w:fill="auto"/>
          </w:tcPr>
          <w:p w:rsidR="008475A8" w:rsidP="000D058B" w14:paraId="5BA896D5" w14:textId="77777777">
            <w:pPr>
              <w:pStyle w:val="ParaNum"/>
              <w:keepNext/>
              <w:keepLines/>
              <w:widowControl/>
              <w:numPr>
                <w:ilvl w:val="0"/>
                <w:numId w:val="0"/>
              </w:numPr>
              <w:spacing w:after="0"/>
            </w:pPr>
            <w:r>
              <w:t>174.2 – 215.8 MHz</w:t>
            </w:r>
          </w:p>
        </w:tc>
        <w:tc>
          <w:tcPr>
            <w:tcW w:w="2579" w:type="dxa"/>
            <w:shd w:val="clear" w:color="auto" w:fill="auto"/>
          </w:tcPr>
          <w:p w:rsidR="008475A8" w:rsidP="000D058B" w14:paraId="6DAF49BC" w14:textId="77777777">
            <w:pPr>
              <w:pStyle w:val="ParaNum"/>
              <w:keepNext/>
              <w:keepLines/>
              <w:widowControl/>
              <w:numPr>
                <w:ilvl w:val="0"/>
                <w:numId w:val="0"/>
              </w:numPr>
              <w:spacing w:after="0"/>
            </w:pPr>
            <w:r w:rsidRPr="004D4B4D">
              <w:t>500 - 600 MHz</w:t>
            </w:r>
          </w:p>
        </w:tc>
      </w:tr>
      <w:tr w14:paraId="32A08DBA" w14:textId="77777777" w:rsidTr="000D058B">
        <w:tblPrEx>
          <w:tblW w:w="0" w:type="auto"/>
          <w:tblLook w:val="04A0"/>
        </w:tblPrEx>
        <w:trPr>
          <w:cantSplit/>
        </w:trPr>
        <w:tc>
          <w:tcPr>
            <w:tcW w:w="1611" w:type="dxa"/>
            <w:shd w:val="clear" w:color="auto" w:fill="auto"/>
          </w:tcPr>
          <w:p w:rsidR="008475A8" w:rsidP="000D058B" w14:paraId="11C6A869" w14:textId="77777777">
            <w:pPr>
              <w:pStyle w:val="ParaNum"/>
              <w:keepNext/>
              <w:keepLines/>
              <w:widowControl/>
              <w:numPr>
                <w:ilvl w:val="0"/>
                <w:numId w:val="0"/>
              </w:numPr>
              <w:spacing w:after="0"/>
            </w:pPr>
            <w:r>
              <w:t>5</w:t>
            </w:r>
          </w:p>
        </w:tc>
        <w:tc>
          <w:tcPr>
            <w:tcW w:w="2581" w:type="dxa"/>
            <w:shd w:val="clear" w:color="auto" w:fill="auto"/>
          </w:tcPr>
          <w:p w:rsidR="008475A8" w:rsidP="000D058B" w14:paraId="0D376D49" w14:textId="77777777">
            <w:pPr>
              <w:pStyle w:val="ParaNum"/>
              <w:keepNext/>
              <w:keepLines/>
              <w:widowControl/>
              <w:numPr>
                <w:ilvl w:val="0"/>
                <w:numId w:val="0"/>
              </w:numPr>
              <w:spacing w:after="0"/>
            </w:pPr>
            <w:r w:rsidRPr="004D4B4D">
              <w:t>PDWM8325</w:t>
            </w:r>
          </w:p>
        </w:tc>
        <w:tc>
          <w:tcPr>
            <w:tcW w:w="2579" w:type="dxa"/>
            <w:shd w:val="clear" w:color="auto" w:fill="auto"/>
          </w:tcPr>
          <w:p w:rsidR="008475A8" w:rsidP="000D058B" w14:paraId="22683248" w14:textId="77777777">
            <w:pPr>
              <w:pStyle w:val="ParaNum"/>
              <w:keepNext/>
              <w:keepLines/>
              <w:widowControl/>
              <w:numPr>
                <w:ilvl w:val="0"/>
                <w:numId w:val="0"/>
              </w:numPr>
              <w:spacing w:after="0"/>
            </w:pPr>
            <w:r>
              <w:t>174.2 – 215.8 MHz</w:t>
            </w:r>
          </w:p>
        </w:tc>
        <w:tc>
          <w:tcPr>
            <w:tcW w:w="2579" w:type="dxa"/>
            <w:shd w:val="clear" w:color="auto" w:fill="auto"/>
          </w:tcPr>
          <w:p w:rsidR="008475A8" w:rsidP="000D058B" w14:paraId="125DC6CE" w14:textId="77777777">
            <w:pPr>
              <w:pStyle w:val="ParaNum"/>
              <w:keepNext/>
              <w:keepLines/>
              <w:widowControl/>
              <w:numPr>
                <w:ilvl w:val="0"/>
                <w:numId w:val="0"/>
              </w:numPr>
              <w:spacing w:after="0"/>
            </w:pPr>
            <w:r w:rsidRPr="004D4B4D">
              <w:t>65.10 MHz</w:t>
            </w:r>
          </w:p>
        </w:tc>
      </w:tr>
      <w:tr w14:paraId="40112731" w14:textId="77777777" w:rsidTr="000D058B">
        <w:tblPrEx>
          <w:tblW w:w="0" w:type="auto"/>
          <w:tblLook w:val="04A0"/>
        </w:tblPrEx>
        <w:trPr>
          <w:cantSplit/>
        </w:trPr>
        <w:tc>
          <w:tcPr>
            <w:tcW w:w="1611" w:type="dxa"/>
            <w:shd w:val="clear" w:color="auto" w:fill="auto"/>
          </w:tcPr>
          <w:p w:rsidR="008475A8" w:rsidP="000D058B" w14:paraId="5469D796" w14:textId="77777777">
            <w:pPr>
              <w:pStyle w:val="ParaNum"/>
              <w:keepNext/>
              <w:keepLines/>
              <w:widowControl/>
              <w:numPr>
                <w:ilvl w:val="0"/>
                <w:numId w:val="0"/>
              </w:numPr>
              <w:spacing w:after="0"/>
            </w:pPr>
            <w:r>
              <w:t>6</w:t>
            </w:r>
          </w:p>
        </w:tc>
        <w:tc>
          <w:tcPr>
            <w:tcW w:w="2581" w:type="dxa"/>
            <w:shd w:val="clear" w:color="auto" w:fill="auto"/>
          </w:tcPr>
          <w:p w:rsidR="008475A8" w:rsidP="000D058B" w14:paraId="7B80661D" w14:textId="77777777">
            <w:pPr>
              <w:pStyle w:val="ParaNum"/>
              <w:keepNext/>
              <w:keepLines/>
              <w:widowControl/>
              <w:numPr>
                <w:ilvl w:val="0"/>
                <w:numId w:val="0"/>
              </w:numPr>
              <w:spacing w:after="0"/>
            </w:pPr>
            <w:r w:rsidRPr="004D4B4D">
              <w:t>PDWM8350</w:t>
            </w:r>
          </w:p>
        </w:tc>
        <w:tc>
          <w:tcPr>
            <w:tcW w:w="2579" w:type="dxa"/>
            <w:shd w:val="clear" w:color="auto" w:fill="auto"/>
          </w:tcPr>
          <w:p w:rsidR="008475A8" w:rsidP="000D058B" w14:paraId="07DA5176" w14:textId="77777777">
            <w:pPr>
              <w:pStyle w:val="ParaNum"/>
              <w:keepNext/>
              <w:keepLines/>
              <w:widowControl/>
              <w:numPr>
                <w:ilvl w:val="0"/>
                <w:numId w:val="0"/>
              </w:numPr>
              <w:spacing w:after="0"/>
            </w:pPr>
            <w:r>
              <w:t>174.2 – 215.8 MHz</w:t>
            </w:r>
          </w:p>
        </w:tc>
        <w:tc>
          <w:tcPr>
            <w:tcW w:w="2579" w:type="dxa"/>
            <w:shd w:val="clear" w:color="auto" w:fill="auto"/>
          </w:tcPr>
          <w:p w:rsidR="008475A8" w:rsidP="000D058B" w14:paraId="5D73D722" w14:textId="77777777">
            <w:pPr>
              <w:pStyle w:val="ParaNum"/>
              <w:keepNext/>
              <w:keepLines/>
              <w:widowControl/>
              <w:numPr>
                <w:ilvl w:val="0"/>
                <w:numId w:val="0"/>
              </w:numPr>
              <w:spacing w:after="0"/>
            </w:pPr>
            <w:r w:rsidRPr="004D4B4D">
              <w:t>65.10 MHz</w:t>
            </w:r>
          </w:p>
        </w:tc>
      </w:tr>
    </w:tbl>
    <w:p w:rsidR="008475A8" w:rsidP="008475A8" w14:paraId="6D195598"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646"/>
        <w:gridCol w:w="2646"/>
        <w:gridCol w:w="2646"/>
      </w:tblGrid>
      <w:tr w14:paraId="117415F3"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38" w:type="dxa"/>
            <w:shd w:val="clear" w:color="auto" w:fill="auto"/>
          </w:tcPr>
          <w:p w:rsidR="008475A8" w:rsidRPr="00D83856" w:rsidP="000D058B" w14:paraId="7FF59D67" w14:textId="77777777">
            <w:pPr>
              <w:pStyle w:val="ParaNum"/>
              <w:keepNext/>
              <w:keepLines/>
              <w:widowControl/>
              <w:numPr>
                <w:ilvl w:val="0"/>
                <w:numId w:val="0"/>
              </w:numPr>
              <w:spacing w:after="0"/>
              <w:rPr>
                <w:b/>
              </w:rPr>
            </w:pPr>
            <w:r w:rsidRPr="00D83856">
              <w:rPr>
                <w:b/>
              </w:rPr>
              <w:t>FCC ID:</w:t>
            </w:r>
          </w:p>
          <w:p w:rsidR="008475A8" w:rsidRPr="00D83856" w:rsidP="000D058B" w14:paraId="0CA47BEC" w14:textId="77777777">
            <w:pPr>
              <w:pStyle w:val="ParaNum"/>
              <w:keepNext/>
              <w:keepLines/>
              <w:widowControl/>
              <w:numPr>
                <w:ilvl w:val="0"/>
                <w:numId w:val="0"/>
              </w:numPr>
              <w:spacing w:after="0"/>
              <w:rPr>
                <w:b/>
              </w:rPr>
            </w:pPr>
            <w:r w:rsidRPr="00D83856">
              <w:rPr>
                <w:b/>
              </w:rPr>
              <w:t>QSRHT-15</w:t>
            </w:r>
          </w:p>
        </w:tc>
        <w:tc>
          <w:tcPr>
            <w:tcW w:w="2646" w:type="dxa"/>
            <w:shd w:val="clear" w:color="auto" w:fill="auto"/>
          </w:tcPr>
          <w:p w:rsidR="008475A8" w:rsidRPr="00D83856" w:rsidP="000D058B" w14:paraId="1D32B7D2" w14:textId="77777777">
            <w:pPr>
              <w:pStyle w:val="ParaNum"/>
              <w:keepNext/>
              <w:keepLines/>
              <w:widowControl/>
              <w:numPr>
                <w:ilvl w:val="0"/>
                <w:numId w:val="0"/>
              </w:numPr>
              <w:spacing w:after="0"/>
              <w:rPr>
                <w:b/>
              </w:rPr>
            </w:pPr>
            <w:r w:rsidRPr="00D83856">
              <w:rPr>
                <w:b/>
              </w:rPr>
              <w:t>Model</w:t>
            </w:r>
          </w:p>
        </w:tc>
        <w:tc>
          <w:tcPr>
            <w:tcW w:w="2646" w:type="dxa"/>
            <w:shd w:val="clear" w:color="auto" w:fill="auto"/>
          </w:tcPr>
          <w:p w:rsidR="008475A8" w:rsidRPr="00D83856" w:rsidP="000D058B" w14:paraId="3DC2B7C6" w14:textId="77777777">
            <w:pPr>
              <w:pStyle w:val="ParaNum"/>
              <w:keepNext/>
              <w:keepLines/>
              <w:widowControl/>
              <w:numPr>
                <w:ilvl w:val="0"/>
                <w:numId w:val="0"/>
              </w:numPr>
              <w:spacing w:after="0"/>
              <w:rPr>
                <w:b/>
              </w:rPr>
            </w:pPr>
            <w:r w:rsidRPr="00D83856">
              <w:rPr>
                <w:b/>
              </w:rPr>
              <w:t>FCC ID authorized frequencies</w:t>
            </w:r>
          </w:p>
        </w:tc>
        <w:tc>
          <w:tcPr>
            <w:tcW w:w="2646" w:type="dxa"/>
            <w:shd w:val="clear" w:color="auto" w:fill="auto"/>
          </w:tcPr>
          <w:p w:rsidR="008475A8" w:rsidRPr="00D83856" w:rsidP="000D058B" w14:paraId="72110184" w14:textId="77777777">
            <w:pPr>
              <w:pStyle w:val="ParaNum"/>
              <w:keepNext/>
              <w:keepLines/>
              <w:widowControl/>
              <w:numPr>
                <w:ilvl w:val="0"/>
                <w:numId w:val="0"/>
              </w:numPr>
              <w:spacing w:after="0"/>
              <w:rPr>
                <w:b/>
              </w:rPr>
            </w:pPr>
            <w:r w:rsidRPr="00D83856">
              <w:rPr>
                <w:b/>
              </w:rPr>
              <w:t>Actual operating frequencies</w:t>
            </w:r>
          </w:p>
        </w:tc>
      </w:tr>
      <w:tr w14:paraId="5144AD07" w14:textId="77777777" w:rsidTr="000D058B">
        <w:tblPrEx>
          <w:tblW w:w="0" w:type="auto"/>
          <w:tblLook w:val="04A0"/>
        </w:tblPrEx>
        <w:trPr>
          <w:cantSplit/>
        </w:trPr>
        <w:tc>
          <w:tcPr>
            <w:tcW w:w="1638" w:type="dxa"/>
            <w:shd w:val="clear" w:color="auto" w:fill="auto"/>
          </w:tcPr>
          <w:p w:rsidR="008475A8" w:rsidP="000D058B" w14:paraId="2D7ABB75" w14:textId="77777777">
            <w:pPr>
              <w:pStyle w:val="ParaNum"/>
              <w:keepNext/>
              <w:keepLines/>
              <w:widowControl/>
              <w:numPr>
                <w:ilvl w:val="0"/>
                <w:numId w:val="0"/>
              </w:numPr>
              <w:spacing w:after="0"/>
            </w:pPr>
            <w:r>
              <w:t>7</w:t>
            </w:r>
          </w:p>
        </w:tc>
        <w:tc>
          <w:tcPr>
            <w:tcW w:w="2646" w:type="dxa"/>
            <w:shd w:val="clear" w:color="auto" w:fill="auto"/>
          </w:tcPr>
          <w:p w:rsidR="008475A8" w:rsidP="000D058B" w14:paraId="58764979" w14:textId="77777777">
            <w:pPr>
              <w:pStyle w:val="ParaNum"/>
              <w:keepNext/>
              <w:keepLines/>
              <w:widowControl/>
              <w:numPr>
                <w:ilvl w:val="0"/>
                <w:numId w:val="0"/>
              </w:numPr>
              <w:spacing w:after="0"/>
            </w:pPr>
            <w:r w:rsidRPr="004D4B4D">
              <w:t>PDWM4520</w:t>
            </w:r>
          </w:p>
        </w:tc>
        <w:tc>
          <w:tcPr>
            <w:tcW w:w="2646" w:type="dxa"/>
            <w:shd w:val="clear" w:color="auto" w:fill="auto"/>
          </w:tcPr>
          <w:p w:rsidR="008475A8" w:rsidP="000D058B" w14:paraId="4CED9C38" w14:textId="77777777">
            <w:pPr>
              <w:pStyle w:val="ParaNum"/>
              <w:keepNext/>
              <w:keepLines/>
              <w:widowControl/>
              <w:numPr>
                <w:ilvl w:val="0"/>
                <w:numId w:val="0"/>
              </w:numPr>
              <w:spacing w:after="0"/>
            </w:pPr>
            <w:r>
              <w:t>614.2 – 697.8 MHz</w:t>
            </w:r>
          </w:p>
        </w:tc>
        <w:tc>
          <w:tcPr>
            <w:tcW w:w="2646" w:type="dxa"/>
            <w:shd w:val="clear" w:color="auto" w:fill="auto"/>
          </w:tcPr>
          <w:p w:rsidR="008475A8" w:rsidP="000D058B" w14:paraId="528EF472" w14:textId="77777777">
            <w:pPr>
              <w:pStyle w:val="ParaNum"/>
              <w:keepNext/>
              <w:keepLines/>
              <w:widowControl/>
              <w:numPr>
                <w:ilvl w:val="0"/>
                <w:numId w:val="0"/>
              </w:numPr>
              <w:spacing w:after="0"/>
            </w:pPr>
            <w:r w:rsidRPr="004D4B4D">
              <w:t>573 - 579.80 MHz</w:t>
            </w:r>
          </w:p>
        </w:tc>
      </w:tr>
      <w:tr w14:paraId="5693EBFF" w14:textId="77777777" w:rsidTr="000D058B">
        <w:tblPrEx>
          <w:tblW w:w="0" w:type="auto"/>
          <w:tblLook w:val="04A0"/>
        </w:tblPrEx>
        <w:trPr>
          <w:cantSplit/>
        </w:trPr>
        <w:tc>
          <w:tcPr>
            <w:tcW w:w="1638" w:type="dxa"/>
            <w:shd w:val="clear" w:color="auto" w:fill="auto"/>
          </w:tcPr>
          <w:p w:rsidR="008475A8" w:rsidP="000D058B" w14:paraId="52AEC9CC" w14:textId="77777777">
            <w:pPr>
              <w:pStyle w:val="ParaNum"/>
              <w:keepNext/>
              <w:keepLines/>
              <w:widowControl/>
              <w:numPr>
                <w:ilvl w:val="0"/>
                <w:numId w:val="0"/>
              </w:numPr>
              <w:spacing w:after="0"/>
            </w:pPr>
            <w:r>
              <w:t>8</w:t>
            </w:r>
          </w:p>
        </w:tc>
        <w:tc>
          <w:tcPr>
            <w:tcW w:w="2646" w:type="dxa"/>
            <w:shd w:val="clear" w:color="auto" w:fill="auto"/>
          </w:tcPr>
          <w:p w:rsidR="008475A8" w:rsidP="000D058B" w14:paraId="1680724D" w14:textId="77777777">
            <w:pPr>
              <w:pStyle w:val="ParaNum"/>
              <w:keepNext/>
              <w:keepLines/>
              <w:widowControl/>
              <w:numPr>
                <w:ilvl w:val="0"/>
                <w:numId w:val="0"/>
              </w:numPr>
              <w:spacing w:after="0"/>
            </w:pPr>
            <w:r w:rsidRPr="004D4B4D">
              <w:t>PDWM1800</w:t>
            </w:r>
          </w:p>
        </w:tc>
        <w:tc>
          <w:tcPr>
            <w:tcW w:w="2646" w:type="dxa"/>
            <w:shd w:val="clear" w:color="auto" w:fill="auto"/>
          </w:tcPr>
          <w:p w:rsidR="008475A8" w:rsidP="000D058B" w14:paraId="58ADA99F" w14:textId="77777777">
            <w:pPr>
              <w:pStyle w:val="ParaNum"/>
              <w:keepNext/>
              <w:keepLines/>
              <w:widowControl/>
              <w:numPr>
                <w:ilvl w:val="0"/>
                <w:numId w:val="0"/>
              </w:numPr>
              <w:spacing w:after="0"/>
            </w:pPr>
            <w:r>
              <w:t>614.2 – 697.8 MHz</w:t>
            </w:r>
          </w:p>
        </w:tc>
        <w:tc>
          <w:tcPr>
            <w:tcW w:w="2646" w:type="dxa"/>
            <w:shd w:val="clear" w:color="auto" w:fill="auto"/>
          </w:tcPr>
          <w:p w:rsidR="008475A8" w:rsidP="000D058B" w14:paraId="195114B4" w14:textId="77777777">
            <w:pPr>
              <w:pStyle w:val="ParaNum"/>
              <w:keepNext/>
              <w:keepLines/>
              <w:widowControl/>
              <w:numPr>
                <w:ilvl w:val="0"/>
                <w:numId w:val="0"/>
              </w:numPr>
              <w:spacing w:after="0"/>
            </w:pPr>
            <w:r w:rsidRPr="004D4B4D">
              <w:t>523 – 597.80 MHz</w:t>
            </w:r>
          </w:p>
        </w:tc>
      </w:tr>
    </w:tbl>
    <w:p w:rsidR="008475A8" w:rsidP="008475A8" w14:paraId="03D16EBB"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646"/>
        <w:gridCol w:w="2646"/>
        <w:gridCol w:w="2646"/>
      </w:tblGrid>
      <w:tr w14:paraId="096C9515"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38" w:type="dxa"/>
            <w:shd w:val="clear" w:color="auto" w:fill="auto"/>
          </w:tcPr>
          <w:p w:rsidR="008475A8" w:rsidRPr="00D83856" w:rsidP="000D058B" w14:paraId="1491AE4A" w14:textId="77777777">
            <w:pPr>
              <w:pStyle w:val="ParaNum"/>
              <w:keepNext/>
              <w:keepLines/>
              <w:widowControl/>
              <w:numPr>
                <w:ilvl w:val="0"/>
                <w:numId w:val="0"/>
              </w:numPr>
              <w:spacing w:after="0"/>
              <w:rPr>
                <w:b/>
              </w:rPr>
            </w:pPr>
            <w:r w:rsidRPr="00D83856">
              <w:rPr>
                <w:b/>
              </w:rPr>
              <w:t>FCC ID:</w:t>
            </w:r>
          </w:p>
          <w:p w:rsidR="008475A8" w:rsidRPr="00D83856" w:rsidP="000D058B" w14:paraId="33D802C2" w14:textId="77777777">
            <w:pPr>
              <w:pStyle w:val="ParaNum"/>
              <w:keepNext/>
              <w:keepLines/>
              <w:widowControl/>
              <w:numPr>
                <w:ilvl w:val="0"/>
                <w:numId w:val="0"/>
              </w:numPr>
              <w:spacing w:after="0"/>
              <w:rPr>
                <w:b/>
              </w:rPr>
            </w:pPr>
            <w:r w:rsidRPr="00D83856">
              <w:rPr>
                <w:b/>
              </w:rPr>
              <w:t>QSRHT-25</w:t>
            </w:r>
          </w:p>
        </w:tc>
        <w:tc>
          <w:tcPr>
            <w:tcW w:w="2646" w:type="dxa"/>
            <w:shd w:val="clear" w:color="auto" w:fill="auto"/>
          </w:tcPr>
          <w:p w:rsidR="008475A8" w:rsidRPr="00D83856" w:rsidP="000D058B" w14:paraId="00EE96F6" w14:textId="77777777">
            <w:pPr>
              <w:pStyle w:val="ParaNum"/>
              <w:keepNext/>
              <w:keepLines/>
              <w:widowControl/>
              <w:numPr>
                <w:ilvl w:val="0"/>
                <w:numId w:val="0"/>
              </w:numPr>
              <w:spacing w:after="0"/>
              <w:rPr>
                <w:b/>
              </w:rPr>
            </w:pPr>
            <w:r w:rsidRPr="00D83856">
              <w:rPr>
                <w:b/>
              </w:rPr>
              <w:t>Model</w:t>
            </w:r>
          </w:p>
        </w:tc>
        <w:tc>
          <w:tcPr>
            <w:tcW w:w="2646" w:type="dxa"/>
            <w:shd w:val="clear" w:color="auto" w:fill="auto"/>
          </w:tcPr>
          <w:p w:rsidR="008475A8" w:rsidRPr="00D83856" w:rsidP="000D058B" w14:paraId="5C21FD9C" w14:textId="77777777">
            <w:pPr>
              <w:pStyle w:val="ParaNum"/>
              <w:keepNext/>
              <w:keepLines/>
              <w:widowControl/>
              <w:numPr>
                <w:ilvl w:val="0"/>
                <w:numId w:val="0"/>
              </w:numPr>
              <w:spacing w:after="0"/>
              <w:rPr>
                <w:b/>
              </w:rPr>
            </w:pPr>
            <w:r w:rsidRPr="00D83856">
              <w:rPr>
                <w:b/>
              </w:rPr>
              <w:t>FCC ID authorized frequencies</w:t>
            </w:r>
          </w:p>
        </w:tc>
        <w:tc>
          <w:tcPr>
            <w:tcW w:w="2646" w:type="dxa"/>
            <w:shd w:val="clear" w:color="auto" w:fill="auto"/>
          </w:tcPr>
          <w:p w:rsidR="008475A8" w:rsidRPr="00D83856" w:rsidP="000D058B" w14:paraId="1F0B23E4" w14:textId="77777777">
            <w:pPr>
              <w:pStyle w:val="ParaNum"/>
              <w:keepNext/>
              <w:keepLines/>
              <w:widowControl/>
              <w:numPr>
                <w:ilvl w:val="0"/>
                <w:numId w:val="0"/>
              </w:numPr>
              <w:spacing w:after="0"/>
              <w:rPr>
                <w:b/>
              </w:rPr>
            </w:pPr>
            <w:r w:rsidRPr="00D83856">
              <w:rPr>
                <w:b/>
              </w:rPr>
              <w:t>Actual operating frequencies</w:t>
            </w:r>
          </w:p>
        </w:tc>
      </w:tr>
      <w:tr w14:paraId="4458AD7F" w14:textId="77777777" w:rsidTr="000D058B">
        <w:tblPrEx>
          <w:tblW w:w="0" w:type="auto"/>
          <w:tblLook w:val="04A0"/>
        </w:tblPrEx>
        <w:tc>
          <w:tcPr>
            <w:tcW w:w="1638" w:type="dxa"/>
            <w:shd w:val="clear" w:color="auto" w:fill="auto"/>
          </w:tcPr>
          <w:p w:rsidR="008475A8" w:rsidP="000D058B" w14:paraId="25A00366" w14:textId="77777777">
            <w:pPr>
              <w:pStyle w:val="ParaNum"/>
              <w:widowControl/>
              <w:numPr>
                <w:ilvl w:val="0"/>
                <w:numId w:val="0"/>
              </w:numPr>
              <w:spacing w:after="0"/>
            </w:pPr>
            <w:r>
              <w:t>9</w:t>
            </w:r>
          </w:p>
        </w:tc>
        <w:tc>
          <w:tcPr>
            <w:tcW w:w="2646" w:type="dxa"/>
            <w:shd w:val="clear" w:color="auto" w:fill="auto"/>
          </w:tcPr>
          <w:p w:rsidR="008475A8" w:rsidP="000D058B" w14:paraId="06AF1F73" w14:textId="77777777">
            <w:pPr>
              <w:pStyle w:val="ParaNum"/>
              <w:widowControl/>
              <w:numPr>
                <w:ilvl w:val="0"/>
                <w:numId w:val="0"/>
              </w:numPr>
              <w:spacing w:after="0"/>
            </w:pPr>
            <w:r w:rsidRPr="004D4B4D">
              <w:t>PDWM4360U</w:t>
            </w:r>
          </w:p>
        </w:tc>
        <w:tc>
          <w:tcPr>
            <w:tcW w:w="2646" w:type="dxa"/>
            <w:shd w:val="clear" w:color="auto" w:fill="auto"/>
          </w:tcPr>
          <w:p w:rsidR="008475A8" w:rsidP="000D058B" w14:paraId="07562585" w14:textId="77777777">
            <w:pPr>
              <w:pStyle w:val="ParaNum"/>
              <w:widowControl/>
              <w:numPr>
                <w:ilvl w:val="0"/>
                <w:numId w:val="0"/>
              </w:numPr>
              <w:spacing w:after="0"/>
            </w:pPr>
            <w:r>
              <w:t>614.2 – 697.8 MHz</w:t>
            </w:r>
          </w:p>
        </w:tc>
        <w:tc>
          <w:tcPr>
            <w:tcW w:w="2646" w:type="dxa"/>
            <w:shd w:val="clear" w:color="auto" w:fill="auto"/>
          </w:tcPr>
          <w:p w:rsidR="008475A8" w:rsidP="000D058B" w14:paraId="0EEA0F46" w14:textId="77777777">
            <w:pPr>
              <w:pStyle w:val="ParaNum"/>
              <w:widowControl/>
              <w:numPr>
                <w:ilvl w:val="0"/>
                <w:numId w:val="0"/>
              </w:numPr>
              <w:spacing w:after="0"/>
            </w:pPr>
            <w:r w:rsidRPr="004D4B4D">
              <w:t>573 - 579.80 MHz</w:t>
            </w:r>
          </w:p>
        </w:tc>
      </w:tr>
      <w:tr w14:paraId="3E9B86D0" w14:textId="77777777" w:rsidTr="000D058B">
        <w:tblPrEx>
          <w:tblW w:w="0" w:type="auto"/>
          <w:tblLook w:val="04A0"/>
        </w:tblPrEx>
        <w:tc>
          <w:tcPr>
            <w:tcW w:w="1638" w:type="dxa"/>
            <w:shd w:val="clear" w:color="auto" w:fill="auto"/>
          </w:tcPr>
          <w:p w:rsidR="008475A8" w:rsidP="000D058B" w14:paraId="1904BC67" w14:textId="77777777">
            <w:pPr>
              <w:pStyle w:val="ParaNum"/>
              <w:widowControl/>
              <w:numPr>
                <w:ilvl w:val="0"/>
                <w:numId w:val="0"/>
              </w:numPr>
              <w:spacing w:after="0"/>
            </w:pPr>
            <w:r>
              <w:t>10</w:t>
            </w:r>
          </w:p>
        </w:tc>
        <w:tc>
          <w:tcPr>
            <w:tcW w:w="2646" w:type="dxa"/>
            <w:shd w:val="clear" w:color="auto" w:fill="auto"/>
          </w:tcPr>
          <w:p w:rsidR="008475A8" w:rsidP="000D058B" w14:paraId="65BC7808" w14:textId="77777777">
            <w:pPr>
              <w:pStyle w:val="ParaNum"/>
              <w:widowControl/>
              <w:numPr>
                <w:ilvl w:val="0"/>
                <w:numId w:val="0"/>
              </w:numPr>
              <w:spacing w:after="0"/>
            </w:pPr>
            <w:r w:rsidRPr="004D4B4D">
              <w:t>PDWM4350U</w:t>
            </w:r>
          </w:p>
        </w:tc>
        <w:tc>
          <w:tcPr>
            <w:tcW w:w="2646" w:type="dxa"/>
            <w:shd w:val="clear" w:color="auto" w:fill="auto"/>
          </w:tcPr>
          <w:p w:rsidR="008475A8" w:rsidP="000D058B" w14:paraId="0A55C917" w14:textId="77777777">
            <w:pPr>
              <w:pStyle w:val="ParaNum"/>
              <w:widowControl/>
              <w:numPr>
                <w:ilvl w:val="0"/>
                <w:numId w:val="0"/>
              </w:numPr>
              <w:spacing w:after="0"/>
            </w:pPr>
            <w:r>
              <w:t>614.2 – 697.8 MHz</w:t>
            </w:r>
          </w:p>
        </w:tc>
        <w:tc>
          <w:tcPr>
            <w:tcW w:w="2646" w:type="dxa"/>
            <w:shd w:val="clear" w:color="auto" w:fill="auto"/>
          </w:tcPr>
          <w:p w:rsidR="008475A8" w:rsidP="000D058B" w14:paraId="18102657" w14:textId="77777777">
            <w:pPr>
              <w:pStyle w:val="ParaNum"/>
              <w:widowControl/>
              <w:numPr>
                <w:ilvl w:val="0"/>
                <w:numId w:val="0"/>
              </w:numPr>
              <w:spacing w:after="0"/>
            </w:pPr>
            <w:r w:rsidRPr="004D4B4D">
              <w:t>573 - 579.80 MHz</w:t>
            </w:r>
          </w:p>
        </w:tc>
      </w:tr>
      <w:tr w14:paraId="4C031DB9" w14:textId="77777777" w:rsidTr="000D058B">
        <w:tblPrEx>
          <w:tblW w:w="0" w:type="auto"/>
          <w:tblLook w:val="04A0"/>
        </w:tblPrEx>
        <w:tc>
          <w:tcPr>
            <w:tcW w:w="1638" w:type="dxa"/>
            <w:shd w:val="clear" w:color="auto" w:fill="auto"/>
          </w:tcPr>
          <w:p w:rsidR="008475A8" w:rsidP="000D058B" w14:paraId="6F8F9DAB" w14:textId="77777777">
            <w:pPr>
              <w:pStyle w:val="ParaNum"/>
              <w:widowControl/>
              <w:numPr>
                <w:ilvl w:val="0"/>
                <w:numId w:val="0"/>
              </w:numPr>
              <w:spacing w:after="0"/>
            </w:pPr>
            <w:r>
              <w:t>11</w:t>
            </w:r>
          </w:p>
        </w:tc>
        <w:tc>
          <w:tcPr>
            <w:tcW w:w="2646" w:type="dxa"/>
            <w:shd w:val="clear" w:color="auto" w:fill="auto"/>
          </w:tcPr>
          <w:p w:rsidR="008475A8" w:rsidP="000D058B" w14:paraId="73A0AD97" w14:textId="77777777">
            <w:pPr>
              <w:pStyle w:val="ParaNum"/>
              <w:widowControl/>
              <w:numPr>
                <w:ilvl w:val="0"/>
                <w:numId w:val="0"/>
              </w:numPr>
              <w:spacing w:after="0"/>
            </w:pPr>
            <w:r w:rsidRPr="004D4B4D">
              <w:t>PDWM3375</w:t>
            </w:r>
          </w:p>
        </w:tc>
        <w:tc>
          <w:tcPr>
            <w:tcW w:w="2646" w:type="dxa"/>
            <w:shd w:val="clear" w:color="auto" w:fill="auto"/>
          </w:tcPr>
          <w:p w:rsidR="008475A8" w:rsidP="000D058B" w14:paraId="76307F73" w14:textId="77777777">
            <w:pPr>
              <w:pStyle w:val="ParaNum"/>
              <w:widowControl/>
              <w:numPr>
                <w:ilvl w:val="0"/>
                <w:numId w:val="0"/>
              </w:numPr>
              <w:spacing w:after="0"/>
            </w:pPr>
            <w:r>
              <w:t>614.2 – 697.8 MHz</w:t>
            </w:r>
          </w:p>
        </w:tc>
        <w:tc>
          <w:tcPr>
            <w:tcW w:w="2646" w:type="dxa"/>
            <w:shd w:val="clear" w:color="auto" w:fill="auto"/>
          </w:tcPr>
          <w:p w:rsidR="008475A8" w:rsidP="000D058B" w14:paraId="3D9659E3" w14:textId="77777777">
            <w:pPr>
              <w:pStyle w:val="ParaNum"/>
              <w:widowControl/>
              <w:numPr>
                <w:ilvl w:val="0"/>
                <w:numId w:val="0"/>
              </w:numPr>
              <w:spacing w:after="0"/>
            </w:pPr>
            <w:r w:rsidRPr="004D4B4D">
              <w:t>573 - 579.80 MHz</w:t>
            </w:r>
          </w:p>
        </w:tc>
      </w:tr>
      <w:tr w14:paraId="4FF87729" w14:textId="77777777" w:rsidTr="000D058B">
        <w:tblPrEx>
          <w:tblW w:w="0" w:type="auto"/>
          <w:tblLook w:val="04A0"/>
        </w:tblPrEx>
        <w:tc>
          <w:tcPr>
            <w:tcW w:w="1638" w:type="dxa"/>
            <w:shd w:val="clear" w:color="auto" w:fill="auto"/>
          </w:tcPr>
          <w:p w:rsidR="008475A8" w:rsidP="000D058B" w14:paraId="2E982E41" w14:textId="77777777">
            <w:pPr>
              <w:pStyle w:val="ParaNum"/>
              <w:widowControl/>
              <w:numPr>
                <w:ilvl w:val="0"/>
                <w:numId w:val="0"/>
              </w:numPr>
              <w:spacing w:after="0"/>
            </w:pPr>
            <w:r>
              <w:t>12</w:t>
            </w:r>
          </w:p>
        </w:tc>
        <w:tc>
          <w:tcPr>
            <w:tcW w:w="2646" w:type="dxa"/>
            <w:shd w:val="clear" w:color="auto" w:fill="auto"/>
          </w:tcPr>
          <w:p w:rsidR="008475A8" w:rsidP="000D058B" w14:paraId="1F334A9B" w14:textId="77777777">
            <w:pPr>
              <w:pStyle w:val="ParaNum"/>
              <w:widowControl/>
              <w:numPr>
                <w:ilvl w:val="0"/>
                <w:numId w:val="0"/>
              </w:numPr>
              <w:spacing w:after="0"/>
            </w:pPr>
            <w:r w:rsidRPr="004D4B4D">
              <w:t>PDWM3400</w:t>
            </w:r>
          </w:p>
        </w:tc>
        <w:tc>
          <w:tcPr>
            <w:tcW w:w="2646" w:type="dxa"/>
            <w:shd w:val="clear" w:color="auto" w:fill="auto"/>
          </w:tcPr>
          <w:p w:rsidR="008475A8" w:rsidP="000D058B" w14:paraId="0DC1F1BB" w14:textId="77777777">
            <w:pPr>
              <w:pStyle w:val="ParaNum"/>
              <w:widowControl/>
              <w:numPr>
                <w:ilvl w:val="0"/>
                <w:numId w:val="0"/>
              </w:numPr>
              <w:spacing w:after="0"/>
            </w:pPr>
            <w:r>
              <w:t>614.2 – 697.8 MHz</w:t>
            </w:r>
          </w:p>
        </w:tc>
        <w:tc>
          <w:tcPr>
            <w:tcW w:w="2646" w:type="dxa"/>
            <w:shd w:val="clear" w:color="auto" w:fill="auto"/>
          </w:tcPr>
          <w:p w:rsidR="008475A8" w:rsidP="000D058B" w14:paraId="6463491B" w14:textId="77777777">
            <w:pPr>
              <w:pStyle w:val="ParaNum"/>
              <w:widowControl/>
              <w:numPr>
                <w:ilvl w:val="0"/>
                <w:numId w:val="0"/>
              </w:numPr>
              <w:spacing w:after="0"/>
            </w:pPr>
            <w:r w:rsidRPr="004D4B4D">
              <w:t>573 - 579.80 MHz</w:t>
            </w:r>
          </w:p>
        </w:tc>
      </w:tr>
    </w:tbl>
    <w:p w:rsidR="008475A8" w:rsidP="008475A8" w14:paraId="0A003E6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2582"/>
        <w:gridCol w:w="2579"/>
        <w:gridCol w:w="2579"/>
      </w:tblGrid>
      <w:tr w14:paraId="7273F52E"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10" w:type="dxa"/>
            <w:shd w:val="clear" w:color="auto" w:fill="auto"/>
          </w:tcPr>
          <w:p w:rsidR="008475A8" w:rsidRPr="00D83856" w:rsidP="000D058B" w14:paraId="4665EAF3" w14:textId="77777777">
            <w:pPr>
              <w:pStyle w:val="ParaNum"/>
              <w:keepNext/>
              <w:keepLines/>
              <w:widowControl/>
              <w:numPr>
                <w:ilvl w:val="0"/>
                <w:numId w:val="0"/>
              </w:numPr>
              <w:spacing w:after="0"/>
              <w:rPr>
                <w:b/>
              </w:rPr>
            </w:pPr>
            <w:r w:rsidRPr="00D83856">
              <w:rPr>
                <w:b/>
              </w:rPr>
              <w:t>FCC ID:</w:t>
            </w:r>
          </w:p>
          <w:p w:rsidR="008475A8" w:rsidRPr="00D83856" w:rsidP="000D058B" w14:paraId="4EF352B4" w14:textId="77777777">
            <w:pPr>
              <w:pStyle w:val="ParaNum"/>
              <w:keepNext/>
              <w:keepLines/>
              <w:widowControl/>
              <w:numPr>
                <w:ilvl w:val="0"/>
                <w:numId w:val="0"/>
              </w:numPr>
              <w:spacing w:after="0"/>
              <w:rPr>
                <w:b/>
              </w:rPr>
            </w:pPr>
            <w:r w:rsidRPr="00D83856">
              <w:rPr>
                <w:b/>
              </w:rPr>
              <w:t>QSRHT-35A</w:t>
            </w:r>
          </w:p>
        </w:tc>
        <w:tc>
          <w:tcPr>
            <w:tcW w:w="2582" w:type="dxa"/>
            <w:shd w:val="clear" w:color="auto" w:fill="auto"/>
          </w:tcPr>
          <w:p w:rsidR="008475A8" w:rsidRPr="00D83856" w:rsidP="000D058B" w14:paraId="67B8A8D7" w14:textId="77777777">
            <w:pPr>
              <w:pStyle w:val="ParaNum"/>
              <w:keepNext/>
              <w:keepLines/>
              <w:widowControl/>
              <w:numPr>
                <w:ilvl w:val="0"/>
                <w:numId w:val="0"/>
              </w:numPr>
              <w:spacing w:after="0"/>
              <w:rPr>
                <w:b/>
              </w:rPr>
            </w:pPr>
            <w:r w:rsidRPr="00D83856">
              <w:rPr>
                <w:b/>
              </w:rPr>
              <w:t>Model</w:t>
            </w:r>
          </w:p>
        </w:tc>
        <w:tc>
          <w:tcPr>
            <w:tcW w:w="2579" w:type="dxa"/>
            <w:shd w:val="clear" w:color="auto" w:fill="auto"/>
          </w:tcPr>
          <w:p w:rsidR="008475A8" w:rsidRPr="00D83856" w:rsidP="000D058B" w14:paraId="32323E10" w14:textId="77777777">
            <w:pPr>
              <w:pStyle w:val="ParaNum"/>
              <w:keepNext/>
              <w:keepLines/>
              <w:widowControl/>
              <w:numPr>
                <w:ilvl w:val="0"/>
                <w:numId w:val="0"/>
              </w:numPr>
              <w:spacing w:after="0"/>
              <w:rPr>
                <w:b/>
              </w:rPr>
            </w:pPr>
            <w:r w:rsidRPr="00D83856">
              <w:rPr>
                <w:b/>
              </w:rPr>
              <w:t>FCC ID authorized frequencies</w:t>
            </w:r>
          </w:p>
        </w:tc>
        <w:tc>
          <w:tcPr>
            <w:tcW w:w="2579" w:type="dxa"/>
            <w:shd w:val="clear" w:color="auto" w:fill="auto"/>
          </w:tcPr>
          <w:p w:rsidR="008475A8" w:rsidRPr="00D83856" w:rsidP="000D058B" w14:paraId="4C83AC40" w14:textId="77777777">
            <w:pPr>
              <w:pStyle w:val="ParaNum"/>
              <w:keepNext/>
              <w:keepLines/>
              <w:widowControl/>
              <w:numPr>
                <w:ilvl w:val="0"/>
                <w:numId w:val="0"/>
              </w:numPr>
              <w:spacing w:after="0"/>
              <w:rPr>
                <w:b/>
              </w:rPr>
            </w:pPr>
            <w:r w:rsidRPr="00D83856">
              <w:rPr>
                <w:b/>
              </w:rPr>
              <w:t>Actual operating frequencies</w:t>
            </w:r>
          </w:p>
        </w:tc>
      </w:tr>
      <w:tr w14:paraId="032A319A" w14:textId="77777777" w:rsidTr="000D058B">
        <w:tblPrEx>
          <w:tblW w:w="0" w:type="auto"/>
          <w:tblLook w:val="04A0"/>
        </w:tblPrEx>
        <w:tc>
          <w:tcPr>
            <w:tcW w:w="1610" w:type="dxa"/>
            <w:shd w:val="clear" w:color="auto" w:fill="auto"/>
          </w:tcPr>
          <w:p w:rsidR="008475A8" w:rsidP="000D058B" w14:paraId="6591CF0F" w14:textId="77777777">
            <w:pPr>
              <w:pStyle w:val="ParaNum"/>
              <w:keepNext/>
              <w:keepLines/>
              <w:widowControl/>
              <w:numPr>
                <w:ilvl w:val="0"/>
                <w:numId w:val="0"/>
              </w:numPr>
              <w:spacing w:after="0"/>
            </w:pPr>
            <w:r>
              <w:t>13</w:t>
            </w:r>
          </w:p>
        </w:tc>
        <w:tc>
          <w:tcPr>
            <w:tcW w:w="2582" w:type="dxa"/>
            <w:shd w:val="clear" w:color="auto" w:fill="auto"/>
          </w:tcPr>
          <w:p w:rsidR="008475A8" w:rsidP="000D058B" w14:paraId="25C15B47" w14:textId="77777777">
            <w:pPr>
              <w:pStyle w:val="ParaNum"/>
              <w:keepNext/>
              <w:keepLines/>
              <w:widowControl/>
              <w:numPr>
                <w:ilvl w:val="0"/>
                <w:numId w:val="0"/>
              </w:numPr>
              <w:spacing w:after="0"/>
            </w:pPr>
            <w:r w:rsidRPr="004D4B4D">
              <w:t>PDWM2135</w:t>
            </w:r>
          </w:p>
        </w:tc>
        <w:tc>
          <w:tcPr>
            <w:tcW w:w="2579" w:type="dxa"/>
            <w:shd w:val="clear" w:color="auto" w:fill="auto"/>
          </w:tcPr>
          <w:p w:rsidR="008475A8" w:rsidP="000D058B" w14:paraId="05D76AB1" w14:textId="77777777">
            <w:pPr>
              <w:pStyle w:val="ParaNum"/>
              <w:keepNext/>
              <w:keepLines/>
              <w:widowControl/>
              <w:numPr>
                <w:ilvl w:val="0"/>
                <w:numId w:val="0"/>
              </w:numPr>
              <w:spacing w:after="0"/>
            </w:pPr>
            <w:r>
              <w:t>614.2 – 697.8 MHz</w:t>
            </w:r>
          </w:p>
        </w:tc>
        <w:tc>
          <w:tcPr>
            <w:tcW w:w="2579" w:type="dxa"/>
            <w:shd w:val="clear" w:color="auto" w:fill="auto"/>
          </w:tcPr>
          <w:p w:rsidR="008475A8" w:rsidP="000D058B" w14:paraId="3424CF1C" w14:textId="77777777">
            <w:pPr>
              <w:pStyle w:val="ParaNum"/>
              <w:keepNext/>
              <w:keepLines/>
              <w:widowControl/>
              <w:numPr>
                <w:ilvl w:val="0"/>
                <w:numId w:val="0"/>
              </w:numPr>
              <w:spacing w:after="0"/>
            </w:pPr>
            <w:r w:rsidRPr="004D4B4D">
              <w:t>174 - 216 MHz</w:t>
            </w:r>
          </w:p>
        </w:tc>
      </w:tr>
      <w:tr w14:paraId="79F49183" w14:textId="77777777" w:rsidTr="000D058B">
        <w:tblPrEx>
          <w:tblW w:w="0" w:type="auto"/>
          <w:tblLook w:val="04A0"/>
        </w:tblPrEx>
        <w:tc>
          <w:tcPr>
            <w:tcW w:w="1610" w:type="dxa"/>
            <w:shd w:val="clear" w:color="auto" w:fill="auto"/>
          </w:tcPr>
          <w:p w:rsidR="008475A8" w:rsidP="000D058B" w14:paraId="04BD9EEA" w14:textId="77777777">
            <w:pPr>
              <w:pStyle w:val="ParaNum"/>
              <w:widowControl/>
              <w:numPr>
                <w:ilvl w:val="0"/>
                <w:numId w:val="0"/>
              </w:numPr>
              <w:spacing w:after="0"/>
            </w:pPr>
            <w:r>
              <w:t>14</w:t>
            </w:r>
          </w:p>
        </w:tc>
        <w:tc>
          <w:tcPr>
            <w:tcW w:w="2582" w:type="dxa"/>
            <w:shd w:val="clear" w:color="auto" w:fill="auto"/>
          </w:tcPr>
          <w:p w:rsidR="008475A8" w:rsidP="000D058B" w14:paraId="798632CD" w14:textId="77777777">
            <w:pPr>
              <w:pStyle w:val="ParaNum"/>
              <w:widowControl/>
              <w:numPr>
                <w:ilvl w:val="0"/>
                <w:numId w:val="0"/>
              </w:numPr>
              <w:spacing w:after="0"/>
            </w:pPr>
            <w:r w:rsidRPr="004D4B4D">
              <w:t>PDWM2560</w:t>
            </w:r>
          </w:p>
        </w:tc>
        <w:tc>
          <w:tcPr>
            <w:tcW w:w="2579" w:type="dxa"/>
            <w:shd w:val="clear" w:color="auto" w:fill="auto"/>
          </w:tcPr>
          <w:p w:rsidR="008475A8" w:rsidP="000D058B" w14:paraId="2C57D15C" w14:textId="77777777">
            <w:pPr>
              <w:pStyle w:val="ParaNum"/>
              <w:widowControl/>
              <w:numPr>
                <w:ilvl w:val="0"/>
                <w:numId w:val="0"/>
              </w:numPr>
              <w:spacing w:after="0"/>
            </w:pPr>
            <w:r>
              <w:t>614.2 – 697.8 MHz</w:t>
            </w:r>
          </w:p>
        </w:tc>
        <w:tc>
          <w:tcPr>
            <w:tcW w:w="2579" w:type="dxa"/>
            <w:shd w:val="clear" w:color="auto" w:fill="auto"/>
          </w:tcPr>
          <w:p w:rsidR="008475A8" w:rsidP="000D058B" w14:paraId="40077A88" w14:textId="77777777">
            <w:pPr>
              <w:pStyle w:val="ParaNum"/>
              <w:widowControl/>
              <w:numPr>
                <w:ilvl w:val="0"/>
                <w:numId w:val="0"/>
              </w:numPr>
              <w:spacing w:after="0"/>
            </w:pPr>
            <w:r w:rsidRPr="004D4B4D">
              <w:t>523 – 597.80 MHz</w:t>
            </w:r>
          </w:p>
        </w:tc>
      </w:tr>
      <w:tr w14:paraId="7E603232" w14:textId="77777777" w:rsidTr="000D058B">
        <w:tblPrEx>
          <w:tblW w:w="0" w:type="auto"/>
          <w:tblLook w:val="04A0"/>
        </w:tblPrEx>
        <w:tc>
          <w:tcPr>
            <w:tcW w:w="1610" w:type="dxa"/>
            <w:shd w:val="clear" w:color="auto" w:fill="auto"/>
          </w:tcPr>
          <w:p w:rsidR="008475A8" w:rsidP="000D058B" w14:paraId="367F5430" w14:textId="77777777">
            <w:pPr>
              <w:pStyle w:val="ParaNum"/>
              <w:widowControl/>
              <w:numPr>
                <w:ilvl w:val="0"/>
                <w:numId w:val="0"/>
              </w:numPr>
              <w:spacing w:after="0"/>
            </w:pPr>
            <w:r>
              <w:t>15</w:t>
            </w:r>
          </w:p>
        </w:tc>
        <w:tc>
          <w:tcPr>
            <w:tcW w:w="2582" w:type="dxa"/>
            <w:shd w:val="clear" w:color="auto" w:fill="auto"/>
          </w:tcPr>
          <w:p w:rsidR="008475A8" w:rsidP="000D058B" w14:paraId="4DCD8A2E" w14:textId="77777777">
            <w:pPr>
              <w:pStyle w:val="ParaNum"/>
              <w:widowControl/>
              <w:numPr>
                <w:ilvl w:val="0"/>
                <w:numId w:val="0"/>
              </w:numPr>
              <w:spacing w:after="0"/>
            </w:pPr>
            <w:r w:rsidRPr="004D4B4D">
              <w:t>PDWM8275</w:t>
            </w:r>
          </w:p>
        </w:tc>
        <w:tc>
          <w:tcPr>
            <w:tcW w:w="2579" w:type="dxa"/>
            <w:shd w:val="clear" w:color="auto" w:fill="auto"/>
          </w:tcPr>
          <w:p w:rsidR="008475A8" w:rsidP="000D058B" w14:paraId="613AF142" w14:textId="77777777">
            <w:pPr>
              <w:pStyle w:val="ParaNum"/>
              <w:widowControl/>
              <w:numPr>
                <w:ilvl w:val="0"/>
                <w:numId w:val="0"/>
              </w:numPr>
              <w:spacing w:after="0"/>
            </w:pPr>
            <w:r>
              <w:t>614.2 – 697.8 MHz</w:t>
            </w:r>
          </w:p>
        </w:tc>
        <w:tc>
          <w:tcPr>
            <w:tcW w:w="2579" w:type="dxa"/>
            <w:shd w:val="clear" w:color="auto" w:fill="auto"/>
          </w:tcPr>
          <w:p w:rsidR="008475A8" w:rsidP="000D058B" w14:paraId="2D46560E" w14:textId="77777777">
            <w:pPr>
              <w:pStyle w:val="ParaNum"/>
              <w:widowControl/>
              <w:numPr>
                <w:ilvl w:val="0"/>
                <w:numId w:val="0"/>
              </w:numPr>
              <w:spacing w:after="0"/>
            </w:pPr>
            <w:r w:rsidRPr="004D4B4D">
              <w:t>523 – 597.80 MHz</w:t>
            </w:r>
          </w:p>
        </w:tc>
      </w:tr>
    </w:tbl>
    <w:p w:rsidR="008475A8" w:rsidP="008475A8" w14:paraId="4B72A39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646"/>
        <w:gridCol w:w="2646"/>
        <w:gridCol w:w="2646"/>
      </w:tblGrid>
      <w:tr w14:paraId="16DE1273"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8" w:type="dxa"/>
            <w:shd w:val="clear" w:color="auto" w:fill="auto"/>
          </w:tcPr>
          <w:p w:rsidR="008475A8" w:rsidRPr="00D83856" w:rsidP="000D058B" w14:paraId="07F9F82D" w14:textId="77777777">
            <w:pPr>
              <w:pStyle w:val="ParaNum"/>
              <w:keepNext/>
              <w:keepLines/>
              <w:widowControl/>
              <w:numPr>
                <w:ilvl w:val="0"/>
                <w:numId w:val="0"/>
              </w:numPr>
              <w:spacing w:after="0"/>
              <w:rPr>
                <w:b/>
              </w:rPr>
            </w:pPr>
            <w:r w:rsidRPr="00D83856">
              <w:rPr>
                <w:b/>
              </w:rPr>
              <w:t>FCC ID:</w:t>
            </w:r>
          </w:p>
          <w:p w:rsidR="008475A8" w:rsidRPr="00D83856" w:rsidP="000D058B" w14:paraId="1BB28B8D" w14:textId="77777777">
            <w:pPr>
              <w:pStyle w:val="ParaNum"/>
              <w:keepNext/>
              <w:keepLines/>
              <w:widowControl/>
              <w:numPr>
                <w:ilvl w:val="0"/>
                <w:numId w:val="0"/>
              </w:numPr>
              <w:spacing w:after="0"/>
              <w:rPr>
                <w:b/>
              </w:rPr>
            </w:pPr>
            <w:r w:rsidRPr="00D83856">
              <w:rPr>
                <w:b/>
              </w:rPr>
              <w:t>QSRKST6U</w:t>
            </w:r>
          </w:p>
        </w:tc>
        <w:tc>
          <w:tcPr>
            <w:tcW w:w="2646" w:type="dxa"/>
            <w:shd w:val="clear" w:color="auto" w:fill="auto"/>
          </w:tcPr>
          <w:p w:rsidR="008475A8" w:rsidRPr="00D83856" w:rsidP="000D058B" w14:paraId="2BA0525A" w14:textId="77777777">
            <w:pPr>
              <w:pStyle w:val="ParaNum"/>
              <w:keepNext/>
              <w:keepLines/>
              <w:widowControl/>
              <w:numPr>
                <w:ilvl w:val="0"/>
                <w:numId w:val="0"/>
              </w:numPr>
              <w:spacing w:after="0"/>
              <w:rPr>
                <w:b/>
              </w:rPr>
            </w:pPr>
            <w:r w:rsidRPr="00D83856">
              <w:rPr>
                <w:b/>
              </w:rPr>
              <w:t>Model</w:t>
            </w:r>
          </w:p>
        </w:tc>
        <w:tc>
          <w:tcPr>
            <w:tcW w:w="2646" w:type="dxa"/>
            <w:shd w:val="clear" w:color="auto" w:fill="auto"/>
          </w:tcPr>
          <w:p w:rsidR="008475A8" w:rsidRPr="00D83856" w:rsidP="000D058B" w14:paraId="40840E07" w14:textId="77777777">
            <w:pPr>
              <w:pStyle w:val="ParaNum"/>
              <w:keepNext/>
              <w:keepLines/>
              <w:widowControl/>
              <w:numPr>
                <w:ilvl w:val="0"/>
                <w:numId w:val="0"/>
              </w:numPr>
              <w:spacing w:after="0"/>
              <w:rPr>
                <w:b/>
              </w:rPr>
            </w:pPr>
            <w:r w:rsidRPr="00D83856">
              <w:rPr>
                <w:b/>
              </w:rPr>
              <w:t>FCC ID authorized frequencies</w:t>
            </w:r>
          </w:p>
        </w:tc>
        <w:tc>
          <w:tcPr>
            <w:tcW w:w="2646" w:type="dxa"/>
            <w:shd w:val="clear" w:color="auto" w:fill="auto"/>
          </w:tcPr>
          <w:p w:rsidR="008475A8" w:rsidRPr="00D83856" w:rsidP="000D058B" w14:paraId="251AF963" w14:textId="77777777">
            <w:pPr>
              <w:pStyle w:val="ParaNum"/>
              <w:keepNext/>
              <w:keepLines/>
              <w:widowControl/>
              <w:numPr>
                <w:ilvl w:val="0"/>
                <w:numId w:val="0"/>
              </w:numPr>
              <w:spacing w:after="0"/>
              <w:rPr>
                <w:b/>
              </w:rPr>
            </w:pPr>
            <w:r w:rsidRPr="00D83856">
              <w:rPr>
                <w:b/>
              </w:rPr>
              <w:t>Actual operating frequencies</w:t>
            </w:r>
          </w:p>
        </w:tc>
      </w:tr>
      <w:tr w14:paraId="343147A3" w14:textId="77777777" w:rsidTr="000D058B">
        <w:tblPrEx>
          <w:tblW w:w="0" w:type="auto"/>
          <w:tblLook w:val="04A0"/>
        </w:tblPrEx>
        <w:tc>
          <w:tcPr>
            <w:tcW w:w="1638" w:type="dxa"/>
            <w:shd w:val="clear" w:color="auto" w:fill="auto"/>
          </w:tcPr>
          <w:p w:rsidR="008475A8" w:rsidP="000D058B" w14:paraId="60768431" w14:textId="77777777">
            <w:pPr>
              <w:pStyle w:val="ParaNum"/>
              <w:widowControl/>
              <w:numPr>
                <w:ilvl w:val="0"/>
                <w:numId w:val="0"/>
              </w:numPr>
              <w:spacing w:after="0"/>
            </w:pPr>
            <w:r>
              <w:t>16</w:t>
            </w:r>
          </w:p>
        </w:tc>
        <w:tc>
          <w:tcPr>
            <w:tcW w:w="2646" w:type="dxa"/>
            <w:shd w:val="clear" w:color="auto" w:fill="auto"/>
          </w:tcPr>
          <w:p w:rsidR="008475A8" w:rsidP="000D058B" w14:paraId="3DBA3167" w14:textId="77777777">
            <w:pPr>
              <w:pStyle w:val="ParaNum"/>
              <w:widowControl/>
              <w:numPr>
                <w:ilvl w:val="0"/>
                <w:numId w:val="0"/>
              </w:numPr>
              <w:spacing w:after="0"/>
            </w:pPr>
            <w:r w:rsidRPr="004D4B4D">
              <w:t>PDWM3360</w:t>
            </w:r>
          </w:p>
        </w:tc>
        <w:tc>
          <w:tcPr>
            <w:tcW w:w="2646" w:type="dxa"/>
            <w:shd w:val="clear" w:color="auto" w:fill="auto"/>
          </w:tcPr>
          <w:p w:rsidR="008475A8" w:rsidP="000D058B" w14:paraId="2B0621F3" w14:textId="77777777">
            <w:pPr>
              <w:pStyle w:val="ParaNum"/>
              <w:widowControl/>
              <w:numPr>
                <w:ilvl w:val="0"/>
                <w:numId w:val="0"/>
              </w:numPr>
              <w:spacing w:after="0"/>
            </w:pPr>
            <w:r>
              <w:t>720 – 806 MHz</w:t>
            </w:r>
          </w:p>
        </w:tc>
        <w:tc>
          <w:tcPr>
            <w:tcW w:w="2646" w:type="dxa"/>
            <w:shd w:val="clear" w:color="auto" w:fill="auto"/>
          </w:tcPr>
          <w:p w:rsidR="008475A8" w:rsidP="000D058B" w14:paraId="25511F7A" w14:textId="77777777">
            <w:pPr>
              <w:pStyle w:val="ParaNum"/>
              <w:widowControl/>
              <w:numPr>
                <w:ilvl w:val="0"/>
                <w:numId w:val="0"/>
              </w:numPr>
              <w:spacing w:after="0"/>
            </w:pPr>
            <w:r w:rsidRPr="004D4B4D">
              <w:t>573 – 597.975 MHz</w:t>
            </w:r>
          </w:p>
        </w:tc>
      </w:tr>
    </w:tbl>
    <w:p w:rsidR="008475A8" w:rsidP="008475A8" w14:paraId="61961A85"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646"/>
        <w:gridCol w:w="2646"/>
        <w:gridCol w:w="2646"/>
      </w:tblGrid>
      <w:tr w14:paraId="7F94FD10"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8" w:type="dxa"/>
            <w:shd w:val="clear" w:color="auto" w:fill="auto"/>
          </w:tcPr>
          <w:p w:rsidR="008475A8" w:rsidRPr="00D83856" w:rsidP="000D058B" w14:paraId="56844625" w14:textId="77777777">
            <w:pPr>
              <w:pStyle w:val="ParaNum"/>
              <w:keepNext/>
              <w:keepLines/>
              <w:widowControl/>
              <w:numPr>
                <w:ilvl w:val="0"/>
                <w:numId w:val="0"/>
              </w:numPr>
              <w:spacing w:after="0"/>
              <w:rPr>
                <w:b/>
              </w:rPr>
            </w:pPr>
            <w:r w:rsidRPr="00D83856">
              <w:rPr>
                <w:b/>
              </w:rPr>
              <w:t>FCC ID:</w:t>
            </w:r>
          </w:p>
          <w:p w:rsidR="008475A8" w:rsidRPr="00D83856" w:rsidP="000D058B" w14:paraId="2B83CD83" w14:textId="77777777">
            <w:pPr>
              <w:pStyle w:val="ParaNum"/>
              <w:keepNext/>
              <w:keepLines/>
              <w:widowControl/>
              <w:numPr>
                <w:ilvl w:val="0"/>
                <w:numId w:val="0"/>
              </w:numPr>
              <w:spacing w:after="0"/>
              <w:rPr>
                <w:b/>
              </w:rPr>
            </w:pPr>
            <w:r w:rsidRPr="00D83856">
              <w:rPr>
                <w:b/>
              </w:rPr>
              <w:t>QSRPT-15</w:t>
            </w:r>
          </w:p>
        </w:tc>
        <w:tc>
          <w:tcPr>
            <w:tcW w:w="2646" w:type="dxa"/>
            <w:shd w:val="clear" w:color="auto" w:fill="auto"/>
          </w:tcPr>
          <w:p w:rsidR="008475A8" w:rsidRPr="00D83856" w:rsidP="000D058B" w14:paraId="7A6FECC8" w14:textId="77777777">
            <w:pPr>
              <w:pStyle w:val="ParaNum"/>
              <w:keepNext/>
              <w:keepLines/>
              <w:widowControl/>
              <w:numPr>
                <w:ilvl w:val="0"/>
                <w:numId w:val="0"/>
              </w:numPr>
              <w:spacing w:after="0"/>
              <w:rPr>
                <w:b/>
              </w:rPr>
            </w:pPr>
            <w:r w:rsidRPr="00D83856">
              <w:rPr>
                <w:b/>
              </w:rPr>
              <w:t>Model</w:t>
            </w:r>
          </w:p>
        </w:tc>
        <w:tc>
          <w:tcPr>
            <w:tcW w:w="2646" w:type="dxa"/>
            <w:shd w:val="clear" w:color="auto" w:fill="auto"/>
          </w:tcPr>
          <w:p w:rsidR="008475A8" w:rsidRPr="00D83856" w:rsidP="000D058B" w14:paraId="32DBBED3" w14:textId="77777777">
            <w:pPr>
              <w:pStyle w:val="ParaNum"/>
              <w:keepNext/>
              <w:keepLines/>
              <w:widowControl/>
              <w:numPr>
                <w:ilvl w:val="0"/>
                <w:numId w:val="0"/>
              </w:numPr>
              <w:spacing w:after="0"/>
              <w:rPr>
                <w:b/>
              </w:rPr>
            </w:pPr>
            <w:r w:rsidRPr="00D83856">
              <w:rPr>
                <w:b/>
              </w:rPr>
              <w:t>FCC ID authorized frequencies</w:t>
            </w:r>
          </w:p>
        </w:tc>
        <w:tc>
          <w:tcPr>
            <w:tcW w:w="2646" w:type="dxa"/>
            <w:shd w:val="clear" w:color="auto" w:fill="auto"/>
          </w:tcPr>
          <w:p w:rsidR="008475A8" w:rsidRPr="00D83856" w:rsidP="000D058B" w14:paraId="33347C65" w14:textId="77777777">
            <w:pPr>
              <w:pStyle w:val="ParaNum"/>
              <w:keepNext/>
              <w:keepLines/>
              <w:widowControl/>
              <w:numPr>
                <w:ilvl w:val="0"/>
                <w:numId w:val="0"/>
              </w:numPr>
              <w:spacing w:after="0"/>
              <w:rPr>
                <w:b/>
              </w:rPr>
            </w:pPr>
            <w:r w:rsidRPr="00D83856">
              <w:rPr>
                <w:b/>
              </w:rPr>
              <w:t>Actual operating frequencies</w:t>
            </w:r>
          </w:p>
        </w:tc>
      </w:tr>
      <w:tr w14:paraId="7F370E6D" w14:textId="77777777" w:rsidTr="000D058B">
        <w:tblPrEx>
          <w:tblW w:w="0" w:type="auto"/>
          <w:tblLook w:val="04A0"/>
        </w:tblPrEx>
        <w:tc>
          <w:tcPr>
            <w:tcW w:w="1638" w:type="dxa"/>
            <w:shd w:val="clear" w:color="auto" w:fill="auto"/>
          </w:tcPr>
          <w:p w:rsidR="008475A8" w:rsidP="000D058B" w14:paraId="11BD4EDE" w14:textId="77777777">
            <w:pPr>
              <w:pStyle w:val="ParaNum"/>
              <w:widowControl/>
              <w:numPr>
                <w:ilvl w:val="0"/>
                <w:numId w:val="0"/>
              </w:numPr>
              <w:spacing w:after="0"/>
            </w:pPr>
            <w:r>
              <w:t>17</w:t>
            </w:r>
          </w:p>
        </w:tc>
        <w:tc>
          <w:tcPr>
            <w:tcW w:w="2646" w:type="dxa"/>
            <w:shd w:val="clear" w:color="auto" w:fill="auto"/>
          </w:tcPr>
          <w:p w:rsidR="008475A8" w:rsidP="000D058B" w14:paraId="26875E76" w14:textId="77777777">
            <w:pPr>
              <w:pStyle w:val="ParaNum"/>
              <w:widowControl/>
              <w:numPr>
                <w:ilvl w:val="0"/>
                <w:numId w:val="0"/>
              </w:numPr>
              <w:spacing w:after="0"/>
            </w:pPr>
            <w:r w:rsidRPr="004D4B4D">
              <w:t>PDWM4560</w:t>
            </w:r>
          </w:p>
        </w:tc>
        <w:tc>
          <w:tcPr>
            <w:tcW w:w="2646" w:type="dxa"/>
            <w:shd w:val="clear" w:color="auto" w:fill="auto"/>
          </w:tcPr>
          <w:p w:rsidR="008475A8" w:rsidP="000D058B" w14:paraId="323F971B" w14:textId="77777777">
            <w:pPr>
              <w:pStyle w:val="ParaNum"/>
              <w:widowControl/>
              <w:numPr>
                <w:ilvl w:val="0"/>
                <w:numId w:val="0"/>
              </w:numPr>
              <w:spacing w:after="0"/>
            </w:pPr>
            <w:r>
              <w:t>614.2 – 697.8 MHz</w:t>
            </w:r>
          </w:p>
        </w:tc>
        <w:tc>
          <w:tcPr>
            <w:tcW w:w="2646" w:type="dxa"/>
            <w:shd w:val="clear" w:color="auto" w:fill="auto"/>
          </w:tcPr>
          <w:p w:rsidR="008475A8" w:rsidP="000D058B" w14:paraId="4C94B02A" w14:textId="77777777">
            <w:pPr>
              <w:pStyle w:val="ParaNum"/>
              <w:widowControl/>
              <w:numPr>
                <w:ilvl w:val="0"/>
                <w:numId w:val="0"/>
              </w:numPr>
              <w:spacing w:after="0"/>
            </w:pPr>
            <w:r w:rsidRPr="004D4B4D">
              <w:t>573 - 579.80 MHz</w:t>
            </w:r>
          </w:p>
        </w:tc>
      </w:tr>
      <w:tr w14:paraId="0CDC5093" w14:textId="77777777" w:rsidTr="000D058B">
        <w:tblPrEx>
          <w:tblW w:w="0" w:type="auto"/>
          <w:tblLook w:val="04A0"/>
        </w:tblPrEx>
        <w:tc>
          <w:tcPr>
            <w:tcW w:w="1638" w:type="dxa"/>
            <w:shd w:val="clear" w:color="auto" w:fill="auto"/>
          </w:tcPr>
          <w:p w:rsidR="008475A8" w:rsidP="000D058B" w14:paraId="7E315D43" w14:textId="77777777">
            <w:pPr>
              <w:pStyle w:val="ParaNum"/>
              <w:widowControl/>
              <w:numPr>
                <w:ilvl w:val="0"/>
                <w:numId w:val="0"/>
              </w:numPr>
              <w:spacing w:after="0"/>
            </w:pPr>
            <w:r>
              <w:t>18</w:t>
            </w:r>
          </w:p>
        </w:tc>
        <w:tc>
          <w:tcPr>
            <w:tcW w:w="2646" w:type="dxa"/>
            <w:shd w:val="clear" w:color="auto" w:fill="auto"/>
          </w:tcPr>
          <w:p w:rsidR="008475A8" w:rsidP="000D058B" w14:paraId="46D3C24F" w14:textId="77777777">
            <w:pPr>
              <w:pStyle w:val="ParaNum"/>
              <w:widowControl/>
              <w:numPr>
                <w:ilvl w:val="0"/>
                <w:numId w:val="0"/>
              </w:numPr>
              <w:spacing w:after="0"/>
            </w:pPr>
            <w:r w:rsidRPr="004D4B4D">
              <w:t>PDWM4540</w:t>
            </w:r>
          </w:p>
        </w:tc>
        <w:tc>
          <w:tcPr>
            <w:tcW w:w="2646" w:type="dxa"/>
            <w:shd w:val="clear" w:color="auto" w:fill="auto"/>
          </w:tcPr>
          <w:p w:rsidR="008475A8" w:rsidP="000D058B" w14:paraId="44D22AFD" w14:textId="77777777">
            <w:pPr>
              <w:pStyle w:val="ParaNum"/>
              <w:widowControl/>
              <w:numPr>
                <w:ilvl w:val="0"/>
                <w:numId w:val="0"/>
              </w:numPr>
              <w:spacing w:after="0"/>
            </w:pPr>
            <w:r>
              <w:t>614.2 – 697.8 MHz</w:t>
            </w:r>
          </w:p>
        </w:tc>
        <w:tc>
          <w:tcPr>
            <w:tcW w:w="2646" w:type="dxa"/>
            <w:shd w:val="clear" w:color="auto" w:fill="auto"/>
          </w:tcPr>
          <w:p w:rsidR="008475A8" w:rsidP="000D058B" w14:paraId="4DC80107" w14:textId="77777777">
            <w:pPr>
              <w:pStyle w:val="ParaNum"/>
              <w:widowControl/>
              <w:numPr>
                <w:ilvl w:val="0"/>
                <w:numId w:val="0"/>
              </w:numPr>
              <w:spacing w:after="0"/>
            </w:pPr>
            <w:r w:rsidRPr="004D4B4D">
              <w:t>523 – 579.80 MHz</w:t>
            </w:r>
          </w:p>
        </w:tc>
      </w:tr>
    </w:tbl>
    <w:p w:rsidR="008475A8" w:rsidP="008475A8" w14:paraId="7B0BC182"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2582"/>
        <w:gridCol w:w="2580"/>
        <w:gridCol w:w="2580"/>
      </w:tblGrid>
      <w:tr w14:paraId="6534AC47" w14:textId="77777777" w:rsidTr="000D05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08" w:type="dxa"/>
            <w:shd w:val="clear" w:color="auto" w:fill="auto"/>
          </w:tcPr>
          <w:p w:rsidR="008475A8" w:rsidRPr="00D83856" w:rsidP="000D058B" w14:paraId="0D0B9B94" w14:textId="77777777">
            <w:pPr>
              <w:pStyle w:val="ParaNum"/>
              <w:widowControl/>
              <w:numPr>
                <w:ilvl w:val="0"/>
                <w:numId w:val="0"/>
              </w:numPr>
              <w:spacing w:after="0"/>
              <w:rPr>
                <w:b/>
              </w:rPr>
            </w:pPr>
            <w:r w:rsidRPr="00D83856">
              <w:rPr>
                <w:b/>
              </w:rPr>
              <w:t>FCC ID:</w:t>
            </w:r>
          </w:p>
          <w:p w:rsidR="008475A8" w:rsidRPr="00D83856" w:rsidP="000D058B" w14:paraId="115C4047" w14:textId="77777777">
            <w:pPr>
              <w:pStyle w:val="ParaNum"/>
              <w:widowControl/>
              <w:numPr>
                <w:ilvl w:val="0"/>
                <w:numId w:val="0"/>
              </w:numPr>
              <w:spacing w:after="0"/>
              <w:rPr>
                <w:b/>
              </w:rPr>
            </w:pPr>
            <w:r w:rsidRPr="00D83856">
              <w:rPr>
                <w:b/>
              </w:rPr>
              <w:t>QSRPT-25</w:t>
            </w:r>
          </w:p>
        </w:tc>
        <w:tc>
          <w:tcPr>
            <w:tcW w:w="2582" w:type="dxa"/>
            <w:shd w:val="clear" w:color="auto" w:fill="auto"/>
          </w:tcPr>
          <w:p w:rsidR="008475A8" w:rsidRPr="00D83856" w:rsidP="000D058B" w14:paraId="1B1AB086" w14:textId="77777777">
            <w:pPr>
              <w:pStyle w:val="ParaNum"/>
              <w:widowControl/>
              <w:numPr>
                <w:ilvl w:val="0"/>
                <w:numId w:val="0"/>
              </w:numPr>
              <w:spacing w:after="0"/>
              <w:rPr>
                <w:b/>
              </w:rPr>
            </w:pPr>
            <w:r w:rsidRPr="00D83856">
              <w:rPr>
                <w:b/>
              </w:rPr>
              <w:t>Model</w:t>
            </w:r>
          </w:p>
        </w:tc>
        <w:tc>
          <w:tcPr>
            <w:tcW w:w="2580" w:type="dxa"/>
            <w:shd w:val="clear" w:color="auto" w:fill="auto"/>
          </w:tcPr>
          <w:p w:rsidR="008475A8" w:rsidRPr="00D83856" w:rsidP="000D058B" w14:paraId="69F2B827" w14:textId="77777777">
            <w:pPr>
              <w:pStyle w:val="ParaNum"/>
              <w:widowControl/>
              <w:numPr>
                <w:ilvl w:val="0"/>
                <w:numId w:val="0"/>
              </w:numPr>
              <w:spacing w:after="0"/>
              <w:rPr>
                <w:b/>
              </w:rPr>
            </w:pPr>
            <w:r w:rsidRPr="00D83856">
              <w:rPr>
                <w:b/>
              </w:rPr>
              <w:t>FCC ID authorized frequencies</w:t>
            </w:r>
          </w:p>
        </w:tc>
        <w:tc>
          <w:tcPr>
            <w:tcW w:w="2580" w:type="dxa"/>
            <w:shd w:val="clear" w:color="auto" w:fill="auto"/>
          </w:tcPr>
          <w:p w:rsidR="008475A8" w:rsidRPr="00D83856" w:rsidP="000D058B" w14:paraId="1F8FA835" w14:textId="77777777">
            <w:pPr>
              <w:pStyle w:val="ParaNum"/>
              <w:widowControl/>
              <w:numPr>
                <w:ilvl w:val="0"/>
                <w:numId w:val="0"/>
              </w:numPr>
              <w:spacing w:after="0"/>
              <w:rPr>
                <w:b/>
              </w:rPr>
            </w:pPr>
            <w:r w:rsidRPr="00D83856">
              <w:rPr>
                <w:b/>
              </w:rPr>
              <w:t>Actual operating frequencies</w:t>
            </w:r>
          </w:p>
        </w:tc>
      </w:tr>
      <w:tr w14:paraId="6DADA0AF" w14:textId="77777777" w:rsidTr="000D058B">
        <w:tblPrEx>
          <w:tblW w:w="0" w:type="auto"/>
          <w:tblLook w:val="04A0"/>
        </w:tblPrEx>
        <w:tc>
          <w:tcPr>
            <w:tcW w:w="1608" w:type="dxa"/>
            <w:shd w:val="clear" w:color="auto" w:fill="auto"/>
          </w:tcPr>
          <w:p w:rsidR="008475A8" w:rsidP="000D058B" w14:paraId="30C21462" w14:textId="77777777">
            <w:pPr>
              <w:pStyle w:val="ParaNum"/>
              <w:widowControl/>
              <w:numPr>
                <w:ilvl w:val="0"/>
                <w:numId w:val="0"/>
              </w:numPr>
              <w:spacing w:after="0"/>
            </w:pPr>
            <w:r>
              <w:t>19</w:t>
            </w:r>
          </w:p>
        </w:tc>
        <w:tc>
          <w:tcPr>
            <w:tcW w:w="2582" w:type="dxa"/>
            <w:shd w:val="clear" w:color="auto" w:fill="auto"/>
          </w:tcPr>
          <w:p w:rsidR="008475A8" w:rsidP="000D058B" w14:paraId="2094BF5B" w14:textId="77777777">
            <w:pPr>
              <w:pStyle w:val="ParaNum"/>
              <w:widowControl/>
              <w:numPr>
                <w:ilvl w:val="0"/>
                <w:numId w:val="0"/>
              </w:numPr>
              <w:spacing w:after="0"/>
            </w:pPr>
            <w:r w:rsidRPr="004D4B4D">
              <w:t>PDWM8250</w:t>
            </w:r>
          </w:p>
        </w:tc>
        <w:tc>
          <w:tcPr>
            <w:tcW w:w="2580" w:type="dxa"/>
            <w:shd w:val="clear" w:color="auto" w:fill="auto"/>
          </w:tcPr>
          <w:p w:rsidR="008475A8" w:rsidP="000D058B" w14:paraId="057DD20A" w14:textId="77777777">
            <w:pPr>
              <w:pStyle w:val="ParaNum"/>
              <w:widowControl/>
              <w:numPr>
                <w:ilvl w:val="0"/>
                <w:numId w:val="0"/>
              </w:numPr>
              <w:spacing w:after="0"/>
            </w:pPr>
            <w:r>
              <w:t>614.2 – 697.8 MHz</w:t>
            </w:r>
          </w:p>
        </w:tc>
        <w:tc>
          <w:tcPr>
            <w:tcW w:w="2580" w:type="dxa"/>
            <w:shd w:val="clear" w:color="auto" w:fill="auto"/>
          </w:tcPr>
          <w:p w:rsidR="008475A8" w:rsidP="000D058B" w14:paraId="46EF8427" w14:textId="77777777">
            <w:pPr>
              <w:pStyle w:val="ParaNum"/>
              <w:widowControl/>
              <w:numPr>
                <w:ilvl w:val="0"/>
                <w:numId w:val="0"/>
              </w:numPr>
              <w:spacing w:after="0"/>
            </w:pPr>
            <w:r w:rsidRPr="004D4B4D">
              <w:t>523 - 597.80 MHz</w:t>
            </w:r>
          </w:p>
        </w:tc>
      </w:tr>
      <w:tr w14:paraId="33599E72" w14:textId="77777777" w:rsidTr="000D058B">
        <w:tblPrEx>
          <w:tblW w:w="0" w:type="auto"/>
          <w:tblLook w:val="04A0"/>
        </w:tblPrEx>
        <w:tc>
          <w:tcPr>
            <w:tcW w:w="1608" w:type="dxa"/>
            <w:shd w:val="clear" w:color="auto" w:fill="auto"/>
          </w:tcPr>
          <w:p w:rsidR="008475A8" w:rsidP="000D058B" w14:paraId="38FA5595" w14:textId="77777777">
            <w:pPr>
              <w:pStyle w:val="ParaNum"/>
              <w:widowControl/>
              <w:numPr>
                <w:ilvl w:val="0"/>
                <w:numId w:val="0"/>
              </w:numPr>
              <w:spacing w:after="0"/>
            </w:pPr>
            <w:r>
              <w:t>20</w:t>
            </w:r>
          </w:p>
        </w:tc>
        <w:tc>
          <w:tcPr>
            <w:tcW w:w="2582" w:type="dxa"/>
            <w:shd w:val="clear" w:color="auto" w:fill="auto"/>
          </w:tcPr>
          <w:p w:rsidR="008475A8" w:rsidP="000D058B" w14:paraId="76B20047" w14:textId="77777777">
            <w:pPr>
              <w:pStyle w:val="ParaNum"/>
              <w:widowControl/>
              <w:numPr>
                <w:ilvl w:val="0"/>
                <w:numId w:val="0"/>
              </w:numPr>
              <w:spacing w:after="0"/>
            </w:pPr>
            <w:r w:rsidRPr="004D4B4D">
              <w:t>PDWM8225</w:t>
            </w:r>
          </w:p>
        </w:tc>
        <w:tc>
          <w:tcPr>
            <w:tcW w:w="2580" w:type="dxa"/>
            <w:shd w:val="clear" w:color="auto" w:fill="auto"/>
          </w:tcPr>
          <w:p w:rsidR="008475A8" w:rsidP="000D058B" w14:paraId="25C1AB1E" w14:textId="77777777">
            <w:pPr>
              <w:pStyle w:val="ParaNum"/>
              <w:widowControl/>
              <w:numPr>
                <w:ilvl w:val="0"/>
                <w:numId w:val="0"/>
              </w:numPr>
              <w:spacing w:after="0"/>
            </w:pPr>
            <w:r>
              <w:t>614.2 – 697.8 MHz</w:t>
            </w:r>
          </w:p>
        </w:tc>
        <w:tc>
          <w:tcPr>
            <w:tcW w:w="2580" w:type="dxa"/>
            <w:shd w:val="clear" w:color="auto" w:fill="auto"/>
          </w:tcPr>
          <w:p w:rsidR="008475A8" w:rsidP="000D058B" w14:paraId="11CE532D" w14:textId="77777777">
            <w:pPr>
              <w:pStyle w:val="ParaNum"/>
              <w:widowControl/>
              <w:numPr>
                <w:ilvl w:val="0"/>
                <w:numId w:val="0"/>
              </w:numPr>
              <w:spacing w:after="0"/>
            </w:pPr>
            <w:r w:rsidRPr="004D4B4D">
              <w:t>523 – 597.80 MHz</w:t>
            </w:r>
          </w:p>
        </w:tc>
      </w:tr>
      <w:tr w14:paraId="5BE8FE53" w14:textId="77777777" w:rsidTr="000D058B">
        <w:tblPrEx>
          <w:tblW w:w="0" w:type="auto"/>
          <w:tblLook w:val="04A0"/>
        </w:tblPrEx>
        <w:tc>
          <w:tcPr>
            <w:tcW w:w="1608" w:type="dxa"/>
            <w:shd w:val="clear" w:color="auto" w:fill="auto"/>
          </w:tcPr>
          <w:p w:rsidR="008475A8" w:rsidP="000D058B" w14:paraId="10203EA1" w14:textId="77777777">
            <w:pPr>
              <w:pStyle w:val="ParaNum"/>
              <w:widowControl/>
              <w:numPr>
                <w:ilvl w:val="0"/>
                <w:numId w:val="0"/>
              </w:numPr>
              <w:spacing w:after="0"/>
            </w:pPr>
            <w:r>
              <w:t>21</w:t>
            </w:r>
          </w:p>
        </w:tc>
        <w:tc>
          <w:tcPr>
            <w:tcW w:w="2582" w:type="dxa"/>
            <w:shd w:val="clear" w:color="auto" w:fill="auto"/>
          </w:tcPr>
          <w:p w:rsidR="008475A8" w:rsidP="000D058B" w14:paraId="400F5758" w14:textId="77777777">
            <w:pPr>
              <w:pStyle w:val="ParaNum"/>
              <w:widowControl/>
              <w:numPr>
                <w:ilvl w:val="0"/>
                <w:numId w:val="0"/>
              </w:numPr>
              <w:spacing w:after="0"/>
            </w:pPr>
            <w:r w:rsidRPr="004D4B4D">
              <w:t>PDWM3378</w:t>
            </w:r>
          </w:p>
        </w:tc>
        <w:tc>
          <w:tcPr>
            <w:tcW w:w="2580" w:type="dxa"/>
            <w:shd w:val="clear" w:color="auto" w:fill="auto"/>
          </w:tcPr>
          <w:p w:rsidR="008475A8" w:rsidP="000D058B" w14:paraId="27968EEE" w14:textId="77777777">
            <w:pPr>
              <w:pStyle w:val="ParaNum"/>
              <w:widowControl/>
              <w:numPr>
                <w:ilvl w:val="0"/>
                <w:numId w:val="0"/>
              </w:numPr>
              <w:spacing w:after="0"/>
            </w:pPr>
            <w:r>
              <w:t>614.2 – 697.8 MHz</w:t>
            </w:r>
          </w:p>
        </w:tc>
        <w:tc>
          <w:tcPr>
            <w:tcW w:w="2580" w:type="dxa"/>
            <w:shd w:val="clear" w:color="auto" w:fill="auto"/>
          </w:tcPr>
          <w:p w:rsidR="008475A8" w:rsidP="000D058B" w14:paraId="55F610A2" w14:textId="77777777">
            <w:pPr>
              <w:pStyle w:val="ParaNum"/>
              <w:widowControl/>
              <w:numPr>
                <w:ilvl w:val="0"/>
                <w:numId w:val="0"/>
              </w:numPr>
              <w:spacing w:after="0"/>
            </w:pPr>
            <w:r>
              <w:t>None provided</w:t>
            </w:r>
          </w:p>
        </w:tc>
      </w:tr>
      <w:tr w14:paraId="06C655D8" w14:textId="77777777" w:rsidTr="000D058B">
        <w:tblPrEx>
          <w:tblW w:w="0" w:type="auto"/>
          <w:tblLook w:val="04A0"/>
        </w:tblPrEx>
        <w:tc>
          <w:tcPr>
            <w:tcW w:w="1608" w:type="dxa"/>
            <w:shd w:val="clear" w:color="auto" w:fill="auto"/>
          </w:tcPr>
          <w:p w:rsidR="008475A8" w:rsidP="000D058B" w14:paraId="1471B070" w14:textId="77777777">
            <w:pPr>
              <w:pStyle w:val="ParaNum"/>
              <w:widowControl/>
              <w:numPr>
                <w:ilvl w:val="0"/>
                <w:numId w:val="0"/>
              </w:numPr>
              <w:spacing w:after="0"/>
            </w:pPr>
            <w:r>
              <w:t>22</w:t>
            </w:r>
          </w:p>
        </w:tc>
        <w:tc>
          <w:tcPr>
            <w:tcW w:w="2582" w:type="dxa"/>
            <w:shd w:val="clear" w:color="auto" w:fill="auto"/>
          </w:tcPr>
          <w:p w:rsidR="008475A8" w:rsidP="000D058B" w14:paraId="688A7CF2" w14:textId="77777777">
            <w:pPr>
              <w:pStyle w:val="ParaNum"/>
              <w:widowControl/>
              <w:numPr>
                <w:ilvl w:val="0"/>
                <w:numId w:val="0"/>
              </w:numPr>
              <w:spacing w:after="0"/>
            </w:pPr>
            <w:r w:rsidRPr="004D4B4D">
              <w:t>PDWM1904</w:t>
            </w:r>
          </w:p>
        </w:tc>
        <w:tc>
          <w:tcPr>
            <w:tcW w:w="2580" w:type="dxa"/>
            <w:shd w:val="clear" w:color="auto" w:fill="auto"/>
          </w:tcPr>
          <w:p w:rsidR="008475A8" w:rsidP="000D058B" w14:paraId="23E83BF6" w14:textId="77777777">
            <w:pPr>
              <w:pStyle w:val="ParaNum"/>
              <w:widowControl/>
              <w:numPr>
                <w:ilvl w:val="0"/>
                <w:numId w:val="0"/>
              </w:numPr>
              <w:spacing w:after="0"/>
            </w:pPr>
            <w:r>
              <w:t>614.2 – 697.8 MHz</w:t>
            </w:r>
          </w:p>
        </w:tc>
        <w:tc>
          <w:tcPr>
            <w:tcW w:w="2580" w:type="dxa"/>
            <w:shd w:val="clear" w:color="auto" w:fill="auto"/>
          </w:tcPr>
          <w:p w:rsidR="008475A8" w:rsidP="000D058B" w14:paraId="1F51235C" w14:textId="77777777">
            <w:pPr>
              <w:pStyle w:val="ParaNum"/>
              <w:widowControl/>
              <w:numPr>
                <w:ilvl w:val="0"/>
                <w:numId w:val="0"/>
              </w:numPr>
              <w:spacing w:after="0"/>
            </w:pPr>
            <w:r w:rsidRPr="004D4B4D">
              <w:t>523 – 597.80 MHz</w:t>
            </w:r>
          </w:p>
        </w:tc>
      </w:tr>
      <w:tr w14:paraId="7DB1C5D8" w14:textId="77777777" w:rsidTr="000D058B">
        <w:tblPrEx>
          <w:tblW w:w="0" w:type="auto"/>
          <w:tblLook w:val="04A0"/>
        </w:tblPrEx>
        <w:tc>
          <w:tcPr>
            <w:tcW w:w="1608" w:type="dxa"/>
            <w:shd w:val="clear" w:color="auto" w:fill="auto"/>
          </w:tcPr>
          <w:p w:rsidR="008475A8" w:rsidP="000D058B" w14:paraId="01D7F5A5" w14:textId="77777777">
            <w:pPr>
              <w:pStyle w:val="ParaNum"/>
              <w:widowControl/>
              <w:numPr>
                <w:ilvl w:val="0"/>
                <w:numId w:val="0"/>
              </w:numPr>
              <w:spacing w:after="0"/>
            </w:pPr>
            <w:r>
              <w:t>23</w:t>
            </w:r>
          </w:p>
        </w:tc>
        <w:tc>
          <w:tcPr>
            <w:tcW w:w="2582" w:type="dxa"/>
            <w:shd w:val="clear" w:color="auto" w:fill="auto"/>
          </w:tcPr>
          <w:p w:rsidR="008475A8" w:rsidRPr="004D4B4D" w:rsidP="000D058B" w14:paraId="54F77AEE" w14:textId="77777777">
            <w:pPr>
              <w:pStyle w:val="ParaNum"/>
              <w:widowControl/>
              <w:numPr>
                <w:ilvl w:val="0"/>
                <w:numId w:val="0"/>
              </w:numPr>
              <w:spacing w:after="0"/>
            </w:pPr>
            <w:r w:rsidRPr="003C0BF3">
              <w:t>PDWM3365</w:t>
            </w:r>
          </w:p>
        </w:tc>
        <w:tc>
          <w:tcPr>
            <w:tcW w:w="2580" w:type="dxa"/>
            <w:shd w:val="clear" w:color="auto" w:fill="auto"/>
          </w:tcPr>
          <w:p w:rsidR="008475A8" w:rsidP="000D058B" w14:paraId="3533DAF3" w14:textId="77777777">
            <w:pPr>
              <w:pStyle w:val="ParaNum"/>
              <w:widowControl/>
              <w:numPr>
                <w:ilvl w:val="0"/>
                <w:numId w:val="0"/>
              </w:numPr>
              <w:spacing w:after="0"/>
            </w:pPr>
            <w:r>
              <w:t>614.2 – 697.8 MHz</w:t>
            </w:r>
          </w:p>
        </w:tc>
        <w:tc>
          <w:tcPr>
            <w:tcW w:w="2580" w:type="dxa"/>
            <w:shd w:val="clear" w:color="auto" w:fill="auto"/>
          </w:tcPr>
          <w:p w:rsidR="008475A8" w:rsidRPr="004D4B4D" w:rsidP="000D058B" w14:paraId="216368A2" w14:textId="77777777">
            <w:pPr>
              <w:pStyle w:val="ParaNum"/>
              <w:widowControl/>
              <w:numPr>
                <w:ilvl w:val="0"/>
                <w:numId w:val="0"/>
              </w:numPr>
              <w:spacing w:after="0"/>
            </w:pPr>
            <w:r w:rsidRPr="004D4B4D">
              <w:t>523 – 597.80 MHz</w:t>
            </w:r>
          </w:p>
        </w:tc>
      </w:tr>
    </w:tbl>
    <w:p w:rsidR="008475A8" w:rsidP="008475A8" w14:paraId="27FFFC1C" w14:textId="77777777">
      <w:pPr>
        <w:rPr>
          <w:szCs w:val="22"/>
        </w:rPr>
      </w:pPr>
    </w:p>
    <w:p w:rsidR="008475A8" w:rsidP="008475A8" w14:paraId="227795C4" w14:textId="77777777">
      <w:pPr>
        <w:widowControl/>
        <w:rPr>
          <w:szCs w:val="22"/>
        </w:rPr>
      </w:pPr>
      <w:r>
        <w:rPr>
          <w:szCs w:val="22"/>
        </w:rPr>
        <w:br w:type="page"/>
      </w:r>
    </w:p>
    <w:tbl>
      <w:tblPr>
        <w:tblStyle w:val="TableGrid"/>
        <w:tblW w:w="4225" w:type="dxa"/>
        <w:tblLook w:val="04A0"/>
      </w:tblPr>
      <w:tblGrid>
        <w:gridCol w:w="1615"/>
        <w:gridCol w:w="2610"/>
      </w:tblGrid>
      <w:tr w14:paraId="7CCD2593" w14:textId="77777777" w:rsidTr="000D058B">
        <w:tblPrEx>
          <w:tblW w:w="4225" w:type="dxa"/>
          <w:tblLook w:val="04A0"/>
        </w:tblPrEx>
        <w:tc>
          <w:tcPr>
            <w:tcW w:w="1615" w:type="dxa"/>
          </w:tcPr>
          <w:p w:rsidR="008475A8" w:rsidP="000D058B" w14:paraId="60B940A4" w14:textId="77777777">
            <w:pPr>
              <w:rPr>
                <w:szCs w:val="22"/>
              </w:rPr>
            </w:pPr>
            <w:r>
              <w:rPr>
                <w:szCs w:val="22"/>
              </w:rPr>
              <w:br w:type="page"/>
            </w:r>
            <w:r w:rsidRPr="00D83856">
              <w:rPr>
                <w:b/>
              </w:rPr>
              <w:t>No FCC ID provided</w:t>
            </w:r>
          </w:p>
        </w:tc>
        <w:tc>
          <w:tcPr>
            <w:tcW w:w="2610" w:type="dxa"/>
          </w:tcPr>
          <w:p w:rsidR="008475A8" w:rsidP="000D058B" w14:paraId="3DF1B583" w14:textId="77777777">
            <w:pPr>
              <w:rPr>
                <w:szCs w:val="22"/>
              </w:rPr>
            </w:pPr>
            <w:r w:rsidRPr="00D83856">
              <w:rPr>
                <w:b/>
              </w:rPr>
              <w:t>Model</w:t>
            </w:r>
          </w:p>
        </w:tc>
      </w:tr>
      <w:tr w14:paraId="2626ABC7" w14:textId="77777777" w:rsidTr="000D058B">
        <w:tblPrEx>
          <w:tblW w:w="4225" w:type="dxa"/>
          <w:tblLook w:val="04A0"/>
        </w:tblPrEx>
        <w:tc>
          <w:tcPr>
            <w:tcW w:w="1615" w:type="dxa"/>
          </w:tcPr>
          <w:p w:rsidR="008475A8" w:rsidP="000D058B" w14:paraId="65276113" w14:textId="77777777">
            <w:pPr>
              <w:rPr>
                <w:szCs w:val="22"/>
              </w:rPr>
            </w:pPr>
            <w:r>
              <w:t>24</w:t>
            </w:r>
          </w:p>
        </w:tc>
        <w:tc>
          <w:tcPr>
            <w:tcW w:w="2610" w:type="dxa"/>
          </w:tcPr>
          <w:p w:rsidR="008475A8" w:rsidP="000D058B" w14:paraId="32C40CAA" w14:textId="77777777">
            <w:pPr>
              <w:rPr>
                <w:szCs w:val="22"/>
              </w:rPr>
            </w:pPr>
            <w:r>
              <w:t>PSUFM1280B</w:t>
            </w:r>
          </w:p>
        </w:tc>
      </w:tr>
      <w:tr w14:paraId="0D053740" w14:textId="77777777" w:rsidTr="000D058B">
        <w:tblPrEx>
          <w:tblW w:w="4225" w:type="dxa"/>
          <w:tblLook w:val="04A0"/>
        </w:tblPrEx>
        <w:tc>
          <w:tcPr>
            <w:tcW w:w="1615" w:type="dxa"/>
          </w:tcPr>
          <w:p w:rsidR="008475A8" w:rsidP="000D058B" w14:paraId="3498B8DA" w14:textId="77777777">
            <w:pPr>
              <w:rPr>
                <w:szCs w:val="22"/>
              </w:rPr>
            </w:pPr>
            <w:r>
              <w:t>25</w:t>
            </w:r>
          </w:p>
        </w:tc>
        <w:tc>
          <w:tcPr>
            <w:tcW w:w="2610" w:type="dxa"/>
          </w:tcPr>
          <w:p w:rsidR="008475A8" w:rsidP="000D058B" w14:paraId="61F84894" w14:textId="77777777">
            <w:pPr>
              <w:rPr>
                <w:szCs w:val="22"/>
              </w:rPr>
            </w:pPr>
            <w:r>
              <w:t>PDWM8374</w:t>
            </w:r>
          </w:p>
        </w:tc>
      </w:tr>
      <w:tr w14:paraId="75A1364F" w14:textId="77777777" w:rsidTr="000D058B">
        <w:tblPrEx>
          <w:tblW w:w="4225" w:type="dxa"/>
          <w:tblLook w:val="04A0"/>
        </w:tblPrEx>
        <w:tc>
          <w:tcPr>
            <w:tcW w:w="1615" w:type="dxa"/>
          </w:tcPr>
          <w:p w:rsidR="008475A8" w:rsidP="000D058B" w14:paraId="1C2551CB" w14:textId="77777777">
            <w:pPr>
              <w:rPr>
                <w:szCs w:val="22"/>
              </w:rPr>
            </w:pPr>
            <w:r>
              <w:t>26</w:t>
            </w:r>
          </w:p>
        </w:tc>
        <w:tc>
          <w:tcPr>
            <w:tcW w:w="2610" w:type="dxa"/>
          </w:tcPr>
          <w:p w:rsidR="008475A8" w:rsidP="000D058B" w14:paraId="5EBF8D6B" w14:textId="77777777">
            <w:pPr>
              <w:rPr>
                <w:szCs w:val="22"/>
              </w:rPr>
            </w:pPr>
            <w:r>
              <w:t>PDWM13UH</w:t>
            </w:r>
          </w:p>
        </w:tc>
      </w:tr>
      <w:tr w14:paraId="71D10E01" w14:textId="77777777" w:rsidTr="000D058B">
        <w:tblPrEx>
          <w:tblW w:w="4225" w:type="dxa"/>
          <w:tblLook w:val="04A0"/>
        </w:tblPrEx>
        <w:tc>
          <w:tcPr>
            <w:tcW w:w="1615" w:type="dxa"/>
          </w:tcPr>
          <w:p w:rsidR="008475A8" w:rsidP="000D058B" w14:paraId="44AD58E1" w14:textId="77777777">
            <w:pPr>
              <w:rPr>
                <w:szCs w:val="22"/>
              </w:rPr>
            </w:pPr>
            <w:r>
              <w:t>27</w:t>
            </w:r>
          </w:p>
        </w:tc>
        <w:tc>
          <w:tcPr>
            <w:tcW w:w="2610" w:type="dxa"/>
          </w:tcPr>
          <w:p w:rsidR="008475A8" w:rsidP="000D058B" w14:paraId="49378408" w14:textId="77777777">
            <w:pPr>
              <w:rPr>
                <w:szCs w:val="22"/>
              </w:rPr>
            </w:pPr>
            <w:r>
              <w:t>PDWM12UH</w:t>
            </w:r>
          </w:p>
        </w:tc>
      </w:tr>
      <w:tr w14:paraId="310ACB2B" w14:textId="77777777" w:rsidTr="000D058B">
        <w:tblPrEx>
          <w:tblW w:w="4225" w:type="dxa"/>
          <w:tblLook w:val="04A0"/>
        </w:tblPrEx>
        <w:tc>
          <w:tcPr>
            <w:tcW w:w="1615" w:type="dxa"/>
          </w:tcPr>
          <w:p w:rsidR="008475A8" w:rsidP="000D058B" w14:paraId="7C133A2A" w14:textId="77777777">
            <w:pPr>
              <w:rPr>
                <w:szCs w:val="22"/>
              </w:rPr>
            </w:pPr>
            <w:r>
              <w:t>28</w:t>
            </w:r>
          </w:p>
        </w:tc>
        <w:tc>
          <w:tcPr>
            <w:tcW w:w="2610" w:type="dxa"/>
          </w:tcPr>
          <w:p w:rsidR="008475A8" w:rsidP="000D058B" w14:paraId="08AB5C91" w14:textId="77777777">
            <w:pPr>
              <w:rPr>
                <w:szCs w:val="22"/>
              </w:rPr>
            </w:pPr>
            <w:r>
              <w:t>PDWM2145</w:t>
            </w:r>
          </w:p>
        </w:tc>
      </w:tr>
      <w:tr w14:paraId="54584DCF" w14:textId="77777777" w:rsidTr="000D058B">
        <w:tblPrEx>
          <w:tblW w:w="4225" w:type="dxa"/>
          <w:tblLook w:val="04A0"/>
        </w:tblPrEx>
        <w:tc>
          <w:tcPr>
            <w:tcW w:w="1615" w:type="dxa"/>
          </w:tcPr>
          <w:p w:rsidR="008475A8" w:rsidP="000D058B" w14:paraId="0620F5B5" w14:textId="77777777">
            <w:pPr>
              <w:rPr>
                <w:szCs w:val="22"/>
              </w:rPr>
            </w:pPr>
            <w:r>
              <w:t>29</w:t>
            </w:r>
          </w:p>
        </w:tc>
        <w:tc>
          <w:tcPr>
            <w:tcW w:w="2610" w:type="dxa"/>
          </w:tcPr>
          <w:p w:rsidR="008475A8" w:rsidP="000D058B" w14:paraId="397EE65D" w14:textId="77777777">
            <w:pPr>
              <w:rPr>
                <w:szCs w:val="22"/>
              </w:rPr>
            </w:pPr>
            <w:r>
              <w:t>PDWM2140</w:t>
            </w:r>
          </w:p>
        </w:tc>
      </w:tr>
      <w:tr w14:paraId="092EE72B" w14:textId="77777777" w:rsidTr="000D058B">
        <w:tblPrEx>
          <w:tblW w:w="4225" w:type="dxa"/>
          <w:tblLook w:val="04A0"/>
        </w:tblPrEx>
        <w:tc>
          <w:tcPr>
            <w:tcW w:w="1615" w:type="dxa"/>
          </w:tcPr>
          <w:p w:rsidR="008475A8" w:rsidP="000D058B" w14:paraId="5AADD7BD" w14:textId="77777777">
            <w:pPr>
              <w:rPr>
                <w:szCs w:val="22"/>
              </w:rPr>
            </w:pPr>
            <w:r>
              <w:t>30</w:t>
            </w:r>
          </w:p>
        </w:tc>
        <w:tc>
          <w:tcPr>
            <w:tcW w:w="2610" w:type="dxa"/>
          </w:tcPr>
          <w:p w:rsidR="008475A8" w:rsidP="000D058B" w14:paraId="5A3A49D2" w14:textId="77777777">
            <w:pPr>
              <w:rPr>
                <w:szCs w:val="22"/>
              </w:rPr>
            </w:pPr>
            <w:r>
              <w:t>PDWM2115</w:t>
            </w:r>
          </w:p>
        </w:tc>
      </w:tr>
      <w:tr w14:paraId="3A2742A3" w14:textId="77777777" w:rsidTr="000D058B">
        <w:tblPrEx>
          <w:tblW w:w="4225" w:type="dxa"/>
          <w:tblLook w:val="04A0"/>
        </w:tblPrEx>
        <w:tc>
          <w:tcPr>
            <w:tcW w:w="1615" w:type="dxa"/>
          </w:tcPr>
          <w:p w:rsidR="008475A8" w:rsidP="000D058B" w14:paraId="676702FB" w14:textId="77777777">
            <w:pPr>
              <w:rPr>
                <w:szCs w:val="22"/>
              </w:rPr>
            </w:pPr>
            <w:r>
              <w:t>31</w:t>
            </w:r>
          </w:p>
        </w:tc>
        <w:tc>
          <w:tcPr>
            <w:tcW w:w="2610" w:type="dxa"/>
          </w:tcPr>
          <w:p w:rsidR="008475A8" w:rsidP="000D058B" w14:paraId="75EA5762" w14:textId="77777777">
            <w:pPr>
              <w:rPr>
                <w:szCs w:val="22"/>
              </w:rPr>
            </w:pPr>
            <w:r>
              <w:t>PDWM8900</w:t>
            </w:r>
          </w:p>
        </w:tc>
      </w:tr>
      <w:tr w14:paraId="703B4F4D" w14:textId="77777777" w:rsidTr="000D058B">
        <w:tblPrEx>
          <w:tblW w:w="4225" w:type="dxa"/>
          <w:tblLook w:val="04A0"/>
        </w:tblPrEx>
        <w:tc>
          <w:tcPr>
            <w:tcW w:w="1615" w:type="dxa"/>
          </w:tcPr>
          <w:p w:rsidR="008475A8" w:rsidP="000D058B" w14:paraId="0F3440C2" w14:textId="77777777">
            <w:pPr>
              <w:rPr>
                <w:szCs w:val="22"/>
              </w:rPr>
            </w:pPr>
            <w:r>
              <w:t>32</w:t>
            </w:r>
          </w:p>
        </w:tc>
        <w:tc>
          <w:tcPr>
            <w:tcW w:w="2610" w:type="dxa"/>
          </w:tcPr>
          <w:p w:rsidR="008475A8" w:rsidP="000D058B" w14:paraId="62A50846" w14:textId="77777777">
            <w:pPr>
              <w:rPr>
                <w:szCs w:val="22"/>
              </w:rPr>
            </w:pPr>
            <w:r>
              <w:t>PDWM2130</w:t>
            </w:r>
          </w:p>
        </w:tc>
      </w:tr>
    </w:tbl>
    <w:p w:rsidR="008475A8" w:rsidP="008475A8" w14:paraId="2E5E3010" w14:textId="77777777">
      <w:pPr>
        <w:rPr>
          <w:szCs w:val="22"/>
        </w:rPr>
      </w:pPr>
    </w:p>
    <w:p w:rsidR="00412FC5" w:rsidRPr="008475A8" w:rsidP="008475A8" w14:paraId="6E66AFA6" w14:textId="77777777"/>
    <w:sectPr w:rsidSect="00D609FD">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5A8" w:rsidP="009E64A3" w14:paraId="6D0152F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475A8" w14:paraId="66D856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5A8" w14:paraId="0D15E23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5A8" w14:paraId="250121E8"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3D8F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AF462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DB772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AEE0A7"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609FD" w14:paraId="598FA03E" w14:textId="77777777">
    <w:pPr>
      <w:pStyle w:val="Footer"/>
      <w:jc w:val="center"/>
    </w:pPr>
    <w:r>
      <w:fldChar w:fldCharType="begin"/>
    </w:r>
    <w:r>
      <w:instrText xml:space="preserve"> PAGE   \* MERGEFORMAT </w:instrText>
    </w:r>
    <w:r>
      <w:fldChar w:fldCharType="separate"/>
    </w:r>
    <w: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0762" w14:paraId="75FD4023" w14:textId="77777777">
      <w:r>
        <w:separator/>
      </w:r>
    </w:p>
  </w:footnote>
  <w:footnote w:type="continuationSeparator" w:id="1">
    <w:p w:rsidR="007B0762" w:rsidP="00C721AC" w14:paraId="02E50612" w14:textId="77777777">
      <w:pPr>
        <w:spacing w:before="120"/>
        <w:rPr>
          <w:sz w:val="20"/>
        </w:rPr>
      </w:pPr>
      <w:r>
        <w:rPr>
          <w:sz w:val="20"/>
        </w:rPr>
        <w:t xml:space="preserve">(Continued from previous page)  </w:t>
      </w:r>
      <w:r>
        <w:rPr>
          <w:sz w:val="20"/>
        </w:rPr>
        <w:separator/>
      </w:r>
    </w:p>
  </w:footnote>
  <w:footnote w:type="continuationNotice" w:id="2">
    <w:p w:rsidR="007B0762" w:rsidP="00C721AC" w14:paraId="0C06A648" w14:textId="77777777">
      <w:pPr>
        <w:jc w:val="right"/>
        <w:rPr>
          <w:sz w:val="20"/>
        </w:rPr>
      </w:pPr>
      <w:r>
        <w:rPr>
          <w:sz w:val="20"/>
        </w:rPr>
        <w:t>(continued….)</w:t>
      </w:r>
    </w:p>
  </w:footnote>
  <w:footnote w:id="3">
    <w:p w:rsidR="008475A8" w:rsidRPr="008C1091" w:rsidP="008475A8" w14:paraId="746D6B56" w14:textId="77777777">
      <w:pPr>
        <w:pStyle w:val="FootnoteText"/>
      </w:pPr>
      <w:r w:rsidRPr="008C1091">
        <w:rPr>
          <w:rStyle w:val="FootnoteReference"/>
        </w:rPr>
        <w:footnoteRef/>
      </w:r>
      <w:r w:rsidRPr="008C1091">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8475A8" w:rsidRPr="008C1091" w:rsidP="008475A8" w14:paraId="24BBC226" w14:textId="77777777">
      <w:pPr>
        <w:pStyle w:val="FootnoteText"/>
      </w:pPr>
      <w:r w:rsidRPr="008C1091">
        <w:rPr>
          <w:rStyle w:val="FootnoteReference"/>
        </w:rPr>
        <w:footnoteRef/>
      </w:r>
      <w:r w:rsidRPr="008C1091">
        <w:t xml:space="preserve"> </w:t>
      </w:r>
      <w:r w:rsidRPr="008C1091">
        <w:rPr>
          <w:i/>
        </w:rPr>
        <w:t>See Sound Around Inc.</w:t>
      </w:r>
      <w:r w:rsidRPr="008C1091">
        <w:t xml:space="preserve">, Citation, 26 FCC </w:t>
      </w:r>
      <w:r w:rsidRPr="008C1091">
        <w:t>Rcd</w:t>
      </w:r>
      <w:r w:rsidRPr="008C1091">
        <w:t xml:space="preserve"> 9474 (EB 2011) (</w:t>
      </w:r>
      <w:r w:rsidRPr="003E7B0F">
        <w:rPr>
          <w:i/>
          <w:iCs/>
        </w:rPr>
        <w:t>Marketing Citation</w:t>
      </w:r>
      <w:r w:rsidRPr="008C1091">
        <w:t>).</w:t>
      </w:r>
    </w:p>
  </w:footnote>
  <w:footnote w:id="5">
    <w:p w:rsidR="008475A8" w:rsidRPr="008C1091" w:rsidP="008475A8" w14:paraId="5213E1AD" w14:textId="77777777">
      <w:pPr>
        <w:pStyle w:val="FootnoteText"/>
      </w:pPr>
      <w:r w:rsidRPr="008C1091">
        <w:rPr>
          <w:rStyle w:val="FootnoteReference"/>
        </w:rPr>
        <w:footnoteRef/>
      </w:r>
      <w:r w:rsidRPr="008C1091">
        <w:t xml:space="preserve"> 47 U.S.C. § 302a(b).  </w:t>
      </w:r>
    </w:p>
  </w:footnote>
  <w:footnote w:id="6">
    <w:p w:rsidR="008475A8" w:rsidRPr="008C1091" w:rsidP="008475A8" w14:paraId="5FC59AB0" w14:textId="77777777">
      <w:pPr>
        <w:pStyle w:val="FootnoteText"/>
      </w:pPr>
      <w:r w:rsidRPr="008C1091">
        <w:rPr>
          <w:rStyle w:val="FootnoteReference"/>
        </w:rPr>
        <w:footnoteRef/>
      </w:r>
      <w:r w:rsidRPr="008C1091">
        <w:t xml:space="preserve"> 47 CFR § 2.803(b)(1)</w:t>
      </w:r>
      <w:r>
        <w:t xml:space="preserve">.  </w:t>
      </w:r>
    </w:p>
  </w:footnote>
  <w:footnote w:id="7">
    <w:p w:rsidR="008475A8" w:rsidRPr="008C1091" w:rsidP="008475A8" w14:paraId="3ACC40E8" w14:textId="77777777">
      <w:pPr>
        <w:pStyle w:val="FootnoteText"/>
      </w:pPr>
      <w:r w:rsidRPr="008C1091">
        <w:rPr>
          <w:rStyle w:val="FootnoteReference"/>
        </w:rPr>
        <w:footnoteRef/>
      </w:r>
      <w:r w:rsidRPr="008C1091">
        <w:t xml:space="preserve"> </w:t>
      </w:r>
      <w:r w:rsidRPr="00893647">
        <w:rPr>
          <w:i/>
          <w:iCs/>
        </w:rPr>
        <w:t>Id</w:t>
      </w:r>
      <w:r>
        <w:t>.</w:t>
      </w:r>
      <w:r w:rsidRPr="008C1091">
        <w:t xml:space="preserve"> §</w:t>
      </w:r>
      <w:r>
        <w:t xml:space="preserve"> </w:t>
      </w:r>
      <w:r w:rsidRPr="008C1091">
        <w:t>74.851(f).  The Commission’s certification procedures are described in sections 2.1031-2.1060 of the Commission’s rules.</w:t>
      </w:r>
    </w:p>
  </w:footnote>
  <w:footnote w:id="8">
    <w:p w:rsidR="008475A8" w:rsidP="008475A8" w14:paraId="48E2DE7F" w14:textId="77777777">
      <w:pPr>
        <w:pStyle w:val="FootnoteText"/>
      </w:pPr>
      <w:r>
        <w:rPr>
          <w:rStyle w:val="FootnoteReference"/>
        </w:rPr>
        <w:footnoteRef/>
      </w:r>
      <w:r>
        <w:t xml:space="preserve"> </w:t>
      </w:r>
      <w:r w:rsidRPr="008C1091">
        <w:rPr>
          <w:i/>
        </w:rPr>
        <w:t>See</w:t>
      </w:r>
      <w:r w:rsidRPr="008C1091">
        <w:t xml:space="preserve"> </w:t>
      </w:r>
      <w:r w:rsidRPr="000747FA">
        <w:rPr>
          <w:i/>
          <w:iCs/>
        </w:rPr>
        <w:t>id</w:t>
      </w:r>
      <w:r>
        <w:t>.</w:t>
      </w:r>
      <w:r w:rsidRPr="008C1091">
        <w:t xml:space="preserve"> § 2.803(a).</w:t>
      </w:r>
    </w:p>
  </w:footnote>
  <w:footnote w:id="9">
    <w:p w:rsidR="008475A8" w:rsidRPr="008C1091" w:rsidP="008475A8" w14:paraId="427E7C49" w14:textId="77777777">
      <w:pPr>
        <w:pStyle w:val="FootnoteText"/>
      </w:pPr>
      <w:r w:rsidRPr="008C1091">
        <w:rPr>
          <w:rStyle w:val="FootnoteReference"/>
        </w:rPr>
        <w:footnoteRef/>
      </w:r>
      <w:r w:rsidRPr="008C1091">
        <w:t xml:space="preserve"> </w:t>
      </w:r>
      <w:r w:rsidRPr="008C1091">
        <w:rPr>
          <w:i/>
        </w:rPr>
        <w:t>See generally Promoting Spectrum Access for Wireless Microphone Operations</w:t>
      </w:r>
      <w:r>
        <w:rPr>
          <w:i/>
        </w:rPr>
        <w:t>,</w:t>
      </w:r>
      <w:r w:rsidRPr="008C1091">
        <w:rPr>
          <w:i/>
        </w:rPr>
        <w:t xml:space="preserve"> Expanding the Economic and Innovation Opportunities of Spectrum Through Incentive Auctions</w:t>
      </w:r>
      <w:r w:rsidRPr="008C1091">
        <w:t xml:space="preserve">, </w:t>
      </w:r>
      <w:r>
        <w:t>Report and Order</w:t>
      </w:r>
      <w:r w:rsidRPr="008C1091">
        <w:t xml:space="preserve">, </w:t>
      </w:r>
      <w:r>
        <w:t>30</w:t>
      </w:r>
      <w:r w:rsidRPr="008C1091">
        <w:t xml:space="preserve"> FCC </w:t>
      </w:r>
      <w:r w:rsidRPr="008C1091">
        <w:t>Rcd</w:t>
      </w:r>
      <w:r w:rsidRPr="008C1091">
        <w:t xml:space="preserve"> </w:t>
      </w:r>
      <w:r>
        <w:t>8739</w:t>
      </w:r>
      <w:r w:rsidRPr="008C1091">
        <w:t xml:space="preserve">, </w:t>
      </w:r>
      <w:r>
        <w:t>8741-43</w:t>
      </w:r>
      <w:r w:rsidRPr="008C1091">
        <w:t xml:space="preserve">, paras. </w:t>
      </w:r>
      <w:r>
        <w:t>4-8</w:t>
      </w:r>
      <w:r w:rsidRPr="008C1091">
        <w:t xml:space="preserve"> (201</w:t>
      </w:r>
      <w:r>
        <w:t>5</w:t>
      </w:r>
      <w:r w:rsidRPr="008C1091">
        <w:t>) (general discussion of wireless microphones) (</w:t>
      </w:r>
      <w:r w:rsidRPr="008C1091">
        <w:rPr>
          <w:i/>
        </w:rPr>
        <w:t xml:space="preserve">Wireless Microphones </w:t>
      </w:r>
      <w:r>
        <w:rPr>
          <w:i/>
        </w:rPr>
        <w:t>R&amp;0</w:t>
      </w:r>
      <w:r w:rsidRPr="008C1091">
        <w:t xml:space="preserve">).  </w:t>
      </w:r>
    </w:p>
  </w:footnote>
  <w:footnote w:id="10">
    <w:p w:rsidR="008475A8" w:rsidRPr="008C1091" w:rsidP="008475A8" w14:paraId="0972E7AC" w14:textId="77777777">
      <w:pPr>
        <w:pStyle w:val="FootnoteText"/>
      </w:pPr>
      <w:r w:rsidRPr="008C1091">
        <w:rPr>
          <w:rStyle w:val="FootnoteReference"/>
        </w:rPr>
        <w:footnoteRef/>
      </w:r>
      <w:r w:rsidRPr="008C1091">
        <w:t xml:space="preserve"> </w:t>
      </w:r>
      <w:r w:rsidRPr="008C1091">
        <w:rPr>
          <w:i/>
        </w:rPr>
        <w:t>See Wireless Microphones R&amp;O</w:t>
      </w:r>
      <w:r w:rsidRPr="008C1091">
        <w:t xml:space="preserve">, 30 FCC </w:t>
      </w:r>
      <w:r w:rsidRPr="008C1091">
        <w:t>Rcd</w:t>
      </w:r>
      <w:r w:rsidRPr="008C1091">
        <w:t xml:space="preserve"> 8739</w:t>
      </w:r>
      <w:r>
        <w:t xml:space="preserve"> (revising rules pertaining to licensed wireless microphones, including those regulated as “low power auxiliary stations” under part 74  of the Commission’s rules)</w:t>
      </w:r>
      <w:r w:rsidRPr="008C1091">
        <w:t xml:space="preserve">; </w:t>
      </w:r>
      <w:r w:rsidRPr="008C1091">
        <w:rPr>
          <w:i/>
        </w:rPr>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 Expanding the Economic and Innovation Opportunities of Spectrum Through incentive Auctions</w:t>
      </w:r>
      <w:r w:rsidRPr="008C1091">
        <w:t xml:space="preserve">, Report and Order, 30 FCC </w:t>
      </w:r>
      <w:r w:rsidRPr="008C1091">
        <w:t>Rcd</w:t>
      </w:r>
      <w:r w:rsidRPr="008C1091">
        <w:t xml:space="preserve"> 9551 (2015) (</w:t>
      </w:r>
      <w:r w:rsidRPr="008C1091">
        <w:rPr>
          <w:i/>
        </w:rPr>
        <w:t>TV Bands Part 15 R&amp;O</w:t>
      </w:r>
      <w:r w:rsidRPr="008C1091">
        <w:t>)</w:t>
      </w:r>
      <w:r>
        <w:t xml:space="preserve"> (addressing unlicensed wireless microphones regulated under part 15 of the Commission’s rules)</w:t>
      </w:r>
      <w:r w:rsidRPr="008C1091">
        <w:t>.</w:t>
      </w:r>
    </w:p>
  </w:footnote>
  <w:footnote w:id="11">
    <w:p w:rsidR="008475A8" w:rsidP="008475A8" w14:paraId="182E5B39" w14:textId="77777777">
      <w:pPr>
        <w:pStyle w:val="FootnoteText"/>
      </w:pPr>
      <w:r>
        <w:rPr>
          <w:rStyle w:val="FootnoteReference"/>
        </w:rPr>
        <w:footnoteRef/>
      </w:r>
      <w:r>
        <w:t xml:space="preserve"> 47 CFR §§ 2.106, 87.173.  </w:t>
      </w:r>
    </w:p>
  </w:footnote>
  <w:footnote w:id="12">
    <w:p w:rsidR="008475A8" w:rsidP="008475A8" w14:paraId="456E53DA" w14:textId="77777777">
      <w:pPr>
        <w:pStyle w:val="FootnoteText"/>
      </w:pPr>
      <w:r>
        <w:rPr>
          <w:rStyle w:val="FootnoteReference"/>
        </w:rPr>
        <w:footnoteRef/>
      </w:r>
      <w:r>
        <w:t xml:space="preserve"> </w:t>
      </w:r>
      <w:r w:rsidRPr="00194E04">
        <w:rPr>
          <w:i/>
        </w:rPr>
        <w:t>See e.g.</w:t>
      </w:r>
      <w:r>
        <w:t xml:space="preserve">, Federal Aviation Administration, </w:t>
      </w:r>
      <w:r w:rsidRPr="00EF0836">
        <w:rPr>
          <w:i/>
        </w:rPr>
        <w:t>Spectrum Engineering &amp; Policy - Radio Frequency Bands Supporting Aviation</w:t>
      </w:r>
      <w:r>
        <w:t xml:space="preserve">, </w:t>
      </w:r>
      <w:hyperlink r:id="rId1" w:history="1">
        <w:r w:rsidRPr="003047D3">
          <w:rPr>
            <w:rStyle w:val="Hyperlink"/>
          </w:rPr>
          <w:t>https://www.faa.gov/about/office_org/headquarters_offices/ato/service_units/techops/safety_ops_support/spec_management/engineering_office/rfb.cfm</w:t>
        </w:r>
      </w:hyperlink>
      <w:r>
        <w:t xml:space="preserve"> (last visited Feb. 19, 2020).  </w:t>
      </w:r>
    </w:p>
  </w:footnote>
  <w:footnote w:id="13">
    <w:p w:rsidR="008475A8" w:rsidP="008475A8" w14:paraId="3493AA3D" w14:textId="77777777">
      <w:pPr>
        <w:pStyle w:val="FootnoteText"/>
      </w:pPr>
      <w:r>
        <w:rPr>
          <w:rStyle w:val="FootnoteReference"/>
        </w:rPr>
        <w:footnoteRef/>
      </w:r>
      <w:r>
        <w:t xml:space="preserve"> 47 CFR § 74.802(a) (licensed wireless microphones); § 15.236 (unlicensed wireless microphones). </w:t>
      </w:r>
    </w:p>
  </w:footnote>
  <w:footnote w:id="14">
    <w:p w:rsidR="008475A8" w:rsidRPr="008C1091" w:rsidP="008475A8" w14:paraId="1FF6AA0C" w14:textId="77777777">
      <w:pPr>
        <w:pStyle w:val="FootnoteText"/>
      </w:pPr>
      <w:r w:rsidRPr="008C1091">
        <w:rPr>
          <w:rStyle w:val="FootnoteReference"/>
        </w:rPr>
        <w:footnoteRef/>
      </w:r>
      <w:r w:rsidRPr="008C1091">
        <w:t xml:space="preserve"> </w:t>
      </w:r>
      <w:r w:rsidRPr="008C1091">
        <w:rPr>
          <w:i/>
          <w:color w:val="000000"/>
        </w:rPr>
        <w:t xml:space="preserve">See </w:t>
      </w:r>
      <w:r w:rsidRPr="008C1091">
        <w:rPr>
          <w:color w:val="000000"/>
        </w:rPr>
        <w:t xml:space="preserve">Letter from Max Moskowitz, Esq., Counsel to Sound Around, Inc, </w:t>
      </w:r>
      <w:r w:rsidRPr="008C1091">
        <w:rPr>
          <w:color w:val="000000"/>
        </w:rPr>
        <w:t>Ostrolenk</w:t>
      </w:r>
      <w:r w:rsidRPr="008C1091">
        <w:rPr>
          <w:color w:val="000000"/>
        </w:rPr>
        <w:t xml:space="preserve"> Faber LLP, to Aspasia A. Paroutsas, </w:t>
      </w:r>
      <w:r w:rsidRPr="008C1091">
        <w:t xml:space="preserve">Chief, Spectrum Enforcement Division, FCC Enforcement Bureau, at 4 (Sept. 1, 2017) (on file in EB-SED-17-00024010) (September 1st Response).  </w:t>
      </w:r>
    </w:p>
  </w:footnote>
  <w:footnote w:id="15">
    <w:p w:rsidR="008475A8" w:rsidRPr="008C1091" w:rsidP="008475A8" w14:paraId="54E65790" w14:textId="77777777">
      <w:pPr>
        <w:pStyle w:val="FootnoteText"/>
      </w:pPr>
      <w:r w:rsidRPr="008C1091">
        <w:rPr>
          <w:rStyle w:val="FootnoteReference"/>
        </w:rPr>
        <w:footnoteRef/>
      </w:r>
      <w:r w:rsidRPr="008C1091">
        <w:t xml:space="preserve"> The </w:t>
      </w:r>
      <w:r>
        <w:t>Division</w:t>
      </w:r>
      <w:r w:rsidRPr="008C1091">
        <w:t xml:space="preserve">’s investigation has revealed that Sound Around products are being marketed on the websites of Best Buy and Office Depot.  </w:t>
      </w:r>
      <w:r w:rsidRPr="008C1091">
        <w:rPr>
          <w:i/>
        </w:rPr>
        <w:t>See, e.g.</w:t>
      </w:r>
      <w:r w:rsidRPr="008C1091">
        <w:t xml:space="preserve">, </w:t>
      </w:r>
      <w:r w:rsidRPr="008C1091">
        <w:rPr>
          <w:i/>
        </w:rPr>
        <w:t>Office Depot</w:t>
      </w:r>
      <w:r w:rsidRPr="008C1091">
        <w:t>, Pyle PDWM4300 Wireless Microphone System</w:t>
      </w:r>
      <w:r>
        <w:t xml:space="preserve">, </w:t>
      </w:r>
      <w:hyperlink r:id="rId2" w:history="1">
        <w:r w:rsidRPr="00C9268C">
          <w:rPr>
            <w:color w:val="0000FF"/>
            <w:u w:val="single"/>
          </w:rPr>
          <w:t>https://www.officedepot.com/a/products/121839/Pyle-PDWM4300-Wireless-Microphone-System-169MHz/</w:t>
        </w:r>
      </w:hyperlink>
      <w:r w:rsidRPr="008C1091">
        <w:t xml:space="preserve"> (last visited Jan. 17, 2020) (screenshot on file in EB-SED-17-00024010).  </w:t>
      </w:r>
    </w:p>
  </w:footnote>
  <w:footnote w:id="16">
    <w:p w:rsidR="008475A8" w:rsidRPr="008C1091" w:rsidP="008475A8" w14:paraId="23BA1AE9" w14:textId="77777777">
      <w:pPr>
        <w:pStyle w:val="FootnoteText"/>
      </w:pPr>
      <w:r w:rsidRPr="008C1091">
        <w:rPr>
          <w:rStyle w:val="FootnoteReference"/>
        </w:rPr>
        <w:footnoteRef/>
      </w:r>
      <w:r w:rsidRPr="008C1091">
        <w:t xml:space="preserve"> </w:t>
      </w:r>
      <w:r w:rsidRPr="003E7B0F">
        <w:rPr>
          <w:i/>
          <w:iCs/>
        </w:rPr>
        <w:t>Marketing Citation</w:t>
      </w:r>
      <w:r w:rsidRPr="008C1091">
        <w:t xml:space="preserve">, 26 FCC </w:t>
      </w:r>
      <w:r w:rsidRPr="008C1091">
        <w:t>Rcd</w:t>
      </w:r>
      <w:r w:rsidRPr="008C1091">
        <w:t xml:space="preserve"> at 9475, para. 4.</w:t>
      </w:r>
      <w:r>
        <w:t xml:space="preserve">  The </w:t>
      </w:r>
      <w:r w:rsidRPr="003E7B0F">
        <w:rPr>
          <w:i/>
          <w:iCs/>
        </w:rPr>
        <w:t>Marketing Citation</w:t>
      </w:r>
      <w:r>
        <w:t xml:space="preserve"> noted that Sound Around engaged in unlawful marketing in 2009, 2010, and 2011.  </w:t>
      </w:r>
      <w:r w:rsidRPr="00F41FF3">
        <w:rPr>
          <w:i/>
          <w:iCs/>
        </w:rPr>
        <w:t>Id</w:t>
      </w:r>
      <w:r>
        <w:t xml:space="preserve">., </w:t>
      </w:r>
      <w:r w:rsidRPr="008C1091">
        <w:t xml:space="preserve">26 FCC </w:t>
      </w:r>
      <w:r w:rsidRPr="008C1091">
        <w:t>Rcd</w:t>
      </w:r>
      <w:r w:rsidRPr="008C1091">
        <w:t xml:space="preserve"> at 9475</w:t>
      </w:r>
      <w:r>
        <w:t>-76</w:t>
      </w:r>
      <w:r w:rsidRPr="008C1091">
        <w:t>, para</w:t>
      </w:r>
      <w:r>
        <w:t>s</w:t>
      </w:r>
      <w:r w:rsidRPr="008C1091">
        <w:t>. 4</w:t>
      </w:r>
      <w:r>
        <w:t xml:space="preserve">-6.  </w:t>
      </w:r>
    </w:p>
  </w:footnote>
  <w:footnote w:id="17">
    <w:p w:rsidR="008475A8" w:rsidRPr="008C1091" w:rsidP="008475A8" w14:paraId="35A73031" w14:textId="77777777">
      <w:pPr>
        <w:pStyle w:val="FootnoteText"/>
        <w:rPr>
          <w:color w:val="000000"/>
        </w:rPr>
      </w:pPr>
      <w:r w:rsidRPr="008C1091">
        <w:rPr>
          <w:rStyle w:val="FootnoteReference"/>
          <w:color w:val="000000"/>
        </w:rPr>
        <w:footnoteRef/>
      </w:r>
      <w:r w:rsidRPr="008C1091">
        <w:rPr>
          <w:color w:val="000000"/>
        </w:rPr>
        <w:t xml:space="preserve"> 47 U.S.C. § 302a(b).  </w:t>
      </w:r>
    </w:p>
  </w:footnote>
  <w:footnote w:id="18">
    <w:p w:rsidR="008475A8" w:rsidRPr="008C1091" w:rsidP="008475A8" w14:paraId="69F08F94" w14:textId="77777777">
      <w:pPr>
        <w:pStyle w:val="FootnoteText"/>
      </w:pPr>
      <w:r w:rsidRPr="008C1091">
        <w:rPr>
          <w:rStyle w:val="FootnoteReference"/>
        </w:rPr>
        <w:footnoteRef/>
      </w:r>
      <w:r w:rsidRPr="008C1091">
        <w:t xml:space="preserve"> 47 CFR §§ 2.803, 15.205(a), 74.851(g).</w:t>
      </w:r>
    </w:p>
  </w:footnote>
  <w:footnote w:id="19">
    <w:p w:rsidR="008475A8" w:rsidRPr="00BE7E95" w:rsidP="008475A8" w14:paraId="4CC1216B" w14:textId="77777777">
      <w:pPr>
        <w:pStyle w:val="FootnoteText"/>
      </w:pPr>
      <w:r>
        <w:rPr>
          <w:rStyle w:val="FootnoteReference"/>
        </w:rPr>
        <w:footnoteRef/>
      </w:r>
      <w:r>
        <w:t xml:space="preserve"> </w:t>
      </w:r>
      <w:r>
        <w:rPr>
          <w:i/>
          <w:iCs/>
        </w:rPr>
        <w:t>See</w:t>
      </w:r>
      <w:r>
        <w:t xml:space="preserve"> </w:t>
      </w:r>
      <w:r w:rsidRPr="00893647">
        <w:rPr>
          <w:i/>
          <w:iCs/>
        </w:rPr>
        <w:t>id</w:t>
      </w:r>
      <w:r>
        <w:t xml:space="preserve">. § 15.205.  Some frequency bands are designated as “restricted frequency bands” because they need extraordinary protection from interference.  For instance, frequency bands used for radio astronomy depend on extremely sensitive receivers, and other frequency bands carry signals essential to public safety, like search-and-rescue bands and GPS.    </w:t>
      </w:r>
    </w:p>
  </w:footnote>
  <w:footnote w:id="20">
    <w:p w:rsidR="008475A8" w:rsidRPr="008C1091" w:rsidP="008475A8" w14:paraId="282BDAFE" w14:textId="77777777">
      <w:pPr>
        <w:pStyle w:val="FootnoteText"/>
      </w:pPr>
      <w:r w:rsidRPr="008C1091">
        <w:rPr>
          <w:rStyle w:val="FootnoteReference"/>
        </w:rPr>
        <w:footnoteRef/>
      </w:r>
      <w:r w:rsidRPr="008C1091">
        <w:t xml:space="preserve"> </w:t>
      </w:r>
      <w:r w:rsidRPr="003E7B0F">
        <w:rPr>
          <w:i/>
          <w:iCs/>
        </w:rPr>
        <w:t>Marketing Citation</w:t>
      </w:r>
      <w:r w:rsidRPr="008C1091">
        <w:t xml:space="preserve">, 26 FCC </w:t>
      </w:r>
      <w:r w:rsidRPr="008C1091">
        <w:t>Rcd</w:t>
      </w:r>
      <w:r w:rsidRPr="008C1091">
        <w:t xml:space="preserve"> at 9475, para. 9.</w:t>
      </w:r>
    </w:p>
  </w:footnote>
  <w:footnote w:id="21">
    <w:p w:rsidR="008475A8" w:rsidP="008475A8" w14:paraId="357D02F0" w14:textId="77777777">
      <w:pPr>
        <w:pStyle w:val="FootnoteText"/>
      </w:pPr>
      <w:r>
        <w:rPr>
          <w:rStyle w:val="FootnoteReference"/>
        </w:rPr>
        <w:footnoteRef/>
      </w:r>
      <w:r>
        <w:t xml:space="preserve"> </w:t>
      </w:r>
      <w:r w:rsidRPr="003E7B0F">
        <w:rPr>
          <w:i/>
          <w:iCs/>
        </w:rPr>
        <w:t>Marketing Citation</w:t>
      </w:r>
      <w:r>
        <w:t xml:space="preserve">, </w:t>
      </w:r>
      <w:r w:rsidRPr="008C1091">
        <w:t xml:space="preserve">26 FCC </w:t>
      </w:r>
      <w:r w:rsidRPr="008C1091">
        <w:t>Rcd</w:t>
      </w:r>
      <w:r w:rsidRPr="008C1091">
        <w:t xml:space="preserve"> at 947</w:t>
      </w:r>
      <w:r>
        <w:t>4</w:t>
      </w:r>
      <w:r w:rsidRPr="008C1091">
        <w:t xml:space="preserve">, para. </w:t>
      </w:r>
      <w:r>
        <w:t>2</w:t>
      </w:r>
      <w:r w:rsidRPr="008C1091">
        <w:t>.</w:t>
      </w:r>
    </w:p>
  </w:footnote>
  <w:footnote w:id="22">
    <w:p w:rsidR="008475A8" w:rsidRPr="008C1091" w:rsidP="008475A8" w14:paraId="17E681AA" w14:textId="77777777">
      <w:pPr>
        <w:pStyle w:val="FootnoteText"/>
        <w:tabs>
          <w:tab w:val="left" w:pos="0"/>
        </w:tabs>
      </w:pPr>
      <w:r w:rsidRPr="008C1091">
        <w:rPr>
          <w:rStyle w:val="FootnoteReference"/>
        </w:rPr>
        <w:footnoteRef/>
      </w:r>
      <w:r w:rsidRPr="008C1091">
        <w:t xml:space="preserve"> </w:t>
      </w:r>
      <w:r w:rsidRPr="008C1091">
        <w:rPr>
          <w:i/>
        </w:rPr>
        <w:t>See</w:t>
      </w:r>
      <w:r w:rsidRPr="008C1091">
        <w:t xml:space="preserve"> Letter from Aspasia A. Paroutsas, Chief, Spectrum Enforcement Division, FCC Enforcement Bureau, to Abe Brach, President, Pyle Audio, Inc. (June 6, 2017) (on file in EB-SED-17-00024010).  The LOI was addressed to Pyle Audio.  The Division was subsequently informed that “Pyle” is a registered trademark of Sound Around, Inc., which imports Pyle Audio brand products.</w:t>
      </w:r>
      <w:r>
        <w:t xml:space="preserve">  </w:t>
      </w:r>
      <w:r>
        <w:rPr>
          <w:i/>
          <w:iCs/>
        </w:rPr>
        <w:t xml:space="preserve">See </w:t>
      </w:r>
      <w:r>
        <w:t>September 1</w:t>
      </w:r>
      <w:r w:rsidRPr="00AB5B8F">
        <w:rPr>
          <w:vertAlign w:val="superscript"/>
        </w:rPr>
        <w:t>st</w:t>
      </w:r>
      <w:r>
        <w:t xml:space="preserve"> Response at 3.</w:t>
      </w:r>
    </w:p>
  </w:footnote>
  <w:footnote w:id="23">
    <w:p w:rsidR="008475A8" w:rsidRPr="008C1091" w:rsidP="008475A8" w14:paraId="01090D62" w14:textId="77777777">
      <w:pPr>
        <w:pStyle w:val="FootnoteText"/>
      </w:pPr>
      <w:r w:rsidRPr="008C1091">
        <w:rPr>
          <w:rStyle w:val="FootnoteReference"/>
        </w:rPr>
        <w:footnoteRef/>
      </w:r>
      <w:r w:rsidRPr="008C1091">
        <w:t xml:space="preserve"> </w:t>
      </w:r>
      <w:r w:rsidRPr="008C1091">
        <w:rPr>
          <w:i/>
        </w:rPr>
        <w:t xml:space="preserve">See </w:t>
      </w:r>
      <w:r w:rsidRPr="008C1091">
        <w:t xml:space="preserve">E-mail from Sol Row, Legal Dept., Pyle Audio, to Gabriel Collazo, </w:t>
      </w:r>
      <w:r w:rsidRPr="008C1091">
        <w:rPr>
          <w:color w:val="000000"/>
        </w:rPr>
        <w:t>Electronics Engineer, Spectrum Enforcement Division, FCC Enforcement Bureau. (July 11, 2017, 15:15 ET) (on file in EB-SED-</w:t>
      </w:r>
      <w:r w:rsidRPr="008C1091">
        <w:t xml:space="preserve">17-00024010).  </w:t>
      </w:r>
    </w:p>
  </w:footnote>
  <w:footnote w:id="24">
    <w:p w:rsidR="008475A8" w:rsidRPr="008C1091" w:rsidP="008475A8" w14:paraId="53532C09" w14:textId="77777777">
      <w:pPr>
        <w:pStyle w:val="FootnoteText"/>
      </w:pPr>
      <w:r w:rsidRPr="008C1091">
        <w:rPr>
          <w:rStyle w:val="FootnoteReference"/>
        </w:rPr>
        <w:footnoteRef/>
      </w:r>
      <w:r w:rsidRPr="008C1091">
        <w:t xml:space="preserve"> </w:t>
      </w:r>
      <w:r w:rsidRPr="008C1091">
        <w:rPr>
          <w:i/>
        </w:rPr>
        <w:t xml:space="preserve">See </w:t>
      </w:r>
      <w:r w:rsidRPr="008C1091">
        <w:rPr>
          <w:color w:val="000000"/>
        </w:rPr>
        <w:t>E-mail from Gabriel Collazo, Electronics Engineer, Spectrum Enforcement Division, FCC Enforcement Bureau, to Sol Row, Legal Dept., Pyle Audio, Inc. (July 12, 2017, 17:57 ET) (on file in EB-SED-</w:t>
      </w:r>
      <w:r w:rsidRPr="008C1091">
        <w:t>17-00024010</w:t>
      </w:r>
      <w:r w:rsidRPr="008C1091">
        <w:rPr>
          <w:color w:val="000000"/>
        </w:rPr>
        <w:t xml:space="preserve">).  </w:t>
      </w:r>
    </w:p>
  </w:footnote>
  <w:footnote w:id="25">
    <w:p w:rsidR="008475A8" w:rsidRPr="008C1091" w:rsidP="008475A8" w14:paraId="38CD4165" w14:textId="77777777">
      <w:pPr>
        <w:pStyle w:val="FootnoteText"/>
      </w:pPr>
      <w:r w:rsidRPr="008C1091">
        <w:rPr>
          <w:rStyle w:val="FootnoteReference"/>
        </w:rPr>
        <w:footnoteRef/>
      </w:r>
      <w:r w:rsidRPr="008C1091">
        <w:t xml:space="preserve"> </w:t>
      </w:r>
      <w:r w:rsidRPr="00AA6B9C">
        <w:rPr>
          <w:i/>
        </w:rPr>
        <w:t>See</w:t>
      </w:r>
      <w:r w:rsidRPr="00AA6B9C">
        <w:t xml:space="preserve"> </w:t>
      </w:r>
      <w:r w:rsidRPr="008C1091">
        <w:t>September 1st Response;</w:t>
      </w:r>
      <w:r w:rsidRPr="008C1091">
        <w:rPr>
          <w:color w:val="000000"/>
        </w:rPr>
        <w:t xml:space="preserve"> E-mail from Max Moskowitz, Esq., Counsel to Sound Around, Inc, </w:t>
      </w:r>
      <w:r w:rsidRPr="008C1091">
        <w:rPr>
          <w:color w:val="000000"/>
        </w:rPr>
        <w:t>Ostrolenk</w:t>
      </w:r>
      <w:r w:rsidRPr="008C1091">
        <w:rPr>
          <w:color w:val="000000"/>
        </w:rPr>
        <w:t xml:space="preserve"> Faber LLP, to Aspasia A. Paroutsas, </w:t>
      </w:r>
      <w:r w:rsidRPr="008C1091">
        <w:t>Chief, Spectrum Enforcement Division, FCC Enforcement Bureau (Sept. 19, 2017</w:t>
      </w:r>
      <w:r w:rsidRPr="008C1091">
        <w:rPr>
          <w:color w:val="000000"/>
        </w:rPr>
        <w:t>, 8:46 ET) (on file in EB-SED-</w:t>
      </w:r>
      <w:r w:rsidRPr="008C1091">
        <w:t>17-00024010</w:t>
      </w:r>
      <w:r w:rsidRPr="008C1091">
        <w:rPr>
          <w:color w:val="000000"/>
        </w:rPr>
        <w:t>)</w:t>
      </w:r>
      <w:r w:rsidRPr="008C1091">
        <w:t>;</w:t>
      </w:r>
      <w:r w:rsidRPr="008C1091">
        <w:rPr>
          <w:i/>
        </w:rPr>
        <w:t xml:space="preserve"> </w:t>
      </w:r>
      <w:r w:rsidRPr="008C1091">
        <w:t xml:space="preserve">E-mail from Steve Coran, Esq., </w:t>
      </w:r>
      <w:r w:rsidRPr="008C1091">
        <w:t>Lerman</w:t>
      </w:r>
      <w:r w:rsidRPr="008C1091">
        <w:t xml:space="preserve"> </w:t>
      </w:r>
      <w:r w:rsidRPr="008C1091">
        <w:t>Senter</w:t>
      </w:r>
      <w:r w:rsidRPr="008C1091">
        <w:t xml:space="preserve"> PLLC (Counsel to Sound Around), to Aspasia Paroutsas, Chief, Spectrum Enforcement Division, FCC Enforcement Bureau (Dec. 19, 2017, 17:56 ET) (on file in EB-SED-17-00024010).</w:t>
      </w:r>
    </w:p>
  </w:footnote>
  <w:footnote w:id="26">
    <w:p w:rsidR="008475A8" w:rsidRPr="008C1091" w:rsidP="008475A8" w14:paraId="355282C1" w14:textId="77777777">
      <w:pPr>
        <w:pStyle w:val="FootnoteText"/>
      </w:pPr>
      <w:r w:rsidRPr="008C1091">
        <w:rPr>
          <w:rStyle w:val="FootnoteReference"/>
        </w:rPr>
        <w:footnoteRef/>
      </w:r>
      <w:r w:rsidRPr="008C1091">
        <w:t xml:space="preserve"> </w:t>
      </w:r>
      <w:r w:rsidRPr="008C1091">
        <w:rPr>
          <w:i/>
        </w:rPr>
        <w:t xml:space="preserve">See </w:t>
      </w:r>
      <w:r w:rsidRPr="008C1091">
        <w:t xml:space="preserve">E-mail from Jerry Brach, Vice President, Sound Around, Inc., to Aspasia A. Paroutsas, Chief, Spectrum Enforcement Division, FCC Enforcement Bureau (Feb. 1, 2018, 17:02 </w:t>
      </w:r>
      <w:r w:rsidRPr="008C1091">
        <w:rPr>
          <w:color w:val="000000"/>
        </w:rPr>
        <w:t>ET) (on file in EB-SED-</w:t>
      </w:r>
      <w:r w:rsidRPr="008C1091">
        <w:t xml:space="preserve">17-00024010); </w:t>
      </w:r>
      <w:r w:rsidRPr="008C1091">
        <w:rPr>
          <w:color w:val="000000"/>
        </w:rPr>
        <w:t xml:space="preserve">Letter from Max Moskowitz, Esq., Counsel to Sound Around, Inc, </w:t>
      </w:r>
      <w:r w:rsidRPr="008C1091">
        <w:rPr>
          <w:color w:val="000000"/>
        </w:rPr>
        <w:t>Ostrolenk</w:t>
      </w:r>
      <w:r w:rsidRPr="008C1091">
        <w:rPr>
          <w:color w:val="000000"/>
        </w:rPr>
        <w:t xml:space="preserve"> Faber LLP, to Matthew </w:t>
      </w:r>
      <w:r w:rsidRPr="008C1091">
        <w:rPr>
          <w:color w:val="000000"/>
        </w:rPr>
        <w:t>Conaty</w:t>
      </w:r>
      <w:r w:rsidRPr="008C1091">
        <w:rPr>
          <w:color w:val="000000"/>
        </w:rPr>
        <w:t xml:space="preserve">, </w:t>
      </w:r>
      <w:r w:rsidRPr="008C1091">
        <w:t xml:space="preserve">Chief, Spectrum Enforcement Division, FCC Enforcement Bureau (Aug. 2, 2018) (on file in EB-SED-17-00024010); </w:t>
      </w:r>
      <w:r w:rsidRPr="008C1091">
        <w:rPr>
          <w:color w:val="000000"/>
        </w:rPr>
        <w:t xml:space="preserve">Letter from Max Moskowitz, Esq., Counsel to Sound Around, Inc, </w:t>
      </w:r>
      <w:r w:rsidRPr="008C1091">
        <w:rPr>
          <w:color w:val="000000"/>
        </w:rPr>
        <w:t>Ostrolenk</w:t>
      </w:r>
      <w:r w:rsidRPr="008C1091">
        <w:rPr>
          <w:color w:val="000000"/>
        </w:rPr>
        <w:t xml:space="preserve"> Faber LLP, to Matthew </w:t>
      </w:r>
      <w:r w:rsidRPr="008C1091">
        <w:rPr>
          <w:color w:val="000000"/>
        </w:rPr>
        <w:t>Conaty</w:t>
      </w:r>
      <w:r w:rsidRPr="008C1091">
        <w:rPr>
          <w:color w:val="000000"/>
        </w:rPr>
        <w:t xml:space="preserve">, </w:t>
      </w:r>
      <w:r w:rsidRPr="008C1091">
        <w:t>Chief, Spectrum Enforcement Division, FCC Enforcement Bureau (Aug. 3, 2018) (on file in EB-SED-17-00024010).</w:t>
      </w:r>
    </w:p>
  </w:footnote>
  <w:footnote w:id="27">
    <w:p w:rsidR="008475A8" w:rsidRPr="008C1091" w:rsidP="008475A8" w14:paraId="396EEF65" w14:textId="77777777">
      <w:pPr>
        <w:pStyle w:val="FootnoteText"/>
      </w:pPr>
      <w:r w:rsidRPr="008C1091">
        <w:rPr>
          <w:rStyle w:val="FootnoteReference"/>
        </w:rPr>
        <w:footnoteRef/>
      </w:r>
      <w:r w:rsidRPr="008C1091">
        <w:t xml:space="preserve"> </w:t>
      </w:r>
      <w:r w:rsidRPr="008C1091">
        <w:rPr>
          <w:i/>
        </w:rPr>
        <w:t>See e.g.</w:t>
      </w:r>
      <w:r w:rsidRPr="008C1091">
        <w:t>,</w:t>
      </w:r>
      <w:r w:rsidRPr="008C1091">
        <w:rPr>
          <w:i/>
        </w:rPr>
        <w:t xml:space="preserve"> </w:t>
      </w:r>
      <w:r w:rsidRPr="008C1091">
        <w:t xml:space="preserve">Sound Around, </w:t>
      </w:r>
      <w:r w:rsidRPr="008C1091">
        <w:rPr>
          <w:i/>
        </w:rPr>
        <w:t>Microphone Systems – Musical Instruments – Products</w:t>
      </w:r>
      <w:r w:rsidRPr="008C1091">
        <w:t xml:space="preserve">, </w:t>
      </w:r>
      <w:hyperlink r:id="rId3" w:history="1">
        <w:r w:rsidRPr="008C1091">
          <w:rPr>
            <w:rStyle w:val="Hyperlink"/>
          </w:rPr>
          <w:t>https://www.pyleusa.com/shop/musical-instruments/microphone-systems.html</w:t>
        </w:r>
      </w:hyperlink>
      <w:r w:rsidRPr="008C1091">
        <w:t xml:space="preserve"> (</w:t>
      </w:r>
      <w:r>
        <w:t>s</w:t>
      </w:r>
      <w:r w:rsidRPr="008C1091">
        <w:t xml:space="preserve">creenshot taken Apr. 9, 2019) (on file in EB-SED-17-00024010). </w:t>
      </w:r>
      <w:r>
        <w:t xml:space="preserve"> </w:t>
      </w:r>
    </w:p>
  </w:footnote>
  <w:footnote w:id="28">
    <w:p w:rsidR="008475A8" w:rsidRPr="008C1091" w:rsidP="008475A8" w14:paraId="6FE2C1E4" w14:textId="77777777">
      <w:pPr>
        <w:pStyle w:val="FootnoteText"/>
      </w:pPr>
      <w:r w:rsidRPr="008C1091">
        <w:rPr>
          <w:rStyle w:val="FootnoteReference"/>
        </w:rPr>
        <w:footnoteRef/>
      </w:r>
      <w:r w:rsidRPr="008C1091">
        <w:t xml:space="preserve"> </w:t>
      </w:r>
      <w:r w:rsidRPr="008C1091">
        <w:rPr>
          <w:i/>
        </w:rPr>
        <w:t xml:space="preserve">See </w:t>
      </w:r>
      <w:r w:rsidRPr="008C1091">
        <w:t>Letter from JoAnn Lucanik, Acting Chief, Spectrum Enforcement Division, FCC Enforcement Bureau, to Jerry Bach, Vice President, Sound Around, Inc. (Apr. 30, 2019) (on file in EB-SED-17-00024010) (2019 LOI).</w:t>
      </w:r>
    </w:p>
  </w:footnote>
  <w:footnote w:id="29">
    <w:p w:rsidR="008475A8" w:rsidRPr="008C1091" w:rsidP="008475A8" w14:paraId="69353D9D" w14:textId="77777777">
      <w:pPr>
        <w:pStyle w:val="FootnoteText"/>
      </w:pPr>
      <w:r w:rsidRPr="008C1091">
        <w:rPr>
          <w:rStyle w:val="FootnoteReference"/>
        </w:rPr>
        <w:footnoteRef/>
      </w:r>
      <w:r w:rsidRPr="008C1091">
        <w:t xml:space="preserve"> 2019 LOI at 3-4.  </w:t>
      </w:r>
    </w:p>
  </w:footnote>
  <w:footnote w:id="30">
    <w:p w:rsidR="008475A8" w:rsidRPr="008C1091" w:rsidP="008475A8" w14:paraId="3A899E8E" w14:textId="77777777">
      <w:pPr>
        <w:pStyle w:val="FootnoteText"/>
      </w:pPr>
      <w:r w:rsidRPr="008C1091">
        <w:rPr>
          <w:rStyle w:val="FootnoteReference"/>
        </w:rPr>
        <w:footnoteRef/>
      </w:r>
      <w:r w:rsidRPr="008C1091">
        <w:t xml:space="preserve"> </w:t>
      </w:r>
      <w:r w:rsidRPr="008C1091">
        <w:rPr>
          <w:i/>
        </w:rPr>
        <w:t xml:space="preserve">See </w:t>
      </w:r>
      <w:r w:rsidRPr="008C1091">
        <w:t xml:space="preserve">Letter from Max Moskowitz, </w:t>
      </w:r>
      <w:r w:rsidRPr="008C1091">
        <w:t>Ostrolenk</w:t>
      </w:r>
      <w:r w:rsidRPr="008C1091">
        <w:t xml:space="preserve"> Faber LLP, to JoAnn Lucanik, Acting Chief, Spectrum Enforcement Division, FCC Enforcement Bureau (June 7, 2019) (on file in EB-SED-17-00024010) (</w:t>
      </w:r>
      <w:r>
        <w:t xml:space="preserve">2019 LOI </w:t>
      </w:r>
      <w:r w:rsidRPr="008C1091">
        <w:t>Response).</w:t>
      </w:r>
    </w:p>
  </w:footnote>
  <w:footnote w:id="31">
    <w:p w:rsidR="008475A8" w:rsidRPr="00CC149C" w:rsidP="008475A8" w14:paraId="4C94845A" w14:textId="77777777">
      <w:pPr>
        <w:pStyle w:val="FootnoteText"/>
        <w:rPr>
          <w:i/>
          <w:iCs/>
        </w:rPr>
      </w:pPr>
      <w:r>
        <w:rPr>
          <w:rStyle w:val="FootnoteReference"/>
        </w:rPr>
        <w:footnoteRef/>
      </w:r>
      <w:r>
        <w:t xml:space="preserve"> </w:t>
      </w:r>
      <w:r w:rsidRPr="00CC149C">
        <w:rPr>
          <w:i/>
          <w:iCs/>
        </w:rPr>
        <w:t>I</w:t>
      </w:r>
      <w:r>
        <w:rPr>
          <w:i/>
          <w:iCs/>
        </w:rPr>
        <w:t>d.</w:t>
      </w:r>
      <w:r>
        <w:t xml:space="preserve"> at </w:t>
      </w:r>
      <w:r>
        <w:t>Exh</w:t>
      </w:r>
      <w:r>
        <w:t xml:space="preserve">. A; </w:t>
      </w:r>
      <w:r>
        <w:rPr>
          <w:i/>
          <w:iCs/>
        </w:rPr>
        <w:t xml:space="preserve">see also infra </w:t>
      </w:r>
      <w:r>
        <w:t xml:space="preserve">para. </w:t>
      </w:r>
      <w:r>
        <w:fldChar w:fldCharType="begin"/>
      </w:r>
      <w:r>
        <w:instrText xml:space="preserve"> REF _Ref33800275 \r \h </w:instrText>
      </w:r>
      <w:r>
        <w:fldChar w:fldCharType="separate"/>
      </w:r>
      <w:r>
        <w:t>12</w:t>
      </w:r>
      <w:r>
        <w:fldChar w:fldCharType="end"/>
      </w:r>
      <w:r>
        <w:t>.</w:t>
      </w:r>
      <w:r>
        <w:rPr>
          <w:i/>
          <w:iCs/>
        </w:rPr>
        <w:t xml:space="preserve"> </w:t>
      </w:r>
    </w:p>
  </w:footnote>
  <w:footnote w:id="32">
    <w:p w:rsidR="008475A8" w:rsidP="008475A8" w14:paraId="78A65792" w14:textId="77777777">
      <w:pPr>
        <w:pStyle w:val="FootnoteText"/>
      </w:pPr>
      <w:r>
        <w:rPr>
          <w:rStyle w:val="FootnoteReference"/>
        </w:rPr>
        <w:footnoteRef/>
      </w:r>
      <w:r>
        <w:t xml:space="preserve"> </w:t>
      </w:r>
      <w:r w:rsidRPr="008C1091">
        <w:rPr>
          <w:i/>
        </w:rPr>
        <w:t xml:space="preserve">See </w:t>
      </w:r>
      <w:r>
        <w:t xml:space="preserve">2019 LOI </w:t>
      </w:r>
      <w:r w:rsidRPr="008C1091">
        <w:t xml:space="preserve">Response at </w:t>
      </w:r>
      <w:r w:rsidRPr="008C1091">
        <w:t>Exh</w:t>
      </w:r>
      <w:r>
        <w:t>.</w:t>
      </w:r>
      <w:r w:rsidRPr="008C1091">
        <w:t xml:space="preserve"> A.  </w:t>
      </w:r>
    </w:p>
  </w:footnote>
  <w:footnote w:id="33">
    <w:p w:rsidR="008475A8" w:rsidP="008475A8" w14:paraId="207A64F1" w14:textId="77777777">
      <w:pPr>
        <w:pStyle w:val="FootnoteText"/>
      </w:pPr>
      <w:r>
        <w:rPr>
          <w:rStyle w:val="FootnoteReference"/>
        </w:rPr>
        <w:footnoteRef/>
      </w:r>
      <w:r>
        <w:t xml:space="preserve"> </w:t>
      </w:r>
      <w:r w:rsidRPr="00DC6F22">
        <w:rPr>
          <w:i/>
          <w:iCs/>
        </w:rPr>
        <w:t>Id</w:t>
      </w:r>
      <w:r>
        <w:t xml:space="preserve">.; </w:t>
      </w:r>
      <w:r>
        <w:rPr>
          <w:i/>
          <w:iCs/>
        </w:rPr>
        <w:t xml:space="preserve">see also </w:t>
      </w:r>
      <w:r w:rsidRPr="00893647">
        <w:t>47</w:t>
      </w:r>
      <w:r>
        <w:t xml:space="preserve"> CFR §§ 2.106, 87.173.  </w:t>
      </w:r>
    </w:p>
  </w:footnote>
  <w:footnote w:id="34">
    <w:p w:rsidR="008475A8" w:rsidRPr="00904DEE" w:rsidP="008475A8" w14:paraId="127F306B" w14:textId="77777777">
      <w:pPr>
        <w:pStyle w:val="FootnoteText"/>
      </w:pPr>
      <w:r>
        <w:rPr>
          <w:rStyle w:val="FootnoteReference"/>
        </w:rPr>
        <w:footnoteRef/>
      </w:r>
      <w:r>
        <w:t xml:space="preserve"> </w:t>
      </w:r>
      <w:r>
        <w:rPr>
          <w:i/>
          <w:iCs/>
        </w:rPr>
        <w:t>See</w:t>
      </w:r>
      <w:r>
        <w:t xml:space="preserve"> </w:t>
      </w:r>
      <w:r w:rsidRPr="00904DEE">
        <w:t xml:space="preserve">Sound Around, Pyle - Musical Instruments - Microphone Systems, </w:t>
      </w:r>
      <w:hyperlink r:id="rId4" w:history="1">
        <w:r w:rsidRPr="005D4B7F">
          <w:rPr>
            <w:rStyle w:val="Hyperlink"/>
          </w:rPr>
          <w:t>http://www.pyleaudio.com/products/Musical-Instruments/Microphone-Systems</w:t>
        </w:r>
      </w:hyperlink>
      <w:r>
        <w:t xml:space="preserve"> </w:t>
      </w:r>
      <w:r w:rsidRPr="00904DEE">
        <w:t>(</w:t>
      </w:r>
      <w:r>
        <w:t>s</w:t>
      </w:r>
      <w:r w:rsidRPr="00904DEE">
        <w:t xml:space="preserve">creenshot taken </w:t>
      </w:r>
      <w:r>
        <w:t>Jan. 28, 2020</w:t>
      </w:r>
      <w:r w:rsidRPr="00904DEE">
        <w:t xml:space="preserve">) (on file in EB-SED-17-00024010).  </w:t>
      </w:r>
    </w:p>
  </w:footnote>
  <w:footnote w:id="35">
    <w:p w:rsidR="008475A8" w:rsidRPr="008C1091" w:rsidP="008475A8" w14:paraId="34713B8F" w14:textId="77777777">
      <w:pPr>
        <w:pStyle w:val="FootnoteText"/>
      </w:pPr>
      <w:r w:rsidRPr="008C1091">
        <w:rPr>
          <w:rStyle w:val="FootnoteReference"/>
        </w:rPr>
        <w:footnoteRef/>
      </w:r>
      <w:r w:rsidRPr="008C1091">
        <w:t xml:space="preserve"> </w:t>
      </w:r>
      <w:r w:rsidRPr="008C1091">
        <w:rPr>
          <w:i/>
        </w:rPr>
        <w:t xml:space="preserve">See </w:t>
      </w:r>
      <w:r>
        <w:t xml:space="preserve">2019 LOI </w:t>
      </w:r>
      <w:r w:rsidRPr="008C1091">
        <w:t xml:space="preserve">Response at </w:t>
      </w:r>
      <w:r w:rsidRPr="008C1091">
        <w:t>Exh</w:t>
      </w:r>
      <w:r>
        <w:t>.</w:t>
      </w:r>
      <w:r w:rsidRPr="008C1091">
        <w:t xml:space="preserve"> A.  </w:t>
      </w:r>
    </w:p>
  </w:footnote>
  <w:footnote w:id="36">
    <w:p w:rsidR="008475A8" w:rsidRPr="008C1091" w:rsidP="008475A8" w14:paraId="7706A9BF" w14:textId="77777777">
      <w:pPr>
        <w:pStyle w:val="FootnoteText"/>
        <w:rPr>
          <w:i/>
        </w:rPr>
      </w:pPr>
      <w:r w:rsidRPr="008C1091">
        <w:rPr>
          <w:rStyle w:val="FootnoteReference"/>
        </w:rPr>
        <w:footnoteRef/>
      </w:r>
      <w:r w:rsidRPr="008C1091">
        <w:t xml:space="preserve"> </w:t>
      </w:r>
      <w:r w:rsidRPr="008C1091">
        <w:rPr>
          <w:i/>
        </w:rPr>
        <w:t xml:space="preserve">See </w:t>
      </w:r>
      <w:r w:rsidRPr="006B3614">
        <w:rPr>
          <w:i/>
          <w:iCs/>
        </w:rPr>
        <w:t>id</w:t>
      </w:r>
      <w:r w:rsidRPr="008C1091">
        <w:t xml:space="preserve">.  </w:t>
      </w:r>
    </w:p>
  </w:footnote>
  <w:footnote w:id="37">
    <w:p w:rsidR="008475A8" w:rsidRPr="001649AC" w:rsidP="008475A8" w14:paraId="55AB0B8E" w14:textId="77777777">
      <w:pPr>
        <w:pStyle w:val="FootnoteText"/>
      </w:pPr>
      <w:r>
        <w:rPr>
          <w:rStyle w:val="FootnoteReference"/>
        </w:rPr>
        <w:footnoteRef/>
      </w:r>
      <w:r>
        <w:t xml:space="preserve"> </w:t>
      </w:r>
      <w:r>
        <w:rPr>
          <w:i/>
          <w:iCs/>
        </w:rPr>
        <w:t>See infra</w:t>
      </w:r>
      <w:r>
        <w:t xml:space="preserve"> Appx. (providing charts showing the relevant information for the 32 subject wireless microphone models).</w:t>
      </w:r>
    </w:p>
  </w:footnote>
  <w:footnote w:id="38">
    <w:p w:rsidR="008475A8" w:rsidRPr="003B5193" w:rsidP="008475A8" w14:paraId="1DE73A81" w14:textId="77777777">
      <w:pPr>
        <w:pStyle w:val="FootnoteText"/>
      </w:pPr>
      <w:r>
        <w:rPr>
          <w:rStyle w:val="FootnoteReference"/>
        </w:rPr>
        <w:footnoteRef/>
      </w:r>
      <w:r>
        <w:t xml:space="preserve"> </w:t>
      </w:r>
      <w:r>
        <w:rPr>
          <w:i/>
          <w:iCs/>
        </w:rPr>
        <w:t xml:space="preserve">See </w:t>
      </w:r>
      <w:r>
        <w:t xml:space="preserve">2019 LOI Response at </w:t>
      </w:r>
      <w:r>
        <w:t>Exh</w:t>
      </w:r>
      <w:r>
        <w:t xml:space="preserve">. A.  The indicia included, for example, that the microphones were wired instead of wireless.   </w:t>
      </w:r>
    </w:p>
  </w:footnote>
  <w:footnote w:id="39">
    <w:p w:rsidR="008475A8" w:rsidRPr="008C1091" w:rsidP="008475A8" w14:paraId="4ABC1A44" w14:textId="77777777">
      <w:pPr>
        <w:pStyle w:val="FootnoteText"/>
      </w:pPr>
      <w:r w:rsidRPr="008C1091">
        <w:rPr>
          <w:rStyle w:val="FootnoteReference"/>
        </w:rPr>
        <w:footnoteRef/>
      </w:r>
      <w:r w:rsidRPr="008C1091">
        <w:t xml:space="preserve"> </w:t>
      </w:r>
      <w:r w:rsidRPr="008C1091">
        <w:rPr>
          <w:color w:val="000000"/>
        </w:rPr>
        <w:t xml:space="preserve">47 U.S.C. § 302a(b); 47 CFR §§ 2.803, 74.851.  </w:t>
      </w:r>
    </w:p>
  </w:footnote>
  <w:footnote w:id="40">
    <w:p w:rsidR="008475A8" w:rsidRPr="008C1091" w:rsidP="008475A8" w14:paraId="2D486D68" w14:textId="77777777">
      <w:pPr>
        <w:pStyle w:val="FootnoteText"/>
      </w:pPr>
      <w:r w:rsidRPr="008C1091">
        <w:rPr>
          <w:rStyle w:val="FootnoteReference"/>
        </w:rPr>
        <w:footnoteRef/>
      </w:r>
      <w:r w:rsidRPr="008C1091">
        <w:t xml:space="preserve"> Following the issuance of the </w:t>
      </w:r>
      <w:r w:rsidRPr="003E7B0F">
        <w:rPr>
          <w:i/>
          <w:iCs/>
        </w:rPr>
        <w:t>Marketing Citation</w:t>
      </w:r>
      <w:r w:rsidRPr="008C1091">
        <w:t xml:space="preserve">, Sound Around </w:t>
      </w:r>
      <w:r>
        <w:t xml:space="preserve">became </w:t>
      </w:r>
      <w:r w:rsidRPr="008C1091">
        <w:t xml:space="preserve">subject to a Notice of Apparent Liability for </w:t>
      </w:r>
      <w:r>
        <w:t>any</w:t>
      </w:r>
      <w:r w:rsidRPr="008C1091">
        <w:t xml:space="preserve"> continued marketing of </w:t>
      </w:r>
      <w:r>
        <w:t xml:space="preserve">such </w:t>
      </w:r>
      <w:r w:rsidRPr="008C1091">
        <w:t xml:space="preserve">noncompliant devices.  </w:t>
      </w:r>
      <w:r w:rsidRPr="008C1091">
        <w:rPr>
          <w:i/>
        </w:rPr>
        <w:t xml:space="preserve">See </w:t>
      </w:r>
      <w:r w:rsidRPr="008C1091">
        <w:t xml:space="preserve">47 U.S.C. § 503(b)(5); </w:t>
      </w:r>
      <w:r w:rsidRPr="008C1091">
        <w:rPr>
          <w:i/>
        </w:rPr>
        <w:t>see also</w:t>
      </w:r>
      <w:r w:rsidRPr="008C1091">
        <w:t xml:space="preserve"> </w:t>
      </w:r>
      <w:r w:rsidRPr="008C1091">
        <w:rPr>
          <w:i/>
        </w:rPr>
        <w:t>Y Pay More</w:t>
      </w:r>
      <w:r w:rsidRPr="008C1091">
        <w:t xml:space="preserve">, Forfeiture Order, 26 FCC </w:t>
      </w:r>
      <w:r w:rsidRPr="008C1091">
        <w:t>Rcd</w:t>
      </w:r>
      <w:r w:rsidRPr="008C1091">
        <w:t xml:space="preserve"> 12805, 12806, para. 3 (2011); </w:t>
      </w:r>
      <w:r w:rsidRPr="008C1091">
        <w:rPr>
          <w:i/>
        </w:rPr>
        <w:t>Travel Club Mktg. Inc.</w:t>
      </w:r>
      <w:r w:rsidRPr="008C1091">
        <w:t xml:space="preserve">, Notice of Apparent Liability for Forfeiture, 26 FCC </w:t>
      </w:r>
      <w:r w:rsidRPr="008C1091">
        <w:t>Rcd</w:t>
      </w:r>
      <w:r w:rsidRPr="008C1091">
        <w:t xml:space="preserve"> 15831, 15834, para. 10 (2011), Forfeiture Order, 30 FCC </w:t>
      </w:r>
      <w:r w:rsidRPr="008C1091">
        <w:t>Rcd</w:t>
      </w:r>
      <w:r w:rsidRPr="008C1091">
        <w:t xml:space="preserve"> 8861 (2015); </w:t>
      </w:r>
      <w:r w:rsidRPr="008C1091">
        <w:rPr>
          <w:i/>
        </w:rPr>
        <w:t>Presidential Who’s Who, Inc.</w:t>
      </w:r>
      <w:r w:rsidRPr="008C1091">
        <w:t xml:space="preserve">, Forfeiture Order, 29 FCC </w:t>
      </w:r>
      <w:r w:rsidRPr="008C1091">
        <w:t>Rcd</w:t>
      </w:r>
      <w:r w:rsidRPr="008C1091">
        <w:t xml:space="preserve"> 3451, para. 1 (2014).  The </w:t>
      </w:r>
      <w:r w:rsidRPr="003E7B0F">
        <w:rPr>
          <w:i/>
          <w:iCs/>
        </w:rPr>
        <w:t>Marketing Citation</w:t>
      </w:r>
      <w:r w:rsidRPr="008C1091">
        <w:t xml:space="preserve"> afforded Sound Around “a reasonable opportunity for a personal interview with an official of the Commission, at the field office of the Commission which is nearest to such person’s place of residence,” in accordance with 47 U.S.C. § 503(b)(5)(B), but Sound Around did not seek such a personal interview following the issuance of the citation nor did it avail itself of the option to submit a written response.  </w:t>
      </w:r>
      <w:r w:rsidRPr="003E7B0F">
        <w:rPr>
          <w:i/>
          <w:iCs/>
        </w:rPr>
        <w:t>Marketing Citation</w:t>
      </w:r>
      <w:r w:rsidRPr="008C1091">
        <w:t xml:space="preserve">, 26 FCC </w:t>
      </w:r>
      <w:r w:rsidRPr="008C1091">
        <w:t>Rcd</w:t>
      </w:r>
      <w:r w:rsidRPr="008C1091">
        <w:t xml:space="preserve"> at 9478, para.12.  </w:t>
      </w:r>
    </w:p>
  </w:footnote>
  <w:footnote w:id="41">
    <w:p w:rsidR="008475A8" w:rsidRPr="008C1091" w:rsidP="008475A8" w14:paraId="4E9A0C4B" w14:textId="77777777">
      <w:pPr>
        <w:pStyle w:val="FootnoteText"/>
      </w:pPr>
      <w:r w:rsidRPr="008C1091">
        <w:rPr>
          <w:rStyle w:val="FootnoteReference"/>
        </w:rPr>
        <w:footnoteRef/>
      </w:r>
      <w:r w:rsidRPr="008C1091">
        <w:t xml:space="preserve"> </w:t>
      </w:r>
      <w:r w:rsidRPr="008C1091">
        <w:rPr>
          <w:i/>
        </w:rPr>
        <w:t xml:space="preserve">See </w:t>
      </w:r>
      <w:r w:rsidRPr="008C1091">
        <w:t>47 CFR Part 2, Subpart I</w:t>
      </w:r>
      <w:r>
        <w:t xml:space="preserve">; </w:t>
      </w:r>
      <w:r>
        <w:rPr>
          <w:i/>
          <w:iCs/>
        </w:rPr>
        <w:t>see also</w:t>
      </w:r>
      <w:r w:rsidRPr="008C1091">
        <w:t xml:space="preserve"> 47 CFR § 2.926.  </w:t>
      </w:r>
    </w:p>
  </w:footnote>
  <w:footnote w:id="42">
    <w:p w:rsidR="008475A8" w:rsidRPr="008C1091" w:rsidP="008475A8" w14:paraId="06D6671A" w14:textId="77777777">
      <w:pPr>
        <w:pStyle w:val="FootnoteText"/>
      </w:pPr>
      <w:r w:rsidRPr="008C1091">
        <w:rPr>
          <w:rStyle w:val="FootnoteReference"/>
        </w:rPr>
        <w:footnoteRef/>
      </w:r>
      <w:r w:rsidRPr="008C1091">
        <w:t xml:space="preserve"> </w:t>
      </w:r>
      <w:r>
        <w:t xml:space="preserve">2019 LOI </w:t>
      </w:r>
      <w:r w:rsidRPr="008C1091">
        <w:t xml:space="preserve">Response at </w:t>
      </w:r>
      <w:r w:rsidRPr="008C1091">
        <w:t>Exh</w:t>
      </w:r>
      <w:r>
        <w:t>.</w:t>
      </w:r>
      <w:r w:rsidRPr="008C1091">
        <w:t xml:space="preserve"> A.</w:t>
      </w:r>
    </w:p>
  </w:footnote>
  <w:footnote w:id="43">
    <w:p w:rsidR="008475A8" w:rsidRPr="008C1091" w:rsidP="008475A8" w14:paraId="6A3DF95B" w14:textId="77777777">
      <w:pPr>
        <w:pStyle w:val="FootnoteText"/>
      </w:pPr>
      <w:r w:rsidRPr="008C1091">
        <w:rPr>
          <w:rStyle w:val="FootnoteReference"/>
        </w:rPr>
        <w:footnoteRef/>
      </w:r>
      <w:r w:rsidRPr="008C1091">
        <w:t xml:space="preserve"> </w:t>
      </w:r>
      <w:r w:rsidRPr="008C1091">
        <w:rPr>
          <w:i/>
        </w:rPr>
        <w:t xml:space="preserve">See </w:t>
      </w:r>
      <w:r w:rsidRPr="008C1091">
        <w:t>47 CFR § 74.801.</w:t>
      </w:r>
    </w:p>
  </w:footnote>
  <w:footnote w:id="44">
    <w:p w:rsidR="008475A8" w:rsidRPr="008C1091" w:rsidP="008475A8" w14:paraId="6693F8A4" w14:textId="77777777">
      <w:pPr>
        <w:pStyle w:val="FootnoteText"/>
      </w:pPr>
      <w:r w:rsidRPr="008C1091">
        <w:rPr>
          <w:rStyle w:val="FootnoteReference"/>
        </w:rPr>
        <w:footnoteRef/>
      </w:r>
      <w:r w:rsidRPr="008C1091">
        <w:t xml:space="preserve"> 47 CFR § 74.851(f).  </w:t>
      </w:r>
    </w:p>
  </w:footnote>
  <w:footnote w:id="45">
    <w:p w:rsidR="008475A8" w:rsidRPr="00375060" w:rsidP="008475A8" w14:paraId="55B68A96" w14:textId="77777777">
      <w:pPr>
        <w:pStyle w:val="FootnoteText"/>
      </w:pPr>
      <w:r>
        <w:rPr>
          <w:rStyle w:val="FootnoteReference"/>
        </w:rPr>
        <w:footnoteRef/>
      </w:r>
      <w:r>
        <w:t xml:space="preserve"> </w:t>
      </w:r>
      <w:r>
        <w:rPr>
          <w:i/>
          <w:iCs/>
        </w:rPr>
        <w:t>See infra</w:t>
      </w:r>
      <w:r>
        <w:t xml:space="preserve"> Appx., attached hereto and incorporated herein by this reference.</w:t>
      </w:r>
    </w:p>
  </w:footnote>
  <w:footnote w:id="46">
    <w:p w:rsidR="008475A8" w:rsidRPr="008C1091" w:rsidP="008475A8" w14:paraId="56EF829E" w14:textId="77777777">
      <w:pPr>
        <w:pStyle w:val="FootnoteText"/>
      </w:pPr>
      <w:r w:rsidRPr="008C1091">
        <w:rPr>
          <w:rStyle w:val="FootnoteReference"/>
        </w:rPr>
        <w:footnoteRef/>
      </w:r>
      <w:r w:rsidRPr="008C1091">
        <w:t xml:space="preserve"> </w:t>
      </w:r>
      <w:r>
        <w:rPr>
          <w:i/>
        </w:rPr>
        <w:t>Id</w:t>
      </w:r>
      <w:r w:rsidRPr="00BC5566">
        <w:rPr>
          <w:iCs/>
        </w:rPr>
        <w:t>.</w:t>
      </w:r>
      <w:r w:rsidRPr="008C1091">
        <w:t xml:space="preserve">  </w:t>
      </w:r>
    </w:p>
  </w:footnote>
  <w:footnote w:id="47">
    <w:p w:rsidR="008475A8" w:rsidRPr="008C1091" w:rsidP="008475A8" w14:paraId="3D72D757" w14:textId="77777777">
      <w:pPr>
        <w:pStyle w:val="FootnoteText"/>
      </w:pPr>
      <w:r w:rsidRPr="008C1091">
        <w:rPr>
          <w:rStyle w:val="FootnoteReference"/>
        </w:rPr>
        <w:footnoteRef/>
      </w:r>
      <w:r w:rsidRPr="008C1091">
        <w:t xml:space="preserve"> </w:t>
      </w:r>
      <w:r w:rsidRPr="008C1091">
        <w:rPr>
          <w:i/>
        </w:rPr>
        <w:t xml:space="preserve">See </w:t>
      </w:r>
      <w:r w:rsidRPr="008C1091">
        <w:t>47 CFR § 2.926.</w:t>
      </w:r>
    </w:p>
  </w:footnote>
  <w:footnote w:id="48">
    <w:p w:rsidR="008475A8" w:rsidRPr="008C1091" w:rsidP="008475A8" w14:paraId="79BC0CAD" w14:textId="77777777">
      <w:pPr>
        <w:pStyle w:val="FootnoteText"/>
      </w:pPr>
      <w:r w:rsidRPr="008C1091">
        <w:rPr>
          <w:rStyle w:val="FootnoteReference"/>
        </w:rPr>
        <w:footnoteRef/>
      </w:r>
      <w:r w:rsidRPr="008C1091">
        <w:t xml:space="preserve"> </w:t>
      </w:r>
      <w:r w:rsidRPr="008C1091">
        <w:rPr>
          <w:i/>
        </w:rPr>
        <w:t xml:space="preserve">See </w:t>
      </w:r>
      <w:r w:rsidRPr="008C1091">
        <w:t xml:space="preserve">47 CFR §§ 2.925, 2.935. </w:t>
      </w:r>
    </w:p>
  </w:footnote>
  <w:footnote w:id="49">
    <w:p w:rsidR="008475A8" w:rsidRPr="008C1091" w:rsidP="008475A8" w14:paraId="3E3F5484" w14:textId="77777777">
      <w:pPr>
        <w:pStyle w:val="FootnoteText"/>
      </w:pPr>
      <w:r w:rsidRPr="008C1091">
        <w:rPr>
          <w:rStyle w:val="FootnoteReference"/>
        </w:rPr>
        <w:footnoteRef/>
      </w:r>
      <w:r w:rsidRPr="008C1091">
        <w:t xml:space="preserve"> </w:t>
      </w:r>
      <w:r w:rsidRPr="008C1091">
        <w:rPr>
          <w:i/>
        </w:rPr>
        <w:t xml:space="preserve">See </w:t>
      </w:r>
      <w:r w:rsidRPr="008C1091">
        <w:t>47 CFR § 2.925(f).</w:t>
      </w:r>
    </w:p>
  </w:footnote>
  <w:footnote w:id="50">
    <w:p w:rsidR="008475A8" w:rsidRPr="008C1091" w:rsidP="008475A8" w14:paraId="1E9A159C" w14:textId="77777777">
      <w:pPr>
        <w:pStyle w:val="FootnoteText"/>
      </w:pPr>
      <w:r w:rsidRPr="008C1091">
        <w:rPr>
          <w:rStyle w:val="FootnoteReference"/>
        </w:rPr>
        <w:footnoteRef/>
      </w:r>
      <w:r w:rsidRPr="008C1091">
        <w:t xml:space="preserve"> </w:t>
      </w:r>
      <w:r w:rsidRPr="008C1091">
        <w:rPr>
          <w:i/>
        </w:rPr>
        <w:t xml:space="preserve">See </w:t>
      </w:r>
      <w:r w:rsidRPr="008C1091">
        <w:t>47 CFR § 2.935(b).</w:t>
      </w:r>
    </w:p>
  </w:footnote>
  <w:footnote w:id="51">
    <w:p w:rsidR="008475A8" w:rsidRPr="008C1091" w:rsidP="008475A8" w14:paraId="183BCA5B" w14:textId="77777777">
      <w:pPr>
        <w:pStyle w:val="FootnoteText"/>
      </w:pPr>
      <w:r w:rsidRPr="008C1091">
        <w:rPr>
          <w:rStyle w:val="FootnoteReference"/>
        </w:rPr>
        <w:footnoteRef/>
      </w:r>
      <w:r w:rsidRPr="008C1091">
        <w:t xml:space="preserve"> Consumers who own these Sound Around devices should cease using them immediately or risk enforcement action for operating equipment in violation of the Commission’s rules.  Operators of noncompliant devices may still face enforcement action for violations of the Commission’s technical rules, </w:t>
      </w:r>
      <w:r w:rsidRPr="008C1091">
        <w:rPr>
          <w:i/>
        </w:rPr>
        <w:t>see e.g.</w:t>
      </w:r>
      <w:r w:rsidRPr="008C1091">
        <w:t xml:space="preserve">, 47 CFR § 15.1, and operation of </w:t>
      </w:r>
      <w:r>
        <w:t>p</w:t>
      </w:r>
      <w:r w:rsidRPr="008C1091">
        <w:t xml:space="preserve">art 74 microphones without a license may subject the user to enforcement action for violations of the Commission’s rules, </w:t>
      </w:r>
      <w:r w:rsidRPr="008C1091">
        <w:rPr>
          <w:i/>
          <w:iCs/>
        </w:rPr>
        <w:t>see e.g.</w:t>
      </w:r>
      <w:r w:rsidRPr="008C1091">
        <w:t xml:space="preserve">, </w:t>
      </w:r>
      <w:r w:rsidRPr="008C1091">
        <w:rPr>
          <w:i/>
        </w:rPr>
        <w:t>id</w:t>
      </w:r>
      <w:r w:rsidRPr="008C1091">
        <w:t xml:space="preserve">. § 74.832.  </w:t>
      </w:r>
    </w:p>
  </w:footnote>
  <w:footnote w:id="52">
    <w:p w:rsidR="008475A8" w:rsidRPr="00904DEE" w:rsidP="008475A8" w14:paraId="48CEBFE1" w14:textId="77777777">
      <w:pPr>
        <w:pStyle w:val="FootnoteText"/>
      </w:pPr>
      <w:r>
        <w:rPr>
          <w:rStyle w:val="FootnoteReference"/>
        </w:rPr>
        <w:footnoteRef/>
      </w:r>
      <w:r>
        <w:t xml:space="preserve"> </w:t>
      </w:r>
      <w:r>
        <w:rPr>
          <w:i/>
          <w:iCs/>
        </w:rPr>
        <w:t>See</w:t>
      </w:r>
      <w:r>
        <w:t xml:space="preserve"> </w:t>
      </w:r>
      <w:r w:rsidRPr="00904DEE">
        <w:t xml:space="preserve">Sound Around, Pyle - Musical Instruments - Microphone Systems, </w:t>
      </w:r>
      <w:hyperlink r:id="rId4" w:history="1">
        <w:r w:rsidRPr="005D4B7F">
          <w:rPr>
            <w:rStyle w:val="Hyperlink"/>
          </w:rPr>
          <w:t>http://www.pyleaudio.com/products/Musical-Instruments/Microphone-Systems</w:t>
        </w:r>
      </w:hyperlink>
      <w:r>
        <w:t xml:space="preserve"> </w:t>
      </w:r>
      <w:r w:rsidRPr="00904DEE">
        <w:t>(</w:t>
      </w:r>
      <w:r>
        <w:t>s</w:t>
      </w:r>
      <w:r w:rsidRPr="00904DEE">
        <w:t xml:space="preserve">creenshot taken </w:t>
      </w:r>
      <w:r>
        <w:t>Jan. 28, 2020</w:t>
      </w:r>
      <w:r w:rsidRPr="00904DEE">
        <w:t xml:space="preserve">) (on file in EB-SED-17-00024010).  </w:t>
      </w:r>
    </w:p>
  </w:footnote>
  <w:footnote w:id="53">
    <w:p w:rsidR="008475A8" w:rsidRPr="008C1091" w:rsidP="008475A8" w14:paraId="3EA3E4C5" w14:textId="77777777">
      <w:pPr>
        <w:pStyle w:val="FootnoteText"/>
        <w:rPr>
          <w:b/>
          <w:i/>
          <w:color w:val="000000"/>
        </w:rPr>
      </w:pPr>
      <w:r w:rsidRPr="008C1091">
        <w:rPr>
          <w:rStyle w:val="FootnoteReference"/>
          <w:color w:val="000000"/>
        </w:rPr>
        <w:footnoteRef/>
      </w:r>
      <w:r w:rsidRPr="008C1091">
        <w:rPr>
          <w:color w:val="000000"/>
        </w:rPr>
        <w:t xml:space="preserve"> 47 U.S.C. § 503(b).  </w:t>
      </w:r>
    </w:p>
  </w:footnote>
  <w:footnote w:id="54">
    <w:p w:rsidR="008475A8" w:rsidRPr="008C1091" w:rsidP="008475A8" w14:paraId="308C1EBA" w14:textId="77777777">
      <w:pPr>
        <w:pStyle w:val="FootnoteText"/>
        <w:rPr>
          <w:snapToGrid w:val="0"/>
          <w:color w:val="000000"/>
        </w:rPr>
      </w:pPr>
      <w:r w:rsidRPr="008C1091">
        <w:rPr>
          <w:rStyle w:val="FootnoteReference"/>
          <w:color w:val="000000"/>
        </w:rPr>
        <w:footnoteRef/>
      </w:r>
      <w:r w:rsidRPr="008C1091">
        <w:rPr>
          <w:color w:val="000000"/>
        </w:rPr>
        <w:t xml:space="preserve"> </w:t>
      </w:r>
      <w:r w:rsidRPr="008C1091">
        <w:rPr>
          <w:i/>
          <w:color w:val="000000"/>
        </w:rPr>
        <w:t>See</w:t>
      </w:r>
      <w:r w:rsidRPr="008C1091">
        <w:rPr>
          <w:color w:val="000000"/>
        </w:rPr>
        <w:t xml:space="preserve"> 47 U.S.C. § 503(b)(2)(D); </w:t>
      </w:r>
      <w:r w:rsidRPr="008C1091">
        <w:t xml:space="preserve">47 CFR § 1.80(b)(9); </w:t>
      </w:r>
      <w:r w:rsidRPr="008C1091">
        <w:rPr>
          <w:i/>
          <w:iCs/>
        </w:rPr>
        <w:t>Amendment of Section 1.80(b) of the Commission’s Rules, Adjustment of Civil Monetary Penalties to Reflect Inflation</w:t>
      </w:r>
      <w:r w:rsidRPr="008C1091">
        <w:t>, Order, DA 19-1325, 2019 WL 7370226 (EB 20</w:t>
      </w:r>
      <w:r>
        <w:t>19</w:t>
      </w:r>
      <w:r w:rsidRPr="008C1091">
        <w:t>)</w:t>
      </w:r>
      <w:r>
        <w:t xml:space="preserve">; </w:t>
      </w:r>
      <w:r w:rsidRPr="008C1091">
        <w:rPr>
          <w:i/>
        </w:rPr>
        <w:t>see also Annual Adjustment of Civil Monetary Penalties to Reflect Inflation</w:t>
      </w:r>
      <w:r w:rsidRPr="008C1091">
        <w:t xml:space="preserve">, 85 Fed. Reg. 2318 (Jan. 15, 2020).  </w:t>
      </w:r>
    </w:p>
  </w:footnote>
  <w:footnote w:id="55">
    <w:p w:rsidR="008475A8" w:rsidRPr="008C1091" w:rsidP="008475A8" w14:paraId="0A839227" w14:textId="77777777">
      <w:pPr>
        <w:pStyle w:val="FootnoteText"/>
        <w:rPr>
          <w:color w:val="000000"/>
          <w:lang w:val="es-ES"/>
        </w:rPr>
      </w:pPr>
      <w:r w:rsidRPr="008C1091">
        <w:rPr>
          <w:rStyle w:val="FootnoteReference"/>
          <w:color w:val="000000"/>
        </w:rPr>
        <w:footnoteRef/>
      </w:r>
      <w:r w:rsidRPr="008C1091">
        <w:rPr>
          <w:color w:val="000000"/>
          <w:lang w:val="es-ES"/>
        </w:rPr>
        <w:t xml:space="preserve"> </w:t>
      </w:r>
      <w:r w:rsidRPr="008C1091">
        <w:rPr>
          <w:color w:val="000000"/>
        </w:rPr>
        <w:t>47 U.S.C. § 503(b)(</w:t>
      </w:r>
      <w:r w:rsidRPr="008C1091">
        <w:rPr>
          <w:color w:val="000000"/>
          <w:lang w:val="es-ES"/>
        </w:rPr>
        <w:t xml:space="preserve">2)(E); </w:t>
      </w:r>
      <w:r w:rsidRPr="008C1091">
        <w:rPr>
          <w:i/>
        </w:rPr>
        <w:t xml:space="preserve">see also </w:t>
      </w:r>
      <w:r w:rsidRPr="008C1091">
        <w:t>47 CFR § 1.80(b)(8)</w:t>
      </w:r>
      <w:r w:rsidRPr="008C1091">
        <w:rPr>
          <w:rFonts w:eastAsia="Batang"/>
        </w:rPr>
        <w:t xml:space="preserve">; </w:t>
      </w:r>
      <w:r w:rsidRPr="008C1091">
        <w:rPr>
          <w:i/>
        </w:rPr>
        <w:t>The Commission’s Forfeiture Policy Statement and Amendment of Section 1.80 of the Rules to Incorporate the Forfeiture Guidelines</w:t>
      </w:r>
      <w:r w:rsidRPr="008C1091">
        <w:t xml:space="preserve">, Report and Order, 12 FCC </w:t>
      </w:r>
      <w:r w:rsidRPr="008C1091">
        <w:t>Rcd</w:t>
      </w:r>
      <w:r w:rsidRPr="008C1091">
        <w:t xml:space="preserve"> 17087, 17100–01, para. 27 (1997) (</w:t>
      </w:r>
      <w:r w:rsidRPr="008C1091">
        <w:rPr>
          <w:i/>
        </w:rPr>
        <w:t>Forfeiture Policy Statement</w:t>
      </w:r>
      <w:r w:rsidRPr="008C1091">
        <w:t xml:space="preserve">), </w:t>
      </w:r>
      <w:r w:rsidRPr="008C1091">
        <w:rPr>
          <w:i/>
        </w:rPr>
        <w:t>recon. denied</w:t>
      </w:r>
      <w:r w:rsidRPr="008C1091">
        <w:t xml:space="preserve">, 15 FCC </w:t>
      </w:r>
      <w:r w:rsidRPr="008C1091">
        <w:t>Rcd</w:t>
      </w:r>
      <w:r w:rsidRPr="008C1091">
        <w:t xml:space="preserve"> 303 (1999).</w:t>
      </w:r>
    </w:p>
  </w:footnote>
  <w:footnote w:id="56">
    <w:p w:rsidR="008475A8" w:rsidRPr="008C1091" w:rsidP="008475A8" w14:paraId="748A87B4" w14:textId="77777777">
      <w:pPr>
        <w:pStyle w:val="FootnoteText"/>
      </w:pPr>
      <w:r w:rsidRPr="008C1091">
        <w:rPr>
          <w:rStyle w:val="FootnoteReference"/>
          <w:color w:val="000000"/>
        </w:rPr>
        <w:footnoteRef/>
      </w:r>
      <w:r w:rsidRPr="008C1091">
        <w:t xml:space="preserve"> 47 CFR § 1.80(b)(8); </w:t>
      </w:r>
      <w:r w:rsidRPr="008C1091">
        <w:rPr>
          <w:i/>
        </w:rPr>
        <w:t>Forfeiture Policy Statement</w:t>
      </w:r>
      <w:r w:rsidRPr="008C1091">
        <w:t xml:space="preserve">, 12 FCC </w:t>
      </w:r>
      <w:r w:rsidRPr="008C1091">
        <w:t>Rcd</w:t>
      </w:r>
      <w:r w:rsidRPr="008C1091">
        <w:t xml:space="preserve"> at 17098-99, para. 22.</w:t>
      </w:r>
    </w:p>
  </w:footnote>
  <w:footnote w:id="57">
    <w:p w:rsidR="008475A8" w:rsidRPr="008C1091" w:rsidP="008475A8" w14:paraId="018504AC" w14:textId="77777777">
      <w:pPr>
        <w:pStyle w:val="FootnoteText"/>
        <w:rPr>
          <w:color w:val="000000"/>
        </w:rPr>
      </w:pPr>
      <w:r w:rsidRPr="008C1091">
        <w:rPr>
          <w:rStyle w:val="FootnoteReference"/>
          <w:color w:val="000000"/>
        </w:rPr>
        <w:footnoteRef/>
      </w:r>
      <w:r w:rsidRPr="008C1091">
        <w:rPr>
          <w:color w:val="000000"/>
        </w:rPr>
        <w:t xml:space="preserve"> 47 CFR § 1.80(b), Note to paragraph (b)(8); </w:t>
      </w:r>
      <w:r w:rsidRPr="008C1091">
        <w:rPr>
          <w:i/>
          <w:color w:val="000000"/>
        </w:rPr>
        <w:t>see also</w:t>
      </w:r>
      <w:r w:rsidRPr="008C1091">
        <w:rPr>
          <w:color w:val="000000"/>
        </w:rPr>
        <w:t xml:space="preserve"> </w:t>
      </w:r>
      <w:r w:rsidRPr="008C1091">
        <w:rPr>
          <w:i/>
          <w:color w:val="000000"/>
        </w:rPr>
        <w:t>Forfeiture Policy Statement</w:t>
      </w:r>
      <w:r w:rsidRPr="008C1091">
        <w:rPr>
          <w:color w:val="000000"/>
        </w:rPr>
        <w:t xml:space="preserve">, 12 FCC </w:t>
      </w:r>
      <w:r w:rsidRPr="008C1091">
        <w:rPr>
          <w:color w:val="000000"/>
        </w:rPr>
        <w:t>Rcd</w:t>
      </w:r>
      <w:r w:rsidRPr="008C1091">
        <w:rPr>
          <w:color w:val="000000"/>
        </w:rPr>
        <w:t xml:space="preserve"> at 17098-99, para. 22</w:t>
      </w:r>
      <w:r w:rsidRPr="008C1091">
        <w:t> (noting that “[a]</w:t>
      </w:r>
      <w:r w:rsidRPr="008C1091">
        <w:t>lthough</w:t>
      </w:r>
      <w:r w:rsidRPr="008C1091">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w:t>
      </w:r>
      <w:r w:rsidRPr="008C1091">
        <w:rPr>
          <w:color w:val="000000"/>
        </w:rPr>
        <w:t>.</w:t>
      </w:r>
    </w:p>
  </w:footnote>
  <w:footnote w:id="58">
    <w:p w:rsidR="008475A8" w:rsidRPr="008C1091" w:rsidP="008475A8" w14:paraId="6710ECC2" w14:textId="77777777">
      <w:pPr>
        <w:pStyle w:val="FootnoteText"/>
        <w:rPr>
          <w:color w:val="000000"/>
        </w:rPr>
      </w:pPr>
      <w:r w:rsidRPr="008C1091">
        <w:rPr>
          <w:rStyle w:val="FootnoteReference"/>
          <w:color w:val="000000"/>
        </w:rPr>
        <w:footnoteRef/>
      </w:r>
      <w:r w:rsidRPr="008C1091">
        <w:rPr>
          <w:color w:val="000000"/>
        </w:rPr>
        <w:t xml:space="preserve"> </w:t>
      </w:r>
      <w:r w:rsidRPr="008C1091">
        <w:rPr>
          <w:i/>
          <w:color w:val="000000"/>
        </w:rPr>
        <w:t xml:space="preserve">See </w:t>
      </w:r>
      <w:r w:rsidRPr="008C1091">
        <w:rPr>
          <w:color w:val="000000"/>
        </w:rPr>
        <w:t>47 U.S.C. § 503(b)(5).</w:t>
      </w:r>
    </w:p>
  </w:footnote>
  <w:footnote w:id="59">
    <w:p w:rsidR="008475A8" w:rsidRPr="008C1091" w:rsidP="008475A8" w14:paraId="0F57CA1D" w14:textId="77777777">
      <w:pPr>
        <w:pStyle w:val="FootnoteText"/>
        <w:rPr>
          <w:i/>
          <w:color w:val="000000"/>
        </w:rPr>
      </w:pPr>
      <w:r w:rsidRPr="008C1091">
        <w:rPr>
          <w:rStyle w:val="FootnoteReference"/>
          <w:color w:val="000000"/>
        </w:rPr>
        <w:footnoteRef/>
      </w:r>
      <w:r w:rsidRPr="008C1091">
        <w:rPr>
          <w:color w:val="000000"/>
        </w:rPr>
        <w:t xml:space="preserve"> </w:t>
      </w:r>
      <w:r w:rsidRPr="008C1091">
        <w:rPr>
          <w:i/>
          <w:color w:val="000000"/>
        </w:rPr>
        <w:t>Id.</w:t>
      </w:r>
    </w:p>
  </w:footnote>
  <w:footnote w:id="60">
    <w:p w:rsidR="008475A8" w:rsidRPr="008C1091" w:rsidP="008475A8" w14:paraId="35F16E3D" w14:textId="77777777">
      <w:pPr>
        <w:pStyle w:val="FootnoteText"/>
        <w:rPr>
          <w:color w:val="000000"/>
        </w:rPr>
      </w:pPr>
      <w:r w:rsidRPr="008C1091">
        <w:rPr>
          <w:rStyle w:val="FootnoteReference"/>
          <w:color w:val="000000"/>
          <w:kern w:val="20"/>
        </w:rPr>
        <w:footnoteRef/>
      </w:r>
      <w:r w:rsidRPr="008C1091">
        <w:rPr>
          <w:color w:val="000000"/>
          <w:kern w:val="20"/>
        </w:rPr>
        <w:t xml:space="preserve"> </w:t>
      </w:r>
      <w:r w:rsidRPr="008C1091">
        <w:rPr>
          <w:i/>
          <w:color w:val="000000"/>
          <w:kern w:val="20"/>
        </w:rPr>
        <w:t>See</w:t>
      </w:r>
      <w:r w:rsidRPr="008C1091">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8C1091">
        <w:rPr>
          <w:i/>
          <w:color w:val="000000"/>
          <w:kern w:val="20"/>
        </w:rPr>
        <w:t>would attach not only for the conduct occurring subsequently but also for the conduct for which the citation was originally sent</w:t>
      </w:r>
      <w:r w:rsidRPr="008C1091">
        <w:rPr>
          <w:color w:val="000000"/>
          <w:kern w:val="20"/>
        </w:rPr>
        <w:t xml:space="preserve">.’”) (emphasis added); </w:t>
      </w:r>
      <w:r w:rsidRPr="008C1091">
        <w:rPr>
          <w:i/>
          <w:color w:val="000000"/>
          <w:kern w:val="20"/>
        </w:rPr>
        <w:t>see also Dialing Servs., LLC</w:t>
      </w:r>
      <w:r w:rsidRPr="008C1091">
        <w:rPr>
          <w:color w:val="000000"/>
          <w:kern w:val="20"/>
        </w:rPr>
        <w:t xml:space="preserve">, Forfeiture Order, 32 FCC </w:t>
      </w:r>
      <w:r w:rsidRPr="008C1091">
        <w:rPr>
          <w:color w:val="000000"/>
          <w:kern w:val="20"/>
        </w:rPr>
        <w:t>Rcd</w:t>
      </w:r>
      <w:r w:rsidRPr="008C1091">
        <w:rPr>
          <w:color w:val="000000"/>
          <w:kern w:val="20"/>
        </w:rPr>
        <w:t xml:space="preserve"> 6192, 6205, para. 35 (2017) (“There is no question that the Commission may take into account violations that occurred before a citation was issued when the cited person or entity thereafter engages in the same unlawful conduct.”).</w:t>
      </w:r>
    </w:p>
  </w:footnote>
  <w:footnote w:id="61">
    <w:p w:rsidR="008475A8" w:rsidRPr="008C1091" w:rsidP="008475A8" w14:paraId="0A1EDA61" w14:textId="77777777">
      <w:pPr>
        <w:pStyle w:val="FootnoteText"/>
      </w:pPr>
      <w:r w:rsidRPr="008C1091">
        <w:rPr>
          <w:rStyle w:val="FootnoteReference"/>
        </w:rPr>
        <w:footnoteRef/>
      </w:r>
      <w:r w:rsidRPr="008C1091">
        <w:t xml:space="preserve"> </w:t>
      </w:r>
      <w:r w:rsidRPr="008C1091">
        <w:rPr>
          <w:i/>
        </w:rPr>
        <w:t xml:space="preserve">See supra </w:t>
      </w:r>
      <w:r w:rsidRPr="008C1091">
        <w:t xml:space="preserve">note </w:t>
      </w:r>
      <w:r w:rsidRPr="008C1091">
        <w:fldChar w:fldCharType="begin"/>
      </w:r>
      <w:r w:rsidRPr="008C1091">
        <w:instrText xml:space="preserve"> NOTEREF _Ref22630605 \h  \* MERGEFORMAT </w:instrText>
      </w:r>
      <w:r w:rsidRPr="008C1091">
        <w:fldChar w:fldCharType="separate"/>
      </w:r>
      <w:r>
        <w:t>2</w:t>
      </w:r>
      <w:r w:rsidRPr="008C1091">
        <w:fldChar w:fldCharType="end"/>
      </w:r>
      <w:r w:rsidRPr="008C1091">
        <w:t xml:space="preserve">.  </w:t>
      </w:r>
    </w:p>
  </w:footnote>
  <w:footnote w:id="62">
    <w:p w:rsidR="008475A8" w:rsidRPr="008C1091" w:rsidP="008475A8" w14:paraId="5CAC61E6" w14:textId="77777777">
      <w:pPr>
        <w:pStyle w:val="FootnoteText"/>
        <w:rPr>
          <w:i/>
        </w:rPr>
      </w:pPr>
      <w:r w:rsidRPr="008C1091">
        <w:rPr>
          <w:rStyle w:val="FootnoteReference"/>
        </w:rPr>
        <w:footnoteRef/>
      </w:r>
      <w:r w:rsidRPr="008C1091">
        <w:t xml:space="preserve"> </w:t>
      </w:r>
      <w:r w:rsidRPr="008C1091">
        <w:rPr>
          <w:i/>
        </w:rPr>
        <w:t>See</w:t>
      </w:r>
      <w:r w:rsidRPr="008C1091">
        <w:t xml:space="preserve"> </w:t>
      </w:r>
      <w:r w:rsidRPr="008C1091">
        <w:rPr>
          <w:i/>
        </w:rPr>
        <w:t xml:space="preserve">ABC Fulfillment Services LLC d/b/a </w:t>
      </w:r>
      <w:r w:rsidRPr="008C1091">
        <w:rPr>
          <w:i/>
        </w:rPr>
        <w:t>HobbyKing</w:t>
      </w:r>
      <w:r w:rsidRPr="008C1091">
        <w:rPr>
          <w:i/>
        </w:rPr>
        <w:t xml:space="preserve"> USA LLC and HobbyKing.com et al</w:t>
      </w:r>
      <w:r w:rsidRPr="008C1091">
        <w:t xml:space="preserve">., Notice of Apparent Liability for Forfeiture, 33 FCC </w:t>
      </w:r>
      <w:r w:rsidRPr="008C1091">
        <w:t>Rcd</w:t>
      </w:r>
      <w:r w:rsidRPr="008C1091">
        <w:t xml:space="preserve"> 5530, 5540, para. 20 (2018)</w:t>
      </w:r>
      <w:r>
        <w:t xml:space="preserve"> (</w:t>
      </w:r>
      <w:r w:rsidRPr="008C1091">
        <w:rPr>
          <w:i/>
        </w:rPr>
        <w:t>HobbyKing</w:t>
      </w:r>
      <w:r>
        <w:t>)</w:t>
      </w:r>
      <w:r w:rsidRPr="008C1091">
        <w:t xml:space="preserve">. </w:t>
      </w:r>
    </w:p>
  </w:footnote>
  <w:footnote w:id="63">
    <w:p w:rsidR="008475A8" w:rsidRPr="008C1091" w:rsidP="008475A8" w14:paraId="5C34AA44" w14:textId="77777777">
      <w:pPr>
        <w:pStyle w:val="FootnoteText"/>
        <w:rPr>
          <w:color w:val="000000"/>
        </w:rPr>
      </w:pPr>
      <w:r w:rsidRPr="008C1091">
        <w:rPr>
          <w:rStyle w:val="FootnoteReference"/>
          <w:color w:val="000000"/>
        </w:rPr>
        <w:footnoteRef/>
      </w:r>
      <w:r w:rsidRPr="008C1091">
        <w:rPr>
          <w:color w:val="000000"/>
        </w:rPr>
        <w:t xml:space="preserve"> 47 CFR § 1.80(b); </w:t>
      </w:r>
      <w:bookmarkStart w:id="37" w:name="_Hlk19278426"/>
      <w:r w:rsidRPr="008C1091">
        <w:rPr>
          <w:i/>
          <w:color w:val="000000"/>
        </w:rPr>
        <w:t>see Behringer USA, Inc.</w:t>
      </w:r>
      <w:r w:rsidRPr="008C1091">
        <w:rPr>
          <w:color w:val="000000"/>
        </w:rPr>
        <w:t xml:space="preserve">, Notice of Apparent Liability for Forfeiture and Order, 21 FCC </w:t>
      </w:r>
      <w:r w:rsidRPr="008C1091">
        <w:rPr>
          <w:color w:val="000000"/>
        </w:rPr>
        <w:t>Rcd</w:t>
      </w:r>
      <w:r w:rsidRPr="008C1091">
        <w:rPr>
          <w:color w:val="000000"/>
        </w:rPr>
        <w:t xml:space="preserve"> 1820, 1826, para. 19 (2006) (forfeiture paid) (</w:t>
      </w:r>
      <w:r w:rsidRPr="008C1091">
        <w:rPr>
          <w:i/>
          <w:color w:val="000000"/>
        </w:rPr>
        <w:t>Behringer</w:t>
      </w:r>
      <w:r w:rsidRPr="008C1091">
        <w:rPr>
          <w:color w:val="000000"/>
        </w:rPr>
        <w:t xml:space="preserve">); </w:t>
      </w:r>
      <w:bookmarkEnd w:id="37"/>
      <w:r w:rsidRPr="008C1091">
        <w:rPr>
          <w:i/>
          <w:color w:val="000000"/>
        </w:rPr>
        <w:t>C.T.S. Technology Co., Limited</w:t>
      </w:r>
      <w:r w:rsidRPr="008C1091">
        <w:rPr>
          <w:color w:val="000000"/>
        </w:rPr>
        <w:t xml:space="preserve">, Notice of Apparent Liability for Forfeiture and Order, 29 FCC </w:t>
      </w:r>
      <w:r w:rsidRPr="008C1091">
        <w:rPr>
          <w:color w:val="000000"/>
        </w:rPr>
        <w:t>Rcd</w:t>
      </w:r>
      <w:r w:rsidRPr="008C1091">
        <w:rPr>
          <w:color w:val="000000"/>
        </w:rPr>
        <w:t xml:space="preserve"> 8107, 8112, para. 14 (2014), Forfeiture Order, 31 FCC </w:t>
      </w:r>
      <w:r w:rsidRPr="008C1091">
        <w:rPr>
          <w:color w:val="000000"/>
        </w:rPr>
        <w:t>Rcd</w:t>
      </w:r>
      <w:r w:rsidRPr="008C1091">
        <w:rPr>
          <w:color w:val="000000"/>
        </w:rPr>
        <w:t xml:space="preserve"> 6126 (2016).</w:t>
      </w:r>
    </w:p>
  </w:footnote>
  <w:footnote w:id="64">
    <w:p w:rsidR="008475A8" w:rsidRPr="008C1091" w:rsidP="008475A8" w14:paraId="6B74DA40" w14:textId="77777777">
      <w:pPr>
        <w:pStyle w:val="FootnoteText"/>
      </w:pPr>
      <w:r w:rsidRPr="008C1091">
        <w:rPr>
          <w:rStyle w:val="FootnoteReference"/>
        </w:rPr>
        <w:footnoteRef/>
      </w:r>
      <w:r w:rsidRPr="008C1091">
        <w:t xml:space="preserve"> This total base forfeiture accounts for one day of violations on April 9, 2019, at $7,000 per violation multiplied by the 32 violations (32 x $7,000 = $224,000).  </w:t>
      </w:r>
    </w:p>
  </w:footnote>
  <w:footnote w:id="65">
    <w:p w:rsidR="008475A8" w:rsidRPr="008C1091" w:rsidP="008475A8" w14:paraId="7CE5CA7F" w14:textId="77777777">
      <w:pPr>
        <w:pStyle w:val="FootnoteText"/>
      </w:pPr>
      <w:r w:rsidRPr="008C1091">
        <w:rPr>
          <w:rStyle w:val="FootnoteReference"/>
        </w:rPr>
        <w:footnoteRef/>
      </w:r>
      <w:r w:rsidRPr="008C1091">
        <w:t xml:space="preserve"> </w:t>
      </w:r>
      <w:r>
        <w:rPr>
          <w:i/>
          <w:iCs/>
        </w:rPr>
        <w:t xml:space="preserve">See </w:t>
      </w:r>
      <w:r w:rsidRPr="008C1091">
        <w:rPr>
          <w:i/>
          <w:color w:val="000000"/>
        </w:rPr>
        <w:t>Forfeiture Policy Statement</w:t>
      </w:r>
      <w:r w:rsidRPr="008C1091">
        <w:rPr>
          <w:color w:val="000000"/>
        </w:rPr>
        <w:t xml:space="preserve">, 12 FCC </w:t>
      </w:r>
      <w:r w:rsidRPr="008C1091">
        <w:rPr>
          <w:color w:val="000000"/>
        </w:rPr>
        <w:t>Rcd</w:t>
      </w:r>
      <w:r w:rsidRPr="008C1091">
        <w:rPr>
          <w:color w:val="000000"/>
        </w:rPr>
        <w:t xml:space="preserve"> </w:t>
      </w:r>
      <w:r>
        <w:rPr>
          <w:color w:val="000000"/>
        </w:rPr>
        <w:t xml:space="preserve">at </w:t>
      </w:r>
      <w:r w:rsidRPr="008C1091">
        <w:t>17100–01, para. 27</w:t>
      </w:r>
      <w:r w:rsidRPr="008C1091">
        <w:rPr>
          <w:color w:val="000000"/>
        </w:rPr>
        <w:t xml:space="preserve">; 47 CFR § 1.80(b)(8) (upward adjustment criteria </w:t>
      </w:r>
      <w:r w:rsidRPr="008C1091">
        <w:rPr>
          <w:color w:val="000000"/>
        </w:rPr>
        <w:t>includes</w:t>
      </w:r>
      <w:r w:rsidRPr="008C1091">
        <w:rPr>
          <w:color w:val="000000"/>
        </w:rPr>
        <w:t xml:space="preserve"> the following: egregious misconduct; ability to pay/relative disincentive; intentional violation; substantial harm; prior violations; substantial economic gain; and repeated or continuous violation).  </w:t>
      </w:r>
    </w:p>
  </w:footnote>
  <w:footnote w:id="66">
    <w:p w:rsidR="008475A8" w:rsidRPr="008C1091" w:rsidP="008475A8" w14:paraId="16967714" w14:textId="77777777">
      <w:pPr>
        <w:pStyle w:val="FootnoteText"/>
      </w:pPr>
      <w:r w:rsidRPr="008C1091">
        <w:rPr>
          <w:rStyle w:val="FootnoteReference"/>
        </w:rPr>
        <w:footnoteRef/>
      </w:r>
      <w:r w:rsidRPr="008C1091">
        <w:t xml:space="preserve"> </w:t>
      </w:r>
      <w:r w:rsidRPr="008C1091">
        <w:rPr>
          <w:i/>
        </w:rPr>
        <w:t xml:space="preserve">See </w:t>
      </w:r>
      <w:r w:rsidRPr="003E7B0F">
        <w:rPr>
          <w:i/>
          <w:iCs/>
        </w:rPr>
        <w:t>Marketing Citation</w:t>
      </w:r>
      <w:r w:rsidRPr="008C1091">
        <w:t xml:space="preserve">, 26 FCC </w:t>
      </w:r>
      <w:r w:rsidRPr="008C1091">
        <w:t>Rcd</w:t>
      </w:r>
      <w:r w:rsidRPr="008C1091">
        <w:t xml:space="preserve"> at 9475</w:t>
      </w:r>
      <w:r>
        <w:t>-76</w:t>
      </w:r>
      <w:r w:rsidRPr="008C1091">
        <w:t>, paras. 3-</w:t>
      </w:r>
      <w:r>
        <w:t>6</w:t>
      </w:r>
      <w:r w:rsidRPr="008C1091">
        <w:t xml:space="preserve"> (Sound Around’s noncompliant marketing goes back to at least 2009).</w:t>
      </w:r>
      <w:r>
        <w:t xml:space="preserve">  </w:t>
      </w:r>
    </w:p>
  </w:footnote>
  <w:footnote w:id="67">
    <w:p w:rsidR="008475A8" w:rsidRPr="008C1091" w:rsidP="008475A8" w14:paraId="2563075E" w14:textId="77777777">
      <w:pPr>
        <w:pStyle w:val="FootnoteText"/>
      </w:pPr>
      <w:r w:rsidRPr="008C1091">
        <w:rPr>
          <w:rStyle w:val="FootnoteReference"/>
        </w:rPr>
        <w:footnoteRef/>
      </w:r>
      <w:r w:rsidRPr="008C1091">
        <w:t xml:space="preserve"> </w:t>
      </w:r>
      <w:r w:rsidRPr="00F818AA">
        <w:rPr>
          <w:i/>
          <w:iCs/>
        </w:rPr>
        <w:t>See, e.g.</w:t>
      </w:r>
      <w:r w:rsidRPr="00F818AA">
        <w:t xml:space="preserve">, </w:t>
      </w:r>
      <w:r w:rsidRPr="00F818AA">
        <w:rPr>
          <w:i/>
          <w:iCs/>
        </w:rPr>
        <w:t>Midessa</w:t>
      </w:r>
      <w:r w:rsidRPr="00F818AA">
        <w:rPr>
          <w:i/>
          <w:iCs/>
        </w:rPr>
        <w:t xml:space="preserve"> Television Ltd. </w:t>
      </w:r>
      <w:r w:rsidRPr="00F818AA">
        <w:rPr>
          <w:i/>
          <w:iCs/>
        </w:rPr>
        <w:t>P’ship</w:t>
      </w:r>
      <w:r w:rsidRPr="00F818AA">
        <w:t>, Notice of Apparent Liability for Forfeitu</w:t>
      </w:r>
      <w:r>
        <w:t>r</w:t>
      </w:r>
      <w:r w:rsidRPr="00F818AA">
        <w:t xml:space="preserve">e, 29 FCC </w:t>
      </w:r>
      <w:r w:rsidRPr="00F818AA">
        <w:t>Rcd</w:t>
      </w:r>
      <w:r w:rsidRPr="00F818AA">
        <w:t xml:space="preserve"> 13247, 13250-51, para. 11</w:t>
      </w:r>
      <w:r>
        <w:t xml:space="preserve"> (2014)</w:t>
      </w:r>
      <w:r w:rsidRPr="00F818AA">
        <w:t xml:space="preserve"> (upward adjustment for the base forfeiture because of extended duration of the violation); </w:t>
      </w:r>
      <w:r w:rsidRPr="00F818AA">
        <w:rPr>
          <w:i/>
          <w:iCs/>
        </w:rPr>
        <w:t>Union Oil Co. of Cal.</w:t>
      </w:r>
      <w:r w:rsidRPr="00F818AA">
        <w:t xml:space="preserve">, Notice of Apparent Liability for Forfeiture, 27 FCC </w:t>
      </w:r>
      <w:r w:rsidRPr="00F818AA">
        <w:t>Rcd</w:t>
      </w:r>
      <w:r w:rsidRPr="00F818AA">
        <w:t xml:space="preserve"> 13806, 13810-11, paras. 10-11 (2012) (upward adjustment of the base forfeiture because of extended duration of the violation) (forfeiture paid)</w:t>
      </w:r>
      <w:r>
        <w:t xml:space="preserve">.  </w:t>
      </w:r>
      <w:r w:rsidRPr="008C1091">
        <w:t xml:space="preserve">Although some violations are not actionable due to the expiration of the statute of limitations period, where the </w:t>
      </w:r>
      <w:r>
        <w:t>c</w:t>
      </w:r>
      <w:r w:rsidRPr="008C1091">
        <w:t xml:space="preserve">ompany no longer markets certain models, the Commission has determined such violations may be relevant in determining adjustments to base forfeiture levels in setting the forfeiture amount.  </w:t>
      </w:r>
      <w:r w:rsidRPr="008C1091">
        <w:rPr>
          <w:i/>
          <w:iCs/>
        </w:rPr>
        <w:t>See Enserch Corp.</w:t>
      </w:r>
      <w:r w:rsidRPr="008C1091">
        <w:t xml:space="preserve">, Forfeiture Order, 15 FCC </w:t>
      </w:r>
      <w:r w:rsidRPr="008C1091">
        <w:t>Rcd</w:t>
      </w:r>
      <w:r w:rsidRPr="008C1091">
        <w:t xml:space="preserve"> 13551, 13554, para. 11 (2000) (the Commission can consider facts that occurred outside the statute of limitations period in assessing an appropriate forfeiture amount).</w:t>
      </w:r>
    </w:p>
  </w:footnote>
  <w:footnote w:id="68">
    <w:p w:rsidR="008475A8" w:rsidRPr="00312D21" w:rsidP="008475A8" w14:paraId="631E7777" w14:textId="77777777">
      <w:pPr>
        <w:pStyle w:val="FootnoteText"/>
      </w:pPr>
      <w:r>
        <w:rPr>
          <w:rStyle w:val="FootnoteReference"/>
        </w:rPr>
        <w:footnoteRef/>
      </w:r>
      <w:r>
        <w:t xml:space="preserve"> </w:t>
      </w:r>
      <w:r>
        <w:rPr>
          <w:i/>
          <w:iCs/>
        </w:rPr>
        <w:t>See supra</w:t>
      </w:r>
      <w:r>
        <w:t xml:space="preserve"> note </w:t>
      </w:r>
      <w:r>
        <w:fldChar w:fldCharType="begin"/>
      </w:r>
      <w:r>
        <w:instrText xml:space="preserve"> NOTEREF _Ref33004518 \h </w:instrText>
      </w:r>
      <w:r>
        <w:fldChar w:fldCharType="separate"/>
      </w:r>
      <w:r>
        <w:t>10</w:t>
      </w:r>
      <w:r>
        <w:fldChar w:fldCharType="end"/>
      </w:r>
      <w:r>
        <w:t xml:space="preserve"> (Federal Aviation Administration list of frequency bands supporting aviation and their use).  </w:t>
      </w:r>
    </w:p>
  </w:footnote>
  <w:footnote w:id="69">
    <w:p w:rsidR="008475A8" w:rsidRPr="008C1091" w:rsidP="008475A8" w14:paraId="22D9F3AA" w14:textId="77777777">
      <w:pPr>
        <w:pStyle w:val="FootnoteText"/>
      </w:pPr>
      <w:r w:rsidRPr="008C1091">
        <w:rPr>
          <w:rStyle w:val="FootnoteReference"/>
        </w:rPr>
        <w:footnoteRef/>
      </w:r>
      <w:r w:rsidRPr="008C1091">
        <w:t xml:space="preserve"> </w:t>
      </w:r>
      <w:r w:rsidRPr="008C1091">
        <w:rPr>
          <w:i/>
        </w:rPr>
        <w:t xml:space="preserve">See </w:t>
      </w:r>
      <w:r>
        <w:t>2019 LOI</w:t>
      </w:r>
      <w:r w:rsidRPr="008C1091">
        <w:t xml:space="preserve"> Response at </w:t>
      </w:r>
      <w:r w:rsidRPr="008C1091">
        <w:t>Exh</w:t>
      </w:r>
      <w:r>
        <w:t>.</w:t>
      </w:r>
      <w:r w:rsidRPr="008C1091">
        <w:t xml:space="preserve"> A.</w:t>
      </w:r>
    </w:p>
  </w:footnote>
  <w:footnote w:id="70">
    <w:p w:rsidR="008475A8" w:rsidRPr="008C1091" w:rsidP="008475A8" w14:paraId="1E6575A9" w14:textId="77777777">
      <w:pPr>
        <w:pStyle w:val="FootnoteText"/>
      </w:pPr>
      <w:r w:rsidRPr="008C1091">
        <w:rPr>
          <w:rStyle w:val="FootnoteReference"/>
        </w:rPr>
        <w:footnoteRef/>
      </w:r>
      <w:r w:rsidRPr="008C1091">
        <w:t xml:space="preserve"> </w:t>
      </w:r>
      <w:r w:rsidRPr="008C1091">
        <w:rPr>
          <w:i/>
          <w:iCs/>
        </w:rPr>
        <w:t>See</w:t>
      </w:r>
      <w:r>
        <w:rPr>
          <w:i/>
          <w:iCs/>
        </w:rPr>
        <w:t xml:space="preserve"> id</w:t>
      </w:r>
      <w:r w:rsidRPr="008C1091">
        <w:t xml:space="preserve">.  </w:t>
      </w:r>
    </w:p>
  </w:footnote>
  <w:footnote w:id="71">
    <w:p w:rsidR="008475A8" w:rsidRPr="008C1091" w:rsidP="008475A8" w14:paraId="355F9103" w14:textId="77777777">
      <w:pPr>
        <w:pStyle w:val="FootnoteText"/>
      </w:pPr>
      <w:r w:rsidRPr="008C1091">
        <w:rPr>
          <w:rStyle w:val="FootnoteReference"/>
        </w:rPr>
        <w:footnoteRef/>
      </w:r>
      <w:r w:rsidRPr="008C1091">
        <w:t xml:space="preserve"> </w:t>
      </w:r>
      <w:r w:rsidRPr="008C1091">
        <w:rPr>
          <w:i/>
        </w:rPr>
        <w:t xml:space="preserve">See </w:t>
      </w:r>
      <w:r w:rsidRPr="00F818AA">
        <w:rPr>
          <w:i/>
        </w:rPr>
        <w:t>HobbyKing</w:t>
      </w:r>
      <w:r w:rsidRPr="00F818AA">
        <w:rPr>
          <w:iCs/>
        </w:rPr>
        <w:t xml:space="preserve">, 33 FCC </w:t>
      </w:r>
      <w:r w:rsidRPr="00F818AA">
        <w:rPr>
          <w:iCs/>
        </w:rPr>
        <w:t>Rcd</w:t>
      </w:r>
      <w:r w:rsidRPr="00F818AA">
        <w:rPr>
          <w:iCs/>
        </w:rPr>
        <w:t xml:space="preserve"> at 5541, para. 23 (upward adjustment applied where the continued marketing of noncompliant transmitters threatened to interfere with Federal Aviation Administration systems);</w:t>
      </w:r>
      <w:r>
        <w:rPr>
          <w:iCs/>
        </w:rPr>
        <w:t xml:space="preserve"> </w:t>
      </w:r>
      <w:r w:rsidRPr="008C1091">
        <w:rPr>
          <w:i/>
        </w:rPr>
        <w:t>Towerstream Corp.</w:t>
      </w:r>
      <w:r w:rsidRPr="008C1091">
        <w:t xml:space="preserve">, Notice of Apparent Liability for Forfeiture and Order, 28 FCC </w:t>
      </w:r>
      <w:r w:rsidRPr="008C1091">
        <w:t>Rcd</w:t>
      </w:r>
      <w:r w:rsidRPr="008C1091">
        <w:t xml:space="preserve"> 11604, 11614, para. 29 (2013) (proposed forfeitures upwardly adjusted over 100</w:t>
      </w:r>
      <w:r>
        <w:t>%</w:t>
      </w:r>
      <w:r w:rsidRPr="008C1091">
        <w:t xml:space="preserve"> to the statutory maximum for target’s “blatant disregard for Commission authority and the consequent harm to public safety”), Order and Consent Decree, 31 FCC </w:t>
      </w:r>
      <w:r w:rsidRPr="008C1091">
        <w:t>Rcd</w:t>
      </w:r>
      <w:r w:rsidRPr="008C1091">
        <w:t xml:space="preserve"> 8530 (EB 2016); </w:t>
      </w:r>
      <w:r w:rsidRPr="008C1091">
        <w:rPr>
          <w:i/>
        </w:rPr>
        <w:t>Pilot Travel Centers</w:t>
      </w:r>
      <w:r w:rsidRPr="008C1091">
        <w:t xml:space="preserve">, </w:t>
      </w:r>
      <w:r w:rsidRPr="008C1091">
        <w:rPr>
          <w:i/>
        </w:rPr>
        <w:t>LLC</w:t>
      </w:r>
      <w:r w:rsidRPr="008C1091">
        <w:t xml:space="preserve">, 19 FCC </w:t>
      </w:r>
      <w:r w:rsidRPr="008C1091">
        <w:t>Rcd</w:t>
      </w:r>
      <w:r w:rsidRPr="008C1091">
        <w:t xml:space="preserve"> 23113, 23117, para. 17 (upward adjustment where company continued marketing noncompliant devices following nine citations and devices had the potential to interfere with authorized users) (</w:t>
      </w:r>
      <w:r w:rsidRPr="008C1091">
        <w:rPr>
          <w:i/>
        </w:rPr>
        <w:t>Pilot Travel Centers</w:t>
      </w:r>
      <w:r w:rsidRPr="008C1091">
        <w:t xml:space="preserve">); </w:t>
      </w:r>
      <w:r w:rsidRPr="008C1091">
        <w:rPr>
          <w:i/>
        </w:rPr>
        <w:t>San Jose Navigation, Inc.</w:t>
      </w:r>
      <w:r w:rsidRPr="008C1091">
        <w:t xml:space="preserve">, 21 FCC </w:t>
      </w:r>
      <w:r w:rsidRPr="008C1091">
        <w:t>Rcd</w:t>
      </w:r>
      <w:r w:rsidRPr="008C1091">
        <w:t xml:space="preserve"> 2873, 2877-78, para. 15 (2006) (upward adjustment because the noncompliant devices being marketed “intentionally emit signals in restricted frequency bands, potentially interfering with and jeopardizing critical authorized safety-of-life operations …. [the] apparent violations were continuous in nature, occurring over a three-year period …. the volume of unauthorized devices distributed …. and the fact that the devices are not capable of being certified in any event”), Forfeiture Order, 22 FCC </w:t>
      </w:r>
      <w:r w:rsidRPr="008C1091">
        <w:t>Rcd</w:t>
      </w:r>
      <w:r w:rsidRPr="008C1091">
        <w:t xml:space="preserve"> 1040 (2007), Order and Consent Decree, 26 FCC </w:t>
      </w:r>
      <w:r w:rsidRPr="008C1091">
        <w:t>Rcd</w:t>
      </w:r>
      <w:r w:rsidRPr="008C1091">
        <w:t xml:space="preserve"> 1494 (2010); </w:t>
      </w:r>
      <w:r w:rsidRPr="008C1091">
        <w:rPr>
          <w:i/>
        </w:rPr>
        <w:t>Callais</w:t>
      </w:r>
      <w:r w:rsidRPr="008C1091">
        <w:rPr>
          <w:i/>
        </w:rPr>
        <w:t xml:space="preserve"> Cablevision, Inc.</w:t>
      </w:r>
      <w:r w:rsidRPr="008C1091">
        <w:t xml:space="preserve">, Notice of Apparent Liability for Forfeiture, 16 FCC </w:t>
      </w:r>
      <w:r w:rsidRPr="008C1091">
        <w:t>Rcd</w:t>
      </w:r>
      <w:r w:rsidRPr="008C1091">
        <w:t xml:space="preserve"> 1359, 1362-63, para. 11 (2001) (upwardly adjusting a forfeiture approximately 125</w:t>
      </w:r>
      <w:r>
        <w:t>%</w:t>
      </w:r>
      <w:r w:rsidRPr="008C1091">
        <w:t xml:space="preserve"> based on a finding that a cable system’s signal leakage violations increased the likelihood of interference with aeronautical frequencies and potentially jeopardized air safety), Forfeiture Order, 17 FCC </w:t>
      </w:r>
      <w:r w:rsidRPr="008C1091">
        <w:t>Rcd</w:t>
      </w:r>
      <w:r w:rsidRPr="008C1091">
        <w:t xml:space="preserve"> 22626 (2002).</w:t>
      </w:r>
    </w:p>
  </w:footnote>
  <w:footnote w:id="72">
    <w:p w:rsidR="008475A8" w:rsidP="008475A8" w14:paraId="2E4AF7E8" w14:textId="77777777">
      <w:pPr>
        <w:pStyle w:val="FootnoteText"/>
      </w:pPr>
      <w:r>
        <w:rPr>
          <w:rStyle w:val="FootnoteReference"/>
        </w:rPr>
        <w:footnoteRef/>
      </w:r>
      <w:r>
        <w:t xml:space="preserve"> The Division observed marketing of the two models on Sound Around’s websites within the last twelve months for multiple days.  For equipment marketing violations involving devices that threaten public safety, the Commission has previously assessed violations at the statutory maximum on a continuing basis to appropriately sanction the violations.  </w:t>
      </w:r>
      <w:r>
        <w:rPr>
          <w:i/>
          <w:iCs/>
        </w:rPr>
        <w:t>See e.g.</w:t>
      </w:r>
      <w:r>
        <w:t xml:space="preserve">, </w:t>
      </w:r>
      <w:r w:rsidRPr="00F818AA">
        <w:rPr>
          <w:i/>
        </w:rPr>
        <w:t>HobbyKing</w:t>
      </w:r>
      <w:r w:rsidRPr="00F818AA">
        <w:rPr>
          <w:iCs/>
        </w:rPr>
        <w:t xml:space="preserve">, 33 FCC </w:t>
      </w:r>
      <w:r w:rsidRPr="00F818AA">
        <w:rPr>
          <w:iCs/>
        </w:rPr>
        <w:t>Rcd</w:t>
      </w:r>
      <w:r w:rsidRPr="00F818AA">
        <w:rPr>
          <w:iCs/>
        </w:rPr>
        <w:t xml:space="preserve"> at 5541, para. 23</w:t>
      </w:r>
      <w:r>
        <w:rPr>
          <w:iCs/>
        </w:rPr>
        <w:t xml:space="preserve">; </w:t>
      </w:r>
      <w:r>
        <w:rPr>
          <w:i/>
        </w:rPr>
        <w:t>see also</w:t>
      </w:r>
      <w:r>
        <w:t xml:space="preserve"> </w:t>
      </w:r>
      <w:r w:rsidRPr="00631DBB">
        <w:rPr>
          <w:i/>
          <w:iCs/>
        </w:rPr>
        <w:t>C.T.S. Technology Co., Limited</w:t>
      </w:r>
      <w:r w:rsidRPr="00631DBB">
        <w:t xml:space="preserve">, Notice of Apparent Liability for Forfeiture and Order, 29 FCC </w:t>
      </w:r>
      <w:r w:rsidRPr="00631DBB">
        <w:t>Rcd</w:t>
      </w:r>
      <w:r w:rsidRPr="00631DBB">
        <w:t xml:space="preserve"> 8107, 8113, paras. 17-18 (2014)</w:t>
      </w:r>
      <w:r>
        <w:t xml:space="preserve"> (signal jammers assessed at continuing statutory maximum), </w:t>
      </w:r>
      <w:r w:rsidRPr="00631DBB">
        <w:t>Forfeiture Order</w:t>
      </w:r>
      <w:r>
        <w:t xml:space="preserve">, </w:t>
      </w:r>
      <w:r w:rsidRPr="00631DBB">
        <w:t xml:space="preserve">31 FCC </w:t>
      </w:r>
      <w:r w:rsidRPr="00631DBB">
        <w:t>Rcd</w:t>
      </w:r>
      <w:r w:rsidRPr="00631DBB">
        <w:t xml:space="preserve"> 6126</w:t>
      </w:r>
      <w:r>
        <w:t xml:space="preserve"> (2016) (affirming forfeiture proposed in the </w:t>
      </w:r>
      <w:r w:rsidRPr="00631DBB">
        <w:t>Notice of Apparent Liability</w:t>
      </w:r>
      <w:r>
        <w:t>)</w:t>
      </w:r>
      <w:r w:rsidRPr="00631DBB">
        <w:t>.</w:t>
      </w:r>
    </w:p>
  </w:footnote>
  <w:footnote w:id="73">
    <w:p w:rsidR="008475A8" w:rsidRPr="008C1091" w:rsidP="008475A8" w14:paraId="0D1554A1" w14:textId="77777777">
      <w:pPr>
        <w:pStyle w:val="FootnoteText"/>
        <w:rPr>
          <w:color w:val="000000"/>
        </w:rPr>
      </w:pPr>
      <w:r w:rsidRPr="008C1091">
        <w:rPr>
          <w:rStyle w:val="FootnoteReference"/>
          <w:color w:val="000000"/>
        </w:rPr>
        <w:footnoteRef/>
      </w:r>
      <w:r w:rsidRPr="008C1091">
        <w:rPr>
          <w:color w:val="000000"/>
        </w:rPr>
        <w:t xml:space="preserve"> 47 U.S.C. § 503(b).</w:t>
      </w:r>
    </w:p>
  </w:footnote>
  <w:footnote w:id="74">
    <w:p w:rsidR="008475A8" w:rsidRPr="008C1091" w:rsidP="008475A8" w14:paraId="065C53B2" w14:textId="77777777">
      <w:pPr>
        <w:pStyle w:val="FootnoteText"/>
        <w:rPr>
          <w:color w:val="000000"/>
        </w:rPr>
      </w:pPr>
      <w:r w:rsidRPr="008C1091">
        <w:rPr>
          <w:rStyle w:val="FootnoteReference"/>
          <w:color w:val="000000"/>
        </w:rPr>
        <w:footnoteRef/>
      </w:r>
      <w:r w:rsidRPr="008C1091">
        <w:rPr>
          <w:color w:val="000000"/>
          <w:lang w:val="es-ES"/>
        </w:rPr>
        <w:t xml:space="preserve"> 47 CFR § 1.80.</w:t>
      </w:r>
    </w:p>
  </w:footnote>
  <w:footnote w:id="75">
    <w:p w:rsidR="008475A8" w:rsidRPr="008C1091" w:rsidP="008475A8" w14:paraId="1F0397C7" w14:textId="77777777">
      <w:pPr>
        <w:pStyle w:val="FootnoteText"/>
      </w:pPr>
      <w:r w:rsidRPr="008C1091">
        <w:rPr>
          <w:rStyle w:val="FootnoteReference"/>
        </w:rPr>
        <w:footnoteRef/>
      </w:r>
      <w:r w:rsidRPr="008C1091">
        <w:t xml:space="preserve"> 47 U.S.C. § 302a(b).   </w:t>
      </w:r>
    </w:p>
  </w:footnote>
  <w:footnote w:id="76">
    <w:p w:rsidR="008475A8" w:rsidRPr="008C1091" w:rsidP="008475A8" w14:paraId="67E2650A" w14:textId="77777777">
      <w:pPr>
        <w:pStyle w:val="FootnoteText"/>
      </w:pPr>
      <w:r w:rsidRPr="008C1091">
        <w:rPr>
          <w:rStyle w:val="FootnoteReference"/>
        </w:rPr>
        <w:footnoteRef/>
      </w:r>
      <w:r w:rsidRPr="008C1091">
        <w:t xml:space="preserve"> </w:t>
      </w:r>
      <w:r w:rsidRPr="008C1091">
        <w:rPr>
          <w:color w:val="000000"/>
        </w:rPr>
        <w:t>47 CFR §</w:t>
      </w:r>
      <w:r>
        <w:rPr>
          <w:color w:val="000000"/>
        </w:rPr>
        <w:t>§</w:t>
      </w:r>
      <w:r w:rsidRPr="008C1091">
        <w:rPr>
          <w:color w:val="000000"/>
        </w:rPr>
        <w:t xml:space="preserve"> 2.803(b)(1)</w:t>
      </w:r>
      <w:r>
        <w:rPr>
          <w:color w:val="000000"/>
        </w:rPr>
        <w:t>, 74.851(f)</w:t>
      </w:r>
      <w:r w:rsidRPr="008C1091">
        <w:rPr>
          <w:color w:val="000000"/>
        </w:rPr>
        <w:t xml:space="preserve">  </w:t>
      </w:r>
    </w:p>
  </w:footnote>
  <w:footnote w:id="77">
    <w:p w:rsidR="008475A8" w:rsidRPr="008C1091" w:rsidP="008475A8" w14:paraId="734B0FDD" w14:textId="77777777">
      <w:pPr>
        <w:pStyle w:val="FootnoteText"/>
        <w:rPr>
          <w:color w:val="000000"/>
        </w:rPr>
      </w:pPr>
      <w:r w:rsidRPr="008C1091">
        <w:rPr>
          <w:rStyle w:val="FootnoteReference"/>
          <w:color w:val="000000"/>
        </w:rPr>
        <w:footnoteRef/>
      </w:r>
      <w:r w:rsidRPr="008C1091">
        <w:rPr>
          <w:color w:val="000000"/>
        </w:rPr>
        <w:t xml:space="preserve"> 47 CFR § 1.80.</w:t>
      </w:r>
    </w:p>
  </w:footnote>
  <w:footnote w:id="78">
    <w:p w:rsidR="008475A8" w:rsidRPr="008C1091" w:rsidP="008475A8" w14:paraId="21AC8C52" w14:textId="77777777">
      <w:pPr>
        <w:pStyle w:val="FootnoteText"/>
      </w:pPr>
      <w:r w:rsidRPr="008C1091">
        <w:rPr>
          <w:rStyle w:val="FootnoteReference"/>
        </w:rPr>
        <w:footnoteRef/>
      </w:r>
      <w:r w:rsidRPr="008C1091">
        <w:t xml:space="preserve"> Payments made using the Commission’s Fee Filer system do not require the submission of an FCC Form 159.</w:t>
      </w:r>
    </w:p>
  </w:footnote>
  <w:footnote w:id="79">
    <w:p w:rsidR="008475A8" w:rsidRPr="008C1091" w:rsidP="008475A8" w14:paraId="738FE327" w14:textId="77777777">
      <w:pPr>
        <w:pStyle w:val="FootnoteText"/>
      </w:pPr>
      <w:r w:rsidRPr="008C1091">
        <w:rPr>
          <w:rStyle w:val="FootnoteReference"/>
        </w:rPr>
        <w:footnoteRef/>
      </w:r>
      <w:r w:rsidRPr="008C1091">
        <w:t xml:space="preserve"> For questions regarding payment procedures, please contact the Financial Operations Group Help Desk by phone at 1-877-480-3201 (option #6), or by e-mail at </w:t>
      </w:r>
      <w:hyperlink r:id="rId5" w:history="1">
        <w:r w:rsidRPr="008C1091">
          <w:rPr>
            <w:rStyle w:val="Hyperlink"/>
          </w:rPr>
          <w:t>ARINQUIRIES@fcc.gov</w:t>
        </w:r>
      </w:hyperlink>
      <w:r w:rsidRPr="008C1091">
        <w:t>.</w:t>
      </w:r>
    </w:p>
  </w:footnote>
  <w:footnote w:id="80">
    <w:p w:rsidR="008475A8" w:rsidRPr="008C1091" w:rsidP="008475A8" w14:paraId="720A464D" w14:textId="77777777">
      <w:pPr>
        <w:pStyle w:val="FootnoteText"/>
      </w:pPr>
      <w:r w:rsidRPr="008C1091">
        <w:rPr>
          <w:rStyle w:val="FootnoteReference"/>
        </w:rPr>
        <w:footnoteRef/>
      </w:r>
      <w:r w:rsidRPr="008C1091">
        <w:t xml:space="preserve"> Instructions for completing the form may be obtained at </w:t>
      </w:r>
      <w:hyperlink r:id="rId6" w:history="1">
        <w:r w:rsidRPr="008C1091">
          <w:rPr>
            <w:rStyle w:val="Hyperlink"/>
          </w:rPr>
          <w:t>http://www.fcc.gov/Forms/Form159/159.pdf</w:t>
        </w:r>
      </w:hyperlink>
      <w:r w:rsidRPr="008C1091">
        <w:t xml:space="preserve">. </w:t>
      </w:r>
    </w:p>
  </w:footnote>
  <w:footnote w:id="81">
    <w:p w:rsidR="008475A8" w:rsidRPr="008C1091" w:rsidP="008475A8" w14:paraId="0F37F0FC" w14:textId="77777777">
      <w:pPr>
        <w:pStyle w:val="FootnoteText"/>
      </w:pPr>
      <w:r w:rsidRPr="008C1091">
        <w:rPr>
          <w:rStyle w:val="FootnoteReference"/>
        </w:rPr>
        <w:footnoteRef/>
      </w:r>
      <w:r w:rsidRPr="008C1091">
        <w:t xml:space="preserve"> </w:t>
      </w:r>
      <w:r w:rsidRPr="008C1091">
        <w:rPr>
          <w:i/>
        </w:rPr>
        <w:t>See</w:t>
      </w:r>
      <w:r w:rsidRPr="008C1091">
        <w:t xml:space="preserve"> 47 CFR § 1.1914.</w:t>
      </w:r>
    </w:p>
  </w:footnote>
  <w:footnote w:id="82">
    <w:p w:rsidR="008475A8" w:rsidRPr="008C1091" w:rsidP="008475A8" w14:paraId="7024B482" w14:textId="77777777">
      <w:pPr>
        <w:pStyle w:val="FootnoteText"/>
        <w:rPr>
          <w:color w:val="000000"/>
        </w:rPr>
      </w:pPr>
      <w:r w:rsidRPr="008C1091">
        <w:rPr>
          <w:rStyle w:val="FootnoteReference"/>
          <w:color w:val="000000"/>
        </w:rPr>
        <w:footnoteRef/>
      </w:r>
      <w:r w:rsidRPr="008C1091">
        <w:rPr>
          <w:color w:val="000000"/>
        </w:rPr>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5A8" w:rsidRPr="00F60397" w:rsidP="00F60397" w14:paraId="4B2DCB93" w14:textId="77777777">
    <w:pPr>
      <w:tabs>
        <w:tab w:val="center" w:pos="4680"/>
        <w:tab w:val="right" w:pos="9360"/>
      </w:tabs>
    </w:pPr>
    <w:r>
      <w:rPr>
        <w:noProof/>
      </w:rPr>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Pr="00F60397">
      <w:rPr>
        <w:b/>
      </w:rPr>
      <w:tab/>
      <w:t>Federal Communications Commission</w:t>
    </w:r>
    <w:r w:rsidRPr="00F60397">
      <w:rPr>
        <w:b/>
      </w:rPr>
      <w:tab/>
    </w:r>
    <w:r>
      <w:rPr>
        <w:b/>
        <w:spacing w:val="-2"/>
      </w:rPr>
      <w:t>FCC 20-46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75A8" w:rsidRPr="003D5AFE" w:rsidP="00F60397" w14:paraId="47E24352" w14:textId="77777777">
    <w:pPr>
      <w:tabs>
        <w:tab w:val="center" w:pos="4680"/>
        <w:tab w:val="right" w:pos="9360"/>
      </w:tabs>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weight="0.05pt">
          <w10:wrap anchorx="margin"/>
        </v:rect>
      </w:pict>
    </w:r>
    <w:r w:rsidRPr="003D5AFE">
      <w:rPr>
        <w:b/>
      </w:rPr>
      <w:tab/>
      <w:t>Federal Communications Commission</w:t>
    </w:r>
    <w:r w:rsidRPr="003D5AFE">
      <w:rPr>
        <w:b/>
      </w:rPr>
      <w:tab/>
    </w:r>
    <w:r w:rsidRPr="003D5AFE">
      <w:rPr>
        <w:b/>
        <w:spacing w:val="-2"/>
      </w:rPr>
      <w:t xml:space="preserve">FCC </w:t>
    </w:r>
    <w:r>
      <w:rPr>
        <w:b/>
        <w:spacing w:val="-2"/>
      </w:rPr>
      <w:t>20</w:t>
    </w:r>
    <w:r w:rsidRPr="00461B59">
      <w:rPr>
        <w:b/>
        <w:spacing w:val="-2"/>
      </w:rPr>
      <w:t>-46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515A1D" w14:textId="77777777">
    <w:pPr>
      <w:pStyle w:val="Header"/>
      <w:rPr>
        <w:b w:val="0"/>
      </w:rPr>
    </w:pPr>
    <w:r>
      <w:tab/>
      <w:t>Federal Communications Commission</w:t>
    </w:r>
    <w:r>
      <w:tab/>
    </w:r>
    <w:r w:rsidR="00D609FD">
      <w:rPr>
        <w:spacing w:val="-2"/>
      </w:rPr>
      <w:t>FCC 20-46</w:t>
    </w:r>
  </w:p>
  <w:p w:rsidR="00D25FB5" w14:paraId="04FAB446"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0E29B94"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27CE15"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609FD">
      <w:rPr>
        <w:spacing w:val="-2"/>
      </w:rPr>
      <w:t>FCC 20-46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CCC533C"/>
    <w:lvl w:ilvl="0">
      <w:start w:val="1"/>
      <w:numFmt w:val="decimal"/>
      <w:lvlText w:val="%1."/>
      <w:lvlJc w:val="left"/>
      <w:pPr>
        <w:tabs>
          <w:tab w:val="num" w:pos="1800"/>
        </w:tabs>
        <w:ind w:left="1800" w:hanging="360"/>
      </w:pPr>
    </w:lvl>
  </w:abstractNum>
  <w:abstractNum w:abstractNumId="1">
    <w:nsid w:val="FFFFFF7D"/>
    <w:multiLevelType w:val="singleLevel"/>
    <w:tmpl w:val="1256AC74"/>
    <w:lvl w:ilvl="0">
      <w:start w:val="1"/>
      <w:numFmt w:val="decimal"/>
      <w:lvlText w:val="%1."/>
      <w:lvlJc w:val="left"/>
      <w:pPr>
        <w:tabs>
          <w:tab w:val="num" w:pos="1440"/>
        </w:tabs>
        <w:ind w:left="1440" w:hanging="360"/>
      </w:pPr>
    </w:lvl>
  </w:abstractNum>
  <w:abstractNum w:abstractNumId="2">
    <w:nsid w:val="FFFFFF7E"/>
    <w:multiLevelType w:val="singleLevel"/>
    <w:tmpl w:val="5ED202B4"/>
    <w:lvl w:ilvl="0">
      <w:start w:val="1"/>
      <w:numFmt w:val="decimal"/>
      <w:lvlText w:val="%1."/>
      <w:lvlJc w:val="left"/>
      <w:pPr>
        <w:tabs>
          <w:tab w:val="num" w:pos="1080"/>
        </w:tabs>
        <w:ind w:left="1080" w:hanging="360"/>
      </w:pPr>
    </w:lvl>
  </w:abstractNum>
  <w:abstractNum w:abstractNumId="3">
    <w:nsid w:val="FFFFFF7F"/>
    <w:multiLevelType w:val="singleLevel"/>
    <w:tmpl w:val="F310552E"/>
    <w:lvl w:ilvl="0">
      <w:start w:val="1"/>
      <w:numFmt w:val="decimal"/>
      <w:lvlText w:val="%1."/>
      <w:lvlJc w:val="left"/>
      <w:pPr>
        <w:tabs>
          <w:tab w:val="num" w:pos="720"/>
        </w:tabs>
        <w:ind w:left="720" w:hanging="360"/>
      </w:pPr>
    </w:lvl>
  </w:abstractNum>
  <w:abstractNum w:abstractNumId="4">
    <w:nsid w:val="FFFFFF80"/>
    <w:multiLevelType w:val="singleLevel"/>
    <w:tmpl w:val="E13EA6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50D6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B2AF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CE23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488F74"/>
    <w:lvl w:ilvl="0">
      <w:start w:val="1"/>
      <w:numFmt w:val="decimal"/>
      <w:lvlText w:val="%1."/>
      <w:lvlJc w:val="left"/>
      <w:pPr>
        <w:tabs>
          <w:tab w:val="num" w:pos="360"/>
        </w:tabs>
        <w:ind w:left="360" w:hanging="360"/>
      </w:pPr>
    </w:lvl>
  </w:abstractNum>
  <w:abstractNum w:abstractNumId="9">
    <w:nsid w:val="FFFFFF89"/>
    <w:multiLevelType w:val="singleLevel"/>
    <w:tmpl w:val="238C0A5A"/>
    <w:lvl w:ilvl="0">
      <w:start w:val="1"/>
      <w:numFmt w:val="bullet"/>
      <w:lvlText w:val=""/>
      <w:lvlJc w:val="left"/>
      <w:pPr>
        <w:tabs>
          <w:tab w:val="num" w:pos="360"/>
        </w:tabs>
        <w:ind w:left="360" w:hanging="360"/>
      </w:pPr>
      <w:rPr>
        <w:rFonts w:ascii="Symbol" w:hAnsi="Symbol" w:hint="default"/>
      </w:rPr>
    </w:lvl>
  </w:abstractNum>
  <w:abstractNum w:abstractNumId="10">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C4D2619"/>
    <w:multiLevelType w:val="hybridMultilevel"/>
    <w:tmpl w:val="A9743E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3461887"/>
    <w:multiLevelType w:val="hybridMultilevel"/>
    <w:tmpl w:val="097C3A9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1A3138"/>
    <w:multiLevelType w:val="hybridMultilevel"/>
    <w:tmpl w:val="C0342A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248246F3"/>
    <w:multiLevelType w:val="singleLevel"/>
    <w:tmpl w:val="B1F45678"/>
    <w:lvl w:ilvl="0">
      <w:start w:val="1"/>
      <w:numFmt w:val="decimal"/>
      <w:lvlText w:val="%1."/>
      <w:lvlJc w:val="left"/>
      <w:pPr>
        <w:tabs>
          <w:tab w:val="num" w:pos="1080"/>
        </w:tabs>
        <w:ind w:left="0" w:firstLine="720"/>
      </w:pPr>
    </w:lvl>
  </w:abstractNum>
  <w:abstractNum w:abstractNumId="2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0005D2F"/>
    <w:multiLevelType w:val="hybridMultilevel"/>
    <w:tmpl w:val="1A58F8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32303FE"/>
    <w:multiLevelType w:val="hybridMultilevel"/>
    <w:tmpl w:val="925EAA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BD21680"/>
    <w:multiLevelType w:val="hybridMultilevel"/>
    <w:tmpl w:val="DD3E0D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2">
    <w:nsid w:val="70D909AD"/>
    <w:multiLevelType w:val="hybridMultilevel"/>
    <w:tmpl w:val="B502A1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7C51EB1"/>
    <w:multiLevelType w:val="hybridMultilevel"/>
    <w:tmpl w:val="447815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8CA2F7A"/>
    <w:multiLevelType w:val="hybridMultilevel"/>
    <w:tmpl w:val="2E1EA266"/>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5">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D6A11D8"/>
    <w:multiLevelType w:val="hybridMultilevel"/>
    <w:tmpl w:val="08921C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8"/>
  </w:num>
  <w:num w:numId="2">
    <w:abstractNumId w:val="26"/>
  </w:num>
  <w:num w:numId="3">
    <w:abstractNumId w:val="21"/>
  </w:num>
  <w:num w:numId="4">
    <w:abstractNumId w:val="22"/>
  </w:num>
  <w:num w:numId="5">
    <w:abstractNumId w:val="20"/>
  </w:num>
  <w:num w:numId="6">
    <w:abstractNumId w:val="11"/>
  </w:num>
  <w:num w:numId="7">
    <w:abstractNumId w:val="31"/>
  </w:num>
  <w:num w:numId="8">
    <w:abstractNumId w:val="27"/>
  </w:num>
  <w:num w:numId="9">
    <w:abstractNumId w:val="35"/>
  </w:num>
  <w:num w:numId="10">
    <w:abstractNumId w:val="24"/>
  </w:num>
  <w:num w:numId="11">
    <w:abstractNumId w:val="28"/>
  </w:num>
  <w:num w:numId="12">
    <w:abstractNumId w:val="14"/>
  </w:num>
  <w:num w:numId="13">
    <w:abstractNumId w:val="12"/>
  </w:num>
  <w:num w:numId="14">
    <w:abstractNumId w:val="10"/>
  </w:num>
  <w:num w:numId="15">
    <w:abstractNumId w:val="17"/>
  </w:num>
  <w:num w:numId="16">
    <w:abstractNumId w:val="25"/>
  </w:num>
  <w:num w:numId="17">
    <w:abstractNumId w:val="34"/>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3"/>
  </w:num>
  <w:num w:numId="22">
    <w:abstractNumId w:val="15"/>
  </w:num>
  <w:num w:numId="23">
    <w:abstractNumId w:val="29"/>
  </w:num>
  <w:num w:numId="24">
    <w:abstractNumId w:val="32"/>
  </w:num>
  <w:num w:numId="25">
    <w:abstractNumId w:val="30"/>
  </w:num>
  <w:num w:numId="26">
    <w:abstractNumId w:val="36"/>
  </w:num>
  <w:num w:numId="27">
    <w:abstractNumId w:val="19"/>
  </w:num>
  <w:num w:numId="28">
    <w:abstractNumId w:val="33"/>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6"/>
    <w:lvlOverride w:ilvl="0">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A8"/>
    <w:rsid w:val="00036039"/>
    <w:rsid w:val="00037F90"/>
    <w:rsid w:val="000747FA"/>
    <w:rsid w:val="000875BF"/>
    <w:rsid w:val="00096D8C"/>
    <w:rsid w:val="000B305A"/>
    <w:rsid w:val="000C0B65"/>
    <w:rsid w:val="000D058B"/>
    <w:rsid w:val="000E05FE"/>
    <w:rsid w:val="000E3D42"/>
    <w:rsid w:val="00122BD5"/>
    <w:rsid w:val="00133F79"/>
    <w:rsid w:val="001649AC"/>
    <w:rsid w:val="001852BC"/>
    <w:rsid w:val="00194A66"/>
    <w:rsid w:val="00194E04"/>
    <w:rsid w:val="001D6BCF"/>
    <w:rsid w:val="001E01CA"/>
    <w:rsid w:val="00275CF5"/>
    <w:rsid w:val="0028301F"/>
    <w:rsid w:val="00285017"/>
    <w:rsid w:val="002A2D2E"/>
    <w:rsid w:val="002C00E8"/>
    <w:rsid w:val="003047D3"/>
    <w:rsid w:val="00312D21"/>
    <w:rsid w:val="003275DB"/>
    <w:rsid w:val="00336477"/>
    <w:rsid w:val="00343749"/>
    <w:rsid w:val="003660ED"/>
    <w:rsid w:val="00375060"/>
    <w:rsid w:val="003A0CDD"/>
    <w:rsid w:val="003A0D15"/>
    <w:rsid w:val="003B0550"/>
    <w:rsid w:val="003B5193"/>
    <w:rsid w:val="003B694F"/>
    <w:rsid w:val="003C0BF3"/>
    <w:rsid w:val="003D5AFE"/>
    <w:rsid w:val="003E7B0F"/>
    <w:rsid w:val="003F171C"/>
    <w:rsid w:val="003F75AF"/>
    <w:rsid w:val="00412FC5"/>
    <w:rsid w:val="00422276"/>
    <w:rsid w:val="004242F1"/>
    <w:rsid w:val="00445A00"/>
    <w:rsid w:val="00451B0F"/>
    <w:rsid w:val="00461B59"/>
    <w:rsid w:val="004C2EE3"/>
    <w:rsid w:val="004D4B4D"/>
    <w:rsid w:val="004E4A22"/>
    <w:rsid w:val="004F6B94"/>
    <w:rsid w:val="00511968"/>
    <w:rsid w:val="0055614C"/>
    <w:rsid w:val="00566D06"/>
    <w:rsid w:val="00580F66"/>
    <w:rsid w:val="00582377"/>
    <w:rsid w:val="005D4B7F"/>
    <w:rsid w:val="005E14C2"/>
    <w:rsid w:val="005F3E70"/>
    <w:rsid w:val="00607BA5"/>
    <w:rsid w:val="0061180A"/>
    <w:rsid w:val="00626EB6"/>
    <w:rsid w:val="00631DBB"/>
    <w:rsid w:val="00655D03"/>
    <w:rsid w:val="00683388"/>
    <w:rsid w:val="00683F84"/>
    <w:rsid w:val="00696AF6"/>
    <w:rsid w:val="006A6A81"/>
    <w:rsid w:val="006B3614"/>
    <w:rsid w:val="006F7393"/>
    <w:rsid w:val="0070224F"/>
    <w:rsid w:val="00702D12"/>
    <w:rsid w:val="007043A4"/>
    <w:rsid w:val="007115F7"/>
    <w:rsid w:val="00785689"/>
    <w:rsid w:val="007921D7"/>
    <w:rsid w:val="0079754B"/>
    <w:rsid w:val="007A1E6D"/>
    <w:rsid w:val="007A423B"/>
    <w:rsid w:val="007B0762"/>
    <w:rsid w:val="007B0EB2"/>
    <w:rsid w:val="007B4D10"/>
    <w:rsid w:val="00810B6F"/>
    <w:rsid w:val="00822CE0"/>
    <w:rsid w:val="0083619B"/>
    <w:rsid w:val="00841AB1"/>
    <w:rsid w:val="008475A8"/>
    <w:rsid w:val="00870756"/>
    <w:rsid w:val="0088797D"/>
    <w:rsid w:val="00893647"/>
    <w:rsid w:val="008A3B05"/>
    <w:rsid w:val="008C1091"/>
    <w:rsid w:val="008C68F1"/>
    <w:rsid w:val="008D0CA2"/>
    <w:rsid w:val="00904DEE"/>
    <w:rsid w:val="0090551C"/>
    <w:rsid w:val="00921803"/>
    <w:rsid w:val="00926503"/>
    <w:rsid w:val="00930752"/>
    <w:rsid w:val="00943B31"/>
    <w:rsid w:val="009726D8"/>
    <w:rsid w:val="00981F23"/>
    <w:rsid w:val="009A41F0"/>
    <w:rsid w:val="009D0B1C"/>
    <w:rsid w:val="009D7308"/>
    <w:rsid w:val="009E64A3"/>
    <w:rsid w:val="009F76DB"/>
    <w:rsid w:val="00A32C3B"/>
    <w:rsid w:val="00A45F4F"/>
    <w:rsid w:val="00A53202"/>
    <w:rsid w:val="00A600A9"/>
    <w:rsid w:val="00AA55B7"/>
    <w:rsid w:val="00AA5B9E"/>
    <w:rsid w:val="00AA6B9C"/>
    <w:rsid w:val="00AB2407"/>
    <w:rsid w:val="00AB53DF"/>
    <w:rsid w:val="00AB5B8F"/>
    <w:rsid w:val="00AD0726"/>
    <w:rsid w:val="00AD5EDD"/>
    <w:rsid w:val="00AE2519"/>
    <w:rsid w:val="00B07E5C"/>
    <w:rsid w:val="00B811F7"/>
    <w:rsid w:val="00BA5DC6"/>
    <w:rsid w:val="00BA6196"/>
    <w:rsid w:val="00BC5566"/>
    <w:rsid w:val="00BC6D8C"/>
    <w:rsid w:val="00BE7E95"/>
    <w:rsid w:val="00C06C08"/>
    <w:rsid w:val="00C34006"/>
    <w:rsid w:val="00C36B4C"/>
    <w:rsid w:val="00C426B1"/>
    <w:rsid w:val="00C66160"/>
    <w:rsid w:val="00C721AC"/>
    <w:rsid w:val="00C90D6A"/>
    <w:rsid w:val="00C9268C"/>
    <w:rsid w:val="00CA247E"/>
    <w:rsid w:val="00CA6D21"/>
    <w:rsid w:val="00CC149C"/>
    <w:rsid w:val="00CC72B6"/>
    <w:rsid w:val="00D0218D"/>
    <w:rsid w:val="00D25FB5"/>
    <w:rsid w:val="00D44223"/>
    <w:rsid w:val="00D609FD"/>
    <w:rsid w:val="00D83856"/>
    <w:rsid w:val="00DA2529"/>
    <w:rsid w:val="00DB0F68"/>
    <w:rsid w:val="00DB130A"/>
    <w:rsid w:val="00DB2EBB"/>
    <w:rsid w:val="00DB357F"/>
    <w:rsid w:val="00DC10A1"/>
    <w:rsid w:val="00DC655F"/>
    <w:rsid w:val="00DC6F22"/>
    <w:rsid w:val="00DD0B59"/>
    <w:rsid w:val="00DD7EBD"/>
    <w:rsid w:val="00DF62B6"/>
    <w:rsid w:val="00E07225"/>
    <w:rsid w:val="00E5409F"/>
    <w:rsid w:val="00E92349"/>
    <w:rsid w:val="00ED051C"/>
    <w:rsid w:val="00ED1A36"/>
    <w:rsid w:val="00EE218E"/>
    <w:rsid w:val="00EE6488"/>
    <w:rsid w:val="00EF0836"/>
    <w:rsid w:val="00F021FA"/>
    <w:rsid w:val="00F40ABA"/>
    <w:rsid w:val="00F41FF3"/>
    <w:rsid w:val="00F60397"/>
    <w:rsid w:val="00F62E97"/>
    <w:rsid w:val="00F64209"/>
    <w:rsid w:val="00F65869"/>
    <w:rsid w:val="00F818AA"/>
    <w:rsid w:val="00F84546"/>
    <w:rsid w:val="00F93BF5"/>
    <w:rsid w:val="00FC7430"/>
    <w:rsid w:val="00FF57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078408-4A89-4DFD-ABD4-858DD94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FollowedHyperlink" w:uiPriority="99"/>
    <w:lsdException w:name="Strong" w:uiPriority="99"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A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8475A8"/>
    <w:rPr>
      <w:rFonts w:ascii="Times New Roman Bold" w:hAnsi="Times New Roman Bold"/>
      <w:b/>
      <w:caps/>
      <w:snapToGrid w:val="0"/>
      <w:kern w:val="28"/>
      <w:sz w:val="22"/>
    </w:rPr>
  </w:style>
  <w:style w:type="character" w:customStyle="1" w:styleId="Heading2Char">
    <w:name w:val="Heading 2 Char"/>
    <w:link w:val="Heading2"/>
    <w:locked/>
    <w:rsid w:val="008475A8"/>
    <w:rPr>
      <w:b/>
      <w:snapToGrid w:val="0"/>
      <w:kern w:val="28"/>
      <w:sz w:val="22"/>
    </w:rPr>
  </w:style>
  <w:style w:type="character" w:customStyle="1" w:styleId="Heading3Char">
    <w:name w:val="Heading 3 Char"/>
    <w:link w:val="Heading3"/>
    <w:locked/>
    <w:rsid w:val="008475A8"/>
    <w:rPr>
      <w:b/>
      <w:snapToGrid w:val="0"/>
      <w:kern w:val="28"/>
      <w:sz w:val="22"/>
    </w:rPr>
  </w:style>
  <w:style w:type="character" w:customStyle="1" w:styleId="Heading4Char">
    <w:name w:val="Heading 4 Char"/>
    <w:link w:val="Heading4"/>
    <w:locked/>
    <w:rsid w:val="008475A8"/>
    <w:rPr>
      <w:b/>
      <w:snapToGrid w:val="0"/>
      <w:kern w:val="28"/>
      <w:sz w:val="22"/>
    </w:rPr>
  </w:style>
  <w:style w:type="character" w:customStyle="1" w:styleId="Heading5Char">
    <w:name w:val="Heading 5 Char"/>
    <w:link w:val="Heading5"/>
    <w:locked/>
    <w:rsid w:val="008475A8"/>
    <w:rPr>
      <w:b/>
      <w:snapToGrid w:val="0"/>
      <w:kern w:val="28"/>
      <w:sz w:val="22"/>
    </w:rPr>
  </w:style>
  <w:style w:type="character" w:customStyle="1" w:styleId="Heading6Char">
    <w:name w:val="Heading 6 Char"/>
    <w:link w:val="Heading6"/>
    <w:locked/>
    <w:rsid w:val="008475A8"/>
    <w:rPr>
      <w:b/>
      <w:snapToGrid w:val="0"/>
      <w:kern w:val="28"/>
      <w:sz w:val="22"/>
    </w:rPr>
  </w:style>
  <w:style w:type="character" w:customStyle="1" w:styleId="Heading7Char">
    <w:name w:val="Heading 7 Char"/>
    <w:link w:val="Heading7"/>
    <w:locked/>
    <w:rsid w:val="008475A8"/>
    <w:rPr>
      <w:b/>
      <w:snapToGrid w:val="0"/>
      <w:kern w:val="28"/>
      <w:sz w:val="22"/>
    </w:rPr>
  </w:style>
  <w:style w:type="character" w:customStyle="1" w:styleId="Heading8Char">
    <w:name w:val="Heading 8 Char"/>
    <w:link w:val="Heading8"/>
    <w:locked/>
    <w:rsid w:val="008475A8"/>
    <w:rPr>
      <w:b/>
      <w:snapToGrid w:val="0"/>
      <w:kern w:val="28"/>
      <w:sz w:val="22"/>
    </w:rPr>
  </w:style>
  <w:style w:type="character" w:customStyle="1" w:styleId="Heading9Char">
    <w:name w:val="Heading 9 Char"/>
    <w:link w:val="Heading9"/>
    <w:locked/>
    <w:rsid w:val="008475A8"/>
    <w:rPr>
      <w:b/>
      <w:snapToGrid w:val="0"/>
      <w:kern w:val="28"/>
      <w:sz w:val="22"/>
    </w:rPr>
  </w:style>
  <w:style w:type="paragraph" w:styleId="BalloonText">
    <w:name w:val="Balloon Text"/>
    <w:basedOn w:val="Normal"/>
    <w:link w:val="BalloonTextChar"/>
    <w:uiPriority w:val="99"/>
    <w:rsid w:val="008475A8"/>
    <w:rPr>
      <w:sz w:val="20"/>
    </w:rPr>
  </w:style>
  <w:style w:type="character" w:customStyle="1" w:styleId="BalloonTextChar">
    <w:name w:val="Balloon Text Char"/>
    <w:basedOn w:val="DefaultParagraphFont"/>
    <w:link w:val="BalloonText"/>
    <w:uiPriority w:val="99"/>
    <w:rsid w:val="008475A8"/>
    <w:rPr>
      <w:snapToGrid w:val="0"/>
      <w:kern w:val="28"/>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8475A8"/>
    <w:rPr>
      <w:rFonts w:cs="Times New Roman"/>
      <w:sz w:val="24"/>
      <w:lang w:val="en-US" w:eastAsia="en-US"/>
    </w:rPr>
  </w:style>
  <w:style w:type="character" w:customStyle="1" w:styleId="HeaderChar">
    <w:name w:val="Header Char"/>
    <w:link w:val="Header"/>
    <w:locked/>
    <w:rsid w:val="008475A8"/>
    <w:rPr>
      <w:b/>
      <w:snapToGrid w:val="0"/>
      <w:kern w:val="28"/>
      <w:sz w:val="22"/>
    </w:rPr>
  </w:style>
  <w:style w:type="paragraph" w:customStyle="1" w:styleId="Paranum0">
    <w:name w:val="Paranum"/>
    <w:uiPriority w:val="99"/>
    <w:rsid w:val="008475A8"/>
    <w:pPr>
      <w:numPr>
        <w:numId w:val="7"/>
      </w:numPr>
      <w:tabs>
        <w:tab w:val="left" w:pos="1440"/>
      </w:tabs>
      <w:spacing w:after="240"/>
      <w:jc w:val="both"/>
    </w:pPr>
    <w:rPr>
      <w:sz w:val="22"/>
    </w:rPr>
  </w:style>
  <w:style w:type="paragraph" w:customStyle="1" w:styleId="par1">
    <w:name w:val="par1"/>
    <w:basedOn w:val="Normal"/>
    <w:link w:val="par1Char"/>
    <w:uiPriority w:val="99"/>
    <w:rsid w:val="008475A8"/>
    <w:pPr>
      <w:numPr>
        <w:numId w:val="8"/>
      </w:numPr>
    </w:pPr>
    <w:rPr>
      <w:sz w:val="20"/>
    </w:rPr>
  </w:style>
  <w:style w:type="paragraph" w:styleId="BodyText">
    <w:name w:val="Body Text"/>
    <w:aliases w:val="b"/>
    <w:basedOn w:val="Normal"/>
    <w:link w:val="BodyTextChar"/>
    <w:uiPriority w:val="99"/>
    <w:rsid w:val="008475A8"/>
    <w:rPr>
      <w:b/>
      <w:sz w:val="24"/>
      <w:u w:val="single"/>
    </w:rPr>
  </w:style>
  <w:style w:type="character" w:customStyle="1" w:styleId="BodyTextChar">
    <w:name w:val="Body Text Char"/>
    <w:aliases w:val="b Char"/>
    <w:basedOn w:val="DefaultParagraphFont"/>
    <w:link w:val="BodyText"/>
    <w:uiPriority w:val="99"/>
    <w:rsid w:val="008475A8"/>
    <w:rPr>
      <w:b/>
      <w:snapToGrid w:val="0"/>
      <w:kern w:val="28"/>
      <w:sz w:val="24"/>
      <w:u w:val="single"/>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8475A8"/>
    <w:rPr>
      <w:lang w:val="en-US" w:eastAsia="en-US"/>
    </w:rPr>
  </w:style>
  <w:style w:type="character" w:customStyle="1" w:styleId="ParanumChar">
    <w:name w:val="Paranum Char"/>
    <w:uiPriority w:val="99"/>
    <w:rsid w:val="008475A8"/>
    <w:rPr>
      <w:sz w:val="22"/>
      <w:lang w:val="en-US" w:eastAsia="en-US"/>
    </w:rPr>
  </w:style>
  <w:style w:type="paragraph" w:styleId="HTMLPreformatted">
    <w:name w:val="HTML Preformatted"/>
    <w:basedOn w:val="Normal"/>
    <w:link w:val="HTMLPreformattedChar"/>
    <w:uiPriority w:val="99"/>
    <w:rsid w:val="0084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8475A8"/>
    <w:rPr>
      <w:rFonts w:ascii="Courier New" w:hAnsi="Courier New"/>
      <w:snapToGrid w:val="0"/>
      <w:kern w:val="28"/>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8475A8"/>
  </w:style>
  <w:style w:type="character" w:styleId="Strong">
    <w:name w:val="Strong"/>
    <w:uiPriority w:val="99"/>
    <w:qFormat/>
    <w:rsid w:val="008475A8"/>
    <w:rPr>
      <w:rFonts w:cs="Times New Roman"/>
      <w:b/>
    </w:rPr>
  </w:style>
  <w:style w:type="character" w:customStyle="1" w:styleId="zzmpTrailerItem">
    <w:name w:val="zzmpTrailerItem"/>
    <w:uiPriority w:val="99"/>
    <w:rsid w:val="008475A8"/>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8475A8"/>
    <w:pPr>
      <w:spacing w:after="120" w:line="480" w:lineRule="auto"/>
      <w:ind w:left="360"/>
    </w:pPr>
    <w:rPr>
      <w:sz w:val="24"/>
    </w:rPr>
  </w:style>
  <w:style w:type="character" w:customStyle="1" w:styleId="BodyTextIndent2Char">
    <w:name w:val="Body Text Indent 2 Char"/>
    <w:basedOn w:val="DefaultParagraphFont"/>
    <w:link w:val="BodyTextIndent2"/>
    <w:uiPriority w:val="99"/>
    <w:rsid w:val="008475A8"/>
    <w:rPr>
      <w:snapToGrid w:val="0"/>
      <w:kern w:val="28"/>
      <w:sz w:val="24"/>
    </w:rPr>
  </w:style>
  <w:style w:type="character" w:customStyle="1" w:styleId="bCharChar">
    <w:name w:val="b Char Char"/>
    <w:uiPriority w:val="99"/>
    <w:semiHidden/>
    <w:locked/>
    <w:rsid w:val="008475A8"/>
    <w:rPr>
      <w:b/>
      <w:sz w:val="24"/>
      <w:u w:val="single"/>
      <w:lang w:val="en-US" w:eastAsia="en-US"/>
    </w:rPr>
  </w:style>
  <w:style w:type="paragraph" w:customStyle="1" w:styleId="StyleParaNumAfter0pt">
    <w:name w:val="Style ParaNum + After:  0 pt"/>
    <w:basedOn w:val="Normal"/>
    <w:autoRedefine/>
    <w:uiPriority w:val="99"/>
    <w:rsid w:val="008475A8"/>
    <w:pPr>
      <w:numPr>
        <w:ilvl w:val="1"/>
        <w:numId w:val="9"/>
      </w:numPr>
      <w:tabs>
        <w:tab w:val="left" w:pos="-8100"/>
        <w:tab w:val="left" w:pos="2160"/>
      </w:tabs>
      <w:spacing w:after="240"/>
      <w:ind w:left="2160" w:hanging="720"/>
    </w:pPr>
  </w:style>
  <w:style w:type="paragraph" w:styleId="ListParagraph">
    <w:name w:val="List Paragraph"/>
    <w:basedOn w:val="Normal"/>
    <w:uiPriority w:val="34"/>
    <w:qFormat/>
    <w:rsid w:val="008475A8"/>
    <w:pPr>
      <w:ind w:left="720"/>
    </w:pPr>
  </w:style>
  <w:style w:type="character" w:styleId="CommentReference">
    <w:name w:val="annotation reference"/>
    <w:uiPriority w:val="99"/>
    <w:rsid w:val="008475A8"/>
    <w:rPr>
      <w:rFonts w:cs="Times New Roman"/>
      <w:sz w:val="16"/>
    </w:rPr>
  </w:style>
  <w:style w:type="paragraph" w:styleId="CommentText">
    <w:name w:val="annotation text"/>
    <w:basedOn w:val="Normal"/>
    <w:link w:val="CommentTextChar"/>
    <w:uiPriority w:val="99"/>
    <w:rsid w:val="008475A8"/>
    <w:rPr>
      <w:sz w:val="20"/>
    </w:rPr>
  </w:style>
  <w:style w:type="character" w:customStyle="1" w:styleId="CommentTextChar">
    <w:name w:val="Comment Text Char"/>
    <w:basedOn w:val="DefaultParagraphFont"/>
    <w:link w:val="CommentText"/>
    <w:uiPriority w:val="99"/>
    <w:rsid w:val="008475A8"/>
    <w:rPr>
      <w:snapToGrid w:val="0"/>
      <w:kern w:val="28"/>
    </w:rPr>
  </w:style>
  <w:style w:type="paragraph" w:styleId="CommentSubject">
    <w:name w:val="annotation subject"/>
    <w:basedOn w:val="CommentText"/>
    <w:next w:val="CommentText"/>
    <w:link w:val="CommentSubjectChar"/>
    <w:uiPriority w:val="99"/>
    <w:rsid w:val="008475A8"/>
    <w:rPr>
      <w:b/>
    </w:rPr>
  </w:style>
  <w:style w:type="character" w:customStyle="1" w:styleId="CommentSubjectChar">
    <w:name w:val="Comment Subject Char"/>
    <w:basedOn w:val="CommentTextChar"/>
    <w:link w:val="CommentSubject"/>
    <w:uiPriority w:val="99"/>
    <w:rsid w:val="008475A8"/>
    <w:rPr>
      <w:b/>
      <w:snapToGrid w:val="0"/>
      <w:kern w:val="28"/>
    </w:rPr>
  </w:style>
  <w:style w:type="character" w:customStyle="1" w:styleId="par1Char">
    <w:name w:val="par1 Char"/>
    <w:link w:val="par1"/>
    <w:uiPriority w:val="99"/>
    <w:locked/>
    <w:rsid w:val="008475A8"/>
    <w:rPr>
      <w:snapToGrid w:val="0"/>
      <w:kern w:val="28"/>
    </w:rPr>
  </w:style>
  <w:style w:type="paragraph" w:styleId="Revision">
    <w:name w:val="Revision"/>
    <w:hidden/>
    <w:uiPriority w:val="99"/>
    <w:semiHidden/>
    <w:rsid w:val="008475A8"/>
    <w:rPr>
      <w:sz w:val="24"/>
      <w:szCs w:val="24"/>
    </w:rPr>
  </w:style>
  <w:style w:type="character" w:customStyle="1" w:styleId="EndnoteTextChar">
    <w:name w:val="Endnote Text Char"/>
    <w:link w:val="EndnoteText"/>
    <w:semiHidden/>
    <w:locked/>
    <w:rsid w:val="008475A8"/>
    <w:rPr>
      <w:snapToGrid w:val="0"/>
      <w:kern w:val="28"/>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8475A8"/>
    <w:rPr>
      <w:lang w:val="en-US" w:eastAsia="en-US"/>
    </w:rPr>
  </w:style>
  <w:style w:type="character" w:customStyle="1" w:styleId="ALTSFOOTNOTECharChar">
    <w:name w:val="ALTS FOOTNOTE Char Char"/>
    <w:aliases w:val="f Char,fn Char Char,fn Char1,rrfootnote Char Char Char Char Char,rrfootnote Char1 Char"/>
    <w:locked/>
    <w:rsid w:val="008475A8"/>
  </w:style>
  <w:style w:type="character" w:customStyle="1" w:styleId="ParaNumChar0">
    <w:name w:val="ParaNum Char"/>
    <w:link w:val="ParaNum"/>
    <w:locked/>
    <w:rsid w:val="008475A8"/>
    <w:rPr>
      <w:snapToGrid w:val="0"/>
      <w:kern w:val="28"/>
      <w:sz w:val="22"/>
    </w:rPr>
  </w:style>
  <w:style w:type="character" w:customStyle="1" w:styleId="ParaNumChar1">
    <w:name w:val="ParaNum Char1"/>
    <w:locked/>
    <w:rsid w:val="008475A8"/>
    <w:rPr>
      <w:snapToGrid w:val="0"/>
      <w:kern w:val="28"/>
      <w:sz w:val="22"/>
    </w:rPr>
  </w:style>
  <w:style w:type="character" w:customStyle="1" w:styleId="documentbody">
    <w:name w:val="documentbody"/>
    <w:uiPriority w:val="99"/>
    <w:rsid w:val="008475A8"/>
  </w:style>
  <w:style w:type="character" w:customStyle="1" w:styleId="searchterm">
    <w:name w:val="searchterm"/>
    <w:uiPriority w:val="99"/>
    <w:rsid w:val="008475A8"/>
  </w:style>
  <w:style w:type="character" w:customStyle="1" w:styleId="UnresolvedMention">
    <w:name w:val="Unresolved Mention"/>
    <w:uiPriority w:val="99"/>
    <w:semiHidden/>
    <w:unhideWhenUsed/>
    <w:rsid w:val="008475A8"/>
    <w:rPr>
      <w:color w:val="808080"/>
      <w:shd w:val="clear" w:color="auto" w:fill="E6E6E6"/>
    </w:rPr>
  </w:style>
  <w:style w:type="character" w:customStyle="1" w:styleId="apple-converted-space">
    <w:name w:val="apple-converted-space"/>
    <w:rsid w:val="008475A8"/>
  </w:style>
  <w:style w:type="table" w:styleId="TableGrid">
    <w:name w:val="Table Grid"/>
    <w:basedOn w:val="TableNormal"/>
    <w:uiPriority w:val="59"/>
    <w:rsid w:val="0084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8475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https://apps.fcc.gov/FeeFiler/login.cf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aa.gov/about/office_org/headquarters_offices/ato/service_units/techops/safety_ops_support/spec_management/engineering_office/rfb.cfm" TargetMode="External" /><Relationship Id="rId2" Type="http://schemas.openxmlformats.org/officeDocument/2006/relationships/hyperlink" Target="https://www.officedepot.com/a/products/121839/Pyle-PDWM4300-Wireless-Microphone-System-169MHz/" TargetMode="External" /><Relationship Id="rId3" Type="http://schemas.openxmlformats.org/officeDocument/2006/relationships/hyperlink" Target="https://www.pyleusa.com/shop/musical-instruments/microphone-systems.html" TargetMode="External" /><Relationship Id="rId4" Type="http://schemas.openxmlformats.org/officeDocument/2006/relationships/hyperlink" Target="http://www.pyleaudio.com/products/Musical-Instruments/Microphone-Systems" TargetMode="External" /><Relationship Id="rId5" Type="http://schemas.openxmlformats.org/officeDocument/2006/relationships/hyperlink" Target="mailto:ARINQUIRIES@fcc.gov" TargetMode="External" /><Relationship Id="rId6"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