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34012" w:rsidRPr="005577AD" w:rsidP="00934012" w14:paraId="1A73BCD9" w14:textId="77777777">
      <w:pPr>
        <w:jc w:val="center"/>
        <w:rPr>
          <w:b/>
          <w:bCs/>
          <w:caps/>
          <w:szCs w:val="22"/>
        </w:rPr>
      </w:pPr>
      <w:r w:rsidRPr="005577AD">
        <w:rPr>
          <w:b/>
          <w:bCs/>
          <w:caps/>
          <w:szCs w:val="22"/>
        </w:rPr>
        <w:t>Statement of</w:t>
      </w:r>
    </w:p>
    <w:p w:rsidR="00934012" w:rsidRPr="005577AD" w:rsidP="00934012" w14:paraId="65207F49" w14:textId="771DE379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Commissioner Michael o’rielly</w:t>
      </w:r>
    </w:p>
    <w:p w:rsidR="00934012" w:rsidRPr="005577AD" w:rsidP="00934012" w14:paraId="2AC0050A" w14:textId="77777777">
      <w:pPr>
        <w:jc w:val="center"/>
        <w:rPr>
          <w:b/>
          <w:bCs/>
          <w:caps/>
          <w:szCs w:val="22"/>
        </w:rPr>
      </w:pPr>
    </w:p>
    <w:p w:rsidR="00934012" w:rsidRPr="005577AD" w:rsidP="00934012" w14:paraId="238E0B3B" w14:textId="07B8771E">
      <w:pPr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DE5B30" w:rsidR="00DE5B30">
        <w:rPr>
          <w:i/>
          <w:iCs/>
          <w:szCs w:val="22"/>
        </w:rPr>
        <w:t>Amendments of Parts 73 and 74 to Improve the Low Power FM Radio Service Technical Rules</w:t>
      </w:r>
      <w:r w:rsidRPr="00DE5B30" w:rsidR="00DE5B30">
        <w:rPr>
          <w:szCs w:val="22"/>
        </w:rPr>
        <w:t xml:space="preserve">, MB Docket No. 19-193; </w:t>
      </w:r>
      <w:r w:rsidRPr="00DE5B30" w:rsidR="00DE5B30">
        <w:rPr>
          <w:i/>
          <w:iCs/>
          <w:szCs w:val="22"/>
        </w:rPr>
        <w:t>Modernization of Media Regulation Initiative</w:t>
      </w:r>
      <w:r w:rsidRPr="00DE5B30" w:rsidR="00DE5B30">
        <w:rPr>
          <w:szCs w:val="22"/>
        </w:rPr>
        <w:t>, MB Docket No. 17-105</w:t>
      </w:r>
      <w:r w:rsidR="00DE5B30">
        <w:rPr>
          <w:szCs w:val="22"/>
        </w:rPr>
        <w:t>.</w:t>
      </w:r>
    </w:p>
    <w:p w:rsidR="00934012" w:rsidRPr="005577AD" w:rsidP="00934012" w14:paraId="1B518B8F" w14:textId="77777777">
      <w:pPr>
        <w:ind w:firstLine="720"/>
        <w:rPr>
          <w:szCs w:val="22"/>
        </w:rPr>
      </w:pPr>
    </w:p>
    <w:p w:rsidR="00DE5B30" w:rsidP="00DE5B30" w14:paraId="4044986F" w14:textId="77777777">
      <w:bookmarkStart w:id="0" w:name="_Hlk38463386"/>
      <w:r>
        <w:t>The fundamental principles of Low Power FM (LPFM) radio include no advertising and no harmful interference to existing broadcasters.</w:t>
      </w:r>
      <w:bookmarkEnd w:id="0"/>
      <w:r>
        <w:t xml:space="preserve">  Today, we move forward with a narrow set of improvements to our LPFM rules, and we also include safeguards to ensure certain changes do not harm other FM broadcasters.  Nonetheless, I remain sympathetic to the commenters who voiced concern regarding the potential deployment of more directional antennas by LPFM stations and </w:t>
      </w:r>
      <w:r>
        <w:t>have to</w:t>
      </w:r>
      <w:r>
        <w:t xml:space="preserve"> trust that proofs of performance will provide adequate insurance against misuse.  Further, I understand that these antennas are expected to be used primarily in locations near our country’s international borders, but this is an important issue that I intend to watch closely as these rules are implemented.  On a separate note, I appreciate that we were able to include additional notification protections for Television Channel 6 stations, as we await further action on TV6 in the future. </w:t>
      </w:r>
    </w:p>
    <w:p w:rsidR="00DE5B30" w:rsidP="00DE5B30" w14:paraId="2298A27B" w14:textId="77777777"/>
    <w:p w:rsidR="002C00E8" w:rsidRPr="00934012" w:rsidP="00934012" w14:paraId="57D5270A" w14:textId="7DC27B74">
      <w:r>
        <w:tab/>
        <w:t xml:space="preserve">I approve. </w:t>
      </w:r>
      <w:bookmarkStart w:id="1" w:name="_GoBack"/>
      <w:bookmarkEnd w:id="1"/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F0AD4D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4D9337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90C9A2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43837FEC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7D3E2E68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17CC8C64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1D32910D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37F36675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7B42D18A" w14:textId="18227A82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DE5B30">
      <w:rPr>
        <w:spacing w:val="-2"/>
      </w:rPr>
      <w:t>FCC 20-53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30"/>
    <w:rsid w:val="00030E6C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E4A22"/>
    <w:rsid w:val="00511968"/>
    <w:rsid w:val="0055614C"/>
    <w:rsid w:val="005577AD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34012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E5B30"/>
    <w:rsid w:val="00DF62B6"/>
    <w:rsid w:val="00E07225"/>
    <w:rsid w:val="00E5409F"/>
    <w:rsid w:val="00EE6488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77528F2-C6E4-4324-81E5-9B872271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6C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030E6C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030E6C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030E6C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030E6C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030E6C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0E6C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0E6C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030E6C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030E6C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030E6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30E6C"/>
  </w:style>
  <w:style w:type="paragraph" w:customStyle="1" w:styleId="ParaNum">
    <w:name w:val="ParaNum"/>
    <w:basedOn w:val="Normal"/>
    <w:rsid w:val="00030E6C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030E6C"/>
    <w:rPr>
      <w:sz w:val="20"/>
    </w:rPr>
  </w:style>
  <w:style w:type="character" w:styleId="EndnoteReference">
    <w:name w:val="endnote reference"/>
    <w:semiHidden/>
    <w:rsid w:val="00030E6C"/>
    <w:rPr>
      <w:vertAlign w:val="superscript"/>
    </w:rPr>
  </w:style>
  <w:style w:type="paragraph" w:styleId="FootnoteText">
    <w:name w:val="footnote text"/>
    <w:rsid w:val="00030E6C"/>
    <w:pPr>
      <w:spacing w:after="120"/>
    </w:pPr>
  </w:style>
  <w:style w:type="character" w:styleId="FootnoteReference">
    <w:name w:val="footnote reference"/>
    <w:rsid w:val="00030E6C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030E6C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030E6C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030E6C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030E6C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030E6C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030E6C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030E6C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030E6C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030E6C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030E6C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030E6C"/>
  </w:style>
  <w:style w:type="paragraph" w:styleId="Header">
    <w:name w:val="header"/>
    <w:basedOn w:val="Normal"/>
    <w:autoRedefine/>
    <w:rsid w:val="00030E6C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030E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0E6C"/>
  </w:style>
  <w:style w:type="paragraph" w:styleId="BlockText">
    <w:name w:val="Block Text"/>
    <w:basedOn w:val="Normal"/>
    <w:rsid w:val="00030E6C"/>
    <w:pPr>
      <w:spacing w:after="240"/>
      <w:ind w:left="1440" w:right="1440"/>
    </w:pPr>
  </w:style>
  <w:style w:type="paragraph" w:customStyle="1" w:styleId="Paratitle">
    <w:name w:val="Para title"/>
    <w:basedOn w:val="Normal"/>
    <w:rsid w:val="00030E6C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030E6C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030E6C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030E6C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30E6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030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