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4DE969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44492A" w14:textId="77777777">
      <w:pPr>
        <w:pStyle w:val="StyleBoldCentered"/>
      </w:pPr>
      <w:r>
        <w:t>F</w:t>
      </w:r>
      <w:r>
        <w:rPr>
          <w:caps w:val="0"/>
        </w:rPr>
        <w:t>ederal Communications Commission</w:t>
      </w:r>
    </w:p>
    <w:p w:rsidR="004C2EE3" w:rsidP="00096D8C" w14:paraId="28B7CB71" w14:textId="77777777">
      <w:pPr>
        <w:pStyle w:val="StyleBoldCentered"/>
      </w:pPr>
      <w:r>
        <w:rPr>
          <w:caps w:val="0"/>
        </w:rPr>
        <w:t>Washington, D.C. 20554</w:t>
      </w:r>
    </w:p>
    <w:p w:rsidR="004C2EE3" w:rsidP="0070224F" w14:paraId="7CAAA0D8" w14:textId="77777777"/>
    <w:tbl>
      <w:tblPr>
        <w:tblW w:w="0" w:type="auto"/>
        <w:tblLayout w:type="fixed"/>
        <w:tblLook w:val="0000"/>
      </w:tblPr>
      <w:tblGrid>
        <w:gridCol w:w="4698"/>
        <w:gridCol w:w="630"/>
        <w:gridCol w:w="4248"/>
      </w:tblGrid>
      <w:tr w14:paraId="5AEDFF69" w14:textId="77777777">
        <w:tblPrEx>
          <w:tblW w:w="0" w:type="auto"/>
          <w:tblLayout w:type="fixed"/>
          <w:tblLook w:val="0000"/>
        </w:tblPrEx>
        <w:tc>
          <w:tcPr>
            <w:tcW w:w="4698" w:type="dxa"/>
          </w:tcPr>
          <w:p w:rsidR="004C2EE3" w14:paraId="38E98052" w14:textId="77777777">
            <w:pPr>
              <w:tabs>
                <w:tab w:val="center" w:pos="4680"/>
              </w:tabs>
              <w:suppressAutoHyphens/>
              <w:rPr>
                <w:spacing w:val="-2"/>
              </w:rPr>
            </w:pPr>
            <w:r>
              <w:rPr>
                <w:spacing w:val="-2"/>
              </w:rPr>
              <w:t>In the Matter of</w:t>
            </w:r>
          </w:p>
          <w:p w:rsidR="004C2EE3" w14:paraId="70EC9B62" w14:textId="77777777">
            <w:pPr>
              <w:tabs>
                <w:tab w:val="center" w:pos="4680"/>
              </w:tabs>
              <w:suppressAutoHyphens/>
              <w:rPr>
                <w:spacing w:val="-2"/>
              </w:rPr>
            </w:pPr>
          </w:p>
          <w:p w:rsidR="004C2EE3" w:rsidRPr="007115F7" w:rsidP="007115F7" w14:paraId="4011F763" w14:textId="02F7A8D0">
            <w:pPr>
              <w:tabs>
                <w:tab w:val="center" w:pos="4680"/>
              </w:tabs>
              <w:suppressAutoHyphens/>
              <w:rPr>
                <w:spacing w:val="-2"/>
              </w:rPr>
            </w:pPr>
            <w:r w:rsidRPr="0037093B">
              <w:rPr>
                <w:spacing w:val="-2"/>
              </w:rPr>
              <w:t>Media Bureau Reorganization</w:t>
            </w:r>
          </w:p>
        </w:tc>
        <w:tc>
          <w:tcPr>
            <w:tcW w:w="630" w:type="dxa"/>
          </w:tcPr>
          <w:p w:rsidR="004C2EE3" w14:paraId="0C4C6351" w14:textId="77777777">
            <w:pPr>
              <w:tabs>
                <w:tab w:val="center" w:pos="4680"/>
              </w:tabs>
              <w:suppressAutoHyphens/>
              <w:rPr>
                <w:b/>
                <w:spacing w:val="-2"/>
              </w:rPr>
            </w:pPr>
            <w:r>
              <w:rPr>
                <w:b/>
                <w:spacing w:val="-2"/>
              </w:rPr>
              <w:t>)</w:t>
            </w:r>
          </w:p>
          <w:p w:rsidR="004C2EE3" w14:paraId="698ABF70" w14:textId="77777777">
            <w:pPr>
              <w:tabs>
                <w:tab w:val="center" w:pos="4680"/>
              </w:tabs>
              <w:suppressAutoHyphens/>
              <w:rPr>
                <w:b/>
                <w:spacing w:val="-2"/>
              </w:rPr>
            </w:pPr>
            <w:r>
              <w:rPr>
                <w:b/>
                <w:spacing w:val="-2"/>
              </w:rPr>
              <w:t>)</w:t>
            </w:r>
          </w:p>
          <w:p w:rsidR="004C2EE3" w:rsidRPr="0037093B" w14:paraId="338EDC11" w14:textId="6B4DF328">
            <w:pPr>
              <w:tabs>
                <w:tab w:val="center" w:pos="4680"/>
              </w:tabs>
              <w:suppressAutoHyphens/>
              <w:rPr>
                <w:b/>
                <w:spacing w:val="-2"/>
              </w:rPr>
            </w:pPr>
            <w:r>
              <w:rPr>
                <w:b/>
                <w:spacing w:val="-2"/>
              </w:rPr>
              <w:t>)</w:t>
            </w:r>
            <w:bookmarkStart w:id="0" w:name="_GoBack"/>
            <w:bookmarkEnd w:id="0"/>
          </w:p>
        </w:tc>
        <w:tc>
          <w:tcPr>
            <w:tcW w:w="4248" w:type="dxa"/>
          </w:tcPr>
          <w:p w:rsidR="004C2EE3" w14:paraId="0A9D559D" w14:textId="77777777">
            <w:pPr>
              <w:tabs>
                <w:tab w:val="center" w:pos="4680"/>
              </w:tabs>
              <w:suppressAutoHyphens/>
              <w:rPr>
                <w:spacing w:val="-2"/>
              </w:rPr>
            </w:pPr>
          </w:p>
          <w:p w:rsidR="004C2EE3" w14:paraId="50EA2EEB" w14:textId="77777777">
            <w:pPr>
              <w:pStyle w:val="TOAHeading"/>
              <w:tabs>
                <w:tab w:val="center" w:pos="4680"/>
                <w:tab w:val="clear" w:pos="9360"/>
              </w:tabs>
              <w:rPr>
                <w:spacing w:val="-2"/>
              </w:rPr>
            </w:pPr>
          </w:p>
          <w:p w:rsidR="004C2EE3" w14:paraId="4316C0C4" w14:textId="7213F366">
            <w:pPr>
              <w:tabs>
                <w:tab w:val="center" w:pos="4680"/>
              </w:tabs>
              <w:suppressAutoHyphens/>
              <w:rPr>
                <w:spacing w:val="-2"/>
              </w:rPr>
            </w:pPr>
          </w:p>
        </w:tc>
      </w:tr>
    </w:tbl>
    <w:p w:rsidR="004C2EE3" w:rsidP="0070224F" w14:paraId="776C41AC" w14:textId="77777777"/>
    <w:p w:rsidR="00841AB1" w:rsidP="00F021FA" w14:paraId="0F205E38" w14:textId="14C4F2CD">
      <w:pPr>
        <w:pStyle w:val="StyleBoldCentered"/>
      </w:pPr>
      <w:r>
        <w:t>order</w:t>
      </w:r>
    </w:p>
    <w:p w:rsidR="004C2EE3" w14:paraId="67CB5233" w14:textId="77777777">
      <w:pPr>
        <w:tabs>
          <w:tab w:val="left" w:pos="-720"/>
        </w:tabs>
        <w:suppressAutoHyphens/>
        <w:spacing w:line="227" w:lineRule="auto"/>
        <w:rPr>
          <w:spacing w:val="-2"/>
        </w:rPr>
      </w:pPr>
    </w:p>
    <w:p w:rsidR="004C2EE3" w:rsidP="00133F79" w14:paraId="7E1D4FC8" w14:textId="30CF13AE">
      <w:pPr>
        <w:tabs>
          <w:tab w:val="left" w:pos="720"/>
          <w:tab w:val="right" w:pos="9360"/>
        </w:tabs>
        <w:suppressAutoHyphens/>
        <w:spacing w:line="227" w:lineRule="auto"/>
        <w:rPr>
          <w:spacing w:val="-2"/>
        </w:rPr>
      </w:pPr>
      <w:r>
        <w:rPr>
          <w:b/>
          <w:spacing w:val="-2"/>
        </w:rPr>
        <w:t xml:space="preserve">Adopted:  </w:t>
      </w:r>
      <w:r w:rsidR="00937B4F">
        <w:rPr>
          <w:b/>
          <w:spacing w:val="-2"/>
        </w:rPr>
        <w:t>April 29,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37B4F">
        <w:rPr>
          <w:b/>
          <w:spacing w:val="-2"/>
        </w:rPr>
        <w:t>April 29, 2020</w:t>
      </w:r>
    </w:p>
    <w:p w:rsidR="00822CE0" w14:paraId="458AA304" w14:textId="77777777"/>
    <w:p w:rsidR="004C2EE3" w14:paraId="729CB7ED" w14:textId="73A713DE">
      <w:pPr>
        <w:rPr>
          <w:spacing w:val="-2"/>
        </w:rPr>
      </w:pPr>
      <w:r>
        <w:t xml:space="preserve">By </w:t>
      </w:r>
      <w:r w:rsidR="004E4A22">
        <w:t>the</w:t>
      </w:r>
      <w:r w:rsidR="002A2D2E">
        <w:t xml:space="preserve"> </w:t>
      </w:r>
      <w:r w:rsidR="0037093B">
        <w:rPr>
          <w:spacing w:val="-2"/>
        </w:rPr>
        <w:t>Commission</w:t>
      </w:r>
      <w:r>
        <w:rPr>
          <w:spacing w:val="-2"/>
        </w:rPr>
        <w:t>:</w:t>
      </w:r>
      <w:r w:rsidR="00937B4F">
        <w:rPr>
          <w:spacing w:val="-2"/>
        </w:rPr>
        <w:t xml:space="preserve">  </w:t>
      </w:r>
      <w:r w:rsidRPr="00937B4F" w:rsidR="00937B4F">
        <w:rPr>
          <w:spacing w:val="-2"/>
        </w:rPr>
        <w:t xml:space="preserve">Commissioner </w:t>
      </w:r>
      <w:r w:rsidRPr="00937B4F" w:rsidR="00937B4F">
        <w:rPr>
          <w:spacing w:val="-2"/>
        </w:rPr>
        <w:t>Rosenworcel</w:t>
      </w:r>
      <w:r w:rsidRPr="00937B4F" w:rsidR="00937B4F">
        <w:rPr>
          <w:spacing w:val="-2"/>
        </w:rPr>
        <w:t xml:space="preserve"> concurring</w:t>
      </w:r>
      <w:r w:rsidR="00937B4F">
        <w:rPr>
          <w:spacing w:val="-2"/>
        </w:rPr>
        <w:t>.</w:t>
      </w:r>
    </w:p>
    <w:p w:rsidR="00822CE0" w14:paraId="0148F963" w14:textId="77777777">
      <w:pPr>
        <w:rPr>
          <w:spacing w:val="-2"/>
        </w:rPr>
      </w:pPr>
    </w:p>
    <w:p w:rsidR="0037093B" w:rsidRPr="00530137" w:rsidP="0037093B" w14:paraId="4AF64B8E" w14:textId="77777777">
      <w:pPr>
        <w:pStyle w:val="Heading1"/>
        <w:rPr>
          <w:rFonts w:eastAsia="Calibri"/>
          <w:snapToGrid/>
        </w:rPr>
      </w:pPr>
      <w:r w:rsidRPr="00530137">
        <w:rPr>
          <w:rFonts w:eastAsia="Calibri"/>
          <w:snapToGrid/>
        </w:rPr>
        <w:t>INTRODUCTION</w:t>
      </w:r>
    </w:p>
    <w:p w:rsidR="0037093B" w:rsidRPr="00530137" w:rsidP="0037093B" w14:paraId="65BD740E" w14:textId="77777777">
      <w:pPr>
        <w:pStyle w:val="ParaNum"/>
        <w:rPr>
          <w:rFonts w:eastAsia="Calibri"/>
          <w:snapToGrid/>
        </w:rPr>
      </w:pPr>
      <w:bookmarkStart w:id="1" w:name="_Hlk516743527"/>
      <w:r w:rsidRPr="00530137">
        <w:rPr>
          <w:rFonts w:eastAsia="Calibri"/>
          <w:snapToGrid/>
        </w:rPr>
        <w:t xml:space="preserve">In this Order, we conclude that it will serve the public interest and improve the Commission’s operations to </w:t>
      </w:r>
      <w:r>
        <w:rPr>
          <w:rFonts w:eastAsia="Calibri"/>
          <w:snapToGrid/>
        </w:rPr>
        <w:t xml:space="preserve">streamline the organization of the Media Bureau.  Specifically, we eliminate the Engineering Division and fold the work and staff of the Engineering Division into the Media Bureau’s Industry Analysis Division (IAD).  </w:t>
      </w:r>
      <w:r w:rsidRPr="00530137">
        <w:rPr>
          <w:rFonts w:eastAsia="Calibri"/>
          <w:snapToGrid/>
        </w:rPr>
        <w:t xml:space="preserve">We take this action </w:t>
      </w:r>
      <w:r>
        <w:rPr>
          <w:rFonts w:eastAsia="Calibri"/>
          <w:snapToGrid/>
        </w:rPr>
        <w:t>to account for changes in the Engineering Division’s duties and in the organizational structure of the Commission</w:t>
      </w:r>
      <w:r w:rsidRPr="00530137">
        <w:rPr>
          <w:rFonts w:eastAsia="Calibri"/>
          <w:snapToGrid/>
        </w:rPr>
        <w:t xml:space="preserve">.  By </w:t>
      </w:r>
      <w:r>
        <w:rPr>
          <w:rFonts w:eastAsia="Calibri"/>
          <w:snapToGrid/>
        </w:rPr>
        <w:t xml:space="preserve">incorporating the work and staff of the Engineering Division into IAD, we can </w:t>
      </w:r>
      <w:r w:rsidRPr="00530137">
        <w:rPr>
          <w:rFonts w:eastAsia="Calibri"/>
          <w:snapToGrid/>
        </w:rPr>
        <w:t xml:space="preserve">better ensure that the </w:t>
      </w:r>
      <w:r>
        <w:rPr>
          <w:rFonts w:eastAsia="Calibri"/>
          <w:snapToGrid/>
        </w:rPr>
        <w:t>Bureau’s technical expertise is integrated more fully into the Bureau’s adjudicatory matters and policy proceedings.</w:t>
      </w:r>
      <w:r>
        <w:rPr>
          <w:rFonts w:eastAsia="Calibri"/>
          <w:snapToGrid/>
        </w:rPr>
        <w:t xml:space="preserve"> </w:t>
      </w:r>
      <w:r>
        <w:rPr>
          <w:rFonts w:eastAsia="Calibri"/>
          <w:snapToGrid/>
        </w:rPr>
        <w:t xml:space="preserve"> </w:t>
      </w:r>
      <w:r w:rsidRPr="00530137">
        <w:rPr>
          <w:rFonts w:eastAsia="Calibri"/>
          <w:snapToGrid/>
        </w:rPr>
        <w:t>We therefore conclude that this organizational change is warranted and amend the Commission’s rules accordingly</w:t>
      </w:r>
      <w:bookmarkEnd w:id="1"/>
      <w:r>
        <w:rPr>
          <w:rFonts w:eastAsia="Calibri"/>
          <w:snapToGrid/>
        </w:rPr>
        <w:t xml:space="preserve"> to reflect this new structure</w:t>
      </w:r>
      <w:r w:rsidRPr="00530137">
        <w:rPr>
          <w:rFonts w:eastAsia="Calibri"/>
          <w:snapToGrid/>
        </w:rPr>
        <w:t>.</w:t>
      </w:r>
    </w:p>
    <w:p w:rsidR="0037093B" w:rsidRPr="00530137" w:rsidP="0037093B" w14:paraId="301A2563" w14:textId="77777777">
      <w:pPr>
        <w:pStyle w:val="Heading1"/>
        <w:keepNext w:val="0"/>
        <w:suppressAutoHyphens w:val="0"/>
        <w:rPr>
          <w:rFonts w:eastAsia="Calibri"/>
          <w:snapToGrid/>
        </w:rPr>
      </w:pPr>
      <w:r w:rsidRPr="00530137">
        <w:rPr>
          <w:rFonts w:eastAsia="Calibri"/>
          <w:snapToGrid/>
        </w:rPr>
        <w:t>background</w:t>
      </w:r>
    </w:p>
    <w:p w:rsidR="0037093B" w:rsidRPr="006A5F99" w:rsidP="0037093B" w14:paraId="76191ACE" w14:textId="77777777">
      <w:pPr>
        <w:pStyle w:val="ParaNum"/>
        <w:rPr>
          <w:rFonts w:eastAsia="Calibri"/>
          <w:snapToGrid/>
        </w:rPr>
      </w:pPr>
      <w:r>
        <w:rPr>
          <w:color w:val="000000"/>
          <w:szCs w:val="22"/>
          <w:shd w:val="clear" w:color="auto" w:fill="FFFFFF"/>
        </w:rPr>
        <w:t>The current composition of the Engineering Division and the IAD stem back to the creation of the Media Bureau in 2002</w:t>
      </w:r>
      <w:r w:rsidRPr="00530137">
        <w:rPr>
          <w:rFonts w:eastAsia="Calibri"/>
          <w:snapToGrid/>
        </w:rPr>
        <w:t>.</w:t>
      </w:r>
      <w:r>
        <w:rPr>
          <w:rFonts w:eastAsia="Calibri"/>
          <w:snapToGrid/>
          <w:vertAlign w:val="superscript"/>
        </w:rPr>
        <w:footnoteReference w:id="3"/>
      </w:r>
      <w:r>
        <w:rPr>
          <w:color w:val="000000"/>
          <w:szCs w:val="22"/>
          <w:shd w:val="clear" w:color="auto" w:fill="FFFFFF"/>
        </w:rPr>
        <w:t xml:space="preserve">  </w:t>
      </w:r>
      <w:r w:rsidRPr="004B40A2">
        <w:rPr>
          <w:color w:val="000000"/>
          <w:szCs w:val="22"/>
          <w:shd w:val="clear" w:color="auto" w:fill="FFFFFF"/>
        </w:rPr>
        <w:t xml:space="preserve">The Engineering Division </w:t>
      </w:r>
      <w:r>
        <w:rPr>
          <w:color w:val="000000"/>
          <w:szCs w:val="22"/>
          <w:shd w:val="clear" w:color="auto" w:fill="FFFFFF"/>
        </w:rPr>
        <w:t xml:space="preserve">was established to </w:t>
      </w:r>
      <w:r w:rsidRPr="004B40A2">
        <w:rPr>
          <w:color w:val="000000"/>
          <w:szCs w:val="22"/>
          <w:shd w:val="clear" w:color="auto" w:fill="FFFFFF"/>
        </w:rPr>
        <w:t>conduct technical reviews of media related matters</w:t>
      </w:r>
      <w:r>
        <w:rPr>
          <w:rFonts w:eastAsia="Calibri"/>
          <w:snapToGrid/>
        </w:rPr>
        <w:t xml:space="preserve">, including </w:t>
      </w:r>
      <w:r w:rsidRPr="00C63C2E">
        <w:rPr>
          <w:rFonts w:eastAsia="Calibri"/>
          <w:snapToGrid/>
        </w:rPr>
        <w:t>essential work overseeing technical compliance of multichannel video programming distributors, as well as television and radio broadcast licensees</w:t>
      </w:r>
      <w:r>
        <w:rPr>
          <w:rFonts w:eastAsia="Calibri"/>
          <w:snapToGrid/>
        </w:rPr>
        <w:t>, with Commission rules</w:t>
      </w:r>
      <w:r w:rsidRPr="00C63C2E">
        <w:rPr>
          <w:rFonts w:eastAsia="Calibri"/>
          <w:snapToGrid/>
        </w:rPr>
        <w:t>.</w:t>
      </w:r>
      <w:r>
        <w:rPr>
          <w:rStyle w:val="FootnoteReference"/>
          <w:rFonts w:eastAsia="Calibri"/>
          <w:snapToGrid/>
        </w:rPr>
        <w:footnoteReference w:id="4"/>
      </w:r>
      <w:r w:rsidRPr="00C63C2E">
        <w:rPr>
          <w:rFonts w:eastAsia="Calibri"/>
          <w:snapToGrid/>
        </w:rPr>
        <w:t xml:space="preserve"> </w:t>
      </w:r>
      <w:r>
        <w:rPr>
          <w:color w:val="000000"/>
          <w:szCs w:val="22"/>
          <w:shd w:val="clear" w:color="auto" w:fill="FFFFFF"/>
        </w:rPr>
        <w:t xml:space="preserve"> The IAD</w:t>
      </w:r>
      <w:r w:rsidRPr="004B40A2">
        <w:rPr>
          <w:shd w:val="clear" w:color="auto" w:fill="FFFFFF"/>
        </w:rPr>
        <w:t xml:space="preserve"> </w:t>
      </w:r>
      <w:r>
        <w:rPr>
          <w:shd w:val="clear" w:color="auto" w:fill="FFFFFF"/>
        </w:rPr>
        <w:t>was established to conduct and participate in proceedings regarding media ownership and the economic aspects of existing and proposed rules and policies, to review license transfers that implicate significant policy issues, and to develop reports on relevant industry and market data and information</w:t>
      </w:r>
      <w:r w:rsidRPr="004B40A2">
        <w:rPr>
          <w:shd w:val="clear" w:color="auto" w:fill="FFFFFF"/>
        </w:rPr>
        <w:t>.</w:t>
      </w:r>
      <w:r>
        <w:rPr>
          <w:rStyle w:val="FootnoteReference"/>
          <w:shd w:val="clear" w:color="auto" w:fill="FFFFFF"/>
        </w:rPr>
        <w:footnoteReference w:id="5"/>
      </w:r>
      <w:r w:rsidRPr="004B40A2">
        <w:rPr>
          <w:shd w:val="clear" w:color="auto" w:fill="FFFFFF"/>
        </w:rPr>
        <w:t xml:space="preserve"> </w:t>
      </w:r>
      <w:r>
        <w:rPr>
          <w:shd w:val="clear" w:color="auto" w:fill="FFFFFF"/>
        </w:rPr>
        <w:t xml:space="preserve">  </w:t>
      </w:r>
    </w:p>
    <w:p w:rsidR="0037093B" w:rsidRPr="00C63C2E" w:rsidP="0037093B" w14:paraId="3C265ADB" w14:textId="77777777">
      <w:pPr>
        <w:pStyle w:val="ParaNum"/>
        <w:rPr>
          <w:rFonts w:eastAsia="Calibri"/>
          <w:snapToGrid/>
        </w:rPr>
      </w:pPr>
      <w:r>
        <w:rPr>
          <w:shd w:val="clear" w:color="auto" w:fill="FFFFFF"/>
        </w:rPr>
        <w:t xml:space="preserve">More specifically, the Engineering Division </w:t>
      </w:r>
      <w:r w:rsidRPr="004B40A2">
        <w:rPr>
          <w:color w:val="000000"/>
          <w:szCs w:val="22"/>
          <w:shd w:val="clear" w:color="auto" w:fill="FFFFFF"/>
        </w:rPr>
        <w:t>processe</w:t>
      </w:r>
      <w:r>
        <w:rPr>
          <w:color w:val="000000"/>
          <w:szCs w:val="22"/>
          <w:shd w:val="clear" w:color="auto" w:fill="FFFFFF"/>
        </w:rPr>
        <w:t>d cable industry regulatory filings (such as registrations and their updates, and signal leakage and proof of performance results),</w:t>
      </w:r>
      <w:r w:rsidRPr="004B40A2">
        <w:rPr>
          <w:color w:val="000000"/>
          <w:szCs w:val="22"/>
          <w:shd w:val="clear" w:color="auto" w:fill="FFFFFF"/>
        </w:rPr>
        <w:t xml:space="preserve"> Cable Television Relay Service (CARS) applications, and requests for rulings on technical matters. </w:t>
      </w:r>
      <w:r>
        <w:rPr>
          <w:color w:val="000000"/>
          <w:szCs w:val="22"/>
          <w:shd w:val="clear" w:color="auto" w:fill="FFFFFF"/>
        </w:rPr>
        <w:t xml:space="preserve"> As the industry has transitioned from analog to digital and from paper to electronic filing processes, and as the Commission has engaged in dozens of proceedings to modernize its rules,</w:t>
      </w:r>
      <w:r>
        <w:rPr>
          <w:rStyle w:val="FootnoteReference"/>
          <w:szCs w:val="22"/>
          <w:shd w:val="clear" w:color="auto" w:fill="FFFFFF"/>
        </w:rPr>
        <w:footnoteReference w:id="6"/>
      </w:r>
      <w:r>
        <w:rPr>
          <w:color w:val="000000"/>
          <w:szCs w:val="22"/>
          <w:shd w:val="clear" w:color="auto" w:fill="FFFFFF"/>
        </w:rPr>
        <w:t xml:space="preserve"> the Engineering Division’s tasks have diminished.  For example, many of the tasks that the Engineering Division used to perform, such as monitoring and enforcing proof-of-performance testing requirements and collecting FCC Form </w:t>
      </w:r>
      <w:r>
        <w:rPr>
          <w:color w:val="000000"/>
          <w:szCs w:val="22"/>
          <w:shd w:val="clear" w:color="auto" w:fill="FFFFFF"/>
        </w:rPr>
        <w:t>325 (Annual Report of Cable Television Systems), are no longer necessary given updates to our rules.</w:t>
      </w:r>
      <w:r>
        <w:rPr>
          <w:rStyle w:val="FootnoteReference"/>
          <w:szCs w:val="22"/>
          <w:shd w:val="clear" w:color="auto" w:fill="FFFFFF"/>
        </w:rPr>
        <w:footnoteReference w:id="7"/>
      </w:r>
      <w:r>
        <w:rPr>
          <w:color w:val="000000"/>
          <w:szCs w:val="22"/>
          <w:shd w:val="clear" w:color="auto" w:fill="FFFFFF"/>
        </w:rPr>
        <w:t xml:space="preserve">  </w:t>
      </w:r>
      <w:r w:rsidRPr="00C63C2E">
        <w:rPr>
          <w:rFonts w:eastAsia="Calibri"/>
          <w:snapToGrid/>
        </w:rPr>
        <w:t xml:space="preserve">The </w:t>
      </w:r>
      <w:r>
        <w:rPr>
          <w:rFonts w:eastAsia="Calibri"/>
          <w:snapToGrid/>
        </w:rPr>
        <w:t>Division</w:t>
      </w:r>
      <w:r w:rsidRPr="00C63C2E">
        <w:rPr>
          <w:rFonts w:eastAsia="Calibri"/>
          <w:snapToGrid/>
        </w:rPr>
        <w:t>’s work is</w:t>
      </w:r>
      <w:r>
        <w:rPr>
          <w:rFonts w:eastAsia="Calibri"/>
          <w:snapToGrid/>
        </w:rPr>
        <w:t xml:space="preserve"> now </w:t>
      </w:r>
      <w:r w:rsidRPr="00C63C2E">
        <w:rPr>
          <w:rFonts w:eastAsia="Calibri"/>
          <w:snapToGrid/>
        </w:rPr>
        <w:t>primarily focused on consulting with</w:t>
      </w:r>
      <w:r>
        <w:rPr>
          <w:rFonts w:eastAsia="Calibri"/>
          <w:snapToGrid/>
        </w:rPr>
        <w:t xml:space="preserve"> other Bureaus and Offices and</w:t>
      </w:r>
      <w:r w:rsidRPr="00C63C2E">
        <w:rPr>
          <w:rFonts w:eastAsia="Calibri"/>
          <w:snapToGrid/>
        </w:rPr>
        <w:t xml:space="preserve"> the Media Bureau’s other divisions in all aspects of </w:t>
      </w:r>
      <w:r>
        <w:rPr>
          <w:rFonts w:eastAsia="Calibri"/>
          <w:snapToGrid/>
        </w:rPr>
        <w:t xml:space="preserve">media-related </w:t>
      </w:r>
      <w:r w:rsidRPr="00C63C2E">
        <w:rPr>
          <w:rFonts w:eastAsia="Calibri"/>
          <w:snapToGrid/>
        </w:rPr>
        <w:t>technical rulemakings and enforcement</w:t>
      </w:r>
      <w:r>
        <w:rPr>
          <w:rFonts w:eastAsia="Calibri"/>
          <w:snapToGrid/>
        </w:rPr>
        <w:t xml:space="preserve"> and</w:t>
      </w:r>
      <w:r w:rsidRPr="00C63C2E">
        <w:rPr>
          <w:rFonts w:eastAsia="Calibri"/>
          <w:snapToGrid/>
        </w:rPr>
        <w:t xml:space="preserve"> </w:t>
      </w:r>
      <w:r>
        <w:rPr>
          <w:rFonts w:eastAsia="Calibri"/>
          <w:snapToGrid/>
        </w:rPr>
        <w:t xml:space="preserve">providing analysis of the Commission’s cable industry data, </w:t>
      </w:r>
      <w:r w:rsidRPr="00C63C2E">
        <w:rPr>
          <w:rFonts w:eastAsia="Calibri"/>
          <w:snapToGrid/>
        </w:rPr>
        <w:t xml:space="preserve">as well as maintaining </w:t>
      </w:r>
      <w:r>
        <w:rPr>
          <w:rFonts w:eastAsia="Calibri"/>
          <w:snapToGrid/>
        </w:rPr>
        <w:t>t</w:t>
      </w:r>
      <w:r w:rsidRPr="00C63C2E">
        <w:rPr>
          <w:rFonts w:eastAsia="Calibri"/>
          <w:snapToGrid/>
        </w:rPr>
        <w:t xml:space="preserve">he </w:t>
      </w:r>
      <w:r>
        <w:rPr>
          <w:rFonts w:eastAsia="Calibri"/>
          <w:snapToGrid/>
        </w:rPr>
        <w:t xml:space="preserve">Cable Operations and Licensing System (COALS) database, which includes the </w:t>
      </w:r>
      <w:r w:rsidRPr="00C63C2E">
        <w:rPr>
          <w:rFonts w:eastAsia="Calibri"/>
          <w:snapToGrid/>
        </w:rPr>
        <w:t>CARS licensing process.</w:t>
      </w:r>
    </w:p>
    <w:p w:rsidR="0037093B" w:rsidRPr="002B67C6" w:rsidP="0037093B" w14:paraId="26784D84" w14:textId="77777777">
      <w:pPr>
        <w:pStyle w:val="ParaNum"/>
        <w:rPr>
          <w:rFonts w:eastAsia="Calibri"/>
          <w:snapToGrid/>
        </w:rPr>
      </w:pPr>
      <w:r>
        <w:rPr>
          <w:shd w:val="clear" w:color="auto" w:fill="FFFFFF"/>
        </w:rPr>
        <w:t>Among other things, the IAD</w:t>
      </w:r>
      <w:r w:rsidRPr="004B40A2">
        <w:rPr>
          <w:shd w:val="clear" w:color="auto" w:fill="FFFFFF"/>
        </w:rPr>
        <w:t xml:space="preserve"> collects, compiles, analyzes and develops reports on relevant industry and market data and information, including </w:t>
      </w:r>
      <w:r>
        <w:rPr>
          <w:shd w:val="clear" w:color="auto" w:fill="FFFFFF"/>
        </w:rPr>
        <w:t xml:space="preserve">conducting rulemakings and </w:t>
      </w:r>
      <w:r w:rsidRPr="004B40A2">
        <w:rPr>
          <w:shd w:val="clear" w:color="auto" w:fill="FFFFFF"/>
        </w:rPr>
        <w:t xml:space="preserve">preparing </w:t>
      </w:r>
      <w:r>
        <w:rPr>
          <w:shd w:val="clear" w:color="auto" w:fill="FFFFFF"/>
        </w:rPr>
        <w:t>reports</w:t>
      </w:r>
      <w:r w:rsidRPr="004B40A2">
        <w:rPr>
          <w:shd w:val="clear" w:color="auto" w:fill="FFFFFF"/>
        </w:rPr>
        <w:t xml:space="preserve"> to Congress on the status of competition in the </w:t>
      </w:r>
      <w:r>
        <w:rPr>
          <w:shd w:val="clear" w:color="auto" w:fill="FFFFFF"/>
        </w:rPr>
        <w:t>media industry.  With the recent creation of the Office of Economics and Analytics (OEA),</w:t>
      </w:r>
      <w:r>
        <w:rPr>
          <w:rStyle w:val="FootnoteReference"/>
          <w:shd w:val="clear" w:color="auto" w:fill="FFFFFF"/>
        </w:rPr>
        <w:footnoteReference w:id="8"/>
      </w:r>
      <w:r>
        <w:rPr>
          <w:shd w:val="clear" w:color="auto" w:fill="FFFFFF"/>
        </w:rPr>
        <w:t xml:space="preserve"> the IAD’s economists and a portion of its responsibilities were relocated to the new OEA. </w:t>
      </w:r>
    </w:p>
    <w:p w:rsidR="0037093B" w:rsidRPr="00530137" w:rsidP="0037093B" w14:paraId="70427F24" w14:textId="77777777">
      <w:pPr>
        <w:pStyle w:val="Heading1"/>
        <w:keepNext w:val="0"/>
        <w:suppressAutoHyphens w:val="0"/>
        <w:rPr>
          <w:rFonts w:eastAsia="Calibri"/>
          <w:snapToGrid/>
        </w:rPr>
      </w:pPr>
      <w:r w:rsidRPr="00530137">
        <w:rPr>
          <w:rFonts w:eastAsia="Calibri"/>
          <w:snapToGrid/>
        </w:rPr>
        <w:t>discussion</w:t>
      </w:r>
    </w:p>
    <w:p w:rsidR="0037093B" w:rsidRPr="00530137" w:rsidP="0037093B" w14:paraId="42147F24" w14:textId="77777777">
      <w:pPr>
        <w:pStyle w:val="ParaNum"/>
        <w:rPr>
          <w:rFonts w:eastAsia="Calibri"/>
          <w:snapToGrid/>
        </w:rPr>
      </w:pPr>
      <w:r>
        <w:rPr>
          <w:rFonts w:eastAsia="Calibri"/>
          <w:snapToGrid/>
        </w:rPr>
        <w:t>We find that t</w:t>
      </w:r>
      <w:r w:rsidRPr="00530137">
        <w:rPr>
          <w:rFonts w:eastAsia="Calibri"/>
          <w:snapToGrid/>
        </w:rPr>
        <w:t xml:space="preserve">here are notable benefits to bringing the </w:t>
      </w:r>
      <w:r>
        <w:rPr>
          <w:rFonts w:eastAsia="Calibri"/>
          <w:snapToGrid/>
        </w:rPr>
        <w:t>Engineering Division</w:t>
      </w:r>
      <w:r w:rsidRPr="00530137">
        <w:rPr>
          <w:rFonts w:eastAsia="Calibri"/>
          <w:snapToGrid/>
        </w:rPr>
        <w:t xml:space="preserve"> te</w:t>
      </w:r>
      <w:r>
        <w:rPr>
          <w:rFonts w:eastAsia="Calibri"/>
          <w:snapToGrid/>
        </w:rPr>
        <w:t xml:space="preserve">am </w:t>
      </w:r>
      <w:r w:rsidRPr="00530137">
        <w:rPr>
          <w:rFonts w:eastAsia="Calibri"/>
          <w:snapToGrid/>
        </w:rPr>
        <w:t xml:space="preserve">within </w:t>
      </w:r>
      <w:r>
        <w:rPr>
          <w:rFonts w:eastAsia="Calibri"/>
          <w:snapToGrid/>
        </w:rPr>
        <w:t>the larger IAD</w:t>
      </w:r>
      <w:r w:rsidRPr="00530137">
        <w:rPr>
          <w:rFonts w:eastAsia="Calibri"/>
          <w:snapToGrid/>
        </w:rPr>
        <w:t xml:space="preserve">.  </w:t>
      </w:r>
      <w:r>
        <w:rPr>
          <w:rFonts w:eastAsia="Calibri"/>
          <w:snapToGrid/>
        </w:rPr>
        <w:t>Simplifying the</w:t>
      </w:r>
      <w:r w:rsidRPr="003872D1">
        <w:rPr>
          <w:rFonts w:eastAsia="Calibri"/>
          <w:snapToGrid/>
        </w:rPr>
        <w:t xml:space="preserve"> organizational </w:t>
      </w:r>
      <w:r>
        <w:rPr>
          <w:rFonts w:eastAsia="Calibri"/>
          <w:snapToGrid/>
        </w:rPr>
        <w:t>structure of the Bureau will</w:t>
      </w:r>
      <w:r w:rsidRPr="003872D1">
        <w:rPr>
          <w:rFonts w:eastAsia="Calibri"/>
          <w:snapToGrid/>
        </w:rPr>
        <w:t xml:space="preserve"> </w:t>
      </w:r>
      <w:r>
        <w:rPr>
          <w:rFonts w:eastAsia="Calibri"/>
          <w:snapToGrid/>
        </w:rPr>
        <w:t xml:space="preserve">streamline its operations, </w:t>
      </w:r>
      <w:r>
        <w:rPr>
          <w:rFonts w:eastAsia="Calibri"/>
        </w:rPr>
        <w:t xml:space="preserve">improve the supervisor-to-employee ratio thereby reducing redundancies in management, </w:t>
      </w:r>
      <w:r>
        <w:rPr>
          <w:rFonts w:eastAsia="Calibri"/>
          <w:snapToGrid/>
        </w:rPr>
        <w:t>and encourage more extensive staff interaction and collaboration.  The IAD</w:t>
      </w:r>
      <w:r w:rsidRPr="00530137">
        <w:rPr>
          <w:rFonts w:eastAsia="Calibri"/>
          <w:snapToGrid/>
        </w:rPr>
        <w:t xml:space="preserve"> staff has extensive experience </w:t>
      </w:r>
      <w:r>
        <w:rPr>
          <w:rFonts w:eastAsia="Calibri"/>
          <w:snapToGrid/>
        </w:rPr>
        <w:t xml:space="preserve">analyzing the media industry and incorporating such analysis into the Bureau’s rulemaking and regulation.  </w:t>
      </w:r>
      <w:r w:rsidRPr="00530137">
        <w:rPr>
          <w:rFonts w:eastAsia="Calibri"/>
          <w:snapToGrid/>
        </w:rPr>
        <w:t>Therefore</w:t>
      </w:r>
      <w:r>
        <w:rPr>
          <w:rFonts w:eastAsia="Calibri"/>
          <w:snapToGrid/>
        </w:rPr>
        <w:t>, they</w:t>
      </w:r>
      <w:r w:rsidRPr="00530137">
        <w:rPr>
          <w:rFonts w:eastAsia="Calibri"/>
          <w:snapToGrid/>
        </w:rPr>
        <w:t xml:space="preserve"> are well positioned to </w:t>
      </w:r>
      <w:r>
        <w:rPr>
          <w:rFonts w:eastAsia="Calibri"/>
          <w:snapToGrid/>
        </w:rPr>
        <w:t xml:space="preserve">effectively utilize the technical resources of the Engineering Division.  </w:t>
      </w:r>
      <w:r w:rsidRPr="00530137">
        <w:rPr>
          <w:rFonts w:eastAsia="Calibri"/>
          <w:snapToGrid/>
        </w:rPr>
        <w:t xml:space="preserve">Further, </w:t>
      </w:r>
      <w:r>
        <w:rPr>
          <w:rFonts w:eastAsia="Calibri"/>
          <w:snapToGrid/>
        </w:rPr>
        <w:t>IAD</w:t>
      </w:r>
      <w:r w:rsidRPr="00530137">
        <w:rPr>
          <w:rFonts w:eastAsia="Calibri"/>
          <w:snapToGrid/>
        </w:rPr>
        <w:t xml:space="preserve"> ma</w:t>
      </w:r>
      <w:r>
        <w:rPr>
          <w:rFonts w:eastAsia="Calibri"/>
          <w:snapToGrid/>
        </w:rPr>
        <w:t>nages</w:t>
      </w:r>
      <w:r w:rsidRPr="00530137">
        <w:rPr>
          <w:rFonts w:eastAsia="Calibri"/>
          <w:snapToGrid/>
        </w:rPr>
        <w:t xml:space="preserve"> </w:t>
      </w:r>
      <w:r>
        <w:rPr>
          <w:rFonts w:eastAsia="Calibri"/>
          <w:snapToGrid/>
        </w:rPr>
        <w:t xml:space="preserve">the Bureau’s collection of </w:t>
      </w:r>
      <w:r w:rsidRPr="00530137">
        <w:rPr>
          <w:rFonts w:eastAsia="Calibri"/>
          <w:snapToGrid/>
        </w:rPr>
        <w:t>dat</w:t>
      </w:r>
      <w:r>
        <w:rPr>
          <w:rFonts w:eastAsia="Calibri"/>
          <w:snapToGrid/>
        </w:rPr>
        <w:t xml:space="preserve">a pertaining to media ownership issues.  Combining this extensive experience and responsibility for information technology with the Engineering Division’s COALS database expertise would be beneficial </w:t>
      </w:r>
      <w:r w:rsidRPr="00530137">
        <w:rPr>
          <w:rFonts w:eastAsia="Calibri"/>
          <w:snapToGrid/>
        </w:rPr>
        <w:t xml:space="preserve">to </w:t>
      </w:r>
      <w:r>
        <w:rPr>
          <w:rFonts w:eastAsia="Calibri"/>
          <w:snapToGrid/>
        </w:rPr>
        <w:t>the Bureau’s management and would coalesce much-needed technical resources.</w:t>
      </w:r>
      <w:r w:rsidRPr="00530137">
        <w:rPr>
          <w:rFonts w:eastAsia="Calibri"/>
          <w:snapToGrid/>
        </w:rPr>
        <w:t xml:space="preserve"> </w:t>
      </w:r>
      <w:r>
        <w:rPr>
          <w:rFonts w:eastAsia="Calibri"/>
          <w:snapToGrid/>
        </w:rPr>
        <w:t xml:space="preserve"> In addition, the mission of both divisions involves providing technical support and subject matter expertise to the Media Bureau’s other divisions, as well as </w:t>
      </w:r>
      <w:r w:rsidRPr="00C63C2E">
        <w:rPr>
          <w:rFonts w:eastAsia="Calibri"/>
          <w:snapToGrid/>
        </w:rPr>
        <w:t>consul</w:t>
      </w:r>
      <w:r>
        <w:rPr>
          <w:rFonts w:eastAsia="Calibri"/>
          <w:snapToGrid/>
        </w:rPr>
        <w:t>tation and coordination w</w:t>
      </w:r>
      <w:r w:rsidRPr="00C63C2E">
        <w:rPr>
          <w:rFonts w:eastAsia="Calibri"/>
          <w:snapToGrid/>
        </w:rPr>
        <w:t>ith</w:t>
      </w:r>
      <w:r>
        <w:rPr>
          <w:rFonts w:eastAsia="Calibri"/>
          <w:snapToGrid/>
        </w:rPr>
        <w:t xml:space="preserve"> other Bureaus and Offices related to various policy proceedings, adjudications, and enforcement matters.</w:t>
      </w:r>
    </w:p>
    <w:p w:rsidR="0037093B" w:rsidRPr="003872D1" w:rsidP="0037093B" w14:paraId="275E53AF" w14:textId="77777777">
      <w:pPr>
        <w:pStyle w:val="ParaNum"/>
        <w:rPr>
          <w:rFonts w:eastAsia="Calibri"/>
          <w:snapToGrid/>
        </w:rPr>
      </w:pPr>
      <w:r w:rsidRPr="00530137">
        <w:rPr>
          <w:rFonts w:eastAsia="Calibri"/>
          <w:snapToGrid/>
        </w:rPr>
        <w:t xml:space="preserve">For these reasons, we believe that </w:t>
      </w:r>
      <w:r>
        <w:rPr>
          <w:rFonts w:eastAsia="Calibri"/>
          <w:snapToGrid/>
        </w:rPr>
        <w:t>combining</w:t>
      </w:r>
      <w:r w:rsidRPr="00530137">
        <w:rPr>
          <w:rFonts w:eastAsia="Calibri"/>
          <w:snapToGrid/>
        </w:rPr>
        <w:t xml:space="preserve"> </w:t>
      </w:r>
      <w:r>
        <w:rPr>
          <w:rFonts w:eastAsia="Calibri"/>
          <w:snapToGrid/>
        </w:rPr>
        <w:t xml:space="preserve">the Engineering Division and the IAD </w:t>
      </w:r>
      <w:r w:rsidRPr="00530137">
        <w:rPr>
          <w:rFonts w:eastAsia="Calibri"/>
          <w:snapToGrid/>
        </w:rPr>
        <w:t xml:space="preserve">will </w:t>
      </w:r>
      <w:r>
        <w:rPr>
          <w:rFonts w:eastAsia="Calibri"/>
          <w:snapToGrid/>
        </w:rPr>
        <w:t>promote</w:t>
      </w:r>
      <w:r w:rsidRPr="00530137">
        <w:rPr>
          <w:rFonts w:eastAsia="Calibri"/>
          <w:snapToGrid/>
        </w:rPr>
        <w:t xml:space="preserve"> more effective </w:t>
      </w:r>
      <w:r>
        <w:rPr>
          <w:rFonts w:eastAsia="Calibri"/>
          <w:snapToGrid/>
        </w:rPr>
        <w:t>use of Commission resources</w:t>
      </w:r>
      <w:r w:rsidRPr="00530137">
        <w:rPr>
          <w:rFonts w:eastAsia="Calibri"/>
          <w:snapToGrid/>
        </w:rPr>
        <w:t>.  Accordingly, we find that</w:t>
      </w:r>
      <w:r>
        <w:rPr>
          <w:rFonts w:eastAsia="Calibri"/>
          <w:snapToGrid/>
        </w:rPr>
        <w:t xml:space="preserve"> Engineering Division personnel and responsibilities</w:t>
      </w:r>
      <w:r w:rsidRPr="00530137">
        <w:rPr>
          <w:rFonts w:eastAsia="Calibri"/>
          <w:snapToGrid/>
        </w:rPr>
        <w:t xml:space="preserve"> should be moved </w:t>
      </w:r>
      <w:r>
        <w:rPr>
          <w:rFonts w:eastAsia="Calibri"/>
          <w:snapToGrid/>
        </w:rPr>
        <w:t>into the IAD, and the Engineering Division should be eliminated as a separate Media Bureau division</w:t>
      </w:r>
      <w:r w:rsidRPr="00530137">
        <w:rPr>
          <w:rFonts w:eastAsia="Calibri"/>
          <w:snapToGrid/>
        </w:rPr>
        <w:t xml:space="preserve">.  </w:t>
      </w:r>
      <w:r w:rsidRPr="003872D1">
        <w:rPr>
          <w:rFonts w:eastAsia="Calibri"/>
          <w:snapToGrid/>
        </w:rPr>
        <w:t>The key objectives of this organizational change are to more efficiently deploy Commission resources, enhance the Bureau’s understanding and analysis of the media industry, and rationalize and modernize our organizational structure.  We believe that we can best accomplish these objectives through organizational change.  In order to effectuate this change, we modify our rules</w:t>
      </w:r>
      <w:r>
        <w:rPr>
          <w:rFonts w:eastAsia="Calibri"/>
          <w:snapToGrid/>
        </w:rPr>
        <w:t xml:space="preserve"> to account for the reorganization</w:t>
      </w:r>
      <w:r w:rsidRPr="003872D1">
        <w:rPr>
          <w:rFonts w:eastAsia="Calibri"/>
          <w:snapToGrid/>
        </w:rPr>
        <w:t>.</w:t>
      </w:r>
      <w:r>
        <w:rPr>
          <w:rFonts w:eastAsia="Calibri"/>
          <w:snapToGrid/>
          <w:vertAlign w:val="superscript"/>
        </w:rPr>
        <w:footnoteReference w:id="9"/>
      </w:r>
    </w:p>
    <w:p w:rsidR="0037093B" w:rsidRPr="00530137" w:rsidP="0037093B" w14:paraId="68BD1E9D" w14:textId="77777777">
      <w:pPr>
        <w:pStyle w:val="ParaNum"/>
        <w:rPr>
          <w:rFonts w:eastAsia="Calibri"/>
          <w:snapToGrid/>
        </w:rPr>
      </w:pPr>
      <w:r w:rsidRPr="00530137">
        <w:rPr>
          <w:rFonts w:eastAsia="Calibri"/>
          <w:snapToGrid/>
        </w:rPr>
        <w:t>The amendments adopted herein pertain to agency organization, procedure, and practice.  Consequently, the notice and comment and effective date provisions of the Administrative Procedure Act contained in 5 U.S.C. §§ 553(b) and (d) do not apply.</w:t>
      </w:r>
    </w:p>
    <w:p w:rsidR="0037093B" w:rsidRPr="00530137" w:rsidP="0037093B" w14:paraId="3A4C5629" w14:textId="77777777">
      <w:pPr>
        <w:pStyle w:val="Heading1"/>
        <w:keepNext w:val="0"/>
        <w:suppressAutoHyphens w:val="0"/>
        <w:rPr>
          <w:rFonts w:eastAsia="Calibri"/>
          <w:snapToGrid/>
        </w:rPr>
      </w:pPr>
      <w:r w:rsidRPr="00530137">
        <w:rPr>
          <w:rFonts w:eastAsia="Calibri"/>
          <w:snapToGrid/>
        </w:rPr>
        <w:t>ORDERING CLAUSES</w:t>
      </w:r>
    </w:p>
    <w:p w:rsidR="0037093B" w:rsidRPr="00530137" w:rsidP="0037093B" w14:paraId="1D9236AB" w14:textId="77777777">
      <w:pPr>
        <w:pStyle w:val="ParaNum"/>
        <w:rPr>
          <w:rFonts w:eastAsia="Calibri"/>
          <w:snapToGrid/>
        </w:rPr>
      </w:pPr>
      <w:r w:rsidRPr="00530137">
        <w:rPr>
          <w:rFonts w:eastAsia="Calibri"/>
          <w:snapToGrid/>
        </w:rPr>
        <w:t xml:space="preserve">Accordingly, </w:t>
      </w:r>
      <w:r w:rsidRPr="0037093B">
        <w:rPr>
          <w:rFonts w:eastAsia="Calibri"/>
          <w:b/>
          <w:bCs/>
          <w:snapToGrid/>
        </w:rPr>
        <w:t>IT IS ORDERED THAT</w:t>
      </w:r>
      <w:r w:rsidRPr="00530137">
        <w:rPr>
          <w:rFonts w:eastAsia="Calibri"/>
          <w:snapToGrid/>
        </w:rPr>
        <w:t>, pursuant to sections 1, 4, 5(b), 5(c), and 303(r) of the Communications Act of 1934, as amended, 47 U.S.C. §§ 151, 154, 155(b), 155(c), 303(r), this Order IS ADOPTED.</w:t>
      </w:r>
    </w:p>
    <w:p w:rsidR="0037093B" w:rsidRPr="00530137" w:rsidP="0037093B" w14:paraId="0D47F473" w14:textId="77777777">
      <w:pPr>
        <w:pStyle w:val="ParaNum"/>
        <w:rPr>
          <w:rFonts w:eastAsia="Calibri"/>
          <w:snapToGrid/>
        </w:rPr>
      </w:pPr>
      <w:r w:rsidRPr="0037093B">
        <w:rPr>
          <w:rFonts w:eastAsia="Calibri"/>
          <w:b/>
          <w:bCs/>
          <w:snapToGrid/>
        </w:rPr>
        <w:t>IT IS FURTHER ORDERED</w:t>
      </w:r>
      <w:r w:rsidRPr="00530137">
        <w:rPr>
          <w:rFonts w:eastAsia="Calibri"/>
          <w:snapToGrid/>
        </w:rPr>
        <w:t xml:space="preserve"> that Part </w:t>
      </w:r>
      <w:r>
        <w:rPr>
          <w:rFonts w:eastAsia="Calibri"/>
          <w:snapToGrid/>
        </w:rPr>
        <w:t>73</w:t>
      </w:r>
      <w:r w:rsidRPr="00530137">
        <w:rPr>
          <w:rFonts w:eastAsia="Calibri"/>
          <w:snapToGrid/>
        </w:rPr>
        <w:t xml:space="preserve"> of the Commission rules </w:t>
      </w:r>
      <w:r w:rsidRPr="0037093B">
        <w:rPr>
          <w:rFonts w:eastAsia="Calibri"/>
          <w:b/>
          <w:bCs/>
          <w:snapToGrid/>
        </w:rPr>
        <w:t>IS AMENDED</w:t>
      </w:r>
      <w:r w:rsidRPr="00530137">
        <w:rPr>
          <w:rFonts w:eastAsia="Calibri"/>
          <w:snapToGrid/>
        </w:rPr>
        <w:t xml:space="preserve"> as set forth in the Appendix.</w:t>
      </w:r>
    </w:p>
    <w:p w:rsidR="0037093B" w:rsidP="0037093B" w14:paraId="1C798758" w14:textId="77777777">
      <w:pPr>
        <w:pStyle w:val="ParaNum"/>
        <w:rPr>
          <w:rFonts w:eastAsia="Calibri"/>
          <w:snapToGrid/>
        </w:rPr>
      </w:pPr>
      <w:r w:rsidRPr="0037093B">
        <w:rPr>
          <w:rFonts w:eastAsia="Calibri"/>
          <w:b/>
          <w:bCs/>
          <w:snapToGrid/>
        </w:rPr>
        <w:t>IT IS FURTHER ORDERED</w:t>
      </w:r>
      <w:r w:rsidRPr="00530137">
        <w:rPr>
          <w:rFonts w:eastAsia="Calibri"/>
          <w:snapToGrid/>
        </w:rPr>
        <w:t xml:space="preserve"> that, consistent with the Consolidated Appropriations Act</w:t>
      </w:r>
      <w:r>
        <w:rPr>
          <w:rFonts w:eastAsia="Calibri"/>
          <w:snapToGrid/>
        </w:rPr>
        <w:t>, 2020</w:t>
      </w:r>
      <w:r w:rsidRPr="00530137">
        <w:rPr>
          <w:rFonts w:eastAsia="Calibri"/>
          <w:snapToGrid/>
        </w:rPr>
        <w:t>,</w:t>
      </w:r>
      <w:r>
        <w:rPr>
          <w:rFonts w:eastAsia="Calibri"/>
          <w:snapToGrid/>
          <w:vertAlign w:val="superscript"/>
        </w:rPr>
        <w:footnoteReference w:id="10"/>
      </w:r>
      <w:r w:rsidRPr="00530137">
        <w:rPr>
          <w:rFonts w:eastAsia="Calibri"/>
          <w:snapToGrid/>
        </w:rPr>
        <w:t xml:space="preserve"> this Order </w:t>
      </w:r>
      <w:r w:rsidRPr="0037093B">
        <w:rPr>
          <w:rFonts w:eastAsia="Calibri"/>
          <w:b/>
          <w:bCs/>
          <w:snapToGrid/>
        </w:rPr>
        <w:t>WILL BECOME EFFECTIVE</w:t>
      </w:r>
      <w:r w:rsidRPr="00530137">
        <w:rPr>
          <w:rFonts w:eastAsia="Calibri"/>
          <w:snapToGrid/>
        </w:rPr>
        <w:t xml:space="preserve"> when the appropriate clearance has been obtained and </w:t>
      </w:r>
      <w:r>
        <w:rPr>
          <w:rFonts w:eastAsia="Calibri"/>
          <w:snapToGrid/>
        </w:rPr>
        <w:t>upon the date set forth in the Federal Register publication of this Order</w:t>
      </w:r>
      <w:r w:rsidRPr="00530137">
        <w:rPr>
          <w:rFonts w:eastAsia="Calibri"/>
          <w:snapToGrid/>
        </w:rPr>
        <w:t>.</w:t>
      </w:r>
    </w:p>
    <w:p w:rsidR="0037093B" w:rsidP="0037093B" w14:paraId="0F0130CC" w14:textId="77777777">
      <w:r>
        <w:tab/>
      </w:r>
      <w:r>
        <w:tab/>
      </w:r>
      <w:r>
        <w:tab/>
      </w:r>
      <w:r>
        <w:tab/>
      </w:r>
      <w:r>
        <w:tab/>
      </w:r>
      <w:r>
        <w:tab/>
        <w:t>FEDERAL COMMUNICATIONS COMMISSION</w:t>
      </w:r>
    </w:p>
    <w:p w:rsidR="0037093B" w:rsidP="0037093B" w14:paraId="3BB9C6BF" w14:textId="77777777"/>
    <w:p w:rsidR="0037093B" w:rsidP="0037093B" w14:paraId="610A4F8C" w14:textId="77777777"/>
    <w:p w:rsidR="0037093B" w:rsidP="0037093B" w14:paraId="639A969B" w14:textId="77777777"/>
    <w:p w:rsidR="0037093B" w:rsidP="0037093B" w14:paraId="3C90B5F7" w14:textId="77777777"/>
    <w:p w:rsidR="0037093B" w:rsidP="0037093B" w14:paraId="16A18FA9" w14:textId="77777777">
      <w:r>
        <w:tab/>
      </w:r>
      <w:r>
        <w:tab/>
      </w:r>
      <w:r>
        <w:tab/>
      </w:r>
      <w:r>
        <w:tab/>
      </w:r>
      <w:r>
        <w:tab/>
      </w:r>
      <w:r>
        <w:tab/>
        <w:t>Marlene H. Dortch</w:t>
      </w:r>
    </w:p>
    <w:p w:rsidR="0037093B" w:rsidP="0037093B" w14:paraId="035A5612"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37093B" w:rsidP="0037093B" w14:paraId="546B397F" w14:textId="47FB5008">
      <w:pPr>
        <w:widowControl/>
        <w:jc w:val="center"/>
        <w:rPr>
          <w:rFonts w:eastAsia="Calibri"/>
          <w:b/>
          <w:snapToGrid/>
          <w:kern w:val="0"/>
          <w:szCs w:val="22"/>
        </w:rPr>
      </w:pPr>
      <w:r w:rsidRPr="00530137">
        <w:rPr>
          <w:rFonts w:eastAsia="Calibri"/>
          <w:b/>
          <w:snapToGrid/>
          <w:kern w:val="0"/>
          <w:szCs w:val="22"/>
        </w:rPr>
        <w:t>APPENDIX</w:t>
      </w:r>
    </w:p>
    <w:p w:rsidR="0037093B" w:rsidRPr="00530137" w:rsidP="0037093B" w14:paraId="0F3A2A16" w14:textId="77777777">
      <w:pPr>
        <w:widowControl/>
        <w:jc w:val="center"/>
        <w:rPr>
          <w:rFonts w:eastAsia="Calibri"/>
          <w:b/>
          <w:snapToGrid/>
          <w:kern w:val="0"/>
          <w:szCs w:val="22"/>
        </w:rPr>
      </w:pPr>
    </w:p>
    <w:p w:rsidR="0037093B" w:rsidRPr="00530137" w:rsidP="0037093B" w14:paraId="3089987A" w14:textId="77777777">
      <w:pPr>
        <w:widowControl/>
        <w:spacing w:line="259" w:lineRule="auto"/>
        <w:jc w:val="center"/>
        <w:rPr>
          <w:rFonts w:eastAsia="Calibri"/>
          <w:b/>
          <w:snapToGrid/>
          <w:kern w:val="0"/>
          <w:szCs w:val="22"/>
        </w:rPr>
      </w:pPr>
      <w:r w:rsidRPr="00530137">
        <w:rPr>
          <w:rFonts w:eastAsia="Calibri"/>
          <w:b/>
          <w:snapToGrid/>
          <w:kern w:val="0"/>
          <w:szCs w:val="22"/>
        </w:rPr>
        <w:t>Final Rules</w:t>
      </w:r>
    </w:p>
    <w:p w:rsidR="0037093B" w:rsidP="0037093B" w14:paraId="29AB43E8" w14:textId="77777777">
      <w:pPr>
        <w:pStyle w:val="ParaNum"/>
        <w:numPr>
          <w:ilvl w:val="0"/>
          <w:numId w:val="0"/>
        </w:numPr>
        <w:spacing w:after="0"/>
      </w:pPr>
    </w:p>
    <w:p w:rsidR="0037093B" w:rsidP="0037093B" w14:paraId="2A58EEFA" w14:textId="77777777">
      <w:pPr>
        <w:pStyle w:val="ParaNum"/>
        <w:numPr>
          <w:ilvl w:val="0"/>
          <w:numId w:val="0"/>
        </w:numPr>
        <w:spacing w:after="0"/>
      </w:pPr>
      <w:r>
        <w:t xml:space="preserve">For ease of review, the final rules set forth below show amendments in </w:t>
      </w:r>
      <w:r>
        <w:rPr>
          <w:strike/>
        </w:rPr>
        <w:t>strikethrough</w:t>
      </w:r>
      <w:r>
        <w:t xml:space="preserve"> (for deletions).</w:t>
      </w:r>
    </w:p>
    <w:p w:rsidR="0037093B" w:rsidRPr="00530137" w:rsidP="0037093B" w14:paraId="6D37FA2D" w14:textId="77777777">
      <w:pPr>
        <w:widowControl/>
        <w:spacing w:line="259" w:lineRule="auto"/>
        <w:rPr>
          <w:rFonts w:eastAsia="Calibri"/>
          <w:snapToGrid/>
          <w:kern w:val="0"/>
          <w:szCs w:val="22"/>
        </w:rPr>
      </w:pPr>
    </w:p>
    <w:p w:rsidR="0037093B" w:rsidP="0037093B" w14:paraId="17858C95" w14:textId="77777777">
      <w:pPr>
        <w:pStyle w:val="ParaNum"/>
        <w:numPr>
          <w:ilvl w:val="0"/>
          <w:numId w:val="0"/>
        </w:numPr>
        <w:spacing w:after="0"/>
      </w:pPr>
      <w:r>
        <w:t>The Federal Communications Commission amends 47 CFR Part 73 to read as follows:</w:t>
      </w:r>
    </w:p>
    <w:p w:rsidR="0037093B" w:rsidP="0037093B" w14:paraId="796EE9E5" w14:textId="77777777">
      <w:pPr>
        <w:pStyle w:val="ParaNum"/>
        <w:numPr>
          <w:ilvl w:val="0"/>
          <w:numId w:val="0"/>
        </w:numPr>
        <w:spacing w:after="0"/>
      </w:pPr>
    </w:p>
    <w:p w:rsidR="0037093B" w:rsidP="0037093B" w14:paraId="2F0FF81E" w14:textId="77777777">
      <w:pPr>
        <w:pStyle w:val="ParaNum"/>
        <w:numPr>
          <w:ilvl w:val="0"/>
          <w:numId w:val="0"/>
        </w:numPr>
        <w:spacing w:after="0"/>
      </w:pPr>
      <w:r>
        <w:t>PART 73 – RADIO BROADCAST SERVICES</w:t>
      </w:r>
    </w:p>
    <w:p w:rsidR="0037093B" w:rsidP="0037093B" w14:paraId="12AE6F8B" w14:textId="77777777">
      <w:pPr>
        <w:pStyle w:val="ParaNum"/>
        <w:numPr>
          <w:ilvl w:val="0"/>
          <w:numId w:val="0"/>
        </w:numPr>
        <w:spacing w:after="0"/>
      </w:pPr>
    </w:p>
    <w:p w:rsidR="0037093B" w:rsidP="0037093B" w14:paraId="48F9D667" w14:textId="77777777">
      <w:pPr>
        <w:pStyle w:val="ParaNum"/>
        <w:numPr>
          <w:ilvl w:val="0"/>
          <w:numId w:val="0"/>
        </w:numPr>
        <w:spacing w:after="0"/>
      </w:pPr>
      <w:r>
        <w:t>1.</w:t>
      </w:r>
      <w:r>
        <w:tab/>
        <w:t>The authority citation for part 73 continues to read as follows:</w:t>
      </w:r>
    </w:p>
    <w:p w:rsidR="0037093B" w:rsidP="0037093B" w14:paraId="33A2FC05" w14:textId="77777777">
      <w:pPr>
        <w:pStyle w:val="ParaNum"/>
        <w:numPr>
          <w:ilvl w:val="0"/>
          <w:numId w:val="0"/>
        </w:numPr>
        <w:spacing w:after="0"/>
      </w:pPr>
    </w:p>
    <w:p w:rsidR="0037093B" w:rsidP="0037093B" w14:paraId="0EAB140D" w14:textId="77777777">
      <w:pPr>
        <w:pStyle w:val="ParaNum"/>
        <w:numPr>
          <w:ilvl w:val="0"/>
          <w:numId w:val="0"/>
        </w:numPr>
        <w:spacing w:after="0"/>
      </w:pPr>
      <w:r>
        <w:t>Authority:  47 U.S.C. 154, 155, 301, 303, 307, 309, 310, 334, 336, 339.</w:t>
      </w:r>
    </w:p>
    <w:p w:rsidR="0037093B" w:rsidRPr="00530137" w:rsidP="0037093B" w14:paraId="542CEE18" w14:textId="77777777">
      <w:pPr>
        <w:widowControl/>
        <w:spacing w:line="259" w:lineRule="auto"/>
        <w:rPr>
          <w:rFonts w:eastAsia="Calibri"/>
          <w:snapToGrid/>
          <w:kern w:val="0"/>
          <w:szCs w:val="22"/>
        </w:rPr>
      </w:pPr>
    </w:p>
    <w:p w:rsidR="0037093B" w:rsidRPr="00530137" w:rsidP="0037093B" w14:paraId="5AB6F179" w14:textId="77777777">
      <w:pPr>
        <w:widowControl/>
        <w:spacing w:line="259" w:lineRule="auto"/>
        <w:rPr>
          <w:rFonts w:eastAsia="Calibri"/>
          <w:snapToGrid/>
          <w:kern w:val="0"/>
          <w:szCs w:val="22"/>
        </w:rPr>
      </w:pPr>
      <w:r w:rsidRPr="00530137">
        <w:rPr>
          <w:rFonts w:eastAsia="Calibri"/>
          <w:snapToGrid/>
          <w:kern w:val="0"/>
          <w:szCs w:val="22"/>
        </w:rPr>
        <w:t xml:space="preserve">2.  Amend section </w:t>
      </w:r>
      <w:r>
        <w:rPr>
          <w:rFonts w:eastAsia="Calibri"/>
          <w:snapToGrid/>
          <w:kern w:val="0"/>
          <w:szCs w:val="22"/>
        </w:rPr>
        <w:t>73.3617</w:t>
      </w:r>
      <w:r w:rsidRPr="00530137">
        <w:rPr>
          <w:rFonts w:eastAsia="Calibri"/>
          <w:snapToGrid/>
          <w:kern w:val="0"/>
          <w:szCs w:val="22"/>
        </w:rPr>
        <w:t xml:space="preserve"> to read as follows:</w:t>
      </w:r>
    </w:p>
    <w:p w:rsidR="0037093B" w:rsidRPr="00530137" w:rsidP="0037093B" w14:paraId="375A983B" w14:textId="77777777">
      <w:pPr>
        <w:widowControl/>
        <w:spacing w:line="259" w:lineRule="auto"/>
        <w:rPr>
          <w:rFonts w:eastAsia="Calibri"/>
          <w:snapToGrid/>
          <w:kern w:val="0"/>
          <w:szCs w:val="22"/>
        </w:rPr>
      </w:pPr>
    </w:p>
    <w:p w:rsidR="0037093B" w:rsidRPr="00530137" w:rsidP="0037093B" w14:paraId="298EF124" w14:textId="77777777">
      <w:pPr>
        <w:widowControl/>
        <w:spacing w:line="259" w:lineRule="auto"/>
        <w:rPr>
          <w:rFonts w:eastAsia="Calibri"/>
          <w:b/>
          <w:snapToGrid/>
          <w:kern w:val="0"/>
          <w:szCs w:val="22"/>
        </w:rPr>
      </w:pPr>
      <w:r w:rsidRPr="00530137">
        <w:rPr>
          <w:rFonts w:eastAsia="Calibri"/>
          <w:b/>
          <w:snapToGrid/>
          <w:kern w:val="0"/>
          <w:szCs w:val="22"/>
        </w:rPr>
        <w:t xml:space="preserve">§ </w:t>
      </w:r>
      <w:r>
        <w:rPr>
          <w:rFonts w:eastAsia="Calibri"/>
          <w:b/>
          <w:snapToGrid/>
          <w:kern w:val="0"/>
          <w:szCs w:val="22"/>
        </w:rPr>
        <w:t>73.3617 Information available on the Internet</w:t>
      </w:r>
      <w:r w:rsidRPr="00530137">
        <w:rPr>
          <w:rFonts w:eastAsia="Calibri"/>
          <w:b/>
          <w:snapToGrid/>
          <w:kern w:val="0"/>
          <w:szCs w:val="22"/>
        </w:rPr>
        <w:t>.</w:t>
      </w:r>
    </w:p>
    <w:p w:rsidR="0037093B" w:rsidRPr="00280677" w:rsidP="0037093B" w14:paraId="6BC5C685" w14:textId="77777777">
      <w:pPr>
        <w:widowControl/>
        <w:spacing w:line="259" w:lineRule="auto"/>
        <w:rPr>
          <w:rFonts w:eastAsia="Calibri"/>
          <w:b/>
          <w:snapToGrid/>
          <w:kern w:val="0"/>
          <w:szCs w:val="22"/>
        </w:rPr>
      </w:pPr>
    </w:p>
    <w:p w:rsidR="0037093B" w:rsidP="0037093B" w14:paraId="1D5DD15B" w14:textId="77777777">
      <w:pPr>
        <w:widowControl/>
        <w:spacing w:line="259" w:lineRule="auto"/>
        <w:rPr>
          <w:rStyle w:val="et03"/>
          <w:i/>
          <w:iCs/>
          <w:color w:val="333333"/>
          <w:shd w:val="clear" w:color="auto" w:fill="FFFFFF"/>
        </w:rPr>
      </w:pPr>
      <w:r w:rsidRPr="00280677">
        <w:rPr>
          <w:color w:val="333333"/>
          <w:shd w:val="clear" w:color="auto" w:fill="FFFFFF"/>
        </w:rPr>
        <w:t>The Media Bureau and each of its Divisions provide information on the Internet regarding rules and policies, pending and completed rulemakings, and pending applications. These sites also include copies of public notices and texts of recent decisions. The Media Bureau's address is </w:t>
      </w:r>
      <w:r w:rsidRPr="00280677">
        <w:rPr>
          <w:rStyle w:val="et03"/>
          <w:i/>
          <w:iCs/>
          <w:color w:val="333333"/>
          <w:shd w:val="clear" w:color="auto" w:fill="FFFFFF"/>
        </w:rPr>
        <w:t>http://www.fcc.gov/mb/;</w:t>
      </w:r>
      <w:r w:rsidRPr="00280677">
        <w:rPr>
          <w:color w:val="333333"/>
          <w:shd w:val="clear" w:color="auto" w:fill="FFFFFF"/>
        </w:rPr>
        <w:t> the Audio Division's address is </w:t>
      </w:r>
      <w:r w:rsidRPr="00280677">
        <w:rPr>
          <w:rStyle w:val="et03"/>
          <w:i/>
          <w:iCs/>
          <w:color w:val="333333"/>
          <w:shd w:val="clear" w:color="auto" w:fill="FFFFFF"/>
        </w:rPr>
        <w:t>http://www.fcc.gov/mb/audio;</w:t>
      </w:r>
      <w:r w:rsidRPr="00280677">
        <w:rPr>
          <w:color w:val="333333"/>
          <w:shd w:val="clear" w:color="auto" w:fill="FFFFFF"/>
        </w:rPr>
        <w:t> the Video Division's address is </w:t>
      </w:r>
      <w:r w:rsidRPr="00280677">
        <w:rPr>
          <w:rStyle w:val="et03"/>
          <w:i/>
          <w:iCs/>
          <w:color w:val="333333"/>
          <w:shd w:val="clear" w:color="auto" w:fill="FFFFFF"/>
        </w:rPr>
        <w:t>http://www.fcc.gov/mb/video;</w:t>
      </w:r>
      <w:r w:rsidRPr="00280677">
        <w:rPr>
          <w:color w:val="333333"/>
          <w:shd w:val="clear" w:color="auto" w:fill="FFFFFF"/>
        </w:rPr>
        <w:t> the Policy Division's address is </w:t>
      </w:r>
      <w:r w:rsidRPr="00280677">
        <w:rPr>
          <w:rStyle w:val="et03"/>
          <w:i/>
          <w:iCs/>
          <w:color w:val="333333"/>
          <w:shd w:val="clear" w:color="auto" w:fill="FFFFFF"/>
        </w:rPr>
        <w:t>http://www.fcc.gov/mb/policy;</w:t>
      </w:r>
      <w:r w:rsidRPr="00280677">
        <w:rPr>
          <w:color w:val="333333"/>
          <w:shd w:val="clear" w:color="auto" w:fill="FFFFFF"/>
        </w:rPr>
        <w:t> </w:t>
      </w:r>
      <w:r w:rsidRPr="00A708BD">
        <w:rPr>
          <w:strike/>
          <w:color w:val="333333"/>
          <w:shd w:val="clear" w:color="auto" w:fill="FFFFFF"/>
        </w:rPr>
        <w:t>the Engineering Division's address is </w:t>
      </w:r>
      <w:r w:rsidRPr="00A708BD">
        <w:rPr>
          <w:rStyle w:val="et03"/>
          <w:i/>
          <w:iCs/>
          <w:strike/>
          <w:color w:val="333333"/>
          <w:shd w:val="clear" w:color="auto" w:fill="FFFFFF"/>
        </w:rPr>
        <w:t>http://www.fcc.gov/mb/engineering;</w:t>
      </w:r>
      <w:r w:rsidRPr="00280677">
        <w:rPr>
          <w:color w:val="333333"/>
          <w:shd w:val="clear" w:color="auto" w:fill="FFFFFF"/>
        </w:rPr>
        <w:t> and the Industry Analysis Division's address is </w:t>
      </w:r>
      <w:r w:rsidRPr="00A708BD">
        <w:rPr>
          <w:rStyle w:val="et03"/>
          <w:i/>
          <w:iCs/>
          <w:color w:val="333333"/>
          <w:shd w:val="clear" w:color="auto" w:fill="FFFFFF"/>
        </w:rPr>
        <w:t>http://www.fcc.gov/mb/industry_analysis</w:t>
      </w:r>
      <w:r w:rsidRPr="00280677">
        <w:rPr>
          <w:rStyle w:val="et03"/>
          <w:i/>
          <w:iCs/>
          <w:color w:val="333333"/>
          <w:shd w:val="clear" w:color="auto" w:fill="FFFFFF"/>
        </w:rPr>
        <w:t>.</w:t>
      </w:r>
    </w:p>
    <w:p w:rsidR="0037093B" w:rsidRPr="00280677" w:rsidP="0037093B" w14:paraId="33355F69" w14:textId="77777777">
      <w:pPr>
        <w:widowControl/>
        <w:spacing w:line="259" w:lineRule="auto"/>
        <w:rPr>
          <w:rFonts w:eastAsia="Calibri"/>
          <w:b/>
          <w:snapToGrid/>
          <w:kern w:val="0"/>
          <w:szCs w:val="22"/>
        </w:rPr>
      </w:pPr>
    </w:p>
    <w:p w:rsidR="00412FC5" w:rsidRPr="0037093B" w:rsidP="0037093B" w14:paraId="6793E8DC" w14:textId="0C5585D1">
      <w:pPr>
        <w:widowControl/>
        <w:spacing w:line="259" w:lineRule="auto"/>
        <w:rPr>
          <w:rFonts w:eastAsia="Calibri"/>
          <w:iCs/>
          <w:snapToGrid/>
          <w:kern w:val="0"/>
          <w:szCs w:val="22"/>
        </w:rPr>
      </w:pPr>
      <w:r w:rsidRPr="00280677">
        <w:rPr>
          <w:rFonts w:eastAsia="Calibri"/>
          <w:iCs/>
          <w:snapToGrid/>
          <w:kern w:val="0"/>
          <w:szCs w:val="22"/>
        </w:rPr>
        <w:t>* * * * *</w:t>
      </w:r>
    </w:p>
    <w:sectPr w:rsidSect="00530137">
      <w:footerReference w:type="first" r:id="rId10"/>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8A56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01290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7093B" w14:paraId="614D1140" w14:textId="13CCF10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275A1A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137" w:rsidP="00530137" w14:paraId="2C0B97C5"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093B" w14:paraId="30592BF9" w14:textId="77777777">
      <w:r>
        <w:separator/>
      </w:r>
    </w:p>
  </w:footnote>
  <w:footnote w:type="continuationSeparator" w:id="1">
    <w:p w:rsidR="0037093B" w:rsidP="00C721AC" w14:paraId="49DA0DA0" w14:textId="77777777">
      <w:pPr>
        <w:spacing w:before="120"/>
        <w:rPr>
          <w:sz w:val="20"/>
        </w:rPr>
      </w:pPr>
      <w:r>
        <w:rPr>
          <w:sz w:val="20"/>
        </w:rPr>
        <w:t xml:space="preserve">(Continued from previous page)  </w:t>
      </w:r>
      <w:r>
        <w:rPr>
          <w:sz w:val="20"/>
        </w:rPr>
        <w:separator/>
      </w:r>
    </w:p>
  </w:footnote>
  <w:footnote w:type="continuationNotice" w:id="2">
    <w:p w:rsidR="0037093B" w:rsidP="00C721AC" w14:paraId="17982997" w14:textId="77777777">
      <w:pPr>
        <w:jc w:val="right"/>
        <w:rPr>
          <w:sz w:val="20"/>
        </w:rPr>
      </w:pPr>
      <w:r>
        <w:rPr>
          <w:sz w:val="20"/>
        </w:rPr>
        <w:t>(continued….)</w:t>
      </w:r>
    </w:p>
  </w:footnote>
  <w:footnote w:id="3">
    <w:p w:rsidR="0037093B" w:rsidRPr="004B40A2" w:rsidP="0037093B" w14:paraId="6A720442" w14:textId="77777777">
      <w:pPr>
        <w:pStyle w:val="FootnoteText"/>
        <w:widowControl w:val="0"/>
        <w:rPr>
          <w:iCs/>
        </w:rPr>
      </w:pPr>
      <w:r>
        <w:rPr>
          <w:rStyle w:val="FootnoteReference"/>
        </w:rPr>
        <w:footnoteRef/>
      </w:r>
      <w:r>
        <w:t xml:space="preserve"> Press </w:t>
      </w:r>
      <w:r w:rsidRPr="004B40A2">
        <w:t xml:space="preserve">Release, FCC, </w:t>
      </w:r>
      <w:r w:rsidRPr="004B40A2">
        <w:rPr>
          <w:iCs/>
        </w:rPr>
        <w:t>FCC Announces Organization of New Media Bureau</w:t>
      </w:r>
      <w:r w:rsidRPr="004B40A2">
        <w:rPr>
          <w:i/>
        </w:rPr>
        <w:t xml:space="preserve"> </w:t>
      </w:r>
      <w:r w:rsidRPr="004B40A2">
        <w:rPr>
          <w:iCs/>
        </w:rPr>
        <w:t>(March 8, 2002),</w:t>
      </w:r>
      <w:r w:rsidRPr="004B40A2">
        <w:rPr>
          <w:snapToGrid w:val="0"/>
          <w:kern w:val="28"/>
        </w:rPr>
        <w:t xml:space="preserve"> </w:t>
      </w:r>
      <w:r>
        <w:rPr>
          <w:i/>
          <w:iCs/>
          <w:snapToGrid w:val="0"/>
          <w:kern w:val="28"/>
        </w:rPr>
        <w:t xml:space="preserve">available at </w:t>
      </w:r>
      <w:hyperlink r:id="rId1" w:history="1">
        <w:r w:rsidRPr="00802621">
          <w:rPr>
            <w:rStyle w:val="Hyperlink"/>
            <w:snapToGrid w:val="0"/>
            <w:kern w:val="28"/>
          </w:rPr>
          <w:t>https://transition.fcc.gov/Bureaus/Mass_Media/News_Releases/2002/nrmm0202.html</w:t>
        </w:r>
      </w:hyperlink>
      <w:r>
        <w:rPr>
          <w:iCs/>
        </w:rPr>
        <w:t>.</w:t>
      </w:r>
    </w:p>
  </w:footnote>
  <w:footnote w:id="4">
    <w:p w:rsidR="0037093B" w:rsidP="0037093B" w14:paraId="331A5422" w14:textId="77777777">
      <w:pPr>
        <w:pStyle w:val="FootnoteText"/>
        <w:widowControl w:val="0"/>
      </w:pPr>
      <w:r>
        <w:rPr>
          <w:rStyle w:val="FootnoteReference"/>
        </w:rPr>
        <w:footnoteRef/>
      </w:r>
      <w:r>
        <w:t xml:space="preserve"> </w:t>
      </w:r>
      <w:r w:rsidRPr="008322EE">
        <w:rPr>
          <w:i/>
          <w:iCs/>
        </w:rPr>
        <w:t>Id</w:t>
      </w:r>
      <w:r>
        <w:t>.</w:t>
      </w:r>
    </w:p>
  </w:footnote>
  <w:footnote w:id="5">
    <w:p w:rsidR="0037093B" w:rsidP="0037093B" w14:paraId="141A755F" w14:textId="77777777">
      <w:pPr>
        <w:pStyle w:val="FootnoteText"/>
        <w:widowControl w:val="0"/>
      </w:pPr>
      <w:r>
        <w:rPr>
          <w:rStyle w:val="FootnoteReference"/>
        </w:rPr>
        <w:footnoteRef/>
      </w:r>
      <w:r>
        <w:t xml:space="preserve"> </w:t>
      </w:r>
      <w:r w:rsidRPr="008322EE">
        <w:rPr>
          <w:i/>
          <w:iCs/>
        </w:rPr>
        <w:t>Id</w:t>
      </w:r>
      <w:r>
        <w:t xml:space="preserve">. </w:t>
      </w:r>
    </w:p>
  </w:footnote>
  <w:footnote w:id="6">
    <w:p w:rsidR="0037093B" w:rsidP="0037093B" w14:paraId="561568E5" w14:textId="77777777">
      <w:pPr>
        <w:pStyle w:val="FootnoteText"/>
        <w:widowControl w:val="0"/>
      </w:pPr>
      <w:r>
        <w:rPr>
          <w:rStyle w:val="FootnoteReference"/>
        </w:rPr>
        <w:footnoteRef/>
      </w:r>
      <w:r>
        <w:t xml:space="preserve"> </w:t>
      </w:r>
      <w:r w:rsidRPr="0078260D">
        <w:rPr>
          <w:i/>
        </w:rPr>
        <w:t>See Commission Launches Modernization of Media Regulation Initiative</w:t>
      </w:r>
      <w:r w:rsidRPr="0078260D">
        <w:t xml:space="preserve">, MB Docket No. 17-105, Public Notice, 32 FCC </w:t>
      </w:r>
      <w:r w:rsidRPr="0078260D">
        <w:t>Rcd</w:t>
      </w:r>
      <w:r w:rsidRPr="0078260D">
        <w:t xml:space="preserve"> 4406 (MB 2017) (initiating a review of rules applicable to media entities to eliminate or modify regulations that are outdated, unnecessary, or unduly burdensome).</w:t>
      </w:r>
    </w:p>
  </w:footnote>
  <w:footnote w:id="7">
    <w:p w:rsidR="0037093B" w:rsidRPr="003359D0" w:rsidP="0037093B" w14:paraId="0E65F98D" w14:textId="77777777">
      <w:pPr>
        <w:pStyle w:val="FootnoteText"/>
        <w:widowControl w:val="0"/>
      </w:pPr>
      <w:r>
        <w:rPr>
          <w:rStyle w:val="FootnoteReference"/>
        </w:rPr>
        <w:footnoteRef/>
      </w:r>
      <w:r>
        <w:t xml:space="preserve"> </w:t>
      </w:r>
      <w:r>
        <w:rPr>
          <w:i/>
          <w:iCs/>
        </w:rPr>
        <w:t xml:space="preserve">FCC Form 325 Collection, </w:t>
      </w:r>
      <w:r>
        <w:t xml:space="preserve">MB Docket 17-290, </w:t>
      </w:r>
      <w:r w:rsidRPr="000C7F7B">
        <w:t>Report and Order</w:t>
      </w:r>
      <w:r>
        <w:rPr>
          <w:i/>
          <w:iCs/>
        </w:rPr>
        <w:t>,</w:t>
      </w:r>
      <w:r>
        <w:t xml:space="preserve"> 33 FCC </w:t>
      </w:r>
      <w:r>
        <w:t>Rcd</w:t>
      </w:r>
      <w:r>
        <w:t xml:space="preserve"> 9252 (2018);</w:t>
      </w:r>
      <w:r>
        <w:rPr>
          <w:i/>
          <w:iCs/>
        </w:rPr>
        <w:t xml:space="preserve"> Cable Television Technical and Operational Standards, </w:t>
      </w:r>
      <w:r>
        <w:t>MB Docket 12-217</w:t>
      </w:r>
      <w:r w:rsidRPr="00282628">
        <w:t>, Report and Order, 32</w:t>
      </w:r>
      <w:r>
        <w:t xml:space="preserve"> FCC </w:t>
      </w:r>
      <w:r>
        <w:t>Rcd</w:t>
      </w:r>
      <w:r>
        <w:t xml:space="preserve"> 7754 (2017).</w:t>
      </w:r>
    </w:p>
  </w:footnote>
  <w:footnote w:id="8">
    <w:p w:rsidR="0037093B" w:rsidRPr="000C7F7B" w:rsidP="0037093B" w14:paraId="79236053" w14:textId="77777777">
      <w:pPr>
        <w:pStyle w:val="FootnoteText"/>
        <w:widowControl w:val="0"/>
      </w:pPr>
      <w:r>
        <w:rPr>
          <w:rStyle w:val="FootnoteReference"/>
        </w:rPr>
        <w:footnoteRef/>
      </w:r>
      <w:r>
        <w:t xml:space="preserve"> </w:t>
      </w:r>
      <w:r>
        <w:rPr>
          <w:i/>
          <w:iCs/>
        </w:rPr>
        <w:t xml:space="preserve">Establishment of the Office of Economics and Analytics, </w:t>
      </w:r>
      <w:r>
        <w:t xml:space="preserve">MD Docket 18-3, Order, 33 FCC </w:t>
      </w:r>
      <w:r>
        <w:t>Rcd</w:t>
      </w:r>
      <w:r>
        <w:t xml:space="preserve"> 1539 (2018).</w:t>
      </w:r>
    </w:p>
  </w:footnote>
  <w:footnote w:id="9">
    <w:p w:rsidR="0037093B" w:rsidP="0037093B" w14:paraId="5D3342A4" w14:textId="77777777">
      <w:pPr>
        <w:pStyle w:val="FootnoteText"/>
        <w:widowControl w:val="0"/>
      </w:pPr>
      <w:r>
        <w:rPr>
          <w:rStyle w:val="FootnoteReference"/>
        </w:rPr>
        <w:footnoteRef/>
      </w:r>
      <w:r>
        <w:t xml:space="preserve"> 47 CFR </w:t>
      </w:r>
      <w:r w:rsidRPr="00BC544F">
        <w:t>§</w:t>
      </w:r>
      <w:r>
        <w:t xml:space="preserve"> 73.3617 (removing reference to the Engineering Division webpage). </w:t>
      </w:r>
    </w:p>
  </w:footnote>
  <w:footnote w:id="10">
    <w:p w:rsidR="0037093B" w:rsidP="0037093B" w14:paraId="12907C66" w14:textId="77777777">
      <w:pPr>
        <w:pStyle w:val="FootnoteText"/>
        <w:widowControl w:val="0"/>
      </w:pPr>
      <w:r>
        <w:rPr>
          <w:rStyle w:val="FootnoteReference"/>
        </w:rPr>
        <w:footnoteRef/>
      </w:r>
      <w:r>
        <w:t xml:space="preserve"> </w:t>
      </w:r>
      <w:r w:rsidRPr="00BC544F">
        <w:rPr>
          <w:i/>
        </w:rPr>
        <w:t>See</w:t>
      </w:r>
      <w:r>
        <w:rPr>
          <w:i/>
        </w:rPr>
        <w:t xml:space="preserve"> </w:t>
      </w:r>
      <w:r w:rsidRPr="00F31F6D">
        <w:rPr>
          <w:spacing w:val="-3"/>
        </w:rPr>
        <w:t>Consolidated Appropriations Act, 2020, Pub. L. 116-93, at Div. C, Title VI, sec. 608, 133 Stat 2317 (Dec. 20, 2019)</w:t>
      </w:r>
      <w:r>
        <w:rPr>
          <w:spacing w:val="-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097462" w14:textId="128B8DB7">
    <w:pPr>
      <w:pStyle w:val="Header"/>
      <w:rPr>
        <w:b w:val="0"/>
      </w:rPr>
    </w:pPr>
    <w:r>
      <w:tab/>
      <w:t>Federal Communications Commission</w:t>
    </w:r>
    <w:r>
      <w:tab/>
    </w:r>
    <w:r w:rsidR="0037093B">
      <w:t>FCC 20-</w:t>
    </w:r>
    <w:r w:rsidR="00937B4F">
      <w:t>58</w:t>
    </w:r>
  </w:p>
  <w:p w:rsidR="00D25FB5" w14:paraId="01C28D0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FA7F1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E67229" w14:textId="2BD8CAC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7093B">
      <w:rPr>
        <w:spacing w:val="-2"/>
      </w:rPr>
      <w:t>FCC 20-</w:t>
    </w:r>
    <w:r w:rsidR="00937B4F">
      <w:rPr>
        <w:spacing w:val="-2"/>
      </w:rPr>
      <w:t>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3B"/>
    <w:rsid w:val="00036039"/>
    <w:rsid w:val="00037F90"/>
    <w:rsid w:val="000875BF"/>
    <w:rsid w:val="00096D8C"/>
    <w:rsid w:val="000C0B65"/>
    <w:rsid w:val="000C7F7B"/>
    <w:rsid w:val="000E05FE"/>
    <w:rsid w:val="000E3D42"/>
    <w:rsid w:val="00122BD5"/>
    <w:rsid w:val="00133F79"/>
    <w:rsid w:val="00194A66"/>
    <w:rsid w:val="001D6BCF"/>
    <w:rsid w:val="001E01CA"/>
    <w:rsid w:val="00275CF5"/>
    <w:rsid w:val="00280677"/>
    <w:rsid w:val="00282628"/>
    <w:rsid w:val="0028301F"/>
    <w:rsid w:val="00285017"/>
    <w:rsid w:val="002A2D2E"/>
    <w:rsid w:val="002B67C6"/>
    <w:rsid w:val="002C00E8"/>
    <w:rsid w:val="003359D0"/>
    <w:rsid w:val="00343749"/>
    <w:rsid w:val="003660ED"/>
    <w:rsid w:val="0037093B"/>
    <w:rsid w:val="003872D1"/>
    <w:rsid w:val="003B0550"/>
    <w:rsid w:val="003B694F"/>
    <w:rsid w:val="003F171C"/>
    <w:rsid w:val="00412FC5"/>
    <w:rsid w:val="00422276"/>
    <w:rsid w:val="004242F1"/>
    <w:rsid w:val="00445A00"/>
    <w:rsid w:val="00451B0F"/>
    <w:rsid w:val="004B40A2"/>
    <w:rsid w:val="004C2EE3"/>
    <w:rsid w:val="004E4A22"/>
    <w:rsid w:val="00511968"/>
    <w:rsid w:val="00530137"/>
    <w:rsid w:val="0055614C"/>
    <w:rsid w:val="00566D06"/>
    <w:rsid w:val="005E14C2"/>
    <w:rsid w:val="00607BA5"/>
    <w:rsid w:val="0061180A"/>
    <w:rsid w:val="00626EB6"/>
    <w:rsid w:val="00655D03"/>
    <w:rsid w:val="00683388"/>
    <w:rsid w:val="00683F84"/>
    <w:rsid w:val="00696D37"/>
    <w:rsid w:val="006A5F99"/>
    <w:rsid w:val="006A6A81"/>
    <w:rsid w:val="006F7393"/>
    <w:rsid w:val="0070224F"/>
    <w:rsid w:val="007115F7"/>
    <w:rsid w:val="0078260D"/>
    <w:rsid w:val="00785689"/>
    <w:rsid w:val="0079754B"/>
    <w:rsid w:val="007A1E6D"/>
    <w:rsid w:val="007B0EB2"/>
    <w:rsid w:val="00802621"/>
    <w:rsid w:val="00810B6F"/>
    <w:rsid w:val="00822CE0"/>
    <w:rsid w:val="008322EE"/>
    <w:rsid w:val="00841AB1"/>
    <w:rsid w:val="008C68F1"/>
    <w:rsid w:val="00921803"/>
    <w:rsid w:val="00926503"/>
    <w:rsid w:val="00937B4F"/>
    <w:rsid w:val="009726D8"/>
    <w:rsid w:val="009D7308"/>
    <w:rsid w:val="009F76DB"/>
    <w:rsid w:val="00A32C3B"/>
    <w:rsid w:val="00A45F4F"/>
    <w:rsid w:val="00A600A9"/>
    <w:rsid w:val="00A708BD"/>
    <w:rsid w:val="00AA55B7"/>
    <w:rsid w:val="00AA5B9E"/>
    <w:rsid w:val="00AB2407"/>
    <w:rsid w:val="00AB4B79"/>
    <w:rsid w:val="00AB53DF"/>
    <w:rsid w:val="00B07E5C"/>
    <w:rsid w:val="00B811F7"/>
    <w:rsid w:val="00BA5DC6"/>
    <w:rsid w:val="00BA6196"/>
    <w:rsid w:val="00BC544F"/>
    <w:rsid w:val="00BC6D8C"/>
    <w:rsid w:val="00C34006"/>
    <w:rsid w:val="00C36B4C"/>
    <w:rsid w:val="00C426B1"/>
    <w:rsid w:val="00C63C2E"/>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1F6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545CBD0-140C-4AA3-AEDD-E5C9336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4F"/>
    <w:pPr>
      <w:widowControl w:val="0"/>
    </w:pPr>
    <w:rPr>
      <w:snapToGrid w:val="0"/>
      <w:kern w:val="28"/>
      <w:sz w:val="22"/>
    </w:rPr>
  </w:style>
  <w:style w:type="paragraph" w:styleId="Heading1">
    <w:name w:val="heading 1"/>
    <w:basedOn w:val="Normal"/>
    <w:next w:val="ParaNum"/>
    <w:qFormat/>
    <w:rsid w:val="00937B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7B4F"/>
    <w:pPr>
      <w:keepNext/>
      <w:numPr>
        <w:ilvl w:val="1"/>
        <w:numId w:val="3"/>
      </w:numPr>
      <w:spacing w:after="120"/>
      <w:outlineLvl w:val="1"/>
    </w:pPr>
    <w:rPr>
      <w:b/>
    </w:rPr>
  </w:style>
  <w:style w:type="paragraph" w:styleId="Heading3">
    <w:name w:val="heading 3"/>
    <w:basedOn w:val="Normal"/>
    <w:next w:val="ParaNum"/>
    <w:qFormat/>
    <w:rsid w:val="00937B4F"/>
    <w:pPr>
      <w:keepNext/>
      <w:numPr>
        <w:ilvl w:val="2"/>
        <w:numId w:val="3"/>
      </w:numPr>
      <w:tabs>
        <w:tab w:val="left" w:pos="2160"/>
      </w:tabs>
      <w:spacing w:after="120"/>
      <w:outlineLvl w:val="2"/>
    </w:pPr>
    <w:rPr>
      <w:b/>
    </w:rPr>
  </w:style>
  <w:style w:type="paragraph" w:styleId="Heading4">
    <w:name w:val="heading 4"/>
    <w:basedOn w:val="Normal"/>
    <w:next w:val="ParaNum"/>
    <w:qFormat/>
    <w:rsid w:val="00937B4F"/>
    <w:pPr>
      <w:keepNext/>
      <w:numPr>
        <w:ilvl w:val="3"/>
        <w:numId w:val="3"/>
      </w:numPr>
      <w:tabs>
        <w:tab w:val="left" w:pos="2880"/>
      </w:tabs>
      <w:spacing w:after="120"/>
      <w:outlineLvl w:val="3"/>
    </w:pPr>
    <w:rPr>
      <w:b/>
    </w:rPr>
  </w:style>
  <w:style w:type="paragraph" w:styleId="Heading5">
    <w:name w:val="heading 5"/>
    <w:basedOn w:val="Normal"/>
    <w:next w:val="ParaNum"/>
    <w:qFormat/>
    <w:rsid w:val="00937B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7B4F"/>
    <w:pPr>
      <w:numPr>
        <w:ilvl w:val="5"/>
        <w:numId w:val="3"/>
      </w:numPr>
      <w:tabs>
        <w:tab w:val="left" w:pos="4320"/>
      </w:tabs>
      <w:spacing w:after="120"/>
      <w:outlineLvl w:val="5"/>
    </w:pPr>
    <w:rPr>
      <w:b/>
    </w:rPr>
  </w:style>
  <w:style w:type="paragraph" w:styleId="Heading7">
    <w:name w:val="heading 7"/>
    <w:basedOn w:val="Normal"/>
    <w:next w:val="ParaNum"/>
    <w:qFormat/>
    <w:rsid w:val="00937B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7B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7B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7B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7B4F"/>
  </w:style>
  <w:style w:type="paragraph" w:customStyle="1" w:styleId="ParaNum">
    <w:name w:val="ParaNum"/>
    <w:basedOn w:val="Normal"/>
    <w:link w:val="ParaNumChar"/>
    <w:rsid w:val="00937B4F"/>
    <w:pPr>
      <w:numPr>
        <w:numId w:val="2"/>
      </w:numPr>
      <w:tabs>
        <w:tab w:val="clear" w:pos="1080"/>
        <w:tab w:val="num" w:pos="1440"/>
      </w:tabs>
      <w:spacing w:after="120"/>
    </w:pPr>
  </w:style>
  <w:style w:type="paragraph" w:styleId="EndnoteText">
    <w:name w:val="endnote text"/>
    <w:basedOn w:val="Normal"/>
    <w:semiHidden/>
    <w:rsid w:val="00937B4F"/>
    <w:rPr>
      <w:sz w:val="20"/>
    </w:rPr>
  </w:style>
  <w:style w:type="character" w:styleId="EndnoteReference">
    <w:name w:val="endnote reference"/>
    <w:semiHidden/>
    <w:rsid w:val="00937B4F"/>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937B4F"/>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37B4F"/>
    <w:rPr>
      <w:rFonts w:ascii="Times New Roman" w:hAnsi="Times New Roman"/>
      <w:dstrike w:val="0"/>
      <w:color w:val="auto"/>
      <w:sz w:val="20"/>
      <w:vertAlign w:val="superscript"/>
    </w:rPr>
  </w:style>
  <w:style w:type="paragraph" w:styleId="TOC1">
    <w:name w:val="toc 1"/>
    <w:basedOn w:val="Normal"/>
    <w:next w:val="Normal"/>
    <w:semiHidden/>
    <w:rsid w:val="00937B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7B4F"/>
    <w:pPr>
      <w:tabs>
        <w:tab w:val="left" w:pos="720"/>
        <w:tab w:val="right" w:leader="dot" w:pos="9360"/>
      </w:tabs>
      <w:suppressAutoHyphens/>
      <w:ind w:left="720" w:right="720" w:hanging="360"/>
    </w:pPr>
    <w:rPr>
      <w:noProof/>
    </w:rPr>
  </w:style>
  <w:style w:type="paragraph" w:styleId="TOC3">
    <w:name w:val="toc 3"/>
    <w:basedOn w:val="Normal"/>
    <w:next w:val="Normal"/>
    <w:semiHidden/>
    <w:rsid w:val="00937B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7B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7B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7B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7B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7B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7B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7B4F"/>
    <w:pPr>
      <w:tabs>
        <w:tab w:val="right" w:pos="9360"/>
      </w:tabs>
      <w:suppressAutoHyphens/>
    </w:pPr>
  </w:style>
  <w:style w:type="character" w:customStyle="1" w:styleId="EquationCaption">
    <w:name w:val="_Equation Caption"/>
    <w:rsid w:val="00937B4F"/>
  </w:style>
  <w:style w:type="paragraph" w:styleId="Header">
    <w:name w:val="header"/>
    <w:basedOn w:val="Normal"/>
    <w:autoRedefine/>
    <w:rsid w:val="00937B4F"/>
    <w:pPr>
      <w:tabs>
        <w:tab w:val="center" w:pos="4680"/>
        <w:tab w:val="right" w:pos="9360"/>
      </w:tabs>
    </w:pPr>
    <w:rPr>
      <w:b/>
    </w:rPr>
  </w:style>
  <w:style w:type="paragraph" w:styleId="Footer">
    <w:name w:val="footer"/>
    <w:basedOn w:val="Normal"/>
    <w:link w:val="FooterChar"/>
    <w:uiPriority w:val="99"/>
    <w:rsid w:val="00937B4F"/>
    <w:pPr>
      <w:tabs>
        <w:tab w:val="center" w:pos="4320"/>
        <w:tab w:val="right" w:pos="8640"/>
      </w:tabs>
    </w:pPr>
  </w:style>
  <w:style w:type="character" w:styleId="PageNumber">
    <w:name w:val="page number"/>
    <w:basedOn w:val="DefaultParagraphFont"/>
    <w:rsid w:val="00937B4F"/>
  </w:style>
  <w:style w:type="paragraph" w:styleId="BlockText">
    <w:name w:val="Block Text"/>
    <w:basedOn w:val="Normal"/>
    <w:rsid w:val="00937B4F"/>
    <w:pPr>
      <w:spacing w:after="240"/>
      <w:ind w:left="1440" w:right="1440"/>
    </w:pPr>
  </w:style>
  <w:style w:type="paragraph" w:customStyle="1" w:styleId="Paratitle">
    <w:name w:val="Para title"/>
    <w:basedOn w:val="Normal"/>
    <w:rsid w:val="00937B4F"/>
    <w:pPr>
      <w:tabs>
        <w:tab w:val="center" w:pos="9270"/>
      </w:tabs>
      <w:spacing w:after="240"/>
    </w:pPr>
    <w:rPr>
      <w:spacing w:val="-2"/>
    </w:rPr>
  </w:style>
  <w:style w:type="paragraph" w:customStyle="1" w:styleId="Bullet">
    <w:name w:val="Bullet"/>
    <w:basedOn w:val="Normal"/>
    <w:rsid w:val="00937B4F"/>
    <w:pPr>
      <w:tabs>
        <w:tab w:val="left" w:pos="2160"/>
      </w:tabs>
      <w:spacing w:after="220"/>
      <w:ind w:left="2160" w:hanging="720"/>
    </w:pPr>
  </w:style>
  <w:style w:type="paragraph" w:customStyle="1" w:styleId="TableFormat">
    <w:name w:val="TableFormat"/>
    <w:basedOn w:val="Bullet"/>
    <w:rsid w:val="00937B4F"/>
    <w:pPr>
      <w:tabs>
        <w:tab w:val="clear" w:pos="2160"/>
        <w:tab w:val="left" w:pos="5040"/>
      </w:tabs>
      <w:ind w:left="5040" w:hanging="3600"/>
    </w:pPr>
  </w:style>
  <w:style w:type="paragraph" w:customStyle="1" w:styleId="TOCTitle">
    <w:name w:val="TOC Title"/>
    <w:basedOn w:val="Normal"/>
    <w:rsid w:val="00937B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7B4F"/>
    <w:pPr>
      <w:jc w:val="center"/>
    </w:pPr>
    <w:rPr>
      <w:rFonts w:ascii="Times New Roman Bold" w:hAnsi="Times New Roman Bold"/>
      <w:b/>
      <w:bCs/>
      <w:caps/>
      <w:szCs w:val="22"/>
    </w:rPr>
  </w:style>
  <w:style w:type="character" w:styleId="Hyperlink">
    <w:name w:val="Hyperlink"/>
    <w:rsid w:val="00937B4F"/>
    <w:rPr>
      <w:color w:val="0000FF"/>
      <w:u w:val="single"/>
    </w:rPr>
  </w:style>
  <w:style w:type="character" w:customStyle="1" w:styleId="FooterChar">
    <w:name w:val="Footer Char"/>
    <w:link w:val="Footer"/>
    <w:uiPriority w:val="99"/>
    <w:rsid w:val="00937B4F"/>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f Char,fn Char Char Char"/>
    <w:link w:val="FootnoteText"/>
    <w:rsid w:val="0037093B"/>
  </w:style>
  <w:style w:type="character" w:customStyle="1" w:styleId="ParaNumChar">
    <w:name w:val="ParaNum Char"/>
    <w:link w:val="ParaNum"/>
    <w:rsid w:val="0037093B"/>
    <w:rPr>
      <w:snapToGrid w:val="0"/>
      <w:kern w:val="28"/>
      <w:sz w:val="22"/>
    </w:rPr>
  </w:style>
  <w:style w:type="character" w:customStyle="1" w:styleId="et03">
    <w:name w:val="et03"/>
    <w:rsid w:val="0037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Bureaus/Mass_Media/News_Releases/2002/nrmm0202.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