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934012" w:rsidRPr="005577AD" w:rsidP="00934012" w14:paraId="39D1CCB9" w14:textId="77777777">
      <w:pPr>
        <w:jc w:val="center"/>
        <w:rPr>
          <w:b/>
          <w:bCs/>
          <w:caps/>
          <w:szCs w:val="22"/>
        </w:rPr>
      </w:pPr>
      <w:r w:rsidRPr="005577AD">
        <w:rPr>
          <w:b/>
          <w:bCs/>
          <w:caps/>
          <w:szCs w:val="22"/>
        </w:rPr>
        <w:t>Statement of</w:t>
      </w:r>
    </w:p>
    <w:p w:rsidR="00934012" w:rsidRPr="005577AD" w:rsidP="00934012" w14:paraId="40A7A202" w14:textId="03E085B4">
      <w:pPr>
        <w:jc w:val="center"/>
        <w:rPr>
          <w:b/>
          <w:bCs/>
          <w:caps/>
          <w:szCs w:val="22"/>
        </w:rPr>
      </w:pPr>
      <w:r>
        <w:rPr>
          <w:b/>
          <w:bCs/>
          <w:caps/>
          <w:szCs w:val="22"/>
        </w:rPr>
        <w:t xml:space="preserve">COMMISSIONER </w:t>
      </w:r>
      <w:r w:rsidR="0058554B">
        <w:rPr>
          <w:b/>
          <w:bCs/>
          <w:caps/>
          <w:szCs w:val="22"/>
        </w:rPr>
        <w:t>brendan</w:t>
      </w:r>
      <w:r>
        <w:rPr>
          <w:b/>
          <w:bCs/>
          <w:caps/>
          <w:szCs w:val="22"/>
        </w:rPr>
        <w:t xml:space="preserve"> </w:t>
      </w:r>
      <w:r w:rsidR="0058554B">
        <w:rPr>
          <w:b/>
          <w:bCs/>
          <w:caps/>
          <w:szCs w:val="22"/>
        </w:rPr>
        <w:t>carr</w:t>
      </w:r>
    </w:p>
    <w:p w:rsidR="00934012" w:rsidRPr="005577AD" w:rsidP="00934012" w14:paraId="79FF0788" w14:textId="77777777">
      <w:pPr>
        <w:jc w:val="center"/>
        <w:rPr>
          <w:b/>
          <w:bCs/>
          <w:caps/>
          <w:szCs w:val="22"/>
        </w:rPr>
      </w:pPr>
    </w:p>
    <w:p w:rsidR="00934012" w:rsidP="00737742" w14:paraId="333A83A1" w14:textId="287EBF5D">
      <w:pPr>
        <w:rPr>
          <w:i/>
          <w:iCs/>
          <w:szCs w:val="22"/>
        </w:rPr>
      </w:pPr>
      <w:r w:rsidRPr="005577AD">
        <w:rPr>
          <w:iCs/>
          <w:szCs w:val="22"/>
        </w:rPr>
        <w:t>Re:</w:t>
      </w:r>
      <w:r w:rsidRPr="005577AD">
        <w:rPr>
          <w:szCs w:val="22"/>
        </w:rPr>
        <w:t xml:space="preserve"> </w:t>
      </w:r>
      <w:r w:rsidRPr="005577AD">
        <w:rPr>
          <w:szCs w:val="22"/>
        </w:rPr>
        <w:tab/>
      </w:r>
      <w:r w:rsidRPr="004A34BD" w:rsidR="004A34BD">
        <w:rPr>
          <w:i/>
          <w:iCs/>
          <w:szCs w:val="22"/>
        </w:rPr>
        <w:t xml:space="preserve">In the Matter of </w:t>
      </w:r>
      <w:r w:rsidRPr="004A34BD" w:rsidR="00737742">
        <w:rPr>
          <w:i/>
          <w:iCs/>
          <w:szCs w:val="22"/>
        </w:rPr>
        <w:t>Sinclair Broadcast Group</w:t>
      </w:r>
      <w:r w:rsidRPr="00737742" w:rsidR="00737742">
        <w:rPr>
          <w:szCs w:val="22"/>
        </w:rPr>
        <w:t xml:space="preserve">, </w:t>
      </w:r>
      <w:r w:rsidR="004204B2">
        <w:rPr>
          <w:szCs w:val="22"/>
        </w:rPr>
        <w:t xml:space="preserve">File No. </w:t>
      </w:r>
      <w:bookmarkStart w:id="0" w:name="_GoBack"/>
      <w:bookmarkEnd w:id="0"/>
      <w:r w:rsidRPr="00737742" w:rsidR="00737742">
        <w:rPr>
          <w:szCs w:val="22"/>
        </w:rPr>
        <w:t>EB-IHD-16-00021748</w:t>
      </w:r>
      <w:r w:rsidR="004E4750">
        <w:rPr>
          <w:szCs w:val="22"/>
        </w:rPr>
        <w:t>.</w:t>
      </w:r>
    </w:p>
    <w:p w:rsidR="00737742" w:rsidRPr="005577AD" w:rsidP="00737742" w14:paraId="78CACA76" w14:textId="77777777">
      <w:pPr>
        <w:rPr>
          <w:szCs w:val="22"/>
        </w:rPr>
      </w:pPr>
    </w:p>
    <w:p w:rsidR="0058554B" w:rsidRPr="0058554B" w:rsidP="0058554B" w14:paraId="50445605" w14:textId="77777777">
      <w:pPr>
        <w:widowControl/>
        <w:ind w:firstLine="720"/>
        <w:rPr>
          <w:szCs w:val="22"/>
        </w:rPr>
      </w:pPr>
      <w:r w:rsidRPr="0058554B">
        <w:rPr>
          <w:szCs w:val="22"/>
        </w:rPr>
        <w:t xml:space="preserve">Today’s Consent Decree resolves </w:t>
      </w:r>
      <w:r w:rsidRPr="0058554B">
        <w:rPr>
          <w:szCs w:val="22"/>
        </w:rPr>
        <w:t>a number of</w:t>
      </w:r>
      <w:r w:rsidRPr="0058554B">
        <w:rPr>
          <w:szCs w:val="22"/>
        </w:rPr>
        <w:t xml:space="preserve"> important and outstanding issues.  While our decision recognizes that there has been no finding of liability or wrongdoing stemming from Sinclair’s attempt to acquire Tribune Media Company, I want to commend the FCC team and Sinclair for working together to bring closure to these issues.  After the Commission designated some of these issues for hearing, further evidentiary review showed that Sinclair structured its transaction based on a good-faith interpretation of FCC rules and precedent.  </w:t>
      </w:r>
      <w:r w:rsidRPr="0058554B">
        <w:rPr>
          <w:szCs w:val="22"/>
        </w:rPr>
        <w:t>So</w:t>
      </w:r>
      <w:r w:rsidRPr="0058554B">
        <w:rPr>
          <w:szCs w:val="22"/>
        </w:rPr>
        <w:t xml:space="preserve"> I support our decision today, which promotes the public interest by terminating the FCC investigations.</w:t>
      </w:r>
    </w:p>
    <w:p w:rsidR="0058554B" w:rsidRPr="0058554B" w:rsidP="0058554B" w14:paraId="68A4CCA4" w14:textId="77777777">
      <w:pPr>
        <w:widowControl/>
        <w:ind w:firstLine="720"/>
        <w:rPr>
          <w:szCs w:val="22"/>
        </w:rPr>
      </w:pPr>
    </w:p>
    <w:p w:rsidR="002C00E8" w:rsidRPr="0058554B" w:rsidP="0058554B" w14:paraId="5AAF8C23" w14:textId="5E18E496">
      <w:pPr>
        <w:widowControl/>
        <w:ind w:firstLine="720"/>
        <w:rPr>
          <w:szCs w:val="22"/>
        </w:rPr>
      </w:pPr>
      <w:r w:rsidRPr="0058554B">
        <w:rPr>
          <w:szCs w:val="22"/>
        </w:rPr>
        <w:t>To be sure, there are some political actors, including in Congress, that have long and repeatedly called for the FCC to go after Sinclair based on those politicians’ disagreement with the viewpoints expressed in Sinclair’s broadcasts.</w:t>
      </w:r>
      <w:r>
        <w:rPr>
          <w:rStyle w:val="FootnoteReference"/>
          <w:szCs w:val="22"/>
        </w:rPr>
        <w:footnoteReference w:id="3"/>
      </w:r>
      <w:r w:rsidRPr="0058554B">
        <w:rPr>
          <w:szCs w:val="22"/>
        </w:rPr>
        <w:t xml:space="preserve">   We don’t do that at the FCC—or at least a majority of us do not do that.  We reach our decisions based on the facts and the law.  </w:t>
      </w:r>
      <w:r w:rsidRPr="0058554B">
        <w:rPr>
          <w:szCs w:val="22"/>
        </w:rPr>
        <w:t>So</w:t>
      </w:r>
      <w:r w:rsidRPr="0058554B">
        <w:rPr>
          <w:szCs w:val="22"/>
        </w:rPr>
        <w:t xml:space="preserve"> I appreciate the opportunity to vote on this decision.</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EACFDB8"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D8E847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40E01EB"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586C8895"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36674E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37742" w14:paraId="1BA00D0F" w14:textId="77777777">
      <w:r>
        <w:separator/>
      </w:r>
    </w:p>
  </w:footnote>
  <w:footnote w:type="continuationSeparator" w:id="1">
    <w:p w:rsidR="00737742" w:rsidP="00C721AC" w14:paraId="35DBA89D" w14:textId="77777777">
      <w:pPr>
        <w:spacing w:before="120"/>
        <w:rPr>
          <w:sz w:val="20"/>
        </w:rPr>
      </w:pPr>
      <w:r>
        <w:rPr>
          <w:sz w:val="20"/>
        </w:rPr>
        <w:t xml:space="preserve">(Continued from previous page)  </w:t>
      </w:r>
      <w:r>
        <w:rPr>
          <w:sz w:val="20"/>
        </w:rPr>
        <w:separator/>
      </w:r>
    </w:p>
  </w:footnote>
  <w:footnote w:type="continuationNotice" w:id="2">
    <w:p w:rsidR="00737742" w:rsidP="00C721AC" w14:paraId="2983324A" w14:textId="77777777">
      <w:pPr>
        <w:jc w:val="right"/>
        <w:rPr>
          <w:sz w:val="20"/>
        </w:rPr>
      </w:pPr>
      <w:r>
        <w:rPr>
          <w:sz w:val="20"/>
        </w:rPr>
        <w:t>(continued….)</w:t>
      </w:r>
    </w:p>
  </w:footnote>
  <w:footnote w:id="3">
    <w:p w:rsidR="0058554B" w:rsidRPr="0058554B" w14:paraId="1C514B9D" w14:textId="31E210FF">
      <w:pPr>
        <w:pStyle w:val="FootnoteText"/>
      </w:pPr>
      <w:r w:rsidRPr="0058554B">
        <w:rPr>
          <w:rStyle w:val="FootnoteReference"/>
        </w:rPr>
        <w:footnoteRef/>
      </w:r>
      <w:r w:rsidRPr="0058554B">
        <w:t xml:space="preserve"> </w:t>
      </w:r>
      <w:r w:rsidRPr="0058554B">
        <w:rPr>
          <w:rFonts w:eastAsia="Calibri"/>
          <w:i/>
          <w:iCs/>
        </w:rPr>
        <w:t>See, e.g.</w:t>
      </w:r>
      <w:r w:rsidRPr="0058554B">
        <w:rPr>
          <w:rFonts w:eastAsia="Calibri"/>
        </w:rPr>
        <w:t xml:space="preserve">, Letter from Hon. Elizabeth Warren, U.S. Senator; Hon. Bernie Sanders, U.S. Senator; &amp; Hon. Cory A. Booker, U.S. Senator, to Hon. Ajit V. Pai, Chairman, FCC, &amp; Hon. </w:t>
      </w:r>
      <w:r w:rsidRPr="0058554B">
        <w:rPr>
          <w:rFonts w:eastAsia="Calibri"/>
        </w:rPr>
        <w:t>Makan</w:t>
      </w:r>
      <w:r w:rsidRPr="0058554B">
        <w:rPr>
          <w:rFonts w:eastAsia="Calibri"/>
        </w:rPr>
        <w:t xml:space="preserve"> </w:t>
      </w:r>
      <w:r w:rsidRPr="0058554B">
        <w:rPr>
          <w:rFonts w:eastAsia="Calibri"/>
        </w:rPr>
        <w:t>Delrahim</w:t>
      </w:r>
      <w:r w:rsidRPr="0058554B">
        <w:rPr>
          <w:rFonts w:eastAsia="Calibri"/>
        </w:rPr>
        <w:t xml:space="preserve">, Assistant Attorney General, U.S. Department of Justice, Antitrust Division (June 24, 2019) (seeking review of Sinclair’s acquisition of certain sports networks based, in part, on Sinclair’s alleged ‘conservative-tinged coverage [in] local markets’); Letter from Hon. Maria Cantwell, U.S. Senator; Hon. Tom Udall, U.S. Senator; Hon. Patty Murray, U.S. Senator; Hon. Elizabeth Warren, U.S. Senator; Hon. Ron Wyden, U.S. Senator; Hon. Edward J. Markey, U.S. Senator; Hon. Richard Blumenthal, U.S. Senator; Hon. Tina Smith, U.S. Senator; Hon. Bernie Sanders, U.S. Senator; Hon. Jeffery A. Merkley, U.S. Senator; Hon. Tammy Baldwin, U.S. Senator; &amp; Hon. Cory A. Booker, U.S. Senator; to Hon. Ajit V. Pai, Chairman, FCC (Apr. 11, 2018) (seeking an investigation into Sinclair’s fitness to be a broadcast licensee based on objections to Sinclair’s “news activities”); </w:t>
      </w:r>
      <w:r w:rsidRPr="0058554B">
        <w:rPr>
          <w:rFonts w:eastAsia="Calibri"/>
          <w:i/>
          <w:iCs/>
        </w:rPr>
        <w:t xml:space="preserve">see also </w:t>
      </w:r>
      <w:r w:rsidRPr="0058554B">
        <w:rPr>
          <w:rFonts w:eastAsia="Calibri"/>
        </w:rPr>
        <w:t xml:space="preserve">Katie Benner, </w:t>
      </w:r>
      <w:r w:rsidRPr="0058554B">
        <w:rPr>
          <w:rFonts w:eastAsia="Calibri"/>
          <w:i/>
          <w:iCs/>
        </w:rPr>
        <w:t>Sinclair under fire for Kerry film</w:t>
      </w:r>
      <w:r w:rsidRPr="0058554B">
        <w:rPr>
          <w:rFonts w:eastAsia="Calibri"/>
        </w:rPr>
        <w:t>, CNN.com, Oct. 12, 2004 (detailing a letter from 20 Senate Democrats requesting an FCC investigation of Sinclair based on reports it planned to air programming critical of Sen. John Kerry).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981CF6E"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43FF765E"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3A6CD1F6"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9736CA8" w14:textId="1667F469">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737742">
      <w:rPr>
        <w:spacing w:val="-2"/>
      </w:rPr>
      <w:t>FCC 20-59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742"/>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04B2"/>
    <w:rsid w:val="00422276"/>
    <w:rsid w:val="004242F1"/>
    <w:rsid w:val="00445A00"/>
    <w:rsid w:val="00451B0F"/>
    <w:rsid w:val="004550E6"/>
    <w:rsid w:val="004A34BD"/>
    <w:rsid w:val="004C2EE3"/>
    <w:rsid w:val="004E4750"/>
    <w:rsid w:val="004E4A22"/>
    <w:rsid w:val="00511968"/>
    <w:rsid w:val="00526769"/>
    <w:rsid w:val="0055614C"/>
    <w:rsid w:val="005577AD"/>
    <w:rsid w:val="0058554B"/>
    <w:rsid w:val="005E14C2"/>
    <w:rsid w:val="00607BA5"/>
    <w:rsid w:val="0061180A"/>
    <w:rsid w:val="00626EB6"/>
    <w:rsid w:val="00655D03"/>
    <w:rsid w:val="00683388"/>
    <w:rsid w:val="00683F84"/>
    <w:rsid w:val="006A6A81"/>
    <w:rsid w:val="006F7393"/>
    <w:rsid w:val="0070224F"/>
    <w:rsid w:val="007115F7"/>
    <w:rsid w:val="00737742"/>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2526"/>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887019B0-DEF2-4DCF-A1EE-720A188D2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4B2"/>
    <w:pPr>
      <w:widowControl w:val="0"/>
    </w:pPr>
    <w:rPr>
      <w:snapToGrid w:val="0"/>
      <w:kern w:val="28"/>
      <w:sz w:val="22"/>
    </w:rPr>
  </w:style>
  <w:style w:type="paragraph" w:styleId="Heading1">
    <w:name w:val="heading 1"/>
    <w:basedOn w:val="Normal"/>
    <w:next w:val="ParaNum"/>
    <w:qFormat/>
    <w:rsid w:val="004204B2"/>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4204B2"/>
    <w:pPr>
      <w:keepNext/>
      <w:numPr>
        <w:ilvl w:val="1"/>
        <w:numId w:val="3"/>
      </w:numPr>
      <w:spacing w:after="120"/>
      <w:outlineLvl w:val="1"/>
    </w:pPr>
    <w:rPr>
      <w:b/>
    </w:rPr>
  </w:style>
  <w:style w:type="paragraph" w:styleId="Heading3">
    <w:name w:val="heading 3"/>
    <w:basedOn w:val="Normal"/>
    <w:next w:val="ParaNum"/>
    <w:qFormat/>
    <w:rsid w:val="004204B2"/>
    <w:pPr>
      <w:keepNext/>
      <w:numPr>
        <w:ilvl w:val="2"/>
        <w:numId w:val="3"/>
      </w:numPr>
      <w:tabs>
        <w:tab w:val="left" w:pos="2160"/>
      </w:tabs>
      <w:spacing w:after="120"/>
      <w:outlineLvl w:val="2"/>
    </w:pPr>
    <w:rPr>
      <w:b/>
    </w:rPr>
  </w:style>
  <w:style w:type="paragraph" w:styleId="Heading4">
    <w:name w:val="heading 4"/>
    <w:basedOn w:val="Normal"/>
    <w:next w:val="ParaNum"/>
    <w:qFormat/>
    <w:rsid w:val="004204B2"/>
    <w:pPr>
      <w:keepNext/>
      <w:numPr>
        <w:ilvl w:val="3"/>
        <w:numId w:val="3"/>
      </w:numPr>
      <w:tabs>
        <w:tab w:val="left" w:pos="2880"/>
      </w:tabs>
      <w:spacing w:after="120"/>
      <w:outlineLvl w:val="3"/>
    </w:pPr>
    <w:rPr>
      <w:b/>
    </w:rPr>
  </w:style>
  <w:style w:type="paragraph" w:styleId="Heading5">
    <w:name w:val="heading 5"/>
    <w:basedOn w:val="Normal"/>
    <w:next w:val="ParaNum"/>
    <w:qFormat/>
    <w:rsid w:val="004204B2"/>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4204B2"/>
    <w:pPr>
      <w:numPr>
        <w:ilvl w:val="5"/>
        <w:numId w:val="3"/>
      </w:numPr>
      <w:tabs>
        <w:tab w:val="left" w:pos="4320"/>
      </w:tabs>
      <w:spacing w:after="120"/>
      <w:outlineLvl w:val="5"/>
    </w:pPr>
    <w:rPr>
      <w:b/>
    </w:rPr>
  </w:style>
  <w:style w:type="paragraph" w:styleId="Heading7">
    <w:name w:val="heading 7"/>
    <w:basedOn w:val="Normal"/>
    <w:next w:val="ParaNum"/>
    <w:qFormat/>
    <w:rsid w:val="004204B2"/>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4204B2"/>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4204B2"/>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204B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204B2"/>
  </w:style>
  <w:style w:type="paragraph" w:customStyle="1" w:styleId="ParaNum">
    <w:name w:val="ParaNum"/>
    <w:basedOn w:val="Normal"/>
    <w:rsid w:val="004204B2"/>
    <w:pPr>
      <w:numPr>
        <w:numId w:val="2"/>
      </w:numPr>
      <w:tabs>
        <w:tab w:val="clear" w:pos="1080"/>
        <w:tab w:val="num" w:pos="1440"/>
      </w:tabs>
      <w:spacing w:after="120"/>
    </w:pPr>
  </w:style>
  <w:style w:type="paragraph" w:styleId="EndnoteText">
    <w:name w:val="endnote text"/>
    <w:basedOn w:val="Normal"/>
    <w:semiHidden/>
    <w:rsid w:val="004204B2"/>
    <w:rPr>
      <w:sz w:val="20"/>
    </w:rPr>
  </w:style>
  <w:style w:type="character" w:styleId="EndnoteReference">
    <w:name w:val="endnote reference"/>
    <w:semiHidden/>
    <w:rsid w:val="004204B2"/>
    <w:rPr>
      <w:vertAlign w:val="superscript"/>
    </w:rPr>
  </w:style>
  <w:style w:type="paragraph" w:styleId="FootnoteText">
    <w:name w:val="footnote text"/>
    <w:rsid w:val="004204B2"/>
    <w:pPr>
      <w:spacing w:after="120"/>
    </w:pPr>
  </w:style>
  <w:style w:type="character" w:styleId="FootnoteReference">
    <w:name w:val="footnote reference"/>
    <w:rsid w:val="004204B2"/>
    <w:rPr>
      <w:rFonts w:ascii="Times New Roman" w:hAnsi="Times New Roman"/>
      <w:dstrike w:val="0"/>
      <w:color w:val="auto"/>
      <w:sz w:val="20"/>
      <w:vertAlign w:val="superscript"/>
    </w:rPr>
  </w:style>
  <w:style w:type="paragraph" w:styleId="TOC1">
    <w:name w:val="toc 1"/>
    <w:basedOn w:val="Normal"/>
    <w:next w:val="Normal"/>
    <w:semiHidden/>
    <w:rsid w:val="004204B2"/>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4204B2"/>
    <w:pPr>
      <w:tabs>
        <w:tab w:val="left" w:pos="720"/>
        <w:tab w:val="right" w:leader="dot" w:pos="9360"/>
      </w:tabs>
      <w:suppressAutoHyphens/>
      <w:ind w:left="720" w:right="720" w:hanging="360"/>
    </w:pPr>
    <w:rPr>
      <w:noProof/>
    </w:rPr>
  </w:style>
  <w:style w:type="paragraph" w:styleId="TOC3">
    <w:name w:val="toc 3"/>
    <w:basedOn w:val="Normal"/>
    <w:next w:val="Normal"/>
    <w:semiHidden/>
    <w:rsid w:val="004204B2"/>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204B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204B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204B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204B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204B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204B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204B2"/>
    <w:pPr>
      <w:tabs>
        <w:tab w:val="right" w:pos="9360"/>
      </w:tabs>
      <w:suppressAutoHyphens/>
    </w:pPr>
  </w:style>
  <w:style w:type="character" w:customStyle="1" w:styleId="EquationCaption">
    <w:name w:val="_Equation Caption"/>
    <w:rsid w:val="004204B2"/>
  </w:style>
  <w:style w:type="paragraph" w:styleId="Header">
    <w:name w:val="header"/>
    <w:basedOn w:val="Normal"/>
    <w:autoRedefine/>
    <w:rsid w:val="004204B2"/>
    <w:pPr>
      <w:tabs>
        <w:tab w:val="center" w:pos="4680"/>
        <w:tab w:val="right" w:pos="9360"/>
      </w:tabs>
    </w:pPr>
    <w:rPr>
      <w:b/>
    </w:rPr>
  </w:style>
  <w:style w:type="paragraph" w:styleId="Footer">
    <w:name w:val="footer"/>
    <w:basedOn w:val="Normal"/>
    <w:rsid w:val="004204B2"/>
    <w:pPr>
      <w:tabs>
        <w:tab w:val="center" w:pos="4320"/>
        <w:tab w:val="right" w:pos="8640"/>
      </w:tabs>
    </w:pPr>
  </w:style>
  <w:style w:type="character" w:styleId="PageNumber">
    <w:name w:val="page number"/>
    <w:basedOn w:val="DefaultParagraphFont"/>
    <w:rsid w:val="004204B2"/>
  </w:style>
  <w:style w:type="paragraph" w:styleId="BlockText">
    <w:name w:val="Block Text"/>
    <w:basedOn w:val="Normal"/>
    <w:rsid w:val="004204B2"/>
    <w:pPr>
      <w:spacing w:after="240"/>
      <w:ind w:left="1440" w:right="1440"/>
    </w:pPr>
  </w:style>
  <w:style w:type="paragraph" w:customStyle="1" w:styleId="Paratitle">
    <w:name w:val="Para title"/>
    <w:basedOn w:val="Normal"/>
    <w:rsid w:val="004204B2"/>
    <w:pPr>
      <w:tabs>
        <w:tab w:val="center" w:pos="9270"/>
      </w:tabs>
      <w:spacing w:after="240"/>
    </w:pPr>
    <w:rPr>
      <w:spacing w:val="-2"/>
    </w:rPr>
  </w:style>
  <w:style w:type="paragraph" w:customStyle="1" w:styleId="Bullet">
    <w:name w:val="Bullet"/>
    <w:basedOn w:val="Normal"/>
    <w:rsid w:val="004204B2"/>
    <w:pPr>
      <w:tabs>
        <w:tab w:val="left" w:pos="2160"/>
      </w:tabs>
      <w:spacing w:after="220"/>
      <w:ind w:left="2160" w:hanging="720"/>
    </w:pPr>
  </w:style>
  <w:style w:type="paragraph" w:customStyle="1" w:styleId="TableFormat">
    <w:name w:val="TableFormat"/>
    <w:basedOn w:val="Bullet"/>
    <w:rsid w:val="004204B2"/>
    <w:pPr>
      <w:tabs>
        <w:tab w:val="clear" w:pos="2160"/>
        <w:tab w:val="left" w:pos="5040"/>
      </w:tabs>
      <w:ind w:left="5040" w:hanging="3600"/>
    </w:pPr>
  </w:style>
  <w:style w:type="paragraph" w:customStyle="1" w:styleId="TOCTitle">
    <w:name w:val="TOC Title"/>
    <w:basedOn w:val="Normal"/>
    <w:rsid w:val="004204B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204B2"/>
    <w:pPr>
      <w:jc w:val="center"/>
    </w:pPr>
    <w:rPr>
      <w:rFonts w:ascii="Times New Roman Bold" w:hAnsi="Times New Roman Bold"/>
      <w:b/>
      <w:bCs/>
      <w:caps/>
      <w:szCs w:val="22"/>
    </w:rPr>
  </w:style>
  <w:style w:type="character" w:styleId="Hyperlink">
    <w:name w:val="Hyperlink"/>
    <w:rsid w:val="004204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