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0228B" w14:paraId="0029AF2A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14:paraId="5A3190D5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3A8E2C86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7B4EDD2E" w14:textId="77777777"/>
    <w:p w:rsidR="0060228B" w14:paraId="1B881903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515CB7E6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4F343FC3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227EF41C" w14:textId="77777777">
            <w:pPr>
              <w:ind w:right="-18"/>
            </w:pPr>
          </w:p>
          <w:p w:rsidR="0060228B" w:rsidP="000600CA" w14:paraId="7B678898" w14:textId="77777777">
            <w:pPr>
              <w:ind w:right="-18"/>
            </w:pPr>
            <w:r>
              <w:rPr>
                <w:spacing w:val="-2"/>
              </w:rPr>
              <w:t>Streamlining Licensing Procedures for Small Satellites</w:t>
            </w:r>
            <w:bookmarkStart w:id="0" w:name="_GoBack"/>
            <w:bookmarkEnd w:id="0"/>
          </w:p>
        </w:tc>
        <w:tc>
          <w:tcPr>
            <w:tcW w:w="720" w:type="dxa"/>
          </w:tcPr>
          <w:p w:rsidR="0060228B" w14:paraId="4DF038C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13BF63B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30623901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4331B20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488A2F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8E1D74B" w14:textId="77777777">
            <w:pPr>
              <w:rPr>
                <w:b/>
              </w:rPr>
            </w:pPr>
          </w:p>
          <w:p w:rsidR="0060228B" w14:paraId="3B0D3D1A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14:paraId="05EDD4A8" w14:textId="77777777"/>
          <w:p w:rsidR="0060228B" w14:paraId="1003EC14" w14:textId="77777777"/>
          <w:p w:rsidR="0060228B" w:rsidRPr="00EB1A95" w:rsidP="00F25801" w14:paraId="018473D7" w14:textId="77777777">
            <w:pPr>
              <w:rPr>
                <w:b/>
              </w:rPr>
            </w:pPr>
            <w:r>
              <w:rPr>
                <w:spacing w:val="-2"/>
              </w:rPr>
              <w:t xml:space="preserve">IB Docket No. </w:t>
            </w:r>
            <w:r w:rsidR="00A34C08">
              <w:rPr>
                <w:spacing w:val="-2"/>
              </w:rPr>
              <w:t>18-86</w:t>
            </w:r>
          </w:p>
        </w:tc>
      </w:tr>
    </w:tbl>
    <w:p w:rsidR="0060228B" w14:paraId="6D07E69E" w14:textId="77777777"/>
    <w:p w:rsidR="0060228B" w:rsidP="00D86EF7" w14:paraId="63272E90" w14:textId="77777777">
      <w:pPr>
        <w:jc w:val="center"/>
        <w:rPr>
          <w:b/>
          <w:spacing w:val="-2"/>
        </w:rPr>
      </w:pPr>
      <w:r>
        <w:rPr>
          <w:b/>
          <w:spacing w:val="-2"/>
        </w:rPr>
        <w:t>ORDER</w:t>
      </w:r>
    </w:p>
    <w:p w:rsidR="00E00E22" w:rsidP="00D86EF7" w14:paraId="71322B31" w14:textId="77777777">
      <w:pPr>
        <w:rPr>
          <w:b/>
        </w:rPr>
      </w:pPr>
    </w:p>
    <w:p w:rsidR="0060228B" w:rsidP="0041247E" w14:paraId="2CAFF1AF" w14:textId="612167D4">
      <w:pPr>
        <w:rPr>
          <w:b/>
        </w:rPr>
      </w:pPr>
      <w:r>
        <w:rPr>
          <w:b/>
        </w:rPr>
        <w:t>Adopted</w:t>
      </w:r>
      <w:r w:rsidR="004A7CE0">
        <w:rPr>
          <w:b/>
        </w:rPr>
        <w:t xml:space="preserve">:  </w:t>
      </w:r>
      <w:r w:rsidR="006D7E20">
        <w:rPr>
          <w:b/>
        </w:rPr>
        <w:t xml:space="preserve">May </w:t>
      </w:r>
      <w:r w:rsidR="005E2F80">
        <w:rPr>
          <w:b/>
        </w:rPr>
        <w:t>8</w:t>
      </w:r>
      <w:r w:rsidR="006D7E20">
        <w:rPr>
          <w:b/>
        </w:rPr>
        <w:t>, 2020</w:t>
      </w:r>
      <w:r w:rsidR="006D7E20">
        <w:rPr>
          <w:b/>
        </w:rPr>
        <w:tab/>
      </w:r>
      <w:r w:rsidR="006D7E20">
        <w:rPr>
          <w:b/>
        </w:rPr>
        <w:tab/>
      </w:r>
      <w:r w:rsidR="006D7E20">
        <w:rPr>
          <w:b/>
        </w:rPr>
        <w:tab/>
      </w:r>
      <w:r w:rsidR="006D7E20">
        <w:rPr>
          <w:b/>
        </w:rPr>
        <w:tab/>
      </w:r>
      <w:r w:rsidR="006D7E20">
        <w:rPr>
          <w:b/>
        </w:rPr>
        <w:tab/>
      </w:r>
      <w:r w:rsidR="005E2F80">
        <w:rPr>
          <w:b/>
        </w:rPr>
        <w:tab/>
      </w:r>
      <w:r>
        <w:rPr>
          <w:b/>
        </w:rPr>
        <w:tab/>
        <w:t xml:space="preserve">Released:  </w:t>
      </w:r>
      <w:r w:rsidR="006D7E20">
        <w:rPr>
          <w:b/>
        </w:rPr>
        <w:t>May 11, 2020</w:t>
      </w:r>
    </w:p>
    <w:p w:rsidR="0060228B" w:rsidP="00D86EF7" w14:paraId="74D79C37" w14:textId="77777777">
      <w:pPr>
        <w:rPr>
          <w:b/>
        </w:rPr>
      </w:pPr>
    </w:p>
    <w:p w:rsidR="0060228B" w:rsidP="00D86EF7" w14:paraId="0E90DB6D" w14:textId="77777777">
      <w:r>
        <w:t xml:space="preserve">By the </w:t>
      </w:r>
      <w:r w:rsidR="00A34C08">
        <w:t>Commission</w:t>
      </w:r>
      <w:r>
        <w:rPr>
          <w:spacing w:val="-2"/>
        </w:rPr>
        <w:t>:</w:t>
      </w:r>
    </w:p>
    <w:p w:rsidR="00734CC3" w:rsidP="00734CC3" w14:paraId="663E985F" w14:textId="77777777">
      <w:pPr>
        <w:pStyle w:val="ParaNum"/>
        <w:numPr>
          <w:ilvl w:val="0"/>
          <w:numId w:val="0"/>
        </w:numPr>
      </w:pPr>
    </w:p>
    <w:p w:rsidR="00734CC3" w:rsidP="00734CC3" w14:paraId="0A68620F" w14:textId="47CA1B66">
      <w:pPr>
        <w:pStyle w:val="ParaNum"/>
      </w:pPr>
      <w:r w:rsidRPr="00734CC3">
        <w:t xml:space="preserve">This Order clarifies the </w:t>
      </w:r>
      <w:r w:rsidR="008054A2">
        <w:t xml:space="preserve">effective date of certain rule changes adopted as part of the </w:t>
      </w:r>
      <w:r w:rsidRPr="00AC5C81">
        <w:rPr>
          <w:i/>
        </w:rPr>
        <w:t>Report and Order</w:t>
      </w:r>
      <w:r w:rsidR="00825AB7">
        <w:t xml:space="preserve"> </w:t>
      </w:r>
      <w:r w:rsidR="008A2C79">
        <w:t xml:space="preserve">released by the Commission on August 2, 2019 </w:t>
      </w:r>
      <w:r w:rsidRPr="00734CC3">
        <w:t>in the above-captioned proceeding</w:t>
      </w:r>
      <w:r w:rsidR="00076EED">
        <w:t xml:space="preserve">, </w:t>
      </w:r>
      <w:r w:rsidR="00076EED">
        <w:rPr>
          <w:i/>
        </w:rPr>
        <w:t>Streamlining Licensing Procedures for Small Satellites</w:t>
      </w:r>
      <w:r w:rsidR="008A2C79">
        <w:t>.</w:t>
      </w:r>
      <w:r>
        <w:rPr>
          <w:rStyle w:val="FootnoteReference"/>
        </w:rPr>
        <w:footnoteReference w:id="2"/>
      </w:r>
    </w:p>
    <w:p w:rsidR="00076EED" w:rsidP="00076EED" w14:paraId="6186A25A" w14:textId="3986C462">
      <w:pPr>
        <w:pStyle w:val="ParaNum"/>
      </w:pPr>
      <w:r>
        <w:t xml:space="preserve">The </w:t>
      </w:r>
      <w:r w:rsidR="00DC6D8B">
        <w:rPr>
          <w:i/>
        </w:rPr>
        <w:t xml:space="preserve">Report and </w:t>
      </w:r>
      <w:r w:rsidRPr="00201B95" w:rsidR="00825AB7">
        <w:rPr>
          <w:i/>
        </w:rPr>
        <w:t>Order</w:t>
      </w:r>
      <w:r w:rsidR="00825AB7">
        <w:t xml:space="preserve"> </w:t>
      </w:r>
      <w:r>
        <w:t xml:space="preserve">established that the effective date for the </w:t>
      </w:r>
      <w:r w:rsidR="008054A2">
        <w:t>amendment to the application fee schedule</w:t>
      </w:r>
      <w:r w:rsidR="00F34FCF">
        <w:t>,</w:t>
      </w:r>
      <w:r w:rsidRPr="00F34FCF" w:rsidR="00F34FCF">
        <w:t xml:space="preserve"> </w:t>
      </w:r>
      <w:r w:rsidR="00F34FCF">
        <w:t>Section 1.1107,</w:t>
      </w:r>
      <w:r>
        <w:rPr>
          <w:rStyle w:val="FootnoteReference"/>
        </w:rPr>
        <w:footnoteReference w:id="3"/>
      </w:r>
      <w:r w:rsidR="008054A2">
        <w:t xml:space="preserve"> would be </w:t>
      </w:r>
      <w:r w:rsidR="00F34FCF">
        <w:t>“</w:t>
      </w:r>
      <w:r w:rsidR="008054A2">
        <w:t>no earlier than 90 days following notification to Congress,</w:t>
      </w:r>
      <w:r w:rsidR="00F34FCF">
        <w:t>”</w:t>
      </w:r>
      <w:r w:rsidR="008054A2">
        <w:t xml:space="preserve"> in accordance with 47 U.S.C. 159A(b)(2).</w:t>
      </w:r>
      <w:r>
        <w:rPr>
          <w:rStyle w:val="FootnoteReference"/>
        </w:rPr>
        <w:footnoteReference w:id="4"/>
      </w:r>
      <w:r w:rsidR="008054A2">
        <w:t xml:space="preserve">  </w:t>
      </w:r>
      <w:r w:rsidR="00F34FCF">
        <w:t>On</w:t>
      </w:r>
      <w:r w:rsidR="008054A2">
        <w:t xml:space="preserve"> </w:t>
      </w:r>
      <w:r w:rsidR="00047C3F">
        <w:t xml:space="preserve">October 28, 2019 the Commission notified Congress of the amendment to the </w:t>
      </w:r>
      <w:r w:rsidR="004517C1">
        <w:t xml:space="preserve">Commission’s </w:t>
      </w:r>
      <w:r w:rsidR="00047C3F">
        <w:t>application fee schedule,</w:t>
      </w:r>
      <w:r w:rsidR="005E43F2">
        <w:t xml:space="preserve"> </w:t>
      </w:r>
      <w:r w:rsidR="00047C3F">
        <w:t xml:space="preserve">as </w:t>
      </w:r>
      <w:r w:rsidR="00F34FCF">
        <w:t xml:space="preserve">provided </w:t>
      </w:r>
      <w:r w:rsidR="00047C3F">
        <w:t xml:space="preserve">in the </w:t>
      </w:r>
      <w:r w:rsidR="00F34FCF">
        <w:rPr>
          <w:i/>
        </w:rPr>
        <w:t xml:space="preserve">Report and </w:t>
      </w:r>
      <w:r w:rsidRPr="00201B95" w:rsidR="004517C1">
        <w:rPr>
          <w:i/>
        </w:rPr>
        <w:t>Order</w:t>
      </w:r>
      <w:r w:rsidRPr="00047C3F" w:rsidR="00047C3F">
        <w:rPr>
          <w:i/>
        </w:rPr>
        <w:t>.</w:t>
      </w:r>
      <w:r>
        <w:rPr>
          <w:rStyle w:val="FootnoteReference"/>
        </w:rPr>
        <w:footnoteReference w:id="5"/>
      </w:r>
      <w:r w:rsidRPr="004517C1">
        <w:t xml:space="preserve"> </w:t>
      </w:r>
      <w:r>
        <w:t xml:space="preserve"> The </w:t>
      </w:r>
      <w:r w:rsidR="00047C3F">
        <w:t>90</w:t>
      </w:r>
      <w:r>
        <w:t>-</w:t>
      </w:r>
      <w:r w:rsidR="00047C3F">
        <w:t>day notification period</w:t>
      </w:r>
      <w:r>
        <w:t xml:space="preserve">, as specified in </w:t>
      </w:r>
      <w:r w:rsidR="008054A2">
        <w:t xml:space="preserve">47 U.S.C. 159A(b)(2), </w:t>
      </w:r>
      <w:r w:rsidR="00047C3F">
        <w:t>conclude</w:t>
      </w:r>
      <w:r w:rsidR="00430783">
        <w:t>d</w:t>
      </w:r>
      <w:r w:rsidR="00047C3F">
        <w:t xml:space="preserve"> on January 27, 20</w:t>
      </w:r>
      <w:r w:rsidR="008054A2">
        <w:t>20</w:t>
      </w:r>
      <w:r w:rsidR="00047C3F">
        <w:t xml:space="preserve">.  </w:t>
      </w:r>
    </w:p>
    <w:p w:rsidR="005E63DE" w:rsidRPr="00734CC3" w:rsidP="00076EED" w14:paraId="050F4CC9" w14:textId="1FEF55E3">
      <w:pPr>
        <w:pStyle w:val="ParaNum"/>
      </w:pPr>
      <w:r>
        <w:t xml:space="preserve">Given </w:t>
      </w:r>
      <w:r w:rsidR="00076EED">
        <w:t xml:space="preserve">the satisfaction of the Congressional notification period, </w:t>
      </w:r>
      <w:r w:rsidRPr="00FD2C0C">
        <w:t xml:space="preserve">IT IS ORDERED that </w:t>
      </w:r>
      <w:r w:rsidR="00076EED">
        <w:t>the amendment to the application fee schedule</w:t>
      </w:r>
      <w:r w:rsidR="008054A2">
        <w:t xml:space="preserve"> specified in the </w:t>
      </w:r>
      <w:r w:rsidR="00AC5C81">
        <w:rPr>
          <w:i/>
          <w:iCs/>
        </w:rPr>
        <w:t xml:space="preserve">Report and </w:t>
      </w:r>
      <w:r w:rsidRPr="00201B95" w:rsidR="005E43F2">
        <w:rPr>
          <w:i/>
        </w:rPr>
        <w:t>Order</w:t>
      </w:r>
      <w:r w:rsidR="005E43F2">
        <w:t xml:space="preserve"> </w:t>
      </w:r>
      <w:r w:rsidR="00076EED">
        <w:t>will be effective 30 days</w:t>
      </w:r>
      <w:r w:rsidR="004A7CE0">
        <w:t xml:space="preserve"> after </w:t>
      </w:r>
      <w:r w:rsidR="005A1387">
        <w:t xml:space="preserve">the upcoming </w:t>
      </w:r>
      <w:r w:rsidR="00076EED">
        <w:t>publication</w:t>
      </w:r>
      <w:r w:rsidR="00DC6D8B">
        <w:t xml:space="preserve"> of the </w:t>
      </w:r>
      <w:r w:rsidR="00DC6D8B">
        <w:rPr>
          <w:i/>
        </w:rPr>
        <w:t>Report and Order</w:t>
      </w:r>
      <w:r w:rsidR="00076EED">
        <w:t xml:space="preserve"> in the Federal Register.</w:t>
      </w:r>
    </w:p>
    <w:p w:rsidR="0052401F" w:rsidP="00D86EF7" w14:paraId="370178B0" w14:textId="77777777"/>
    <w:p w:rsidR="00B07300" w:rsidRPr="002A29D2" w:rsidP="00D86EF7" w14:paraId="4E7FBE38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D2">
        <w:t>FEDERAL COMMUNICATIONS COMMISSION</w:t>
      </w:r>
    </w:p>
    <w:p w:rsidR="00B07300" w:rsidP="00D86EF7" w14:paraId="15B152B9" w14:textId="77777777"/>
    <w:p w:rsidR="002A29D2" w:rsidP="00D86EF7" w14:paraId="4EBF37A8" w14:textId="77777777"/>
    <w:p w:rsidR="002A29D2" w:rsidP="00D86EF7" w14:paraId="18C70791" w14:textId="77777777"/>
    <w:p w:rsidR="002A29D2" w:rsidRPr="002A29D2" w:rsidP="00D86EF7" w14:paraId="267A0FDB" w14:textId="77777777"/>
    <w:p w:rsidR="0060228B" w:rsidP="003F1B27" w14:paraId="33BF17A8" w14:textId="77777777"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="003F1B27">
        <w:t>Marlene H. Dortch</w:t>
      </w:r>
    </w:p>
    <w:p w:rsidR="003F1B27" w:rsidRPr="002A29D2" w:rsidP="003F1B27" w14:paraId="44FB4C5E" w14:textId="7777777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2E484C" w:rsidP="00D86EF7" w14:paraId="77AD7ECC" w14:textId="77777777"/>
    <w:sectPr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4931EA9D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6EF7" w:rsidP="00D86EF7" w14:paraId="2DF52B25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763F3" w14:paraId="1BFFEB41" w14:textId="77777777">
      <w:r>
        <w:separator/>
      </w:r>
    </w:p>
  </w:footnote>
  <w:footnote w:type="continuationSeparator" w:id="1">
    <w:p w:rsidR="007763F3" w14:paraId="0B1AD51F" w14:textId="77777777">
      <w:r>
        <w:continuationSeparator/>
      </w:r>
    </w:p>
  </w:footnote>
  <w:footnote w:id="2">
    <w:p w:rsidR="008A2C79" w:rsidRPr="008A2C79" w14:paraId="1F4C1BA6" w14:textId="2442E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Streamlining Licensing Procedures for Small Satellites</w:t>
      </w:r>
      <w:r>
        <w:t>,</w:t>
      </w:r>
      <w:r w:rsidR="00047C3F">
        <w:t xml:space="preserve"> Report and Order,</w:t>
      </w:r>
      <w:r>
        <w:t xml:space="preserve"> </w:t>
      </w:r>
      <w:r w:rsidR="00767223">
        <w:t xml:space="preserve">34 FCC </w:t>
      </w:r>
      <w:r w:rsidR="00767223">
        <w:t>Rcd</w:t>
      </w:r>
      <w:r w:rsidR="00767223">
        <w:t xml:space="preserve"> 13077</w:t>
      </w:r>
      <w:r w:rsidR="00047C3F">
        <w:t xml:space="preserve"> (2019)</w:t>
      </w:r>
      <w:r w:rsidR="004517C1">
        <w:t xml:space="preserve"> (</w:t>
      </w:r>
      <w:r w:rsidR="00F34FCF">
        <w:rPr>
          <w:i/>
        </w:rPr>
        <w:t>Report and</w:t>
      </w:r>
      <w:r w:rsidRPr="004517C1" w:rsidR="004517C1">
        <w:rPr>
          <w:i/>
        </w:rPr>
        <w:t xml:space="preserve"> Order</w:t>
      </w:r>
      <w:r w:rsidR="004517C1">
        <w:t>)</w:t>
      </w:r>
      <w:r w:rsidR="00825AB7">
        <w:t>.</w:t>
      </w:r>
    </w:p>
  </w:footnote>
  <w:footnote w:id="3">
    <w:p w:rsidR="00F34FCF" w:rsidP="00F34FCF" w14:paraId="45CD6614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1.1107.</w:t>
      </w:r>
    </w:p>
  </w:footnote>
  <w:footnote w:id="4">
    <w:p w:rsidR="00825AB7" w:rsidRPr="00825AB7" w14:paraId="73D1DEA3" w14:textId="083CC3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34FCF">
        <w:rPr>
          <w:i/>
        </w:rPr>
        <w:t>Report and Order</w:t>
      </w:r>
      <w:r w:rsidR="00767223">
        <w:rPr>
          <w:iCs/>
        </w:rPr>
        <w:t xml:space="preserve">, 34 FCC </w:t>
      </w:r>
      <w:r w:rsidR="00767223">
        <w:rPr>
          <w:iCs/>
        </w:rPr>
        <w:t>Rcd</w:t>
      </w:r>
      <w:r w:rsidR="00F34FCF">
        <w:rPr>
          <w:i/>
        </w:rPr>
        <w:t xml:space="preserve"> </w:t>
      </w:r>
      <w:r>
        <w:t>at</w:t>
      </w:r>
      <w:r w:rsidR="005E43F2">
        <w:t xml:space="preserve"> </w:t>
      </w:r>
      <w:r w:rsidR="00767223">
        <w:t>13127</w:t>
      </w:r>
      <w:r w:rsidR="005E43F2">
        <w:t>,</w:t>
      </w:r>
      <w:r>
        <w:t xml:space="preserve"> para. 125</w:t>
      </w:r>
      <w:r w:rsidR="005E43F2">
        <w:t xml:space="preserve"> (citing 47 U.S.C. </w:t>
      </w:r>
      <w:r w:rsidR="00F34FCF">
        <w:t xml:space="preserve">§ </w:t>
      </w:r>
      <w:r w:rsidR="005E43F2">
        <w:t>159A(b)(2)).</w:t>
      </w:r>
    </w:p>
  </w:footnote>
  <w:footnote w:id="5">
    <w:p w:rsidR="00076EED" w:rsidRPr="004517C1" w14:paraId="04523282" w14:textId="1E372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34FCF">
        <w:rPr>
          <w:i/>
        </w:rPr>
        <w:t>Id.</w:t>
      </w:r>
      <w:r w:rsidR="004517C1">
        <w:t xml:space="preserve"> at </w:t>
      </w:r>
      <w:r w:rsidR="00767223">
        <w:t>13128</w:t>
      </w:r>
      <w:r w:rsidR="004517C1">
        <w:t>, Appendix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7F683332" w14:textId="77777777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 w14:paraId="5B80F76E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9525" t="12700" r="9525" b="15875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7DA110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43F72FCD" w14:textId="599C44AE">
    <w:pPr>
      <w:pStyle w:val="Header"/>
    </w:pPr>
    <w:r>
      <w:tab/>
    </w:r>
    <w:r w:rsidRPr="002A29D2">
      <w:t>Federal Communications Commission</w:t>
    </w:r>
    <w:r w:rsidRPr="002A29D2">
      <w:tab/>
    </w:r>
    <w:r w:rsidR="00761390">
      <w:t xml:space="preserve">FCC </w:t>
    </w:r>
    <w:r w:rsidR="00D72BFB">
      <w:t>20-60</w:t>
    </w:r>
    <w:r w:rsidR="00761390">
      <w:t xml:space="preserve"> </w:t>
    </w:r>
  </w:p>
  <w:p w:rsidR="0060228B" w:rsidP="002A29D2" w14:paraId="7CF19499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9525" t="12700" r="9525" b="63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6">
    <w:nsid w:val="71422F35"/>
    <w:multiLevelType w:val="hybridMultilevel"/>
    <w:tmpl w:val="D04EEC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6"/>
  </w:num>
  <w:num w:numId="29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C"/>
    <w:rsid w:val="00013525"/>
    <w:rsid w:val="00041038"/>
    <w:rsid w:val="00047C3F"/>
    <w:rsid w:val="000600CA"/>
    <w:rsid w:val="00076EED"/>
    <w:rsid w:val="000C711B"/>
    <w:rsid w:val="0010354F"/>
    <w:rsid w:val="00171056"/>
    <w:rsid w:val="00201B95"/>
    <w:rsid w:val="00253D13"/>
    <w:rsid w:val="002A29D2"/>
    <w:rsid w:val="002A4E36"/>
    <w:rsid w:val="002E47BE"/>
    <w:rsid w:val="002E484C"/>
    <w:rsid w:val="00393E93"/>
    <w:rsid w:val="003D3946"/>
    <w:rsid w:val="003F1B27"/>
    <w:rsid w:val="0041247E"/>
    <w:rsid w:val="00430783"/>
    <w:rsid w:val="004517C1"/>
    <w:rsid w:val="004523A9"/>
    <w:rsid w:val="00456E40"/>
    <w:rsid w:val="004A7CE0"/>
    <w:rsid w:val="004F09F3"/>
    <w:rsid w:val="0052401F"/>
    <w:rsid w:val="00543820"/>
    <w:rsid w:val="005A09E4"/>
    <w:rsid w:val="005A1387"/>
    <w:rsid w:val="005A40CE"/>
    <w:rsid w:val="005B520D"/>
    <w:rsid w:val="005B5A75"/>
    <w:rsid w:val="005E2F80"/>
    <w:rsid w:val="005E43F2"/>
    <w:rsid w:val="005E63DE"/>
    <w:rsid w:val="0060228B"/>
    <w:rsid w:val="0062178D"/>
    <w:rsid w:val="00623586"/>
    <w:rsid w:val="00647B2E"/>
    <w:rsid w:val="006D7E20"/>
    <w:rsid w:val="00734CC3"/>
    <w:rsid w:val="00761390"/>
    <w:rsid w:val="00767223"/>
    <w:rsid w:val="007763F3"/>
    <w:rsid w:val="007A6B8B"/>
    <w:rsid w:val="008054A2"/>
    <w:rsid w:val="00825AB7"/>
    <w:rsid w:val="00880AC7"/>
    <w:rsid w:val="00891ADC"/>
    <w:rsid w:val="00893469"/>
    <w:rsid w:val="008A2C79"/>
    <w:rsid w:val="008E35BD"/>
    <w:rsid w:val="0098455A"/>
    <w:rsid w:val="009E4AB9"/>
    <w:rsid w:val="00A34C08"/>
    <w:rsid w:val="00A53E0A"/>
    <w:rsid w:val="00A577EF"/>
    <w:rsid w:val="00A6678A"/>
    <w:rsid w:val="00AC5C81"/>
    <w:rsid w:val="00B07300"/>
    <w:rsid w:val="00B213E0"/>
    <w:rsid w:val="00B860DC"/>
    <w:rsid w:val="00B91DFF"/>
    <w:rsid w:val="00C26C3D"/>
    <w:rsid w:val="00C401A9"/>
    <w:rsid w:val="00C9235D"/>
    <w:rsid w:val="00D72BFB"/>
    <w:rsid w:val="00D86EF7"/>
    <w:rsid w:val="00DC6D8B"/>
    <w:rsid w:val="00DF290B"/>
    <w:rsid w:val="00E00E22"/>
    <w:rsid w:val="00E20A4F"/>
    <w:rsid w:val="00E60467"/>
    <w:rsid w:val="00EB1A95"/>
    <w:rsid w:val="00EC545F"/>
    <w:rsid w:val="00ED2EA8"/>
    <w:rsid w:val="00F25801"/>
    <w:rsid w:val="00F34FCF"/>
    <w:rsid w:val="00FD2C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5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71056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71056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71056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71056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71056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71056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71056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71056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71056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710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056"/>
  </w:style>
  <w:style w:type="paragraph" w:styleId="Caption">
    <w:name w:val="caption"/>
    <w:basedOn w:val="Normal"/>
    <w:next w:val="Normal"/>
    <w:qFormat/>
    <w:rsid w:val="00D86EF7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171056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71056"/>
    <w:pPr>
      <w:spacing w:after="120"/>
    </w:pPr>
  </w:style>
  <w:style w:type="paragraph" w:customStyle="1" w:styleId="Bullet">
    <w:name w:val="Bullet"/>
    <w:basedOn w:val="Normal"/>
    <w:rsid w:val="00171056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71056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71056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71056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7105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17105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7105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D86EF7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7105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7105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7105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7105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7105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7105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7105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7105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71056"/>
  </w:style>
  <w:style w:type="paragraph" w:styleId="Title">
    <w:name w:val="Title"/>
    <w:basedOn w:val="Normal"/>
    <w:qFormat/>
    <w:rsid w:val="00D86EF7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71056"/>
    <w:rPr>
      <w:sz w:val="20"/>
    </w:rPr>
  </w:style>
  <w:style w:type="character" w:customStyle="1" w:styleId="EndnoteTextChar">
    <w:name w:val="Endnote Text Char"/>
    <w:link w:val="EndnoteText"/>
    <w:rsid w:val="00D86EF7"/>
    <w:rPr>
      <w:snapToGrid w:val="0"/>
      <w:kern w:val="28"/>
    </w:rPr>
  </w:style>
  <w:style w:type="character" w:styleId="EndnoteReference">
    <w:name w:val="endnote reference"/>
    <w:rsid w:val="00171056"/>
    <w:rPr>
      <w:vertAlign w:val="superscript"/>
    </w:rPr>
  </w:style>
  <w:style w:type="paragraph" w:styleId="TOAHeading">
    <w:name w:val="toa heading"/>
    <w:basedOn w:val="Normal"/>
    <w:next w:val="Normal"/>
    <w:rsid w:val="0017105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71056"/>
  </w:style>
  <w:style w:type="paragraph" w:customStyle="1" w:styleId="Paratitle">
    <w:name w:val="Para title"/>
    <w:basedOn w:val="Normal"/>
    <w:rsid w:val="00171056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7105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7105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71056"/>
    <w:rPr>
      <w:color w:val="0000FF"/>
      <w:u w:val="single"/>
    </w:rPr>
  </w:style>
  <w:style w:type="character" w:customStyle="1" w:styleId="ParaNumChar">
    <w:name w:val="ParaNum Char"/>
    <w:link w:val="ParaNum"/>
    <w:locked/>
    <w:rsid w:val="005E63DE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EC5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45F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17105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