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16F0" w:rsidRPr="00972069" w:rsidP="00C816F0" w14:paraId="750DF38B" w14:textId="77777777">
      <w:pPr>
        <w:keepNext/>
        <w:keepLines/>
        <w:widowControl/>
        <w:jc w:val="center"/>
        <w:rPr>
          <w:b/>
        </w:rPr>
      </w:pPr>
      <w:bookmarkStart w:id="0" w:name="_Hlk21444271"/>
      <w:bookmarkStart w:id="1" w:name="_GoBack"/>
      <w:bookmarkEnd w:id="1"/>
      <w:r w:rsidRPr="00972069">
        <w:rPr>
          <w:rFonts w:ascii="Times New Roman Bold" w:hAnsi="Times New Roman Bold"/>
          <w:b/>
          <w:kern w:val="0"/>
          <w:szCs w:val="22"/>
        </w:rPr>
        <w:t>Before</w:t>
      </w:r>
      <w:r w:rsidRPr="00972069">
        <w:rPr>
          <w:b/>
        </w:rPr>
        <w:t xml:space="preserve"> the</w:t>
      </w:r>
    </w:p>
    <w:p w:rsidR="00C816F0" w:rsidRPr="00972069" w:rsidP="00C816F0" w14:paraId="33450D03" w14:textId="77777777">
      <w:pPr>
        <w:keepNext/>
        <w:keepLines/>
        <w:widowControl/>
        <w:jc w:val="center"/>
        <w:rPr>
          <w:rFonts w:ascii="Times New Roman Bold" w:hAnsi="Times New Roman Bold"/>
          <w:b/>
          <w:bCs/>
          <w:caps/>
          <w:szCs w:val="22"/>
        </w:rPr>
      </w:pPr>
      <w:r w:rsidRPr="00972069">
        <w:rPr>
          <w:rFonts w:ascii="Times New Roman Bold" w:hAnsi="Times New Roman Bold"/>
          <w:b/>
          <w:bCs/>
          <w:caps/>
          <w:szCs w:val="22"/>
        </w:rPr>
        <w:t>F</w:t>
      </w:r>
      <w:r w:rsidRPr="00972069">
        <w:rPr>
          <w:rFonts w:ascii="Times New Roman Bold" w:hAnsi="Times New Roman Bold"/>
          <w:b/>
          <w:bCs/>
          <w:szCs w:val="22"/>
        </w:rPr>
        <w:t>ederal Communications Commission</w:t>
      </w:r>
    </w:p>
    <w:p w:rsidR="00C816F0" w:rsidRPr="00972069" w:rsidP="00C816F0" w14:paraId="7B110D1E" w14:textId="77777777">
      <w:pPr>
        <w:keepNext/>
        <w:keepLines/>
        <w:widowControl/>
        <w:jc w:val="center"/>
        <w:rPr>
          <w:rFonts w:ascii="Times New Roman Bold" w:hAnsi="Times New Roman Bold"/>
          <w:b/>
          <w:bCs/>
          <w:caps/>
          <w:szCs w:val="22"/>
        </w:rPr>
      </w:pPr>
      <w:r w:rsidRPr="00972069">
        <w:rPr>
          <w:rFonts w:ascii="Times New Roman Bold" w:hAnsi="Times New Roman Bold"/>
          <w:b/>
          <w:bCs/>
          <w:szCs w:val="22"/>
        </w:rPr>
        <w:t>Washington, D.C. 20554</w:t>
      </w:r>
    </w:p>
    <w:p w:rsidR="00C816F0" w:rsidRPr="00972069" w:rsidP="00C816F0" w14:paraId="583140B7" w14:textId="77777777">
      <w:pPr>
        <w:keepNext/>
        <w:keepLines/>
        <w:widowControl/>
      </w:pPr>
    </w:p>
    <w:tbl>
      <w:tblPr>
        <w:tblW w:w="0" w:type="auto"/>
        <w:tblLayout w:type="fixed"/>
        <w:tblLook w:val="0000"/>
      </w:tblPr>
      <w:tblGrid>
        <w:gridCol w:w="4698"/>
        <w:gridCol w:w="630"/>
        <w:gridCol w:w="4248"/>
      </w:tblGrid>
      <w:tr w14:paraId="43AD957B" w14:textId="77777777" w:rsidTr="00B56C51">
        <w:tblPrEx>
          <w:tblW w:w="0" w:type="auto"/>
          <w:tblLayout w:type="fixed"/>
          <w:tblLook w:val="0000"/>
        </w:tblPrEx>
        <w:tc>
          <w:tcPr>
            <w:tcW w:w="4698" w:type="dxa"/>
          </w:tcPr>
          <w:p w:rsidR="00C816F0" w:rsidRPr="00972069" w:rsidP="00B56C51" w14:paraId="748CA064" w14:textId="77777777">
            <w:pPr>
              <w:keepNext/>
              <w:keepLines/>
              <w:widowControl/>
            </w:pPr>
            <w:bookmarkStart w:id="2" w:name="_Hlk19029602"/>
            <w:r w:rsidRPr="00972069">
              <w:t>In the Matter of</w:t>
            </w:r>
          </w:p>
          <w:p w:rsidR="00C816F0" w:rsidRPr="00972069" w:rsidP="00B56C51" w14:paraId="51F21C74" w14:textId="77777777">
            <w:pPr>
              <w:keepNext/>
              <w:keepLines/>
              <w:widowControl/>
            </w:pPr>
          </w:p>
          <w:p w:rsidR="00C816F0" w:rsidRPr="00972069" w:rsidP="00B56C51" w14:paraId="503A7F5B" w14:textId="77777777">
            <w:pPr>
              <w:keepNext/>
              <w:keepLines/>
              <w:widowControl/>
            </w:pPr>
            <w:r w:rsidRPr="00972069">
              <w:t xml:space="preserve">Creation of Interstitial 12.5 Kilohertz Channels in  </w:t>
            </w:r>
          </w:p>
          <w:p w:rsidR="00C816F0" w:rsidRPr="00972069" w:rsidP="00B56C51" w14:paraId="538A8DD6" w14:textId="1B94C4C2">
            <w:pPr>
              <w:keepNext/>
              <w:keepLines/>
              <w:widowControl/>
            </w:pPr>
            <w:r w:rsidRPr="00972069">
              <w:t>the 800 MHz Band Between 809-817/854-862 MHz).</w:t>
            </w:r>
          </w:p>
        </w:tc>
        <w:tc>
          <w:tcPr>
            <w:tcW w:w="630" w:type="dxa"/>
          </w:tcPr>
          <w:p w:rsidR="00C816F0" w:rsidRPr="00972069" w:rsidP="00B56C51" w14:paraId="05701AD8" w14:textId="77777777">
            <w:pPr>
              <w:keepNext/>
              <w:keepLines/>
              <w:widowControl/>
              <w:rPr>
                <w:b/>
              </w:rPr>
            </w:pPr>
            <w:r w:rsidRPr="00972069">
              <w:rPr>
                <w:b/>
              </w:rPr>
              <w:t>)</w:t>
            </w:r>
          </w:p>
          <w:p w:rsidR="00C816F0" w:rsidRPr="00972069" w:rsidP="00B56C51" w14:paraId="38C28A9D" w14:textId="77777777">
            <w:pPr>
              <w:keepNext/>
              <w:keepLines/>
              <w:widowControl/>
              <w:rPr>
                <w:b/>
              </w:rPr>
            </w:pPr>
            <w:r w:rsidRPr="00972069">
              <w:rPr>
                <w:b/>
              </w:rPr>
              <w:t>)</w:t>
            </w:r>
          </w:p>
          <w:p w:rsidR="00C816F0" w:rsidRPr="00972069" w:rsidP="00B56C51" w14:paraId="1A4C8114" w14:textId="77777777">
            <w:pPr>
              <w:keepNext/>
              <w:keepLines/>
              <w:widowControl/>
              <w:rPr>
                <w:b/>
              </w:rPr>
            </w:pPr>
            <w:r w:rsidRPr="00972069">
              <w:rPr>
                <w:b/>
              </w:rPr>
              <w:t>)</w:t>
            </w:r>
          </w:p>
          <w:p w:rsidR="00C816F0" w:rsidRPr="00972069" w:rsidP="00B56C51" w14:paraId="0400A028" w14:textId="77777777">
            <w:pPr>
              <w:keepNext/>
              <w:keepLines/>
              <w:widowControl/>
              <w:rPr>
                <w:b/>
              </w:rPr>
            </w:pPr>
            <w:r w:rsidRPr="00972069">
              <w:rPr>
                <w:b/>
              </w:rPr>
              <w:t>)</w:t>
            </w:r>
          </w:p>
          <w:p w:rsidR="00C816F0" w:rsidRPr="00972069" w:rsidP="00B56C51" w14:paraId="270CC160" w14:textId="77777777">
            <w:pPr>
              <w:keepNext/>
              <w:keepLines/>
              <w:widowControl/>
              <w:rPr>
                <w:b/>
              </w:rPr>
            </w:pPr>
            <w:r w:rsidRPr="00972069">
              <w:rPr>
                <w:b/>
              </w:rPr>
              <w:t>)</w:t>
            </w:r>
          </w:p>
          <w:p w:rsidR="00C816F0" w:rsidRPr="00972069" w:rsidP="00B56C51" w14:paraId="2F63451C" w14:textId="77777777">
            <w:pPr>
              <w:keepNext/>
              <w:keepLines/>
              <w:widowControl/>
            </w:pPr>
          </w:p>
        </w:tc>
        <w:tc>
          <w:tcPr>
            <w:tcW w:w="4248" w:type="dxa"/>
          </w:tcPr>
          <w:p w:rsidR="00C816F0" w:rsidRPr="00972069" w:rsidP="00B56C51" w14:paraId="0E5F16B8" w14:textId="77777777">
            <w:pPr>
              <w:keepNext/>
              <w:keepLines/>
              <w:widowControl/>
            </w:pPr>
          </w:p>
          <w:p w:rsidR="00C816F0" w:rsidRPr="00972069" w:rsidP="00B56C51" w14:paraId="70F7589F" w14:textId="77777777">
            <w:pPr>
              <w:keepNext/>
              <w:keepLines/>
              <w:widowControl/>
              <w:ind w:left="720"/>
            </w:pPr>
          </w:p>
          <w:p w:rsidR="00C816F0" w:rsidRPr="00972069" w:rsidP="00B56C51" w14:paraId="5C0FCC6A" w14:textId="77777777">
            <w:pPr>
              <w:keepNext/>
              <w:keepLines/>
              <w:widowControl/>
            </w:pPr>
            <w:r w:rsidRPr="00972069">
              <w:t>WP Docket No. 15-32</w:t>
            </w:r>
          </w:p>
          <w:p w:rsidR="00C816F0" w:rsidRPr="00972069" w:rsidP="00B56C51" w14:paraId="6521D3B3" w14:textId="77777777">
            <w:pPr>
              <w:keepNext/>
              <w:keepLines/>
              <w:widowControl/>
            </w:pPr>
            <w:r w:rsidRPr="00972069">
              <w:t xml:space="preserve"> RM-11572</w:t>
            </w:r>
          </w:p>
          <w:p w:rsidR="00C816F0" w:rsidRPr="00972069" w:rsidP="00B56C51" w14:paraId="5DC36805" w14:textId="77777777">
            <w:pPr>
              <w:keepNext/>
              <w:keepLines/>
              <w:widowControl/>
            </w:pPr>
          </w:p>
          <w:p w:rsidR="00C816F0" w:rsidRPr="00972069" w:rsidP="00B56C51" w14:paraId="2C7A7A88" w14:textId="77777777">
            <w:pPr>
              <w:keepNext/>
              <w:keepLines/>
              <w:widowControl/>
            </w:pPr>
          </w:p>
          <w:p w:rsidR="00C816F0" w:rsidRPr="00972069" w:rsidP="00B56C51" w14:paraId="71BB90C4" w14:textId="77777777">
            <w:pPr>
              <w:keepNext/>
              <w:keepLines/>
              <w:widowControl/>
            </w:pPr>
          </w:p>
        </w:tc>
      </w:tr>
    </w:tbl>
    <w:p w:rsidR="001E423F" w:rsidRPr="001E423F" w:rsidP="001E423F" w14:paraId="1C48252A" w14:textId="58613E14">
      <w:pPr>
        <w:tabs>
          <w:tab w:val="right" w:pos="9360"/>
        </w:tabs>
        <w:suppressAutoHyphens/>
        <w:rPr>
          <w:spacing w:val="-2"/>
        </w:rPr>
      </w:pPr>
      <w:r>
        <w:rPr>
          <w:b/>
          <w:spacing w:val="-2"/>
        </w:rPr>
        <w:t>Adopted:  May 11, 2020</w:t>
      </w:r>
      <w:r>
        <w:rPr>
          <w:b/>
          <w:spacing w:val="-2"/>
        </w:rPr>
        <w:tab/>
        <w:t xml:space="preserve">Released:  May </w:t>
      </w:r>
      <w:r w:rsidR="00FB0A1D">
        <w:rPr>
          <w:b/>
          <w:spacing w:val="-2"/>
        </w:rPr>
        <w:t>12</w:t>
      </w:r>
      <w:r>
        <w:rPr>
          <w:b/>
          <w:spacing w:val="-2"/>
        </w:rPr>
        <w:t>, 2020</w:t>
      </w:r>
    </w:p>
    <w:p w:rsidR="001E423F" w:rsidP="00C816F0" w14:paraId="5973A608" w14:textId="77777777">
      <w:pPr>
        <w:keepNext/>
        <w:keepLines/>
        <w:widowControl/>
      </w:pPr>
    </w:p>
    <w:p w:rsidR="00C816F0" w:rsidRPr="00972069" w:rsidP="00C816F0" w14:paraId="754C6746" w14:textId="73C30949">
      <w:pPr>
        <w:keepNext/>
        <w:keepLines/>
        <w:widowControl/>
      </w:pPr>
      <w:r w:rsidRPr="00972069">
        <w:t>By the Commission:</w:t>
      </w:r>
    </w:p>
    <w:p w:rsidR="00C816F0" w:rsidRPr="00972069" w:rsidP="00C816F0" w14:paraId="0F22CF3C" w14:textId="77777777">
      <w:pPr>
        <w:keepNext/>
        <w:keepLines/>
        <w:widowControl/>
        <w:rPr>
          <w:b/>
          <w:bCs/>
        </w:rPr>
      </w:pPr>
    </w:p>
    <w:p w:rsidR="00C816F0" w:rsidRPr="00972069" w:rsidP="00C816F0" w14:paraId="4574EC5D" w14:textId="77777777">
      <w:pPr>
        <w:keepNext/>
        <w:keepLines/>
        <w:widowControl/>
        <w:spacing w:after="120"/>
        <w:jc w:val="center"/>
        <w:rPr>
          <w:rFonts w:ascii="Times New Roman Bold" w:hAnsi="Times New Roman Bold"/>
          <w:b/>
          <w:bCs/>
          <w:caps/>
        </w:rPr>
      </w:pPr>
      <w:r w:rsidRPr="00972069">
        <w:rPr>
          <w:rFonts w:ascii="Times New Roman Bold" w:hAnsi="Times New Roman Bold"/>
          <w:b/>
          <w:bCs/>
          <w:caps/>
        </w:rPr>
        <w:t>order ON RECONSIDERATION</w:t>
      </w:r>
    </w:p>
    <w:p w:rsidR="00C816F0" w:rsidRPr="00972069" w:rsidP="00C816F0" w14:paraId="319C9523" w14:textId="77777777">
      <w:pPr>
        <w:keepNext/>
        <w:widowControl/>
        <w:numPr>
          <w:ilvl w:val="0"/>
          <w:numId w:val="3"/>
        </w:numPr>
        <w:tabs>
          <w:tab w:val="left" w:pos="720"/>
        </w:tabs>
        <w:suppressAutoHyphens/>
        <w:spacing w:after="120"/>
        <w:outlineLvl w:val="0"/>
        <w:rPr>
          <w:rFonts w:ascii="Times New Roman Bold" w:hAnsi="Times New Roman Bold"/>
          <w:b/>
          <w:caps/>
        </w:rPr>
      </w:pPr>
      <w:bookmarkStart w:id="3" w:name="_Toc19029008"/>
      <w:bookmarkStart w:id="4" w:name="_Toc19029009"/>
      <w:bookmarkStart w:id="5" w:name="_Toc19029010"/>
      <w:bookmarkStart w:id="6" w:name="_Toc19029011"/>
      <w:bookmarkStart w:id="7" w:name="_Toc19029012"/>
      <w:bookmarkStart w:id="8" w:name="_Toc19029013"/>
      <w:bookmarkStart w:id="9" w:name="_Toc19029014"/>
      <w:bookmarkStart w:id="10" w:name="_Toc19029015"/>
      <w:bookmarkStart w:id="11" w:name="_Toc19029016"/>
      <w:bookmarkStart w:id="12" w:name="_Toc19029017"/>
      <w:bookmarkStart w:id="13" w:name="_Toc19029018"/>
      <w:bookmarkStart w:id="14" w:name="_Toc19029019"/>
      <w:bookmarkStart w:id="15" w:name="_Toc19029020"/>
      <w:bookmarkStart w:id="16" w:name="_Toc19029021"/>
      <w:bookmarkStart w:id="17" w:name="_Toc720568"/>
      <w:bookmarkStart w:id="18" w:name="_Toc17041002"/>
      <w:bookmarkStart w:id="19" w:name="_Toc17114457"/>
      <w:bookmarkStart w:id="20" w:name="_Toc17127941"/>
      <w:bookmarkStart w:id="21" w:name="_Toc17128786"/>
      <w:bookmarkStart w:id="22" w:name="_Toc17192231"/>
      <w:bookmarkStart w:id="23" w:name="_Toc19029022"/>
      <w:bookmarkStart w:id="24" w:name="_Toc19104732"/>
      <w:bookmarkStart w:id="25" w:name="_Toc21368834"/>
      <w:bookmarkStart w:id="26" w:name="_Toc21369040"/>
      <w:bookmarkEnd w:id="3"/>
      <w:bookmarkEnd w:id="4"/>
      <w:bookmarkEnd w:id="5"/>
      <w:bookmarkEnd w:id="6"/>
      <w:bookmarkEnd w:id="7"/>
      <w:bookmarkEnd w:id="8"/>
      <w:bookmarkEnd w:id="9"/>
      <w:bookmarkEnd w:id="10"/>
      <w:bookmarkEnd w:id="11"/>
      <w:bookmarkEnd w:id="12"/>
      <w:bookmarkEnd w:id="13"/>
      <w:bookmarkEnd w:id="14"/>
      <w:bookmarkEnd w:id="15"/>
      <w:bookmarkEnd w:id="16"/>
      <w:r w:rsidRPr="00972069">
        <w:rPr>
          <w:rFonts w:ascii="Times New Roman Bold" w:hAnsi="Times New Roman Bold"/>
          <w:b/>
          <w:caps/>
        </w:rPr>
        <w:t>INtroduction</w:t>
      </w:r>
      <w:bookmarkEnd w:id="17"/>
      <w:bookmarkEnd w:id="18"/>
      <w:bookmarkEnd w:id="19"/>
      <w:bookmarkEnd w:id="20"/>
      <w:bookmarkEnd w:id="21"/>
      <w:bookmarkEnd w:id="22"/>
      <w:bookmarkEnd w:id="23"/>
      <w:bookmarkEnd w:id="24"/>
      <w:bookmarkEnd w:id="25"/>
      <w:bookmarkEnd w:id="26"/>
      <w:r w:rsidRPr="00972069">
        <w:rPr>
          <w:rFonts w:ascii="Times New Roman Bold" w:hAnsi="Times New Roman Bold"/>
          <w:b/>
          <w:caps/>
        </w:rPr>
        <w:t xml:space="preserve"> </w:t>
      </w:r>
    </w:p>
    <w:p w:rsidR="00C816F0" w:rsidRPr="00972069" w:rsidP="00C816F0" w14:paraId="5F122206" w14:textId="77777777">
      <w:pPr>
        <w:pStyle w:val="ParaNum"/>
      </w:pPr>
      <w:r w:rsidRPr="00972069">
        <w:t xml:space="preserve">On October 22, 2018, the Federal Communications Commission (Commission) released the </w:t>
      </w:r>
      <w:bookmarkStart w:id="27" w:name="_Hlk32409789"/>
      <w:r w:rsidRPr="00972069">
        <w:rPr>
          <w:i/>
        </w:rPr>
        <w:t>PLMR Report and Order</w:t>
      </w:r>
      <w:bookmarkEnd w:id="27"/>
      <w:r w:rsidRPr="00972069">
        <w:rPr>
          <w:iCs/>
        </w:rPr>
        <w:t xml:space="preserve">, which </w:t>
      </w:r>
      <w:r w:rsidRPr="00972069">
        <w:t>updated our rules to provide new spectrum capacity and eliminate unnecessary restrictions in the private land mobile radio (PLMR) services.</w:t>
      </w:r>
      <w:r>
        <w:rPr>
          <w:vertAlign w:val="superscript"/>
        </w:rPr>
        <w:footnoteReference w:id="3"/>
      </w:r>
      <w:r w:rsidRPr="00972069">
        <w:t xml:space="preserve">  Among other things, the order created 318 new “interstitial” channels in the 800 MHz Mid-Band</w:t>
      </w:r>
      <w:r w:rsidRPr="00972069">
        <w:rPr>
          <w:sz w:val="20"/>
          <w:vertAlign w:val="superscript"/>
        </w:rPr>
        <w:t xml:space="preserve"> </w:t>
      </w:r>
      <w:r w:rsidRPr="00972069">
        <w:t>to alleviate increased demand for spectrum capacity from public safety and other PLMR users.</w:t>
      </w:r>
      <w:r>
        <w:rPr>
          <w:vertAlign w:val="superscript"/>
        </w:rPr>
        <w:footnoteReference w:id="4"/>
      </w:r>
      <w:r w:rsidRPr="00972069">
        <w:t xml:space="preserve">  The order also adopted technical rules for coordinating interstitial channel applications to ensure that new stations authorized on interstitial channels would not interfere with incumbent stations on adjacent channels. </w:t>
      </w:r>
    </w:p>
    <w:p w:rsidR="00C816F0" w:rsidRPr="00972069" w:rsidP="00C816F0" w14:paraId="55B036DD" w14:textId="77777777">
      <w:pPr>
        <w:pStyle w:val="ParaNum"/>
      </w:pPr>
      <w:r w:rsidRPr="00972069">
        <w:t xml:space="preserve">Following adoption of the </w:t>
      </w:r>
      <w:r w:rsidRPr="00972069">
        <w:rPr>
          <w:i/>
        </w:rPr>
        <w:t>PLMR Report and Order</w:t>
      </w:r>
      <w:r w:rsidRPr="00972069">
        <w:rPr>
          <w:iCs/>
        </w:rPr>
        <w:t>,</w:t>
      </w:r>
      <w:r w:rsidRPr="00972069">
        <w:t xml:space="preserve"> the Land Mobile Communications Council (LMCC) filed a petition for reconsideration seeking modification and clarification of some of the technical rules for coordinating interstitial channel applications.</w:t>
      </w:r>
      <w:r>
        <w:rPr>
          <w:iCs/>
          <w:vertAlign w:val="superscript"/>
        </w:rPr>
        <w:footnoteReference w:id="5"/>
      </w:r>
      <w:r w:rsidRPr="00972069">
        <w:rPr>
          <w:i/>
        </w:rPr>
        <w:t xml:space="preserve">  </w:t>
      </w:r>
      <w:r w:rsidRPr="00972069">
        <w:t xml:space="preserve">This </w:t>
      </w:r>
      <w:r w:rsidRPr="00972069">
        <w:rPr>
          <w:i/>
          <w:iCs/>
        </w:rPr>
        <w:t>Order on Reconsideration</w:t>
      </w:r>
      <w:r w:rsidRPr="00972069">
        <w:t xml:space="preserve"> grants the petition in part and denies it in part</w:t>
      </w:r>
      <w:r w:rsidRPr="00972069">
        <w:rPr>
          <w:i/>
        </w:rPr>
        <w:t xml:space="preserve">.  </w:t>
      </w:r>
      <w:r w:rsidRPr="00972069">
        <w:rPr>
          <w:iCs/>
        </w:rPr>
        <w:t xml:space="preserve">We </w:t>
      </w:r>
      <w:r w:rsidRPr="00972069">
        <w:t xml:space="preserve">allow for some 800 MHz interstitial channel applicants to streamline their applications, clarify standards for calculating interference contours that define the distances that must be maintained between interstitial and incumbent stations, and refine certain technical elements of the interstitial channel rules. </w:t>
      </w:r>
      <w:r>
        <w:t xml:space="preserve"> </w:t>
      </w:r>
      <w:r w:rsidRPr="00972069">
        <w:t xml:space="preserve">These actions will aid public safety and other PLMR users by increasing access to interstitial channels nationwide while continuing to ensure that incumbent stations are protected.  However, we decline to adopt certain LMCC proposals that would increase the risk of harmful interference or would constitute an unlawful delegation of the Commission’s authority.  </w:t>
      </w:r>
      <w:r w:rsidRPr="00972069">
        <w:rPr>
          <w:iCs/>
        </w:rPr>
        <w:t>We also correct minor typographical errors in the rules.</w:t>
      </w:r>
      <w:r w:rsidRPr="00972069">
        <w:t xml:space="preserve">  </w:t>
      </w:r>
    </w:p>
    <w:p w:rsidR="00C816F0" w:rsidRPr="00972069" w:rsidP="00C816F0" w14:paraId="6435B1B2" w14:textId="77777777">
      <w:pPr>
        <w:keepNext/>
        <w:keepLines/>
        <w:widowControl/>
        <w:numPr>
          <w:ilvl w:val="0"/>
          <w:numId w:val="3"/>
        </w:numPr>
        <w:tabs>
          <w:tab w:val="left" w:pos="720"/>
        </w:tabs>
        <w:suppressAutoHyphens/>
        <w:spacing w:after="120"/>
        <w:outlineLvl w:val="0"/>
        <w:rPr>
          <w:rFonts w:ascii="Times New Roman Bold" w:hAnsi="Times New Roman Bold"/>
          <w:caps/>
        </w:rPr>
      </w:pPr>
      <w:bookmarkStart w:id="29" w:name="_Toc21368835"/>
      <w:bookmarkStart w:id="30" w:name="_Toc21369041"/>
      <w:r w:rsidRPr="00972069">
        <w:rPr>
          <w:rFonts w:ascii="Times New Roman Bold" w:hAnsi="Times New Roman Bold"/>
          <w:b/>
          <w:caps/>
        </w:rPr>
        <w:t>background</w:t>
      </w:r>
      <w:bookmarkEnd w:id="29"/>
      <w:bookmarkEnd w:id="30"/>
    </w:p>
    <w:p w:rsidR="00C816F0" w:rsidP="00C816F0" w14:paraId="7AEEEBB4" w14:textId="77777777">
      <w:pPr>
        <w:pStyle w:val="ParaNum"/>
        <w:widowControl/>
      </w:pPr>
      <w:r>
        <w:t xml:space="preserve">Private radio communications systems are used by businesses, organizations, public safety agencies, and other entities to support their internal communications requirements under part 90 of the Commission’s rules.  Generally, </w:t>
      </w:r>
      <w:r>
        <w:t>particular sets</w:t>
      </w:r>
      <w:r>
        <w:t xml:space="preserve"> of PLMR frequency assignments, or “pools,” are associated with certain categories of users.  In addition, w</w:t>
      </w:r>
      <w:r w:rsidRPr="00F3647F">
        <w:t>ith limited exceptions, frequency coordination</w:t>
      </w:r>
      <w:r>
        <w:t xml:space="preserve">—in which a Commission-certified frequency coordinator recommends frequencies that will most effectively meet the applicant’s needs while minimizing interference to existing licensees—is </w:t>
      </w:r>
      <w:r w:rsidRPr="00F3647F">
        <w:t xml:space="preserve">required before the Commission will grant a </w:t>
      </w:r>
      <w:r>
        <w:t xml:space="preserve">PLMR </w:t>
      </w:r>
      <w:r w:rsidRPr="00F3647F">
        <w:t>license.</w:t>
      </w:r>
      <w:r>
        <w:rPr>
          <w:rStyle w:val="FootnoteReference"/>
        </w:rPr>
        <w:footnoteReference w:id="6"/>
      </w:r>
    </w:p>
    <w:p w:rsidR="00C816F0" w:rsidRPr="00992FC3" w:rsidP="00C816F0" w14:paraId="3AD543C3" w14:textId="77777777">
      <w:pPr>
        <w:pStyle w:val="ParaNum"/>
        <w:widowControl/>
      </w:pPr>
      <w:r w:rsidRPr="00992FC3">
        <w:rPr>
          <w:iCs/>
        </w:rPr>
        <w:t>The</w:t>
      </w:r>
      <w:r w:rsidRPr="00992FC3">
        <w:rPr>
          <w:i/>
        </w:rPr>
        <w:t xml:space="preserve"> PLMR Report and Order</w:t>
      </w:r>
      <w:r w:rsidRPr="00972069">
        <w:t xml:space="preserve"> created new opportunities for </w:t>
      </w:r>
      <w:r>
        <w:t xml:space="preserve">private radio </w:t>
      </w:r>
      <w:r w:rsidRPr="00972069">
        <w:t>licensees by adding interstitial channels in the 800 MHz Mid-Band, subject to certain protections designed to safeguard adjacent-channel incumbents from harmful interference.  To ensure that interstitial channel stations w</w:t>
      </w:r>
      <w:r>
        <w:t xml:space="preserve">ill </w:t>
      </w:r>
      <w:r w:rsidRPr="00972069">
        <w:t xml:space="preserve">not cause such interference, the </w:t>
      </w:r>
      <w:r w:rsidRPr="00992FC3">
        <w:rPr>
          <w:i/>
        </w:rPr>
        <w:t>PLMR Report and Order</w:t>
      </w:r>
      <w:r w:rsidRPr="00972069">
        <w:t xml:space="preserve"> require</w:t>
      </w:r>
      <w:r>
        <w:t>s</w:t>
      </w:r>
      <w:r w:rsidRPr="00972069">
        <w:t xml:space="preserve"> interstitial applicants to use interference contour analysis to calculate the distance separation required between a proposed interstitial station and incumbent stations operating on adjacent channel</w:t>
      </w:r>
      <w:r>
        <w:t>s</w:t>
      </w:r>
      <w:r w:rsidRPr="00972069">
        <w:t>.</w:t>
      </w:r>
      <w:r>
        <w:rPr>
          <w:sz w:val="20"/>
          <w:vertAlign w:val="superscript"/>
        </w:rPr>
        <w:footnoteReference w:id="7"/>
      </w:r>
      <w:r w:rsidRPr="00972069">
        <w:t xml:space="preserve">  The </w:t>
      </w:r>
      <w:r>
        <w:t xml:space="preserve">order </w:t>
      </w:r>
      <w:r w:rsidRPr="00972069">
        <w:t>require</w:t>
      </w:r>
      <w:r>
        <w:t>s</w:t>
      </w:r>
      <w:r w:rsidRPr="00972069">
        <w:t xml:space="preserve"> applicants for interstitial channel</w:t>
      </w:r>
      <w:r>
        <w:t>s</w:t>
      </w:r>
      <w:r w:rsidRPr="00972069">
        <w:t xml:space="preserve"> to show that the area in which </w:t>
      </w:r>
      <w:r>
        <w:t xml:space="preserve">the proposed interstitial station </w:t>
      </w:r>
      <w:r w:rsidRPr="00972069">
        <w:t xml:space="preserve">could create interference (its interference contour) </w:t>
      </w:r>
      <w:r>
        <w:t xml:space="preserve">will </w:t>
      </w:r>
      <w:r w:rsidRPr="00972069">
        <w:t xml:space="preserve">not </w:t>
      </w:r>
      <w:r>
        <w:t xml:space="preserve">overlap the area </w:t>
      </w:r>
      <w:r w:rsidRPr="00972069">
        <w:t>where a</w:t>
      </w:r>
      <w:r>
        <w:t xml:space="preserve">n adjacent channel </w:t>
      </w:r>
      <w:r w:rsidRPr="00972069">
        <w:t>incumbent station provide</w:t>
      </w:r>
      <w:r>
        <w:t>s</w:t>
      </w:r>
      <w:r w:rsidRPr="00972069">
        <w:t xml:space="preserve"> service (its coverage contour).  Additionally, the interstitial channel applicant </w:t>
      </w:r>
      <w:r>
        <w:t xml:space="preserve">must </w:t>
      </w:r>
      <w:r w:rsidRPr="00972069">
        <w:t>show that the incumbent station</w:t>
      </w:r>
      <w:r>
        <w:t xml:space="preserve">’s </w:t>
      </w:r>
      <w:r w:rsidRPr="00972069">
        <w:t>interference contour d</w:t>
      </w:r>
      <w:r>
        <w:t xml:space="preserve">oes </w:t>
      </w:r>
      <w:r w:rsidRPr="00972069">
        <w:t xml:space="preserve">not </w:t>
      </w:r>
      <w:r>
        <w:t xml:space="preserve">overlap </w:t>
      </w:r>
      <w:r w:rsidRPr="00972069">
        <w:t xml:space="preserve">the </w:t>
      </w:r>
      <w:r>
        <w:t xml:space="preserve">applicant’s proposed </w:t>
      </w:r>
      <w:r w:rsidRPr="00972069">
        <w:t xml:space="preserve">coverage contour. </w:t>
      </w:r>
      <w:r>
        <w:t xml:space="preserve"> </w:t>
      </w:r>
      <w:r w:rsidRPr="00972069">
        <w:t>Th</w:t>
      </w:r>
      <w:r>
        <w:t xml:space="preserve">e process by which the applicant makes these showings </w:t>
      </w:r>
      <w:r w:rsidRPr="00972069">
        <w:t xml:space="preserve">is conventionally referred to as </w:t>
      </w:r>
      <w:r>
        <w:t>“</w:t>
      </w:r>
      <w:r w:rsidRPr="00972069">
        <w:t>contour overlap analysis.</w:t>
      </w:r>
      <w:r>
        <w:t>”</w:t>
      </w:r>
      <w:r w:rsidRPr="00972069">
        <w:t xml:space="preserve">  </w:t>
      </w:r>
    </w:p>
    <w:p w:rsidR="00C816F0" w:rsidP="00C816F0" w14:paraId="229574EC" w14:textId="77777777">
      <w:pPr>
        <w:pStyle w:val="ParaNum"/>
      </w:pPr>
      <w:r w:rsidRPr="00972069">
        <w:t xml:space="preserve">In its Petition, LMCC asks the Commission to clarify or reconsider four aspects of the </w:t>
      </w:r>
      <w:r>
        <w:t xml:space="preserve">contour overlap analysis required by the </w:t>
      </w:r>
      <w:r w:rsidRPr="00315AEF">
        <w:rPr>
          <w:i/>
        </w:rPr>
        <w:t>PLMR Report and Order</w:t>
      </w:r>
      <w:r w:rsidRPr="00972069">
        <w:t>.  First, LMCC asks the Commission to clarify in its rules that applicants need not perform contour</w:t>
      </w:r>
      <w:r>
        <w:t xml:space="preserve"> overlap</w:t>
      </w:r>
      <w:r w:rsidRPr="00972069">
        <w:t xml:space="preserve"> analysis if the spacing between stations meets or exceeds co-channel distance separation criteria specified in the rules.</w:t>
      </w:r>
      <w:r>
        <w:rPr>
          <w:sz w:val="20"/>
          <w:vertAlign w:val="superscript"/>
        </w:rPr>
        <w:footnoteReference w:id="8"/>
      </w:r>
      <w:r>
        <w:t xml:space="preserve">  </w:t>
      </w:r>
      <w:r w:rsidRPr="00972069">
        <w:t xml:space="preserve">Second, LMCC asks the Commission to permit </w:t>
      </w:r>
      <w:r>
        <w:t xml:space="preserve">interstitial applicants to use the proposed station’s </w:t>
      </w:r>
      <w:r w:rsidRPr="00972069">
        <w:t xml:space="preserve">coverage contour </w:t>
      </w:r>
      <w:r>
        <w:t xml:space="preserve">rather than its interference contour </w:t>
      </w:r>
      <w:r w:rsidRPr="00972069">
        <w:t xml:space="preserve">to predict </w:t>
      </w:r>
      <w:r>
        <w:t xml:space="preserve">the area in which the station is likely to cause </w:t>
      </w:r>
      <w:r w:rsidRPr="00972069">
        <w:t>interference.</w:t>
      </w:r>
      <w:r>
        <w:rPr>
          <w:sz w:val="20"/>
          <w:vertAlign w:val="superscript"/>
        </w:rPr>
        <w:footnoteReference w:id="9"/>
      </w:r>
      <w:r w:rsidRPr="00972069">
        <w:t xml:space="preserve">  Although the Commission rejected this proposal in the </w:t>
      </w:r>
      <w:r w:rsidRPr="00315AEF">
        <w:rPr>
          <w:i/>
        </w:rPr>
        <w:t>PLMR Report and Order</w:t>
      </w:r>
      <w:r w:rsidRPr="00972069">
        <w:t>, LMCC asks the Commission to revisit that determination.</w:t>
      </w:r>
      <w:r>
        <w:rPr>
          <w:sz w:val="20"/>
          <w:vertAlign w:val="superscript"/>
        </w:rPr>
        <w:footnoteReference w:id="10"/>
      </w:r>
      <w:r w:rsidRPr="00972069">
        <w:t xml:space="preserve"> </w:t>
      </w:r>
      <w:r>
        <w:t xml:space="preserve"> </w:t>
      </w:r>
      <w:r w:rsidRPr="00972069">
        <w:t xml:space="preserve">Third, LMCC urges the Commission to reconsider its decision in the </w:t>
      </w:r>
      <w:r w:rsidRPr="00315AEF">
        <w:rPr>
          <w:i/>
        </w:rPr>
        <w:t>PLMR Report and Order</w:t>
      </w:r>
      <w:r w:rsidRPr="00972069">
        <w:t xml:space="preserve"> </w:t>
      </w:r>
      <w:r>
        <w:t xml:space="preserve">not </w:t>
      </w:r>
      <w:r w:rsidRPr="00972069">
        <w:t xml:space="preserve">to allow interstitial applicants to </w:t>
      </w:r>
      <w:r>
        <w:t xml:space="preserve">calculate </w:t>
      </w:r>
      <w:r w:rsidRPr="00972069">
        <w:t xml:space="preserve">contour values </w:t>
      </w:r>
      <w:r>
        <w:t xml:space="preserve">based </w:t>
      </w:r>
      <w:r w:rsidRPr="00972069">
        <w:t xml:space="preserve">on a matrix chart that LMCC proposes to maintain </w:t>
      </w:r>
      <w:r>
        <w:t xml:space="preserve">and update </w:t>
      </w:r>
      <w:r w:rsidRPr="00972069">
        <w:t>on its website</w:t>
      </w:r>
      <w:r>
        <w:t>.</w:t>
      </w:r>
      <w:r>
        <w:rPr>
          <w:vertAlign w:val="superscript"/>
        </w:rPr>
        <w:footnoteReference w:id="11"/>
      </w:r>
      <w:r w:rsidRPr="00972069">
        <w:t xml:space="preserve"> </w:t>
      </w:r>
      <w:r>
        <w:t xml:space="preserve"> </w:t>
      </w:r>
      <w:r w:rsidRPr="00972069">
        <w:t xml:space="preserve">In the </w:t>
      </w:r>
      <w:r w:rsidRPr="00315AEF">
        <w:rPr>
          <w:i/>
          <w:iCs/>
        </w:rPr>
        <w:t xml:space="preserve">PLMR Report and </w:t>
      </w:r>
      <w:r w:rsidRPr="00972069">
        <w:t>Order, the Commission rejected this proposal as contrary to the Administrative Procedure Act’s notice and comment requirements.</w:t>
      </w:r>
      <w:r>
        <w:rPr>
          <w:vertAlign w:val="superscript"/>
        </w:rPr>
        <w:footnoteReference w:id="12"/>
      </w:r>
      <w:r w:rsidRPr="00972069">
        <w:t xml:space="preserve">  Finally, LMCC asks the Commission to </w:t>
      </w:r>
      <w:r>
        <w:t xml:space="preserve">modify </w:t>
      </w:r>
      <w:r w:rsidRPr="00972069">
        <w:t xml:space="preserve">a footnote in </w:t>
      </w:r>
      <w:r>
        <w:t>a</w:t>
      </w:r>
      <w:r w:rsidRPr="00972069">
        <w:t xml:space="preserve"> short-spacing separation table </w:t>
      </w:r>
      <w:r>
        <w:t xml:space="preserve">added to </w:t>
      </w:r>
      <w:r w:rsidRPr="00972069">
        <w:t>the Commission’s rules</w:t>
      </w:r>
      <w:r>
        <w:t xml:space="preserve"> by the </w:t>
      </w:r>
      <w:r w:rsidRPr="00315AEF">
        <w:rPr>
          <w:i/>
        </w:rPr>
        <w:t>PLMR Report and Order</w:t>
      </w:r>
      <w:r w:rsidRPr="00972069">
        <w:t>.</w:t>
      </w:r>
      <w:r>
        <w:rPr>
          <w:sz w:val="20"/>
          <w:vertAlign w:val="superscript"/>
        </w:rPr>
        <w:footnoteReference w:id="13"/>
      </w:r>
    </w:p>
    <w:p w:rsidR="00C816F0" w:rsidP="00C816F0" w14:paraId="5AB3367C" w14:textId="77777777">
      <w:pPr>
        <w:widowControl/>
        <w:numPr>
          <w:ilvl w:val="0"/>
          <w:numId w:val="3"/>
        </w:numPr>
        <w:tabs>
          <w:tab w:val="left" w:pos="720"/>
        </w:tabs>
        <w:suppressAutoHyphens/>
        <w:spacing w:after="120"/>
        <w:outlineLvl w:val="0"/>
        <w:rPr>
          <w:rFonts w:ascii="Times New Roman Bold" w:hAnsi="Times New Roman Bold"/>
          <w:b/>
          <w:caps/>
        </w:rPr>
      </w:pPr>
      <w:bookmarkStart w:id="31" w:name="_Toc21368836"/>
      <w:bookmarkStart w:id="32" w:name="_Toc21369042"/>
      <w:r w:rsidRPr="00972069">
        <w:rPr>
          <w:rFonts w:ascii="Times New Roman Bold" w:hAnsi="Times New Roman Bold"/>
          <w:b/>
          <w:caps/>
        </w:rPr>
        <w:t>discussion</w:t>
      </w:r>
      <w:bookmarkEnd w:id="31"/>
      <w:bookmarkEnd w:id="32"/>
    </w:p>
    <w:p w:rsidR="00C816F0" w:rsidP="00C816F0" w14:paraId="283E0818" w14:textId="4A802BCC">
      <w:pPr>
        <w:pStyle w:val="ParaNum"/>
        <w:tabs>
          <w:tab w:val="clear" w:pos="1440"/>
        </w:tabs>
      </w:pPr>
      <w:r>
        <w:t xml:space="preserve">In this </w:t>
      </w:r>
      <w:r w:rsidRPr="00AF76C7">
        <w:rPr>
          <w:i/>
          <w:iCs/>
        </w:rPr>
        <w:t>Order on Reconsideration</w:t>
      </w:r>
      <w:r>
        <w:t xml:space="preserve">, we modify our rules to specify that applications for interstitial channels do not need to conduct a contour analysis if the distances in the Commission’s co-channel spacing rules are met or exceeded.  We also update our rules to include a revised matrix </w:t>
      </w:r>
      <w:r>
        <w:t>submitted by LMCC</w:t>
      </w:r>
      <w:r w:rsidRPr="00972069">
        <w:t xml:space="preserve"> </w:t>
      </w:r>
      <w:r>
        <w:t>that use</w:t>
      </w:r>
      <w:r w:rsidRPr="00972069">
        <w:t xml:space="preserve">s contour values </w:t>
      </w:r>
      <w:r>
        <w:t>based on</w:t>
      </w:r>
      <w:r w:rsidRPr="00972069">
        <w:t xml:space="preserve"> </w:t>
      </w:r>
      <w:r>
        <w:t>i</w:t>
      </w:r>
      <w:r w:rsidRPr="00972069">
        <w:t xml:space="preserve">nterference </w:t>
      </w:r>
      <w:r>
        <w:t>and not</w:t>
      </w:r>
      <w:r w:rsidRPr="00972069">
        <w:t xml:space="preserve"> coverage </w:t>
      </w:r>
      <w:r>
        <w:t xml:space="preserve">to predict </w:t>
      </w:r>
      <w:r w:rsidRPr="00972069">
        <w:t>interference</w:t>
      </w:r>
      <w:r>
        <w:t xml:space="preserve">.  </w:t>
      </w:r>
      <w:r w:rsidRPr="00AF76C7">
        <w:t xml:space="preserve">However, we </w:t>
      </w:r>
      <w:r>
        <w:t xml:space="preserve">again </w:t>
      </w:r>
      <w:r w:rsidRPr="00AF76C7">
        <w:t>reject LMCC’s request that, rather than codifying the matrix in our rules, the Commission allow applicants to use a matrix posted on the LMCC website, which LMCC could periodically update to reflect new technology developments.</w:t>
      </w:r>
      <w:r>
        <w:t xml:space="preserve">  Further, we clarify that applicants for interstitial channels should assume that </w:t>
      </w:r>
      <w:r w:rsidRPr="00972069">
        <w:t xml:space="preserve">incumbent stations </w:t>
      </w:r>
      <w:r>
        <w:t xml:space="preserve">are </w:t>
      </w:r>
      <w:r w:rsidRPr="00972069">
        <w:t>operat</w:t>
      </w:r>
      <w:r>
        <w:t>ing</w:t>
      </w:r>
      <w:r w:rsidRPr="00972069">
        <w:t xml:space="preserve"> </w:t>
      </w:r>
      <w:r>
        <w:t xml:space="preserve">at the </w:t>
      </w:r>
      <w:r w:rsidRPr="00972069">
        <w:t xml:space="preserve">maximum </w:t>
      </w:r>
      <w:r>
        <w:t xml:space="preserve">permitted </w:t>
      </w:r>
      <w:r w:rsidRPr="00972069">
        <w:t>effective radiated power</w:t>
      </w:r>
      <w:r>
        <w:t xml:space="preserve"> associated with the station’s licensed antenna height when calculating the potential of the new station to cause interference to the incumbent</w:t>
      </w:r>
      <w:r w:rsidRPr="00972069">
        <w:t>.</w:t>
      </w:r>
      <w:r>
        <w:t xml:space="preserve">  Finally, we correct a few clerical errors and omissions in our rule section.</w:t>
      </w:r>
    </w:p>
    <w:p w:rsidR="00C816F0" w:rsidP="00C816F0" w14:paraId="321CFB5D" w14:textId="4C1BC3AF">
      <w:pPr>
        <w:pStyle w:val="Heading2"/>
      </w:pPr>
      <w:bookmarkStart w:id="33" w:name="_Toc21368837"/>
      <w:bookmarkStart w:id="34" w:name="_Toc21369043"/>
      <w:bookmarkStart w:id="35" w:name="_Toc17114458"/>
      <w:bookmarkStart w:id="36" w:name="_Toc17127942"/>
      <w:bookmarkStart w:id="37" w:name="_Toc17128787"/>
      <w:bookmarkStart w:id="38" w:name="_Toc17192232"/>
      <w:bookmarkStart w:id="39" w:name="_Toc19029023"/>
      <w:bookmarkStart w:id="40" w:name="_Toc19104733"/>
      <w:bookmarkStart w:id="41" w:name="_Toc720569"/>
      <w:bookmarkStart w:id="42" w:name="_Toc17041003"/>
      <w:r w:rsidRPr="00972069">
        <w:t>Contour Analysis Is Not Required When Proposed Stations Meet the Distance Separation Rule for Co-Channel Stations</w:t>
      </w:r>
      <w:bookmarkEnd w:id="33"/>
      <w:bookmarkEnd w:id="34"/>
      <w:r w:rsidRPr="00972069">
        <w:t xml:space="preserve"> </w:t>
      </w:r>
      <w:bookmarkEnd w:id="35"/>
      <w:bookmarkEnd w:id="36"/>
      <w:bookmarkEnd w:id="37"/>
      <w:bookmarkEnd w:id="38"/>
      <w:bookmarkEnd w:id="39"/>
      <w:bookmarkEnd w:id="40"/>
      <w:bookmarkEnd w:id="41"/>
      <w:bookmarkEnd w:id="42"/>
    </w:p>
    <w:p w:rsidR="00C816F0" w:rsidP="00C816F0" w14:paraId="38D2C91A" w14:textId="7F5777A8">
      <w:pPr>
        <w:pStyle w:val="ParaNum"/>
        <w:tabs>
          <w:tab w:val="clear" w:pos="1440"/>
        </w:tabs>
      </w:pPr>
      <w:r w:rsidRPr="00972069">
        <w:t xml:space="preserve">The </w:t>
      </w:r>
      <w:r w:rsidRPr="00C816F0">
        <w:rPr>
          <w:i/>
        </w:rPr>
        <w:t>PLMR Report and Order</w:t>
      </w:r>
      <w:r w:rsidRPr="00972069">
        <w:t xml:space="preserve"> provide</w:t>
      </w:r>
      <w:r>
        <w:t>s</w:t>
      </w:r>
      <w:r w:rsidRPr="00972069">
        <w:t xml:space="preserve"> that interference contour analysis </w:t>
      </w:r>
      <w:r>
        <w:t xml:space="preserve">is </w:t>
      </w:r>
      <w:r w:rsidRPr="00972069">
        <w:t xml:space="preserve">the optimum methodology to determine whether a proposed 800 MHz Mid-Band interstitial channel </w:t>
      </w:r>
      <w:bookmarkStart w:id="43" w:name="_Hlk28346589"/>
      <w:r w:rsidRPr="00972069">
        <w:t>would cause interference to</w:t>
      </w:r>
      <w:r>
        <w:t>,</w:t>
      </w:r>
      <w:r w:rsidRPr="00972069">
        <w:t xml:space="preserve"> or receive interference from, an incumbent adjacent channel station</w:t>
      </w:r>
      <w:bookmarkEnd w:id="43"/>
      <w:r w:rsidRPr="00972069">
        <w:t>.</w:t>
      </w:r>
      <w:r>
        <w:rPr>
          <w:sz w:val="20"/>
          <w:vertAlign w:val="superscript"/>
        </w:rPr>
        <w:footnoteReference w:id="14"/>
      </w:r>
      <w:r w:rsidRPr="00972069">
        <w:t xml:space="preserve">  The </w:t>
      </w:r>
      <w:r w:rsidRPr="00C816F0">
        <w:rPr>
          <w:i/>
          <w:iCs/>
        </w:rPr>
        <w:t>PLMR Report and Order</w:t>
      </w:r>
      <w:r w:rsidRPr="00972069">
        <w:t xml:space="preserve"> also specifie</w:t>
      </w:r>
      <w:r>
        <w:t>s</w:t>
      </w:r>
      <w:r w:rsidRPr="00972069">
        <w:t xml:space="preserve"> that, to lessen the burden on applicants, contour analysis need not be applied to applications that meet or exceed the distances specified in the Commission’s co-channel spacing rules.</w:t>
      </w:r>
      <w:r>
        <w:rPr>
          <w:sz w:val="20"/>
          <w:vertAlign w:val="superscript"/>
        </w:rPr>
        <w:footnoteReference w:id="15"/>
      </w:r>
    </w:p>
    <w:p w:rsidR="00C816F0" w:rsidRPr="00C816F0" w:rsidP="00C816F0" w14:paraId="0979C723" w14:textId="77777777">
      <w:pPr>
        <w:pStyle w:val="ParaNum"/>
        <w:tabs>
          <w:tab w:val="clear" w:pos="1440"/>
        </w:tabs>
      </w:pPr>
      <w:r w:rsidRPr="00972069">
        <w:t xml:space="preserve">LMCC points out that the rules adopted in the </w:t>
      </w:r>
      <w:r w:rsidRPr="00C816F0">
        <w:rPr>
          <w:i/>
          <w:iCs/>
        </w:rPr>
        <w:t>PLMR Report and Order</w:t>
      </w:r>
      <w:r w:rsidRPr="00972069">
        <w:t xml:space="preserve"> do not conform to the text of the order in this respect and requests that we modify the rules accordingly.</w:t>
      </w:r>
      <w:r>
        <w:rPr>
          <w:sz w:val="20"/>
          <w:vertAlign w:val="superscript"/>
        </w:rPr>
        <w:footnoteReference w:id="16"/>
      </w:r>
      <w:r w:rsidRPr="00972069">
        <w:t xml:space="preserve">  We agree and amend sections 90.621(b) and (d) of the Commission’s rules to specify that applicants need not conduct contour analysis when the co-channel distance criteria in section 90.621(b) are met, consistent with our intent in the </w:t>
      </w:r>
      <w:r w:rsidRPr="00C816F0">
        <w:rPr>
          <w:i/>
          <w:iCs/>
        </w:rPr>
        <w:t>PLMR Report and Order</w:t>
      </w:r>
      <w:r w:rsidRPr="00972069">
        <w:t xml:space="preserve">.  </w:t>
      </w:r>
      <w:bookmarkStart w:id="44" w:name="_Toc720571"/>
      <w:bookmarkStart w:id="45" w:name="_Toc17041005"/>
      <w:bookmarkStart w:id="46" w:name="_Toc17114460"/>
      <w:bookmarkStart w:id="47" w:name="_Toc17128789"/>
      <w:bookmarkStart w:id="48" w:name="_Toc17192234"/>
      <w:bookmarkStart w:id="49" w:name="_Toc19029025"/>
      <w:bookmarkStart w:id="50" w:name="_Toc19104735"/>
      <w:bookmarkStart w:id="51" w:name="_Toc21368839"/>
      <w:bookmarkStart w:id="52" w:name="_Toc21369045"/>
    </w:p>
    <w:p w:rsidR="00C816F0" w:rsidRPr="00972069" w:rsidP="00C816F0" w14:paraId="1FD93147" w14:textId="77777777">
      <w:pPr>
        <w:pStyle w:val="Heading2"/>
      </w:pPr>
      <w:r w:rsidRPr="00972069">
        <w:t xml:space="preserve">Use of Interference Contours vs. Coverage Contours </w:t>
      </w:r>
      <w:r>
        <w:t xml:space="preserve">for </w:t>
      </w:r>
      <w:r w:rsidRPr="00972069">
        <w:t>Interference Analysis</w:t>
      </w:r>
      <w:bookmarkEnd w:id="44"/>
      <w:bookmarkEnd w:id="45"/>
      <w:bookmarkEnd w:id="46"/>
      <w:bookmarkEnd w:id="47"/>
      <w:bookmarkEnd w:id="48"/>
      <w:bookmarkEnd w:id="49"/>
      <w:bookmarkEnd w:id="50"/>
      <w:bookmarkEnd w:id="51"/>
      <w:bookmarkEnd w:id="52"/>
    </w:p>
    <w:p w:rsidR="00C816F0" w:rsidRPr="00972069" w:rsidP="00C816F0" w14:paraId="6A444708" w14:textId="77777777">
      <w:pPr>
        <w:pStyle w:val="ParaNum"/>
      </w:pPr>
      <w:r>
        <w:t xml:space="preserve">In the </w:t>
      </w:r>
      <w:r w:rsidRPr="000321FD">
        <w:rPr>
          <w:i/>
          <w:iCs/>
        </w:rPr>
        <w:t>PLMR Report and Order</w:t>
      </w:r>
      <w:r>
        <w:t>, the Commission considered—and rejected—</w:t>
      </w:r>
      <w:r w:rsidRPr="00972069">
        <w:t>LMCC</w:t>
      </w:r>
      <w:r>
        <w:t>’s</w:t>
      </w:r>
      <w:r w:rsidRPr="00972069">
        <w:t xml:space="preserve"> propos</w:t>
      </w:r>
      <w:r>
        <w:t xml:space="preserve">al to allow interstitial channel applicants to </w:t>
      </w:r>
      <w:r w:rsidRPr="00972069">
        <w:t>use coverage contours rather than interference contours when determining whether a</w:t>
      </w:r>
      <w:r>
        <w:t xml:space="preserve"> proposed </w:t>
      </w:r>
      <w:r w:rsidRPr="00972069">
        <w:t xml:space="preserve">interstitial </w:t>
      </w:r>
      <w:r>
        <w:t xml:space="preserve">station is likely to </w:t>
      </w:r>
      <w:r w:rsidRPr="00972069">
        <w:t xml:space="preserve">cause interference to an adjacent channel incumbent.  </w:t>
      </w:r>
      <w:r>
        <w:t>Because t</w:t>
      </w:r>
      <w:r w:rsidRPr="00972069">
        <w:t xml:space="preserve">he coverage contour of any station always extends a lesser distance from the station than the interference contour, </w:t>
      </w:r>
      <w:r>
        <w:t xml:space="preserve">the Commission </w:t>
      </w:r>
      <w:r w:rsidRPr="00972069">
        <w:t xml:space="preserve">concluded that use of </w:t>
      </w:r>
      <w:r>
        <w:t xml:space="preserve">the applicant’s </w:t>
      </w:r>
      <w:r w:rsidRPr="00972069">
        <w:t xml:space="preserve">coverage contour </w:t>
      </w:r>
      <w:r>
        <w:t>to predict</w:t>
      </w:r>
      <w:r w:rsidRPr="00972069">
        <w:t xml:space="preserve"> interference would significantly understate </w:t>
      </w:r>
      <w:r>
        <w:t xml:space="preserve">potential </w:t>
      </w:r>
      <w:r w:rsidRPr="00972069">
        <w:t>interference to an incumbent.</w:t>
      </w:r>
      <w:r>
        <w:t xml:space="preserve">  </w:t>
      </w:r>
      <w:r w:rsidRPr="00972069">
        <w:t xml:space="preserve">Accordingly, the </w:t>
      </w:r>
      <w:r w:rsidRPr="00972069">
        <w:rPr>
          <w:i/>
        </w:rPr>
        <w:t>PLMR Report and Order</w:t>
      </w:r>
      <w:r w:rsidRPr="00972069">
        <w:rPr>
          <w:iCs/>
        </w:rPr>
        <w:t xml:space="preserve"> rejected LMCC’s proposal.</w:t>
      </w:r>
      <w:r>
        <w:rPr>
          <w:iCs/>
          <w:sz w:val="20"/>
          <w:vertAlign w:val="superscript"/>
        </w:rPr>
        <w:footnoteReference w:id="17"/>
      </w:r>
      <w:r w:rsidRPr="00972069">
        <w:rPr>
          <w:iCs/>
        </w:rPr>
        <w:t xml:space="preserve">  </w:t>
      </w:r>
    </w:p>
    <w:p w:rsidR="00C816F0" w:rsidRPr="00972069" w:rsidP="00C816F0" w14:paraId="586600BB" w14:textId="77777777">
      <w:pPr>
        <w:pStyle w:val="ParaNum"/>
      </w:pPr>
      <w:r>
        <w:t xml:space="preserve">In its Petition, </w:t>
      </w:r>
      <w:r w:rsidRPr="00972069">
        <w:t xml:space="preserve">LMCC </w:t>
      </w:r>
      <w:r>
        <w:t>seeks reconsideration of this decision, s</w:t>
      </w:r>
      <w:r w:rsidRPr="00972069">
        <w:t>tat</w:t>
      </w:r>
      <w:r>
        <w:t xml:space="preserve">ing </w:t>
      </w:r>
      <w:r w:rsidRPr="00972069">
        <w:t xml:space="preserve">that its proposed </w:t>
      </w:r>
      <w:r>
        <w:t xml:space="preserve">use of </w:t>
      </w:r>
      <w:r w:rsidRPr="00972069">
        <w:t xml:space="preserve">coverage </w:t>
      </w:r>
      <w:r>
        <w:t xml:space="preserve">contours </w:t>
      </w:r>
      <w:r w:rsidRPr="00972069">
        <w:t xml:space="preserve">to </w:t>
      </w:r>
      <w:r>
        <w:t xml:space="preserve">predict </w:t>
      </w:r>
      <w:r w:rsidRPr="00972069">
        <w:t xml:space="preserve">interference </w:t>
      </w:r>
      <w:r>
        <w:t xml:space="preserve">is </w:t>
      </w:r>
      <w:r w:rsidRPr="00972069">
        <w:t>“based on carefully considered theoretical analyses and empirical data</w:t>
      </w:r>
      <w:r>
        <w:t>.</w:t>
      </w:r>
      <w:r w:rsidRPr="00972069">
        <w:t>”</w:t>
      </w:r>
      <w:r>
        <w:rPr>
          <w:sz w:val="20"/>
          <w:vertAlign w:val="superscript"/>
        </w:rPr>
        <w:footnoteReference w:id="18"/>
      </w:r>
      <w:r w:rsidRPr="00972069">
        <w:t xml:space="preserve"> </w:t>
      </w:r>
      <w:r>
        <w:t xml:space="preserve"> However, LMCC has provided </w:t>
      </w:r>
      <w:r w:rsidRPr="00972069">
        <w:t>no theoretical analys</w:t>
      </w:r>
      <w:r>
        <w:t>i</w:t>
      </w:r>
      <w:r w:rsidRPr="00972069">
        <w:t xml:space="preserve">s or empirical data in </w:t>
      </w:r>
      <w:r>
        <w:t>support of this assertion</w:t>
      </w:r>
      <w:r w:rsidRPr="00972069">
        <w:t xml:space="preserve">.  </w:t>
      </w:r>
      <w:r>
        <w:t xml:space="preserve">LMCC also cites a case in which the Commission </w:t>
      </w:r>
      <w:r w:rsidRPr="00972069">
        <w:t xml:space="preserve">approved use of coverage </w:t>
      </w:r>
      <w:r>
        <w:t>contours f</w:t>
      </w:r>
      <w:r w:rsidRPr="00972069">
        <w:t xml:space="preserve">or </w:t>
      </w:r>
      <w:r>
        <w:t>interfere</w:t>
      </w:r>
      <w:r w:rsidRPr="00972069">
        <w:t>nce analysis</w:t>
      </w:r>
      <w:r>
        <w:t xml:space="preserve"> when the proposed stations are less than 15 kilometers apart.</w:t>
      </w:r>
      <w:r>
        <w:rPr>
          <w:vertAlign w:val="superscript"/>
        </w:rPr>
        <w:footnoteReference w:id="19"/>
      </w:r>
      <w:r>
        <w:t xml:space="preserve">  </w:t>
      </w:r>
      <w:r w:rsidRPr="000321FD">
        <w:t>The Commission has not, however, approved use</w:t>
      </w:r>
      <w:r>
        <w:t xml:space="preserve"> of</w:t>
      </w:r>
      <w:r w:rsidRPr="000321FD">
        <w:t xml:space="preserve"> </w:t>
      </w:r>
      <w:r>
        <w:t xml:space="preserve">coverage contours </w:t>
      </w:r>
      <w:r w:rsidRPr="000321FD">
        <w:t>for coordination of stations more than 15 kilometers apart, which is typically required in coordinating land mobile radio stations</w:t>
      </w:r>
      <w:r>
        <w:t>,</w:t>
      </w:r>
      <w:r>
        <w:rPr>
          <w:rStyle w:val="FootnoteReference"/>
        </w:rPr>
        <w:footnoteReference w:id="20"/>
      </w:r>
      <w:r w:rsidRPr="000321FD">
        <w:t xml:space="preserve"> </w:t>
      </w:r>
      <w:r>
        <w:t xml:space="preserve">and LMCC has cited no </w:t>
      </w:r>
      <w:r>
        <w:t xml:space="preserve">other authority for its proposal.  </w:t>
      </w:r>
      <w:r w:rsidRPr="00972069">
        <w:t xml:space="preserve">Accordingly, we continue to reject LMCC’s suggestion that we use coverage </w:t>
      </w:r>
      <w:r>
        <w:t xml:space="preserve">contours </w:t>
      </w:r>
      <w:r w:rsidRPr="00972069">
        <w:t>to predict interference because doing so would substantially understate the amount of interference a proposed station would cause to incumbent stations and would constrain incumbents’ interference-free coverage areas.</w:t>
      </w:r>
      <w:r>
        <w:rPr>
          <w:sz w:val="20"/>
          <w:vertAlign w:val="superscript"/>
        </w:rPr>
        <w:footnoteReference w:id="21"/>
      </w:r>
      <w:r w:rsidRPr="00972069">
        <w:t xml:space="preserve">   </w:t>
      </w:r>
    </w:p>
    <w:p w:rsidR="00C816F0" w:rsidRPr="00972069" w:rsidP="00C816F0" w14:paraId="5C36E551" w14:textId="77777777">
      <w:pPr>
        <w:pStyle w:val="ParaNum"/>
      </w:pPr>
      <w:bookmarkStart w:id="53" w:name="_Hlk5800845"/>
      <w:r>
        <w:t xml:space="preserve">As an alternative proposal, </w:t>
      </w:r>
      <w:r w:rsidRPr="00972069">
        <w:t xml:space="preserve">LMCC </w:t>
      </w:r>
      <w:r>
        <w:t>has submitted a supplemental filing with a revised matrix</w:t>
      </w:r>
      <w:r w:rsidRPr="00972069">
        <w:t xml:space="preserve"> </w:t>
      </w:r>
      <w:r>
        <w:t>that use</w:t>
      </w:r>
      <w:r w:rsidRPr="00972069">
        <w:t xml:space="preserve">s contour values consistent with employing </w:t>
      </w:r>
      <w:r>
        <w:t>i</w:t>
      </w:r>
      <w:r w:rsidRPr="00972069">
        <w:t xml:space="preserve">nterference </w:t>
      </w:r>
      <w:r>
        <w:t xml:space="preserve">contours </w:t>
      </w:r>
      <w:r w:rsidRPr="00972069">
        <w:t>rather than coverage c</w:t>
      </w:r>
      <w:r>
        <w:t xml:space="preserve">ontours to predict </w:t>
      </w:r>
      <w:r w:rsidRPr="00972069">
        <w:t>interference</w:t>
      </w:r>
      <w:r>
        <w:t>.</w:t>
      </w:r>
      <w:r w:rsidRPr="007D283D">
        <w:rPr>
          <w:vertAlign w:val="superscript"/>
        </w:rPr>
        <w:t xml:space="preserve"> </w:t>
      </w:r>
      <w:r>
        <w:rPr>
          <w:vertAlign w:val="superscript"/>
        </w:rPr>
        <w:footnoteReference w:id="22"/>
      </w:r>
      <w:r>
        <w:t xml:space="preserve">  LMCC proposes that this matrix be incorporated into the rules </w:t>
      </w:r>
      <w:r w:rsidRPr="00972069">
        <w:t xml:space="preserve">if the Commission continues to </w:t>
      </w:r>
      <w:r>
        <w:t xml:space="preserve">require use of interference contours </w:t>
      </w:r>
      <w:r w:rsidRPr="00972069">
        <w:t xml:space="preserve">to </w:t>
      </w:r>
      <w:r>
        <w:t>coordinate interstitial channel applications</w:t>
      </w:r>
      <w:r w:rsidRPr="00972069">
        <w:t>.</w:t>
      </w:r>
      <w:r>
        <w:rPr>
          <w:sz w:val="20"/>
          <w:vertAlign w:val="superscript"/>
        </w:rPr>
        <w:footnoteReference w:id="23"/>
      </w:r>
      <w:r w:rsidRPr="00972069">
        <w:t xml:space="preserve">  Upon review</w:t>
      </w:r>
      <w:r>
        <w:t>,</w:t>
      </w:r>
      <w:r w:rsidRPr="00972069">
        <w:t xml:space="preserve"> we find that </w:t>
      </w:r>
      <w:r>
        <w:t xml:space="preserve">the values in </w:t>
      </w:r>
      <w:r w:rsidRPr="00972069">
        <w:t xml:space="preserve">LMCC’s revised matrix </w:t>
      </w:r>
      <w:r>
        <w:t xml:space="preserve">provide sufficient </w:t>
      </w:r>
      <w:r w:rsidRPr="00972069">
        <w:t>assur</w:t>
      </w:r>
      <w:r>
        <w:t>ance</w:t>
      </w:r>
      <w:r w:rsidRPr="00972069">
        <w:t xml:space="preserve"> that interstitial channels may be implemented without causing interference to, or receiving interference from, incumbent stations.  We therefore </w:t>
      </w:r>
      <w:r>
        <w:t xml:space="preserve">include </w:t>
      </w:r>
      <w:r w:rsidRPr="00972069">
        <w:t>the revised matrix</w:t>
      </w:r>
      <w:r>
        <w:t xml:space="preserve"> in </w:t>
      </w:r>
      <w:bookmarkStart w:id="54" w:name="_Toc720572"/>
      <w:bookmarkEnd w:id="53"/>
      <w:r w:rsidRPr="00972069">
        <w:t>the amended rules.</w:t>
      </w:r>
      <w:r>
        <w:rPr>
          <w:rStyle w:val="FootnoteReference"/>
        </w:rPr>
        <w:footnoteReference w:id="24"/>
      </w:r>
      <w:r w:rsidRPr="00972069">
        <w:t xml:space="preserve">  </w:t>
      </w:r>
    </w:p>
    <w:p w:rsidR="00C816F0" w:rsidRPr="00E818BC" w:rsidP="00C816F0" w14:paraId="41083708" w14:textId="77777777">
      <w:pPr>
        <w:keepNext/>
        <w:widowControl/>
        <w:numPr>
          <w:ilvl w:val="1"/>
          <w:numId w:val="3"/>
        </w:numPr>
        <w:spacing w:after="120"/>
        <w:outlineLvl w:val="1"/>
        <w:rPr>
          <w:b/>
        </w:rPr>
      </w:pPr>
      <w:bookmarkStart w:id="55" w:name="_Toc21368614"/>
      <w:bookmarkStart w:id="56" w:name="_Toc21368840"/>
      <w:bookmarkStart w:id="57" w:name="_Toc21369046"/>
      <w:bookmarkStart w:id="58" w:name="_Toc19029026"/>
      <w:bookmarkStart w:id="59" w:name="_Toc19104736"/>
      <w:bookmarkEnd w:id="54"/>
      <w:r w:rsidRPr="00972069">
        <w:rPr>
          <w:b/>
        </w:rPr>
        <w:t>The Administrative Procedure Act Precludes Giving the LMCC Authority to Modify a Commission Rule</w:t>
      </w:r>
      <w:bookmarkEnd w:id="55"/>
      <w:bookmarkEnd w:id="56"/>
      <w:bookmarkEnd w:id="57"/>
      <w:r w:rsidRPr="00972069">
        <w:rPr>
          <w:b/>
        </w:rPr>
        <w:t xml:space="preserve"> </w:t>
      </w:r>
      <w:bookmarkEnd w:id="58"/>
      <w:bookmarkEnd w:id="59"/>
    </w:p>
    <w:p w:rsidR="00C816F0" w:rsidRPr="00972069" w:rsidP="00C816F0" w14:paraId="7334093E" w14:textId="77777777">
      <w:pPr>
        <w:pStyle w:val="ParaNum"/>
        <w:rPr>
          <w:i/>
        </w:rPr>
      </w:pPr>
      <w:r w:rsidRPr="00E818BC">
        <w:t xml:space="preserve">In the </w:t>
      </w:r>
      <w:r w:rsidRPr="00E818BC">
        <w:rPr>
          <w:i/>
          <w:iCs/>
        </w:rPr>
        <w:t>PLMR Report and Order</w:t>
      </w:r>
      <w:r w:rsidRPr="00972069">
        <w:t xml:space="preserve">, the Commission amended </w:t>
      </w:r>
      <w:r>
        <w:t>the</w:t>
      </w:r>
      <w:r w:rsidRPr="00972069">
        <w:t xml:space="preserve"> rules to require that interference contours be determined using a matrix containing the </w:t>
      </w:r>
      <w:r w:rsidRPr="00972069">
        <w:t>dBu</w:t>
      </w:r>
      <w:r w:rsidRPr="00972069">
        <w:t xml:space="preserve"> levels for certain technology combinations.</w:t>
      </w:r>
      <w:r>
        <w:rPr>
          <w:sz w:val="20"/>
          <w:vertAlign w:val="superscript"/>
        </w:rPr>
        <w:footnoteReference w:id="25"/>
      </w:r>
      <w:r w:rsidRPr="00972069">
        <w:t xml:space="preserve">  </w:t>
      </w:r>
      <w:bookmarkStart w:id="60" w:name="_Hlk35870367"/>
      <w:r w:rsidRPr="00972069">
        <w:t xml:space="preserve">LMCC reiterates its request, rejected </w:t>
      </w:r>
      <w:r>
        <w:t xml:space="preserve">in the </w:t>
      </w:r>
      <w:r w:rsidRPr="000321FD">
        <w:rPr>
          <w:i/>
          <w:iCs/>
        </w:rPr>
        <w:t>PLMR Report and Order</w:t>
      </w:r>
      <w:r w:rsidRPr="00972069">
        <w:t>,</w:t>
      </w:r>
      <w:r>
        <w:rPr>
          <w:sz w:val="20"/>
          <w:vertAlign w:val="superscript"/>
        </w:rPr>
        <w:footnoteReference w:id="26"/>
      </w:r>
      <w:r w:rsidRPr="00972069">
        <w:t xml:space="preserve"> that instead of codifying the matrix in the rules, the Commission should allow applicants to use </w:t>
      </w:r>
      <w:r>
        <w:t xml:space="preserve">a </w:t>
      </w:r>
      <w:r w:rsidRPr="00972069">
        <w:t>matrix posted on the LMCC website, which LMCC could periodically update to reflect new technology developments</w:t>
      </w:r>
      <w:bookmarkEnd w:id="60"/>
      <w:r w:rsidRPr="00972069">
        <w:t>.</w:t>
      </w:r>
      <w:r>
        <w:rPr>
          <w:sz w:val="20"/>
          <w:vertAlign w:val="superscript"/>
        </w:rPr>
        <w:footnoteReference w:id="27"/>
      </w:r>
      <w:r w:rsidRPr="00972069">
        <w:t xml:space="preserve">  LMCC asserts that this approach is consistent with other proceedings in which the Commission has applied LMCC’s coordination protocols in evaluating various types of applications,</w:t>
      </w:r>
      <w:r>
        <w:rPr>
          <w:sz w:val="20"/>
          <w:vertAlign w:val="superscript"/>
        </w:rPr>
        <w:footnoteReference w:id="28"/>
      </w:r>
      <w:r w:rsidRPr="00972069">
        <w:t xml:space="preserve"> and that it would allow the coordination process to be updated without the delay inherent in a rulemaking proceeding.</w:t>
      </w:r>
      <w:r>
        <w:rPr>
          <w:vertAlign w:val="superscript"/>
        </w:rPr>
        <w:footnoteReference w:id="29"/>
      </w:r>
      <w:r w:rsidRPr="00972069">
        <w:t xml:space="preserve">  </w:t>
      </w:r>
    </w:p>
    <w:p w:rsidR="00C816F0" w:rsidRPr="00972069" w:rsidP="00C816F0" w14:paraId="2E537979" w14:textId="77777777">
      <w:pPr>
        <w:pStyle w:val="ParaNum"/>
      </w:pPr>
      <w:r w:rsidRPr="00972069">
        <w:t xml:space="preserve">Consistent with our determination in the </w:t>
      </w:r>
      <w:r w:rsidRPr="00972069">
        <w:rPr>
          <w:i/>
        </w:rPr>
        <w:t>PLMR Report and Order</w:t>
      </w:r>
      <w:r w:rsidRPr="00972069">
        <w:t>,</w:t>
      </w:r>
      <w:r>
        <w:rPr>
          <w:sz w:val="20"/>
          <w:vertAlign w:val="superscript"/>
        </w:rPr>
        <w:footnoteReference w:id="30"/>
      </w:r>
      <w:r w:rsidRPr="00972069">
        <w:t xml:space="preserve"> we find that the LMCC proposal is precluded by the notice and comment provisions of the Administrative Procedure Act and would be an inappropriate sub-delegation of Commission rulemaking authority to LMCC.</w:t>
      </w:r>
      <w:r>
        <w:rPr>
          <w:vertAlign w:val="superscript"/>
        </w:rPr>
        <w:footnoteReference w:id="31"/>
      </w:r>
      <w:r w:rsidRPr="00972069">
        <w:t xml:space="preserve">  As the history of this proceeding demonstrates, controversy arose over the appropriate methodology </w:t>
      </w:r>
      <w:r>
        <w:t>for</w:t>
      </w:r>
      <w:r w:rsidRPr="00972069">
        <w:t xml:space="preserve"> assessing potential interference</w:t>
      </w:r>
      <w:r>
        <w:t>—</w:t>
      </w:r>
      <w:r w:rsidRPr="00972069">
        <w:t xml:space="preserve">controversy that was properly resolved under the notice and comment provisions of the APA.  Under LMCC’s proposal, however, the Commission would delegate to LMCC the </w:t>
      </w:r>
      <w:r>
        <w:t xml:space="preserve">unilateral </w:t>
      </w:r>
      <w:r w:rsidRPr="00972069">
        <w:t xml:space="preserve">authority </w:t>
      </w:r>
      <w:r>
        <w:t xml:space="preserve">to </w:t>
      </w:r>
      <w:r w:rsidRPr="00972069">
        <w:t>modify</w:t>
      </w:r>
      <w:r>
        <w:t xml:space="preserve"> a key element of </w:t>
      </w:r>
      <w:r w:rsidRPr="00972069">
        <w:t>the Commission’s rules</w:t>
      </w:r>
      <w:r>
        <w:t xml:space="preserve">.  Because the Commission has adopted rules in this case specifying the coordination method to be used for interstitial applications, </w:t>
      </w:r>
      <w:r w:rsidRPr="00972069">
        <w:t xml:space="preserve">LMCC’s proposal differs from instances in which the Commission has </w:t>
      </w:r>
      <w:r>
        <w:t xml:space="preserve">adopted rules </w:t>
      </w:r>
      <w:r w:rsidRPr="00972069">
        <w:t>allow</w:t>
      </w:r>
      <w:r>
        <w:t>ing</w:t>
      </w:r>
      <w:r w:rsidRPr="00972069">
        <w:t xml:space="preserve"> applicants to predict interference using </w:t>
      </w:r>
      <w:r>
        <w:t>“</w:t>
      </w:r>
      <w:r w:rsidRPr="00972069">
        <w:rPr>
          <w:bCs/>
        </w:rPr>
        <w:t>generally</w:t>
      </w:r>
      <w:r>
        <w:t xml:space="preserve"> </w:t>
      </w:r>
      <w:r w:rsidRPr="00972069">
        <w:rPr>
          <w:bCs/>
        </w:rPr>
        <w:t>accepted</w:t>
      </w:r>
      <w:r>
        <w:rPr>
          <w:bCs/>
        </w:rPr>
        <w:t>”</w:t>
      </w:r>
      <w:r w:rsidRPr="00972069">
        <w:t xml:space="preserve"> propagation models.</w:t>
      </w:r>
      <w:r>
        <w:rPr>
          <w:sz w:val="20"/>
          <w:vertAlign w:val="superscript"/>
        </w:rPr>
        <w:footnoteReference w:id="32"/>
      </w:r>
      <w:r w:rsidRPr="00972069">
        <w:t xml:space="preserve">  Here, the Commission has promulgated rules requiring that a specific methodology be used</w:t>
      </w:r>
      <w:r>
        <w:t>—</w:t>
      </w:r>
      <w:r w:rsidRPr="00972069">
        <w:t>not “generally accepted” methodology</w:t>
      </w:r>
      <w:r>
        <w:t>—</w:t>
      </w:r>
      <w:r w:rsidRPr="00972069">
        <w:t xml:space="preserve">and we may not grant authority to an external party to amend our specific rules.   </w:t>
      </w:r>
    </w:p>
    <w:p w:rsidR="00C816F0" w:rsidRPr="00972069" w:rsidP="00C816F0" w14:paraId="5367EACD" w14:textId="77777777">
      <w:pPr>
        <w:keepNext/>
        <w:keepLines/>
        <w:widowControl/>
        <w:numPr>
          <w:ilvl w:val="1"/>
          <w:numId w:val="3"/>
        </w:numPr>
        <w:spacing w:after="120"/>
        <w:outlineLvl w:val="1"/>
        <w:rPr>
          <w:b/>
        </w:rPr>
      </w:pPr>
      <w:bookmarkStart w:id="61" w:name="_Toc21368838"/>
      <w:bookmarkStart w:id="62" w:name="_Toc21369044"/>
      <w:bookmarkStart w:id="63" w:name="_Toc720570"/>
      <w:bookmarkStart w:id="64" w:name="_Toc17041004"/>
      <w:bookmarkStart w:id="65" w:name="_Toc17114459"/>
      <w:bookmarkStart w:id="66" w:name="_Toc17128788"/>
      <w:bookmarkStart w:id="67" w:name="_Toc17192233"/>
      <w:bookmarkStart w:id="68" w:name="_Toc19029024"/>
      <w:bookmarkStart w:id="69" w:name="_Toc19104734"/>
      <w:bookmarkStart w:id="70" w:name="_Hlk30959848"/>
      <w:r w:rsidRPr="00972069">
        <w:rPr>
          <w:b/>
        </w:rPr>
        <w:t>When Calculating the Coverage Contour of an Incumbent Station, Applicants Must Assume that the Incumbent Station Operates at Maximum Effective Radiated Power</w:t>
      </w:r>
      <w:bookmarkEnd w:id="61"/>
      <w:bookmarkEnd w:id="62"/>
      <w:r w:rsidRPr="00972069">
        <w:rPr>
          <w:b/>
        </w:rPr>
        <w:t xml:space="preserve"> </w:t>
      </w:r>
      <w:bookmarkEnd w:id="63"/>
      <w:bookmarkEnd w:id="64"/>
      <w:bookmarkEnd w:id="65"/>
      <w:bookmarkEnd w:id="66"/>
      <w:bookmarkEnd w:id="67"/>
      <w:bookmarkEnd w:id="68"/>
      <w:bookmarkEnd w:id="69"/>
    </w:p>
    <w:p w:rsidR="00C816F0" w:rsidP="00C816F0" w14:paraId="54A79E20" w14:textId="77777777">
      <w:pPr>
        <w:pStyle w:val="ParaNum"/>
      </w:pPr>
      <w:r w:rsidRPr="00972069">
        <w:t xml:space="preserve">Footnote 3 to the </w:t>
      </w:r>
      <w:r>
        <w:t>s</w:t>
      </w:r>
      <w:r w:rsidRPr="00972069">
        <w:t>hort-</w:t>
      </w:r>
      <w:r>
        <w:t>s</w:t>
      </w:r>
      <w:r w:rsidRPr="00972069">
        <w:t xml:space="preserve">pacing </w:t>
      </w:r>
      <w:r>
        <w:t>s</w:t>
      </w:r>
      <w:r w:rsidRPr="00972069">
        <w:t xml:space="preserve">eparation </w:t>
      </w:r>
      <w:r>
        <w:t>t</w:t>
      </w:r>
      <w:r w:rsidRPr="00972069">
        <w:t xml:space="preserve">able contained at the end of section 90.621(b)(4) of the Commission’s rules states, </w:t>
      </w:r>
      <w:r w:rsidRPr="00972069">
        <w:rPr>
          <w:i/>
        </w:rPr>
        <w:t>inter alia</w:t>
      </w:r>
      <w:r w:rsidRPr="00972069">
        <w:t xml:space="preserve">, that when PLMR applicants calculate contour overlap, they must assume that co-channel </w:t>
      </w:r>
      <w:bookmarkStart w:id="71" w:name="_Hlk35871033"/>
      <w:r w:rsidRPr="00972069">
        <w:t xml:space="preserve">incumbent stations </w:t>
      </w:r>
      <w:r>
        <w:t xml:space="preserve">are </w:t>
      </w:r>
      <w:r w:rsidRPr="00972069">
        <w:t>operat</w:t>
      </w:r>
      <w:r>
        <w:t>ing</w:t>
      </w:r>
      <w:r w:rsidRPr="00972069">
        <w:t xml:space="preserve"> </w:t>
      </w:r>
      <w:r>
        <w:t xml:space="preserve">at the </w:t>
      </w:r>
      <w:r w:rsidRPr="00972069">
        <w:t xml:space="preserve">maximum </w:t>
      </w:r>
      <w:r>
        <w:t xml:space="preserve">permitted </w:t>
      </w:r>
      <w:bookmarkStart w:id="72" w:name="_Hlk34730034"/>
      <w:r w:rsidRPr="00972069">
        <w:t>effective radiated power</w:t>
      </w:r>
      <w:r>
        <w:t xml:space="preserve"> associated with the station’s licensed antenna height</w:t>
      </w:r>
      <w:bookmarkEnd w:id="71"/>
      <w:r w:rsidRPr="00972069">
        <w:t>.</w:t>
      </w:r>
      <w:r>
        <w:rPr>
          <w:vertAlign w:val="superscript"/>
        </w:rPr>
        <w:footnoteReference w:id="33"/>
      </w:r>
      <w:r w:rsidRPr="00972069">
        <w:t xml:space="preserve">  </w:t>
      </w:r>
      <w:r>
        <w:t xml:space="preserve">Requiring applicants to assume that an </w:t>
      </w:r>
      <w:r w:rsidRPr="00972069">
        <w:t>incumbent co-channel station</w:t>
      </w:r>
      <w:r>
        <w:t xml:space="preserve"> is operating at maximum </w:t>
      </w:r>
      <w:r w:rsidRPr="00972069">
        <w:t>effective radiated power</w:t>
      </w:r>
      <w:r>
        <w:t xml:space="preserve"> provides flexibility for incumbents </w:t>
      </w:r>
      <w:r w:rsidRPr="00972069">
        <w:t xml:space="preserve">operating at less than </w:t>
      </w:r>
      <w:r>
        <w:t xml:space="preserve">the </w:t>
      </w:r>
      <w:r w:rsidRPr="00972069">
        <w:t xml:space="preserve">maximum to increase their effective radiated power, and hence their coverage area, in the future without causing or incurring harmful interference relative to nearby co-channel licensees.  </w:t>
      </w:r>
    </w:p>
    <w:p w:rsidR="00C816F0" w:rsidRPr="006654CF" w:rsidP="00C816F0" w14:paraId="3D6A21CB" w14:textId="77777777">
      <w:pPr>
        <w:pStyle w:val="ParaNum"/>
        <w:widowControl/>
        <w:rPr>
          <w:rFonts w:eastAsia="Calibri"/>
          <w:snapToGrid/>
          <w:kern w:val="0"/>
          <w:szCs w:val="22"/>
        </w:rPr>
      </w:pPr>
      <w:r w:rsidRPr="00972069">
        <w:t xml:space="preserve">LMCC asks that we </w:t>
      </w:r>
      <w:r>
        <w:t xml:space="preserve">modify the footnote to expressly </w:t>
      </w:r>
      <w:r w:rsidRPr="00972069">
        <w:t xml:space="preserve">require </w:t>
      </w:r>
      <w:r>
        <w:t xml:space="preserve">interstitial </w:t>
      </w:r>
      <w:r w:rsidRPr="00972069">
        <w:t>applicants to make the same assumption with respect to adjacent channel incumbent stations.</w:t>
      </w:r>
      <w:r>
        <w:rPr>
          <w:vertAlign w:val="superscript"/>
        </w:rPr>
        <w:footnoteReference w:id="34"/>
      </w:r>
      <w:r w:rsidRPr="00972069">
        <w:t xml:space="preserve">  </w:t>
      </w:r>
      <w:bookmarkEnd w:id="72"/>
      <w:r w:rsidRPr="00972069">
        <w:t xml:space="preserve">We </w:t>
      </w:r>
      <w:r>
        <w:t xml:space="preserve">agree with LMCC that applicants for interstitial channels should make the same assumption with respect </w:t>
      </w:r>
      <w:r w:rsidRPr="00972069">
        <w:t>to adjacent channel incumbents</w:t>
      </w:r>
      <w:r>
        <w:t xml:space="preserve"> when calculating the potential of the new station to cause interference to the incumbent</w:t>
      </w:r>
      <w:r w:rsidRPr="00972069">
        <w:t xml:space="preserve">.  </w:t>
      </w:r>
    </w:p>
    <w:p w:rsidR="00C816F0" w:rsidRPr="006654CF" w:rsidP="00C816F0" w14:paraId="2B9F3F5D" w14:textId="77777777">
      <w:pPr>
        <w:pStyle w:val="ParaNum"/>
        <w:widowControl/>
        <w:rPr>
          <w:rFonts w:eastAsia="Calibri"/>
          <w:snapToGrid/>
          <w:kern w:val="0"/>
          <w:szCs w:val="22"/>
        </w:rPr>
      </w:pPr>
      <w:r>
        <w:t xml:space="preserve">LMCC also proposes that when calculating the potential for a proposed station to </w:t>
      </w:r>
      <w:r w:rsidRPr="006654CF">
        <w:rPr>
          <w:i/>
          <w:iCs/>
        </w:rPr>
        <w:t xml:space="preserve">receive </w:t>
      </w:r>
      <w:r>
        <w:t xml:space="preserve">interference from an adjacent channel incumbent (referred to as “reciprocal analysis”), it should be </w:t>
      </w:r>
      <w:r w:rsidRPr="00972069">
        <w:t>assum</w:t>
      </w:r>
      <w:r>
        <w:t xml:space="preserve">ed </w:t>
      </w:r>
      <w:r w:rsidRPr="00972069">
        <w:t>that the proposed station will operate at maximum effective radiated power</w:t>
      </w:r>
      <w:r>
        <w:t xml:space="preserve"> for </w:t>
      </w:r>
      <w:r w:rsidRPr="00972069">
        <w:t>its proposed antenna height.</w:t>
      </w:r>
      <w:r>
        <w:rPr>
          <w:sz w:val="20"/>
          <w:vertAlign w:val="superscript"/>
        </w:rPr>
        <w:footnoteReference w:id="35"/>
      </w:r>
      <w:r w:rsidRPr="00972069">
        <w:t xml:space="preserve"> </w:t>
      </w:r>
      <w:r>
        <w:t xml:space="preserve"> We do not agree with this element of LMCC’s proposal, which could artificially </w:t>
      </w:r>
      <w:r w:rsidRPr="00D60E26">
        <w:t xml:space="preserve">constrain the </w:t>
      </w:r>
      <w:r>
        <w:t xml:space="preserve">availability of </w:t>
      </w:r>
      <w:r w:rsidRPr="00D60E26">
        <w:t>interstitial channels</w:t>
      </w:r>
      <w:r>
        <w:t xml:space="preserve"> even where applicants propose to operate at less than </w:t>
      </w:r>
      <w:r>
        <w:t xml:space="preserve">maximum power. </w:t>
      </w:r>
      <w:r w:rsidRPr="00D60E26">
        <w:t xml:space="preserve"> </w:t>
      </w:r>
      <w:r w:rsidRPr="00972069">
        <w:t xml:space="preserve">We conclude that </w:t>
      </w:r>
      <w:r>
        <w:t xml:space="preserve">for purposes of reciprocal analysis, </w:t>
      </w:r>
      <w:r w:rsidRPr="00972069">
        <w:t xml:space="preserve">the proposed station’s coverage contour </w:t>
      </w:r>
      <w:r>
        <w:t xml:space="preserve">should be </w:t>
      </w:r>
      <w:r w:rsidRPr="00972069">
        <w:t>based on its proposed effective radiated power, not on a hypothetical contour that would be realized if the proposed station operated at maximum power</w:t>
      </w:r>
      <w:r>
        <w:t xml:space="preserve">, </w:t>
      </w:r>
      <w:r w:rsidRPr="0097094B">
        <w:t>while adjacent channel incumbents are assumed to operate at the maximum effective radiated power for the licensed antenna height</w:t>
      </w:r>
      <w:r w:rsidRPr="00972069">
        <w:t>.</w:t>
      </w:r>
    </w:p>
    <w:p w:rsidR="00C816F0" w:rsidRPr="00972069" w:rsidP="00C816F0" w14:paraId="174EABBA" w14:textId="77777777">
      <w:pPr>
        <w:pStyle w:val="Heading2"/>
      </w:pPr>
      <w:bookmarkStart w:id="73" w:name="_Toc17041007"/>
      <w:bookmarkStart w:id="74" w:name="_Toc17114462"/>
      <w:bookmarkStart w:id="75" w:name="_Toc17041008"/>
      <w:bookmarkStart w:id="76" w:name="_Toc17114463"/>
      <w:bookmarkStart w:id="77" w:name="_Toc17041009"/>
      <w:bookmarkStart w:id="78" w:name="_Toc17114464"/>
      <w:bookmarkStart w:id="79" w:name="_Toc17127944"/>
      <w:bookmarkStart w:id="80" w:name="_Toc17128791"/>
      <w:bookmarkStart w:id="81" w:name="_Toc17192236"/>
      <w:bookmarkStart w:id="82" w:name="_Toc19029027"/>
      <w:bookmarkStart w:id="83" w:name="_Toc19104737"/>
      <w:bookmarkStart w:id="84" w:name="_Toc21368841"/>
      <w:bookmarkStart w:id="85" w:name="_Toc21369047"/>
      <w:bookmarkEnd w:id="70"/>
      <w:bookmarkEnd w:id="73"/>
      <w:bookmarkEnd w:id="74"/>
      <w:bookmarkEnd w:id="75"/>
      <w:bookmarkEnd w:id="76"/>
      <w:r w:rsidRPr="00972069">
        <w:t xml:space="preserve">Correcting Clerical </w:t>
      </w:r>
      <w:r>
        <w:t>E</w:t>
      </w:r>
      <w:r w:rsidRPr="00972069">
        <w:t xml:space="preserve">rrors in the </w:t>
      </w:r>
      <w:r>
        <w:t>R</w:t>
      </w:r>
      <w:r w:rsidRPr="00972069">
        <w:t>ules</w:t>
      </w:r>
      <w:bookmarkEnd w:id="77"/>
      <w:bookmarkEnd w:id="78"/>
      <w:bookmarkEnd w:id="79"/>
      <w:bookmarkEnd w:id="80"/>
      <w:bookmarkEnd w:id="81"/>
      <w:bookmarkEnd w:id="82"/>
      <w:bookmarkEnd w:id="83"/>
      <w:bookmarkEnd w:id="84"/>
      <w:bookmarkEnd w:id="85"/>
    </w:p>
    <w:p w:rsidR="00C816F0" w:rsidP="00C816F0" w14:paraId="401EC959" w14:textId="77777777">
      <w:pPr>
        <w:pStyle w:val="ParaNum"/>
        <w:tabs>
          <w:tab w:val="clear" w:pos="1440"/>
        </w:tabs>
      </w:pPr>
      <w:r w:rsidRPr="00972069">
        <w:t xml:space="preserve">The </w:t>
      </w:r>
      <w:r w:rsidRPr="003B3BCE">
        <w:rPr>
          <w:i/>
        </w:rPr>
        <w:t>PLMR Report and Order</w:t>
      </w:r>
      <w:r w:rsidRPr="00972069">
        <w:t xml:space="preserve"> contained a few inadvertent errors and omissions in the rules section, which we correct here.  These corrections are solely designed to accurately reflect the selection of channel numbers specified by the text of the order.  We correct those errors and omissions without seeking notice and comment pursuant to section 553(b)(3)(B) of the </w:t>
      </w:r>
      <w:r>
        <w:t>Administrative Procedure Act,</w:t>
      </w:r>
      <w:r>
        <w:rPr>
          <w:sz w:val="20"/>
          <w:vertAlign w:val="superscript"/>
        </w:rPr>
        <w:footnoteReference w:id="36"/>
      </w:r>
      <w:r w:rsidRPr="00972069">
        <w:t xml:space="preserve"> which states that an agency for good cause may dispense with rulemaking if it finds that notice and comment are “impracticable, unnecessary, or contrary to the public interest.”</w:t>
      </w:r>
      <w:r>
        <w:rPr>
          <w:sz w:val="20"/>
          <w:vertAlign w:val="superscript"/>
        </w:rPr>
        <w:footnoteReference w:id="37"/>
      </w:r>
      <w:r w:rsidRPr="00972069">
        <w:t xml:space="preserve">  Here, notice and comment are unnecessary because making the corrections in the rules to reflect the text of the order does not have a detrimental effect on the parties regulated by the interstitial channel rules and does not alter the regulatory framework established by the </w:t>
      </w:r>
      <w:r w:rsidRPr="003B3BCE">
        <w:rPr>
          <w:i/>
        </w:rPr>
        <w:t>PLMR Report and Order.</w:t>
      </w:r>
      <w:r>
        <w:rPr>
          <w:sz w:val="20"/>
          <w:vertAlign w:val="superscript"/>
        </w:rPr>
        <w:footnoteReference w:id="38"/>
      </w:r>
      <w:r w:rsidRPr="003B3BCE">
        <w:rPr>
          <w:i/>
        </w:rPr>
        <w:t xml:space="preserve">  </w:t>
      </w:r>
      <w:r w:rsidRPr="00972069">
        <w:t>Moreover, the public interest would not be served by seeking notice and comment on the corrections because the misstatement or omission of channel numbers in the rules is plainly wrong and contrary to the text of the order.  Seeking comment on whether the obvious errors should be corrected or not would be a waste of Commission resources and would unnecessarily delay applicants’ access to interstitial channels that the Commission has determined are in the public interest given the spectrum-shortage in the 800 MHz mid-band.</w:t>
      </w:r>
    </w:p>
    <w:p w:rsidR="00C816F0" w:rsidRPr="00972069" w:rsidP="00C816F0" w14:paraId="781F3FCF" w14:textId="77777777">
      <w:pPr>
        <w:pStyle w:val="ParaNum"/>
        <w:tabs>
          <w:tab w:val="clear" w:pos="1440"/>
        </w:tabs>
      </w:pPr>
      <w:r>
        <w:t>H</w:t>
      </w:r>
      <w:r w:rsidRPr="00972069">
        <w:t>aving found notice and comment unnecessary and contrary to the public interest, we make the following corrections to the rules:</w:t>
      </w:r>
    </w:p>
    <w:p w:rsidR="00C816F0" w:rsidRPr="00972069" w:rsidP="00C816F0" w14:paraId="61DFD84A" w14:textId="77777777">
      <w:pPr>
        <w:widowControl/>
        <w:numPr>
          <w:ilvl w:val="0"/>
          <w:numId w:val="7"/>
        </w:numPr>
        <w:spacing w:after="120"/>
        <w:ind w:right="720"/>
      </w:pPr>
      <w:r w:rsidRPr="00972069">
        <w:t xml:space="preserve">Table 2A in section 90.617(b)(1) omits channels 402 and 402a but contains duplicate channels 403 and 403A.  In addition, Table 2B in section 90.617(b)(2) omits channels 296 and 296a but contains duplicate channels 295 and 295a.  </w:t>
      </w:r>
      <w:r>
        <w:t>W</w:t>
      </w:r>
      <w:r w:rsidRPr="00972069">
        <w:t>e correct both tables by inserting the missing channels and deleting the duplicate channels.</w:t>
      </w:r>
      <w:r>
        <w:rPr>
          <w:sz w:val="20"/>
          <w:vertAlign w:val="superscript"/>
        </w:rPr>
        <w:footnoteReference w:id="39"/>
      </w:r>
    </w:p>
    <w:p w:rsidR="00C816F0" w:rsidRPr="00972069" w:rsidP="00C816F0" w14:paraId="637984E5" w14:textId="77777777">
      <w:pPr>
        <w:widowControl/>
        <w:numPr>
          <w:ilvl w:val="0"/>
          <w:numId w:val="7"/>
        </w:numPr>
        <w:spacing w:after="120"/>
        <w:ind w:right="720"/>
      </w:pPr>
      <w:r w:rsidRPr="00972069">
        <w:t xml:space="preserve">The Commission explained in footnote 109 of the </w:t>
      </w:r>
      <w:r w:rsidRPr="00972069">
        <w:rPr>
          <w:i/>
        </w:rPr>
        <w:t>PLMR Report and Order</w:t>
      </w:r>
      <w:r w:rsidRPr="00972069">
        <w:t xml:space="preserve"> that it would not make interstitial channels from the Public Safety Pool available that overlap the Expansion Band since the Expansion Band was established to create spectral separation between public safety systems and high-density cellular architecture systems in the band.</w:t>
      </w:r>
      <w:r>
        <w:rPr>
          <w:sz w:val="20"/>
          <w:vertAlign w:val="superscript"/>
        </w:rPr>
        <w:footnoteReference w:id="40"/>
      </w:r>
      <w:r w:rsidRPr="00972069">
        <w:t xml:space="preserve">  The rules in the </w:t>
      </w:r>
      <w:r w:rsidRPr="00972069">
        <w:rPr>
          <w:i/>
        </w:rPr>
        <w:t>PLMR Report and Order</w:t>
      </w:r>
      <w:r w:rsidRPr="00972069">
        <w:t xml:space="preserve">, however, inadvertently added two interstitial channels (channels 370a and 390a) </w:t>
      </w:r>
      <w:r w:rsidRPr="00972069">
        <w:t>that would overlap the Expansion Band in the Southeast region.</w:t>
      </w:r>
      <w:r>
        <w:rPr>
          <w:sz w:val="20"/>
          <w:vertAlign w:val="superscript"/>
        </w:rPr>
        <w:footnoteReference w:id="41"/>
      </w:r>
      <w:r w:rsidRPr="00972069">
        <w:t xml:space="preserve">  We correct the rules by </w:t>
      </w:r>
      <w:r>
        <w:t xml:space="preserve">removing </w:t>
      </w:r>
      <w:r w:rsidRPr="00972069">
        <w:t>the two channels from the relevant tables.</w:t>
      </w:r>
      <w:r>
        <w:rPr>
          <w:sz w:val="20"/>
          <w:vertAlign w:val="superscript"/>
        </w:rPr>
        <w:footnoteReference w:id="42"/>
      </w:r>
    </w:p>
    <w:p w:rsidR="00C816F0" w:rsidRPr="00972069" w:rsidP="00C816F0" w14:paraId="47EC2241" w14:textId="77777777">
      <w:pPr>
        <w:widowControl/>
        <w:numPr>
          <w:ilvl w:val="0"/>
          <w:numId w:val="7"/>
        </w:numPr>
        <w:spacing w:after="120"/>
        <w:ind w:right="720"/>
      </w:pPr>
      <w:r w:rsidRPr="00972069">
        <w:t xml:space="preserve">The rules in the </w:t>
      </w:r>
      <w:r w:rsidRPr="00972069">
        <w:rPr>
          <w:i/>
          <w:iCs/>
        </w:rPr>
        <w:t>PLMR Report and Order</w:t>
      </w:r>
      <w:r w:rsidRPr="00972069">
        <w:t xml:space="preserve"> did not update Table A3 and sub-paragraph (ii) in section 90.619(a)(5) to indicate that the Public Safety Pool in the Sharing Zone with Mexico includes interstitial channel 315a.  </w:t>
      </w:r>
      <w:r>
        <w:t>W</w:t>
      </w:r>
      <w:r w:rsidRPr="00972069">
        <w:t>e correct Table A3 and the text of sub-paragraph (ii) by listing the channel range for the Public Safety Pool as including channels 231 to 315a.</w:t>
      </w:r>
      <w:r>
        <w:rPr>
          <w:vertAlign w:val="superscript"/>
        </w:rPr>
        <w:footnoteReference w:id="43"/>
      </w:r>
    </w:p>
    <w:p w:rsidR="00C816F0" w:rsidRPr="00972069" w:rsidP="00C816F0" w14:paraId="48EAE204" w14:textId="77777777">
      <w:pPr>
        <w:pStyle w:val="Heading1"/>
      </w:pPr>
      <w:r w:rsidRPr="00972069">
        <w:t>PROCEDURAL MATTERS</w:t>
      </w:r>
    </w:p>
    <w:p w:rsidR="00C816F0" w:rsidRPr="00972069" w:rsidP="00C816F0" w14:paraId="75ED9B73" w14:textId="77777777">
      <w:pPr>
        <w:pStyle w:val="ParaNum"/>
        <w:widowControl/>
      </w:pPr>
      <w:r w:rsidRPr="00972069">
        <w:rPr>
          <w:bCs/>
          <w:i/>
        </w:rPr>
        <w:t>Final Regulatory Flexibility Certification</w:t>
      </w:r>
      <w:r>
        <w:rPr>
          <w:bCs/>
          <w:i/>
        </w:rPr>
        <w:t>—</w:t>
      </w:r>
      <w:r w:rsidRPr="00972069">
        <w:t>The Regulatory Flexibility Act of 1980, as amended (RFA),</w:t>
      </w:r>
      <w:r>
        <w:rPr>
          <w:sz w:val="20"/>
          <w:vertAlign w:val="superscript"/>
        </w:rPr>
        <w:footnoteReference w:id="44"/>
      </w:r>
      <w:r w:rsidRPr="00293E3B">
        <w:rPr>
          <w:i/>
        </w:rPr>
        <w:t> </w:t>
      </w:r>
      <w:r w:rsidRPr="00972069">
        <w:t xml:space="preserve">requires that an agency prepare a regulatory flexibility analysis for notice and comment rulemakings, unless the agency certifies that “the rule will not, if promulgated, have a significant economic impact on a substantial number of small entities.”  A Final Regulatory Flexibility Certification on the economic impact of the rule changes contained in the </w:t>
      </w:r>
      <w:r w:rsidRPr="00293E3B">
        <w:rPr>
          <w:i/>
        </w:rPr>
        <w:t>Order on Reconsideration</w:t>
      </w:r>
      <w:r w:rsidRPr="00972069">
        <w:t xml:space="preserve"> is set forth in Appendix A. </w:t>
      </w:r>
    </w:p>
    <w:p w:rsidR="00C816F0" w:rsidRPr="00972069" w:rsidP="00C816F0" w14:paraId="37718F7A" w14:textId="77777777">
      <w:pPr>
        <w:pStyle w:val="ParaNum"/>
      </w:pPr>
      <w:r w:rsidRPr="00972069">
        <w:rPr>
          <w:i/>
        </w:rPr>
        <w:t>Paperwork Reduction Act Analysis</w:t>
      </w:r>
      <w:r w:rsidRPr="00972069">
        <w:t xml:space="preserve">—This </w:t>
      </w:r>
      <w:r w:rsidRPr="00972069">
        <w:rPr>
          <w:i/>
        </w:rPr>
        <w:t>Order on Reconsideration</w:t>
      </w:r>
      <w:r w:rsidRPr="00972069">
        <w:t xml:space="preserve"> contains no new information collection requirements subject to the Paperwork Reduction Act of 1995 (PRA), Public Law 104-13. </w:t>
      </w:r>
    </w:p>
    <w:p w:rsidR="00C816F0" w:rsidRPr="00972069" w:rsidP="00C816F0" w14:paraId="1A9A092C" w14:textId="77777777">
      <w:pPr>
        <w:pStyle w:val="ParaNum"/>
        <w:widowControl/>
      </w:pPr>
      <w:r w:rsidRPr="00972069">
        <w:t>The Commission</w:t>
      </w:r>
      <w:r>
        <w:t>’</w:t>
      </w:r>
      <w:r w:rsidRPr="00972069">
        <w:t xml:space="preserve">s Consumer and Governmental Affairs Bureau, Reference Information Center, will send a copy of the </w:t>
      </w:r>
      <w:r w:rsidRPr="00972069">
        <w:rPr>
          <w:i/>
        </w:rPr>
        <w:t xml:space="preserve">Order </w:t>
      </w:r>
      <w:r w:rsidRPr="00972069">
        <w:t>on</w:t>
      </w:r>
      <w:r w:rsidRPr="00972069">
        <w:rPr>
          <w:i/>
        </w:rPr>
        <w:t xml:space="preserve"> Reconsideration</w:t>
      </w:r>
      <w:r w:rsidRPr="00972069">
        <w:t xml:space="preserve"> to the Chief Counsel for Advocacy of the Small Business Administration.</w:t>
      </w:r>
    </w:p>
    <w:p w:rsidR="00C816F0" w:rsidRPr="00972069" w:rsidP="00C816F0" w14:paraId="225EAC43" w14:textId="77777777">
      <w:pPr>
        <w:pStyle w:val="ParaNum"/>
      </w:pPr>
      <w:r w:rsidRPr="00972069">
        <w:rPr>
          <w:i/>
        </w:rPr>
        <w:t>Congressional Review Act</w:t>
      </w:r>
      <w:r w:rsidRPr="00972069">
        <w:t xml:space="preserve">—The Commission will send a copy of this </w:t>
      </w:r>
      <w:r w:rsidRPr="00972069">
        <w:rPr>
          <w:i/>
        </w:rPr>
        <w:t xml:space="preserve">Order on Reconsideration </w:t>
      </w:r>
      <w:r w:rsidRPr="00972069">
        <w:t>to Congress and the Government Accountability Office pursuant to the Congressional Review Act.</w:t>
      </w:r>
      <w:r>
        <w:rPr>
          <w:sz w:val="20"/>
          <w:vertAlign w:val="superscript"/>
        </w:rPr>
        <w:footnoteReference w:id="45"/>
      </w:r>
    </w:p>
    <w:p w:rsidR="00C816F0" w:rsidRPr="00972069" w:rsidP="00C816F0" w14:paraId="25034090" w14:textId="77777777">
      <w:pPr>
        <w:widowControl/>
        <w:numPr>
          <w:ilvl w:val="0"/>
          <w:numId w:val="3"/>
        </w:numPr>
        <w:tabs>
          <w:tab w:val="left" w:pos="720"/>
        </w:tabs>
        <w:suppressAutoHyphens/>
        <w:spacing w:after="120"/>
        <w:outlineLvl w:val="0"/>
        <w:rPr>
          <w:rFonts w:ascii="Times New Roman Bold" w:hAnsi="Times New Roman Bold"/>
          <w:b/>
          <w:caps/>
        </w:rPr>
      </w:pPr>
      <w:bookmarkStart w:id="86" w:name="_Toc19029029"/>
      <w:bookmarkStart w:id="87" w:name="_Toc19104738"/>
      <w:bookmarkStart w:id="88" w:name="_Toc21368842"/>
      <w:bookmarkStart w:id="89" w:name="_Toc21369048"/>
      <w:r w:rsidRPr="00972069">
        <w:rPr>
          <w:rFonts w:ascii="Times New Roman Bold" w:hAnsi="Times New Roman Bold"/>
          <w:b/>
          <w:iCs/>
          <w:caps/>
        </w:rPr>
        <w:t>ORDERING</w:t>
      </w:r>
      <w:r w:rsidRPr="00972069">
        <w:rPr>
          <w:rFonts w:ascii="Times New Roman Bold" w:hAnsi="Times New Roman Bold"/>
          <w:b/>
          <w:caps/>
          <w:bdr w:val="none" w:sz="0" w:space="0" w:color="auto" w:frame="1"/>
        </w:rPr>
        <w:t xml:space="preserve"> CLAUSES</w:t>
      </w:r>
      <w:bookmarkEnd w:id="86"/>
      <w:bookmarkEnd w:id="87"/>
      <w:bookmarkEnd w:id="88"/>
      <w:bookmarkEnd w:id="89"/>
    </w:p>
    <w:p w:rsidR="00C816F0" w:rsidRPr="00972069" w:rsidP="00C816F0" w14:paraId="08D08CF6" w14:textId="77777777">
      <w:pPr>
        <w:pStyle w:val="ParaNum"/>
        <w:rPr>
          <w:color w:val="3D3D3D"/>
          <w:szCs w:val="22"/>
        </w:rPr>
      </w:pPr>
      <w:r w:rsidRPr="00972069">
        <w:rPr>
          <w:color w:val="000000"/>
          <w:szCs w:val="22"/>
        </w:rPr>
        <w:t xml:space="preserve">Accordingly, </w:t>
      </w:r>
      <w:r w:rsidRPr="00972069">
        <w:rPr>
          <w:b/>
          <w:color w:val="000000"/>
          <w:szCs w:val="22"/>
        </w:rPr>
        <w:t>IT IS ORDERED</w:t>
      </w:r>
      <w:r w:rsidRPr="00972069">
        <w:rPr>
          <w:color w:val="000000"/>
          <w:szCs w:val="22"/>
        </w:rPr>
        <w:t>, pursuant to the authority contained in sections 4(i), 303(g), 303(r), and 405 of the Communications Act of 1934, as amended, 47 U.S.C. §§ 154(i), 303(g), 303(r), 405</w:t>
      </w:r>
      <w:r>
        <w:rPr>
          <w:color w:val="000000"/>
          <w:szCs w:val="22"/>
        </w:rPr>
        <w:t>,</w:t>
      </w:r>
      <w:r w:rsidRPr="00972069">
        <w:rPr>
          <w:color w:val="000000"/>
          <w:szCs w:val="22"/>
        </w:rPr>
        <w:t xml:space="preserve"> section 1.429 of the Commission’s rules, 47 CFR § 1.429, and section 553(b)(3)(B) of the Administrative Procedure Act, 5 U.S.C. § 553(b)(3)(</w:t>
      </w:r>
      <w:r w:rsidRPr="00972069">
        <w:rPr>
          <w:rFonts w:ascii="Segoe UI Emoji" w:eastAsia="Segoe UI Emoji" w:hAnsi="Segoe UI Emoji" w:cs="Segoe UI Emoji"/>
          <w:color w:val="000000"/>
          <w:szCs w:val="22"/>
        </w:rPr>
        <w:t xml:space="preserve">B) </w:t>
      </w:r>
      <w:r w:rsidRPr="00972069">
        <w:rPr>
          <w:color w:val="000000"/>
          <w:szCs w:val="22"/>
        </w:rPr>
        <w:t xml:space="preserve">that the Petition for Reconsideration filed December 27, 2018, by the Land Mobile Communications Council </w:t>
      </w:r>
      <w:r w:rsidRPr="00972069">
        <w:rPr>
          <w:b/>
          <w:color w:val="000000"/>
          <w:szCs w:val="22"/>
        </w:rPr>
        <w:t>IS GRANTED</w:t>
      </w:r>
      <w:r w:rsidRPr="00972069">
        <w:rPr>
          <w:color w:val="000000"/>
          <w:szCs w:val="22"/>
        </w:rPr>
        <w:t xml:space="preserve"> to the extent discussed herein and in all other respects </w:t>
      </w:r>
      <w:r w:rsidRPr="00972069">
        <w:rPr>
          <w:b/>
          <w:color w:val="000000"/>
          <w:szCs w:val="22"/>
        </w:rPr>
        <w:t>IS DENIED</w:t>
      </w:r>
      <w:r w:rsidRPr="00972069">
        <w:rPr>
          <w:color w:val="3D3D3D"/>
          <w:szCs w:val="22"/>
        </w:rPr>
        <w:t xml:space="preserve">. </w:t>
      </w:r>
    </w:p>
    <w:p w:rsidR="00C816F0" w:rsidRPr="00972069" w:rsidP="00825806" w14:paraId="43BC7922" w14:textId="77777777">
      <w:pPr>
        <w:pStyle w:val="ParaNum"/>
        <w:widowControl/>
        <w:rPr>
          <w:color w:val="3D3D3D"/>
          <w:szCs w:val="22"/>
        </w:rPr>
      </w:pPr>
      <w:r w:rsidRPr="00972069">
        <w:rPr>
          <w:b/>
          <w:color w:val="3D3D3D"/>
          <w:szCs w:val="22"/>
        </w:rPr>
        <w:t>IT IS FURTHER ORDERED</w:t>
      </w:r>
      <w:r w:rsidRPr="00972069">
        <w:rPr>
          <w:color w:val="3D3D3D"/>
          <w:szCs w:val="22"/>
        </w:rPr>
        <w:t xml:space="preserve">, pursuant to section 1.103 of the Commission’s rules, 47 CFR § 1.103, that the </w:t>
      </w:r>
      <w:r w:rsidRPr="00972069">
        <w:t>amendments</w:t>
      </w:r>
      <w:r w:rsidRPr="00972069">
        <w:rPr>
          <w:color w:val="3D3D3D"/>
          <w:szCs w:val="22"/>
        </w:rPr>
        <w:t xml:space="preserve"> to the </w:t>
      </w:r>
      <w:r w:rsidRPr="00972069">
        <w:t>Commission</w:t>
      </w:r>
      <w:r>
        <w:t>’</w:t>
      </w:r>
      <w:r w:rsidRPr="00972069">
        <w:t>s</w:t>
      </w:r>
      <w:r w:rsidRPr="00972069">
        <w:rPr>
          <w:color w:val="3D3D3D"/>
          <w:szCs w:val="22"/>
        </w:rPr>
        <w:t xml:space="preserve"> rules as set forth in Attachment 2 hereof </w:t>
      </w:r>
      <w:r w:rsidRPr="00972069">
        <w:rPr>
          <w:b/>
          <w:color w:val="3D3D3D"/>
          <w:szCs w:val="22"/>
        </w:rPr>
        <w:t xml:space="preserve">ARE </w:t>
      </w:r>
      <w:r w:rsidRPr="00972069">
        <w:rPr>
          <w:b/>
          <w:color w:val="3D3D3D"/>
          <w:szCs w:val="22"/>
        </w:rPr>
        <w:t>ADOPTED</w:t>
      </w:r>
      <w:r w:rsidRPr="00972069">
        <w:rPr>
          <w:color w:val="3D3D3D"/>
          <w:szCs w:val="22"/>
        </w:rPr>
        <w:t xml:space="preserve">, </w:t>
      </w:r>
      <w:r w:rsidRPr="00972069">
        <w:rPr>
          <w:color w:val="000000"/>
          <w:bdr w:val="none" w:sz="0" w:space="0" w:color="auto" w:frame="1"/>
        </w:rPr>
        <w:t>effective</w:t>
      </w:r>
      <w:r w:rsidRPr="00972069">
        <w:rPr>
          <w:color w:val="3D3D3D"/>
          <w:szCs w:val="22"/>
        </w:rPr>
        <w:t xml:space="preserve"> thirty </w:t>
      </w:r>
      <w:r w:rsidRPr="00972069">
        <w:t>days</w:t>
      </w:r>
      <w:r w:rsidRPr="00972069">
        <w:rPr>
          <w:color w:val="3D3D3D"/>
          <w:szCs w:val="22"/>
        </w:rPr>
        <w:t xml:space="preserve"> from the date of publication of this </w:t>
      </w:r>
      <w:r w:rsidRPr="00972069">
        <w:rPr>
          <w:i/>
          <w:color w:val="3D3D3D"/>
          <w:szCs w:val="22"/>
        </w:rPr>
        <w:t>Order on Reconsideration</w:t>
      </w:r>
      <w:r w:rsidRPr="00972069">
        <w:rPr>
          <w:color w:val="3D3D3D"/>
          <w:szCs w:val="22"/>
        </w:rPr>
        <w:t xml:space="preserve"> in the Federal Register.</w:t>
      </w:r>
    </w:p>
    <w:p w:rsidR="00DF2F2A" w:rsidP="00DF2F2A" w14:paraId="2E2C7535" w14:textId="77777777">
      <w:pPr>
        <w:pStyle w:val="ParaNum"/>
        <w:rPr>
          <w:color w:val="3D3D3D"/>
          <w:szCs w:val="22"/>
        </w:rPr>
      </w:pPr>
      <w:r w:rsidRPr="00972069">
        <w:rPr>
          <w:b/>
          <w:color w:val="3D3D3D"/>
          <w:szCs w:val="22"/>
        </w:rPr>
        <w:t>IT IS FURTHER ORDERED</w:t>
      </w:r>
      <w:r w:rsidRPr="00972069">
        <w:rPr>
          <w:color w:val="3D3D3D"/>
          <w:szCs w:val="22"/>
        </w:rPr>
        <w:t xml:space="preserve"> that the Commission</w:t>
      </w:r>
      <w:r>
        <w:rPr>
          <w:color w:val="3D3D3D"/>
          <w:szCs w:val="22"/>
        </w:rPr>
        <w:t>’</w:t>
      </w:r>
      <w:r w:rsidRPr="00972069">
        <w:rPr>
          <w:color w:val="3D3D3D"/>
          <w:szCs w:val="22"/>
        </w:rPr>
        <w:t xml:space="preserve">s Consumer and Governmental Affairs Bureau, </w:t>
      </w:r>
      <w:r w:rsidRPr="00972069">
        <w:t>Reference</w:t>
      </w:r>
      <w:r w:rsidRPr="00972069">
        <w:rPr>
          <w:color w:val="3D3D3D"/>
          <w:szCs w:val="22"/>
        </w:rPr>
        <w:t xml:space="preserve"> Information Center, </w:t>
      </w:r>
      <w:r w:rsidRPr="00972069">
        <w:rPr>
          <w:b/>
          <w:color w:val="3D3D3D"/>
          <w:szCs w:val="22"/>
        </w:rPr>
        <w:t>SHALL SEND</w:t>
      </w:r>
      <w:r w:rsidRPr="00972069">
        <w:rPr>
          <w:color w:val="3D3D3D"/>
          <w:szCs w:val="22"/>
        </w:rPr>
        <w:t xml:space="preserve"> a copy of this </w:t>
      </w:r>
      <w:r w:rsidRPr="00972069">
        <w:rPr>
          <w:i/>
          <w:color w:val="3D3D3D"/>
          <w:szCs w:val="22"/>
        </w:rPr>
        <w:t>Order on Reconsideration</w:t>
      </w:r>
      <w:r w:rsidRPr="00972069">
        <w:rPr>
          <w:color w:val="3D3D3D"/>
          <w:szCs w:val="22"/>
        </w:rPr>
        <w:t>, including the Final Regulatory Flexibility Certification, to the Chief Counsel for Advocacy of the Small Business Administration.</w:t>
      </w:r>
    </w:p>
    <w:p w:rsidR="00C816F0" w:rsidRPr="00DF2F2A" w:rsidP="00DF2F2A" w14:paraId="3365508A" w14:textId="333C5F9A">
      <w:pPr>
        <w:pStyle w:val="ParaNum"/>
        <w:rPr>
          <w:color w:val="3D3D3D"/>
          <w:szCs w:val="22"/>
        </w:rPr>
      </w:pPr>
      <w:r w:rsidRPr="00DF2F2A">
        <w:rPr>
          <w:b/>
          <w:bCs/>
          <w:color w:val="3D3D3D"/>
          <w:szCs w:val="22"/>
        </w:rPr>
        <w:t>IT IS FURTHER ORDERED</w:t>
      </w:r>
      <w:r w:rsidRPr="00DF2F2A">
        <w:rPr>
          <w:color w:val="3D3D3D"/>
          <w:szCs w:val="22"/>
        </w:rPr>
        <w:t xml:space="preserve"> that this </w:t>
      </w:r>
      <w:r w:rsidRPr="00DF2F2A">
        <w:rPr>
          <w:i/>
          <w:iCs/>
          <w:color w:val="3D3D3D"/>
          <w:szCs w:val="22"/>
        </w:rPr>
        <w:t>Order on Reconsideration</w:t>
      </w:r>
      <w:r w:rsidRPr="00DF2F2A">
        <w:rPr>
          <w:color w:val="3D3D3D"/>
          <w:szCs w:val="22"/>
        </w:rPr>
        <w:t xml:space="preserve">, </w:t>
      </w:r>
      <w:r w:rsidRPr="00DF2F2A">
        <w:rPr>
          <w:b/>
          <w:bCs/>
          <w:color w:val="3D3D3D"/>
          <w:szCs w:val="22"/>
        </w:rPr>
        <w:t>IS ADOPTED</w:t>
      </w:r>
      <w:r w:rsidRPr="00DF2F2A">
        <w:rPr>
          <w:color w:val="3D3D3D"/>
          <w:szCs w:val="22"/>
        </w:rPr>
        <w:t xml:space="preserve">. </w:t>
      </w:r>
    </w:p>
    <w:p w:rsidR="00C816F0" w:rsidP="00C816F0" w14:paraId="50CF7D12" w14:textId="77777777">
      <w:pPr>
        <w:shd w:val="clear" w:color="auto" w:fill="FFFFFF"/>
        <w:ind w:left="3600"/>
        <w:textAlignment w:val="baseline"/>
        <w:rPr>
          <w:color w:val="3D3D3D"/>
          <w:szCs w:val="22"/>
        </w:rPr>
      </w:pPr>
    </w:p>
    <w:p w:rsidR="00C816F0" w:rsidRPr="00972069" w:rsidP="00A775F8" w14:paraId="42FE0B8F" w14:textId="77777777">
      <w:pPr>
        <w:shd w:val="clear" w:color="auto" w:fill="FFFFFF"/>
        <w:ind w:left="3600" w:firstLine="720"/>
        <w:textAlignment w:val="baseline"/>
        <w:rPr>
          <w:color w:val="3D3D3D"/>
          <w:szCs w:val="22"/>
        </w:rPr>
      </w:pPr>
      <w:r w:rsidRPr="00972069">
        <w:rPr>
          <w:color w:val="3D3D3D"/>
          <w:szCs w:val="22"/>
        </w:rPr>
        <w:t>FEDERAL COMMUNICATIONS COMMISSION</w:t>
      </w:r>
    </w:p>
    <w:p w:rsidR="00C816F0" w:rsidRPr="00972069" w:rsidP="00C816F0" w14:paraId="270E35A2" w14:textId="77777777">
      <w:pPr>
        <w:shd w:val="clear" w:color="auto" w:fill="FFFFFF"/>
        <w:ind w:left="3600"/>
        <w:textAlignment w:val="baseline"/>
        <w:rPr>
          <w:color w:val="3D3D3D"/>
          <w:szCs w:val="22"/>
        </w:rPr>
      </w:pPr>
    </w:p>
    <w:p w:rsidR="00C816F0" w:rsidRPr="00972069" w:rsidP="00C816F0" w14:paraId="672C42AB" w14:textId="77777777">
      <w:pPr>
        <w:keepNext/>
        <w:keepLines/>
        <w:shd w:val="clear" w:color="auto" w:fill="FFFFFF"/>
        <w:ind w:left="3600"/>
        <w:textAlignment w:val="baseline"/>
        <w:rPr>
          <w:color w:val="3D3D3D"/>
          <w:szCs w:val="22"/>
        </w:rPr>
      </w:pPr>
    </w:p>
    <w:p w:rsidR="00C816F0" w:rsidRPr="00972069" w:rsidP="00C816F0" w14:paraId="28068A84" w14:textId="77777777">
      <w:pPr>
        <w:keepNext/>
        <w:keepLines/>
        <w:shd w:val="clear" w:color="auto" w:fill="FFFFFF"/>
        <w:ind w:left="3600"/>
        <w:textAlignment w:val="baseline"/>
        <w:rPr>
          <w:color w:val="3D3D3D"/>
          <w:szCs w:val="22"/>
        </w:rPr>
      </w:pPr>
    </w:p>
    <w:p w:rsidR="00C816F0" w:rsidRPr="00972069" w:rsidP="00C816F0" w14:paraId="1DFCAF1D" w14:textId="77777777">
      <w:pPr>
        <w:keepNext/>
        <w:keepLines/>
        <w:shd w:val="clear" w:color="auto" w:fill="FFFFFF"/>
        <w:ind w:left="3600"/>
        <w:textAlignment w:val="baseline"/>
        <w:rPr>
          <w:color w:val="3D3D3D"/>
          <w:szCs w:val="22"/>
        </w:rPr>
      </w:pPr>
    </w:p>
    <w:p w:rsidR="00C816F0" w:rsidRPr="00972069" w:rsidP="00A775F8" w14:paraId="01D6B81E" w14:textId="77777777">
      <w:pPr>
        <w:keepNext/>
        <w:keepLines/>
        <w:shd w:val="clear" w:color="auto" w:fill="FFFFFF"/>
        <w:ind w:left="3600" w:firstLine="720"/>
        <w:textAlignment w:val="baseline"/>
        <w:rPr>
          <w:color w:val="3D3D3D"/>
          <w:szCs w:val="22"/>
        </w:rPr>
      </w:pPr>
      <w:r w:rsidRPr="00972069">
        <w:rPr>
          <w:color w:val="3D3D3D"/>
          <w:szCs w:val="22"/>
        </w:rPr>
        <w:t>Marlene H. Dortch</w:t>
      </w:r>
    </w:p>
    <w:p w:rsidR="00C816F0" w:rsidP="00A775F8" w14:paraId="2561FC71" w14:textId="77777777">
      <w:pPr>
        <w:keepNext/>
        <w:keepLines/>
        <w:widowControl/>
        <w:shd w:val="clear" w:color="auto" w:fill="FFFFFF"/>
        <w:ind w:left="3600" w:firstLine="720"/>
        <w:textAlignment w:val="baseline"/>
        <w:rPr>
          <w:color w:val="3D3D3D"/>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972069">
        <w:rPr>
          <w:color w:val="3D3D3D"/>
          <w:szCs w:val="22"/>
        </w:rPr>
        <w:t>Secretary</w:t>
      </w:r>
    </w:p>
    <w:p w:rsidR="00C816F0" w:rsidRPr="00972069" w:rsidP="00A775F8" w14:paraId="3B1E2E9B" w14:textId="60B6ECF1">
      <w:pPr>
        <w:tabs>
          <w:tab w:val="left" w:pos="3615"/>
          <w:tab w:val="center" w:pos="4680"/>
        </w:tabs>
        <w:jc w:val="center"/>
        <w:rPr>
          <w:b/>
        </w:rPr>
      </w:pPr>
      <w:r w:rsidRPr="00972069">
        <w:rPr>
          <w:b/>
        </w:rPr>
        <w:t>APPENDIX A</w:t>
      </w:r>
    </w:p>
    <w:p w:rsidR="00C816F0" w:rsidRPr="00972069" w:rsidP="00C816F0" w14:paraId="0FEEB997" w14:textId="77777777">
      <w:pPr>
        <w:jc w:val="center"/>
        <w:rPr>
          <w:b/>
        </w:rPr>
      </w:pPr>
    </w:p>
    <w:p w:rsidR="00C816F0" w:rsidRPr="00972069" w:rsidP="00C816F0" w14:paraId="5452A20E" w14:textId="77777777">
      <w:pPr>
        <w:jc w:val="center"/>
      </w:pPr>
      <w:r w:rsidRPr="00972069">
        <w:rPr>
          <w:b/>
        </w:rPr>
        <w:t>Final Regulatory Flexibility Certification</w:t>
      </w:r>
    </w:p>
    <w:p w:rsidR="00C816F0" w:rsidRPr="00972069" w:rsidP="00C816F0" w14:paraId="011FE8E1" w14:textId="77777777">
      <w:pPr>
        <w:jc w:val="center"/>
      </w:pPr>
    </w:p>
    <w:p w:rsidR="00C816F0" w:rsidP="00A775F8" w14:paraId="4035A188" w14:textId="77777777">
      <w:pPr>
        <w:pStyle w:val="ParaNum"/>
        <w:numPr>
          <w:ilvl w:val="0"/>
          <w:numId w:val="13"/>
        </w:numPr>
        <w:tabs>
          <w:tab w:val="clear" w:pos="1080"/>
          <w:tab w:val="num" w:pos="1440"/>
        </w:tabs>
        <w:rPr>
          <w:snapToGrid/>
        </w:rPr>
      </w:pPr>
      <w:r w:rsidRPr="00972069">
        <w:rPr>
          <w:snapToGrid/>
        </w:rPr>
        <w:t>The Regulatory Flexibility Act of 1980, as amended (RFA),</w:t>
      </w:r>
      <w:r>
        <w:rPr>
          <w:snapToGrid/>
          <w:sz w:val="20"/>
          <w:vertAlign w:val="superscript"/>
        </w:rPr>
        <w:footnoteReference w:id="46"/>
      </w:r>
      <w:r w:rsidRPr="00972069">
        <w:rPr>
          <w:snapToGrid/>
        </w:rP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snapToGrid/>
          <w:sz w:val="20"/>
          <w:vertAlign w:val="superscript"/>
        </w:rPr>
        <w:footnoteReference w:id="47"/>
      </w:r>
      <w:r w:rsidRPr="00972069">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48"/>
      </w:r>
      <w:r w:rsidRPr="00972069">
        <w:rPr>
          <w:snapToGrid/>
        </w:rPr>
        <w:t xml:space="preserve">  In addition, the term “small business” has the same meaning as the term “small business concerns” under the Small Business Act.</w:t>
      </w:r>
      <w:r>
        <w:rPr>
          <w:snapToGrid/>
          <w:sz w:val="20"/>
          <w:vertAlign w:val="superscript"/>
        </w:rPr>
        <w:footnoteReference w:id="49"/>
      </w:r>
      <w:r w:rsidRPr="00972069">
        <w:rPr>
          <w:snapToGrid/>
        </w:rPr>
        <w:t xml:space="preserve">  A “small business concern” is one that:  (1) is independently owned and operated; (2) is not dominant in its field of operation; and (3) satisfies any additional criteria established by the Small Business Administration (SBA).</w:t>
      </w:r>
      <w:r>
        <w:rPr>
          <w:snapToGrid/>
          <w:sz w:val="20"/>
          <w:vertAlign w:val="superscript"/>
        </w:rPr>
        <w:footnoteReference w:id="50"/>
      </w:r>
    </w:p>
    <w:p w:rsidR="00C816F0" w:rsidP="00A775F8" w14:paraId="6482B52C" w14:textId="77777777">
      <w:pPr>
        <w:pStyle w:val="ParaNum"/>
        <w:widowControl/>
        <w:numPr>
          <w:ilvl w:val="0"/>
          <w:numId w:val="13"/>
        </w:numPr>
        <w:tabs>
          <w:tab w:val="clear" w:pos="1080"/>
          <w:tab w:val="left" w:pos="1440"/>
        </w:tabs>
        <w:rPr>
          <w:iCs/>
        </w:rPr>
      </w:pPr>
      <w:r>
        <w:t>A</w:t>
      </w:r>
      <w:r w:rsidRPr="009655B9">
        <w:t xml:space="preserve">n Initial Regulatory Flexibility Analysis (IRFA) was incorporated in the </w:t>
      </w:r>
      <w:bookmarkStart w:id="90" w:name="SR;22697"/>
      <w:bookmarkEnd w:id="90"/>
      <w:r w:rsidRPr="00F341EC">
        <w:rPr>
          <w:i/>
        </w:rPr>
        <w:t>Notices of Proposed Rulemaking</w:t>
      </w:r>
      <w:r w:rsidRPr="009655B9">
        <w:t xml:space="preserve"> </w:t>
      </w:r>
      <w:r>
        <w:t>(</w:t>
      </w:r>
      <w:r w:rsidRPr="00F341EC">
        <w:rPr>
          <w:i/>
        </w:rPr>
        <w:t>Notices</w:t>
      </w:r>
      <w:r>
        <w:t xml:space="preserve">) released in </w:t>
      </w:r>
      <w:r w:rsidRPr="009655B9">
        <w:t>th</w:t>
      </w:r>
      <w:r>
        <w:t>e</w:t>
      </w:r>
      <w:r w:rsidRPr="009655B9">
        <w:t>s</w:t>
      </w:r>
      <w:r>
        <w:t>e</w:t>
      </w:r>
      <w:r w:rsidRPr="009655B9">
        <w:t xml:space="preserve"> proceeding</w:t>
      </w:r>
      <w:r>
        <w:t>s</w:t>
      </w:r>
      <w:r w:rsidRPr="009655B9">
        <w:t>.</w:t>
      </w:r>
      <w:r>
        <w:rPr>
          <w:rStyle w:val="FootnoteReference"/>
        </w:rPr>
        <w:footnoteReference w:id="51"/>
      </w:r>
      <w:r w:rsidRPr="009655B9">
        <w:t xml:space="preserve">  The Commission sought written public comment on the</w:t>
      </w:r>
      <w:r>
        <w:t xml:space="preserve"> proposals in the </w:t>
      </w:r>
      <w:r w:rsidRPr="00F341EC">
        <w:rPr>
          <w:i/>
        </w:rPr>
        <w:t>Notices</w:t>
      </w:r>
      <w:r>
        <w:t>, including comment on the</w:t>
      </w:r>
      <w:r w:rsidRPr="009655B9">
        <w:t xml:space="preserve"> IRFA</w:t>
      </w:r>
      <w:r>
        <w:t>s</w:t>
      </w:r>
      <w:r w:rsidRPr="009655B9">
        <w:t>.</w:t>
      </w:r>
      <w:r>
        <w:t xml:space="preserve">  </w:t>
      </w:r>
      <w:r w:rsidRPr="00A323E4">
        <w:t>No comments were filed addressing the IRFA</w:t>
      </w:r>
      <w:r>
        <w:t>s.</w:t>
      </w:r>
      <w:r w:rsidRPr="00A323E4">
        <w:t xml:space="preserve"> </w:t>
      </w:r>
      <w:r>
        <w:t xml:space="preserve"> A </w:t>
      </w:r>
      <w:r w:rsidRPr="009655B9">
        <w:t>Final Regulatory Flexibility Analysis (FRFA)</w:t>
      </w:r>
      <w:r>
        <w:t xml:space="preserve"> was incorporated in the </w:t>
      </w:r>
      <w:r w:rsidRPr="00F341EC">
        <w:rPr>
          <w:i/>
        </w:rPr>
        <w:t xml:space="preserve">PLMR Report and Order </w:t>
      </w:r>
      <w:r w:rsidRPr="00F341EC">
        <w:rPr>
          <w:iCs/>
        </w:rPr>
        <w:t>released in October 2018,</w:t>
      </w:r>
      <w:r>
        <w:rPr>
          <w:vertAlign w:val="superscript"/>
        </w:rPr>
        <w:footnoteReference w:id="52"/>
      </w:r>
      <w:r w:rsidRPr="00F341EC">
        <w:rPr>
          <w:i/>
        </w:rPr>
        <w:t xml:space="preserve"> </w:t>
      </w:r>
      <w:r w:rsidRPr="00F341EC">
        <w:rPr>
          <w:iCs/>
        </w:rPr>
        <w:t>which is subject to review in the Order on Reconsideration.</w:t>
      </w:r>
    </w:p>
    <w:p w:rsidR="00C816F0" w:rsidRPr="00992FC3" w:rsidP="00A775F8" w14:paraId="056D4B54" w14:textId="77777777">
      <w:pPr>
        <w:pStyle w:val="ParaNum"/>
        <w:widowControl/>
        <w:numPr>
          <w:ilvl w:val="0"/>
          <w:numId w:val="13"/>
        </w:numPr>
        <w:tabs>
          <w:tab w:val="clear" w:pos="1080"/>
          <w:tab w:val="left" w:pos="1440"/>
        </w:tabs>
        <w:rPr>
          <w:iCs/>
        </w:rPr>
      </w:pPr>
      <w:r w:rsidRPr="00992FC3">
        <w:rPr>
          <w:snapToGrid/>
        </w:rPr>
        <w:t xml:space="preserve">In the Order on Reconsideration we clarify that Mid-Band applicants need not conduct contour analyses if their spacing to co- or adjacent- channel stations </w:t>
      </w:r>
      <w:r w:rsidRPr="00992FC3">
        <w:rPr>
          <w:snapToGrid/>
        </w:rPr>
        <w:t>exceeds</w:t>
      </w:r>
      <w:r w:rsidRPr="00992FC3">
        <w:rPr>
          <w:snapToGrid/>
        </w:rPr>
        <w:t xml:space="preserve"> the minimum co-channel spacing criteria in the Commission’s rules.  We also correct duplicate channel listings in the rules, supply channels that were inadvertently omitted and delete channels that should not have been included.  In so doing we reduce burdens for potential applicants who otherwise would have to perform unneeded contour analyses and could have been required to amend their applications had they relied on inaccurate information in the rules. </w:t>
      </w:r>
    </w:p>
    <w:p w:rsidR="00C816F0" w:rsidRPr="00992FC3" w:rsidP="00A775F8" w14:paraId="4CEF9009" w14:textId="77777777">
      <w:pPr>
        <w:pStyle w:val="ParaNum"/>
        <w:widowControl/>
        <w:numPr>
          <w:ilvl w:val="0"/>
          <w:numId w:val="13"/>
        </w:numPr>
        <w:tabs>
          <w:tab w:val="clear" w:pos="1080"/>
          <w:tab w:val="left" w:pos="1440"/>
        </w:tabs>
        <w:rPr>
          <w:iCs/>
        </w:rPr>
      </w:pPr>
      <w:r w:rsidRPr="00992FC3">
        <w:rPr>
          <w:snapToGrid/>
        </w:rPr>
        <w:t>We have determined that the impact on the entities affected by the rule change will be not significant.  The effect is to allow those entities, including small entities, greater understanding of the essentials of filing an application for Mid-Band channels and avoidance of unnecessary effort associated with provision of contour analyses. The reduction in paperwork, application processing time, and regulatory delays will be beneficial to small businesses as well as to all affected entities.</w:t>
      </w:r>
    </w:p>
    <w:p w:rsidR="00C816F0" w:rsidP="00A775F8" w14:paraId="1D757DCB" w14:textId="77777777">
      <w:pPr>
        <w:numPr>
          <w:ilvl w:val="0"/>
          <w:numId w:val="2"/>
        </w:numPr>
        <w:tabs>
          <w:tab w:val="clear" w:pos="1080"/>
          <w:tab w:val="num" w:pos="1440"/>
        </w:tabs>
        <w:spacing w:after="120"/>
        <w:ind w:left="90"/>
        <w:rPr>
          <w:snapToGrid/>
        </w:rPr>
        <w:sectPr w:rsidSect="00F11654">
          <w:footnotePr>
            <w:numRestart w:val="eachSect"/>
          </w:footnotePr>
          <w:endnotePr>
            <w:numFmt w:val="decimal"/>
          </w:endnotePr>
          <w:pgSz w:w="12240" w:h="15840"/>
          <w:pgMar w:top="1440" w:right="1440" w:bottom="720" w:left="1440" w:header="720" w:footer="720" w:gutter="0"/>
          <w:cols w:space="720"/>
          <w:noEndnote/>
          <w:titlePg/>
        </w:sectPr>
      </w:pPr>
      <w:r w:rsidRPr="00972069">
        <w:rPr>
          <w:snapToGrid/>
        </w:rPr>
        <w:t>We therefore certify that the requirements of the Order on Reconsideration will not have a significant economic impact on a substantial number of small entities.  The Commission will send a copy of the Order on Reconsideration including a copy of this Final Regulatory Flexibility Certification, in a report to Congress pursuant to the Congressional Review Act.</w:t>
      </w:r>
      <w:r>
        <w:rPr>
          <w:snapToGrid/>
          <w:sz w:val="20"/>
          <w:vertAlign w:val="superscript"/>
        </w:rPr>
        <w:footnoteReference w:id="53"/>
      </w:r>
      <w:r w:rsidRPr="00972069">
        <w:rPr>
          <w:snapToGrid/>
        </w:rPr>
        <w:t xml:space="preserve">  In addition, the Order on Reconsideration and this final certification will be sent to the Chief Counsel for Advocacy of the SBA, and will be published in the Federal Register.</w:t>
      </w:r>
      <w:r>
        <w:rPr>
          <w:snapToGrid/>
          <w:sz w:val="20"/>
          <w:vertAlign w:val="superscript"/>
        </w:rPr>
        <w:footnoteReference w:id="54"/>
      </w:r>
    </w:p>
    <w:p w:rsidR="00C816F0" w:rsidRPr="00972069" w:rsidP="00A775F8" w14:paraId="0140CBA0" w14:textId="77777777">
      <w:pPr>
        <w:widowControl/>
        <w:suppressAutoHyphens/>
        <w:spacing w:after="120"/>
        <w:jc w:val="center"/>
        <w:outlineLvl w:val="0"/>
        <w:rPr>
          <w:rFonts w:ascii="Times New Roman Bold" w:hAnsi="Times New Roman Bold"/>
          <w:b/>
          <w:caps/>
        </w:rPr>
      </w:pPr>
      <w:bookmarkStart w:id="91" w:name="_Toc17192237"/>
      <w:bookmarkStart w:id="92" w:name="_Toc19029030"/>
      <w:bookmarkStart w:id="93" w:name="_Toc19104739"/>
      <w:r w:rsidRPr="00972069">
        <w:rPr>
          <w:rFonts w:ascii="Times New Roman Bold" w:hAnsi="Times New Roman Bold"/>
          <w:b/>
          <w:caps/>
        </w:rPr>
        <w:t>AttAchment 1</w:t>
      </w:r>
      <w:bookmarkEnd w:id="91"/>
      <w:bookmarkEnd w:id="92"/>
      <w:bookmarkEnd w:id="93"/>
    </w:p>
    <w:p w:rsidR="00C816F0" w:rsidRPr="00972069" w:rsidP="00C816F0" w14:paraId="2DD06CC1" w14:textId="77777777">
      <w:pPr>
        <w:widowControl/>
        <w:spacing w:after="120"/>
        <w:ind w:left="720"/>
        <w:jc w:val="center"/>
        <w:rPr>
          <w:rFonts w:ascii="Times New Roman Bold" w:hAnsi="Times New Roman Bold"/>
          <w:b/>
          <w:caps/>
        </w:rPr>
      </w:pPr>
      <w:bookmarkStart w:id="94" w:name="_Hlk30750981"/>
      <w:r w:rsidRPr="00972069">
        <w:rPr>
          <w:rFonts w:ascii="Times New Roman Bold" w:hAnsi="Times New Roman Bold"/>
          <w:b/>
          <w:caps/>
        </w:rPr>
        <w:t>Illustration of F(50,50) and F(50,10) Levels as a Function of Distance</w:t>
      </w:r>
    </w:p>
    <w:bookmarkEnd w:id="94"/>
    <w:p w:rsidR="00C816F0" w:rsidRPr="00972069" w:rsidP="00C816F0" w14:paraId="2FE8E15C" w14:textId="77777777">
      <w:pPr>
        <w:widowControl/>
        <w:spacing w:after="120"/>
        <w:ind w:left="720"/>
        <w:jc w:val="center"/>
      </w:pPr>
    </w:p>
    <w:p w:rsidR="00C816F0" w:rsidRPr="00972069" w:rsidP="00C816F0" w14:paraId="141A6313" w14:textId="77777777">
      <w:pPr>
        <w:widowControl/>
        <w:spacing w:after="120"/>
        <w:ind w:left="720"/>
      </w:pPr>
      <w:r>
        <w:rPr>
          <w:noProof/>
          <w:snapToGrid/>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15.7pt;height:296.6pt;visibility:visible" o:oleicon="f" o:ole="">
            <v:imagedata r:id="rId10" o:title=""/>
            <o:lock v:ext="edit" aspectratio="f"/>
          </v:shape>
          <o:OLEObject Type="Embed" ProgID="Excel.Sheet.8" ShapeID="Object 1" DrawAspect="Content" ObjectID="_1650798042" r:id="rId11"/>
        </w:object>
      </w:r>
    </w:p>
    <w:p w:rsidR="00C816F0" w:rsidP="00C816F0" w14:paraId="53578729" w14:textId="77777777">
      <w:pPr>
        <w:widowControl/>
        <w:tabs>
          <w:tab w:val="left" w:pos="1349"/>
        </w:tabs>
        <w:ind w:left="2"/>
        <w:rPr>
          <w:color w:val="000000"/>
          <w:kern w:val="0"/>
          <w:szCs w:val="22"/>
        </w:rPr>
        <w:sectPr w:rsidSect="005D6FBF">
          <w:footnotePr>
            <w:numRestart w:val="eachSect"/>
          </w:footnotePr>
          <w:endnotePr>
            <w:numFmt w:val="decimal"/>
          </w:endnotePr>
          <w:pgSz w:w="12240" w:h="15840"/>
          <w:pgMar w:top="1440" w:right="1440" w:bottom="720" w:left="1440" w:header="720" w:footer="720" w:gutter="0"/>
          <w:cols w:space="720"/>
          <w:noEndnote/>
          <w:titlePg/>
        </w:sectPr>
      </w:pPr>
      <w:r w:rsidRPr="00992FC3">
        <w:rPr>
          <w:color w:val="000000"/>
          <w:kern w:val="0"/>
          <w:szCs w:val="22"/>
        </w:rPr>
        <w:t xml:space="preserve">As </w:t>
      </w:r>
      <w:bookmarkStart w:id="95" w:name="_Hlk23255298"/>
      <w:r w:rsidRPr="00992FC3">
        <w:rPr>
          <w:color w:val="000000"/>
          <w:kern w:val="0"/>
          <w:szCs w:val="22"/>
        </w:rPr>
        <w:t xml:space="preserve">illustrated in the above chart, application of the F(50,10) curves to determine interference yields higher values of potential interference for distances greater than approximately 20 kilometers than application of the F(50,50) curves.  </w:t>
      </w:r>
      <w:bookmarkEnd w:id="95"/>
      <w:r w:rsidRPr="00992FC3">
        <w:rPr>
          <w:color w:val="000000"/>
          <w:kern w:val="0"/>
          <w:szCs w:val="22"/>
        </w:rPr>
        <w:t xml:space="preserve">The difference between the two methods increases as a function of distance such that, e.g., at a distance of 80 kilometers, the F(50,10) value is 8.3 dB higher than the F(50,50) value and at 200 kilometers the F(50,10) value is 13 dB higher than the F(50,50) value.  The differences are attributable to the fact that (a) the F(50,10) curves reflect that atmospheric refraction can cause interfering signals to propagate beyond the horizon and (b) the F(50,10) curves predict interference at 50 percent of locations, 10 percent of the time; whereas the F(50,50) curves, predict coverage to the horizon at 50 percent of locations 50 percent of the time.  </w:t>
      </w:r>
    </w:p>
    <w:p w:rsidR="00C816F0" w:rsidRPr="00972069" w:rsidP="00C816F0" w14:paraId="5FE91B61" w14:textId="77777777">
      <w:pPr>
        <w:keepNext/>
        <w:keepLines/>
        <w:widowControl/>
        <w:jc w:val="center"/>
        <w:rPr>
          <w:b/>
          <w:snapToGrid/>
          <w:color w:val="000000"/>
          <w:kern w:val="0"/>
          <w:szCs w:val="22"/>
        </w:rPr>
      </w:pPr>
      <w:r w:rsidRPr="00972069">
        <w:rPr>
          <w:b/>
          <w:snapToGrid/>
          <w:color w:val="000000"/>
          <w:kern w:val="0"/>
          <w:szCs w:val="22"/>
        </w:rPr>
        <w:t xml:space="preserve">ATTACHMENT 2 – </w:t>
      </w:r>
      <w:r>
        <w:rPr>
          <w:b/>
          <w:snapToGrid/>
          <w:color w:val="000000"/>
          <w:kern w:val="0"/>
          <w:szCs w:val="22"/>
        </w:rPr>
        <w:t>FINAL</w:t>
      </w:r>
      <w:r w:rsidRPr="00972069">
        <w:rPr>
          <w:b/>
          <w:snapToGrid/>
          <w:color w:val="000000"/>
          <w:kern w:val="0"/>
          <w:szCs w:val="22"/>
        </w:rPr>
        <w:t xml:space="preserve"> RULES</w:t>
      </w:r>
    </w:p>
    <w:p w:rsidR="00C816F0" w:rsidRPr="00972069" w:rsidP="00C816F0" w14:paraId="0CCC348E" w14:textId="77777777">
      <w:pPr>
        <w:keepNext/>
        <w:keepLines/>
        <w:widowControl/>
        <w:spacing w:after="120"/>
        <w:rPr>
          <w:b/>
          <w:szCs w:val="22"/>
        </w:rPr>
      </w:pPr>
    </w:p>
    <w:p w:rsidR="00C816F0" w:rsidRPr="00972069" w:rsidP="00C816F0" w14:paraId="1108D6AC" w14:textId="77777777">
      <w:pPr>
        <w:keepNext/>
        <w:keepLines/>
        <w:widowControl/>
        <w:spacing w:after="120"/>
        <w:rPr>
          <w:b/>
          <w:szCs w:val="22"/>
        </w:rPr>
      </w:pPr>
      <w:r w:rsidRPr="00972069">
        <w:rPr>
          <w:b/>
          <w:szCs w:val="22"/>
        </w:rPr>
        <w:t>PART 90—PRIVATE LAND MOBILE RADIO SERVICES</w:t>
      </w:r>
    </w:p>
    <w:p w:rsidR="00C816F0" w:rsidRPr="00972069" w:rsidP="00C816F0" w14:paraId="1B2048F9" w14:textId="77777777">
      <w:pPr>
        <w:keepNext/>
        <w:keepLines/>
        <w:widowControl/>
        <w:tabs>
          <w:tab w:val="left" w:pos="360"/>
        </w:tabs>
        <w:spacing w:after="120"/>
        <w:rPr>
          <w:szCs w:val="22"/>
          <w:shd w:val="clear" w:color="auto" w:fill="FFFFFF"/>
        </w:rPr>
      </w:pPr>
      <w:r w:rsidRPr="00972069">
        <w:rPr>
          <w:szCs w:val="22"/>
          <w:shd w:val="clear" w:color="auto" w:fill="FFFFFF"/>
        </w:rPr>
        <w:t xml:space="preserve">The authority citation for Part 90 continues to read as follows: </w:t>
      </w:r>
    </w:p>
    <w:p w:rsidR="00C816F0" w:rsidRPr="00972069" w:rsidP="00C816F0" w14:paraId="409C2CAF" w14:textId="77777777">
      <w:pPr>
        <w:keepNext/>
        <w:keepLines/>
        <w:widowControl/>
        <w:spacing w:after="120"/>
        <w:rPr>
          <w:b/>
        </w:rPr>
      </w:pPr>
      <w:r w:rsidRPr="00972069">
        <w:rPr>
          <w:b/>
        </w:rPr>
        <w:t>AUTHORITY:   Sections 4(i), 161, 303(g), 303(r), and 332(c)(7) of the Communications Act of 1934, as amended, 47 U.S.C. 154(i), 161, 303(g), 303(r), and 332(c)(7).</w:t>
      </w:r>
    </w:p>
    <w:p w:rsidR="00C816F0" w:rsidRPr="00972069" w:rsidP="00C816F0" w14:paraId="426B0034" w14:textId="77777777">
      <w:pPr>
        <w:keepNext/>
        <w:keepLines/>
        <w:widowControl/>
        <w:tabs>
          <w:tab w:val="num" w:pos="810"/>
        </w:tabs>
        <w:spacing w:after="120"/>
        <w:rPr>
          <w:szCs w:val="22"/>
        </w:rPr>
      </w:pPr>
      <w:r w:rsidRPr="00972069">
        <w:rPr>
          <w:szCs w:val="22"/>
        </w:rPr>
        <w:t>Section 90.617 is revised by amending Table 1A in paragraph (a)(2), Table 1B in paragraph (a)(3), Table 2A in paragraph (b)(1) and Table 2B in paragraph (b)(2) to read as follows:</w:t>
      </w:r>
    </w:p>
    <w:p w:rsidR="00C816F0" w:rsidRPr="00972069" w:rsidP="00C816F0" w14:paraId="1DF3A16F" w14:textId="77777777">
      <w:pPr>
        <w:keepNext/>
        <w:keepLines/>
        <w:widowControl/>
        <w:autoSpaceDE w:val="0"/>
        <w:autoSpaceDN w:val="0"/>
        <w:adjustRightInd w:val="0"/>
        <w:spacing w:after="120"/>
        <w:ind w:firstLine="450"/>
        <w:rPr>
          <w:b/>
        </w:rPr>
      </w:pPr>
      <w:r w:rsidRPr="00972069">
        <w:rPr>
          <w:b/>
        </w:rPr>
        <w:t>§ 90.617 Frequencies in the 809.750-824/854.750-869 MHz, and 896-901/935-940 MHz bands available for trunked, conventional or cellular system use in non-border areas.</w:t>
      </w:r>
    </w:p>
    <w:p w:rsidR="00C816F0" w:rsidRPr="00972069" w:rsidP="00C816F0" w14:paraId="2684F14C" w14:textId="77777777">
      <w:pPr>
        <w:keepNext/>
        <w:keepLines/>
        <w:widowControl/>
        <w:autoSpaceDE w:val="0"/>
        <w:autoSpaceDN w:val="0"/>
        <w:adjustRightInd w:val="0"/>
        <w:spacing w:after="120"/>
        <w:ind w:left="450"/>
      </w:pPr>
      <w:r w:rsidRPr="00972069">
        <w:t>* * * * *</w:t>
      </w:r>
    </w:p>
    <w:p w:rsidR="00C816F0" w:rsidRPr="00972069" w:rsidP="00C816F0" w14:paraId="5529BF82" w14:textId="77777777">
      <w:pPr>
        <w:keepNext/>
        <w:keepLines/>
        <w:widowControl/>
        <w:spacing w:after="120"/>
        <w:ind w:firstLine="450"/>
      </w:pPr>
      <w:r w:rsidRPr="00972069">
        <w:t>(a) * * *</w:t>
      </w:r>
    </w:p>
    <w:p w:rsidR="00C816F0" w:rsidRPr="00972069" w:rsidP="00C816F0" w14:paraId="3DA4C255" w14:textId="77777777">
      <w:pPr>
        <w:keepNext/>
        <w:keepLines/>
        <w:widowControl/>
        <w:spacing w:after="120"/>
        <w:ind w:firstLine="450"/>
      </w:pPr>
      <w:r w:rsidRPr="00972069">
        <w:t>(2) * * *</w:t>
      </w:r>
    </w:p>
    <w:p w:rsidR="00C816F0" w:rsidRPr="00972069" w:rsidP="00C816F0" w14:paraId="74C00421" w14:textId="77777777">
      <w:pPr>
        <w:keepNext/>
        <w:keepLines/>
        <w:widowControl/>
        <w:ind w:left="180"/>
        <w:jc w:val="center"/>
      </w:pPr>
      <w:r w:rsidRPr="00972069">
        <w:t>Table 1A—Public Safety Pool 806-813.5/851-858.5 MHz Band Channels for Counties in Southeastern U.S.</w:t>
      </w:r>
    </w:p>
    <w:p w:rsidR="00C816F0" w:rsidRPr="00972069" w:rsidP="00C816F0" w14:paraId="056B4A3F" w14:textId="77777777">
      <w:pPr>
        <w:keepNext/>
        <w:keepLines/>
        <w:widowControl/>
        <w:ind w:firstLine="450"/>
        <w:jc w:val="center"/>
      </w:pPr>
      <w:r w:rsidRPr="00972069">
        <w:t>[138 Channels]</w:t>
      </w:r>
    </w:p>
    <w:p w:rsidR="00C816F0" w:rsidRPr="00972069" w:rsidP="00C816F0" w14:paraId="000C07DE" w14:textId="77777777">
      <w:pPr>
        <w:keepNext/>
        <w:keepLines/>
        <w:widowControl/>
        <w:ind w:firstLine="450"/>
        <w:jc w:val="center"/>
      </w:pPr>
    </w:p>
    <w:p w:rsidR="00C816F0" w:rsidRPr="00972069" w:rsidP="00C816F0" w14:paraId="68966CDE" w14:textId="77777777">
      <w:pPr>
        <w:keepNext/>
        <w:keepLines/>
        <w:widowControl/>
        <w:ind w:firstLine="450"/>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2037"/>
        <w:gridCol w:w="7353"/>
      </w:tblGrid>
      <w:tr w14:paraId="3970E79E" w14:textId="77777777" w:rsidTr="00B56C51">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rPr>
          <w:trHeight w:val="365"/>
        </w:trPr>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6DDB7AB5" w14:textId="77777777">
            <w:pPr>
              <w:keepNext/>
              <w:keepLines/>
              <w:widowControl/>
              <w:jc w:val="center"/>
              <w:rPr>
                <w:rFonts w:eastAsia="Calibri"/>
              </w:rPr>
            </w:pPr>
            <w:r w:rsidRPr="00972069">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17FF551D" w14:textId="77777777">
            <w:pPr>
              <w:keepNext/>
              <w:keepLines/>
              <w:widowControl/>
              <w:jc w:val="center"/>
              <w:rPr>
                <w:rFonts w:eastAsia="Calibri"/>
              </w:rPr>
            </w:pPr>
            <w:r w:rsidRPr="00972069">
              <w:rPr>
                <w:rFonts w:eastAsia="Calibri"/>
              </w:rPr>
              <w:t>Channel Nos.</w:t>
            </w:r>
          </w:p>
        </w:tc>
      </w:tr>
      <w:tr w14:paraId="3E8EA60F"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B726713" w14:textId="77777777">
            <w:pPr>
              <w:keepNext/>
              <w:keepLines/>
              <w:widowControl/>
              <w:rPr>
                <w:rFonts w:eastAsia="Calibri"/>
              </w:rPr>
            </w:pPr>
            <w:r w:rsidRPr="00972069">
              <w:rPr>
                <w:rFonts w:eastAsia="Calibri"/>
              </w:rPr>
              <w:t>261</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EE9131A" w14:textId="77777777">
            <w:pPr>
              <w:keepNext/>
              <w:keepLines/>
              <w:widowControl/>
              <w:rPr>
                <w:rFonts w:eastAsia="Calibri"/>
              </w:rPr>
            </w:pPr>
            <w:r w:rsidRPr="00972069">
              <w:rPr>
                <w:rFonts w:eastAsia="Calibri"/>
              </w:rPr>
              <w:t>261–313–324–335–353</w:t>
            </w:r>
          </w:p>
        </w:tc>
      </w:tr>
      <w:tr w14:paraId="7125926B"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1857095" w14:textId="77777777">
            <w:pPr>
              <w:keepNext/>
              <w:keepLines/>
              <w:widowControl/>
              <w:rPr>
                <w:rFonts w:eastAsia="Calibri"/>
              </w:rPr>
            </w:pPr>
            <w:r w:rsidRPr="00972069">
              <w:rPr>
                <w:rFonts w:eastAsia="Calibri"/>
              </w:rPr>
              <w:t>261a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73CC384" w14:textId="77777777">
            <w:pPr>
              <w:keepNext/>
              <w:keepLines/>
              <w:widowControl/>
              <w:rPr>
                <w:rFonts w:eastAsia="Calibri"/>
              </w:rPr>
            </w:pPr>
            <w:r w:rsidRPr="00972069">
              <w:rPr>
                <w:rFonts w:eastAsia="Calibri"/>
              </w:rPr>
              <w:t>261a–313a–324a–335a–353a</w:t>
            </w:r>
          </w:p>
        </w:tc>
      </w:tr>
      <w:tr w14:paraId="123051D6"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96EF4CD" w14:textId="77777777">
            <w:pPr>
              <w:keepNext/>
              <w:keepLines/>
              <w:widowControl/>
              <w:rPr>
                <w:rFonts w:eastAsia="Calibri"/>
              </w:rPr>
            </w:pPr>
            <w:r w:rsidRPr="00972069">
              <w:rPr>
                <w:rFonts w:eastAsia="Calibri"/>
              </w:rPr>
              <w:t>262</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0B245E6" w14:textId="77777777">
            <w:pPr>
              <w:keepNext/>
              <w:keepLines/>
              <w:widowControl/>
              <w:rPr>
                <w:rFonts w:eastAsia="Calibri"/>
              </w:rPr>
            </w:pPr>
            <w:r w:rsidRPr="00972069">
              <w:rPr>
                <w:rFonts w:eastAsia="Calibri"/>
              </w:rPr>
              <w:t>262–314–325–336–354</w:t>
            </w:r>
          </w:p>
        </w:tc>
      </w:tr>
      <w:tr w14:paraId="7A5BD2C2"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2C04AF1" w14:textId="77777777">
            <w:pPr>
              <w:keepNext/>
              <w:keepLines/>
              <w:widowControl/>
              <w:rPr>
                <w:rFonts w:eastAsia="Calibri"/>
              </w:rPr>
            </w:pPr>
            <w:r w:rsidRPr="00972069">
              <w:rPr>
                <w:rFonts w:eastAsia="Calibri"/>
              </w:rPr>
              <w:t>262a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607F558" w14:textId="77777777">
            <w:pPr>
              <w:keepNext/>
              <w:keepLines/>
              <w:widowControl/>
              <w:rPr>
                <w:rFonts w:eastAsia="Calibri"/>
              </w:rPr>
            </w:pPr>
            <w:r w:rsidRPr="00972069">
              <w:rPr>
                <w:rFonts w:eastAsia="Calibri"/>
              </w:rPr>
              <w:t>262a–314a–325a–336a–354a</w:t>
            </w:r>
          </w:p>
        </w:tc>
      </w:tr>
      <w:tr w14:paraId="1C1391B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FB1599C" w14:textId="77777777">
            <w:pPr>
              <w:keepNext/>
              <w:keepLines/>
              <w:widowControl/>
              <w:rPr>
                <w:rFonts w:eastAsia="Calibri"/>
              </w:rPr>
            </w:pPr>
            <w:r w:rsidRPr="00972069">
              <w:rPr>
                <w:rFonts w:eastAsia="Calibri"/>
              </w:rPr>
              <w:t>265</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1C77656" w14:textId="77777777">
            <w:pPr>
              <w:keepNext/>
              <w:keepLines/>
              <w:widowControl/>
              <w:rPr>
                <w:rFonts w:eastAsia="Calibri"/>
              </w:rPr>
            </w:pPr>
            <w:r w:rsidRPr="00972069">
              <w:rPr>
                <w:rFonts w:eastAsia="Calibri"/>
              </w:rPr>
              <w:t>265–285–315–333–351</w:t>
            </w:r>
          </w:p>
        </w:tc>
      </w:tr>
      <w:tr w14:paraId="65C381AA"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5C9F678" w14:textId="77777777">
            <w:pPr>
              <w:keepNext/>
              <w:keepLines/>
              <w:widowControl/>
              <w:rPr>
                <w:rFonts w:eastAsia="Calibri"/>
              </w:rPr>
            </w:pPr>
            <w:r w:rsidRPr="00972069">
              <w:rPr>
                <w:rFonts w:eastAsia="Calibri"/>
              </w:rPr>
              <w:t>265a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0011D08" w14:textId="77777777">
            <w:pPr>
              <w:keepNext/>
              <w:keepLines/>
              <w:widowControl/>
              <w:rPr>
                <w:rFonts w:eastAsia="Calibri"/>
              </w:rPr>
            </w:pPr>
            <w:r w:rsidRPr="00972069">
              <w:rPr>
                <w:rFonts w:eastAsia="Calibri"/>
              </w:rPr>
              <w:t>265a–285a–315a–333a–351a</w:t>
            </w:r>
          </w:p>
        </w:tc>
      </w:tr>
      <w:tr w14:paraId="0C8569FE"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85234B8" w14:textId="77777777">
            <w:pPr>
              <w:keepNext/>
              <w:keepLines/>
              <w:widowControl/>
              <w:rPr>
                <w:rFonts w:eastAsia="Calibri"/>
              </w:rPr>
            </w:pPr>
            <w:r w:rsidRPr="00972069">
              <w:rPr>
                <w:rFonts w:eastAsia="Calibri"/>
              </w:rPr>
              <w:t>266</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4BD4825" w14:textId="77777777">
            <w:pPr>
              <w:keepNext/>
              <w:keepLines/>
              <w:widowControl/>
              <w:rPr>
                <w:rFonts w:eastAsia="Calibri"/>
              </w:rPr>
            </w:pPr>
            <w:r w:rsidRPr="00972069">
              <w:rPr>
                <w:rFonts w:eastAsia="Calibri"/>
              </w:rPr>
              <w:t>266–286–316–334–352</w:t>
            </w:r>
          </w:p>
        </w:tc>
      </w:tr>
      <w:tr w14:paraId="2C19AEA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53FF1BD" w14:textId="77777777">
            <w:pPr>
              <w:keepNext/>
              <w:keepLines/>
              <w:widowControl/>
              <w:rPr>
                <w:rFonts w:eastAsia="Calibri"/>
              </w:rPr>
            </w:pPr>
            <w:r w:rsidRPr="00972069">
              <w:rPr>
                <w:rFonts w:eastAsia="Calibri"/>
              </w:rPr>
              <w:t>266a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129CFE7" w14:textId="77777777">
            <w:pPr>
              <w:keepNext/>
              <w:keepLines/>
              <w:widowControl/>
              <w:rPr>
                <w:rFonts w:eastAsia="Calibri"/>
              </w:rPr>
            </w:pPr>
            <w:r w:rsidRPr="00972069">
              <w:rPr>
                <w:rFonts w:eastAsia="Calibri"/>
              </w:rPr>
              <w:t>266a–286a–316a–334a–352a</w:t>
            </w:r>
          </w:p>
        </w:tc>
      </w:tr>
      <w:tr w14:paraId="417B6C02"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04E1F6C" w14:textId="77777777">
            <w:pPr>
              <w:keepNext/>
              <w:keepLines/>
              <w:widowControl/>
              <w:rPr>
                <w:rFonts w:eastAsia="Calibri"/>
              </w:rPr>
            </w:pPr>
            <w:r w:rsidRPr="00972069">
              <w:rPr>
                <w:rFonts w:eastAsia="Calibri"/>
              </w:rPr>
              <w:t>269</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0185B83" w14:textId="77777777">
            <w:pPr>
              <w:keepNext/>
              <w:keepLines/>
              <w:widowControl/>
              <w:rPr>
                <w:rFonts w:eastAsia="Calibri"/>
              </w:rPr>
            </w:pPr>
            <w:r w:rsidRPr="00972069">
              <w:rPr>
                <w:rFonts w:eastAsia="Calibri"/>
              </w:rPr>
              <w:t>269–289–311–322–357</w:t>
            </w:r>
          </w:p>
        </w:tc>
      </w:tr>
      <w:tr w14:paraId="296AD5E4"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6EB6424" w14:textId="77777777">
            <w:pPr>
              <w:keepNext/>
              <w:keepLines/>
              <w:widowControl/>
              <w:rPr>
                <w:rFonts w:eastAsia="Calibri"/>
              </w:rPr>
            </w:pPr>
            <w:r w:rsidRPr="00972069">
              <w:rPr>
                <w:rFonts w:eastAsia="Calibri"/>
              </w:rPr>
              <w:t>269a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F6D9144" w14:textId="77777777">
            <w:pPr>
              <w:keepNext/>
              <w:keepLines/>
              <w:widowControl/>
              <w:rPr>
                <w:rFonts w:eastAsia="Calibri"/>
              </w:rPr>
            </w:pPr>
            <w:r w:rsidRPr="00972069">
              <w:rPr>
                <w:rFonts w:eastAsia="Calibri"/>
              </w:rPr>
              <w:t>269a–289a–311a–322a–357a</w:t>
            </w:r>
          </w:p>
        </w:tc>
      </w:tr>
      <w:tr w14:paraId="07F34B71"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29C4CCC" w14:textId="77777777">
            <w:pPr>
              <w:keepNext/>
              <w:keepLines/>
              <w:widowControl/>
              <w:rPr>
                <w:rFonts w:eastAsia="Calibri"/>
              </w:rPr>
            </w:pPr>
            <w:r w:rsidRPr="00972069">
              <w:rPr>
                <w:rFonts w:eastAsia="Calibri"/>
              </w:rPr>
              <w:t>270</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13ACDBB" w14:textId="77777777">
            <w:pPr>
              <w:keepNext/>
              <w:keepLines/>
              <w:widowControl/>
              <w:rPr>
                <w:rFonts w:eastAsia="Calibri"/>
              </w:rPr>
            </w:pPr>
            <w:r w:rsidRPr="00972069">
              <w:rPr>
                <w:rFonts w:eastAsia="Calibri"/>
              </w:rPr>
              <w:t>270–290–312–323–355</w:t>
            </w:r>
          </w:p>
        </w:tc>
      </w:tr>
      <w:tr w14:paraId="01DBDFD0"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BA1E3A1" w14:textId="77777777">
            <w:pPr>
              <w:keepNext/>
              <w:keepLines/>
              <w:widowControl/>
              <w:rPr>
                <w:rFonts w:eastAsia="Calibri"/>
              </w:rPr>
            </w:pPr>
            <w:r w:rsidRPr="00972069">
              <w:rPr>
                <w:rFonts w:eastAsia="Calibri"/>
              </w:rPr>
              <w:t>270a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CA64618" w14:textId="77777777">
            <w:pPr>
              <w:keepNext/>
              <w:keepLines/>
              <w:widowControl/>
              <w:rPr>
                <w:rFonts w:eastAsia="Calibri"/>
              </w:rPr>
            </w:pPr>
            <w:r w:rsidRPr="00972069">
              <w:rPr>
                <w:rFonts w:eastAsia="Calibri"/>
              </w:rPr>
              <w:t>270a–290a–312a–323a–355a</w:t>
            </w:r>
          </w:p>
        </w:tc>
      </w:tr>
      <w:tr w14:paraId="4FCA4B5E"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B25E0E9" w14:textId="77777777">
            <w:pPr>
              <w:keepNext/>
              <w:keepLines/>
              <w:widowControl/>
              <w:rPr>
                <w:rFonts w:eastAsia="Calibri"/>
              </w:rPr>
            </w:pPr>
            <w:r w:rsidRPr="00972069">
              <w:rPr>
                <w:rFonts w:eastAsia="Calibri"/>
              </w:rPr>
              <w:t>271</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7324D40" w14:textId="77777777">
            <w:pPr>
              <w:keepNext/>
              <w:keepLines/>
              <w:widowControl/>
              <w:rPr>
                <w:rFonts w:eastAsia="Calibri"/>
              </w:rPr>
            </w:pPr>
            <w:r w:rsidRPr="00972069">
              <w:rPr>
                <w:rFonts w:eastAsia="Calibri"/>
              </w:rPr>
              <w:t>271–328–348–358–368</w:t>
            </w:r>
          </w:p>
        </w:tc>
      </w:tr>
      <w:tr w14:paraId="44BFD2EA"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EBA3B0E" w14:textId="77777777">
            <w:pPr>
              <w:keepNext/>
              <w:keepLines/>
              <w:widowControl/>
              <w:rPr>
                <w:rFonts w:eastAsia="Calibri"/>
              </w:rPr>
            </w:pPr>
            <w:r w:rsidRPr="00972069">
              <w:rPr>
                <w:rFonts w:eastAsia="Calibri"/>
              </w:rPr>
              <w:t>271a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9783CC2" w14:textId="77777777">
            <w:pPr>
              <w:keepNext/>
              <w:keepLines/>
              <w:widowControl/>
              <w:rPr>
                <w:rFonts w:eastAsia="Calibri"/>
              </w:rPr>
            </w:pPr>
            <w:r w:rsidRPr="00972069">
              <w:rPr>
                <w:rFonts w:eastAsia="Calibri"/>
              </w:rPr>
              <w:t>271a–328a–348a–358a–368a</w:t>
            </w:r>
          </w:p>
        </w:tc>
      </w:tr>
      <w:tr w14:paraId="3F81552A"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E0B3F31" w14:textId="77777777">
            <w:pPr>
              <w:keepNext/>
              <w:keepLines/>
              <w:widowControl/>
              <w:rPr>
                <w:rFonts w:eastAsia="Calibri"/>
              </w:rPr>
            </w:pPr>
            <w:r w:rsidRPr="00972069">
              <w:rPr>
                <w:rFonts w:eastAsia="Calibri"/>
              </w:rPr>
              <w:t>279</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083E8A8" w14:textId="77777777">
            <w:pPr>
              <w:keepNext/>
              <w:keepLines/>
              <w:widowControl/>
              <w:rPr>
                <w:rFonts w:eastAsia="Calibri"/>
              </w:rPr>
            </w:pPr>
            <w:r w:rsidRPr="00972069">
              <w:rPr>
                <w:rFonts w:eastAsia="Calibri"/>
              </w:rPr>
              <w:t>279–299–317–339–359</w:t>
            </w:r>
          </w:p>
        </w:tc>
      </w:tr>
      <w:tr w14:paraId="24294EFD"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FAD07D2" w14:textId="77777777">
            <w:pPr>
              <w:keepNext/>
              <w:keepLines/>
              <w:widowControl/>
              <w:rPr>
                <w:rFonts w:eastAsia="Calibri"/>
              </w:rPr>
            </w:pPr>
            <w:r w:rsidRPr="00972069">
              <w:rPr>
                <w:rFonts w:eastAsia="Calibri"/>
              </w:rPr>
              <w:t>279a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C11DBC8" w14:textId="77777777">
            <w:pPr>
              <w:keepNext/>
              <w:keepLines/>
              <w:widowControl/>
              <w:rPr>
                <w:rFonts w:eastAsia="Calibri"/>
              </w:rPr>
            </w:pPr>
            <w:r w:rsidRPr="00972069">
              <w:rPr>
                <w:rFonts w:eastAsia="Calibri"/>
              </w:rPr>
              <w:t>279a–299a–317a–339a–359a</w:t>
            </w:r>
          </w:p>
        </w:tc>
      </w:tr>
      <w:tr w14:paraId="0032F900"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FC816C0" w14:textId="77777777">
            <w:pPr>
              <w:keepNext/>
              <w:keepLines/>
              <w:widowControl/>
              <w:rPr>
                <w:rFonts w:eastAsia="Calibri"/>
              </w:rPr>
            </w:pPr>
            <w:r w:rsidRPr="00972069">
              <w:rPr>
                <w:rFonts w:eastAsia="Calibri"/>
              </w:rPr>
              <w:t>280</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A1DB199" w14:textId="77777777">
            <w:pPr>
              <w:keepNext/>
              <w:keepLines/>
              <w:widowControl/>
              <w:rPr>
                <w:rFonts w:eastAsia="Calibri"/>
              </w:rPr>
            </w:pPr>
            <w:r w:rsidRPr="00972069">
              <w:rPr>
                <w:rFonts w:eastAsia="Calibri"/>
              </w:rPr>
              <w:t>280–300–318–340–360</w:t>
            </w:r>
          </w:p>
        </w:tc>
      </w:tr>
      <w:tr w14:paraId="6D0A65E1"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E87343D" w14:textId="77777777">
            <w:pPr>
              <w:keepNext/>
              <w:keepLines/>
              <w:widowControl/>
              <w:rPr>
                <w:rFonts w:eastAsia="Calibri"/>
              </w:rPr>
            </w:pPr>
            <w:r w:rsidRPr="00972069">
              <w:rPr>
                <w:rFonts w:eastAsia="Calibri"/>
              </w:rPr>
              <w:t>280a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3EBEDB0" w14:textId="77777777">
            <w:pPr>
              <w:keepNext/>
              <w:keepLines/>
              <w:widowControl/>
              <w:rPr>
                <w:rFonts w:eastAsia="Calibri"/>
              </w:rPr>
            </w:pPr>
            <w:r w:rsidRPr="00972069">
              <w:rPr>
                <w:rFonts w:eastAsia="Calibri"/>
              </w:rPr>
              <w:t>280a–300a–318a–340a–360a</w:t>
            </w:r>
          </w:p>
        </w:tc>
      </w:tr>
      <w:tr w14:paraId="5F181510"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2F36CFD" w14:textId="77777777">
            <w:pPr>
              <w:keepNext/>
              <w:keepLines/>
              <w:widowControl/>
              <w:rPr>
                <w:rFonts w:eastAsia="Calibri"/>
              </w:rPr>
            </w:pPr>
            <w:r w:rsidRPr="00972069">
              <w:rPr>
                <w:rFonts w:eastAsia="Calibri"/>
              </w:rPr>
              <w:t>309</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FA8F051" w14:textId="77777777">
            <w:pPr>
              <w:keepNext/>
              <w:keepLines/>
              <w:widowControl/>
              <w:rPr>
                <w:rFonts w:eastAsia="Calibri"/>
              </w:rPr>
            </w:pPr>
            <w:r w:rsidRPr="00972069">
              <w:rPr>
                <w:rFonts w:eastAsia="Calibri"/>
              </w:rPr>
              <w:t>309–319–329–349–369</w:t>
            </w:r>
          </w:p>
        </w:tc>
      </w:tr>
      <w:tr w14:paraId="6AC60C6F"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9ECE526" w14:textId="77777777">
            <w:pPr>
              <w:keepNext/>
              <w:keepLines/>
              <w:widowControl/>
              <w:rPr>
                <w:rFonts w:eastAsia="Calibri"/>
              </w:rPr>
            </w:pPr>
            <w:r w:rsidRPr="00972069">
              <w:rPr>
                <w:rFonts w:eastAsia="Calibri"/>
              </w:rPr>
              <w:t>309a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01FB094" w14:textId="77777777">
            <w:pPr>
              <w:keepNext/>
              <w:keepLines/>
              <w:widowControl/>
              <w:rPr>
                <w:rFonts w:eastAsia="Calibri"/>
              </w:rPr>
            </w:pPr>
            <w:r w:rsidRPr="00972069">
              <w:rPr>
                <w:rFonts w:eastAsia="Calibri"/>
              </w:rPr>
              <w:t>309a–319a–329a–349a–369a</w:t>
            </w:r>
          </w:p>
        </w:tc>
      </w:tr>
      <w:tr w14:paraId="031C4200"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AD7E307" w14:textId="77777777">
            <w:pPr>
              <w:keepNext/>
              <w:keepLines/>
              <w:widowControl/>
              <w:rPr>
                <w:rFonts w:eastAsia="Calibri"/>
              </w:rPr>
            </w:pPr>
            <w:r w:rsidRPr="00972069">
              <w:rPr>
                <w:rFonts w:eastAsia="Calibri"/>
              </w:rPr>
              <w:t>310</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72D622D" w14:textId="77777777">
            <w:pPr>
              <w:keepNext/>
              <w:keepLines/>
              <w:widowControl/>
              <w:rPr>
                <w:rFonts w:eastAsia="Calibri"/>
              </w:rPr>
            </w:pPr>
            <w:r w:rsidRPr="00972069">
              <w:rPr>
                <w:rFonts w:eastAsia="Calibri"/>
              </w:rPr>
              <w:t>310–320–330–350–370</w:t>
            </w:r>
          </w:p>
        </w:tc>
      </w:tr>
      <w:tr w14:paraId="4265E866"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E1CB1D2" w14:textId="77777777">
            <w:pPr>
              <w:keepNext/>
              <w:keepLines/>
              <w:widowControl/>
              <w:rPr>
                <w:rFonts w:eastAsia="Calibri"/>
              </w:rPr>
            </w:pPr>
            <w:r w:rsidRPr="00972069">
              <w:rPr>
                <w:rFonts w:eastAsia="Calibri"/>
              </w:rPr>
              <w:t>310a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DDEAB7E" w14:textId="77777777">
            <w:pPr>
              <w:keepNext/>
              <w:keepLines/>
              <w:widowControl/>
              <w:rPr>
                <w:rFonts w:eastAsia="Calibri"/>
              </w:rPr>
            </w:pPr>
            <w:r w:rsidRPr="00972069">
              <w:rPr>
                <w:rFonts w:eastAsia="Calibri"/>
              </w:rPr>
              <w:t>310a–320a–330a–350a</w:t>
            </w:r>
          </w:p>
        </w:tc>
      </w:tr>
      <w:tr w14:paraId="1F35CDFA"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A9172E9" w14:textId="77777777">
            <w:pPr>
              <w:keepNext/>
              <w:keepLines/>
              <w:widowControl/>
              <w:rPr>
                <w:rFonts w:eastAsia="Calibri"/>
              </w:rPr>
            </w:pPr>
            <w:r w:rsidRPr="00972069">
              <w:rPr>
                <w:rFonts w:eastAsia="Calibri"/>
              </w:rPr>
              <w:t>321</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8F23707" w14:textId="77777777">
            <w:pPr>
              <w:keepNext/>
              <w:keepLines/>
              <w:widowControl/>
              <w:rPr>
                <w:rFonts w:eastAsia="Calibri"/>
              </w:rPr>
            </w:pPr>
            <w:r w:rsidRPr="00972069">
              <w:rPr>
                <w:rFonts w:eastAsia="Calibri"/>
              </w:rPr>
              <w:t>321–331–341–361–372</w:t>
            </w:r>
          </w:p>
        </w:tc>
      </w:tr>
      <w:tr w14:paraId="0FE00E27"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E2BBFC4" w14:textId="77777777">
            <w:pPr>
              <w:keepNext/>
              <w:keepLines/>
              <w:widowControl/>
              <w:rPr>
                <w:rFonts w:eastAsia="Calibri"/>
              </w:rPr>
            </w:pPr>
            <w:r w:rsidRPr="00972069">
              <w:rPr>
                <w:rFonts w:eastAsia="Calibri"/>
              </w:rPr>
              <w:t>321a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F68BB24" w14:textId="77777777">
            <w:pPr>
              <w:keepNext/>
              <w:keepLines/>
              <w:widowControl/>
              <w:rPr>
                <w:rFonts w:eastAsia="Calibri"/>
              </w:rPr>
            </w:pPr>
            <w:r w:rsidRPr="00972069">
              <w:rPr>
                <w:rFonts w:eastAsia="Calibri"/>
              </w:rPr>
              <w:t>321a–331a–341a–361a</w:t>
            </w:r>
          </w:p>
        </w:tc>
      </w:tr>
      <w:tr w14:paraId="28FA3B3C"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18B98E1" w14:textId="77777777">
            <w:pPr>
              <w:keepNext/>
              <w:keepLines/>
              <w:widowControl/>
              <w:rPr>
                <w:rFonts w:eastAsia="Calibri"/>
              </w:rPr>
            </w:pPr>
            <w:r w:rsidRPr="00972069">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374B7C0" w14:textId="77777777">
            <w:pPr>
              <w:keepNext/>
              <w:keepLines/>
              <w:widowControl/>
              <w:rPr>
                <w:rFonts w:eastAsia="Calibri"/>
              </w:rPr>
            </w:pPr>
            <w:r w:rsidRPr="00972069">
              <w:rPr>
                <w:rFonts w:eastAsia="Calibri"/>
              </w:rPr>
              <w:t>326, 327, 332, 337, 338, 342, 343, 344, 345, 356</w:t>
            </w:r>
          </w:p>
          <w:p w:rsidR="00C816F0" w:rsidRPr="00972069" w:rsidP="00B56C51" w14:paraId="2FB9E338" w14:textId="77777777">
            <w:pPr>
              <w:keepNext/>
              <w:keepLines/>
              <w:widowControl/>
              <w:rPr>
                <w:rFonts w:eastAsia="Calibri"/>
              </w:rPr>
            </w:pPr>
          </w:p>
          <w:p w:rsidR="00C816F0" w:rsidRPr="00972069" w:rsidP="00B56C51" w14:paraId="094EA41A" w14:textId="77777777">
            <w:pPr>
              <w:keepNext/>
              <w:keepLines/>
              <w:widowControl/>
              <w:rPr>
                <w:rFonts w:eastAsia="Calibri"/>
              </w:rPr>
            </w:pPr>
            <w:r w:rsidRPr="00972069">
              <w:rPr>
                <w:rFonts w:eastAsia="Calibri"/>
              </w:rPr>
              <w:t>326a, 327a, 332a, 337a, 338a, 342a, 343a, 344a, 345a, 356a</w:t>
            </w:r>
          </w:p>
        </w:tc>
      </w:tr>
    </w:tbl>
    <w:p w:rsidR="00C816F0" w:rsidRPr="00972069" w:rsidP="00C816F0" w14:paraId="22BF32B5" w14:textId="77777777">
      <w:pPr>
        <w:keepNext/>
        <w:keepLines/>
        <w:widowControl/>
        <w:ind w:firstLine="450"/>
      </w:pPr>
    </w:p>
    <w:p w:rsidR="00C816F0" w:rsidRPr="00972069" w:rsidP="00C816F0" w14:paraId="1C090F4A" w14:textId="77777777">
      <w:pPr>
        <w:keepNext/>
        <w:keepLines/>
        <w:widowControl/>
        <w:tabs>
          <w:tab w:val="left" w:pos="720"/>
        </w:tabs>
        <w:ind w:left="720"/>
      </w:pPr>
      <w:r w:rsidRPr="00972069">
        <w:t>(3) * * *</w:t>
      </w:r>
    </w:p>
    <w:p w:rsidR="00C816F0" w:rsidRPr="00972069" w:rsidP="00C816F0" w14:paraId="229C52F1" w14:textId="77777777">
      <w:pPr>
        <w:keepNext/>
        <w:keepLines/>
        <w:widowControl/>
        <w:jc w:val="center"/>
        <w:rPr>
          <w:bCs/>
        </w:rPr>
      </w:pPr>
    </w:p>
    <w:p w:rsidR="00C816F0" w:rsidRPr="00972069" w:rsidP="00C816F0" w14:paraId="62269ED9" w14:textId="77777777">
      <w:pPr>
        <w:keepNext/>
        <w:keepLines/>
        <w:widowControl/>
        <w:jc w:val="center"/>
        <w:rPr>
          <w:bCs/>
        </w:rPr>
      </w:pPr>
      <w:r w:rsidRPr="00972069">
        <w:rPr>
          <w:bCs/>
        </w:rPr>
        <w:br w:type="page"/>
      </w:r>
    </w:p>
    <w:p w:rsidR="00C816F0" w:rsidRPr="00972069" w:rsidP="00C816F0" w14:paraId="7EA8C69E" w14:textId="77777777">
      <w:pPr>
        <w:keepNext/>
        <w:keepLines/>
        <w:widowControl/>
        <w:jc w:val="center"/>
        <w:rPr>
          <w:bCs/>
        </w:rPr>
      </w:pPr>
      <w:r w:rsidRPr="00972069">
        <w:rPr>
          <w:bCs/>
        </w:rPr>
        <w:t>Table 1B—Public Safety Pool 806–813.5/851–858.5 MHz Band Channels for Atlanta, GA</w:t>
      </w:r>
    </w:p>
    <w:p w:rsidR="00C816F0" w:rsidRPr="00972069" w:rsidP="00C816F0" w14:paraId="2BD888CC" w14:textId="77777777">
      <w:pPr>
        <w:keepNext/>
        <w:keepLines/>
        <w:widowControl/>
        <w:jc w:val="center"/>
      </w:pPr>
      <w:r w:rsidRPr="00972069">
        <w:t>[138 Channels]</w:t>
      </w:r>
    </w:p>
    <w:p w:rsidR="00C816F0" w:rsidRPr="00972069" w:rsidP="00C816F0" w14:paraId="2D04B514" w14:textId="77777777">
      <w:pPr>
        <w:keepNext/>
        <w:keepLines/>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2213"/>
        <w:gridCol w:w="7177"/>
      </w:tblGrid>
      <w:tr w14:paraId="435323CE" w14:textId="77777777" w:rsidTr="00B56C51">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28A3983C" w14:textId="77777777">
            <w:pPr>
              <w:keepNext/>
              <w:keepLines/>
              <w:widowControl/>
              <w:jc w:val="center"/>
              <w:rPr>
                <w:rFonts w:eastAsia="Calibri"/>
              </w:rPr>
            </w:pPr>
            <w:r w:rsidRPr="00972069">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2713F2B7" w14:textId="77777777">
            <w:pPr>
              <w:keepNext/>
              <w:keepLines/>
              <w:widowControl/>
              <w:jc w:val="center"/>
              <w:rPr>
                <w:rFonts w:eastAsia="Calibri"/>
              </w:rPr>
            </w:pPr>
            <w:r w:rsidRPr="00972069">
              <w:rPr>
                <w:rFonts w:eastAsia="Calibri"/>
              </w:rPr>
              <w:t>Channel Nos.</w:t>
            </w:r>
          </w:p>
        </w:tc>
      </w:tr>
      <w:tr w14:paraId="295AEB57"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791810E" w14:textId="77777777">
            <w:pPr>
              <w:keepNext/>
              <w:keepLines/>
              <w:widowControl/>
              <w:rPr>
                <w:rFonts w:eastAsia="Calibri"/>
              </w:rPr>
            </w:pPr>
            <w:r w:rsidRPr="00972069">
              <w:rPr>
                <w:rFonts w:eastAsia="Calibri"/>
              </w:rPr>
              <w:t>261</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410F384" w14:textId="77777777">
            <w:pPr>
              <w:keepNext/>
              <w:keepLines/>
              <w:widowControl/>
              <w:rPr>
                <w:rFonts w:eastAsia="Calibri"/>
              </w:rPr>
            </w:pPr>
            <w:r w:rsidRPr="00972069">
              <w:rPr>
                <w:rFonts w:eastAsia="Calibri"/>
              </w:rPr>
              <w:t>261–313–324–335–353</w:t>
            </w:r>
          </w:p>
        </w:tc>
      </w:tr>
      <w:tr w14:paraId="7E460675"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0034106" w14:textId="77777777">
            <w:pPr>
              <w:keepNext/>
              <w:keepLines/>
              <w:widowControl/>
              <w:rPr>
                <w:rFonts w:eastAsia="Calibri"/>
              </w:rPr>
            </w:pPr>
            <w:r w:rsidRPr="00972069">
              <w:rPr>
                <w:rFonts w:eastAsia="Calibri"/>
              </w:rPr>
              <w:t>261a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7E2438B" w14:textId="77777777">
            <w:pPr>
              <w:keepNext/>
              <w:keepLines/>
              <w:widowControl/>
              <w:rPr>
                <w:rFonts w:eastAsia="Calibri"/>
              </w:rPr>
            </w:pPr>
            <w:r w:rsidRPr="00972069">
              <w:rPr>
                <w:rFonts w:eastAsia="Calibri"/>
              </w:rPr>
              <w:t>261a–313a–324a–335a–353a</w:t>
            </w:r>
          </w:p>
        </w:tc>
      </w:tr>
      <w:tr w14:paraId="21141932"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F72A3F9" w14:textId="77777777">
            <w:pPr>
              <w:keepNext/>
              <w:keepLines/>
              <w:widowControl/>
              <w:rPr>
                <w:rFonts w:eastAsia="Calibri"/>
              </w:rPr>
            </w:pPr>
            <w:r w:rsidRPr="00972069">
              <w:rPr>
                <w:rFonts w:eastAsia="Calibri"/>
              </w:rPr>
              <w:t>262</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C096FD5" w14:textId="77777777">
            <w:pPr>
              <w:keepNext/>
              <w:keepLines/>
              <w:widowControl/>
              <w:rPr>
                <w:rFonts w:eastAsia="Calibri"/>
              </w:rPr>
            </w:pPr>
            <w:r w:rsidRPr="00972069">
              <w:rPr>
                <w:rFonts w:eastAsia="Calibri"/>
              </w:rPr>
              <w:t>262–314–325–336–354</w:t>
            </w:r>
          </w:p>
        </w:tc>
      </w:tr>
      <w:tr w14:paraId="6F858754"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B174C56" w14:textId="77777777">
            <w:pPr>
              <w:keepNext/>
              <w:keepLines/>
              <w:widowControl/>
              <w:rPr>
                <w:rFonts w:eastAsia="Calibri"/>
              </w:rPr>
            </w:pPr>
            <w:r w:rsidRPr="00972069">
              <w:rPr>
                <w:rFonts w:eastAsia="Calibri"/>
              </w:rPr>
              <w:t>262a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7D8496B" w14:textId="77777777">
            <w:pPr>
              <w:keepNext/>
              <w:keepLines/>
              <w:widowControl/>
              <w:rPr>
                <w:rFonts w:eastAsia="Calibri"/>
              </w:rPr>
            </w:pPr>
            <w:r w:rsidRPr="00972069">
              <w:rPr>
                <w:rFonts w:eastAsia="Calibri"/>
              </w:rPr>
              <w:t>262a–314a–325a–336a–354a</w:t>
            </w:r>
          </w:p>
        </w:tc>
      </w:tr>
      <w:tr w14:paraId="2F9CA7CC"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0A58C36" w14:textId="77777777">
            <w:pPr>
              <w:keepNext/>
              <w:keepLines/>
              <w:widowControl/>
              <w:rPr>
                <w:rFonts w:eastAsia="Calibri"/>
              </w:rPr>
            </w:pPr>
            <w:r w:rsidRPr="00972069">
              <w:rPr>
                <w:rFonts w:eastAsia="Calibri"/>
              </w:rPr>
              <w:t>269</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A00E6A2" w14:textId="77777777">
            <w:pPr>
              <w:keepNext/>
              <w:keepLines/>
              <w:widowControl/>
              <w:rPr>
                <w:rFonts w:eastAsia="Calibri"/>
              </w:rPr>
            </w:pPr>
            <w:r w:rsidRPr="00972069">
              <w:rPr>
                <w:rFonts w:eastAsia="Calibri"/>
              </w:rPr>
              <w:t>269–289–311–322–357</w:t>
            </w:r>
          </w:p>
        </w:tc>
      </w:tr>
      <w:tr w14:paraId="452D1A67"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7DE19DF" w14:textId="77777777">
            <w:pPr>
              <w:keepNext/>
              <w:keepLines/>
              <w:widowControl/>
              <w:rPr>
                <w:rFonts w:eastAsia="Calibri"/>
              </w:rPr>
            </w:pPr>
            <w:r w:rsidRPr="00972069">
              <w:rPr>
                <w:rFonts w:eastAsia="Calibri"/>
              </w:rPr>
              <w:t>269a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E9354E9" w14:textId="77777777">
            <w:pPr>
              <w:keepNext/>
              <w:keepLines/>
              <w:widowControl/>
              <w:rPr>
                <w:rFonts w:eastAsia="Calibri"/>
              </w:rPr>
            </w:pPr>
            <w:r w:rsidRPr="00972069">
              <w:rPr>
                <w:rFonts w:eastAsia="Calibri"/>
              </w:rPr>
              <w:t>269a–289a–311a–322a–357a</w:t>
            </w:r>
          </w:p>
        </w:tc>
      </w:tr>
      <w:tr w14:paraId="328FD979"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E5ABE40" w14:textId="77777777">
            <w:pPr>
              <w:keepNext/>
              <w:keepLines/>
              <w:widowControl/>
              <w:rPr>
                <w:rFonts w:eastAsia="Calibri"/>
              </w:rPr>
            </w:pPr>
            <w:r w:rsidRPr="00972069">
              <w:rPr>
                <w:rFonts w:eastAsia="Calibri"/>
              </w:rPr>
              <w:t>270</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A419F7A" w14:textId="77777777">
            <w:pPr>
              <w:keepNext/>
              <w:keepLines/>
              <w:widowControl/>
              <w:rPr>
                <w:rFonts w:eastAsia="Calibri"/>
              </w:rPr>
            </w:pPr>
            <w:r w:rsidRPr="00972069">
              <w:rPr>
                <w:rFonts w:eastAsia="Calibri"/>
              </w:rPr>
              <w:t>270–290–312–323–355</w:t>
            </w:r>
          </w:p>
        </w:tc>
      </w:tr>
      <w:tr w14:paraId="084EDDC6"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396BBBE" w14:textId="77777777">
            <w:pPr>
              <w:keepNext/>
              <w:keepLines/>
              <w:widowControl/>
              <w:rPr>
                <w:rFonts w:eastAsia="Calibri"/>
              </w:rPr>
            </w:pPr>
            <w:r w:rsidRPr="00972069">
              <w:rPr>
                <w:rFonts w:eastAsia="Calibri"/>
              </w:rPr>
              <w:t>270a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8AD381F" w14:textId="77777777">
            <w:pPr>
              <w:keepNext/>
              <w:keepLines/>
              <w:widowControl/>
              <w:rPr>
                <w:rFonts w:eastAsia="Calibri"/>
              </w:rPr>
            </w:pPr>
            <w:r w:rsidRPr="00972069">
              <w:rPr>
                <w:rFonts w:eastAsia="Calibri"/>
              </w:rPr>
              <w:t>270a–290a–312a–323a–355a</w:t>
            </w:r>
          </w:p>
        </w:tc>
      </w:tr>
      <w:tr w14:paraId="3FB9A12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49EA69B" w14:textId="77777777">
            <w:pPr>
              <w:keepNext/>
              <w:keepLines/>
              <w:widowControl/>
              <w:rPr>
                <w:rFonts w:eastAsia="Calibri"/>
              </w:rPr>
            </w:pPr>
            <w:r w:rsidRPr="00972069">
              <w:rPr>
                <w:rFonts w:eastAsia="Calibri"/>
              </w:rPr>
              <w:t>279</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56A728E" w14:textId="77777777">
            <w:pPr>
              <w:keepNext/>
              <w:keepLines/>
              <w:widowControl/>
              <w:rPr>
                <w:rFonts w:eastAsia="Calibri"/>
              </w:rPr>
            </w:pPr>
            <w:r w:rsidRPr="00972069">
              <w:rPr>
                <w:rFonts w:eastAsia="Calibri"/>
              </w:rPr>
              <w:t>279–299–319–339–359</w:t>
            </w:r>
          </w:p>
        </w:tc>
      </w:tr>
      <w:tr w14:paraId="4D03F78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F6840C4" w14:textId="77777777">
            <w:pPr>
              <w:keepNext/>
              <w:keepLines/>
              <w:widowControl/>
              <w:rPr>
                <w:rFonts w:eastAsia="Calibri"/>
              </w:rPr>
            </w:pPr>
            <w:r w:rsidRPr="00972069">
              <w:rPr>
                <w:rFonts w:eastAsia="Calibri"/>
              </w:rPr>
              <w:t>279a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D8972BF" w14:textId="77777777">
            <w:pPr>
              <w:keepNext/>
              <w:keepLines/>
              <w:widowControl/>
              <w:rPr>
                <w:rFonts w:eastAsia="Calibri"/>
              </w:rPr>
            </w:pPr>
            <w:r w:rsidRPr="00972069">
              <w:rPr>
                <w:rFonts w:eastAsia="Calibri"/>
              </w:rPr>
              <w:t>279a–299a–319a–339a–359a</w:t>
            </w:r>
          </w:p>
        </w:tc>
      </w:tr>
      <w:tr w14:paraId="3BE9B677"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C3BF6D9" w14:textId="77777777">
            <w:pPr>
              <w:keepNext/>
              <w:keepLines/>
              <w:widowControl/>
              <w:rPr>
                <w:rFonts w:eastAsia="Calibri"/>
              </w:rPr>
            </w:pPr>
            <w:r w:rsidRPr="00972069">
              <w:rPr>
                <w:rFonts w:eastAsia="Calibri"/>
              </w:rPr>
              <w:t>280</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3799F87" w14:textId="77777777">
            <w:pPr>
              <w:keepNext/>
              <w:keepLines/>
              <w:widowControl/>
              <w:rPr>
                <w:rFonts w:eastAsia="Calibri"/>
              </w:rPr>
            </w:pPr>
            <w:r w:rsidRPr="00972069">
              <w:rPr>
                <w:rFonts w:eastAsia="Calibri"/>
              </w:rPr>
              <w:t>280–300–320–340–360</w:t>
            </w:r>
          </w:p>
        </w:tc>
      </w:tr>
      <w:tr w14:paraId="7AB94894"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009C475" w14:textId="77777777">
            <w:pPr>
              <w:keepNext/>
              <w:keepLines/>
              <w:widowControl/>
              <w:rPr>
                <w:rFonts w:eastAsia="Calibri"/>
              </w:rPr>
            </w:pPr>
            <w:r w:rsidRPr="00972069">
              <w:rPr>
                <w:rFonts w:eastAsia="Calibri"/>
              </w:rPr>
              <w:t>280a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1C26C15" w14:textId="77777777">
            <w:pPr>
              <w:keepNext/>
              <w:keepLines/>
              <w:widowControl/>
              <w:rPr>
                <w:rFonts w:eastAsia="Calibri"/>
              </w:rPr>
            </w:pPr>
            <w:r w:rsidRPr="00972069">
              <w:rPr>
                <w:rFonts w:eastAsia="Calibri"/>
              </w:rPr>
              <w:t>280a–300a–320a–340a–360a</w:t>
            </w:r>
          </w:p>
        </w:tc>
      </w:tr>
      <w:tr w14:paraId="5756D84C"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12245A3" w14:textId="77777777">
            <w:pPr>
              <w:keepNext/>
              <w:keepLines/>
              <w:widowControl/>
              <w:rPr>
                <w:rFonts w:eastAsia="Calibri"/>
              </w:rPr>
            </w:pPr>
            <w:r w:rsidRPr="00972069">
              <w:rPr>
                <w:rFonts w:eastAsia="Calibri"/>
              </w:rPr>
              <w:t>285</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AD6390A" w14:textId="77777777">
            <w:pPr>
              <w:keepNext/>
              <w:keepLines/>
              <w:widowControl/>
              <w:rPr>
                <w:rFonts w:eastAsia="Calibri"/>
              </w:rPr>
            </w:pPr>
            <w:r w:rsidRPr="00972069">
              <w:rPr>
                <w:rFonts w:eastAsia="Calibri"/>
              </w:rPr>
              <w:t>285–315–333–351–379</w:t>
            </w:r>
          </w:p>
        </w:tc>
      </w:tr>
      <w:tr w14:paraId="5763895D"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9B4C722" w14:textId="77777777">
            <w:pPr>
              <w:keepNext/>
              <w:keepLines/>
              <w:widowControl/>
              <w:rPr>
                <w:rFonts w:eastAsia="Calibri"/>
              </w:rPr>
            </w:pPr>
            <w:r w:rsidRPr="00972069">
              <w:rPr>
                <w:rFonts w:eastAsia="Calibri"/>
              </w:rPr>
              <w:t>285a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7482FED" w14:textId="77777777">
            <w:pPr>
              <w:keepNext/>
              <w:keepLines/>
              <w:widowControl/>
              <w:rPr>
                <w:rFonts w:eastAsia="Calibri"/>
              </w:rPr>
            </w:pPr>
            <w:r w:rsidRPr="00972069">
              <w:rPr>
                <w:rFonts w:eastAsia="Calibri"/>
              </w:rPr>
              <w:t>285a–315a–333a–351a–379a</w:t>
            </w:r>
          </w:p>
        </w:tc>
      </w:tr>
      <w:tr w14:paraId="44581264"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0998EB4" w14:textId="77777777">
            <w:pPr>
              <w:keepNext/>
              <w:keepLines/>
              <w:widowControl/>
              <w:rPr>
                <w:rFonts w:eastAsia="Calibri"/>
              </w:rPr>
            </w:pPr>
            <w:r w:rsidRPr="00972069">
              <w:rPr>
                <w:rFonts w:eastAsia="Calibri"/>
              </w:rPr>
              <w:t>286</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E0441AB" w14:textId="77777777">
            <w:pPr>
              <w:keepNext/>
              <w:keepLines/>
              <w:widowControl/>
              <w:rPr>
                <w:rFonts w:eastAsia="Calibri"/>
              </w:rPr>
            </w:pPr>
            <w:r w:rsidRPr="00972069">
              <w:rPr>
                <w:rFonts w:eastAsia="Calibri"/>
              </w:rPr>
              <w:t>286–316–334–352–380</w:t>
            </w:r>
          </w:p>
        </w:tc>
      </w:tr>
      <w:tr w14:paraId="2968C20A"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1C654EF" w14:textId="77777777">
            <w:pPr>
              <w:keepNext/>
              <w:keepLines/>
              <w:widowControl/>
              <w:rPr>
                <w:rFonts w:eastAsia="Calibri"/>
              </w:rPr>
            </w:pPr>
            <w:r w:rsidRPr="00972069">
              <w:rPr>
                <w:rFonts w:eastAsia="Calibri"/>
              </w:rPr>
              <w:t>286a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0B4F6B1" w14:textId="77777777">
            <w:pPr>
              <w:keepNext/>
              <w:keepLines/>
              <w:widowControl/>
              <w:rPr>
                <w:rFonts w:eastAsia="Calibri"/>
              </w:rPr>
            </w:pPr>
            <w:r w:rsidRPr="00972069">
              <w:rPr>
                <w:rFonts w:eastAsia="Calibri"/>
              </w:rPr>
              <w:t>286a–316a–334a–352a–380a</w:t>
            </w:r>
          </w:p>
        </w:tc>
      </w:tr>
      <w:tr w14:paraId="4B62594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32E8CD07" w14:textId="77777777">
            <w:pPr>
              <w:keepNext/>
              <w:keepLines/>
              <w:widowControl/>
              <w:rPr>
                <w:rFonts w:eastAsia="Calibri"/>
              </w:rPr>
            </w:pPr>
            <w:r w:rsidRPr="00972069">
              <w:rPr>
                <w:rFonts w:eastAsia="Calibri"/>
              </w:rPr>
              <w:t>309</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80E65C1" w14:textId="77777777">
            <w:pPr>
              <w:keepNext/>
              <w:keepLines/>
              <w:widowControl/>
              <w:rPr>
                <w:rFonts w:eastAsia="Calibri"/>
              </w:rPr>
            </w:pPr>
            <w:r w:rsidRPr="00972069">
              <w:rPr>
                <w:rFonts w:eastAsia="Calibri"/>
              </w:rPr>
              <w:t>309–329–349–369–389</w:t>
            </w:r>
          </w:p>
        </w:tc>
      </w:tr>
      <w:tr w14:paraId="1D181E13"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707F387" w14:textId="77777777">
            <w:pPr>
              <w:keepNext/>
              <w:keepLines/>
              <w:widowControl/>
              <w:rPr>
                <w:rFonts w:eastAsia="Calibri"/>
              </w:rPr>
            </w:pPr>
            <w:r w:rsidRPr="00972069">
              <w:rPr>
                <w:rFonts w:eastAsia="Calibri"/>
              </w:rPr>
              <w:t>309a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71649C0" w14:textId="77777777">
            <w:pPr>
              <w:keepNext/>
              <w:keepLines/>
              <w:widowControl/>
              <w:rPr>
                <w:rFonts w:eastAsia="Calibri"/>
              </w:rPr>
            </w:pPr>
            <w:r w:rsidRPr="00972069">
              <w:rPr>
                <w:rFonts w:eastAsia="Calibri"/>
              </w:rPr>
              <w:t>309a–329a–349a–369a–389a</w:t>
            </w:r>
          </w:p>
        </w:tc>
      </w:tr>
      <w:tr w14:paraId="61C1A8E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14671C7" w14:textId="77777777">
            <w:pPr>
              <w:keepNext/>
              <w:keepLines/>
              <w:widowControl/>
              <w:rPr>
                <w:rFonts w:eastAsia="Calibri"/>
              </w:rPr>
            </w:pPr>
            <w:r w:rsidRPr="00972069">
              <w:rPr>
                <w:rFonts w:eastAsia="Calibri"/>
              </w:rPr>
              <w:t>310</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687C5F2" w14:textId="77777777">
            <w:pPr>
              <w:keepNext/>
              <w:keepLines/>
              <w:widowControl/>
              <w:rPr>
                <w:rFonts w:eastAsia="Calibri"/>
              </w:rPr>
            </w:pPr>
            <w:r w:rsidRPr="00972069">
              <w:rPr>
                <w:rFonts w:eastAsia="Calibri"/>
              </w:rPr>
              <w:t>310–330–350–370–390</w:t>
            </w:r>
          </w:p>
        </w:tc>
      </w:tr>
      <w:tr w14:paraId="234EFD8E"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D79BDDF" w14:textId="77777777">
            <w:pPr>
              <w:keepNext/>
              <w:keepLines/>
              <w:widowControl/>
              <w:rPr>
                <w:rFonts w:eastAsia="Calibri"/>
              </w:rPr>
            </w:pPr>
            <w:r w:rsidRPr="00972069">
              <w:rPr>
                <w:rFonts w:eastAsia="Calibri"/>
              </w:rPr>
              <w:t>310a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275FBF0" w14:textId="77777777">
            <w:pPr>
              <w:keepNext/>
              <w:keepLines/>
              <w:widowControl/>
              <w:rPr>
                <w:rFonts w:eastAsia="Calibri"/>
              </w:rPr>
            </w:pPr>
            <w:r w:rsidRPr="00972069">
              <w:rPr>
                <w:rFonts w:eastAsia="Calibri"/>
              </w:rPr>
              <w:t>310a–330a–350a–370a</w:t>
            </w:r>
          </w:p>
        </w:tc>
      </w:tr>
      <w:tr w14:paraId="2BAC5D0C"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2862027C" w14:textId="77777777">
            <w:pPr>
              <w:keepNext/>
              <w:keepLines/>
              <w:widowControl/>
              <w:rPr>
                <w:rFonts w:eastAsia="Calibri"/>
              </w:rPr>
            </w:pPr>
            <w:r w:rsidRPr="00972069">
              <w:rPr>
                <w:rFonts w:eastAsia="Calibri"/>
              </w:rPr>
              <w:t>321</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30616FA" w14:textId="77777777">
            <w:pPr>
              <w:keepNext/>
              <w:keepLines/>
              <w:widowControl/>
              <w:rPr>
                <w:rFonts w:eastAsia="Calibri"/>
              </w:rPr>
            </w:pPr>
            <w:r w:rsidRPr="00972069">
              <w:rPr>
                <w:rFonts w:eastAsia="Calibri"/>
              </w:rPr>
              <w:t>321–331–341–361–381</w:t>
            </w:r>
          </w:p>
        </w:tc>
      </w:tr>
      <w:tr w14:paraId="0885F3D6"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E7A623D" w14:textId="77777777">
            <w:pPr>
              <w:keepNext/>
              <w:keepLines/>
              <w:widowControl/>
              <w:rPr>
                <w:rFonts w:eastAsia="Calibri"/>
              </w:rPr>
            </w:pPr>
            <w:r w:rsidRPr="00972069">
              <w:rPr>
                <w:rFonts w:eastAsia="Calibri"/>
              </w:rPr>
              <w:t>321a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8177F94" w14:textId="77777777">
            <w:pPr>
              <w:keepNext/>
              <w:keepLines/>
              <w:widowControl/>
              <w:rPr>
                <w:rFonts w:eastAsia="Calibri"/>
              </w:rPr>
            </w:pPr>
            <w:r w:rsidRPr="00972069">
              <w:rPr>
                <w:rFonts w:eastAsia="Calibri"/>
              </w:rPr>
              <w:t>321a–331a–341a–361a–381a</w:t>
            </w:r>
          </w:p>
        </w:tc>
      </w:tr>
      <w:tr w14:paraId="48ED246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5E80C85" w14:textId="77777777">
            <w:pPr>
              <w:keepNext/>
              <w:keepLines/>
              <w:widowControl/>
              <w:rPr>
                <w:rFonts w:eastAsia="Calibri"/>
              </w:rPr>
            </w:pPr>
            <w:r w:rsidRPr="00972069">
              <w:rPr>
                <w:rFonts w:eastAsia="Calibri"/>
              </w:rPr>
              <w:t>328</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02351181" w14:textId="77777777">
            <w:pPr>
              <w:keepNext/>
              <w:keepLines/>
              <w:widowControl/>
              <w:rPr>
                <w:rFonts w:eastAsia="Calibri"/>
              </w:rPr>
            </w:pPr>
            <w:r w:rsidRPr="00972069">
              <w:rPr>
                <w:rFonts w:eastAsia="Calibri"/>
              </w:rPr>
              <w:t>328–348–358–368–388</w:t>
            </w:r>
          </w:p>
        </w:tc>
      </w:tr>
      <w:tr w14:paraId="3943E8C6"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C9A7982" w14:textId="77777777">
            <w:pPr>
              <w:keepNext/>
              <w:keepLines/>
              <w:widowControl/>
              <w:rPr>
                <w:rFonts w:eastAsia="Calibri"/>
              </w:rPr>
            </w:pPr>
            <w:r w:rsidRPr="00972069">
              <w:rPr>
                <w:rFonts w:eastAsia="Calibri"/>
              </w:rPr>
              <w:t>328a</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D3444E5" w14:textId="77777777">
            <w:pPr>
              <w:keepNext/>
              <w:keepLines/>
              <w:widowControl/>
              <w:rPr>
                <w:rFonts w:eastAsia="Calibri"/>
              </w:rPr>
            </w:pPr>
            <w:r w:rsidRPr="00972069">
              <w:rPr>
                <w:rFonts w:eastAsia="Calibri"/>
              </w:rPr>
              <w:t>328a–348a–358a–368a–388a</w:t>
            </w:r>
          </w:p>
        </w:tc>
      </w:tr>
      <w:tr w14:paraId="0AA29303"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D45B6C3" w14:textId="77777777">
            <w:pPr>
              <w:keepNext/>
              <w:keepLines/>
              <w:widowControl/>
              <w:rPr>
                <w:rFonts w:eastAsia="Calibri"/>
              </w:rPr>
            </w:pPr>
            <w:r w:rsidRPr="00972069">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768157F0" w14:textId="77777777">
            <w:pPr>
              <w:keepNext/>
              <w:keepLines/>
              <w:widowControl/>
              <w:rPr>
                <w:rFonts w:eastAsia="Calibri"/>
              </w:rPr>
            </w:pPr>
            <w:r w:rsidRPr="00972069">
              <w:rPr>
                <w:rFonts w:eastAsia="Calibri"/>
              </w:rPr>
              <w:t>317, 318, 326, 327, 332, 337, 338, 356, 371, 372</w:t>
            </w:r>
          </w:p>
          <w:p w:rsidR="00C816F0" w:rsidRPr="00972069" w:rsidP="00B56C51" w14:paraId="5B179131" w14:textId="77777777">
            <w:pPr>
              <w:keepNext/>
              <w:keepLines/>
              <w:widowControl/>
              <w:rPr>
                <w:rFonts w:eastAsia="Calibri"/>
              </w:rPr>
            </w:pPr>
            <w:r w:rsidRPr="00972069">
              <w:rPr>
                <w:rFonts w:eastAsia="Calibri"/>
              </w:rPr>
              <w:t xml:space="preserve"> </w:t>
            </w:r>
          </w:p>
          <w:p w:rsidR="00C816F0" w:rsidRPr="00972069" w:rsidP="00B56C51" w14:paraId="3229DA25" w14:textId="77777777">
            <w:pPr>
              <w:keepNext/>
              <w:keepLines/>
              <w:widowControl/>
              <w:rPr>
                <w:rFonts w:eastAsia="Calibri"/>
              </w:rPr>
            </w:pPr>
            <w:r w:rsidRPr="00972069">
              <w:rPr>
                <w:rFonts w:eastAsia="Calibri"/>
              </w:rPr>
              <w:t>317a, 318a, 326a, 327a, 332a, 337a, 338a, 356a, 371a</w:t>
            </w:r>
          </w:p>
        </w:tc>
      </w:tr>
    </w:tbl>
    <w:p w:rsidR="00C816F0" w:rsidRPr="00972069" w:rsidP="00C816F0" w14:paraId="19EE9E34" w14:textId="77777777">
      <w:pPr>
        <w:keepNext/>
        <w:keepLines/>
        <w:widowControl/>
        <w:spacing w:after="120"/>
        <w:ind w:firstLine="450"/>
      </w:pPr>
    </w:p>
    <w:p w:rsidR="00C816F0" w:rsidRPr="00972069" w:rsidP="00C816F0" w14:paraId="7237E8A2" w14:textId="77777777">
      <w:pPr>
        <w:keepNext/>
        <w:keepLines/>
        <w:widowControl/>
        <w:spacing w:after="120"/>
        <w:ind w:firstLine="450"/>
      </w:pPr>
      <w:r w:rsidRPr="00972069">
        <w:t>(b) * * *</w:t>
      </w:r>
    </w:p>
    <w:p w:rsidR="00C816F0" w:rsidRPr="00972069" w:rsidP="00C816F0" w14:paraId="65E49472" w14:textId="77777777">
      <w:pPr>
        <w:keepNext/>
        <w:keepLines/>
        <w:widowControl/>
        <w:spacing w:after="120"/>
        <w:ind w:firstLine="450"/>
      </w:pPr>
      <w:r w:rsidRPr="00972069">
        <w:t>(1) * * *</w:t>
      </w:r>
    </w:p>
    <w:p w:rsidR="00C816F0" w:rsidRPr="00972069" w:rsidP="00C816F0" w14:paraId="0D1FD486" w14:textId="77777777">
      <w:pPr>
        <w:keepNext/>
        <w:keepLines/>
        <w:widowControl/>
        <w:jc w:val="center"/>
        <w:rPr>
          <w:bCs/>
        </w:rPr>
      </w:pPr>
      <w:r w:rsidRPr="00972069">
        <w:rPr>
          <w:bCs/>
        </w:rPr>
        <w:t>Table 2A—Business/Industrial/Land Transportation Pool 806–813.5/851–858.5 MHz Band for Channels in Southeastern U.S.</w:t>
      </w:r>
    </w:p>
    <w:p w:rsidR="00C816F0" w:rsidRPr="00972069" w:rsidP="00C816F0" w14:paraId="1928DCDE" w14:textId="77777777">
      <w:pPr>
        <w:keepNext/>
        <w:keepLines/>
        <w:widowControl/>
        <w:jc w:val="center"/>
      </w:pPr>
      <w:r w:rsidRPr="00972069">
        <w:t>[137 Channels]</w:t>
      </w:r>
    </w:p>
    <w:p w:rsidR="00C816F0" w:rsidRPr="00972069" w:rsidP="00C816F0" w14:paraId="4FADEF5D" w14:textId="77777777">
      <w:pPr>
        <w:keepNext/>
        <w:keepLines/>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01"/>
        <w:gridCol w:w="8389"/>
      </w:tblGrid>
      <w:tr w14:paraId="33E2AEA4" w14:textId="77777777" w:rsidTr="00B56C51">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5EC49DE5" w14:textId="77777777">
            <w:pPr>
              <w:keepNext/>
              <w:keepLines/>
              <w:widowControl/>
              <w:jc w:val="center"/>
              <w:rPr>
                <w:rFonts w:ascii="Calibri" w:eastAsia="Calibri" w:hAnsi="Calibri"/>
                <w:b/>
                <w:bCs/>
              </w:rPr>
            </w:pPr>
            <w:r w:rsidRPr="00972069">
              <w:rPr>
                <w:rFonts w:ascii="Calibri" w:eastAsia="Calibri" w:hAnsi="Calibri"/>
                <w:b/>
                <w:bCs/>
              </w:rPr>
              <w:t>  </w:t>
            </w:r>
          </w:p>
        </w:tc>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37EA5599" w14:textId="77777777">
            <w:pPr>
              <w:keepNext/>
              <w:keepLines/>
              <w:widowControl/>
              <w:jc w:val="center"/>
              <w:rPr>
                <w:rFonts w:eastAsia="Calibri"/>
              </w:rPr>
            </w:pPr>
            <w:r w:rsidRPr="00972069">
              <w:rPr>
                <w:rFonts w:eastAsia="Calibri"/>
              </w:rPr>
              <w:t>Channel Nos.</w:t>
            </w:r>
          </w:p>
        </w:tc>
      </w:tr>
      <w:tr w14:paraId="3873C218"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1A529E2D" w14:textId="77777777">
            <w:pPr>
              <w:keepNext/>
              <w:keepLines/>
              <w:widowControl/>
              <w:rPr>
                <w:rFonts w:eastAsia="Calibri"/>
              </w:rPr>
            </w:pPr>
            <w:r w:rsidRPr="00972069">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6E8ADA98" w14:textId="77777777">
            <w:pPr>
              <w:keepNext/>
              <w:keepLines/>
              <w:widowControl/>
              <w:rPr>
                <w:rFonts w:eastAsia="Calibri"/>
              </w:rPr>
            </w:pPr>
            <w:r w:rsidRPr="00972069">
              <w:rPr>
                <w:rFonts w:eastAsia="Calibri"/>
              </w:rPr>
              <w:t>263, 264, 267, 268, 272, 273, 274, 275, 276, 277, 278, 281, 282, 283, 284, 287, 288, 291, 292, 293, 294, 295, 296, 297, 298, 301, 302, 303, 304, 305, 306, 307, 308, 346, 347, 362, 363, 364, 365, 366, 367, 379, 380, 381, 382, 383, 384, 385, 386, 387, 388, 389, 390, 391, 392, 393, 394, 399, 400, 401, 402, 403, 404, 405, 406, 407, 408, 409, 410</w:t>
            </w:r>
          </w:p>
          <w:p w:rsidR="00C816F0" w:rsidRPr="00972069" w:rsidP="00B56C51" w14:paraId="5FF0E68A" w14:textId="77777777">
            <w:pPr>
              <w:keepNext/>
              <w:keepLines/>
              <w:widowControl/>
              <w:rPr>
                <w:rFonts w:eastAsia="Calibri"/>
              </w:rPr>
            </w:pPr>
          </w:p>
          <w:p w:rsidR="00C816F0" w:rsidRPr="00972069" w:rsidP="00B56C51" w14:paraId="37C91692" w14:textId="77777777">
            <w:pPr>
              <w:keepNext/>
              <w:keepLines/>
              <w:widowControl/>
              <w:rPr>
                <w:rFonts w:eastAsia="Calibri"/>
              </w:rPr>
            </w:pPr>
            <w:r w:rsidRPr="00972069">
              <w:rPr>
                <w:rFonts w:eastAsia="Calibri"/>
              </w:rPr>
              <w:t xml:space="preserve">263a, 264a, 267a, 268a, 272a, 273a, 274a, 275a, 276a, 277a, 278a, 281a, 282a, 283a, 284a, 287a, 288a, 291a, 292a, 293a, 294a, 295a, 296a, 297a, 298a, 301a, 302a, 303a, 304a, 305a, 306a, 307a, 308a, 346a, 347a, 362a, 363a, 364a, 365a, 366a, 367a, 379a, 380a, 381a, 382a, 383a, 384a, 385a, 386a, 387a, 388a, 389a, 390a, 391a, 392a, 393a, 394a, 399a, 400a, 401a, 402a, 403a, 404a, 405a, 406a, 407a, 408a, 409a </w:t>
            </w:r>
          </w:p>
        </w:tc>
      </w:tr>
    </w:tbl>
    <w:p w:rsidR="00C816F0" w:rsidRPr="00972069" w:rsidP="00C816F0" w14:paraId="4BE9F181" w14:textId="77777777">
      <w:pPr>
        <w:keepNext/>
        <w:keepLines/>
        <w:widowControl/>
        <w:tabs>
          <w:tab w:val="left" w:pos="720"/>
        </w:tabs>
        <w:ind w:left="720"/>
      </w:pPr>
    </w:p>
    <w:p w:rsidR="00C816F0" w:rsidRPr="00972069" w:rsidP="00C816F0" w14:paraId="68E2B315" w14:textId="77777777">
      <w:pPr>
        <w:keepNext/>
        <w:keepLines/>
        <w:widowControl/>
        <w:tabs>
          <w:tab w:val="left" w:pos="720"/>
        </w:tabs>
        <w:ind w:left="720"/>
      </w:pPr>
      <w:r w:rsidRPr="00972069">
        <w:tab/>
        <w:t xml:space="preserve">(2) * * * </w:t>
      </w:r>
    </w:p>
    <w:p w:rsidR="00C816F0" w:rsidRPr="00972069" w:rsidP="00C816F0" w14:paraId="5BFD28EF" w14:textId="77777777">
      <w:pPr>
        <w:keepNext/>
        <w:keepLines/>
        <w:widowControl/>
        <w:jc w:val="center"/>
        <w:rPr>
          <w:bCs/>
        </w:rPr>
      </w:pPr>
    </w:p>
    <w:p w:rsidR="00C816F0" w:rsidRPr="00972069" w:rsidP="00C816F0" w14:paraId="1A183FC7" w14:textId="77777777">
      <w:pPr>
        <w:keepNext/>
        <w:keepLines/>
        <w:widowControl/>
        <w:jc w:val="center"/>
        <w:rPr>
          <w:bCs/>
        </w:rPr>
      </w:pPr>
      <w:r w:rsidRPr="00972069">
        <w:rPr>
          <w:bCs/>
        </w:rPr>
        <w:t>Table 2B—Business/Industrial/Land Transportation Pool 806–813.5/851–858.5 MHz Band for Channels in Atlanta, GA</w:t>
      </w:r>
    </w:p>
    <w:p w:rsidR="00C816F0" w:rsidRPr="00972069" w:rsidP="00C816F0" w14:paraId="2F537ECD" w14:textId="77777777">
      <w:pPr>
        <w:keepNext/>
        <w:keepLines/>
        <w:widowControl/>
        <w:jc w:val="center"/>
      </w:pPr>
      <w:r w:rsidRPr="00972069">
        <w:t>[137 Channels]</w:t>
      </w:r>
    </w:p>
    <w:p w:rsidR="00C816F0" w:rsidRPr="00972069" w:rsidP="00C816F0" w14:paraId="31343938" w14:textId="77777777">
      <w:pPr>
        <w:keepNext/>
        <w:keepLines/>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01"/>
        <w:gridCol w:w="8389"/>
      </w:tblGrid>
      <w:tr w14:paraId="626B7103" w14:textId="77777777" w:rsidTr="00B56C51">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3B83DC68" w14:textId="77777777">
            <w:pPr>
              <w:keepNext/>
              <w:keepLines/>
              <w:widowControl/>
              <w:jc w:val="center"/>
              <w:rPr>
                <w:rFonts w:eastAsia="Calibri"/>
                <w:b/>
              </w:rPr>
            </w:pPr>
            <w:r w:rsidRPr="00972069">
              <w:rPr>
                <w:rFonts w:eastAsia="Calibri"/>
                <w:b/>
              </w:rPr>
              <w:t>  </w:t>
            </w:r>
          </w:p>
        </w:tc>
        <w:tc>
          <w:tcPr>
            <w:tcW w:w="0" w:type="auto"/>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4CAB4B10" w14:textId="77777777">
            <w:pPr>
              <w:keepNext/>
              <w:keepLines/>
              <w:widowControl/>
              <w:jc w:val="center"/>
              <w:rPr>
                <w:rFonts w:eastAsia="Calibri"/>
              </w:rPr>
            </w:pPr>
            <w:r w:rsidRPr="00972069">
              <w:rPr>
                <w:rFonts w:eastAsia="Calibri"/>
              </w:rPr>
              <w:t>Channel Nos.</w:t>
            </w:r>
          </w:p>
        </w:tc>
      </w:tr>
      <w:tr w14:paraId="6FB148A3" w14:textId="77777777" w:rsidTr="00B56C51">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4EDB75E0" w14:textId="77777777">
            <w:pPr>
              <w:keepNext/>
              <w:keepLines/>
              <w:widowControl/>
              <w:rPr>
                <w:rFonts w:eastAsia="Calibri"/>
              </w:rPr>
            </w:pPr>
            <w:r w:rsidRPr="00972069">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C816F0" w:rsidRPr="00972069" w:rsidP="00B56C51" w14:paraId="544600E5" w14:textId="77777777">
            <w:pPr>
              <w:keepNext/>
              <w:keepLines/>
              <w:widowControl/>
              <w:rPr>
                <w:rFonts w:eastAsia="Calibri"/>
              </w:rPr>
            </w:pPr>
            <w:r w:rsidRPr="00972069">
              <w:rPr>
                <w:rFonts w:eastAsia="Calibri"/>
              </w:rPr>
              <w:t>263, 264, 265, 266, 267, 268, 271, 272, 273, 274, 275, 276, 277, 278, 281, 282, 283, 284, 287, 288, 291, 292, 293, 294, 295, 296, 297, 298, 301, 302, 303, 304, 305, 306, 307, 308, 342, 343, 344, 345, 346, 347, 362, 363, 364, 365, 366, 367, 382, 383, 384, 385, 386, 387, 391, 392, 393, 394, 399, 400, 401, 402, 403, 404, 405, 406, 407, 409, 410</w:t>
            </w:r>
          </w:p>
          <w:p w:rsidR="00C816F0" w:rsidRPr="00972069" w:rsidP="00B56C51" w14:paraId="1C9D27F6" w14:textId="77777777">
            <w:pPr>
              <w:keepNext/>
              <w:keepLines/>
              <w:widowControl/>
              <w:rPr>
                <w:rFonts w:eastAsia="Calibri"/>
              </w:rPr>
            </w:pPr>
          </w:p>
          <w:p w:rsidR="00C816F0" w:rsidRPr="00972069" w:rsidP="00B56C51" w14:paraId="5412C8E1" w14:textId="77777777">
            <w:pPr>
              <w:keepNext/>
              <w:keepLines/>
              <w:widowControl/>
              <w:rPr>
                <w:rFonts w:eastAsia="Calibri"/>
              </w:rPr>
            </w:pPr>
            <w:r w:rsidRPr="00972069">
              <w:rPr>
                <w:rFonts w:eastAsia="Calibri"/>
              </w:rPr>
              <w:t>263a, 264a, 265a, 266a, 267a, 268a, 271a, 272a, 273a, 274a, 275a, 276a, 277a, 278a, 281a, 282a, 283a, 284a, 287a, 288a, 291a, 292a, 293a, 294a, 295a, 296a, 297a, 298a, 301a, 302a, 303a, 304a, 305a, 306a, 307a, 308a, 342a, 343a, 344a, 345a, 346a, 347a, 362a, 363a, 364a, 365a, 366a, 367a, 382a, 383a, 384a, 385a, 386a, 387a, 391a, 392a, 393a, 394a, 399a, 400a, 401a, 402a, 403a, 404a, 405a, 406a, 407a, 409a</w:t>
            </w:r>
          </w:p>
        </w:tc>
      </w:tr>
    </w:tbl>
    <w:p w:rsidR="00C816F0" w:rsidRPr="00972069" w:rsidP="00C816F0" w14:paraId="7F3C7A70" w14:textId="77777777">
      <w:pPr>
        <w:keepNext/>
        <w:keepLines/>
        <w:widowControl/>
        <w:tabs>
          <w:tab w:val="left" w:pos="720"/>
        </w:tabs>
        <w:ind w:left="720"/>
      </w:pPr>
    </w:p>
    <w:p w:rsidR="00C816F0" w:rsidRPr="00972069" w:rsidP="00C816F0" w14:paraId="4E322A2D" w14:textId="77777777">
      <w:pPr>
        <w:keepNext/>
        <w:keepLines/>
        <w:widowControl/>
        <w:autoSpaceDE w:val="0"/>
        <w:autoSpaceDN w:val="0"/>
        <w:adjustRightInd w:val="0"/>
        <w:spacing w:after="120"/>
        <w:ind w:firstLine="720"/>
      </w:pPr>
      <w:r w:rsidRPr="00972069">
        <w:t>* * * * *</w:t>
      </w:r>
    </w:p>
    <w:p w:rsidR="00C816F0" w:rsidRPr="00972069" w:rsidP="00C816F0" w14:paraId="7588D431" w14:textId="77777777">
      <w:pPr>
        <w:widowControl/>
        <w:tabs>
          <w:tab w:val="num" w:pos="1170"/>
        </w:tabs>
        <w:spacing w:after="120"/>
        <w:ind w:left="90"/>
        <w:rPr>
          <w:szCs w:val="22"/>
        </w:rPr>
      </w:pPr>
      <w:r w:rsidRPr="00972069">
        <w:rPr>
          <w:szCs w:val="22"/>
        </w:rPr>
        <w:t xml:space="preserve">Section 90.619(a)(5) is revised by amending Table A3 and the text to sub-paragraph (ii) to read as follows:  </w:t>
      </w:r>
    </w:p>
    <w:p w:rsidR="00C816F0" w:rsidRPr="00972069" w:rsidP="00C816F0" w14:paraId="1D413F75" w14:textId="77777777">
      <w:pPr>
        <w:keepNext/>
        <w:keepLines/>
        <w:widowControl/>
        <w:spacing w:after="120"/>
        <w:ind w:left="360"/>
        <w:rPr>
          <w:szCs w:val="22"/>
        </w:rPr>
      </w:pPr>
      <w:r w:rsidRPr="00972069">
        <w:rPr>
          <w:b/>
          <w:szCs w:val="22"/>
        </w:rPr>
        <w:t>§ 90.619   Operations within the U.S./Mexico and U.S./Canada border areas.</w:t>
      </w:r>
    </w:p>
    <w:p w:rsidR="00C816F0" w:rsidRPr="00972069" w:rsidP="00C816F0" w14:paraId="6B2C3575" w14:textId="77777777">
      <w:pPr>
        <w:keepNext/>
        <w:keepLines/>
        <w:widowControl/>
        <w:spacing w:after="120"/>
        <w:ind w:firstLine="450"/>
      </w:pPr>
      <w:r w:rsidRPr="00972069">
        <w:t>(a) * * *</w:t>
      </w:r>
    </w:p>
    <w:p w:rsidR="00C816F0" w:rsidRPr="00972069" w:rsidP="00C816F0" w14:paraId="1A0BAE0F" w14:textId="77777777">
      <w:pPr>
        <w:keepNext/>
        <w:keepLines/>
        <w:widowControl/>
        <w:spacing w:after="120"/>
        <w:ind w:firstLine="450"/>
      </w:pPr>
      <w:r w:rsidRPr="00972069">
        <w:t>(5) Channels in the Sharing Zone are available for licensing as indicated in Table A3 below.</w:t>
      </w:r>
    </w:p>
    <w:p w:rsidR="00C816F0" w:rsidRPr="00972069" w:rsidP="00C816F0" w14:paraId="4D21464C" w14:textId="77777777">
      <w:pPr>
        <w:widowControl/>
        <w:rPr>
          <w:bCs/>
          <w:smallCaps/>
          <w:color w:val="000000"/>
          <w:szCs w:val="22"/>
        </w:rPr>
      </w:pPr>
      <w:r w:rsidRPr="00972069">
        <w:rPr>
          <w:bCs/>
          <w:smallCaps/>
          <w:color w:val="000000"/>
          <w:szCs w:val="22"/>
        </w:rPr>
        <w:br w:type="page"/>
      </w:r>
    </w:p>
    <w:p w:rsidR="00C816F0" w:rsidRPr="00972069" w:rsidP="00C816F0" w14:paraId="1092AB14" w14:textId="77777777">
      <w:pPr>
        <w:keepNext/>
        <w:keepLines/>
        <w:widowControl/>
        <w:shd w:val="clear" w:color="auto" w:fill="FFFFFF"/>
        <w:spacing w:before="100" w:beforeAutospacing="1" w:after="100" w:afterAutospacing="1"/>
        <w:ind w:firstLine="480"/>
        <w:jc w:val="center"/>
        <w:rPr>
          <w:bCs/>
          <w:smallCaps/>
          <w:color w:val="000000"/>
          <w:szCs w:val="22"/>
        </w:rPr>
      </w:pPr>
      <w:r w:rsidRPr="00972069">
        <w:rPr>
          <w:bCs/>
          <w:smallCaps/>
          <w:color w:val="000000"/>
          <w:szCs w:val="22"/>
        </w:rPr>
        <w:t>Table A3—Eligibility Requirements for Channels in Sharing Zone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1276"/>
        <w:gridCol w:w="8114"/>
      </w:tblGrid>
      <w:tr w14:paraId="6247DBD5" w14:textId="77777777" w:rsidTr="00B56C51">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bottom"/>
            <w:hideMark/>
          </w:tcPr>
          <w:p w:rsidR="00C816F0" w:rsidRPr="00972069" w:rsidP="00B56C51" w14:paraId="65B9CD18" w14:textId="77777777">
            <w:pPr>
              <w:keepNext/>
              <w:keepLines/>
              <w:widowControl/>
              <w:jc w:val="center"/>
              <w:rPr>
                <w:bCs/>
                <w:szCs w:val="22"/>
              </w:rPr>
            </w:pPr>
            <w:r w:rsidRPr="00972069">
              <w:rPr>
                <w:bCs/>
                <w:szCs w:val="22"/>
              </w:rPr>
              <w:t>Channels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816F0" w:rsidRPr="00972069" w:rsidP="00B56C51" w14:paraId="23FDFFB7" w14:textId="77777777">
            <w:pPr>
              <w:keepNext/>
              <w:keepLines/>
              <w:widowControl/>
              <w:jc w:val="center"/>
              <w:rPr>
                <w:bCs/>
                <w:szCs w:val="22"/>
              </w:rPr>
            </w:pPr>
            <w:r w:rsidRPr="00972069">
              <w:rPr>
                <w:bCs/>
                <w:szCs w:val="22"/>
              </w:rPr>
              <w:t>Eligibility requirements</w:t>
            </w:r>
          </w:p>
        </w:tc>
      </w:tr>
      <w:tr w14:paraId="44CA75C7" w14:textId="77777777" w:rsidTr="00B56C51">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79C957BD" w14:textId="77777777">
            <w:pPr>
              <w:keepNext/>
              <w:keepLines/>
              <w:widowControl/>
              <w:rPr>
                <w:szCs w:val="22"/>
              </w:rPr>
            </w:pPr>
            <w:r w:rsidRPr="00972069">
              <w:rPr>
                <w:szCs w:val="22"/>
              </w:rPr>
              <w:t>1-230</w:t>
            </w:r>
          </w:p>
        </w:tc>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3C37D3F0" w14:textId="77777777">
            <w:pPr>
              <w:keepNext/>
              <w:keepLines/>
              <w:widowControl/>
              <w:rPr>
                <w:szCs w:val="22"/>
              </w:rPr>
            </w:pPr>
            <w:r w:rsidRPr="00972069">
              <w:rPr>
                <w:szCs w:val="22"/>
              </w:rPr>
              <w:t>Report and Order in Gen.</w:t>
            </w:r>
            <w:r w:rsidRPr="00972069">
              <w:rPr>
                <w:szCs w:val="22"/>
              </w:rPr>
              <w:br/>
              <w:t>Docket No. 87-112.</w:t>
            </w:r>
          </w:p>
        </w:tc>
      </w:tr>
      <w:tr w14:paraId="3ABAA5A8" w14:textId="77777777" w:rsidTr="00B56C51">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26153A19" w14:textId="77777777">
            <w:pPr>
              <w:keepNext/>
              <w:keepLines/>
              <w:widowControl/>
              <w:rPr>
                <w:szCs w:val="22"/>
              </w:rPr>
            </w:pPr>
            <w:r w:rsidRPr="00972069">
              <w:rPr>
                <w:szCs w:val="22"/>
              </w:rPr>
              <w:t>231-315a</w:t>
            </w:r>
          </w:p>
        </w:tc>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17628CA7" w14:textId="77777777">
            <w:pPr>
              <w:keepNext/>
              <w:keepLines/>
              <w:widowControl/>
              <w:rPr>
                <w:szCs w:val="22"/>
              </w:rPr>
            </w:pPr>
            <w:r w:rsidRPr="00972069">
              <w:rPr>
                <w:szCs w:val="22"/>
              </w:rPr>
              <w:t>Public Safety Pool.</w:t>
            </w:r>
          </w:p>
        </w:tc>
      </w:tr>
      <w:tr w14:paraId="6852EC4B" w14:textId="77777777" w:rsidTr="00B56C51">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2571E058" w14:textId="77777777">
            <w:pPr>
              <w:keepNext/>
              <w:keepLines/>
              <w:widowControl/>
              <w:rPr>
                <w:szCs w:val="22"/>
              </w:rPr>
            </w:pPr>
            <w:r w:rsidRPr="00972069">
              <w:rPr>
                <w:szCs w:val="22"/>
              </w:rPr>
              <w:t>316-550</w:t>
            </w:r>
          </w:p>
        </w:tc>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1CB8604B" w14:textId="77777777">
            <w:pPr>
              <w:keepNext/>
              <w:keepLines/>
              <w:widowControl/>
              <w:rPr>
                <w:szCs w:val="22"/>
              </w:rPr>
            </w:pPr>
            <w:r w:rsidRPr="00972069">
              <w:rPr>
                <w:szCs w:val="22"/>
              </w:rPr>
              <w:t>General Category.</w:t>
            </w:r>
          </w:p>
        </w:tc>
      </w:tr>
      <w:tr w14:paraId="050A21D6" w14:textId="77777777" w:rsidTr="00B56C51">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503FEB49" w14:textId="77777777">
            <w:pPr>
              <w:keepNext/>
              <w:keepLines/>
              <w:widowControl/>
              <w:rPr>
                <w:szCs w:val="22"/>
              </w:rPr>
            </w:pPr>
            <w:r w:rsidRPr="00972069">
              <w:rPr>
                <w:szCs w:val="22"/>
              </w:rPr>
              <w:t>551-830</w:t>
            </w:r>
          </w:p>
        </w:tc>
        <w:tc>
          <w:tcPr>
            <w:tcW w:w="0" w:type="auto"/>
            <w:tcBorders>
              <w:top w:val="single" w:sz="6" w:space="0" w:color="000000"/>
              <w:left w:val="single" w:sz="6" w:space="0" w:color="000000"/>
              <w:bottom w:val="single" w:sz="6" w:space="0" w:color="000000"/>
              <w:right w:val="single" w:sz="6" w:space="0" w:color="000000"/>
            </w:tcBorders>
            <w:hideMark/>
          </w:tcPr>
          <w:p w:rsidR="00C816F0" w:rsidRPr="00972069" w:rsidP="00B56C51" w14:paraId="3F323AE4" w14:textId="77777777">
            <w:pPr>
              <w:keepNext/>
              <w:keepLines/>
              <w:widowControl/>
              <w:rPr>
                <w:szCs w:val="22"/>
              </w:rPr>
            </w:pPr>
            <w:r w:rsidRPr="00972069">
              <w:rPr>
                <w:szCs w:val="22"/>
              </w:rPr>
              <w:t>Special Mobilized Radio for 800 MHz High Density Cellular.</w:t>
            </w:r>
          </w:p>
        </w:tc>
      </w:tr>
    </w:tbl>
    <w:p w:rsidR="00C816F0" w:rsidRPr="00972069" w:rsidP="00C816F0" w14:paraId="70C0BC85" w14:textId="77777777">
      <w:pPr>
        <w:keepNext/>
        <w:keepLines/>
        <w:widowControl/>
        <w:spacing w:before="120" w:after="120"/>
        <w:ind w:left="446"/>
        <w:rPr>
          <w:szCs w:val="22"/>
        </w:rPr>
      </w:pPr>
      <w:r w:rsidRPr="00972069">
        <w:rPr>
          <w:szCs w:val="22"/>
        </w:rPr>
        <w:t>* * * * *</w:t>
      </w:r>
    </w:p>
    <w:p w:rsidR="00C816F0" w:rsidRPr="00972069" w:rsidP="00C816F0" w14:paraId="2D0D39D9" w14:textId="77777777">
      <w:pPr>
        <w:keepNext/>
        <w:keepLines/>
        <w:widowControl/>
        <w:spacing w:after="120"/>
        <w:ind w:firstLine="360"/>
        <w:rPr>
          <w:szCs w:val="22"/>
        </w:rPr>
      </w:pPr>
      <w:r w:rsidRPr="00972069">
        <w:rPr>
          <w:szCs w:val="22"/>
        </w:rPr>
        <w:t>(ii) Channels 231-315a are available to applicants eligible in the Public Safety Category which consists of licensees eligible in the Public Safety Pool of subpart B of this part. 800 MHz high density cellular systems as defined in §90.7 are prohibited on these channels.</w:t>
      </w:r>
    </w:p>
    <w:p w:rsidR="00C816F0" w:rsidRPr="00972069" w:rsidP="00C816F0" w14:paraId="6F70F34D" w14:textId="77777777">
      <w:pPr>
        <w:keepNext/>
        <w:keepLines/>
        <w:widowControl/>
        <w:spacing w:before="120" w:after="120"/>
        <w:ind w:left="446"/>
        <w:rPr>
          <w:szCs w:val="22"/>
        </w:rPr>
      </w:pPr>
      <w:r w:rsidRPr="00972069">
        <w:rPr>
          <w:szCs w:val="22"/>
        </w:rPr>
        <w:t>* * * * *</w:t>
      </w:r>
    </w:p>
    <w:p w:rsidR="00C816F0" w:rsidRPr="00972069" w:rsidP="00C816F0" w14:paraId="5B32B706" w14:textId="77777777">
      <w:pPr>
        <w:widowControl/>
        <w:tabs>
          <w:tab w:val="num" w:pos="1170"/>
        </w:tabs>
        <w:spacing w:after="120"/>
        <w:ind w:left="90"/>
        <w:rPr>
          <w:szCs w:val="22"/>
        </w:rPr>
      </w:pPr>
      <w:r w:rsidRPr="00972069">
        <w:rPr>
          <w:szCs w:val="22"/>
        </w:rPr>
        <w:t>Section 90.621 is revised by amending the introductory text of paragraphs (b) and (d) and the text of paragraphs (d)(1) through (d)(3) to read as follows:</w:t>
      </w:r>
    </w:p>
    <w:p w:rsidR="00C816F0" w:rsidRPr="00972069" w:rsidP="00C816F0" w14:paraId="43A44A4E" w14:textId="77777777">
      <w:pPr>
        <w:keepNext/>
        <w:keepLines/>
        <w:widowControl/>
        <w:autoSpaceDE w:val="0"/>
        <w:autoSpaceDN w:val="0"/>
        <w:adjustRightInd w:val="0"/>
        <w:spacing w:after="120"/>
        <w:ind w:firstLine="450"/>
        <w:rPr>
          <w:b/>
          <w:bCs/>
        </w:rPr>
      </w:pPr>
      <w:r w:rsidRPr="00972069">
        <w:rPr>
          <w:b/>
          <w:bCs/>
        </w:rPr>
        <w:t xml:space="preserve">§ </w:t>
      </w:r>
      <w:bookmarkStart w:id="96" w:name="_Hlk32488910"/>
      <w:r w:rsidRPr="00972069">
        <w:rPr>
          <w:b/>
          <w:bCs/>
        </w:rPr>
        <w:t>90.621</w:t>
      </w:r>
      <w:bookmarkEnd w:id="96"/>
      <w:r w:rsidRPr="00972069">
        <w:rPr>
          <w:b/>
          <w:bCs/>
        </w:rPr>
        <w:t xml:space="preserve">   Selection and assignment of frequencies.</w:t>
      </w:r>
    </w:p>
    <w:p w:rsidR="00C816F0" w:rsidRPr="00972069" w:rsidP="00C816F0" w14:paraId="10C3661C" w14:textId="77777777">
      <w:pPr>
        <w:keepNext/>
        <w:keepLines/>
        <w:widowControl/>
        <w:spacing w:after="120"/>
        <w:ind w:firstLine="450"/>
      </w:pPr>
      <w:r w:rsidRPr="00972069">
        <w:t xml:space="preserve"> (b) Stations authorized on frequencies listed in this subpart, except for those stations authorized pursuant to paragraph (g) of this section and EA-based and MTA-based SMR systems, will be assigned co-channel frequencies solely </w:t>
      </w:r>
      <w:r w:rsidRPr="00972069">
        <w:t>on the basis of</w:t>
      </w:r>
      <w:r w:rsidRPr="00972069">
        <w:t xml:space="preserve"> distance between fixed stations.  In addition, contour overlap as detailed in paragraph (d) of this section will be the basis for geographic separation between fixed stations operating on adjacent-channel frequencies in the 809-817 MHz/854-862 MHz sub-band, except where such fixed stations meet the distance separation criteria set out in this section (b). </w:t>
      </w:r>
    </w:p>
    <w:p w:rsidR="00C816F0" w:rsidRPr="00972069" w:rsidP="00C816F0" w14:paraId="3330F67F" w14:textId="77777777">
      <w:pPr>
        <w:keepNext/>
        <w:keepLines/>
        <w:widowControl/>
        <w:spacing w:after="120"/>
        <w:ind w:firstLine="450"/>
      </w:pPr>
      <w:r w:rsidRPr="00972069">
        <w:t>* * * * *</w:t>
      </w:r>
    </w:p>
    <w:p w:rsidR="00C816F0" w:rsidRPr="00972069" w:rsidP="00C816F0" w14:paraId="786D340F" w14:textId="77777777">
      <w:pPr>
        <w:keepNext/>
        <w:keepLines/>
        <w:widowControl/>
        <w:spacing w:after="120"/>
        <w:ind w:firstLine="450"/>
      </w:pPr>
      <w:r w:rsidRPr="00972069">
        <w:t>(d) Geographic separation between fixed stations operating on adjacent channels in the 809-817/854-862 MHz Mid-Band segment must be based on lack of contour overlap as detailed below, unless the co-channel distance separation criteria in Section 90.621(b) of the Commission’s rules are met.</w:t>
      </w:r>
    </w:p>
    <w:p w:rsidR="00C816F0" w:rsidRPr="00972069" w:rsidP="00C816F0" w14:paraId="1073200F" w14:textId="77777777">
      <w:pPr>
        <w:keepNext/>
        <w:keepLines/>
        <w:widowControl/>
        <w:spacing w:after="120"/>
        <w:ind w:firstLine="450"/>
      </w:pPr>
      <w:r w:rsidRPr="00972069">
        <w:t xml:space="preserve">(1) </w:t>
      </w:r>
      <w:r w:rsidRPr="00972069">
        <w:rPr>
          <w:i/>
        </w:rPr>
        <w:t>Forward contour analysis</w:t>
      </w:r>
      <w:r w:rsidRPr="00972069">
        <w:t xml:space="preserve">. An applicant seeking to license a fixed station on a channel in the 809-817 MHz/854-862 MHz band segment will only be granted if the applicant's proposed interference contour creates no overlap with the 40 </w:t>
      </w:r>
      <w:r w:rsidRPr="00972069">
        <w:t>dBu</w:t>
      </w:r>
      <w:r w:rsidRPr="00972069">
        <w:t xml:space="preserve"> F(50,50) contour of an incumbent operating a fixed station on an upper- or lower-adjacent channel.  The applicant's interference contour is determined using the </w:t>
      </w:r>
      <w:r w:rsidRPr="00972069">
        <w:t>dBu</w:t>
      </w:r>
      <w:r w:rsidRPr="00972069">
        <w:t xml:space="preserve"> level listed in the appropriate table below.  For this analysis the applicant shall plot the interference contour of its proposed fixed station at its proposed ERP but assume that any adjacent-channel incumbent licensee is operating at the maximum permitted ERP </w:t>
      </w:r>
      <w:r>
        <w:t xml:space="preserve">for the </w:t>
      </w:r>
      <w:r w:rsidRPr="00972069">
        <w:t>licensed antenna height.</w:t>
      </w:r>
    </w:p>
    <w:p w:rsidR="00C816F0" w:rsidRPr="00972069" w:rsidP="00C816F0" w14:paraId="2BA195A0" w14:textId="77777777">
      <w:pPr>
        <w:spacing w:after="120"/>
        <w:ind w:firstLine="450"/>
      </w:pPr>
      <w:r w:rsidRPr="00972069">
        <w:t xml:space="preserve">(2) </w:t>
      </w:r>
      <w:r w:rsidRPr="00972069">
        <w:rPr>
          <w:i/>
        </w:rPr>
        <w:t>Reciprocal contour analysis</w:t>
      </w:r>
      <w:r w:rsidRPr="00972069">
        <w:t xml:space="preserve">. In addition to the contour analysis described above, any applicant seeking to license a fixed station on a channel in the 809-817 MHz/854-862 MHz band segment must also pass a reciprocal contour analysis.  Under the reciprocal analysis, the interference contour, F(50,10) of an incumbent operating a fixed station on an upper- or lower-adjacent channel must create no contour overlap with the proposed 40 </w:t>
      </w:r>
      <w:r w:rsidRPr="00972069">
        <w:t>dBu</w:t>
      </w:r>
      <w:r w:rsidRPr="00972069">
        <w:t xml:space="preserve"> F(50,50) contour of the applicant's fixed station.  The incumbent's interference contour is determined using the </w:t>
      </w:r>
      <w:r w:rsidRPr="00972069">
        <w:t>dBu</w:t>
      </w:r>
      <w:r w:rsidRPr="00972069">
        <w:t xml:space="preserve"> level listed in the appropriate table below.  For this analysis the applicant shall plot the coverage contour of its fixed station, F(50,50), at its proposed ERP and antenna height above average terrain but plot the interference contour, F(50,10), of any adjacent-channel incumbent licensee at its maximum permitted ERP </w:t>
      </w:r>
      <w:r>
        <w:t xml:space="preserve">for the </w:t>
      </w:r>
      <w:r w:rsidRPr="00972069">
        <w:t>licensed antenna height.</w:t>
      </w:r>
    </w:p>
    <w:p w:rsidR="00C816F0" w:rsidRPr="00972069" w:rsidP="00C816F0" w14:paraId="70F5DB1C" w14:textId="77777777">
      <w:pPr>
        <w:keepNext/>
        <w:keepLines/>
        <w:widowControl/>
        <w:spacing w:after="120"/>
        <w:ind w:firstLine="450"/>
      </w:pPr>
      <w:r w:rsidRPr="00972069">
        <w:t xml:space="preserve">(3) </w:t>
      </w:r>
      <w:r w:rsidRPr="00972069">
        <w:rPr>
          <w:i/>
        </w:rPr>
        <w:t>Contour Matrix</w:t>
      </w:r>
      <w:r w:rsidRPr="00972069">
        <w:t xml:space="preserve">.  Interference contour levels for the contour analysis described in paragraphs (d)(1) and (2) of this section are determined using Table 1 or Table 2 below.  Table 1 is used to determine the interference contour F(50,10) level of a fixed station operating on a 12.5 kilohertz bandwidth channel while Table 2 is used to determine the interference contour F(50,10) level of a fixed station operating on a 25 kilohertz bandwidth channel.  The </w:t>
      </w:r>
      <w:r w:rsidRPr="00972069">
        <w:t>dBu</w:t>
      </w:r>
      <w:r w:rsidRPr="00972069">
        <w:t xml:space="preserve"> level of the interference contour is determined by cross-referencing the modulation type of the station operating on the 25 kilohertz bandwidth channel with the modulation type of the station operating on the 12.5 kilohertz bandwidth channel.</w:t>
      </w:r>
    </w:p>
    <w:p w:rsidR="00C816F0" w:rsidRPr="00972069" w:rsidP="00C816F0" w14:paraId="22E3C606" w14:textId="77777777">
      <w:pPr>
        <w:spacing w:after="120"/>
        <w:ind w:left="630"/>
      </w:pPr>
    </w:p>
    <w:p w:rsidR="00C816F0" w:rsidRPr="00972069" w:rsidP="00C816F0" w14:paraId="1730899B" w14:textId="77777777">
      <w:pPr>
        <w:widowControl/>
      </w:pPr>
    </w:p>
    <w:p w:rsidR="00C816F0" w:rsidRPr="00972069" w:rsidP="00C816F0" w14:paraId="3C1BC657" w14:textId="77777777">
      <w:pPr>
        <w:keepNext/>
        <w:keepLines/>
        <w:widowControl/>
        <w:spacing w:after="120"/>
        <w:ind w:firstLine="450"/>
        <w:rPr>
          <w:snapToGrid/>
          <w:color w:val="000000"/>
          <w:kern w:val="0"/>
          <w:szCs w:val="22"/>
        </w:rPr>
      </w:pPr>
    </w:p>
    <w:p w:rsidR="00C816F0" w:rsidRPr="00972069" w:rsidP="00C816F0" w14:paraId="1094D8F1" w14:textId="77777777">
      <w:pPr>
        <w:keepNext/>
        <w:keepLines/>
        <w:widowControl/>
        <w:spacing w:after="120"/>
        <w:ind w:firstLine="450"/>
        <w:jc w:val="center"/>
        <w:rPr>
          <w:snapToGrid/>
          <w:color w:val="000000"/>
          <w:kern w:val="0"/>
          <w:szCs w:val="22"/>
        </w:rPr>
      </w:pPr>
      <w:r w:rsidRPr="00972069">
        <w:rPr>
          <w:snapToGrid/>
          <w:color w:val="000000"/>
          <w:kern w:val="0"/>
          <w:szCs w:val="22"/>
        </w:rPr>
        <w:t>Table 1 – Interference Contour Level for Fixed Station Operating on 12.5 kilohertz Bandwidth Channel</w:t>
      </w:r>
    </w:p>
    <w:p w:rsidR="00C816F0" w:rsidRPr="00972069" w:rsidP="00C816F0" w14:paraId="39534727" w14:textId="77777777">
      <w:pPr>
        <w:keepNext/>
        <w:keepLines/>
        <w:widowControl/>
        <w:spacing w:after="120"/>
        <w:ind w:firstLine="450"/>
        <w:jc w:val="center"/>
        <w:rPr>
          <w:b/>
          <w:bCs/>
          <w:snapToGrid/>
          <w:color w:val="000000"/>
          <w:kern w:val="0"/>
          <w:szCs w:val="22"/>
        </w:rPr>
      </w:pPr>
    </w:p>
    <w:tbl>
      <w:tblPr>
        <w:tblW w:w="9950" w:type="dxa"/>
        <w:tblInd w:w="-271" w:type="dxa"/>
        <w:tblCellMar>
          <w:left w:w="5" w:type="dxa"/>
        </w:tblCellMar>
        <w:tblLook w:val="04A0"/>
      </w:tblPr>
      <w:tblGrid>
        <w:gridCol w:w="2666"/>
        <w:gridCol w:w="1066"/>
        <w:gridCol w:w="1277"/>
        <w:gridCol w:w="1207"/>
        <w:gridCol w:w="1243"/>
        <w:gridCol w:w="1241"/>
        <w:gridCol w:w="1250"/>
      </w:tblGrid>
      <w:tr w14:paraId="6FE71611" w14:textId="77777777" w:rsidTr="00B56C51">
        <w:tblPrEx>
          <w:tblW w:w="9950" w:type="dxa"/>
          <w:tblInd w:w="-271" w:type="dxa"/>
          <w:tblCellMar>
            <w:left w:w="5" w:type="dxa"/>
          </w:tblCellMar>
          <w:tblLook w:val="04A0"/>
        </w:tblPrEx>
        <w:trPr>
          <w:trHeight w:val="516"/>
        </w:trPr>
        <w:tc>
          <w:tcPr>
            <w:tcW w:w="3732" w:type="dxa"/>
            <w:gridSpan w:val="2"/>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4ADD8673" w14:textId="77777777">
            <w:pPr>
              <w:keepNext/>
              <w:keepLines/>
              <w:widowControl/>
              <w:spacing w:after="120"/>
              <w:ind w:left="720"/>
              <w:jc w:val="center"/>
              <w:rPr>
                <w:rFonts w:eastAsia="Calibri" w:cs="Calibri"/>
                <w:snapToGrid/>
                <w:color w:val="000000"/>
                <w:kern w:val="0"/>
                <w:sz w:val="24"/>
              </w:rPr>
            </w:pPr>
            <w:r w:rsidRPr="00972069">
              <w:rPr>
                <w:snapToGrid/>
                <w:color w:val="000000"/>
                <w:kern w:val="0"/>
                <w:sz w:val="20"/>
              </w:rPr>
              <w:t xml:space="preserve"> </w:t>
            </w:r>
            <w:r w:rsidRPr="00972069">
              <w:rPr>
                <w:snapToGrid/>
                <w:color w:val="000000"/>
                <w:kern w:val="0"/>
                <w:sz w:val="18"/>
              </w:rPr>
              <w:t xml:space="preserve"> </w:t>
            </w:r>
          </w:p>
          <w:p w:rsidR="00C816F0" w:rsidRPr="00972069" w:rsidP="00B56C51" w14:paraId="2F7BB71B" w14:textId="77777777">
            <w:pPr>
              <w:keepNext/>
              <w:keepLines/>
              <w:widowControl/>
              <w:jc w:val="center"/>
              <w:rPr>
                <w:rFonts w:eastAsia="Calibri" w:cs="Calibri"/>
                <w:snapToGrid/>
                <w:color w:val="000000"/>
                <w:kern w:val="0"/>
                <w:sz w:val="24"/>
              </w:rPr>
            </w:pPr>
            <w:r w:rsidRPr="00972069">
              <w:rPr>
                <w:snapToGrid/>
                <w:color w:val="000000"/>
                <w:kern w:val="0"/>
                <w:sz w:val="18"/>
              </w:rPr>
              <w:t xml:space="preserve">Interference Contour </w:t>
            </w:r>
          </w:p>
          <w:p w:rsidR="00C816F0" w:rsidRPr="00972069" w:rsidP="00B56C51" w14:paraId="382C4BAB" w14:textId="77777777">
            <w:pPr>
              <w:keepNext/>
              <w:keepLines/>
              <w:widowControl/>
              <w:ind w:right="2"/>
              <w:jc w:val="center"/>
              <w:rPr>
                <w:rFonts w:eastAsia="Calibri" w:cs="Calibri"/>
                <w:snapToGrid/>
                <w:color w:val="000000"/>
                <w:kern w:val="0"/>
                <w:sz w:val="24"/>
              </w:rPr>
            </w:pPr>
            <w:r w:rsidRPr="00972069">
              <w:rPr>
                <w:snapToGrid/>
                <w:color w:val="000000"/>
                <w:kern w:val="0"/>
                <w:sz w:val="18"/>
              </w:rPr>
              <w:t xml:space="preserve">(12.5 kilohertz into 25 kilohertz channel) </w:t>
            </w: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165FB631" w14:textId="77777777">
            <w:pPr>
              <w:keepNext/>
              <w:keepLines/>
              <w:widowControl/>
              <w:ind w:right="13"/>
              <w:jc w:val="center"/>
              <w:rPr>
                <w:rFonts w:eastAsia="Calibri" w:cs="Calibri"/>
                <w:snapToGrid/>
                <w:color w:val="000000"/>
                <w:kern w:val="0"/>
                <w:sz w:val="24"/>
              </w:rPr>
            </w:pPr>
            <w:r w:rsidRPr="00972069">
              <w:rPr>
                <w:snapToGrid/>
                <w:color w:val="000000"/>
                <w:kern w:val="0"/>
                <w:sz w:val="18"/>
              </w:rPr>
              <w:t xml:space="preserve">12.5 kilohertz Bandwidth Technology of 12.5 kilohertz Bandwidth </w:t>
            </w:r>
          </w:p>
          <w:p w:rsidR="00C816F0" w:rsidRPr="00972069" w:rsidP="00B56C51" w14:paraId="70DD2BD2" w14:textId="77777777">
            <w:pPr>
              <w:keepNext/>
              <w:keepLines/>
              <w:widowControl/>
              <w:ind w:right="10"/>
              <w:jc w:val="center"/>
              <w:rPr>
                <w:rFonts w:eastAsia="Calibri" w:cs="Calibri"/>
                <w:snapToGrid/>
                <w:color w:val="000000"/>
                <w:kern w:val="0"/>
                <w:sz w:val="24"/>
              </w:rPr>
            </w:pPr>
            <w:r w:rsidRPr="00972069">
              <w:rPr>
                <w:snapToGrid/>
                <w:color w:val="000000"/>
                <w:kern w:val="0"/>
                <w:sz w:val="18"/>
              </w:rPr>
              <w:t xml:space="preserve">Channel </w:t>
            </w:r>
          </w:p>
        </w:tc>
      </w:tr>
      <w:tr w14:paraId="163E0D15" w14:textId="77777777" w:rsidTr="00B56C51">
        <w:tblPrEx>
          <w:tblW w:w="9950" w:type="dxa"/>
          <w:tblInd w:w="-271" w:type="dxa"/>
          <w:tblCellMar>
            <w:left w:w="5" w:type="dxa"/>
          </w:tblCellMar>
          <w:tblLook w:val="04A0"/>
        </w:tblPrEx>
        <w:trPr>
          <w:trHeight w:val="264"/>
        </w:trPr>
        <w:tc>
          <w:tcPr>
            <w:tcW w:w="0" w:type="auto"/>
            <w:gridSpan w:val="2"/>
            <w:vMerge/>
            <w:tcBorders>
              <w:top w:val="nil"/>
              <w:left w:val="single" w:sz="4" w:space="0" w:color="000000"/>
              <w:bottom w:val="nil"/>
              <w:right w:val="single" w:sz="4" w:space="0" w:color="000000"/>
            </w:tcBorders>
          </w:tcPr>
          <w:p w:rsidR="00C816F0" w:rsidRPr="00972069" w:rsidP="00B56C51" w14:paraId="0F4670E8" w14:textId="77777777">
            <w:pPr>
              <w:keepNext/>
              <w:keepLines/>
              <w:widowControl/>
              <w:rPr>
                <w:rFonts w:eastAsia="Calibri" w:cs="Calibri"/>
                <w:snapToGrid/>
                <w:color w:val="000000"/>
                <w:kern w:val="0"/>
                <w:sz w:val="24"/>
              </w:rPr>
            </w:pP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1C6628F5" w14:textId="77777777">
            <w:pPr>
              <w:keepNext/>
              <w:keepLines/>
              <w:widowControl/>
              <w:ind w:right="13"/>
              <w:jc w:val="center"/>
              <w:rPr>
                <w:rFonts w:eastAsia="Calibri" w:cs="Calibri"/>
                <w:snapToGrid/>
                <w:color w:val="000000"/>
                <w:kern w:val="0"/>
                <w:sz w:val="24"/>
              </w:rPr>
            </w:pPr>
            <w:r w:rsidRPr="00972069">
              <w:rPr>
                <w:snapToGrid/>
                <w:color w:val="000000"/>
                <w:kern w:val="0"/>
                <w:sz w:val="18"/>
              </w:rPr>
              <w:t xml:space="preserve">Transmitter Emission </w:t>
            </w:r>
          </w:p>
        </w:tc>
      </w:tr>
      <w:tr w14:paraId="74FED0F3" w14:textId="77777777" w:rsidTr="00B56C51">
        <w:tblPrEx>
          <w:tblW w:w="9950" w:type="dxa"/>
          <w:tblInd w:w="-271" w:type="dxa"/>
          <w:tblCellMar>
            <w:left w:w="5" w:type="dxa"/>
          </w:tblCellMar>
          <w:tblLook w:val="04A0"/>
        </w:tblPrEx>
        <w:trPr>
          <w:trHeight w:val="518"/>
        </w:trPr>
        <w:tc>
          <w:tcPr>
            <w:tcW w:w="0" w:type="auto"/>
            <w:gridSpan w:val="2"/>
            <w:vMerge/>
            <w:tcBorders>
              <w:top w:val="nil"/>
              <w:left w:val="single" w:sz="4" w:space="0" w:color="000000"/>
              <w:bottom w:val="single" w:sz="4" w:space="0" w:color="000000"/>
              <w:right w:val="single" w:sz="4" w:space="0" w:color="000000"/>
            </w:tcBorders>
          </w:tcPr>
          <w:p w:rsidR="00C816F0" w:rsidRPr="00972069" w:rsidP="00B56C51" w14:paraId="65889C71" w14:textId="77777777">
            <w:pPr>
              <w:keepNext/>
              <w:keepLines/>
              <w:widowControl/>
              <w:rPr>
                <w:rFonts w:eastAsia="Calibri" w:cs="Calibri"/>
                <w:snapToGrid/>
                <w:color w:val="000000"/>
                <w:kern w:val="0"/>
                <w:sz w:val="24"/>
              </w:rPr>
            </w:pPr>
          </w:p>
        </w:tc>
        <w:tc>
          <w:tcPr>
            <w:tcW w:w="1277"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44E695A2" w14:textId="77777777">
            <w:pPr>
              <w:keepNext/>
              <w:keepLines/>
              <w:widowControl/>
              <w:ind w:left="381" w:right="109" w:hanging="115"/>
              <w:rPr>
                <w:rFonts w:eastAsia="Calibri" w:cs="Calibri"/>
                <w:snapToGrid/>
                <w:color w:val="000000"/>
                <w:kern w:val="0"/>
                <w:sz w:val="24"/>
              </w:rPr>
            </w:pPr>
            <w:r w:rsidRPr="00972069">
              <w:rPr>
                <w:snapToGrid/>
                <w:color w:val="000000"/>
                <w:kern w:val="0"/>
                <w:sz w:val="18"/>
              </w:rPr>
              <w:t xml:space="preserve">11K3F3E or less </w:t>
            </w:r>
          </w:p>
        </w:tc>
        <w:tc>
          <w:tcPr>
            <w:tcW w:w="1207"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5D0747FC" w14:textId="77777777">
            <w:pPr>
              <w:keepNext/>
              <w:keepLines/>
              <w:widowControl/>
              <w:ind w:left="156"/>
              <w:rPr>
                <w:rFonts w:eastAsia="Calibri" w:cs="Calibri"/>
                <w:snapToGrid/>
                <w:color w:val="000000"/>
                <w:kern w:val="0"/>
                <w:sz w:val="24"/>
              </w:rPr>
            </w:pPr>
            <w:r w:rsidRPr="00972069">
              <w:rPr>
                <w:snapToGrid/>
                <w:color w:val="000000"/>
                <w:kern w:val="0"/>
                <w:sz w:val="18"/>
              </w:rPr>
              <w:t xml:space="preserve">8K10F1E </w:t>
            </w:r>
          </w:p>
          <w:p w:rsidR="00C816F0" w:rsidRPr="00972069" w:rsidP="00B56C51" w14:paraId="7B616A1B" w14:textId="77777777">
            <w:pPr>
              <w:keepNext/>
              <w:keepLines/>
              <w:widowControl/>
              <w:ind w:left="142"/>
              <w:rPr>
                <w:rFonts w:eastAsia="Calibri" w:cs="Calibri"/>
                <w:snapToGrid/>
                <w:color w:val="000000"/>
                <w:kern w:val="0"/>
                <w:sz w:val="24"/>
              </w:rPr>
            </w:pPr>
            <w:r w:rsidRPr="00972069">
              <w:rPr>
                <w:snapToGrid/>
                <w:color w:val="000000"/>
                <w:kern w:val="0"/>
                <w:sz w:val="18"/>
              </w:rPr>
              <w:t xml:space="preserve">8K10F1D </w:t>
            </w:r>
          </w:p>
          <w:p w:rsidR="00C816F0" w:rsidRPr="00972069" w:rsidP="00B56C51" w14:paraId="63308CA9" w14:textId="77777777">
            <w:pPr>
              <w:keepNext/>
              <w:keepLines/>
              <w:widowControl/>
              <w:ind w:left="101"/>
              <w:rPr>
                <w:rFonts w:eastAsia="Calibri" w:cs="Calibri"/>
                <w:snapToGrid/>
                <w:color w:val="000000"/>
                <w:kern w:val="0"/>
                <w:sz w:val="24"/>
              </w:rPr>
            </w:pPr>
            <w:r w:rsidRPr="00972069">
              <w:rPr>
                <w:snapToGrid/>
                <w:color w:val="000000"/>
                <w:kern w:val="0"/>
                <w:sz w:val="18"/>
              </w:rPr>
              <w:t xml:space="preserve">8K70D1W </w:t>
            </w:r>
          </w:p>
          <w:p w:rsidR="00C816F0" w:rsidRPr="00972069" w:rsidP="00B56C51" w14:paraId="58911D2A" w14:textId="77777777">
            <w:pPr>
              <w:keepNext/>
              <w:keepLines/>
              <w:widowControl/>
              <w:ind w:left="101"/>
              <w:rPr>
                <w:rFonts w:eastAsia="Calibri" w:cs="Calibri"/>
                <w:snapToGrid/>
                <w:color w:val="000000"/>
                <w:kern w:val="0"/>
                <w:sz w:val="24"/>
              </w:rPr>
            </w:pPr>
            <w:r w:rsidRPr="00972069">
              <w:rPr>
                <w:snapToGrid/>
                <w:color w:val="000000"/>
                <w:kern w:val="0"/>
                <w:sz w:val="18"/>
              </w:rPr>
              <w:t xml:space="preserve">9K80D7W </w:t>
            </w:r>
          </w:p>
        </w:tc>
        <w:tc>
          <w:tcPr>
            <w:tcW w:w="1243"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5218B211" w14:textId="77777777">
            <w:pPr>
              <w:keepNext/>
              <w:keepLines/>
              <w:widowControl/>
              <w:ind w:left="163"/>
              <w:rPr>
                <w:rFonts w:eastAsia="Calibri" w:cs="Calibri"/>
                <w:snapToGrid/>
                <w:color w:val="000000"/>
                <w:kern w:val="0"/>
                <w:sz w:val="24"/>
              </w:rPr>
            </w:pPr>
            <w:r w:rsidRPr="00972069">
              <w:rPr>
                <w:snapToGrid/>
                <w:color w:val="000000"/>
                <w:kern w:val="0"/>
                <w:sz w:val="18"/>
              </w:rPr>
              <w:t xml:space="preserve">7K60FXE </w:t>
            </w:r>
          </w:p>
          <w:p w:rsidR="00C816F0" w:rsidRPr="00972069" w:rsidP="00B56C51" w14:paraId="18741FE7" w14:textId="77777777">
            <w:pPr>
              <w:keepNext/>
              <w:keepLines/>
              <w:widowControl/>
              <w:ind w:left="151"/>
              <w:rPr>
                <w:rFonts w:eastAsia="Calibri" w:cs="Calibri"/>
                <w:snapToGrid/>
                <w:color w:val="000000"/>
                <w:kern w:val="0"/>
                <w:sz w:val="24"/>
              </w:rPr>
            </w:pPr>
            <w:r w:rsidRPr="00972069">
              <w:rPr>
                <w:snapToGrid/>
                <w:color w:val="000000"/>
                <w:kern w:val="0"/>
                <w:sz w:val="18"/>
              </w:rPr>
              <w:t xml:space="preserve">7K60FXD </w:t>
            </w:r>
          </w:p>
          <w:p w:rsidR="00C816F0" w:rsidRPr="00972069" w:rsidP="00B56C51" w14:paraId="39F89FB5" w14:textId="77777777">
            <w:pPr>
              <w:keepNext/>
              <w:keepLines/>
              <w:widowControl/>
              <w:ind w:left="190"/>
              <w:rPr>
                <w:rFonts w:eastAsia="Calibri" w:cs="Calibri"/>
                <w:snapToGrid/>
                <w:color w:val="000000"/>
                <w:kern w:val="0"/>
                <w:sz w:val="24"/>
              </w:rPr>
            </w:pPr>
            <w:r w:rsidRPr="00972069">
              <w:rPr>
                <w:snapToGrid/>
                <w:color w:val="000000"/>
                <w:kern w:val="0"/>
                <w:sz w:val="18"/>
              </w:rPr>
              <w:t xml:space="preserve">7K60F7E </w:t>
            </w:r>
          </w:p>
          <w:p w:rsidR="00C816F0" w:rsidRPr="00972069" w:rsidP="00B56C51" w14:paraId="1213C4D7" w14:textId="77777777">
            <w:pPr>
              <w:keepNext/>
              <w:keepLines/>
              <w:widowControl/>
              <w:ind w:left="175"/>
              <w:rPr>
                <w:rFonts w:eastAsia="Calibri" w:cs="Calibri"/>
                <w:snapToGrid/>
                <w:color w:val="000000"/>
                <w:kern w:val="0"/>
                <w:sz w:val="24"/>
              </w:rPr>
            </w:pPr>
            <w:r w:rsidRPr="00972069">
              <w:rPr>
                <w:snapToGrid/>
                <w:color w:val="000000"/>
                <w:kern w:val="0"/>
                <w:sz w:val="18"/>
              </w:rPr>
              <w:t xml:space="preserve">7K60F7D </w:t>
            </w:r>
          </w:p>
          <w:p w:rsidR="00C816F0" w:rsidRPr="00972069" w:rsidP="00B56C51" w14:paraId="1B7316AB" w14:textId="77777777">
            <w:pPr>
              <w:keepNext/>
              <w:keepLines/>
              <w:widowControl/>
              <w:ind w:left="151"/>
              <w:rPr>
                <w:rFonts w:eastAsia="Calibri" w:cs="Calibri"/>
                <w:snapToGrid/>
                <w:color w:val="000000"/>
                <w:kern w:val="0"/>
                <w:sz w:val="24"/>
              </w:rPr>
            </w:pPr>
            <w:r w:rsidRPr="00972069">
              <w:rPr>
                <w:snapToGrid/>
                <w:color w:val="000000"/>
                <w:kern w:val="0"/>
                <w:sz w:val="18"/>
              </w:rPr>
              <w:t xml:space="preserve">7K60F7W </w:t>
            </w:r>
          </w:p>
          <w:p w:rsidR="00C816F0" w:rsidRPr="00972069" w:rsidP="00B56C51" w14:paraId="29395831" w14:textId="77777777">
            <w:pPr>
              <w:keepNext/>
              <w:keepLines/>
              <w:widowControl/>
              <w:ind w:left="190"/>
              <w:rPr>
                <w:rFonts w:eastAsia="Calibri" w:cs="Calibri"/>
                <w:snapToGrid/>
                <w:color w:val="000000"/>
                <w:kern w:val="0"/>
                <w:sz w:val="24"/>
              </w:rPr>
            </w:pPr>
            <w:r w:rsidRPr="00972069">
              <w:rPr>
                <w:snapToGrid/>
                <w:color w:val="000000"/>
                <w:kern w:val="0"/>
                <w:sz w:val="18"/>
              </w:rPr>
              <w:t xml:space="preserve">8K30F1E </w:t>
            </w:r>
          </w:p>
          <w:p w:rsidR="00C816F0" w:rsidRPr="00972069" w:rsidP="00B56C51" w14:paraId="17F920E0" w14:textId="77777777">
            <w:pPr>
              <w:keepNext/>
              <w:keepLines/>
              <w:widowControl/>
              <w:ind w:left="176"/>
              <w:rPr>
                <w:rFonts w:eastAsia="Calibri" w:cs="Calibri"/>
                <w:snapToGrid/>
                <w:color w:val="000000"/>
                <w:kern w:val="0"/>
                <w:sz w:val="24"/>
              </w:rPr>
            </w:pPr>
            <w:r w:rsidRPr="00972069">
              <w:rPr>
                <w:snapToGrid/>
                <w:color w:val="000000"/>
                <w:kern w:val="0"/>
                <w:sz w:val="18"/>
              </w:rPr>
              <w:t xml:space="preserve">8K30F1D </w:t>
            </w:r>
          </w:p>
        </w:tc>
        <w:tc>
          <w:tcPr>
            <w:tcW w:w="1241"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4B6EF961" w14:textId="77777777">
            <w:pPr>
              <w:keepNext/>
              <w:keepLines/>
              <w:widowControl/>
              <w:ind w:left="190"/>
              <w:rPr>
                <w:rFonts w:eastAsia="Calibri" w:cs="Calibri"/>
                <w:snapToGrid/>
                <w:color w:val="000000"/>
                <w:kern w:val="0"/>
                <w:sz w:val="24"/>
              </w:rPr>
            </w:pPr>
            <w:r w:rsidRPr="00972069">
              <w:rPr>
                <w:snapToGrid/>
                <w:color w:val="000000"/>
                <w:kern w:val="0"/>
                <w:sz w:val="18"/>
              </w:rPr>
              <w:t xml:space="preserve">4K00F1E </w:t>
            </w:r>
          </w:p>
          <w:p w:rsidR="00C816F0" w:rsidRPr="00972069" w:rsidP="00B56C51" w14:paraId="7B61ED6E" w14:textId="77777777">
            <w:pPr>
              <w:keepNext/>
              <w:keepLines/>
              <w:widowControl/>
              <w:ind w:left="175"/>
              <w:rPr>
                <w:rFonts w:eastAsia="Calibri" w:cs="Calibri"/>
                <w:snapToGrid/>
                <w:color w:val="000000"/>
                <w:kern w:val="0"/>
                <w:sz w:val="24"/>
              </w:rPr>
            </w:pPr>
            <w:r w:rsidRPr="00972069">
              <w:rPr>
                <w:snapToGrid/>
                <w:color w:val="000000"/>
                <w:kern w:val="0"/>
                <w:sz w:val="18"/>
              </w:rPr>
              <w:t xml:space="preserve">4K00F1D </w:t>
            </w:r>
          </w:p>
        </w:tc>
        <w:tc>
          <w:tcPr>
            <w:tcW w:w="1250"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76DE8414" w14:textId="77777777">
            <w:pPr>
              <w:keepNext/>
              <w:keepLines/>
              <w:widowControl/>
              <w:ind w:left="190"/>
              <w:rPr>
                <w:rFonts w:eastAsia="Calibri" w:cs="Calibri"/>
                <w:snapToGrid/>
                <w:color w:val="000000"/>
                <w:kern w:val="0"/>
                <w:sz w:val="24"/>
              </w:rPr>
            </w:pPr>
            <w:r w:rsidRPr="00972069">
              <w:rPr>
                <w:snapToGrid/>
                <w:color w:val="000000"/>
                <w:kern w:val="0"/>
                <w:sz w:val="18"/>
              </w:rPr>
              <w:t xml:space="preserve">11K0F7E </w:t>
            </w:r>
          </w:p>
          <w:p w:rsidR="00C816F0" w:rsidRPr="00972069" w:rsidP="00B56C51" w14:paraId="517DDB7D" w14:textId="77777777">
            <w:pPr>
              <w:keepNext/>
              <w:keepLines/>
              <w:widowControl/>
              <w:ind w:left="178"/>
              <w:rPr>
                <w:rFonts w:eastAsia="Calibri" w:cs="Calibri"/>
                <w:snapToGrid/>
                <w:color w:val="000000"/>
                <w:kern w:val="0"/>
                <w:sz w:val="24"/>
              </w:rPr>
            </w:pPr>
            <w:r w:rsidRPr="00972069">
              <w:rPr>
                <w:snapToGrid/>
                <w:color w:val="000000"/>
                <w:kern w:val="0"/>
                <w:sz w:val="18"/>
              </w:rPr>
              <w:t xml:space="preserve">11K0F7D </w:t>
            </w:r>
          </w:p>
          <w:p w:rsidR="00C816F0" w:rsidRPr="00972069" w:rsidP="00B56C51" w14:paraId="645A3DB9" w14:textId="77777777">
            <w:pPr>
              <w:keepNext/>
              <w:keepLines/>
              <w:widowControl/>
              <w:ind w:left="154"/>
              <w:rPr>
                <w:rFonts w:eastAsia="Calibri" w:cs="Calibri"/>
                <w:snapToGrid/>
                <w:color w:val="000000"/>
                <w:kern w:val="0"/>
                <w:sz w:val="24"/>
              </w:rPr>
            </w:pPr>
            <w:r w:rsidRPr="00972069">
              <w:rPr>
                <w:snapToGrid/>
                <w:color w:val="000000"/>
                <w:kern w:val="0"/>
                <w:sz w:val="18"/>
              </w:rPr>
              <w:t xml:space="preserve">11K0F7W </w:t>
            </w:r>
          </w:p>
        </w:tc>
      </w:tr>
      <w:tr w14:paraId="690B18EB" w14:textId="77777777" w:rsidTr="00B56C51">
        <w:tblPrEx>
          <w:tblW w:w="9950" w:type="dxa"/>
          <w:tblInd w:w="-271" w:type="dxa"/>
          <w:tblCellMar>
            <w:left w:w="5" w:type="dxa"/>
          </w:tblCellMar>
          <w:tblLook w:val="04A0"/>
        </w:tblPrEx>
        <w:trPr>
          <w:trHeight w:val="1262"/>
        </w:trPr>
        <w:tc>
          <w:tcPr>
            <w:tcW w:w="3732" w:type="dxa"/>
            <w:gridSpan w:val="2"/>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6EA2E5F2" w14:textId="77777777">
            <w:pPr>
              <w:keepNext/>
              <w:keepLines/>
              <w:widowControl/>
              <w:ind w:left="2"/>
              <w:rPr>
                <w:rFonts w:eastAsia="Calibri" w:cs="Calibri"/>
                <w:snapToGrid/>
                <w:color w:val="000000"/>
                <w:kern w:val="0"/>
                <w:sz w:val="24"/>
              </w:rPr>
            </w:pPr>
            <w:r w:rsidRPr="00972069">
              <w:rPr>
                <w:snapToGrid/>
                <w:color w:val="000000"/>
                <w:kern w:val="0"/>
                <w:sz w:val="18"/>
              </w:rPr>
              <w:t xml:space="preserve"> </w:t>
            </w:r>
          </w:p>
          <w:p w:rsidR="00C816F0" w:rsidRPr="00972069" w:rsidP="00B56C51" w14:paraId="7A5C75DD" w14:textId="77777777">
            <w:pPr>
              <w:keepNext/>
              <w:keepLines/>
              <w:widowControl/>
              <w:ind w:right="1"/>
              <w:jc w:val="center"/>
              <w:rPr>
                <w:rFonts w:eastAsia="Calibri" w:cs="Calibri"/>
                <w:snapToGrid/>
                <w:color w:val="000000"/>
                <w:kern w:val="0"/>
                <w:sz w:val="24"/>
              </w:rPr>
            </w:pPr>
            <w:r w:rsidRPr="00972069">
              <w:rPr>
                <w:snapToGrid/>
                <w:color w:val="000000"/>
                <w:kern w:val="0"/>
                <w:sz w:val="18"/>
              </w:rPr>
              <w:t xml:space="preserve">25 kilohertz Technology on </w:t>
            </w:r>
          </w:p>
          <w:p w:rsidR="00C816F0" w:rsidRPr="00972069" w:rsidP="00B56C51" w14:paraId="4822905A" w14:textId="77777777">
            <w:pPr>
              <w:keepNext/>
              <w:keepLines/>
              <w:widowControl/>
              <w:ind w:right="1"/>
              <w:jc w:val="center"/>
              <w:rPr>
                <w:rFonts w:eastAsia="Calibri" w:cs="Calibri"/>
                <w:snapToGrid/>
                <w:color w:val="000000"/>
                <w:kern w:val="0"/>
                <w:sz w:val="24"/>
              </w:rPr>
            </w:pPr>
            <w:r w:rsidRPr="00972069">
              <w:rPr>
                <w:snapToGrid/>
                <w:color w:val="000000"/>
                <w:kern w:val="0"/>
                <w:sz w:val="18"/>
              </w:rPr>
              <w:t xml:space="preserve">25 kilohertz Bandwidth Channel </w:t>
            </w:r>
          </w:p>
        </w:tc>
        <w:tc>
          <w:tcPr>
            <w:tcW w:w="0" w:type="auto"/>
            <w:vMerge/>
            <w:tcBorders>
              <w:top w:val="nil"/>
              <w:left w:val="single" w:sz="4" w:space="0" w:color="000000"/>
              <w:bottom w:val="single" w:sz="4" w:space="0" w:color="000000"/>
              <w:right w:val="single" w:sz="4" w:space="0" w:color="000000"/>
            </w:tcBorders>
          </w:tcPr>
          <w:p w:rsidR="00C816F0" w:rsidRPr="00972069" w:rsidP="00B56C51" w14:paraId="7108AA47"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747960F9"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6F8A21F9"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21462E7E"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1C7253F1" w14:textId="77777777">
            <w:pPr>
              <w:keepNext/>
              <w:keepLines/>
              <w:widowControl/>
              <w:rPr>
                <w:rFonts w:eastAsia="Calibri" w:cs="Calibri"/>
                <w:snapToGrid/>
                <w:color w:val="000000"/>
                <w:kern w:val="0"/>
                <w:sz w:val="24"/>
              </w:rPr>
            </w:pPr>
          </w:p>
        </w:tc>
      </w:tr>
      <w:tr w14:paraId="34C23839" w14:textId="77777777" w:rsidTr="00B56C51">
        <w:tblPrEx>
          <w:tblW w:w="9950" w:type="dxa"/>
          <w:tblInd w:w="-271" w:type="dxa"/>
          <w:tblCellMar>
            <w:left w:w="5" w:type="dxa"/>
          </w:tblCellMar>
          <w:tblLook w:val="04A0"/>
        </w:tblPrEx>
        <w:trPr>
          <w:trHeight w:val="386"/>
        </w:trPr>
        <w:tc>
          <w:tcPr>
            <w:tcW w:w="0" w:type="auto"/>
            <w:gridSpan w:val="2"/>
            <w:vMerge/>
            <w:tcBorders>
              <w:top w:val="nil"/>
              <w:left w:val="single" w:sz="4" w:space="0" w:color="000000"/>
              <w:bottom w:val="single" w:sz="4" w:space="0" w:color="000000"/>
              <w:right w:val="single" w:sz="4" w:space="0" w:color="000000"/>
            </w:tcBorders>
          </w:tcPr>
          <w:p w:rsidR="00C816F0" w:rsidRPr="00972069" w:rsidP="00B56C51" w14:paraId="69C7DD70" w14:textId="77777777">
            <w:pPr>
              <w:keepNext/>
              <w:keepLines/>
              <w:widowControl/>
              <w:rPr>
                <w:rFonts w:eastAsia="Calibri" w:cs="Calibri"/>
                <w:snapToGrid/>
                <w:color w:val="000000"/>
                <w:kern w:val="0"/>
                <w:sz w:val="24"/>
              </w:rPr>
            </w:pP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33870B5F"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5ECC14C0" w14:textId="77777777">
            <w:pPr>
              <w:keepNext/>
              <w:keepLines/>
              <w:widowControl/>
              <w:ind w:left="70"/>
              <w:rPr>
                <w:rFonts w:eastAsia="Calibri" w:cs="Calibri"/>
                <w:snapToGrid/>
                <w:color w:val="000000"/>
                <w:kern w:val="0"/>
                <w:sz w:val="24"/>
              </w:rPr>
            </w:pPr>
            <w:r w:rsidRPr="00972069">
              <w:rPr>
                <w:snapToGrid/>
                <w:color w:val="000000"/>
                <w:kern w:val="0"/>
                <w:sz w:val="18"/>
              </w:rPr>
              <w:t xml:space="preserve">Transmitter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5644F067"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2DC7736A"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7A374BC"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r>
      <w:tr w14:paraId="4DCAF3A5" w14:textId="77777777" w:rsidTr="00B56C51">
        <w:tblPrEx>
          <w:tblW w:w="9950" w:type="dxa"/>
          <w:tblInd w:w="-271" w:type="dxa"/>
          <w:tblCellMar>
            <w:left w:w="5" w:type="dxa"/>
          </w:tblCellMar>
          <w:tblLook w:val="04A0"/>
        </w:tblPrEx>
        <w:trPr>
          <w:trHeight w:val="264"/>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19F3BA13" w14:textId="77777777">
            <w:pPr>
              <w:keepNext/>
              <w:keepLines/>
              <w:widowControl/>
              <w:ind w:left="648"/>
              <w:rPr>
                <w:rFonts w:eastAsia="Calibri" w:cs="Calibri"/>
                <w:snapToGrid/>
                <w:color w:val="000000"/>
                <w:kern w:val="0"/>
                <w:sz w:val="24"/>
              </w:rPr>
            </w:pPr>
            <w:r w:rsidRPr="00972069">
              <w:rPr>
                <w:snapToGrid/>
                <w:color w:val="000000"/>
                <w:kern w:val="0"/>
                <w:sz w:val="18"/>
              </w:rPr>
              <w:t xml:space="preserve">Transmitter Emission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36363CCD"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59C74C67" w14:textId="77777777">
            <w:pPr>
              <w:keepNext/>
              <w:keepLines/>
              <w:widowControl/>
              <w:ind w:left="1490"/>
              <w:rPr>
                <w:rFonts w:eastAsia="Calibri" w:cs="Calibri"/>
                <w:snapToGrid/>
                <w:color w:val="000000"/>
                <w:kern w:val="0"/>
                <w:sz w:val="24"/>
              </w:rPr>
            </w:pPr>
            <w:r w:rsidRPr="00972069">
              <w:rPr>
                <w:snapToGrid/>
                <w:color w:val="000000"/>
                <w:kern w:val="0"/>
                <w:sz w:val="18"/>
              </w:rPr>
              <w:t>Interference Contour [</w:t>
            </w:r>
            <w:r w:rsidRPr="00972069">
              <w:rPr>
                <w:snapToGrid/>
                <w:color w:val="000000"/>
                <w:kern w:val="0"/>
                <w:sz w:val="18"/>
              </w:rPr>
              <w:t>dBu</w:t>
            </w:r>
            <w:r w:rsidRPr="00972069">
              <w:rPr>
                <w:snapToGrid/>
                <w:color w:val="000000"/>
                <w:kern w:val="0"/>
                <w:sz w:val="18"/>
              </w:rPr>
              <w:t xml:space="preserve"> F (50,10)] </w:t>
            </w:r>
          </w:p>
        </w:tc>
      </w:tr>
      <w:tr w14:paraId="4C193F05" w14:textId="77777777" w:rsidTr="00B56C51">
        <w:tblPrEx>
          <w:tblW w:w="9950" w:type="dxa"/>
          <w:tblInd w:w="-271" w:type="dxa"/>
          <w:tblCellMar>
            <w:left w:w="5" w:type="dxa"/>
          </w:tblCellMar>
          <w:tblLook w:val="04A0"/>
        </w:tblPrEx>
        <w:trPr>
          <w:trHeight w:val="504"/>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7DF1CDD0" w14:textId="77777777">
            <w:pPr>
              <w:keepNext/>
              <w:keepLines/>
              <w:widowControl/>
              <w:ind w:left="601" w:right="417"/>
              <w:jc w:val="center"/>
              <w:rPr>
                <w:rFonts w:eastAsia="Calibri" w:cs="Calibri"/>
                <w:snapToGrid/>
                <w:color w:val="000000"/>
                <w:kern w:val="0"/>
                <w:sz w:val="24"/>
              </w:rPr>
            </w:pPr>
            <w:r w:rsidRPr="00972069">
              <w:rPr>
                <w:snapToGrid/>
                <w:color w:val="000000"/>
                <w:kern w:val="0"/>
                <w:sz w:val="18"/>
              </w:rPr>
              <w:t xml:space="preserve">16K0F3E or 20K0F3E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4071B2B4"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64E16CE5"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28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371B6E4D"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25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32634309"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28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250F798D"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DB6E26C" w14:textId="77777777">
            <w:pPr>
              <w:keepNext/>
              <w:keepLines/>
              <w:widowControl/>
              <w:ind w:left="1"/>
              <w:jc w:val="center"/>
              <w:rPr>
                <w:rFonts w:eastAsia="Calibri" w:cs="Calibri"/>
                <w:snapToGrid/>
                <w:color w:val="000000"/>
                <w:kern w:val="0"/>
                <w:sz w:val="24"/>
              </w:rPr>
            </w:pPr>
            <w:r w:rsidRPr="00972069">
              <w:rPr>
                <w:snapToGrid/>
                <w:color w:val="000000"/>
                <w:kern w:val="0"/>
                <w:sz w:val="18"/>
              </w:rPr>
              <w:t xml:space="preserve">23 </w:t>
            </w:r>
          </w:p>
        </w:tc>
      </w:tr>
      <w:tr w14:paraId="0E3433C8" w14:textId="77777777" w:rsidTr="00B56C51">
        <w:tblPrEx>
          <w:tblW w:w="9950" w:type="dxa"/>
          <w:tblInd w:w="-271" w:type="dxa"/>
          <w:tblCellMar>
            <w:left w:w="5" w:type="dxa"/>
          </w:tblCellMar>
          <w:tblLook w:val="04A0"/>
        </w:tblPrEx>
        <w:trPr>
          <w:trHeight w:val="533"/>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7F939155" w14:textId="77777777">
            <w:pPr>
              <w:keepNext/>
              <w:keepLines/>
              <w:widowControl/>
              <w:ind w:left="584" w:right="414"/>
              <w:jc w:val="center"/>
              <w:rPr>
                <w:rFonts w:eastAsia="Calibri" w:cs="Calibri"/>
                <w:snapToGrid/>
                <w:color w:val="000000"/>
                <w:kern w:val="0"/>
                <w:sz w:val="24"/>
              </w:rPr>
            </w:pPr>
            <w:r w:rsidRPr="00972069">
              <w:rPr>
                <w:snapToGrid/>
                <w:color w:val="000000"/>
                <w:kern w:val="0"/>
                <w:sz w:val="18"/>
              </w:rPr>
              <w:t xml:space="preserve">10K0F1E or 10K0F1D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5B3B6702"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10EB9EC2"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40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3A362296"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36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49D9B17A"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40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3F7A7F1F"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96B8E05" w14:textId="77777777">
            <w:pPr>
              <w:keepNext/>
              <w:keepLines/>
              <w:widowControl/>
              <w:ind w:left="1"/>
              <w:jc w:val="center"/>
              <w:rPr>
                <w:rFonts w:eastAsia="Calibri" w:cs="Calibri"/>
                <w:snapToGrid/>
                <w:color w:val="000000"/>
                <w:kern w:val="0"/>
                <w:sz w:val="24"/>
              </w:rPr>
            </w:pPr>
            <w:r w:rsidRPr="00972069">
              <w:rPr>
                <w:snapToGrid/>
                <w:color w:val="000000"/>
                <w:kern w:val="0"/>
                <w:sz w:val="18"/>
              </w:rPr>
              <w:t xml:space="preserve">28 </w:t>
            </w:r>
          </w:p>
        </w:tc>
      </w:tr>
      <w:tr w14:paraId="0A6FDBF7" w14:textId="77777777" w:rsidTr="00B56C51">
        <w:tblPrEx>
          <w:tblW w:w="9950" w:type="dxa"/>
          <w:tblInd w:w="-271" w:type="dxa"/>
          <w:tblCellMar>
            <w:left w:w="5" w:type="dxa"/>
          </w:tblCellMar>
          <w:tblLook w:val="04A0"/>
        </w:tblPrEx>
        <w:trPr>
          <w:trHeight w:val="550"/>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03B32A98" w14:textId="77777777">
            <w:pPr>
              <w:keepNext/>
              <w:keepLines/>
              <w:widowControl/>
              <w:ind w:left="93"/>
              <w:jc w:val="center"/>
              <w:rPr>
                <w:rFonts w:eastAsia="Calibri" w:cs="Calibri"/>
                <w:snapToGrid/>
                <w:color w:val="000000"/>
                <w:kern w:val="0"/>
                <w:sz w:val="24"/>
              </w:rPr>
            </w:pPr>
            <w:r w:rsidRPr="00972069">
              <w:rPr>
                <w:snapToGrid/>
                <w:color w:val="000000"/>
                <w:kern w:val="0"/>
                <w:sz w:val="18"/>
              </w:rPr>
              <w:t xml:space="preserve">12K5F9W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0B75BFC5"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3F4AA509"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40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2DAA1426" w14:textId="77777777">
            <w:pPr>
              <w:keepNext/>
              <w:keepLines/>
              <w:widowControl/>
              <w:ind w:left="77"/>
              <w:rPr>
                <w:rFonts w:eastAsia="Calibri" w:cs="Calibri"/>
                <w:snapToGrid/>
                <w:color w:val="000000"/>
                <w:kern w:val="0"/>
                <w:sz w:val="24"/>
              </w:rPr>
            </w:pPr>
            <w:r w:rsidRPr="00972069">
              <w:rPr>
                <w:snapToGrid/>
                <w:color w:val="000000"/>
                <w:kern w:val="0"/>
                <w:sz w:val="18"/>
              </w:rPr>
              <w:t xml:space="preserve">        36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70D3D363"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40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09617827"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7B4B14F4" w14:textId="77777777">
            <w:pPr>
              <w:keepNext/>
              <w:keepLines/>
              <w:widowControl/>
              <w:ind w:left="1"/>
              <w:jc w:val="center"/>
              <w:rPr>
                <w:rFonts w:eastAsia="Calibri" w:cs="Calibri"/>
                <w:snapToGrid/>
                <w:color w:val="000000"/>
                <w:kern w:val="0"/>
                <w:sz w:val="24"/>
              </w:rPr>
            </w:pPr>
            <w:r w:rsidRPr="00972069">
              <w:rPr>
                <w:snapToGrid/>
                <w:color w:val="000000"/>
                <w:kern w:val="0"/>
                <w:sz w:val="18"/>
              </w:rPr>
              <w:t xml:space="preserve">32 </w:t>
            </w:r>
          </w:p>
        </w:tc>
      </w:tr>
      <w:tr w14:paraId="473CBA12" w14:textId="77777777" w:rsidTr="00B56C51">
        <w:tblPrEx>
          <w:tblW w:w="9950" w:type="dxa"/>
          <w:tblInd w:w="-271" w:type="dxa"/>
          <w:tblCellMar>
            <w:left w:w="5" w:type="dxa"/>
          </w:tblCellMar>
          <w:tblLook w:val="04A0"/>
        </w:tblPrEx>
        <w:trPr>
          <w:trHeight w:val="26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00564802" w14:textId="77777777">
            <w:pPr>
              <w:keepNext/>
              <w:keepLines/>
              <w:widowControl/>
              <w:ind w:left="130"/>
              <w:jc w:val="center"/>
              <w:rPr>
                <w:rFonts w:eastAsia="Calibri" w:cs="Calibri"/>
                <w:snapToGrid/>
                <w:color w:val="000000"/>
                <w:kern w:val="0"/>
                <w:sz w:val="24"/>
              </w:rPr>
            </w:pPr>
            <w:r w:rsidRPr="00972069">
              <w:rPr>
                <w:snapToGrid/>
                <w:color w:val="000000"/>
                <w:kern w:val="0"/>
                <w:sz w:val="18"/>
              </w:rPr>
              <w:t xml:space="preserve">16K0F1E or 16K0F1D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09152DD3"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0C8BBADE"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70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678C95E0"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65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175EAF03"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65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266CC39C"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3598F005" w14:textId="77777777">
            <w:pPr>
              <w:keepNext/>
              <w:keepLines/>
              <w:widowControl/>
              <w:ind w:left="3"/>
              <w:jc w:val="center"/>
              <w:rPr>
                <w:rFonts w:eastAsia="Calibri" w:cs="Calibri"/>
                <w:snapToGrid/>
                <w:color w:val="000000"/>
                <w:kern w:val="0"/>
                <w:sz w:val="24"/>
              </w:rPr>
            </w:pPr>
            <w:r w:rsidRPr="00972069">
              <w:rPr>
                <w:snapToGrid/>
                <w:color w:val="000000"/>
                <w:kern w:val="0"/>
                <w:sz w:val="18"/>
              </w:rPr>
              <w:t xml:space="preserve">NA </w:t>
            </w:r>
          </w:p>
        </w:tc>
      </w:tr>
      <w:tr w14:paraId="150E44B1" w14:textId="77777777" w:rsidTr="00B56C51">
        <w:tblPrEx>
          <w:tblW w:w="9950" w:type="dxa"/>
          <w:tblInd w:w="-271" w:type="dxa"/>
          <w:tblCellMar>
            <w:left w:w="5" w:type="dxa"/>
          </w:tblCellMar>
          <w:tblLook w:val="04A0"/>
        </w:tblPrEx>
        <w:trPr>
          <w:trHeight w:val="641"/>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7FBB1E99" w14:textId="77777777">
            <w:pPr>
              <w:keepNext/>
              <w:keepLines/>
              <w:widowControl/>
              <w:ind w:left="459" w:right="421"/>
              <w:jc w:val="center"/>
              <w:rPr>
                <w:rFonts w:eastAsia="Calibri" w:cs="Calibri"/>
                <w:snapToGrid/>
                <w:color w:val="000000"/>
                <w:kern w:val="0"/>
                <w:sz w:val="24"/>
              </w:rPr>
            </w:pPr>
            <w:r w:rsidRPr="00972069">
              <w:rPr>
                <w:snapToGrid/>
                <w:color w:val="000000"/>
                <w:kern w:val="0"/>
                <w:sz w:val="18"/>
              </w:rPr>
              <w:t xml:space="preserve">18K3D7W or 17K7D7D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4891E086"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1F5F41C9"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246B6BFA"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28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481A12E3"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25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2B5369B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A0BE78D"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28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75BEE409"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73F28FA"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0D13D477"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CCAA44F" w14:textId="77777777">
            <w:pPr>
              <w:keepNext/>
              <w:keepLines/>
              <w:widowControl/>
              <w:ind w:left="1"/>
              <w:jc w:val="center"/>
              <w:rPr>
                <w:rFonts w:eastAsia="Calibri" w:cs="Calibri"/>
                <w:snapToGrid/>
                <w:color w:val="000000"/>
                <w:kern w:val="0"/>
                <w:sz w:val="24"/>
              </w:rPr>
            </w:pPr>
            <w:r w:rsidRPr="00972069">
              <w:rPr>
                <w:snapToGrid/>
                <w:color w:val="000000"/>
                <w:kern w:val="0"/>
                <w:sz w:val="18"/>
              </w:rPr>
              <w:t xml:space="preserve">20 </w:t>
            </w:r>
          </w:p>
        </w:tc>
      </w:tr>
      <w:tr w14:paraId="615702B3" w14:textId="77777777" w:rsidTr="00B56C51">
        <w:tblPrEx>
          <w:tblW w:w="9950" w:type="dxa"/>
          <w:tblInd w:w="-271" w:type="dxa"/>
          <w:tblCellMar>
            <w:left w:w="5" w:type="dxa"/>
          </w:tblCellMar>
          <w:tblLook w:val="04A0"/>
        </w:tblPrEx>
        <w:trPr>
          <w:trHeight w:val="713"/>
        </w:trPr>
        <w:tc>
          <w:tcPr>
            <w:tcW w:w="3732" w:type="dxa"/>
            <w:gridSpan w:val="2"/>
            <w:tcBorders>
              <w:top w:val="single" w:sz="4" w:space="0" w:color="000000"/>
              <w:left w:val="single" w:sz="4" w:space="0" w:color="000000"/>
              <w:bottom w:val="single" w:sz="4" w:space="0" w:color="000000"/>
              <w:right w:val="single" w:sz="4" w:space="0" w:color="000000"/>
            </w:tcBorders>
          </w:tcPr>
          <w:p w:rsidR="00C816F0" w:rsidRPr="00972069" w:rsidP="00B56C51" w14:paraId="5F6DF38B" w14:textId="77777777">
            <w:pPr>
              <w:keepNext/>
              <w:keepLines/>
              <w:widowControl/>
              <w:ind w:left="439" w:right="326"/>
              <w:rPr>
                <w:rFonts w:eastAsia="Calibri" w:cs="Calibri"/>
                <w:snapToGrid/>
                <w:color w:val="000000"/>
                <w:kern w:val="0"/>
                <w:sz w:val="24"/>
              </w:rPr>
            </w:pPr>
            <w:r w:rsidRPr="00972069">
              <w:rPr>
                <w:snapToGrid/>
                <w:color w:val="000000"/>
                <w:kern w:val="0"/>
                <w:sz w:val="18"/>
              </w:rPr>
              <w:t xml:space="preserve">12.5 kilohertz Bandwidth Technology on 25 kilohertz Bandwidth Channel </w:t>
            </w: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18251302"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r>
      <w:tr w14:paraId="7061BC92" w14:textId="77777777" w:rsidTr="00B56C51">
        <w:tblPrEx>
          <w:tblW w:w="9950" w:type="dxa"/>
          <w:tblInd w:w="-271" w:type="dxa"/>
          <w:tblCellMar>
            <w:left w:w="5" w:type="dxa"/>
          </w:tblCellMar>
          <w:tblLook w:val="04A0"/>
        </w:tblPrEx>
        <w:trPr>
          <w:trHeight w:val="26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620F7819"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Transmitter Emission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067F4694"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5BC35A08" w14:textId="77777777">
            <w:pPr>
              <w:keepNext/>
              <w:keepLines/>
              <w:widowControl/>
              <w:ind w:left="1490"/>
              <w:rPr>
                <w:rFonts w:eastAsia="Calibri" w:cs="Calibri"/>
                <w:snapToGrid/>
                <w:color w:val="000000"/>
                <w:kern w:val="0"/>
                <w:sz w:val="24"/>
              </w:rPr>
            </w:pPr>
            <w:r w:rsidRPr="00972069">
              <w:rPr>
                <w:snapToGrid/>
                <w:color w:val="000000"/>
                <w:kern w:val="0"/>
                <w:sz w:val="18"/>
              </w:rPr>
              <w:t>Interference Contour [</w:t>
            </w:r>
            <w:r w:rsidRPr="00972069">
              <w:rPr>
                <w:snapToGrid/>
                <w:color w:val="000000"/>
                <w:kern w:val="0"/>
                <w:sz w:val="18"/>
              </w:rPr>
              <w:t>dBu</w:t>
            </w:r>
            <w:r w:rsidRPr="00972069">
              <w:rPr>
                <w:snapToGrid/>
                <w:color w:val="000000"/>
                <w:kern w:val="0"/>
                <w:sz w:val="18"/>
              </w:rPr>
              <w:t xml:space="preserve"> F (50,10)] </w:t>
            </w:r>
          </w:p>
        </w:tc>
      </w:tr>
      <w:tr w14:paraId="088A19BC" w14:textId="77777777" w:rsidTr="00B56C51">
        <w:tblPrEx>
          <w:tblW w:w="9950" w:type="dxa"/>
          <w:tblInd w:w="-271" w:type="dxa"/>
          <w:tblCellMar>
            <w:left w:w="5" w:type="dxa"/>
          </w:tblCellMar>
          <w:tblLook w:val="04A0"/>
        </w:tblPrEx>
        <w:trPr>
          <w:trHeight w:val="264"/>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708C1ACE" w14:textId="77777777">
            <w:pPr>
              <w:keepNext/>
              <w:keepLines/>
              <w:widowControl/>
              <w:ind w:left="1"/>
              <w:jc w:val="center"/>
              <w:rPr>
                <w:rFonts w:eastAsia="Calibri" w:cs="Calibri"/>
                <w:snapToGrid/>
                <w:color w:val="000000"/>
                <w:kern w:val="0"/>
                <w:sz w:val="24"/>
              </w:rPr>
            </w:pPr>
            <w:r w:rsidRPr="00972069">
              <w:rPr>
                <w:snapToGrid/>
                <w:color w:val="000000"/>
                <w:kern w:val="0"/>
                <w:sz w:val="18"/>
              </w:rPr>
              <w:t xml:space="preserve">11K3F3E or less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49ED5516"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30E5F766"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65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0150C5B2"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65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12BCF5A3"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65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76283BFD"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00925316" w14:textId="77777777">
            <w:pPr>
              <w:keepNext/>
              <w:keepLines/>
              <w:widowControl/>
              <w:ind w:left="1"/>
              <w:jc w:val="center"/>
              <w:rPr>
                <w:rFonts w:eastAsia="Calibri" w:cs="Calibri"/>
                <w:snapToGrid/>
                <w:color w:val="000000"/>
                <w:kern w:val="0"/>
                <w:sz w:val="24"/>
              </w:rPr>
            </w:pPr>
            <w:r w:rsidRPr="00972069">
              <w:rPr>
                <w:snapToGrid/>
                <w:color w:val="000000"/>
                <w:kern w:val="0"/>
                <w:sz w:val="18"/>
              </w:rPr>
              <w:t xml:space="preserve">70 </w:t>
            </w:r>
          </w:p>
        </w:tc>
      </w:tr>
      <w:tr w14:paraId="046CAAD1" w14:textId="77777777" w:rsidTr="00B56C51">
        <w:tblPrEx>
          <w:tblW w:w="9950" w:type="dxa"/>
          <w:tblInd w:w="-271" w:type="dxa"/>
          <w:tblCellMar>
            <w:left w:w="5" w:type="dxa"/>
          </w:tblCellMar>
          <w:tblLook w:val="04A0"/>
        </w:tblPrEx>
        <w:trPr>
          <w:trHeight w:val="102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3509F141"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8K10F1E, 8K10F1D, </w:t>
            </w:r>
          </w:p>
          <w:p w:rsidR="00C816F0" w:rsidRPr="00972069" w:rsidP="00B56C51" w14:paraId="5979132E"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8K70D1W, </w:t>
            </w:r>
          </w:p>
          <w:p w:rsidR="00C816F0" w:rsidRPr="00972069" w:rsidP="00B56C51" w14:paraId="14E1B5A0" w14:textId="77777777">
            <w:pPr>
              <w:keepNext/>
              <w:keepLines/>
              <w:widowControl/>
              <w:ind w:left="448" w:right="407"/>
              <w:jc w:val="center"/>
              <w:rPr>
                <w:rFonts w:eastAsia="Calibri" w:cs="Calibri"/>
                <w:snapToGrid/>
                <w:color w:val="000000"/>
                <w:kern w:val="0"/>
                <w:sz w:val="24"/>
              </w:rPr>
            </w:pPr>
            <w:r w:rsidRPr="00972069">
              <w:rPr>
                <w:snapToGrid/>
                <w:color w:val="000000"/>
                <w:kern w:val="0"/>
                <w:sz w:val="18"/>
              </w:rPr>
              <w:t xml:space="preserve">9K80D7W, 9K80D1E or 9K80D1D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3201781E"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D69EB3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3709DE6"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72667E5B"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610A6849"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674FA2D7" w14:textId="77777777">
            <w:pPr>
              <w:keepNext/>
              <w:keepLines/>
              <w:widowControl/>
              <w:ind w:right="43"/>
              <w:jc w:val="center"/>
              <w:rPr>
                <w:rFonts w:eastAsia="Calibri" w:cs="Calibri"/>
                <w:snapToGrid/>
                <w:color w:val="000000"/>
                <w:kern w:val="0"/>
                <w:sz w:val="24"/>
              </w:rPr>
            </w:pPr>
            <w:r w:rsidRPr="00972069">
              <w:rPr>
                <w:snapToGrid/>
                <w:color w:val="000000"/>
                <w:kern w:val="0"/>
                <w:sz w:val="18"/>
              </w:rPr>
              <w:t xml:space="preserve">NA </w:t>
            </w:r>
          </w:p>
        </w:tc>
        <w:tc>
          <w:tcPr>
            <w:tcW w:w="1207"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752708A4"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75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7583630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C7BE41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7E9C4EF"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75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6E34CD5A"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AB6EF4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70755AE"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4F6EE607"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C7B710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6AB4B18" w14:textId="77777777">
            <w:pPr>
              <w:keepNext/>
              <w:keepLines/>
              <w:widowControl/>
              <w:ind w:left="3"/>
              <w:jc w:val="center"/>
              <w:rPr>
                <w:rFonts w:eastAsia="Calibri" w:cs="Calibri"/>
                <w:snapToGrid/>
                <w:color w:val="000000"/>
                <w:kern w:val="0"/>
                <w:sz w:val="24"/>
              </w:rPr>
            </w:pPr>
            <w:r w:rsidRPr="00972069">
              <w:rPr>
                <w:snapToGrid/>
                <w:color w:val="000000"/>
                <w:kern w:val="0"/>
                <w:sz w:val="18"/>
              </w:rPr>
              <w:t xml:space="preserve">NA </w:t>
            </w:r>
          </w:p>
        </w:tc>
      </w:tr>
      <w:tr w14:paraId="45860B0B" w14:textId="77777777" w:rsidTr="00B56C51">
        <w:tblPrEx>
          <w:tblW w:w="9950" w:type="dxa"/>
          <w:tblInd w:w="-271" w:type="dxa"/>
          <w:tblCellMar>
            <w:left w:w="5" w:type="dxa"/>
          </w:tblCellMar>
          <w:tblLook w:val="04A0"/>
        </w:tblPrEx>
        <w:trPr>
          <w:trHeight w:val="102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57E1D842" w14:textId="77777777">
            <w:pPr>
              <w:keepNext/>
              <w:keepLines/>
              <w:widowControl/>
              <w:ind w:right="3"/>
              <w:jc w:val="center"/>
              <w:rPr>
                <w:rFonts w:eastAsia="Calibri" w:cs="Calibri"/>
                <w:snapToGrid/>
                <w:color w:val="000000"/>
                <w:kern w:val="0"/>
                <w:sz w:val="24"/>
              </w:rPr>
            </w:pPr>
            <w:r w:rsidRPr="00972069">
              <w:rPr>
                <w:snapToGrid/>
                <w:color w:val="000000"/>
                <w:kern w:val="0"/>
                <w:sz w:val="18"/>
              </w:rPr>
              <w:t xml:space="preserve">7K60FXE, 7K60FXD, </w:t>
            </w:r>
          </w:p>
          <w:p w:rsidR="00C816F0" w:rsidRPr="00972069" w:rsidP="00B56C51" w14:paraId="0E324EFF"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7K60F7E, 7K60F7D, </w:t>
            </w:r>
          </w:p>
          <w:p w:rsidR="00C816F0" w:rsidRPr="00972069" w:rsidP="00B56C51" w14:paraId="3B0D3925" w14:textId="77777777">
            <w:pPr>
              <w:keepNext/>
              <w:keepLines/>
              <w:widowControl/>
              <w:ind w:left="476" w:right="439"/>
              <w:jc w:val="center"/>
              <w:rPr>
                <w:rFonts w:eastAsia="Calibri" w:cs="Calibri"/>
                <w:snapToGrid/>
                <w:color w:val="000000"/>
                <w:kern w:val="0"/>
                <w:sz w:val="24"/>
              </w:rPr>
            </w:pPr>
            <w:r w:rsidRPr="00972069">
              <w:rPr>
                <w:snapToGrid/>
                <w:color w:val="000000"/>
                <w:kern w:val="0"/>
                <w:sz w:val="18"/>
              </w:rPr>
              <w:t xml:space="preserve">7K60F7W, 8K30F1E or 8K30F1D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0556163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29FD4D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8B4014F"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0CA3140F"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67454D8D"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68BD0CB6" w14:textId="77777777">
            <w:pPr>
              <w:keepNext/>
              <w:keepLines/>
              <w:widowControl/>
              <w:ind w:right="43"/>
              <w:jc w:val="center"/>
              <w:rPr>
                <w:rFonts w:eastAsia="Calibri" w:cs="Calibri"/>
                <w:snapToGrid/>
                <w:color w:val="000000"/>
                <w:kern w:val="0"/>
                <w:sz w:val="24"/>
              </w:rPr>
            </w:pPr>
            <w:r w:rsidRPr="00972069">
              <w:rPr>
                <w:snapToGrid/>
                <w:color w:val="000000"/>
                <w:kern w:val="0"/>
                <w:sz w:val="18"/>
              </w:rPr>
              <w:t xml:space="preserve">NA </w:t>
            </w:r>
          </w:p>
        </w:tc>
        <w:tc>
          <w:tcPr>
            <w:tcW w:w="1207"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379D90F0"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75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32CE1377"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6CD92A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77EC829"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75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15D1A40A"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68ED0A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FE65E6B"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3C115F9"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174C8E6"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84BF86B" w14:textId="77777777">
            <w:pPr>
              <w:keepNext/>
              <w:keepLines/>
              <w:widowControl/>
              <w:ind w:left="3"/>
              <w:jc w:val="center"/>
              <w:rPr>
                <w:rFonts w:eastAsia="Calibri" w:cs="Calibri"/>
                <w:snapToGrid/>
                <w:color w:val="000000"/>
                <w:kern w:val="0"/>
                <w:sz w:val="24"/>
              </w:rPr>
            </w:pPr>
            <w:r w:rsidRPr="00972069">
              <w:rPr>
                <w:snapToGrid/>
                <w:color w:val="000000"/>
                <w:kern w:val="0"/>
                <w:sz w:val="18"/>
              </w:rPr>
              <w:t xml:space="preserve">NA </w:t>
            </w:r>
          </w:p>
        </w:tc>
      </w:tr>
      <w:tr w14:paraId="2538B0D0" w14:textId="77777777" w:rsidTr="00B56C51">
        <w:tblPrEx>
          <w:tblW w:w="9950" w:type="dxa"/>
          <w:tblInd w:w="-271" w:type="dxa"/>
          <w:tblCellMar>
            <w:left w:w="5" w:type="dxa"/>
          </w:tblCellMar>
          <w:tblLook w:val="04A0"/>
        </w:tblPrEx>
        <w:trPr>
          <w:trHeight w:val="26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42628D99" w14:textId="77777777">
            <w:pPr>
              <w:keepNext/>
              <w:keepLines/>
              <w:widowControl/>
              <w:ind w:left="130"/>
              <w:jc w:val="center"/>
              <w:rPr>
                <w:rFonts w:eastAsia="Calibri" w:cs="Calibri"/>
                <w:snapToGrid/>
                <w:color w:val="000000"/>
                <w:kern w:val="0"/>
                <w:sz w:val="24"/>
              </w:rPr>
            </w:pPr>
            <w:r w:rsidRPr="00972069">
              <w:rPr>
                <w:snapToGrid/>
                <w:color w:val="000000"/>
                <w:kern w:val="0"/>
                <w:sz w:val="18"/>
              </w:rPr>
              <w:t xml:space="preserve">4K00F1E or 4K00F1D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59DEEFF0"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58A79D5B" w14:textId="77777777">
            <w:pPr>
              <w:keepNext/>
              <w:keepLines/>
              <w:widowControl/>
              <w:ind w:right="43"/>
              <w:jc w:val="center"/>
              <w:rPr>
                <w:rFonts w:eastAsia="Calibri" w:cs="Calibri"/>
                <w:snapToGrid/>
                <w:color w:val="000000"/>
                <w:kern w:val="0"/>
                <w:sz w:val="24"/>
              </w:rPr>
            </w:pPr>
            <w:r w:rsidRPr="00972069">
              <w:rPr>
                <w:snapToGrid/>
                <w:color w:val="000000"/>
                <w:kern w:val="0"/>
                <w:sz w:val="18"/>
              </w:rPr>
              <w:t xml:space="preserve">NA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314C9DBA"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NA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634BB119" w14:textId="77777777">
            <w:pPr>
              <w:keepNext/>
              <w:keepLines/>
              <w:widowControl/>
              <w:ind w:right="9"/>
              <w:jc w:val="center"/>
              <w:rPr>
                <w:rFonts w:eastAsia="Calibri" w:cs="Calibri"/>
                <w:snapToGrid/>
                <w:color w:val="000000"/>
                <w:kern w:val="0"/>
                <w:sz w:val="24"/>
              </w:rPr>
            </w:pPr>
            <w:r w:rsidRPr="00972069">
              <w:rPr>
                <w:snapToGrid/>
                <w:color w:val="000000"/>
                <w:kern w:val="0"/>
                <w:sz w:val="18"/>
              </w:rPr>
              <w:t xml:space="preserve">NA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69D605B0"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2A52992" w14:textId="77777777">
            <w:pPr>
              <w:keepNext/>
              <w:keepLines/>
              <w:widowControl/>
              <w:ind w:left="3"/>
              <w:jc w:val="center"/>
              <w:rPr>
                <w:rFonts w:eastAsia="Calibri" w:cs="Calibri"/>
                <w:snapToGrid/>
                <w:color w:val="000000"/>
                <w:kern w:val="0"/>
                <w:sz w:val="24"/>
              </w:rPr>
            </w:pPr>
            <w:r w:rsidRPr="00972069">
              <w:rPr>
                <w:snapToGrid/>
                <w:color w:val="000000"/>
                <w:kern w:val="0"/>
                <w:sz w:val="18"/>
              </w:rPr>
              <w:t xml:space="preserve">NA </w:t>
            </w:r>
          </w:p>
        </w:tc>
      </w:tr>
      <w:tr w14:paraId="28F29B84" w14:textId="77777777" w:rsidTr="00B56C51">
        <w:tblPrEx>
          <w:tblW w:w="9950" w:type="dxa"/>
          <w:tblInd w:w="-271" w:type="dxa"/>
          <w:tblCellMar>
            <w:left w:w="5" w:type="dxa"/>
          </w:tblCellMar>
          <w:tblLook w:val="04A0"/>
        </w:tblPrEx>
        <w:trPr>
          <w:trHeight w:val="559"/>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0AE3EF30" w14:textId="77777777">
            <w:pPr>
              <w:keepNext/>
              <w:keepLines/>
              <w:widowControl/>
              <w:ind w:left="496" w:right="460"/>
              <w:jc w:val="center"/>
              <w:rPr>
                <w:rFonts w:eastAsia="Calibri" w:cs="Calibri"/>
                <w:snapToGrid/>
                <w:color w:val="000000"/>
                <w:kern w:val="0"/>
                <w:sz w:val="24"/>
              </w:rPr>
            </w:pPr>
            <w:r w:rsidRPr="00972069">
              <w:rPr>
                <w:snapToGrid/>
                <w:color w:val="000000"/>
                <w:kern w:val="0"/>
                <w:sz w:val="18"/>
              </w:rPr>
              <w:t xml:space="preserve">11K0F7E, 11K0F7D or 11K0F7W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655BACD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901F0D3"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2A807DC9"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1E66452A"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60 </w:t>
            </w:r>
          </w:p>
        </w:tc>
        <w:tc>
          <w:tcPr>
            <w:tcW w:w="1207"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54781820"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55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1E42627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3C9073C"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60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022780F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08C0483"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695DB9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E1579E8" w14:textId="77777777">
            <w:pPr>
              <w:keepNext/>
              <w:keepLines/>
              <w:widowControl/>
              <w:ind w:left="3"/>
              <w:jc w:val="center"/>
              <w:rPr>
                <w:rFonts w:eastAsia="Calibri" w:cs="Calibri"/>
                <w:snapToGrid/>
                <w:color w:val="000000"/>
                <w:kern w:val="0"/>
                <w:sz w:val="24"/>
              </w:rPr>
            </w:pPr>
            <w:r w:rsidRPr="00972069">
              <w:rPr>
                <w:snapToGrid/>
                <w:color w:val="000000"/>
                <w:kern w:val="0"/>
                <w:sz w:val="18"/>
              </w:rPr>
              <w:t xml:space="preserve">NA </w:t>
            </w:r>
          </w:p>
        </w:tc>
      </w:tr>
      <w:tr w14:paraId="4DCA69FD" w14:textId="77777777" w:rsidTr="00B56C51">
        <w:tblPrEx>
          <w:tblW w:w="9950" w:type="dxa"/>
          <w:tblInd w:w="-271" w:type="dxa"/>
          <w:tblCellMar>
            <w:left w:w="5" w:type="dxa"/>
          </w:tblCellMar>
          <w:tblLook w:val="04A0"/>
        </w:tblPrEx>
        <w:trPr>
          <w:trHeight w:val="720"/>
        </w:trPr>
        <w:tc>
          <w:tcPr>
            <w:tcW w:w="3732" w:type="dxa"/>
            <w:gridSpan w:val="2"/>
            <w:tcBorders>
              <w:top w:val="single" w:sz="4" w:space="0" w:color="000000"/>
              <w:left w:val="single" w:sz="4" w:space="0" w:color="000000"/>
              <w:bottom w:val="single" w:sz="4" w:space="0" w:color="000000"/>
              <w:right w:val="single" w:sz="4" w:space="0" w:color="000000"/>
            </w:tcBorders>
          </w:tcPr>
          <w:p w:rsidR="00C816F0" w:rsidRPr="00972069" w:rsidP="00B56C51" w14:paraId="7E44CF72" w14:textId="77777777">
            <w:pPr>
              <w:keepNext/>
              <w:keepLines/>
              <w:widowControl/>
              <w:ind w:left="653" w:right="628"/>
              <w:jc w:val="center"/>
              <w:rPr>
                <w:rFonts w:eastAsia="Calibri" w:cs="Calibri"/>
                <w:snapToGrid/>
                <w:color w:val="000000"/>
                <w:kern w:val="0"/>
                <w:sz w:val="24"/>
              </w:rPr>
            </w:pPr>
            <w:r w:rsidRPr="00972069">
              <w:rPr>
                <w:snapToGrid/>
                <w:color w:val="000000"/>
                <w:kern w:val="0"/>
                <w:sz w:val="18"/>
              </w:rPr>
              <w:t xml:space="preserve">Section 90.221 Technology on 25 kilohertz Bandwidth Channels </w:t>
            </w: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30D746F8"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r>
      <w:tr w14:paraId="75394EB4" w14:textId="77777777" w:rsidTr="00B56C51">
        <w:tblPrEx>
          <w:tblW w:w="9950" w:type="dxa"/>
          <w:tblInd w:w="-271" w:type="dxa"/>
          <w:tblCellMar>
            <w:left w:w="5" w:type="dxa"/>
          </w:tblCellMar>
          <w:tblLook w:val="04A0"/>
        </w:tblPrEx>
        <w:trPr>
          <w:trHeight w:val="264"/>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6950FD34" w14:textId="77777777">
            <w:pPr>
              <w:keepNext/>
              <w:keepLines/>
              <w:widowControl/>
              <w:ind w:left="648"/>
              <w:rPr>
                <w:rFonts w:eastAsia="Calibri" w:cs="Calibri"/>
                <w:snapToGrid/>
                <w:color w:val="000000"/>
                <w:kern w:val="0"/>
                <w:sz w:val="24"/>
              </w:rPr>
            </w:pPr>
            <w:r w:rsidRPr="00972069">
              <w:rPr>
                <w:snapToGrid/>
                <w:color w:val="000000"/>
                <w:kern w:val="0"/>
                <w:sz w:val="18"/>
              </w:rPr>
              <w:t xml:space="preserve">Transmitter Emission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630E9C1D"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c>
          <w:tcPr>
            <w:tcW w:w="6218"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4287F7C6" w14:textId="77777777">
            <w:pPr>
              <w:keepNext/>
              <w:keepLines/>
              <w:widowControl/>
              <w:ind w:left="1490"/>
              <w:rPr>
                <w:rFonts w:eastAsia="Calibri" w:cs="Calibri"/>
                <w:snapToGrid/>
                <w:color w:val="000000"/>
                <w:kern w:val="0"/>
                <w:sz w:val="24"/>
              </w:rPr>
            </w:pPr>
            <w:r w:rsidRPr="00972069">
              <w:rPr>
                <w:snapToGrid/>
                <w:color w:val="000000"/>
                <w:kern w:val="0"/>
                <w:sz w:val="18"/>
              </w:rPr>
              <w:t>Interference Contour [</w:t>
            </w:r>
            <w:r w:rsidRPr="00972069">
              <w:rPr>
                <w:snapToGrid/>
                <w:color w:val="000000"/>
                <w:kern w:val="0"/>
                <w:sz w:val="18"/>
              </w:rPr>
              <w:t>dBu</w:t>
            </w:r>
            <w:r w:rsidRPr="00972069">
              <w:rPr>
                <w:snapToGrid/>
                <w:color w:val="000000"/>
                <w:kern w:val="0"/>
                <w:sz w:val="18"/>
              </w:rPr>
              <w:t xml:space="preserve"> F (50,10)] </w:t>
            </w:r>
          </w:p>
        </w:tc>
      </w:tr>
      <w:tr w14:paraId="7C52839D" w14:textId="77777777" w:rsidTr="00B56C51">
        <w:tblPrEx>
          <w:tblW w:w="9950" w:type="dxa"/>
          <w:tblInd w:w="-271" w:type="dxa"/>
          <w:tblCellMar>
            <w:left w:w="5" w:type="dxa"/>
          </w:tblCellMar>
          <w:tblLook w:val="04A0"/>
        </w:tblPrEx>
        <w:trPr>
          <w:trHeight w:val="102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328D3F2F" w14:textId="77777777">
            <w:pPr>
              <w:keepNext/>
              <w:keepLines/>
              <w:widowControl/>
              <w:ind w:left="2"/>
              <w:jc w:val="center"/>
              <w:rPr>
                <w:rFonts w:eastAsia="Calibri" w:cs="Calibri"/>
                <w:snapToGrid/>
                <w:color w:val="000000"/>
                <w:kern w:val="0"/>
                <w:sz w:val="24"/>
              </w:rPr>
            </w:pPr>
            <w:r w:rsidRPr="00972069">
              <w:rPr>
                <w:snapToGrid/>
                <w:color w:val="000000"/>
                <w:kern w:val="0"/>
                <w:sz w:val="18"/>
              </w:rPr>
              <w:t xml:space="preserve">22K0D7E, 22K0D7D, </w:t>
            </w:r>
          </w:p>
          <w:p w:rsidR="00C816F0" w:rsidRPr="00972069" w:rsidP="00B56C51" w14:paraId="6FBDC836" w14:textId="77777777">
            <w:pPr>
              <w:keepNext/>
              <w:keepLines/>
              <w:widowControl/>
              <w:ind w:right="3"/>
              <w:jc w:val="center"/>
              <w:rPr>
                <w:rFonts w:eastAsia="Calibri" w:cs="Calibri"/>
                <w:snapToGrid/>
                <w:color w:val="000000"/>
                <w:kern w:val="0"/>
                <w:sz w:val="24"/>
              </w:rPr>
            </w:pPr>
            <w:r w:rsidRPr="00972069">
              <w:rPr>
                <w:snapToGrid/>
                <w:color w:val="000000"/>
                <w:kern w:val="0"/>
                <w:sz w:val="18"/>
              </w:rPr>
              <w:t xml:space="preserve">22K0D7W, </w:t>
            </w:r>
          </w:p>
          <w:p w:rsidR="00C816F0" w:rsidRPr="00972069" w:rsidP="00B56C51" w14:paraId="5EB6AD29" w14:textId="77777777">
            <w:pPr>
              <w:keepNext/>
              <w:keepLines/>
              <w:widowControl/>
              <w:ind w:left="3"/>
              <w:jc w:val="center"/>
              <w:rPr>
                <w:rFonts w:eastAsia="Calibri" w:cs="Calibri"/>
                <w:snapToGrid/>
                <w:color w:val="000000"/>
                <w:kern w:val="0"/>
                <w:sz w:val="24"/>
              </w:rPr>
            </w:pPr>
            <w:r w:rsidRPr="00972069">
              <w:rPr>
                <w:snapToGrid/>
                <w:color w:val="000000"/>
                <w:kern w:val="0"/>
                <w:sz w:val="18"/>
              </w:rPr>
              <w:t xml:space="preserve">22K0DXW or </w:t>
            </w:r>
          </w:p>
          <w:p w:rsidR="00C816F0" w:rsidRPr="00972069" w:rsidP="00B56C51" w14:paraId="211DED51" w14:textId="77777777">
            <w:pPr>
              <w:keepNext/>
              <w:keepLines/>
              <w:widowControl/>
              <w:ind w:left="2"/>
              <w:jc w:val="center"/>
              <w:rPr>
                <w:rFonts w:eastAsia="Calibri" w:cs="Calibri"/>
                <w:snapToGrid/>
                <w:color w:val="000000"/>
                <w:kern w:val="0"/>
                <w:sz w:val="24"/>
              </w:rPr>
            </w:pPr>
            <w:r w:rsidRPr="00972069">
              <w:rPr>
                <w:snapToGrid/>
                <w:color w:val="000000"/>
                <w:kern w:val="0"/>
                <w:sz w:val="18"/>
              </w:rPr>
              <w:t xml:space="preserve">22K0G1W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1425F3BA"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F03DBFF"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221B8CA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5F05D75" w14:textId="77777777">
            <w:pPr>
              <w:keepNext/>
              <w:keepLines/>
              <w:widowControl/>
              <w:ind w:left="28"/>
              <w:jc w:val="center"/>
              <w:rPr>
                <w:rFonts w:eastAsia="Calibri" w:cs="Calibri"/>
                <w:snapToGrid/>
                <w:color w:val="000000"/>
                <w:kern w:val="0"/>
                <w:sz w:val="24"/>
              </w:rPr>
            </w:pPr>
            <w:r w:rsidRPr="00972069">
              <w:rPr>
                <w:snapToGrid/>
                <w:color w:val="000000"/>
                <w:kern w:val="0"/>
                <w:sz w:val="18"/>
              </w:rPr>
              <w:t xml:space="preserve">28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413E031B"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030A0618" w14:textId="77777777">
            <w:pPr>
              <w:keepNext/>
              <w:keepLines/>
              <w:widowControl/>
              <w:ind w:left="30"/>
              <w:jc w:val="center"/>
              <w:rPr>
                <w:rFonts w:eastAsia="Calibri" w:cs="Calibri"/>
                <w:snapToGrid/>
                <w:color w:val="000000"/>
                <w:kern w:val="0"/>
                <w:sz w:val="24"/>
              </w:rPr>
            </w:pPr>
            <w:r w:rsidRPr="00972069">
              <w:rPr>
                <w:snapToGrid/>
                <w:color w:val="000000"/>
                <w:kern w:val="0"/>
                <w:sz w:val="18"/>
              </w:rPr>
              <w:t xml:space="preserve">25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32986DAF"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CB49770"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28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57226B6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E7ED503"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45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42BEAD54"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80C562B" w14:textId="77777777">
            <w:pPr>
              <w:keepNext/>
              <w:keepLines/>
              <w:widowControl/>
              <w:ind w:right="13"/>
              <w:jc w:val="center"/>
              <w:rPr>
                <w:rFonts w:eastAsia="Calibri" w:cs="Calibri"/>
                <w:snapToGrid/>
                <w:color w:val="000000"/>
                <w:kern w:val="0"/>
                <w:sz w:val="24"/>
              </w:rPr>
            </w:pPr>
            <w:r w:rsidRPr="00972069">
              <w:rPr>
                <w:snapToGrid/>
                <w:color w:val="000000"/>
                <w:kern w:val="0"/>
                <w:sz w:val="18"/>
              </w:rPr>
              <w:t xml:space="preserve">20 </w:t>
            </w:r>
          </w:p>
        </w:tc>
      </w:tr>
      <w:tr w14:paraId="7400BBF2" w14:textId="77777777" w:rsidTr="00B56C51">
        <w:tblPrEx>
          <w:tblW w:w="9950" w:type="dxa"/>
          <w:tblInd w:w="-271" w:type="dxa"/>
          <w:tblCellMar>
            <w:left w:w="5" w:type="dxa"/>
          </w:tblCellMar>
          <w:tblLook w:val="04A0"/>
        </w:tblPrEx>
        <w:trPr>
          <w:trHeight w:val="703"/>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04900FA1" w14:textId="77777777">
            <w:pPr>
              <w:keepNext/>
              <w:keepLines/>
              <w:widowControl/>
              <w:ind w:left="469" w:right="427"/>
              <w:jc w:val="center"/>
              <w:rPr>
                <w:rFonts w:eastAsia="Calibri" w:cs="Calibri"/>
                <w:snapToGrid/>
                <w:color w:val="000000"/>
                <w:kern w:val="0"/>
                <w:sz w:val="24"/>
              </w:rPr>
            </w:pPr>
            <w:r w:rsidRPr="00972069">
              <w:rPr>
                <w:snapToGrid/>
                <w:color w:val="000000"/>
                <w:kern w:val="0"/>
                <w:sz w:val="18"/>
              </w:rPr>
              <w:t xml:space="preserve">21K0D1E, 21K0D1D or 21K0D1W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25B4550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22FAB18"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49C3634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7C37C8B" w14:textId="77777777">
            <w:pPr>
              <w:keepNext/>
              <w:keepLines/>
              <w:widowControl/>
              <w:ind w:left="28"/>
              <w:jc w:val="center"/>
              <w:rPr>
                <w:rFonts w:eastAsia="Calibri" w:cs="Calibri"/>
                <w:snapToGrid/>
                <w:color w:val="000000"/>
                <w:kern w:val="0"/>
                <w:sz w:val="24"/>
              </w:rPr>
            </w:pPr>
            <w:r w:rsidRPr="00972069">
              <w:rPr>
                <w:snapToGrid/>
                <w:color w:val="000000"/>
                <w:kern w:val="0"/>
                <w:sz w:val="18"/>
              </w:rPr>
              <w:t xml:space="preserve">28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518DC8B8"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475A2E15" w14:textId="77777777">
            <w:pPr>
              <w:keepNext/>
              <w:keepLines/>
              <w:widowControl/>
              <w:ind w:left="30"/>
              <w:jc w:val="center"/>
              <w:rPr>
                <w:rFonts w:eastAsia="Calibri" w:cs="Calibri"/>
                <w:snapToGrid/>
                <w:color w:val="000000"/>
                <w:kern w:val="0"/>
                <w:sz w:val="24"/>
              </w:rPr>
            </w:pPr>
            <w:r w:rsidRPr="00972069">
              <w:rPr>
                <w:snapToGrid/>
                <w:color w:val="000000"/>
                <w:kern w:val="0"/>
                <w:sz w:val="18"/>
              </w:rPr>
              <w:t xml:space="preserve">25 </w:t>
            </w:r>
          </w:p>
          <w:p w:rsidR="00C816F0" w:rsidRPr="00972069" w:rsidP="00B56C51" w14:paraId="69A6C367" w14:textId="77777777">
            <w:pPr>
              <w:keepNext/>
              <w:keepLines/>
              <w:widowControl/>
              <w:ind w:left="71"/>
              <w:jc w:val="center"/>
              <w:rPr>
                <w:rFonts w:eastAsia="Calibri" w:cs="Calibri"/>
                <w:snapToGrid/>
                <w:color w:val="000000"/>
                <w:kern w:val="0"/>
                <w:sz w:val="24"/>
              </w:rPr>
            </w:pPr>
            <w:r w:rsidRPr="00972069">
              <w:rPr>
                <w:snapToGrid/>
                <w:color w:val="000000"/>
                <w:kern w:val="0"/>
                <w:sz w:val="18"/>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3DA33636"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9638FC2"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28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3B8ECCA9"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04E384C"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03D2B1B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4F7DDB1" w14:textId="77777777">
            <w:pPr>
              <w:keepNext/>
              <w:keepLines/>
              <w:widowControl/>
              <w:ind w:right="13"/>
              <w:jc w:val="center"/>
              <w:rPr>
                <w:rFonts w:eastAsia="Calibri" w:cs="Calibri"/>
                <w:snapToGrid/>
                <w:color w:val="000000"/>
                <w:kern w:val="0"/>
                <w:sz w:val="24"/>
              </w:rPr>
            </w:pPr>
            <w:r w:rsidRPr="00972069">
              <w:rPr>
                <w:snapToGrid/>
                <w:color w:val="000000"/>
                <w:kern w:val="0"/>
                <w:sz w:val="18"/>
              </w:rPr>
              <w:t xml:space="preserve">20 </w:t>
            </w:r>
          </w:p>
        </w:tc>
      </w:tr>
      <w:tr w14:paraId="59DD27D8" w14:textId="77777777" w:rsidTr="00B56C51">
        <w:tblPrEx>
          <w:tblW w:w="9950" w:type="dxa"/>
          <w:tblInd w:w="-271" w:type="dxa"/>
          <w:tblCellMar>
            <w:left w:w="5" w:type="dxa"/>
          </w:tblCellMar>
          <w:tblLook w:val="04A0"/>
        </w:tblPrEx>
        <w:trPr>
          <w:trHeight w:val="622"/>
        </w:trPr>
        <w:tc>
          <w:tcPr>
            <w:tcW w:w="2666" w:type="dxa"/>
            <w:tcBorders>
              <w:top w:val="single" w:sz="4" w:space="0" w:color="000000"/>
              <w:left w:val="single" w:sz="4" w:space="0" w:color="000000"/>
              <w:bottom w:val="single" w:sz="4" w:space="0" w:color="000000"/>
              <w:right w:val="single" w:sz="4" w:space="0" w:color="000000"/>
            </w:tcBorders>
          </w:tcPr>
          <w:p w:rsidR="00C816F0" w:rsidRPr="00972069" w:rsidP="00B56C51" w14:paraId="5B371B4A" w14:textId="77777777">
            <w:pPr>
              <w:keepNext/>
              <w:keepLines/>
              <w:widowControl/>
              <w:ind w:left="469" w:right="427"/>
              <w:jc w:val="center"/>
              <w:rPr>
                <w:rFonts w:eastAsia="Calibri" w:cs="Calibri"/>
                <w:snapToGrid/>
                <w:color w:val="000000"/>
                <w:kern w:val="0"/>
                <w:sz w:val="24"/>
              </w:rPr>
            </w:pPr>
            <w:r w:rsidRPr="00972069">
              <w:rPr>
                <w:snapToGrid/>
                <w:color w:val="000000"/>
                <w:kern w:val="0"/>
                <w:sz w:val="18"/>
              </w:rPr>
              <w:t xml:space="preserve">21K7D7E, 21K7D7D or 21K0D1W </w:t>
            </w:r>
          </w:p>
        </w:tc>
        <w:tc>
          <w:tcPr>
            <w:tcW w:w="1066" w:type="dxa"/>
            <w:tcBorders>
              <w:top w:val="single" w:sz="4" w:space="0" w:color="000000"/>
              <w:left w:val="single" w:sz="4" w:space="0" w:color="000000"/>
              <w:bottom w:val="single" w:sz="4" w:space="0" w:color="000000"/>
              <w:right w:val="single" w:sz="4" w:space="0" w:color="000000"/>
            </w:tcBorders>
          </w:tcPr>
          <w:p w:rsidR="00C816F0" w:rsidRPr="00972069" w:rsidP="00B56C51" w14:paraId="6C1EC0C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2D62C11" w14:textId="77777777">
            <w:pPr>
              <w:keepNext/>
              <w:keepLines/>
              <w:widowControl/>
              <w:ind w:left="137"/>
              <w:rPr>
                <w:rFonts w:eastAsia="Calibri" w:cs="Calibri"/>
                <w:snapToGrid/>
                <w:color w:val="000000"/>
                <w:kern w:val="0"/>
                <w:sz w:val="24"/>
              </w:rPr>
            </w:pPr>
            <w:r w:rsidRPr="00972069">
              <w:rPr>
                <w:snapToGrid/>
                <w:color w:val="000000"/>
                <w:kern w:val="0"/>
                <w:sz w:val="18"/>
              </w:rPr>
              <w:t xml:space="preserve">Receiver </w:t>
            </w:r>
          </w:p>
        </w:tc>
        <w:tc>
          <w:tcPr>
            <w:tcW w:w="1277" w:type="dxa"/>
            <w:tcBorders>
              <w:top w:val="single" w:sz="4" w:space="0" w:color="000000"/>
              <w:left w:val="single" w:sz="4" w:space="0" w:color="000000"/>
              <w:bottom w:val="single" w:sz="4" w:space="0" w:color="000000"/>
              <w:right w:val="single" w:sz="4" w:space="0" w:color="000000"/>
            </w:tcBorders>
          </w:tcPr>
          <w:p w:rsidR="00C816F0" w:rsidRPr="00972069" w:rsidP="00B56C51" w14:paraId="1D657499"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836E520" w14:textId="77777777">
            <w:pPr>
              <w:keepNext/>
              <w:keepLines/>
              <w:widowControl/>
              <w:ind w:left="28"/>
              <w:jc w:val="center"/>
              <w:rPr>
                <w:rFonts w:eastAsia="Calibri" w:cs="Calibri"/>
                <w:snapToGrid/>
                <w:color w:val="000000"/>
                <w:kern w:val="0"/>
                <w:sz w:val="24"/>
              </w:rPr>
            </w:pPr>
            <w:r w:rsidRPr="00972069">
              <w:rPr>
                <w:snapToGrid/>
                <w:color w:val="000000"/>
                <w:kern w:val="0"/>
                <w:sz w:val="18"/>
              </w:rPr>
              <w:t xml:space="preserve">28 </w:t>
            </w:r>
          </w:p>
        </w:tc>
        <w:tc>
          <w:tcPr>
            <w:tcW w:w="1207" w:type="dxa"/>
            <w:tcBorders>
              <w:top w:val="single" w:sz="4" w:space="0" w:color="000000"/>
              <w:left w:val="single" w:sz="4" w:space="0" w:color="000000"/>
              <w:bottom w:val="single" w:sz="4" w:space="0" w:color="000000"/>
              <w:right w:val="single" w:sz="4" w:space="0" w:color="000000"/>
            </w:tcBorders>
          </w:tcPr>
          <w:p w:rsidR="00C816F0" w:rsidRPr="00972069" w:rsidP="00B56C51" w14:paraId="4D00EAC5"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373B61DB" w14:textId="77777777">
            <w:pPr>
              <w:keepNext/>
              <w:keepLines/>
              <w:widowControl/>
              <w:ind w:left="30"/>
              <w:jc w:val="center"/>
              <w:rPr>
                <w:rFonts w:eastAsia="Calibri" w:cs="Calibri"/>
                <w:snapToGrid/>
                <w:color w:val="000000"/>
                <w:kern w:val="0"/>
                <w:sz w:val="24"/>
              </w:rPr>
            </w:pPr>
            <w:r w:rsidRPr="00972069">
              <w:rPr>
                <w:snapToGrid/>
                <w:color w:val="000000"/>
                <w:kern w:val="0"/>
                <w:sz w:val="18"/>
              </w:rPr>
              <w:t xml:space="preserve">25 </w:t>
            </w:r>
          </w:p>
        </w:tc>
        <w:tc>
          <w:tcPr>
            <w:tcW w:w="1243" w:type="dxa"/>
            <w:tcBorders>
              <w:top w:val="single" w:sz="4" w:space="0" w:color="000000"/>
              <w:left w:val="single" w:sz="4" w:space="0" w:color="000000"/>
              <w:bottom w:val="single" w:sz="4" w:space="0" w:color="000000"/>
              <w:right w:val="single" w:sz="4" w:space="0" w:color="000000"/>
            </w:tcBorders>
          </w:tcPr>
          <w:p w:rsidR="00C816F0" w:rsidRPr="00972069" w:rsidP="00B56C51" w14:paraId="7C25E3A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49C4AE0"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28 </w:t>
            </w:r>
          </w:p>
        </w:tc>
        <w:tc>
          <w:tcPr>
            <w:tcW w:w="1241" w:type="dxa"/>
            <w:tcBorders>
              <w:top w:val="single" w:sz="4" w:space="0" w:color="000000"/>
              <w:left w:val="single" w:sz="4" w:space="0" w:color="000000"/>
              <w:bottom w:val="single" w:sz="4" w:space="0" w:color="000000"/>
              <w:right w:val="single" w:sz="4" w:space="0" w:color="000000"/>
            </w:tcBorders>
          </w:tcPr>
          <w:p w:rsidR="00C816F0" w:rsidRPr="00972069" w:rsidP="00B56C51" w14:paraId="0AF143E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4C798B0"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50" w:type="dxa"/>
            <w:tcBorders>
              <w:top w:val="single" w:sz="4" w:space="0" w:color="000000"/>
              <w:left w:val="single" w:sz="4" w:space="0" w:color="000000"/>
              <w:bottom w:val="single" w:sz="4" w:space="0" w:color="000000"/>
              <w:right w:val="single" w:sz="4" w:space="0" w:color="000000"/>
            </w:tcBorders>
          </w:tcPr>
          <w:p w:rsidR="00C816F0" w:rsidRPr="00972069" w:rsidP="00B56C51" w14:paraId="58397D9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094DC88" w14:textId="77777777">
            <w:pPr>
              <w:keepNext/>
              <w:keepLines/>
              <w:widowControl/>
              <w:ind w:right="13"/>
              <w:jc w:val="center"/>
              <w:rPr>
                <w:rFonts w:eastAsia="Calibri" w:cs="Calibri"/>
                <w:snapToGrid/>
                <w:color w:val="000000"/>
                <w:kern w:val="0"/>
                <w:sz w:val="24"/>
              </w:rPr>
            </w:pPr>
            <w:r w:rsidRPr="00972069">
              <w:rPr>
                <w:snapToGrid/>
                <w:color w:val="000000"/>
                <w:kern w:val="0"/>
                <w:sz w:val="18"/>
              </w:rPr>
              <w:t xml:space="preserve">20 </w:t>
            </w:r>
          </w:p>
        </w:tc>
      </w:tr>
    </w:tbl>
    <w:p w:rsidR="00C816F0" w:rsidP="00C816F0" w14:paraId="144E6C87" w14:textId="77777777">
      <w:pPr>
        <w:keepNext/>
        <w:keepLines/>
        <w:widowControl/>
        <w:spacing w:after="120"/>
        <w:ind w:firstLine="450"/>
        <w:rPr>
          <w:rFonts w:ascii="Calibri" w:eastAsia="Calibri" w:hAnsi="Calibri" w:cs="Calibri"/>
          <w:snapToGrid/>
          <w:color w:val="000000"/>
          <w:kern w:val="0"/>
          <w:szCs w:val="22"/>
        </w:rPr>
      </w:pPr>
    </w:p>
    <w:p w:rsidR="00C816F0" w:rsidP="00C816F0" w14:paraId="1FA62F77" w14:textId="77777777">
      <w:pPr>
        <w:keepNext/>
        <w:keepLines/>
        <w:widowControl/>
        <w:spacing w:after="120"/>
        <w:jc w:val="right"/>
        <w:rPr>
          <w:snapToGrid/>
          <w:color w:val="000000"/>
          <w:kern w:val="0"/>
          <w:szCs w:val="22"/>
        </w:rPr>
      </w:pPr>
      <w:r>
        <w:rPr>
          <w:rFonts w:ascii="Calibri" w:eastAsia="Calibri" w:hAnsi="Calibri" w:cs="Calibri"/>
          <w:snapToGrid/>
          <w:color w:val="000000"/>
          <w:kern w:val="0"/>
          <w:szCs w:val="22"/>
        </w:rPr>
        <w:br w:type="page"/>
      </w:r>
      <w:r w:rsidRPr="00972069">
        <w:rPr>
          <w:snapToGrid/>
          <w:color w:val="000000"/>
          <w:kern w:val="0"/>
          <w:szCs w:val="22"/>
        </w:rPr>
        <w:t>Table 2 – Interference Contour Level for Fixed Station Operating on 25 kilohertz Bandwidth Channel</w:t>
      </w:r>
    </w:p>
    <w:tbl>
      <w:tblPr>
        <w:tblW w:w="9852" w:type="dxa"/>
        <w:tblInd w:w="-180" w:type="dxa"/>
        <w:tblCellMar>
          <w:left w:w="5" w:type="dxa"/>
        </w:tblCellMar>
        <w:tblLook w:val="04A0"/>
      </w:tblPr>
      <w:tblGrid>
        <w:gridCol w:w="2452"/>
        <w:gridCol w:w="1359"/>
        <w:gridCol w:w="1248"/>
        <w:gridCol w:w="1178"/>
        <w:gridCol w:w="1206"/>
        <w:gridCol w:w="1200"/>
        <w:gridCol w:w="1209"/>
      </w:tblGrid>
      <w:tr w14:paraId="140BC96E" w14:textId="77777777" w:rsidTr="00B56C51">
        <w:tblPrEx>
          <w:tblW w:w="9852" w:type="dxa"/>
          <w:tblInd w:w="-180" w:type="dxa"/>
          <w:tblCellMar>
            <w:left w:w="5" w:type="dxa"/>
          </w:tblCellMar>
          <w:tblLook w:val="04A0"/>
        </w:tblPrEx>
        <w:trPr>
          <w:trHeight w:val="516"/>
        </w:trPr>
        <w:tc>
          <w:tcPr>
            <w:tcW w:w="3811" w:type="dxa"/>
            <w:gridSpan w:val="2"/>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4577B974" w14:textId="77777777">
            <w:pPr>
              <w:keepNext/>
              <w:keepLines/>
              <w:widowControl/>
              <w:ind w:left="40"/>
              <w:jc w:val="center"/>
              <w:rPr>
                <w:rFonts w:eastAsia="Calibri" w:cs="Calibri"/>
                <w:snapToGrid/>
                <w:color w:val="000000"/>
                <w:kern w:val="0"/>
                <w:sz w:val="24"/>
              </w:rPr>
            </w:pPr>
          </w:p>
          <w:p w:rsidR="00C816F0" w:rsidRPr="00972069" w:rsidP="00B56C51" w14:paraId="1D126D16"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Interference Contour </w:t>
            </w:r>
          </w:p>
          <w:p w:rsidR="00C816F0" w:rsidRPr="00972069" w:rsidP="00B56C51" w14:paraId="66EFA594"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(25 kilohertz into 12.5 kilohertz channel) </w:t>
            </w: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12B00EA3" w14:textId="77777777">
            <w:pPr>
              <w:keepNext/>
              <w:keepLines/>
              <w:widowControl/>
              <w:ind w:right="1"/>
              <w:jc w:val="center"/>
              <w:rPr>
                <w:rFonts w:eastAsia="Calibri" w:cs="Calibri"/>
                <w:snapToGrid/>
                <w:color w:val="000000"/>
                <w:kern w:val="0"/>
                <w:sz w:val="24"/>
              </w:rPr>
            </w:pPr>
            <w:r w:rsidRPr="00972069">
              <w:rPr>
                <w:snapToGrid/>
                <w:color w:val="000000"/>
                <w:kern w:val="0"/>
                <w:sz w:val="18"/>
              </w:rPr>
              <w:t xml:space="preserve">12.5 kilohertz Bandwidth Technology of 12.5 kilohertz Bandwidth </w:t>
            </w:r>
          </w:p>
          <w:p w:rsidR="00C816F0" w:rsidRPr="00972069" w:rsidP="00B56C51" w14:paraId="072E3DF6" w14:textId="77777777">
            <w:pPr>
              <w:keepNext/>
              <w:keepLines/>
              <w:widowControl/>
              <w:jc w:val="center"/>
              <w:rPr>
                <w:rFonts w:eastAsia="Calibri" w:cs="Calibri"/>
                <w:snapToGrid/>
                <w:color w:val="000000"/>
                <w:kern w:val="0"/>
                <w:sz w:val="24"/>
              </w:rPr>
            </w:pPr>
            <w:r w:rsidRPr="00972069">
              <w:rPr>
                <w:snapToGrid/>
                <w:color w:val="000000"/>
                <w:kern w:val="0"/>
                <w:sz w:val="18"/>
              </w:rPr>
              <w:t xml:space="preserve">Channel </w:t>
            </w:r>
          </w:p>
        </w:tc>
      </w:tr>
      <w:tr w14:paraId="5EA1C6FE" w14:textId="77777777" w:rsidTr="00B56C51">
        <w:tblPrEx>
          <w:tblW w:w="9852" w:type="dxa"/>
          <w:tblInd w:w="-180" w:type="dxa"/>
          <w:tblCellMar>
            <w:left w:w="5" w:type="dxa"/>
          </w:tblCellMar>
          <w:tblLook w:val="04A0"/>
        </w:tblPrEx>
        <w:trPr>
          <w:trHeight w:val="264"/>
        </w:trPr>
        <w:tc>
          <w:tcPr>
            <w:tcW w:w="0" w:type="auto"/>
            <w:gridSpan w:val="2"/>
            <w:vMerge/>
            <w:tcBorders>
              <w:top w:val="nil"/>
              <w:left w:val="single" w:sz="4" w:space="0" w:color="000000"/>
              <w:bottom w:val="nil"/>
              <w:right w:val="single" w:sz="4" w:space="0" w:color="000000"/>
            </w:tcBorders>
          </w:tcPr>
          <w:p w:rsidR="00C816F0" w:rsidRPr="00972069" w:rsidP="00B56C51" w14:paraId="233B4A3E" w14:textId="77777777">
            <w:pPr>
              <w:keepNext/>
              <w:keepLines/>
              <w:widowControl/>
              <w:rPr>
                <w:rFonts w:eastAsia="Calibri" w:cs="Calibri"/>
                <w:snapToGrid/>
                <w:color w:val="000000"/>
                <w:kern w:val="0"/>
                <w:sz w:val="24"/>
              </w:rPr>
            </w:pP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349BF8BA"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Transmitter Emission </w:t>
            </w:r>
          </w:p>
        </w:tc>
      </w:tr>
      <w:tr w14:paraId="6421DC1E" w14:textId="77777777" w:rsidTr="00B56C51">
        <w:tblPrEx>
          <w:tblW w:w="9852" w:type="dxa"/>
          <w:tblInd w:w="-180" w:type="dxa"/>
          <w:tblCellMar>
            <w:left w:w="5" w:type="dxa"/>
          </w:tblCellMar>
          <w:tblLook w:val="04A0"/>
        </w:tblPrEx>
        <w:trPr>
          <w:trHeight w:val="476"/>
        </w:trPr>
        <w:tc>
          <w:tcPr>
            <w:tcW w:w="0" w:type="auto"/>
            <w:gridSpan w:val="2"/>
            <w:vMerge/>
            <w:tcBorders>
              <w:top w:val="nil"/>
              <w:left w:val="single" w:sz="4" w:space="0" w:color="000000"/>
              <w:bottom w:val="single" w:sz="4" w:space="0" w:color="000000"/>
              <w:right w:val="single" w:sz="4" w:space="0" w:color="000000"/>
            </w:tcBorders>
          </w:tcPr>
          <w:p w:rsidR="00C816F0" w:rsidRPr="00972069" w:rsidP="00B56C51" w14:paraId="7F5BECCA" w14:textId="77777777">
            <w:pPr>
              <w:keepNext/>
              <w:keepLines/>
              <w:widowControl/>
              <w:rPr>
                <w:rFonts w:eastAsia="Calibri" w:cs="Calibri"/>
                <w:snapToGrid/>
                <w:color w:val="000000"/>
                <w:kern w:val="0"/>
                <w:sz w:val="24"/>
              </w:rPr>
            </w:pPr>
          </w:p>
        </w:tc>
        <w:tc>
          <w:tcPr>
            <w:tcW w:w="1248"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0497FE84" w14:textId="77777777">
            <w:pPr>
              <w:keepNext/>
              <w:keepLines/>
              <w:widowControl/>
              <w:ind w:left="374" w:right="101" w:hanging="120"/>
              <w:rPr>
                <w:rFonts w:eastAsia="Calibri" w:cs="Calibri"/>
                <w:snapToGrid/>
                <w:color w:val="000000"/>
                <w:kern w:val="0"/>
                <w:sz w:val="24"/>
              </w:rPr>
            </w:pPr>
            <w:r w:rsidRPr="00972069">
              <w:rPr>
                <w:snapToGrid/>
                <w:color w:val="000000"/>
                <w:kern w:val="0"/>
                <w:sz w:val="18"/>
              </w:rPr>
              <w:t xml:space="preserve">11K3F3E or less </w:t>
            </w:r>
          </w:p>
        </w:tc>
        <w:tc>
          <w:tcPr>
            <w:tcW w:w="1178"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560BCE9D" w14:textId="77777777">
            <w:pPr>
              <w:keepNext/>
              <w:keepLines/>
              <w:widowControl/>
              <w:ind w:left="151"/>
              <w:rPr>
                <w:rFonts w:eastAsia="Calibri" w:cs="Calibri"/>
                <w:snapToGrid/>
                <w:color w:val="000000"/>
                <w:kern w:val="0"/>
                <w:sz w:val="24"/>
              </w:rPr>
            </w:pPr>
            <w:r w:rsidRPr="00972069">
              <w:rPr>
                <w:snapToGrid/>
                <w:color w:val="000000"/>
                <w:kern w:val="0"/>
                <w:sz w:val="18"/>
              </w:rPr>
              <w:t xml:space="preserve">8K10F1E </w:t>
            </w:r>
          </w:p>
          <w:p w:rsidR="00C816F0" w:rsidRPr="00972069" w:rsidP="00B56C51" w14:paraId="1E0253E0" w14:textId="77777777">
            <w:pPr>
              <w:keepNext/>
              <w:keepLines/>
              <w:widowControl/>
              <w:ind w:left="139"/>
              <w:rPr>
                <w:rFonts w:eastAsia="Calibri" w:cs="Calibri"/>
                <w:snapToGrid/>
                <w:color w:val="000000"/>
                <w:kern w:val="0"/>
                <w:sz w:val="24"/>
              </w:rPr>
            </w:pPr>
            <w:r w:rsidRPr="00972069">
              <w:rPr>
                <w:snapToGrid/>
                <w:color w:val="000000"/>
                <w:kern w:val="0"/>
                <w:sz w:val="18"/>
              </w:rPr>
              <w:t xml:space="preserve">8K10F1D </w:t>
            </w:r>
          </w:p>
          <w:p w:rsidR="00C816F0" w:rsidRPr="00972069" w:rsidP="00B56C51" w14:paraId="5A586EFF" w14:textId="77777777">
            <w:pPr>
              <w:keepNext/>
              <w:keepLines/>
              <w:widowControl/>
              <w:ind w:left="96"/>
              <w:rPr>
                <w:rFonts w:eastAsia="Calibri" w:cs="Calibri"/>
                <w:snapToGrid/>
                <w:color w:val="000000"/>
                <w:kern w:val="0"/>
                <w:sz w:val="24"/>
              </w:rPr>
            </w:pPr>
            <w:r w:rsidRPr="00972069">
              <w:rPr>
                <w:snapToGrid/>
                <w:color w:val="000000"/>
                <w:kern w:val="0"/>
                <w:sz w:val="18"/>
              </w:rPr>
              <w:t xml:space="preserve">8K70D1W </w:t>
            </w:r>
          </w:p>
          <w:p w:rsidR="00C816F0" w:rsidRPr="00972069" w:rsidP="00B56C51" w14:paraId="0DA71670" w14:textId="77777777">
            <w:pPr>
              <w:keepNext/>
              <w:keepLines/>
              <w:widowControl/>
              <w:ind w:left="96"/>
              <w:rPr>
                <w:rFonts w:eastAsia="Calibri" w:cs="Calibri"/>
                <w:snapToGrid/>
                <w:color w:val="000000"/>
                <w:kern w:val="0"/>
                <w:sz w:val="24"/>
              </w:rPr>
            </w:pPr>
            <w:r w:rsidRPr="00972069">
              <w:rPr>
                <w:snapToGrid/>
                <w:color w:val="000000"/>
                <w:kern w:val="0"/>
                <w:sz w:val="18"/>
              </w:rPr>
              <w:t xml:space="preserve">9K80D7W </w:t>
            </w:r>
          </w:p>
        </w:tc>
        <w:tc>
          <w:tcPr>
            <w:tcW w:w="1206"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5E148C72" w14:textId="77777777">
            <w:pPr>
              <w:keepNext/>
              <w:keepLines/>
              <w:widowControl/>
              <w:ind w:left="158"/>
              <w:rPr>
                <w:rFonts w:eastAsia="Calibri" w:cs="Calibri"/>
                <w:snapToGrid/>
                <w:color w:val="000000"/>
                <w:kern w:val="0"/>
                <w:sz w:val="24"/>
              </w:rPr>
            </w:pPr>
            <w:r w:rsidRPr="00972069">
              <w:rPr>
                <w:snapToGrid/>
                <w:color w:val="000000"/>
                <w:kern w:val="0"/>
                <w:sz w:val="18"/>
              </w:rPr>
              <w:t xml:space="preserve">7K60FXE </w:t>
            </w:r>
          </w:p>
          <w:p w:rsidR="00C816F0" w:rsidRPr="00972069" w:rsidP="00B56C51" w14:paraId="555CCF60" w14:textId="77777777">
            <w:pPr>
              <w:keepNext/>
              <w:keepLines/>
              <w:widowControl/>
              <w:ind w:left="146"/>
              <w:rPr>
                <w:rFonts w:eastAsia="Calibri" w:cs="Calibri"/>
                <w:snapToGrid/>
                <w:color w:val="000000"/>
                <w:kern w:val="0"/>
                <w:sz w:val="24"/>
              </w:rPr>
            </w:pPr>
            <w:r w:rsidRPr="00972069">
              <w:rPr>
                <w:snapToGrid/>
                <w:color w:val="000000"/>
                <w:kern w:val="0"/>
                <w:sz w:val="18"/>
              </w:rPr>
              <w:t xml:space="preserve">7K60FXD </w:t>
            </w:r>
          </w:p>
          <w:p w:rsidR="00C816F0" w:rsidRPr="00972069" w:rsidP="00B56C51" w14:paraId="648C672C" w14:textId="77777777">
            <w:pPr>
              <w:keepNext/>
              <w:keepLines/>
              <w:widowControl/>
              <w:ind w:left="182"/>
              <w:rPr>
                <w:rFonts w:eastAsia="Calibri" w:cs="Calibri"/>
                <w:snapToGrid/>
                <w:color w:val="000000"/>
                <w:kern w:val="0"/>
                <w:sz w:val="24"/>
              </w:rPr>
            </w:pPr>
            <w:r w:rsidRPr="00972069">
              <w:rPr>
                <w:snapToGrid/>
                <w:color w:val="000000"/>
                <w:kern w:val="0"/>
                <w:sz w:val="18"/>
              </w:rPr>
              <w:t xml:space="preserve">7K60F7E </w:t>
            </w:r>
          </w:p>
          <w:p w:rsidR="00C816F0" w:rsidRPr="00972069" w:rsidP="00B56C51" w14:paraId="795EDFE4" w14:textId="77777777">
            <w:pPr>
              <w:keepNext/>
              <w:keepLines/>
              <w:widowControl/>
              <w:ind w:left="170"/>
              <w:rPr>
                <w:rFonts w:eastAsia="Calibri" w:cs="Calibri"/>
                <w:snapToGrid/>
                <w:color w:val="000000"/>
                <w:kern w:val="0"/>
                <w:sz w:val="24"/>
              </w:rPr>
            </w:pPr>
            <w:r w:rsidRPr="00972069">
              <w:rPr>
                <w:snapToGrid/>
                <w:color w:val="000000"/>
                <w:kern w:val="0"/>
                <w:sz w:val="18"/>
              </w:rPr>
              <w:t xml:space="preserve">7K60F7D </w:t>
            </w:r>
          </w:p>
          <w:p w:rsidR="00C816F0" w:rsidRPr="00972069" w:rsidP="00B56C51" w14:paraId="47C03706" w14:textId="77777777">
            <w:pPr>
              <w:keepNext/>
              <w:keepLines/>
              <w:widowControl/>
              <w:ind w:left="146"/>
              <w:rPr>
                <w:rFonts w:eastAsia="Calibri" w:cs="Calibri"/>
                <w:snapToGrid/>
                <w:color w:val="000000"/>
                <w:kern w:val="0"/>
                <w:sz w:val="24"/>
              </w:rPr>
            </w:pPr>
            <w:r w:rsidRPr="00972069">
              <w:rPr>
                <w:snapToGrid/>
                <w:color w:val="000000"/>
                <w:kern w:val="0"/>
                <w:sz w:val="18"/>
              </w:rPr>
              <w:t xml:space="preserve">7K60F7W </w:t>
            </w:r>
          </w:p>
          <w:p w:rsidR="00C816F0" w:rsidRPr="00972069" w:rsidP="00B56C51" w14:paraId="340BAB23" w14:textId="77777777">
            <w:pPr>
              <w:keepNext/>
              <w:keepLines/>
              <w:widowControl/>
              <w:ind w:left="182"/>
              <w:rPr>
                <w:rFonts w:eastAsia="Calibri" w:cs="Calibri"/>
                <w:snapToGrid/>
                <w:color w:val="000000"/>
                <w:kern w:val="0"/>
                <w:sz w:val="24"/>
              </w:rPr>
            </w:pPr>
            <w:r w:rsidRPr="00972069">
              <w:rPr>
                <w:snapToGrid/>
                <w:color w:val="000000"/>
                <w:kern w:val="0"/>
                <w:sz w:val="18"/>
              </w:rPr>
              <w:t xml:space="preserve">8K30F1E </w:t>
            </w:r>
          </w:p>
          <w:p w:rsidR="00C816F0" w:rsidRPr="00972069" w:rsidP="00B56C51" w14:paraId="3EB11BE8" w14:textId="77777777">
            <w:pPr>
              <w:keepNext/>
              <w:keepLines/>
              <w:widowControl/>
              <w:ind w:left="170"/>
              <w:rPr>
                <w:rFonts w:eastAsia="Calibri" w:cs="Calibri"/>
                <w:snapToGrid/>
                <w:color w:val="000000"/>
                <w:kern w:val="0"/>
                <w:sz w:val="24"/>
              </w:rPr>
            </w:pPr>
            <w:r w:rsidRPr="00972069">
              <w:rPr>
                <w:snapToGrid/>
                <w:color w:val="000000"/>
                <w:kern w:val="0"/>
                <w:sz w:val="18"/>
              </w:rPr>
              <w:t xml:space="preserve">8K30F1D </w:t>
            </w:r>
          </w:p>
        </w:tc>
        <w:tc>
          <w:tcPr>
            <w:tcW w:w="1200"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2B8863FB" w14:textId="77777777">
            <w:pPr>
              <w:keepNext/>
              <w:keepLines/>
              <w:widowControl/>
              <w:ind w:left="180"/>
              <w:rPr>
                <w:rFonts w:eastAsia="Calibri" w:cs="Calibri"/>
                <w:snapToGrid/>
                <w:color w:val="000000"/>
                <w:kern w:val="0"/>
                <w:sz w:val="24"/>
              </w:rPr>
            </w:pPr>
            <w:r w:rsidRPr="00972069">
              <w:rPr>
                <w:snapToGrid/>
                <w:color w:val="000000"/>
                <w:kern w:val="0"/>
                <w:sz w:val="18"/>
              </w:rPr>
              <w:t xml:space="preserve">4K00F1E </w:t>
            </w:r>
          </w:p>
          <w:p w:rsidR="00C816F0" w:rsidRPr="00972069" w:rsidP="00B56C51" w14:paraId="2A705FB7" w14:textId="77777777">
            <w:pPr>
              <w:keepNext/>
              <w:keepLines/>
              <w:widowControl/>
              <w:ind w:left="168"/>
              <w:rPr>
                <w:rFonts w:eastAsia="Calibri" w:cs="Calibri"/>
                <w:snapToGrid/>
                <w:color w:val="000000"/>
                <w:kern w:val="0"/>
                <w:sz w:val="24"/>
              </w:rPr>
            </w:pPr>
            <w:r w:rsidRPr="00972069">
              <w:rPr>
                <w:snapToGrid/>
                <w:color w:val="000000"/>
                <w:kern w:val="0"/>
                <w:sz w:val="18"/>
              </w:rPr>
              <w:t xml:space="preserve">4K00F1D </w:t>
            </w:r>
          </w:p>
        </w:tc>
        <w:tc>
          <w:tcPr>
            <w:tcW w:w="1209" w:type="dxa"/>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3414A68E" w14:textId="77777777">
            <w:pPr>
              <w:keepNext/>
              <w:keepLines/>
              <w:widowControl/>
              <w:ind w:left="185"/>
              <w:rPr>
                <w:rFonts w:eastAsia="Calibri" w:cs="Calibri"/>
                <w:snapToGrid/>
                <w:color w:val="000000"/>
                <w:kern w:val="0"/>
                <w:sz w:val="24"/>
              </w:rPr>
            </w:pPr>
            <w:r w:rsidRPr="00972069">
              <w:rPr>
                <w:snapToGrid/>
                <w:color w:val="000000"/>
                <w:kern w:val="0"/>
                <w:sz w:val="18"/>
              </w:rPr>
              <w:t xml:space="preserve">11K0F7E </w:t>
            </w:r>
          </w:p>
          <w:p w:rsidR="00C816F0" w:rsidRPr="00972069" w:rsidP="00B56C51" w14:paraId="17465C79" w14:textId="77777777">
            <w:pPr>
              <w:keepNext/>
              <w:keepLines/>
              <w:widowControl/>
              <w:ind w:left="170"/>
              <w:rPr>
                <w:rFonts w:eastAsia="Calibri" w:cs="Calibri"/>
                <w:snapToGrid/>
                <w:color w:val="000000"/>
                <w:kern w:val="0"/>
                <w:sz w:val="24"/>
              </w:rPr>
            </w:pPr>
            <w:r w:rsidRPr="00972069">
              <w:rPr>
                <w:snapToGrid/>
                <w:color w:val="000000"/>
                <w:kern w:val="0"/>
                <w:sz w:val="18"/>
              </w:rPr>
              <w:t xml:space="preserve">11K0F7D </w:t>
            </w:r>
          </w:p>
          <w:p w:rsidR="00C816F0" w:rsidRPr="00972069" w:rsidP="00B56C51" w14:paraId="01563AFE" w14:textId="77777777">
            <w:pPr>
              <w:keepNext/>
              <w:keepLines/>
              <w:widowControl/>
              <w:ind w:left="146"/>
              <w:rPr>
                <w:rFonts w:eastAsia="Calibri" w:cs="Calibri"/>
                <w:snapToGrid/>
                <w:color w:val="000000"/>
                <w:kern w:val="0"/>
                <w:sz w:val="24"/>
              </w:rPr>
            </w:pPr>
            <w:r w:rsidRPr="00972069">
              <w:rPr>
                <w:snapToGrid/>
                <w:color w:val="000000"/>
                <w:kern w:val="0"/>
                <w:sz w:val="18"/>
              </w:rPr>
              <w:t xml:space="preserve">11K0F7W </w:t>
            </w:r>
          </w:p>
        </w:tc>
      </w:tr>
      <w:tr w14:paraId="712E796A" w14:textId="77777777" w:rsidTr="00B56C51">
        <w:tblPrEx>
          <w:tblW w:w="9852" w:type="dxa"/>
          <w:tblInd w:w="-180" w:type="dxa"/>
          <w:tblCellMar>
            <w:left w:w="5" w:type="dxa"/>
          </w:tblCellMar>
          <w:tblLook w:val="04A0"/>
        </w:tblPrEx>
        <w:trPr>
          <w:trHeight w:val="1442"/>
        </w:trPr>
        <w:tc>
          <w:tcPr>
            <w:tcW w:w="3811" w:type="dxa"/>
            <w:gridSpan w:val="2"/>
            <w:vMerge w:val="restart"/>
            <w:tcBorders>
              <w:top w:val="single" w:sz="4" w:space="0" w:color="000000"/>
              <w:left w:val="single" w:sz="4" w:space="0" w:color="000000"/>
              <w:bottom w:val="single" w:sz="4" w:space="0" w:color="000000"/>
              <w:right w:val="single" w:sz="4" w:space="0" w:color="000000"/>
            </w:tcBorders>
          </w:tcPr>
          <w:p w:rsidR="00C816F0" w:rsidRPr="00972069" w:rsidP="00B56C51" w14:paraId="02064D6F" w14:textId="77777777">
            <w:pPr>
              <w:keepNext/>
              <w:keepLines/>
              <w:widowControl/>
              <w:spacing w:after="17" w:line="218" w:lineRule="auto"/>
              <w:ind w:right="3651"/>
              <w:rPr>
                <w:rFonts w:eastAsia="Calibri" w:cs="Calibri"/>
                <w:snapToGrid/>
                <w:color w:val="000000"/>
                <w:kern w:val="0"/>
                <w:sz w:val="24"/>
              </w:rPr>
            </w:pPr>
            <w:r w:rsidRPr="00972069">
              <w:rPr>
                <w:snapToGrid/>
                <w:color w:val="000000"/>
                <w:kern w:val="0"/>
                <w:sz w:val="18"/>
              </w:rPr>
              <w:t xml:space="preserve">  </w:t>
            </w:r>
          </w:p>
          <w:p w:rsidR="00C816F0" w:rsidRPr="00972069" w:rsidP="00B56C51" w14:paraId="46D554CB"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25 kilohertz Technology on </w:t>
            </w:r>
          </w:p>
          <w:p w:rsidR="00C816F0" w:rsidRPr="00972069" w:rsidP="00B56C51" w14:paraId="0122D5CE"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25 kilohertz Bandwidth Channel </w:t>
            </w:r>
          </w:p>
        </w:tc>
        <w:tc>
          <w:tcPr>
            <w:tcW w:w="0" w:type="auto"/>
            <w:vMerge/>
            <w:tcBorders>
              <w:top w:val="nil"/>
              <w:left w:val="single" w:sz="4" w:space="0" w:color="000000"/>
              <w:bottom w:val="single" w:sz="4" w:space="0" w:color="000000"/>
              <w:right w:val="single" w:sz="4" w:space="0" w:color="000000"/>
            </w:tcBorders>
          </w:tcPr>
          <w:p w:rsidR="00C816F0" w:rsidRPr="00972069" w:rsidP="00B56C51" w14:paraId="3070F317"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782A761F"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10027485"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493CC7BD" w14:textId="77777777">
            <w:pPr>
              <w:keepNext/>
              <w:keepLines/>
              <w:widowControl/>
              <w:rPr>
                <w:rFonts w:eastAsia="Calibri" w:cs="Calibri"/>
                <w:snapToGrid/>
                <w:color w:val="000000"/>
                <w:kern w:val="0"/>
                <w:sz w:val="24"/>
              </w:rPr>
            </w:pPr>
          </w:p>
        </w:tc>
        <w:tc>
          <w:tcPr>
            <w:tcW w:w="0" w:type="auto"/>
            <w:vMerge/>
            <w:tcBorders>
              <w:top w:val="nil"/>
              <w:left w:val="single" w:sz="4" w:space="0" w:color="000000"/>
              <w:bottom w:val="single" w:sz="4" w:space="0" w:color="000000"/>
              <w:right w:val="single" w:sz="4" w:space="0" w:color="000000"/>
            </w:tcBorders>
          </w:tcPr>
          <w:p w:rsidR="00C816F0" w:rsidRPr="00972069" w:rsidP="00B56C51" w14:paraId="3BC78B0E" w14:textId="77777777">
            <w:pPr>
              <w:keepNext/>
              <w:keepLines/>
              <w:widowControl/>
              <w:rPr>
                <w:rFonts w:eastAsia="Calibri" w:cs="Calibri"/>
                <w:snapToGrid/>
                <w:color w:val="000000"/>
                <w:kern w:val="0"/>
                <w:sz w:val="24"/>
              </w:rPr>
            </w:pPr>
          </w:p>
        </w:tc>
      </w:tr>
      <w:tr w14:paraId="4653BAF8" w14:textId="77777777" w:rsidTr="00B56C51">
        <w:tblPrEx>
          <w:tblW w:w="9852" w:type="dxa"/>
          <w:tblInd w:w="-180" w:type="dxa"/>
          <w:tblCellMar>
            <w:left w:w="5" w:type="dxa"/>
          </w:tblCellMar>
          <w:tblLook w:val="04A0"/>
        </w:tblPrEx>
        <w:trPr>
          <w:trHeight w:val="262"/>
        </w:trPr>
        <w:tc>
          <w:tcPr>
            <w:tcW w:w="0" w:type="auto"/>
            <w:gridSpan w:val="2"/>
            <w:vMerge/>
            <w:tcBorders>
              <w:top w:val="nil"/>
              <w:left w:val="single" w:sz="4" w:space="0" w:color="000000"/>
              <w:bottom w:val="single" w:sz="4" w:space="0" w:color="000000"/>
              <w:right w:val="single" w:sz="4" w:space="0" w:color="000000"/>
            </w:tcBorders>
          </w:tcPr>
          <w:p w:rsidR="00C816F0" w:rsidRPr="00972069" w:rsidP="00B56C51" w14:paraId="1EF4D5D7" w14:textId="77777777">
            <w:pPr>
              <w:keepNext/>
              <w:keepLines/>
              <w:widowControl/>
              <w:rPr>
                <w:rFonts w:eastAsia="Calibri" w:cs="Calibri"/>
                <w:snapToGrid/>
                <w:color w:val="000000"/>
                <w:kern w:val="0"/>
                <w:sz w:val="24"/>
              </w:rPr>
            </w:pP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31BC562C" w14:textId="77777777">
            <w:pPr>
              <w:keepNext/>
              <w:keepLines/>
              <w:widowControl/>
              <w:ind w:left="216"/>
              <w:rPr>
                <w:rFonts w:eastAsia="Calibri" w:cs="Calibri"/>
                <w:snapToGrid/>
                <w:color w:val="000000"/>
                <w:kern w:val="0"/>
                <w:sz w:val="24"/>
              </w:rPr>
            </w:pPr>
            <w:r w:rsidRPr="00972069">
              <w:rPr>
                <w:snapToGrid/>
                <w:color w:val="000000"/>
                <w:kern w:val="0"/>
                <w:sz w:val="18"/>
              </w:rPr>
              <w:t xml:space="preserve">Receiver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2142B140" w14:textId="77777777">
            <w:pPr>
              <w:keepNext/>
              <w:keepLines/>
              <w:widowControl/>
              <w:ind w:left="190"/>
              <w:rPr>
                <w:rFonts w:eastAsia="Calibri" w:cs="Calibri"/>
                <w:snapToGrid/>
                <w:color w:val="000000"/>
                <w:kern w:val="0"/>
                <w:sz w:val="24"/>
              </w:rPr>
            </w:pPr>
            <w:r w:rsidRPr="00972069">
              <w:rPr>
                <w:snapToGrid/>
                <w:color w:val="000000"/>
                <w:kern w:val="0"/>
                <w:sz w:val="18"/>
              </w:rPr>
              <w:t xml:space="preserve">Receiver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1696A0DF" w14:textId="77777777">
            <w:pPr>
              <w:keepNext/>
              <w:keepLines/>
              <w:widowControl/>
              <w:ind w:left="221"/>
              <w:rPr>
                <w:rFonts w:eastAsia="Calibri" w:cs="Calibri"/>
                <w:snapToGrid/>
                <w:color w:val="000000"/>
                <w:kern w:val="0"/>
                <w:sz w:val="24"/>
              </w:rPr>
            </w:pPr>
            <w:r w:rsidRPr="00972069">
              <w:rPr>
                <w:snapToGrid/>
                <w:color w:val="000000"/>
                <w:kern w:val="0"/>
                <w:sz w:val="18"/>
              </w:rPr>
              <w:t xml:space="preserve">Receiver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2BA63C77" w14:textId="77777777">
            <w:pPr>
              <w:keepNext/>
              <w:keepLines/>
              <w:widowControl/>
              <w:ind w:left="218"/>
              <w:rPr>
                <w:rFonts w:eastAsia="Calibri" w:cs="Calibri"/>
                <w:snapToGrid/>
                <w:color w:val="000000"/>
                <w:kern w:val="0"/>
                <w:sz w:val="24"/>
              </w:rPr>
            </w:pPr>
            <w:r w:rsidRPr="00972069">
              <w:rPr>
                <w:snapToGrid/>
                <w:color w:val="000000"/>
                <w:kern w:val="0"/>
                <w:sz w:val="18"/>
              </w:rPr>
              <w:t xml:space="preserve">Receiver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236A7693" w14:textId="77777777">
            <w:pPr>
              <w:keepNext/>
              <w:keepLines/>
              <w:widowControl/>
              <w:ind w:left="221"/>
              <w:rPr>
                <w:rFonts w:eastAsia="Calibri" w:cs="Calibri"/>
                <w:snapToGrid/>
                <w:color w:val="000000"/>
                <w:kern w:val="0"/>
                <w:sz w:val="24"/>
              </w:rPr>
            </w:pPr>
            <w:r w:rsidRPr="00972069">
              <w:rPr>
                <w:snapToGrid/>
                <w:color w:val="000000"/>
                <w:kern w:val="0"/>
                <w:sz w:val="18"/>
              </w:rPr>
              <w:t xml:space="preserve">Receiver </w:t>
            </w:r>
          </w:p>
        </w:tc>
      </w:tr>
      <w:tr w14:paraId="19956E49" w14:textId="77777777" w:rsidTr="00B56C51">
        <w:tblPrEx>
          <w:tblW w:w="9852" w:type="dxa"/>
          <w:tblInd w:w="-180" w:type="dxa"/>
          <w:tblCellMar>
            <w:left w:w="5" w:type="dxa"/>
          </w:tblCellMar>
          <w:tblLook w:val="04A0"/>
        </w:tblPrEx>
        <w:trPr>
          <w:trHeight w:val="264"/>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1538A692" w14:textId="77777777">
            <w:pPr>
              <w:keepNext/>
              <w:keepLines/>
              <w:widowControl/>
              <w:ind w:left="514"/>
              <w:rPr>
                <w:rFonts w:eastAsia="Calibri" w:cs="Calibri"/>
                <w:snapToGrid/>
                <w:color w:val="000000"/>
                <w:kern w:val="0"/>
                <w:sz w:val="24"/>
              </w:rPr>
            </w:pPr>
            <w:r w:rsidRPr="00972069">
              <w:rPr>
                <w:snapToGrid/>
                <w:color w:val="000000"/>
                <w:kern w:val="0"/>
                <w:sz w:val="18"/>
              </w:rPr>
              <w:t xml:space="preserve">Transmitter Emission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395AE6C9"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6F548C40" w14:textId="77777777">
            <w:pPr>
              <w:keepNext/>
              <w:keepLines/>
              <w:widowControl/>
              <w:ind w:left="1430"/>
              <w:rPr>
                <w:rFonts w:eastAsia="Calibri" w:cs="Calibri"/>
                <w:snapToGrid/>
                <w:color w:val="000000"/>
                <w:kern w:val="0"/>
                <w:sz w:val="24"/>
              </w:rPr>
            </w:pPr>
            <w:r w:rsidRPr="00972069">
              <w:rPr>
                <w:snapToGrid/>
                <w:color w:val="000000"/>
                <w:kern w:val="0"/>
                <w:sz w:val="18"/>
              </w:rPr>
              <w:t>Interference Contour [</w:t>
            </w:r>
            <w:r w:rsidRPr="00972069">
              <w:rPr>
                <w:snapToGrid/>
                <w:color w:val="000000"/>
                <w:kern w:val="0"/>
                <w:sz w:val="18"/>
              </w:rPr>
              <w:t>dBu</w:t>
            </w:r>
            <w:r w:rsidRPr="00972069">
              <w:rPr>
                <w:snapToGrid/>
                <w:color w:val="000000"/>
                <w:kern w:val="0"/>
                <w:sz w:val="18"/>
              </w:rPr>
              <w:t xml:space="preserve"> F (50, 10)] </w:t>
            </w:r>
          </w:p>
        </w:tc>
      </w:tr>
      <w:tr w14:paraId="434CE5E2" w14:textId="77777777" w:rsidTr="00B56C51">
        <w:tblPrEx>
          <w:tblW w:w="9852" w:type="dxa"/>
          <w:tblInd w:w="-180" w:type="dxa"/>
          <w:tblCellMar>
            <w:left w:w="5" w:type="dxa"/>
          </w:tblCellMar>
          <w:tblLook w:val="04A0"/>
        </w:tblPrEx>
        <w:trPr>
          <w:trHeight w:val="593"/>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14B4A3E4" w14:textId="77777777">
            <w:pPr>
              <w:keepNext/>
              <w:keepLines/>
              <w:widowControl/>
              <w:ind w:left="424" w:right="386"/>
              <w:jc w:val="center"/>
              <w:rPr>
                <w:rFonts w:eastAsia="Calibri" w:cs="Calibri"/>
                <w:snapToGrid/>
                <w:color w:val="000000"/>
                <w:kern w:val="0"/>
                <w:sz w:val="24"/>
              </w:rPr>
            </w:pPr>
            <w:r w:rsidRPr="00972069">
              <w:rPr>
                <w:snapToGrid/>
                <w:color w:val="000000"/>
                <w:kern w:val="0"/>
                <w:sz w:val="18"/>
              </w:rPr>
              <w:t xml:space="preserve">16K0F3E or 20K0F3E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71000C3C"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29E252A8"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6A89D06B"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40 </w:t>
            </w:r>
          </w:p>
        </w:tc>
        <w:tc>
          <w:tcPr>
            <w:tcW w:w="1178"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440D8D76"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50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56F8B39E"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E0FA6BE"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45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597C818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8828605"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625C1D18"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2D5132A"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36 </w:t>
            </w:r>
          </w:p>
        </w:tc>
      </w:tr>
      <w:tr w14:paraId="7BDFB65E" w14:textId="77777777" w:rsidTr="00B56C51">
        <w:tblPrEx>
          <w:tblW w:w="9852" w:type="dxa"/>
          <w:tblInd w:w="-180" w:type="dxa"/>
          <w:tblCellMar>
            <w:left w:w="5" w:type="dxa"/>
          </w:tblCellMar>
          <w:tblLook w:val="04A0"/>
        </w:tblPrEx>
        <w:trPr>
          <w:trHeight w:val="518"/>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781BEEB6" w14:textId="77777777">
            <w:pPr>
              <w:keepNext/>
              <w:keepLines/>
              <w:widowControl/>
              <w:ind w:left="414" w:right="376"/>
              <w:jc w:val="center"/>
              <w:rPr>
                <w:rFonts w:eastAsia="Calibri" w:cs="Calibri"/>
                <w:snapToGrid/>
                <w:color w:val="000000"/>
                <w:kern w:val="0"/>
                <w:sz w:val="24"/>
              </w:rPr>
            </w:pPr>
            <w:r w:rsidRPr="00972069">
              <w:rPr>
                <w:snapToGrid/>
                <w:color w:val="000000"/>
                <w:kern w:val="0"/>
                <w:sz w:val="18"/>
              </w:rPr>
              <w:t xml:space="preserve">10K0F1E or 10K0F1D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62A1A444"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6E27B11F"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03C2EC19"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50 </w:t>
            </w:r>
          </w:p>
        </w:tc>
        <w:tc>
          <w:tcPr>
            <w:tcW w:w="1178"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67E83C0B"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50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53545E57"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6B42278"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50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279B40E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A1548DE"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6D991E8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635E004"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50 </w:t>
            </w:r>
          </w:p>
        </w:tc>
      </w:tr>
      <w:tr w14:paraId="7E1670A0" w14:textId="77777777" w:rsidTr="00B56C51">
        <w:tblPrEx>
          <w:tblW w:w="9852" w:type="dxa"/>
          <w:tblInd w:w="-180" w:type="dxa"/>
          <w:tblCellMar>
            <w:left w:w="5" w:type="dxa"/>
          </w:tblCellMar>
          <w:tblLook w:val="04A0"/>
        </w:tblPrEx>
        <w:trPr>
          <w:trHeight w:val="566"/>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506427D6"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12K5F9W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2D5927F7"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505F05CC"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40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686E3F7E"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50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6886C38D"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45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1508DEF4"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105DEB3E"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36 </w:t>
            </w:r>
          </w:p>
        </w:tc>
      </w:tr>
      <w:tr w14:paraId="2C408A56" w14:textId="77777777" w:rsidTr="00B56C51">
        <w:tblPrEx>
          <w:tblW w:w="9852" w:type="dxa"/>
          <w:tblInd w:w="-180" w:type="dxa"/>
          <w:tblCellMar>
            <w:left w:w="5" w:type="dxa"/>
          </w:tblCellMar>
          <w:tblLook w:val="04A0"/>
        </w:tblPrEx>
        <w:trPr>
          <w:trHeight w:val="658"/>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3DEBB8CA" w14:textId="77777777">
            <w:pPr>
              <w:keepNext/>
              <w:keepLines/>
              <w:widowControl/>
              <w:ind w:left="414" w:right="376"/>
              <w:jc w:val="center"/>
              <w:rPr>
                <w:rFonts w:eastAsia="Calibri" w:cs="Calibri"/>
                <w:snapToGrid/>
                <w:color w:val="000000"/>
                <w:kern w:val="0"/>
                <w:sz w:val="24"/>
              </w:rPr>
            </w:pPr>
            <w:r w:rsidRPr="00972069">
              <w:rPr>
                <w:snapToGrid/>
                <w:color w:val="000000"/>
                <w:kern w:val="0"/>
                <w:sz w:val="18"/>
              </w:rPr>
              <w:t xml:space="preserve">16K0F1E or 16K0F1D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171CF13B"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4C5F21B9"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789DA65F"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36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5304877E"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40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6FCEC5B6"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A83C842"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40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5CA6709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83AC1F9"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01305B3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7289DF5"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36 </w:t>
            </w:r>
          </w:p>
        </w:tc>
      </w:tr>
      <w:tr w14:paraId="5A3505F1" w14:textId="77777777" w:rsidTr="00B56C51">
        <w:tblPrEx>
          <w:tblW w:w="9852" w:type="dxa"/>
          <w:tblInd w:w="-180" w:type="dxa"/>
          <w:tblCellMar>
            <w:left w:w="5" w:type="dxa"/>
          </w:tblCellMar>
          <w:tblLook w:val="04A0"/>
        </w:tblPrEx>
        <w:trPr>
          <w:trHeight w:val="461"/>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4307CB60" w14:textId="77777777">
            <w:pPr>
              <w:keepNext/>
              <w:keepLines/>
              <w:widowControl/>
              <w:ind w:left="356" w:right="316"/>
              <w:jc w:val="center"/>
              <w:rPr>
                <w:rFonts w:eastAsia="Calibri" w:cs="Calibri"/>
                <w:snapToGrid/>
                <w:color w:val="000000"/>
                <w:kern w:val="0"/>
                <w:sz w:val="24"/>
              </w:rPr>
            </w:pPr>
            <w:r w:rsidRPr="00972069">
              <w:rPr>
                <w:snapToGrid/>
                <w:color w:val="000000"/>
                <w:kern w:val="0"/>
                <w:sz w:val="18"/>
              </w:rPr>
              <w:t xml:space="preserve">18K3D7W or 17K7D7D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1D11FC51"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56096C1E"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428599AF"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25 </w:t>
            </w:r>
          </w:p>
        </w:tc>
        <w:tc>
          <w:tcPr>
            <w:tcW w:w="1178"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1A659FCD"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45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47B02B0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C7078AC"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32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11D24E5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C14B3CD"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5142A8E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55648D7"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23 </w:t>
            </w:r>
          </w:p>
        </w:tc>
      </w:tr>
      <w:tr w14:paraId="0678B0B8" w14:textId="77777777" w:rsidTr="00B56C51">
        <w:tblPrEx>
          <w:tblW w:w="9852" w:type="dxa"/>
          <w:tblInd w:w="-180" w:type="dxa"/>
          <w:tblCellMar>
            <w:left w:w="5" w:type="dxa"/>
          </w:tblCellMar>
          <w:tblLook w:val="04A0"/>
        </w:tblPrEx>
        <w:trPr>
          <w:trHeight w:val="576"/>
        </w:trPr>
        <w:tc>
          <w:tcPr>
            <w:tcW w:w="3811" w:type="dxa"/>
            <w:gridSpan w:val="2"/>
            <w:tcBorders>
              <w:top w:val="single" w:sz="4" w:space="0" w:color="000000"/>
              <w:left w:val="single" w:sz="4" w:space="0" w:color="000000"/>
              <w:bottom w:val="single" w:sz="4" w:space="0" w:color="000000"/>
              <w:right w:val="single" w:sz="4" w:space="0" w:color="000000"/>
            </w:tcBorders>
          </w:tcPr>
          <w:p w:rsidR="00C816F0" w:rsidRPr="00972069" w:rsidP="00B56C51" w14:paraId="3F31E457" w14:textId="77777777">
            <w:pPr>
              <w:keepNext/>
              <w:keepLines/>
              <w:widowControl/>
              <w:ind w:left="385" w:right="349"/>
              <w:jc w:val="center"/>
              <w:rPr>
                <w:rFonts w:eastAsia="Calibri" w:cs="Calibri"/>
                <w:snapToGrid/>
                <w:color w:val="000000"/>
                <w:kern w:val="0"/>
                <w:sz w:val="24"/>
              </w:rPr>
            </w:pPr>
            <w:r w:rsidRPr="00972069">
              <w:rPr>
                <w:snapToGrid/>
                <w:color w:val="000000"/>
                <w:kern w:val="0"/>
                <w:sz w:val="18"/>
              </w:rPr>
              <w:t xml:space="preserve">12.5 kilohertz Bandwidth Technology on 25 kilohertz Bandwidth Channel </w:t>
            </w: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7811A5C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811009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F512156"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r>
      <w:tr w14:paraId="045983CC" w14:textId="77777777" w:rsidTr="00B56C51">
        <w:tblPrEx>
          <w:tblW w:w="9852" w:type="dxa"/>
          <w:tblInd w:w="-180" w:type="dxa"/>
          <w:tblCellMar>
            <w:left w:w="5" w:type="dxa"/>
          </w:tblCellMar>
          <w:tblLook w:val="04A0"/>
        </w:tblPrEx>
        <w:trPr>
          <w:trHeight w:val="264"/>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5F203977" w14:textId="77777777">
            <w:pPr>
              <w:keepNext/>
              <w:keepLines/>
              <w:widowControl/>
              <w:ind w:left="514"/>
              <w:rPr>
                <w:rFonts w:eastAsia="Calibri" w:cs="Calibri"/>
                <w:snapToGrid/>
                <w:color w:val="000000"/>
                <w:kern w:val="0"/>
                <w:sz w:val="24"/>
              </w:rPr>
            </w:pPr>
            <w:r w:rsidRPr="00972069">
              <w:rPr>
                <w:snapToGrid/>
                <w:color w:val="000000"/>
                <w:kern w:val="0"/>
                <w:sz w:val="18"/>
              </w:rPr>
              <w:t xml:space="preserve">Transmitter Emission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72497407"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06F51CAB" w14:textId="77777777">
            <w:pPr>
              <w:keepNext/>
              <w:keepLines/>
              <w:widowControl/>
              <w:ind w:left="1457"/>
              <w:rPr>
                <w:rFonts w:eastAsia="Calibri" w:cs="Calibri"/>
                <w:snapToGrid/>
                <w:color w:val="000000"/>
                <w:kern w:val="0"/>
                <w:sz w:val="24"/>
              </w:rPr>
            </w:pPr>
            <w:r w:rsidRPr="00972069">
              <w:rPr>
                <w:snapToGrid/>
                <w:color w:val="000000"/>
                <w:kern w:val="0"/>
                <w:sz w:val="18"/>
              </w:rPr>
              <w:t>Interference Contour [</w:t>
            </w:r>
            <w:r w:rsidRPr="00972069">
              <w:rPr>
                <w:snapToGrid/>
                <w:color w:val="000000"/>
                <w:kern w:val="0"/>
                <w:sz w:val="18"/>
              </w:rPr>
              <w:t>dBu</w:t>
            </w:r>
            <w:r w:rsidRPr="00972069">
              <w:rPr>
                <w:snapToGrid/>
                <w:color w:val="000000"/>
                <w:kern w:val="0"/>
                <w:sz w:val="18"/>
              </w:rPr>
              <w:t xml:space="preserve"> F (50,10)] </w:t>
            </w:r>
          </w:p>
        </w:tc>
      </w:tr>
      <w:tr w14:paraId="2DEC630D" w14:textId="77777777" w:rsidTr="00B56C51">
        <w:tblPrEx>
          <w:tblW w:w="9852" w:type="dxa"/>
          <w:tblInd w:w="-180" w:type="dxa"/>
          <w:tblCellMar>
            <w:left w:w="5" w:type="dxa"/>
          </w:tblCellMar>
          <w:tblLook w:val="04A0"/>
        </w:tblPrEx>
        <w:trPr>
          <w:trHeight w:val="487"/>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7921DB02" w14:textId="77777777">
            <w:pPr>
              <w:keepNext/>
              <w:keepLines/>
              <w:widowControl/>
              <w:ind w:left="89"/>
              <w:jc w:val="center"/>
              <w:rPr>
                <w:rFonts w:eastAsia="Calibri" w:cs="Calibri"/>
                <w:snapToGrid/>
                <w:color w:val="000000"/>
                <w:kern w:val="0"/>
                <w:sz w:val="24"/>
              </w:rPr>
            </w:pPr>
            <w:r w:rsidRPr="00972069">
              <w:rPr>
                <w:snapToGrid/>
                <w:color w:val="000000"/>
                <w:kern w:val="0"/>
                <w:sz w:val="18"/>
              </w:rPr>
              <w:t xml:space="preserve">11K3F3E or less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22DBDAE2"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6768CD04"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65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3A8E0625"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NA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758E7E4C"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75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76902709"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1336872C"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60 </w:t>
            </w:r>
          </w:p>
        </w:tc>
      </w:tr>
      <w:tr w14:paraId="28D68F9D" w14:textId="77777777" w:rsidTr="00B56C51">
        <w:tblPrEx>
          <w:tblW w:w="9852" w:type="dxa"/>
          <w:tblInd w:w="-180" w:type="dxa"/>
          <w:tblCellMar>
            <w:left w:w="5" w:type="dxa"/>
          </w:tblCellMar>
          <w:tblLook w:val="04A0"/>
        </w:tblPrEx>
        <w:trPr>
          <w:trHeight w:val="1090"/>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60A0A8D0"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8K10F1E, 8K10F1D, </w:t>
            </w:r>
          </w:p>
          <w:p w:rsidR="00C816F0" w:rsidRPr="00972069" w:rsidP="00B56C51" w14:paraId="0E790B28"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8K70D1W, </w:t>
            </w:r>
          </w:p>
          <w:p w:rsidR="00C816F0" w:rsidRPr="00972069" w:rsidP="00B56C51" w14:paraId="54ADBDF8"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9K80D7W, </w:t>
            </w:r>
          </w:p>
          <w:p w:rsidR="00C816F0" w:rsidRPr="00972069" w:rsidP="00B56C51" w14:paraId="285DB507"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9K80D1E or </w:t>
            </w:r>
          </w:p>
          <w:p w:rsidR="00C816F0" w:rsidRPr="00972069" w:rsidP="00B56C51" w14:paraId="2DF69088"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9K80D1D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671373B7"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04B2A2A"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E9D82A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BAACC3D"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726A0C22"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69607B98" w14:textId="77777777">
            <w:pPr>
              <w:keepNext/>
              <w:keepLines/>
              <w:widowControl/>
              <w:spacing w:after="3"/>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3572712D"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026CA7F7"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65 </w:t>
            </w:r>
          </w:p>
        </w:tc>
        <w:tc>
          <w:tcPr>
            <w:tcW w:w="1178" w:type="dxa"/>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1D744F54"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75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1213FD8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3F1A40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82F13D7"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118CA6B"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70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7F1A1DE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7F9CEC8"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57E9A69"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4F67A1F"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0EB7D826"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DEBD7F6"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BC8CE0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194142C"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55 </w:t>
            </w:r>
          </w:p>
        </w:tc>
      </w:tr>
      <w:tr w14:paraId="75942992" w14:textId="77777777" w:rsidTr="00B56C51">
        <w:tblPrEx>
          <w:tblW w:w="9852" w:type="dxa"/>
          <w:tblInd w:w="-180" w:type="dxa"/>
          <w:tblCellMar>
            <w:left w:w="5" w:type="dxa"/>
          </w:tblCellMar>
          <w:tblLook w:val="04A0"/>
        </w:tblPrEx>
        <w:trPr>
          <w:trHeight w:val="1073"/>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4A503348"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7K60FXE, </w:t>
            </w:r>
          </w:p>
          <w:p w:rsidR="00C816F0" w:rsidRPr="00972069" w:rsidP="00B56C51" w14:paraId="01CC2DCF"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7K60FXD, 7K60F7E, </w:t>
            </w:r>
          </w:p>
          <w:p w:rsidR="00C816F0" w:rsidRPr="00972069" w:rsidP="00B56C51" w14:paraId="11061580" w14:textId="77777777">
            <w:pPr>
              <w:keepNext/>
              <w:keepLines/>
              <w:widowControl/>
              <w:ind w:right="5"/>
              <w:jc w:val="center"/>
              <w:rPr>
                <w:rFonts w:eastAsia="Calibri" w:cs="Calibri"/>
                <w:snapToGrid/>
                <w:color w:val="000000"/>
                <w:kern w:val="0"/>
                <w:sz w:val="24"/>
              </w:rPr>
            </w:pPr>
            <w:r w:rsidRPr="00972069">
              <w:rPr>
                <w:snapToGrid/>
                <w:color w:val="000000"/>
                <w:kern w:val="0"/>
                <w:sz w:val="18"/>
              </w:rPr>
              <w:t xml:space="preserve">7K60F7D, </w:t>
            </w:r>
          </w:p>
          <w:p w:rsidR="00C816F0" w:rsidRPr="00972069" w:rsidP="00B56C51" w14:paraId="317384ED" w14:textId="77777777">
            <w:pPr>
              <w:keepNext/>
              <w:keepLines/>
              <w:widowControl/>
              <w:ind w:left="371" w:right="335"/>
              <w:jc w:val="center"/>
              <w:rPr>
                <w:rFonts w:eastAsia="Calibri" w:cs="Calibri"/>
                <w:snapToGrid/>
                <w:color w:val="000000"/>
                <w:kern w:val="0"/>
                <w:sz w:val="24"/>
              </w:rPr>
            </w:pPr>
            <w:r w:rsidRPr="00972069">
              <w:rPr>
                <w:snapToGrid/>
                <w:color w:val="000000"/>
                <w:kern w:val="0"/>
                <w:sz w:val="18"/>
              </w:rPr>
              <w:t xml:space="preserve">7K60F7W, 8K30F1E or 8K30F1D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37BF562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2582E9E"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C013C3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66EE0A4"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46ACE04D"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7125B2F3" w14:textId="77777777">
            <w:pPr>
              <w:keepNext/>
              <w:keepLines/>
              <w:widowControl/>
              <w:spacing w:after="4"/>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4E4F1155" w14:textId="77777777">
            <w:pPr>
              <w:keepNext/>
              <w:keepLines/>
              <w:widowControl/>
              <w:ind w:right="-16"/>
              <w:jc w:val="right"/>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4A58C9DD"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65 </w:t>
            </w:r>
          </w:p>
        </w:tc>
        <w:tc>
          <w:tcPr>
            <w:tcW w:w="1178" w:type="dxa"/>
            <w:tcBorders>
              <w:top w:val="single" w:sz="4" w:space="0" w:color="000000"/>
              <w:left w:val="single" w:sz="4" w:space="0" w:color="000000"/>
              <w:bottom w:val="single" w:sz="4" w:space="0" w:color="000000"/>
              <w:right w:val="single" w:sz="4" w:space="0" w:color="000000"/>
            </w:tcBorders>
            <w:vAlign w:val="bottom"/>
          </w:tcPr>
          <w:p w:rsidR="00C816F0" w:rsidRPr="00972069" w:rsidP="00B56C51" w14:paraId="4B44F0E9" w14:textId="77777777">
            <w:pPr>
              <w:keepNext/>
              <w:keepLines/>
              <w:widowControl/>
              <w:ind w:right="37"/>
              <w:jc w:val="center"/>
              <w:rPr>
                <w:rFonts w:eastAsia="Calibri" w:cs="Calibri"/>
                <w:snapToGrid/>
                <w:color w:val="000000"/>
                <w:kern w:val="0"/>
                <w:sz w:val="24"/>
              </w:rPr>
            </w:pPr>
            <w:r w:rsidRPr="00972069">
              <w:rPr>
                <w:snapToGrid/>
                <w:color w:val="000000"/>
                <w:kern w:val="0"/>
                <w:sz w:val="18"/>
              </w:rPr>
              <w:t xml:space="preserve">75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2EDAFB61"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1EA7ED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C101C2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115B4AD"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75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48C131E1"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6A3673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5BAB691"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6FAA481"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6885BBCF"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D82D0F5"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E97424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BD5D68A"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60 </w:t>
            </w:r>
          </w:p>
        </w:tc>
      </w:tr>
      <w:tr w14:paraId="1332B635" w14:textId="77777777" w:rsidTr="00B56C51">
        <w:tblPrEx>
          <w:tblW w:w="9852" w:type="dxa"/>
          <w:tblInd w:w="-180" w:type="dxa"/>
          <w:tblCellMar>
            <w:left w:w="5" w:type="dxa"/>
          </w:tblCellMar>
          <w:tblLook w:val="04A0"/>
        </w:tblPrEx>
        <w:trPr>
          <w:trHeight w:val="516"/>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500BC425" w14:textId="77777777">
            <w:pPr>
              <w:keepNext/>
              <w:keepLines/>
              <w:widowControl/>
              <w:ind w:left="414" w:right="376"/>
              <w:jc w:val="center"/>
              <w:rPr>
                <w:rFonts w:eastAsia="Calibri" w:cs="Calibri"/>
                <w:snapToGrid/>
                <w:color w:val="000000"/>
                <w:kern w:val="0"/>
                <w:sz w:val="24"/>
              </w:rPr>
            </w:pPr>
            <w:r w:rsidRPr="00972069">
              <w:rPr>
                <w:snapToGrid/>
                <w:color w:val="000000"/>
                <w:kern w:val="0"/>
                <w:sz w:val="18"/>
              </w:rPr>
              <w:t xml:space="preserve">4K00F1E or 4K00F1D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6E708DE4"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F00447C"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78502F2C"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372E9B01" w14:textId="77777777">
            <w:pPr>
              <w:keepNext/>
              <w:keepLines/>
              <w:widowControl/>
              <w:ind w:right="38"/>
              <w:jc w:val="center"/>
              <w:rPr>
                <w:rFonts w:eastAsia="Calibri" w:cs="Calibri"/>
                <w:snapToGrid/>
                <w:color w:val="000000"/>
                <w:kern w:val="0"/>
                <w:sz w:val="24"/>
              </w:rPr>
            </w:pPr>
            <w:r w:rsidRPr="00972069">
              <w:rPr>
                <w:snapToGrid/>
                <w:color w:val="000000"/>
                <w:kern w:val="0"/>
                <w:sz w:val="18"/>
              </w:rPr>
              <w:t xml:space="preserve">NA </w:t>
            </w:r>
          </w:p>
        </w:tc>
        <w:tc>
          <w:tcPr>
            <w:tcW w:w="1178"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11FD3E1F"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NA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3B44ED0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E46D1A1"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5DE4F96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4401405"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194CE17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572E11C"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NA </w:t>
            </w:r>
          </w:p>
        </w:tc>
      </w:tr>
      <w:tr w14:paraId="19EFF2CD" w14:textId="77777777" w:rsidTr="00B56C51">
        <w:tblPrEx>
          <w:tblW w:w="9852" w:type="dxa"/>
          <w:tblInd w:w="-180" w:type="dxa"/>
          <w:tblCellMar>
            <w:left w:w="5" w:type="dxa"/>
          </w:tblCellMar>
          <w:tblLook w:val="04A0"/>
        </w:tblPrEx>
        <w:trPr>
          <w:trHeight w:val="442"/>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1B84CA3A" w14:textId="77777777">
            <w:pPr>
              <w:keepNext/>
              <w:keepLines/>
              <w:widowControl/>
              <w:ind w:left="392" w:right="355"/>
              <w:jc w:val="center"/>
              <w:rPr>
                <w:rFonts w:eastAsia="Calibri" w:cs="Calibri"/>
                <w:snapToGrid/>
                <w:color w:val="000000"/>
                <w:kern w:val="0"/>
                <w:sz w:val="24"/>
              </w:rPr>
            </w:pPr>
            <w:r w:rsidRPr="00972069">
              <w:rPr>
                <w:snapToGrid/>
                <w:color w:val="000000"/>
                <w:kern w:val="0"/>
                <w:sz w:val="18"/>
              </w:rPr>
              <w:t xml:space="preserve">11K0F7E, 11K0F7D or 11K0F7W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504EC4A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8DBDDC3"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25D77588" w14:textId="77777777">
            <w:pPr>
              <w:keepNext/>
              <w:keepLines/>
              <w:widowControl/>
              <w:ind w:right="-16"/>
              <w:jc w:val="both"/>
              <w:rPr>
                <w:rFonts w:eastAsia="Calibri" w:cs="Calibri"/>
                <w:snapToGrid/>
                <w:color w:val="000000"/>
                <w:kern w:val="0"/>
                <w:sz w:val="24"/>
              </w:rPr>
            </w:pPr>
            <w:r w:rsidRPr="00972069">
              <w:rPr>
                <w:snapToGrid/>
                <w:color w:val="000000"/>
                <w:kern w:val="0"/>
                <w:sz w:val="18"/>
              </w:rPr>
              <w:t xml:space="preserve"> </w:t>
            </w:r>
            <w:r w:rsidRPr="00972069">
              <w:rPr>
                <w:snapToGrid/>
                <w:color w:val="000000"/>
                <w:kern w:val="0"/>
                <w:sz w:val="18"/>
              </w:rPr>
              <w:tab/>
              <w:t xml:space="preserve"> </w:t>
            </w:r>
          </w:p>
          <w:p w:rsidR="00C816F0" w:rsidRPr="00972069" w:rsidP="00B56C51" w14:paraId="55C4A744"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70 </w:t>
            </w:r>
          </w:p>
        </w:tc>
        <w:tc>
          <w:tcPr>
            <w:tcW w:w="1178" w:type="dxa"/>
            <w:tcBorders>
              <w:top w:val="single" w:sz="4" w:space="0" w:color="000000"/>
              <w:left w:val="single" w:sz="4" w:space="0" w:color="000000"/>
              <w:bottom w:val="single" w:sz="4" w:space="0" w:color="000000"/>
              <w:right w:val="single" w:sz="4" w:space="0" w:color="000000"/>
            </w:tcBorders>
            <w:vAlign w:val="center"/>
          </w:tcPr>
          <w:p w:rsidR="00C816F0" w:rsidRPr="00972069" w:rsidP="00B56C51" w14:paraId="7451B2C4" w14:textId="77777777">
            <w:pPr>
              <w:keepNext/>
              <w:keepLines/>
              <w:widowControl/>
              <w:ind w:right="40"/>
              <w:jc w:val="center"/>
              <w:rPr>
                <w:rFonts w:eastAsia="Calibri" w:cs="Calibri"/>
                <w:snapToGrid/>
                <w:color w:val="000000"/>
                <w:kern w:val="0"/>
                <w:sz w:val="24"/>
              </w:rPr>
            </w:pPr>
            <w:r w:rsidRPr="00972069">
              <w:rPr>
                <w:snapToGrid/>
                <w:color w:val="000000"/>
                <w:kern w:val="0"/>
                <w:sz w:val="18"/>
              </w:rPr>
              <w:t xml:space="preserve">NA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7D440BF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68B6822" w14:textId="77777777">
            <w:pPr>
              <w:keepNext/>
              <w:keepLines/>
              <w:widowControl/>
              <w:ind w:right="2"/>
              <w:jc w:val="center"/>
              <w:rPr>
                <w:rFonts w:eastAsia="Calibri" w:cs="Calibri"/>
                <w:snapToGrid/>
                <w:color w:val="000000"/>
                <w:kern w:val="0"/>
                <w:sz w:val="24"/>
              </w:rPr>
            </w:pPr>
            <w:r w:rsidRPr="00972069">
              <w:rPr>
                <w:snapToGrid/>
                <w:color w:val="000000"/>
                <w:kern w:val="0"/>
                <w:sz w:val="18"/>
              </w:rPr>
              <w:t xml:space="preserve">NA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1D26A7C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EFE9B49"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3898293E"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07314C0"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NA </w:t>
            </w:r>
          </w:p>
        </w:tc>
      </w:tr>
      <w:tr w14:paraId="08A33EB7" w14:textId="77777777" w:rsidTr="00B56C51">
        <w:tblPrEx>
          <w:tblW w:w="9852" w:type="dxa"/>
          <w:tblInd w:w="-180" w:type="dxa"/>
          <w:tblCellMar>
            <w:left w:w="5" w:type="dxa"/>
          </w:tblCellMar>
          <w:tblLook w:val="04A0"/>
        </w:tblPrEx>
        <w:trPr>
          <w:trHeight w:val="684"/>
        </w:trPr>
        <w:tc>
          <w:tcPr>
            <w:tcW w:w="3811" w:type="dxa"/>
            <w:gridSpan w:val="2"/>
            <w:tcBorders>
              <w:top w:val="single" w:sz="4" w:space="0" w:color="000000"/>
              <w:left w:val="single" w:sz="4" w:space="0" w:color="000000"/>
              <w:bottom w:val="single" w:sz="4" w:space="0" w:color="000000"/>
              <w:right w:val="single" w:sz="4" w:space="0" w:color="000000"/>
            </w:tcBorders>
          </w:tcPr>
          <w:p w:rsidR="00C816F0" w:rsidRPr="00972069" w:rsidP="00B56C51" w14:paraId="25426F47" w14:textId="77777777">
            <w:pPr>
              <w:keepNext/>
              <w:keepLines/>
              <w:widowControl/>
              <w:ind w:left="636" w:right="611"/>
              <w:jc w:val="center"/>
              <w:rPr>
                <w:rFonts w:eastAsia="Calibri" w:cs="Calibri"/>
                <w:snapToGrid/>
                <w:color w:val="000000"/>
                <w:kern w:val="0"/>
                <w:sz w:val="24"/>
              </w:rPr>
            </w:pPr>
            <w:r w:rsidRPr="00972069">
              <w:rPr>
                <w:snapToGrid/>
                <w:color w:val="000000"/>
                <w:kern w:val="0"/>
                <w:sz w:val="18"/>
              </w:rPr>
              <w:t xml:space="preserve">Section 90.221 Technology on 25 kilohertz Bandwidth Channels </w:t>
            </w: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00B3B13E"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r>
      <w:tr w14:paraId="21045F48" w14:textId="77777777" w:rsidTr="00B56C51">
        <w:tblPrEx>
          <w:tblW w:w="9852" w:type="dxa"/>
          <w:tblInd w:w="-180" w:type="dxa"/>
          <w:tblCellMar>
            <w:left w:w="5" w:type="dxa"/>
          </w:tblCellMar>
          <w:tblLook w:val="04A0"/>
        </w:tblPrEx>
        <w:trPr>
          <w:trHeight w:val="264"/>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79A9A5E1" w14:textId="77777777">
            <w:pPr>
              <w:keepNext/>
              <w:keepLines/>
              <w:widowControl/>
              <w:ind w:left="514"/>
              <w:rPr>
                <w:rFonts w:eastAsia="Calibri" w:cs="Calibri"/>
                <w:snapToGrid/>
                <w:color w:val="000000"/>
                <w:kern w:val="0"/>
                <w:sz w:val="24"/>
              </w:rPr>
            </w:pPr>
            <w:r w:rsidRPr="00972069">
              <w:rPr>
                <w:snapToGrid/>
                <w:color w:val="000000"/>
                <w:kern w:val="0"/>
                <w:sz w:val="18"/>
              </w:rPr>
              <w:t xml:space="preserve">Transmitter Emission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7C4DA54E" w14:textId="77777777">
            <w:pPr>
              <w:keepNext/>
              <w:keepLines/>
              <w:widowControl/>
              <w:rPr>
                <w:rFonts w:eastAsia="Calibri" w:cs="Calibri"/>
                <w:snapToGrid/>
                <w:color w:val="000000"/>
                <w:kern w:val="0"/>
                <w:sz w:val="24"/>
              </w:rPr>
            </w:pPr>
            <w:r w:rsidRPr="00972069">
              <w:rPr>
                <w:snapToGrid/>
                <w:color w:val="000000"/>
                <w:kern w:val="0"/>
                <w:sz w:val="18"/>
              </w:rPr>
              <w:t xml:space="preserve"> </w:t>
            </w:r>
          </w:p>
        </w:tc>
        <w:tc>
          <w:tcPr>
            <w:tcW w:w="6041" w:type="dxa"/>
            <w:gridSpan w:val="5"/>
            <w:tcBorders>
              <w:top w:val="single" w:sz="4" w:space="0" w:color="000000"/>
              <w:left w:val="single" w:sz="4" w:space="0" w:color="000000"/>
              <w:bottom w:val="single" w:sz="4" w:space="0" w:color="000000"/>
              <w:right w:val="single" w:sz="4" w:space="0" w:color="000000"/>
            </w:tcBorders>
          </w:tcPr>
          <w:p w:rsidR="00C816F0" w:rsidRPr="00972069" w:rsidP="00B56C51" w14:paraId="49CB8D9B" w14:textId="77777777">
            <w:pPr>
              <w:keepNext/>
              <w:keepLines/>
              <w:widowControl/>
              <w:ind w:left="1457"/>
              <w:rPr>
                <w:rFonts w:eastAsia="Calibri" w:cs="Calibri"/>
                <w:snapToGrid/>
                <w:color w:val="000000"/>
                <w:kern w:val="0"/>
                <w:sz w:val="24"/>
              </w:rPr>
            </w:pPr>
            <w:r w:rsidRPr="00972069">
              <w:rPr>
                <w:snapToGrid/>
                <w:color w:val="000000"/>
                <w:kern w:val="0"/>
                <w:sz w:val="18"/>
              </w:rPr>
              <w:t>Interference Contour [</w:t>
            </w:r>
            <w:r w:rsidRPr="00972069">
              <w:rPr>
                <w:snapToGrid/>
                <w:color w:val="000000"/>
                <w:kern w:val="0"/>
                <w:sz w:val="18"/>
              </w:rPr>
              <w:t>dBu</w:t>
            </w:r>
            <w:r w:rsidRPr="00972069">
              <w:rPr>
                <w:snapToGrid/>
                <w:color w:val="000000"/>
                <w:kern w:val="0"/>
                <w:sz w:val="18"/>
              </w:rPr>
              <w:t xml:space="preserve"> F (50,10)] </w:t>
            </w:r>
          </w:p>
        </w:tc>
      </w:tr>
      <w:tr w14:paraId="53A8E547" w14:textId="77777777" w:rsidTr="00B56C51">
        <w:tblPrEx>
          <w:tblW w:w="9852" w:type="dxa"/>
          <w:tblInd w:w="-180" w:type="dxa"/>
          <w:tblCellMar>
            <w:left w:w="5" w:type="dxa"/>
          </w:tblCellMar>
          <w:tblLook w:val="04A0"/>
        </w:tblPrEx>
        <w:trPr>
          <w:trHeight w:val="730"/>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3FC81D2E" w14:textId="77777777">
            <w:pPr>
              <w:keepNext/>
              <w:keepLines/>
              <w:widowControl/>
              <w:ind w:right="123"/>
              <w:jc w:val="center"/>
              <w:rPr>
                <w:rFonts w:eastAsia="Calibri" w:cs="Calibri"/>
                <w:snapToGrid/>
                <w:color w:val="000000"/>
                <w:kern w:val="0"/>
                <w:sz w:val="24"/>
              </w:rPr>
            </w:pPr>
            <w:r w:rsidRPr="00972069">
              <w:rPr>
                <w:snapToGrid/>
                <w:color w:val="000000"/>
                <w:kern w:val="0"/>
                <w:sz w:val="18"/>
              </w:rPr>
              <w:t xml:space="preserve">22K0D7E,22K0D7D, </w:t>
            </w:r>
          </w:p>
          <w:p w:rsidR="00C816F0" w:rsidRPr="00972069" w:rsidP="00B56C51" w14:paraId="7B14473F" w14:textId="77777777">
            <w:pPr>
              <w:keepNext/>
              <w:keepLines/>
              <w:widowControl/>
              <w:ind w:left="680" w:right="142" w:hanging="274"/>
              <w:rPr>
                <w:rFonts w:eastAsia="Calibri" w:cs="Calibri"/>
                <w:snapToGrid/>
                <w:color w:val="000000"/>
                <w:kern w:val="0"/>
                <w:sz w:val="24"/>
              </w:rPr>
            </w:pPr>
            <w:r w:rsidRPr="00972069">
              <w:rPr>
                <w:snapToGrid/>
                <w:color w:val="000000"/>
                <w:kern w:val="0"/>
                <w:sz w:val="18"/>
              </w:rPr>
              <w:t xml:space="preserve">22K0D7W, 22K0DXW or 22K0G1W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53FE3E69"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BAD2C2B"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D844849"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76D5EA1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783535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54204322" w14:textId="77777777">
            <w:pPr>
              <w:keepNext/>
              <w:keepLines/>
              <w:widowControl/>
              <w:ind w:left="28"/>
              <w:jc w:val="center"/>
              <w:rPr>
                <w:rFonts w:eastAsia="Calibri" w:cs="Calibri"/>
                <w:snapToGrid/>
                <w:color w:val="000000"/>
                <w:kern w:val="0"/>
                <w:sz w:val="24"/>
              </w:rPr>
            </w:pPr>
            <w:r w:rsidRPr="00972069">
              <w:rPr>
                <w:snapToGrid/>
                <w:color w:val="000000"/>
                <w:kern w:val="0"/>
                <w:sz w:val="18"/>
              </w:rPr>
              <w:t xml:space="preserve">25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74BC6117"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79E5A537"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7A00248A" w14:textId="77777777">
            <w:pPr>
              <w:keepNext/>
              <w:keepLines/>
              <w:widowControl/>
              <w:ind w:left="30"/>
              <w:jc w:val="center"/>
              <w:rPr>
                <w:rFonts w:eastAsia="Calibri" w:cs="Calibri"/>
                <w:snapToGrid/>
                <w:color w:val="000000"/>
                <w:kern w:val="0"/>
                <w:sz w:val="24"/>
              </w:rPr>
            </w:pPr>
            <w:r w:rsidRPr="00972069">
              <w:rPr>
                <w:snapToGrid/>
                <w:color w:val="000000"/>
                <w:kern w:val="0"/>
                <w:sz w:val="18"/>
              </w:rPr>
              <w:t xml:space="preserve">28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7286C22F"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6D46F4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0EBCAC91"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25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7734E0A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29A9C44"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069A875" w14:textId="77777777">
            <w:pPr>
              <w:keepNext/>
              <w:keepLines/>
              <w:widowControl/>
              <w:ind w:right="4"/>
              <w:jc w:val="center"/>
              <w:rPr>
                <w:rFonts w:eastAsia="Calibri" w:cs="Calibri"/>
                <w:snapToGrid/>
                <w:color w:val="000000"/>
                <w:kern w:val="0"/>
                <w:sz w:val="24"/>
              </w:rPr>
            </w:pPr>
            <w:r w:rsidRPr="00972069">
              <w:rPr>
                <w:snapToGrid/>
                <w:color w:val="000000"/>
                <w:kern w:val="0"/>
                <w:sz w:val="18"/>
              </w:rPr>
              <w:t xml:space="preserve">32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30705C7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198BB90"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B607E32"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23 </w:t>
            </w:r>
          </w:p>
          <w:p w:rsidR="00C816F0" w:rsidRPr="00972069" w:rsidP="00B56C51" w14:paraId="7FD619CE" w14:textId="77777777">
            <w:pPr>
              <w:keepNext/>
              <w:keepLines/>
              <w:widowControl/>
              <w:ind w:left="40"/>
              <w:jc w:val="center"/>
              <w:rPr>
                <w:rFonts w:eastAsia="Calibri" w:cs="Calibri"/>
                <w:snapToGrid/>
                <w:color w:val="000000"/>
                <w:kern w:val="0"/>
                <w:sz w:val="24"/>
              </w:rPr>
            </w:pPr>
            <w:r w:rsidRPr="00972069">
              <w:rPr>
                <w:snapToGrid/>
                <w:color w:val="000000"/>
                <w:kern w:val="0"/>
                <w:sz w:val="18"/>
              </w:rPr>
              <w:t xml:space="preserve"> </w:t>
            </w:r>
          </w:p>
        </w:tc>
      </w:tr>
      <w:tr w14:paraId="4BA794F9" w14:textId="77777777" w:rsidTr="00B56C51">
        <w:tblPrEx>
          <w:tblW w:w="9852" w:type="dxa"/>
          <w:tblInd w:w="-180" w:type="dxa"/>
          <w:tblCellMar>
            <w:left w:w="5" w:type="dxa"/>
          </w:tblCellMar>
          <w:tblLook w:val="04A0"/>
        </w:tblPrEx>
        <w:trPr>
          <w:trHeight w:val="442"/>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1170AEEF" w14:textId="77777777">
            <w:pPr>
              <w:keepNext/>
              <w:keepLines/>
              <w:widowControl/>
              <w:ind w:left="361" w:right="326"/>
              <w:jc w:val="center"/>
              <w:rPr>
                <w:rFonts w:eastAsia="Calibri" w:cs="Calibri"/>
                <w:snapToGrid/>
                <w:color w:val="000000"/>
                <w:kern w:val="0"/>
                <w:sz w:val="24"/>
              </w:rPr>
            </w:pPr>
            <w:r w:rsidRPr="00972069">
              <w:rPr>
                <w:snapToGrid/>
                <w:color w:val="000000"/>
                <w:kern w:val="0"/>
                <w:sz w:val="18"/>
              </w:rPr>
              <w:t xml:space="preserve">21K0D1E, 21K0D1D or 21K0D1W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2AF3CE0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6632EBA1"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4A867593"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3596C6F" w14:textId="77777777">
            <w:pPr>
              <w:keepNext/>
              <w:keepLines/>
              <w:widowControl/>
              <w:ind w:left="28"/>
              <w:jc w:val="center"/>
              <w:rPr>
                <w:rFonts w:eastAsia="Calibri" w:cs="Calibri"/>
                <w:snapToGrid/>
                <w:color w:val="000000"/>
                <w:kern w:val="0"/>
                <w:sz w:val="24"/>
              </w:rPr>
            </w:pPr>
            <w:r w:rsidRPr="00972069">
              <w:rPr>
                <w:snapToGrid/>
                <w:color w:val="000000"/>
                <w:kern w:val="0"/>
                <w:sz w:val="18"/>
              </w:rPr>
              <w:t xml:space="preserve">25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38A1A49C"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2C34B6AF" w14:textId="77777777">
            <w:pPr>
              <w:keepNext/>
              <w:keepLines/>
              <w:widowControl/>
              <w:ind w:left="30"/>
              <w:jc w:val="center"/>
              <w:rPr>
                <w:rFonts w:eastAsia="Calibri" w:cs="Calibri"/>
                <w:snapToGrid/>
                <w:color w:val="000000"/>
                <w:kern w:val="0"/>
                <w:sz w:val="24"/>
              </w:rPr>
            </w:pPr>
            <w:r w:rsidRPr="00972069">
              <w:rPr>
                <w:snapToGrid/>
                <w:color w:val="000000"/>
                <w:kern w:val="0"/>
                <w:sz w:val="18"/>
              </w:rPr>
              <w:t xml:space="preserve">28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7D51326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F06DF80"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25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35B8FBC1"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149EF52E"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3130A5ED"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325A4220"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23 </w:t>
            </w:r>
          </w:p>
        </w:tc>
      </w:tr>
      <w:tr w14:paraId="5484A1F4" w14:textId="77777777" w:rsidTr="00B56C51">
        <w:tblPrEx>
          <w:tblW w:w="9852" w:type="dxa"/>
          <w:tblInd w:w="-180" w:type="dxa"/>
          <w:tblCellMar>
            <w:left w:w="5" w:type="dxa"/>
          </w:tblCellMar>
          <w:tblLook w:val="04A0"/>
        </w:tblPrEx>
        <w:trPr>
          <w:trHeight w:val="552"/>
        </w:trPr>
        <w:tc>
          <w:tcPr>
            <w:tcW w:w="2452" w:type="dxa"/>
            <w:tcBorders>
              <w:top w:val="single" w:sz="4" w:space="0" w:color="000000"/>
              <w:left w:val="single" w:sz="4" w:space="0" w:color="000000"/>
              <w:bottom w:val="single" w:sz="4" w:space="0" w:color="000000"/>
              <w:right w:val="single" w:sz="4" w:space="0" w:color="000000"/>
            </w:tcBorders>
          </w:tcPr>
          <w:p w:rsidR="00C816F0" w:rsidRPr="00972069" w:rsidP="00B56C51" w14:paraId="770AFC01" w14:textId="77777777">
            <w:pPr>
              <w:keepNext/>
              <w:keepLines/>
              <w:widowControl/>
              <w:ind w:left="361" w:right="326"/>
              <w:jc w:val="center"/>
              <w:rPr>
                <w:rFonts w:eastAsia="Calibri" w:cs="Calibri"/>
                <w:snapToGrid/>
                <w:color w:val="000000"/>
                <w:kern w:val="0"/>
                <w:sz w:val="24"/>
              </w:rPr>
            </w:pPr>
            <w:r w:rsidRPr="00972069">
              <w:rPr>
                <w:snapToGrid/>
                <w:color w:val="000000"/>
                <w:kern w:val="0"/>
                <w:sz w:val="18"/>
              </w:rPr>
              <w:t xml:space="preserve">21K7D7E, 21K7D7D or 21K0D1W </w:t>
            </w:r>
          </w:p>
        </w:tc>
        <w:tc>
          <w:tcPr>
            <w:tcW w:w="1359" w:type="dxa"/>
            <w:tcBorders>
              <w:top w:val="single" w:sz="4" w:space="0" w:color="000000"/>
              <w:left w:val="single" w:sz="4" w:space="0" w:color="000000"/>
              <w:bottom w:val="single" w:sz="4" w:space="0" w:color="000000"/>
              <w:right w:val="single" w:sz="4" w:space="0" w:color="000000"/>
            </w:tcBorders>
          </w:tcPr>
          <w:p w:rsidR="00C816F0" w:rsidRPr="00972069" w:rsidP="00B56C51" w14:paraId="7B72B39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A61749C" w14:textId="77777777">
            <w:pPr>
              <w:keepNext/>
              <w:keepLines/>
              <w:widowControl/>
              <w:ind w:left="103"/>
              <w:rPr>
                <w:rFonts w:eastAsia="Calibri" w:cs="Calibri"/>
                <w:snapToGrid/>
                <w:color w:val="000000"/>
                <w:kern w:val="0"/>
                <w:sz w:val="24"/>
              </w:rPr>
            </w:pPr>
            <w:r w:rsidRPr="00972069">
              <w:rPr>
                <w:snapToGrid/>
                <w:color w:val="000000"/>
                <w:kern w:val="0"/>
                <w:sz w:val="18"/>
              </w:rPr>
              <w:t xml:space="preserve">Transmitter </w:t>
            </w:r>
          </w:p>
        </w:tc>
        <w:tc>
          <w:tcPr>
            <w:tcW w:w="1248" w:type="dxa"/>
            <w:tcBorders>
              <w:top w:val="single" w:sz="4" w:space="0" w:color="000000"/>
              <w:left w:val="single" w:sz="4" w:space="0" w:color="000000"/>
              <w:bottom w:val="single" w:sz="4" w:space="0" w:color="000000"/>
              <w:right w:val="single" w:sz="4" w:space="0" w:color="000000"/>
            </w:tcBorders>
          </w:tcPr>
          <w:p w:rsidR="00C816F0" w:rsidRPr="00972069" w:rsidP="00B56C51" w14:paraId="07C37824"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70E4AD1B" w14:textId="77777777">
            <w:pPr>
              <w:keepNext/>
              <w:keepLines/>
              <w:widowControl/>
              <w:ind w:left="28"/>
              <w:jc w:val="center"/>
              <w:rPr>
                <w:rFonts w:eastAsia="Calibri" w:cs="Calibri"/>
                <w:snapToGrid/>
                <w:color w:val="000000"/>
                <w:kern w:val="0"/>
                <w:sz w:val="24"/>
              </w:rPr>
            </w:pPr>
            <w:r w:rsidRPr="00972069">
              <w:rPr>
                <w:snapToGrid/>
                <w:color w:val="000000"/>
                <w:kern w:val="0"/>
                <w:sz w:val="18"/>
              </w:rPr>
              <w:t xml:space="preserve">23 </w:t>
            </w:r>
          </w:p>
        </w:tc>
        <w:tc>
          <w:tcPr>
            <w:tcW w:w="1178" w:type="dxa"/>
            <w:tcBorders>
              <w:top w:val="single" w:sz="4" w:space="0" w:color="000000"/>
              <w:left w:val="single" w:sz="4" w:space="0" w:color="000000"/>
              <w:bottom w:val="single" w:sz="4" w:space="0" w:color="000000"/>
              <w:right w:val="single" w:sz="4" w:space="0" w:color="000000"/>
            </w:tcBorders>
          </w:tcPr>
          <w:p w:rsidR="00C816F0" w:rsidRPr="00972069" w:rsidP="00B56C51" w14:paraId="0FD1CF36" w14:textId="77777777">
            <w:pPr>
              <w:keepNext/>
              <w:keepLines/>
              <w:widowControl/>
              <w:ind w:left="34"/>
              <w:rPr>
                <w:rFonts w:eastAsia="Calibri" w:cs="Calibri"/>
                <w:snapToGrid/>
                <w:color w:val="000000"/>
                <w:kern w:val="0"/>
                <w:sz w:val="24"/>
              </w:rPr>
            </w:pPr>
            <w:r w:rsidRPr="00972069">
              <w:rPr>
                <w:snapToGrid/>
                <w:color w:val="000000"/>
                <w:kern w:val="0"/>
                <w:sz w:val="18"/>
              </w:rPr>
              <w:t xml:space="preserve"> </w:t>
            </w:r>
          </w:p>
          <w:p w:rsidR="00C816F0" w:rsidRPr="00972069" w:rsidP="00B56C51" w14:paraId="7F06FB64" w14:textId="77777777">
            <w:pPr>
              <w:keepNext/>
              <w:keepLines/>
              <w:widowControl/>
              <w:ind w:left="30"/>
              <w:jc w:val="center"/>
              <w:rPr>
                <w:rFonts w:eastAsia="Calibri" w:cs="Calibri"/>
                <w:snapToGrid/>
                <w:color w:val="000000"/>
                <w:kern w:val="0"/>
                <w:sz w:val="24"/>
              </w:rPr>
            </w:pPr>
            <w:r w:rsidRPr="00972069">
              <w:rPr>
                <w:snapToGrid/>
                <w:color w:val="000000"/>
                <w:kern w:val="0"/>
                <w:sz w:val="18"/>
              </w:rPr>
              <w:t xml:space="preserve">25 </w:t>
            </w:r>
          </w:p>
        </w:tc>
        <w:tc>
          <w:tcPr>
            <w:tcW w:w="1206" w:type="dxa"/>
            <w:tcBorders>
              <w:top w:val="single" w:sz="4" w:space="0" w:color="000000"/>
              <w:left w:val="single" w:sz="4" w:space="0" w:color="000000"/>
              <w:bottom w:val="single" w:sz="4" w:space="0" w:color="000000"/>
              <w:right w:val="single" w:sz="4" w:space="0" w:color="000000"/>
            </w:tcBorders>
          </w:tcPr>
          <w:p w:rsidR="00C816F0" w:rsidRPr="00972069" w:rsidP="00B56C51" w14:paraId="49E7350C"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45EAE1CE" w14:textId="77777777">
            <w:pPr>
              <w:keepNext/>
              <w:keepLines/>
              <w:widowControl/>
              <w:ind w:right="8"/>
              <w:jc w:val="center"/>
              <w:rPr>
                <w:rFonts w:eastAsia="Calibri" w:cs="Calibri"/>
                <w:snapToGrid/>
                <w:color w:val="000000"/>
                <w:kern w:val="0"/>
                <w:sz w:val="24"/>
              </w:rPr>
            </w:pPr>
            <w:r w:rsidRPr="00972069">
              <w:rPr>
                <w:snapToGrid/>
                <w:color w:val="000000"/>
                <w:kern w:val="0"/>
                <w:sz w:val="18"/>
              </w:rPr>
              <w:t xml:space="preserve">23 </w:t>
            </w:r>
          </w:p>
        </w:tc>
        <w:tc>
          <w:tcPr>
            <w:tcW w:w="1200" w:type="dxa"/>
            <w:tcBorders>
              <w:top w:val="single" w:sz="4" w:space="0" w:color="000000"/>
              <w:left w:val="single" w:sz="4" w:space="0" w:color="000000"/>
              <w:bottom w:val="single" w:sz="4" w:space="0" w:color="000000"/>
              <w:right w:val="single" w:sz="4" w:space="0" w:color="000000"/>
            </w:tcBorders>
          </w:tcPr>
          <w:p w:rsidR="00C816F0" w:rsidRPr="00972069" w:rsidP="00B56C51" w14:paraId="5EE56A82"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233F2CB" w14:textId="77777777">
            <w:pPr>
              <w:keepNext/>
              <w:keepLines/>
              <w:widowControl/>
              <w:ind w:right="7"/>
              <w:jc w:val="center"/>
              <w:rPr>
                <w:rFonts w:eastAsia="Calibri" w:cs="Calibri"/>
                <w:snapToGrid/>
                <w:color w:val="000000"/>
                <w:kern w:val="0"/>
                <w:sz w:val="24"/>
              </w:rPr>
            </w:pPr>
            <w:r w:rsidRPr="00972069">
              <w:rPr>
                <w:snapToGrid/>
                <w:color w:val="000000"/>
                <w:kern w:val="0"/>
                <w:sz w:val="18"/>
              </w:rPr>
              <w:t xml:space="preserve">NA </w:t>
            </w:r>
          </w:p>
        </w:tc>
        <w:tc>
          <w:tcPr>
            <w:tcW w:w="1209" w:type="dxa"/>
            <w:tcBorders>
              <w:top w:val="single" w:sz="4" w:space="0" w:color="000000"/>
              <w:left w:val="single" w:sz="4" w:space="0" w:color="000000"/>
              <w:bottom w:val="single" w:sz="4" w:space="0" w:color="000000"/>
              <w:right w:val="single" w:sz="4" w:space="0" w:color="000000"/>
            </w:tcBorders>
          </w:tcPr>
          <w:p w:rsidR="00C816F0" w:rsidRPr="00972069" w:rsidP="00B56C51" w14:paraId="3DF608FF" w14:textId="77777777">
            <w:pPr>
              <w:keepNext/>
              <w:keepLines/>
              <w:widowControl/>
              <w:rPr>
                <w:rFonts w:eastAsia="Calibri" w:cs="Calibri"/>
                <w:snapToGrid/>
                <w:color w:val="000000"/>
                <w:kern w:val="0"/>
                <w:sz w:val="24"/>
              </w:rPr>
            </w:pPr>
            <w:r w:rsidRPr="00972069">
              <w:rPr>
                <w:snapToGrid/>
                <w:color w:val="000000"/>
                <w:kern w:val="0"/>
                <w:sz w:val="18"/>
              </w:rPr>
              <w:t xml:space="preserve"> </w:t>
            </w:r>
          </w:p>
          <w:p w:rsidR="00C816F0" w:rsidRPr="00972069" w:rsidP="00B56C51" w14:paraId="22C401C5" w14:textId="77777777">
            <w:pPr>
              <w:keepNext/>
              <w:keepLines/>
              <w:widowControl/>
              <w:ind w:right="6"/>
              <w:jc w:val="center"/>
              <w:rPr>
                <w:rFonts w:eastAsia="Calibri" w:cs="Calibri"/>
                <w:snapToGrid/>
                <w:color w:val="000000"/>
                <w:kern w:val="0"/>
                <w:sz w:val="24"/>
              </w:rPr>
            </w:pPr>
            <w:r w:rsidRPr="00972069">
              <w:rPr>
                <w:snapToGrid/>
                <w:color w:val="000000"/>
                <w:kern w:val="0"/>
                <w:sz w:val="18"/>
              </w:rPr>
              <w:t xml:space="preserve">20 </w:t>
            </w:r>
          </w:p>
        </w:tc>
      </w:tr>
    </w:tbl>
    <w:p w:rsidR="00C816F0" w:rsidRPr="00972069" w:rsidP="00C816F0" w14:paraId="7F46011A" w14:textId="77777777">
      <w:pPr>
        <w:keepNext/>
        <w:keepLines/>
        <w:widowControl/>
        <w:spacing w:before="120" w:after="120"/>
        <w:ind w:left="446"/>
        <w:rPr>
          <w:szCs w:val="22"/>
        </w:rPr>
      </w:pPr>
      <w:r w:rsidRPr="00972069">
        <w:rPr>
          <w:szCs w:val="22"/>
        </w:rPr>
        <w:t>* * * * *</w:t>
      </w:r>
      <w:bookmarkEnd w:id="2"/>
    </w:p>
    <w:bookmarkEnd w:id="0"/>
    <w:p w:rsidR="00C816F0" w:rsidRPr="00972069" w:rsidP="00C816F0" w14:paraId="3BA53F20" w14:textId="77777777">
      <w:pPr>
        <w:keepNext/>
        <w:widowControl/>
        <w:suppressAutoHyphens/>
        <w:spacing w:after="120"/>
        <w:outlineLvl w:val="0"/>
        <w:rPr>
          <w:rFonts w:ascii="Times New Roman Bold" w:hAnsi="Times New Roman Bold"/>
          <w:b/>
          <w:caps/>
        </w:rPr>
      </w:pPr>
    </w:p>
    <w:p w:rsidR="00C816F0" w:rsidRPr="00972069" w:rsidP="00C816F0" w14:paraId="4D73920E" w14:textId="77777777">
      <w:pPr>
        <w:widowControl/>
      </w:pPr>
    </w:p>
    <w:p w:rsidR="00C816F0" w:rsidP="00C816F0" w14:paraId="65B6FE59" w14:textId="77777777">
      <w:pPr>
        <w:pStyle w:val="Heading1"/>
        <w:numPr>
          <w:ilvl w:val="0"/>
          <w:numId w:val="0"/>
        </w:numPr>
      </w:pPr>
    </w:p>
    <w:p w:rsidR="00C816F0" w:rsidRPr="00992FC3" w:rsidP="00C816F0" w14:paraId="38487F50" w14:textId="77777777"/>
    <w:p w:rsidR="00412FC5" w:rsidRPr="00C816F0" w:rsidP="00C816F0" w14:paraId="00497162" w14:textId="77777777"/>
    <w:sectPr w:rsidSect="005D6FBF">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55614C" w14:paraId="339CB5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B56C51" w14:paraId="1DE499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B56C51" w14:paraId="084EA2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806" w14:paraId="54A42C5F" w14:textId="5A8A7028">
    <w:pPr>
      <w:pStyle w:val="Footer"/>
      <w:jc w:val="center"/>
    </w:pPr>
  </w:p>
  <w:p w:rsidR="00B56C51" w14:paraId="6F3390E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55614C" w14:paraId="0C4BF7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B56C51" w14:paraId="595EA49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5D6FBF" w14:paraId="7715CDF4" w14:textId="14F8413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806" w14:paraId="39471D2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56C51" w14:paraId="236721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1209" w14:paraId="15BF23DA" w14:textId="77777777">
      <w:r>
        <w:separator/>
      </w:r>
    </w:p>
  </w:footnote>
  <w:footnote w:type="continuationSeparator" w:id="1">
    <w:p w:rsidR="00911209" w:rsidP="00C721AC" w14:paraId="03375C65" w14:textId="77777777">
      <w:pPr>
        <w:spacing w:before="120"/>
        <w:rPr>
          <w:sz w:val="20"/>
        </w:rPr>
      </w:pPr>
      <w:r>
        <w:rPr>
          <w:sz w:val="20"/>
        </w:rPr>
        <w:t xml:space="preserve">(Continued from previous page)  </w:t>
      </w:r>
      <w:r>
        <w:rPr>
          <w:sz w:val="20"/>
        </w:rPr>
        <w:separator/>
      </w:r>
    </w:p>
  </w:footnote>
  <w:footnote w:type="continuationNotice" w:id="2">
    <w:p w:rsidR="00911209" w:rsidP="00C721AC" w14:paraId="1D7732E5" w14:textId="77777777">
      <w:pPr>
        <w:jc w:val="right"/>
        <w:rPr>
          <w:sz w:val="20"/>
        </w:rPr>
      </w:pPr>
      <w:r>
        <w:rPr>
          <w:sz w:val="20"/>
        </w:rPr>
        <w:t>(continued….)</w:t>
      </w:r>
    </w:p>
  </w:footnote>
  <w:footnote w:id="3">
    <w:p w:rsidR="00B56C51" w:rsidRPr="00EA07FF" w:rsidP="00C816F0" w14:paraId="5048F7E1" w14:textId="77777777">
      <w:pPr>
        <w:pStyle w:val="FootnoteText"/>
      </w:pPr>
      <w:r>
        <w:rPr>
          <w:rStyle w:val="FootnoteReference"/>
        </w:rPr>
        <w:footnoteRef/>
      </w:r>
      <w:r>
        <w:t xml:space="preserve"> </w:t>
      </w:r>
      <w:bookmarkStart w:id="28" w:name="_Hlk32509882"/>
      <w:r w:rsidRPr="00070F9B">
        <w:rPr>
          <w:i/>
        </w:rPr>
        <w:t xml:space="preserve">Creation of Interstitial 12.5 Kilohertz Channels in the 800 MHz Band Between 809-817/854-862 MHz; Amendment of Part 90 of the Commission’s Rules to Improve Access to Private Land Mobile Radio Spectrum; Land Mobile Communications </w:t>
      </w:r>
      <w:r w:rsidRPr="00EA07FF">
        <w:rPr>
          <w:i/>
        </w:rPr>
        <w:t>Council Petition for Rulemaking Regarding Interim Eligibility for 800 MHz Expansion Band and Guard Band Frequencies; Petition for Rulemaking Regarding Conditional Licensing Authority Above 470 MHz</w:t>
      </w:r>
      <w:r w:rsidRPr="00EA07FF">
        <w:t>, Report and Order</w:t>
      </w:r>
      <w:r>
        <w:t xml:space="preserve"> and Order,</w:t>
      </w:r>
      <w:bookmarkEnd w:id="28"/>
      <w:r>
        <w:t xml:space="preserve"> 33 FCC </w:t>
      </w:r>
      <w:r>
        <w:t>Rcd</w:t>
      </w:r>
      <w:r>
        <w:t xml:space="preserve"> 10222 (2018)</w:t>
      </w:r>
      <w:r w:rsidRPr="00810827">
        <w:t xml:space="preserve"> (</w:t>
      </w:r>
      <w:r w:rsidRPr="00810827">
        <w:rPr>
          <w:i/>
        </w:rPr>
        <w:t>PLMR Report and Order</w:t>
      </w:r>
      <w:r w:rsidRPr="00810827">
        <w:t>).</w:t>
      </w:r>
    </w:p>
  </w:footnote>
  <w:footnote w:id="4">
    <w:p w:rsidR="00B56C51" w:rsidP="00C816F0" w14:paraId="1A5A4816" w14:textId="77777777">
      <w:pPr>
        <w:pStyle w:val="FootnoteText"/>
      </w:pPr>
      <w:r>
        <w:rPr>
          <w:rStyle w:val="FootnoteReference"/>
        </w:rPr>
        <w:footnoteRef/>
      </w:r>
      <w:r>
        <w:t xml:space="preserve"> </w:t>
      </w:r>
      <w:r w:rsidRPr="007E5E40">
        <w:rPr>
          <w:i/>
        </w:rPr>
        <w:t>Id.</w:t>
      </w:r>
      <w:r>
        <w:t xml:space="preserve"> at paras. 9, 21, 52.  </w:t>
      </w:r>
      <w:r w:rsidRPr="00282857">
        <w:t>The 800 MHz Mid-Band consists of the Interleaved Band (809-815/854-860 MHz, 240 channels), the Expansion Band (815-816/860-861 MHz, 40 channels), and the Guard Band (816-817/861-862 MHz, 40 channels</w:t>
      </w:r>
      <w:r>
        <w:t>)</w:t>
      </w:r>
      <w:r w:rsidRPr="00282857">
        <w:t>.</w:t>
      </w:r>
      <w:r>
        <w:t xml:space="preserve">  </w:t>
      </w:r>
      <w:r w:rsidRPr="00282857">
        <w:rPr>
          <w:i/>
        </w:rPr>
        <w:t>Id.</w:t>
      </w:r>
      <w:r>
        <w:t xml:space="preserve"> at 4, para. 8.</w:t>
      </w:r>
    </w:p>
  </w:footnote>
  <w:footnote w:id="5">
    <w:p w:rsidR="00B56C51" w:rsidRPr="00EA07FF" w:rsidP="00C816F0" w14:paraId="148C2333" w14:textId="77777777">
      <w:pPr>
        <w:pStyle w:val="FootnoteText"/>
      </w:pPr>
      <w:r w:rsidRPr="00EA07FF">
        <w:rPr>
          <w:rStyle w:val="FootnoteReference"/>
        </w:rPr>
        <w:footnoteRef/>
      </w:r>
      <w:r w:rsidRPr="00EA07FF">
        <w:t xml:space="preserve"> Petition for Reconsideration of the Land Mobile Communications Council, WP Docket No. 15-32 (filed December </w:t>
      </w:r>
      <w:r>
        <w:t>27</w:t>
      </w:r>
      <w:r w:rsidRPr="00EA07FF">
        <w:t>, 2018) (Petition</w:t>
      </w:r>
      <w:r w:rsidRPr="002F1304">
        <w:rPr>
          <w:color w:val="000000"/>
        </w:rPr>
        <w:t>).</w:t>
      </w:r>
      <w:r w:rsidRPr="002F1304">
        <w:rPr>
          <w:color w:val="000000"/>
          <w:shd w:val="clear" w:color="auto" w:fill="FFFFFF"/>
        </w:rPr>
        <w:t xml:space="preserve">  The LMCC is a nonprofit association of organizations that represent the wireless communications interests of public safety, critical infrastructure, business, industrial, transportation, private and common carriers, and manufacturers of wireless communications equipment</w:t>
      </w:r>
      <w:r w:rsidRPr="00EA07FF">
        <w:rPr>
          <w:color w:val="686868"/>
          <w:shd w:val="clear" w:color="auto" w:fill="FFFFFF"/>
        </w:rPr>
        <w:t>.</w:t>
      </w:r>
      <w:r w:rsidRPr="00EA07FF">
        <w:t xml:space="preserve"> </w:t>
      </w:r>
      <w:r>
        <w:t xml:space="preserve"> </w:t>
      </w:r>
      <w:r w:rsidRPr="00D1764F">
        <w:rPr>
          <w:i/>
        </w:rPr>
        <w:t>See</w:t>
      </w:r>
      <w:r>
        <w:t xml:space="preserve"> </w:t>
      </w:r>
      <w:r w:rsidRPr="00EA07FF">
        <w:t>Petition at 2.</w:t>
      </w:r>
    </w:p>
  </w:footnote>
  <w:footnote w:id="6">
    <w:p w:rsidR="00B56C51" w:rsidP="00C816F0" w14:paraId="5F2F1FA3" w14:textId="77777777">
      <w:pPr>
        <w:pStyle w:val="FootnoteText"/>
      </w:pPr>
      <w:r>
        <w:rPr>
          <w:rStyle w:val="FootnoteReference"/>
        </w:rPr>
        <w:footnoteRef/>
      </w:r>
      <w:r>
        <w:t xml:space="preserve"> </w:t>
      </w:r>
      <w:r>
        <w:rPr>
          <w:i/>
        </w:rPr>
        <w:t xml:space="preserve">See </w:t>
      </w:r>
      <w:r>
        <w:t>47 CFR §§ 90.7 (defining frequency coordination), 90.175 (setting forth frequency coordination requirements).</w:t>
      </w:r>
    </w:p>
  </w:footnote>
  <w:footnote w:id="7">
    <w:p w:rsidR="00B56C51" w:rsidRPr="00F21CC0" w:rsidP="00C816F0" w14:paraId="2DDD8E54" w14:textId="77777777">
      <w:pPr>
        <w:pStyle w:val="FootnoteText"/>
        <w:rPr>
          <w:iCs/>
        </w:rPr>
      </w:pPr>
      <w:r>
        <w:rPr>
          <w:rStyle w:val="FootnoteReference"/>
        </w:rPr>
        <w:footnoteRef/>
      </w:r>
      <w:r>
        <w:t xml:space="preserve"> </w:t>
      </w:r>
      <w:r w:rsidRPr="001D4833">
        <w:rPr>
          <w:i/>
        </w:rPr>
        <w:t>PLMR Report and Order</w:t>
      </w:r>
      <w:r>
        <w:rPr>
          <w:i/>
        </w:rPr>
        <w:t xml:space="preserve"> </w:t>
      </w:r>
      <w:r>
        <w:rPr>
          <w:iCs/>
        </w:rPr>
        <w:t>at 10332, para. 32.</w:t>
      </w:r>
    </w:p>
  </w:footnote>
  <w:footnote w:id="8">
    <w:p w:rsidR="00B56C51" w:rsidP="00C816F0" w14:paraId="27A9E563" w14:textId="77777777">
      <w:pPr>
        <w:pStyle w:val="FootnoteText"/>
      </w:pPr>
      <w:r>
        <w:rPr>
          <w:rStyle w:val="FootnoteReference"/>
        </w:rPr>
        <w:footnoteRef/>
      </w:r>
      <w:r>
        <w:t xml:space="preserve"> Petition at 3-4.</w:t>
      </w:r>
    </w:p>
  </w:footnote>
  <w:footnote w:id="9">
    <w:p w:rsidR="00B56C51" w:rsidRPr="0029567F" w:rsidP="00C816F0" w14:paraId="3BD1DBA2" w14:textId="77777777">
      <w:pPr>
        <w:pStyle w:val="FootnoteText"/>
      </w:pPr>
      <w:r>
        <w:rPr>
          <w:rStyle w:val="FootnoteReference"/>
        </w:rPr>
        <w:footnoteRef/>
      </w:r>
      <w:r>
        <w:t xml:space="preserve"> </w:t>
      </w:r>
      <w:r w:rsidRPr="0029567F">
        <w:rPr>
          <w:i/>
        </w:rPr>
        <w:t>See</w:t>
      </w:r>
      <w:r>
        <w:rPr>
          <w:i/>
        </w:rPr>
        <w:t xml:space="preserve"> PLMR Report and Order </w:t>
      </w:r>
      <w:r>
        <w:t>at 10235, para. 38.</w:t>
      </w:r>
    </w:p>
  </w:footnote>
  <w:footnote w:id="10">
    <w:p w:rsidR="00B56C51" w:rsidP="00C816F0" w14:paraId="7CE3B96E" w14:textId="77777777">
      <w:pPr>
        <w:pStyle w:val="FootnoteText"/>
      </w:pPr>
      <w:r>
        <w:rPr>
          <w:rStyle w:val="FootnoteReference"/>
        </w:rPr>
        <w:footnoteRef/>
      </w:r>
      <w:r>
        <w:t xml:space="preserve"> Petition at 6-7.</w:t>
      </w:r>
    </w:p>
  </w:footnote>
  <w:footnote w:id="11">
    <w:p w:rsidR="00B56C51" w:rsidRPr="005F2858" w:rsidP="00C816F0" w14:paraId="474D9A29" w14:textId="77777777">
      <w:pPr>
        <w:pStyle w:val="FootnoteText"/>
        <w:rPr>
          <w:i/>
        </w:rPr>
      </w:pPr>
      <w:r w:rsidRPr="00C0771A">
        <w:rPr>
          <w:rStyle w:val="FootnoteReference"/>
        </w:rPr>
        <w:footnoteRef/>
      </w:r>
      <w:r w:rsidRPr="005F2858">
        <w:rPr>
          <w:i/>
        </w:rPr>
        <w:t xml:space="preserve"> See PLMR </w:t>
      </w:r>
      <w:r w:rsidRPr="00B428B0">
        <w:rPr>
          <w:i/>
        </w:rPr>
        <w:t>Report</w:t>
      </w:r>
      <w:r w:rsidRPr="005F2858">
        <w:rPr>
          <w:i/>
        </w:rPr>
        <w:t xml:space="preserve"> and Order </w:t>
      </w:r>
      <w:r w:rsidRPr="00346F62">
        <w:rPr>
          <w:i/>
        </w:rPr>
        <w:t xml:space="preserve">at </w:t>
      </w:r>
      <w:r>
        <w:t xml:space="preserve">10235, </w:t>
      </w:r>
      <w:r w:rsidRPr="00930987">
        <w:t>para. 37.</w:t>
      </w:r>
    </w:p>
  </w:footnote>
  <w:footnote w:id="12">
    <w:p w:rsidR="00B56C51" w:rsidRPr="00F73C3A" w:rsidP="00C816F0" w14:paraId="071FF1A3" w14:textId="77777777">
      <w:pPr>
        <w:pStyle w:val="FootnoteText"/>
      </w:pPr>
      <w:r>
        <w:rPr>
          <w:rStyle w:val="FootnoteReference"/>
        </w:rPr>
        <w:footnoteRef/>
      </w:r>
      <w:r>
        <w:t xml:space="preserve"> </w:t>
      </w:r>
      <w:r w:rsidRPr="00553924">
        <w:rPr>
          <w:i/>
        </w:rPr>
        <w:t>See</w:t>
      </w:r>
      <w:r>
        <w:t xml:space="preserve"> </w:t>
      </w:r>
      <w:r w:rsidRPr="00932341">
        <w:rPr>
          <w:i/>
          <w:iCs/>
        </w:rPr>
        <w:t>id</w:t>
      </w:r>
      <w:r>
        <w:t>. at 10332, para. 5.</w:t>
      </w:r>
    </w:p>
  </w:footnote>
  <w:footnote w:id="13">
    <w:p w:rsidR="00B56C51" w:rsidP="00C816F0" w14:paraId="6F85AC6A" w14:textId="77777777">
      <w:pPr>
        <w:pStyle w:val="FootnoteText"/>
      </w:pPr>
      <w:r>
        <w:rPr>
          <w:rStyle w:val="FootnoteReference"/>
        </w:rPr>
        <w:footnoteRef/>
      </w:r>
      <w:r>
        <w:t xml:space="preserve"> 47 CFR § 90.621(b)(4).</w:t>
      </w:r>
    </w:p>
  </w:footnote>
  <w:footnote w:id="14">
    <w:p w:rsidR="00B56C51" w:rsidRPr="00F21CC0" w:rsidP="00C816F0" w14:paraId="7634532B" w14:textId="77777777">
      <w:pPr>
        <w:pStyle w:val="FootnoteText"/>
        <w:rPr>
          <w:iCs/>
        </w:rPr>
      </w:pPr>
      <w:r>
        <w:rPr>
          <w:rStyle w:val="FootnoteReference"/>
        </w:rPr>
        <w:footnoteRef/>
      </w:r>
      <w:r>
        <w:t xml:space="preserve"> </w:t>
      </w:r>
      <w:r>
        <w:rPr>
          <w:i/>
          <w:snapToGrid w:val="0"/>
        </w:rPr>
        <w:t xml:space="preserve">PLMR Report and Order </w:t>
      </w:r>
      <w:r>
        <w:rPr>
          <w:iCs/>
          <w:snapToGrid w:val="0"/>
        </w:rPr>
        <w:t>at 10234, para. 35.</w:t>
      </w:r>
    </w:p>
  </w:footnote>
  <w:footnote w:id="15">
    <w:p w:rsidR="00B56C51" w:rsidP="00C816F0" w14:paraId="506791C8" w14:textId="77777777">
      <w:pPr>
        <w:pStyle w:val="FootnoteText"/>
      </w:pPr>
      <w:r>
        <w:rPr>
          <w:rStyle w:val="FootnoteReference"/>
        </w:rPr>
        <w:footnoteRef/>
      </w:r>
      <w:r>
        <w:t xml:space="preserve"> </w:t>
      </w:r>
      <w:r>
        <w:rPr>
          <w:i/>
          <w:iCs/>
        </w:rPr>
        <w:t xml:space="preserve">Id. </w:t>
      </w:r>
      <w:r>
        <w:t xml:space="preserve">at 10236, para. 43.  </w:t>
      </w:r>
    </w:p>
  </w:footnote>
  <w:footnote w:id="16">
    <w:p w:rsidR="00B56C51" w:rsidRPr="00315AA3" w:rsidP="00C816F0" w14:paraId="3050748F" w14:textId="77777777">
      <w:pPr>
        <w:pStyle w:val="FootnoteText"/>
      </w:pPr>
      <w:r>
        <w:rPr>
          <w:rStyle w:val="FootnoteReference"/>
        </w:rPr>
        <w:footnoteRef/>
      </w:r>
      <w:r>
        <w:t xml:space="preserve"> Petition at 4; </w:t>
      </w:r>
      <w:r>
        <w:rPr>
          <w:i/>
          <w:iCs/>
        </w:rPr>
        <w:t>s</w:t>
      </w:r>
      <w:r w:rsidRPr="00315AA3">
        <w:rPr>
          <w:i/>
          <w:iCs/>
        </w:rPr>
        <w:t>ee</w:t>
      </w:r>
      <w:r>
        <w:t xml:space="preserve"> Attachment 2 hereto,</w:t>
      </w:r>
      <w:r w:rsidRPr="00315AA3">
        <w:rPr>
          <w:b/>
          <w:bCs/>
          <w:snapToGrid w:val="0"/>
          <w:kern w:val="28"/>
          <w:sz w:val="22"/>
        </w:rPr>
        <w:t xml:space="preserve"> </w:t>
      </w:r>
      <w:r w:rsidRPr="00315AA3">
        <w:rPr>
          <w:snapToGrid w:val="0"/>
          <w:kern w:val="28"/>
        </w:rPr>
        <w:t>47 CFR</w:t>
      </w:r>
      <w:r w:rsidRPr="00315AA3">
        <w:rPr>
          <w:b/>
          <w:bCs/>
          <w:snapToGrid w:val="0"/>
          <w:kern w:val="28"/>
        </w:rPr>
        <w:t xml:space="preserve"> </w:t>
      </w:r>
      <w:r w:rsidRPr="00315AA3">
        <w:t>§ 90.621</w:t>
      </w:r>
      <w:r>
        <w:t>.</w:t>
      </w:r>
    </w:p>
  </w:footnote>
  <w:footnote w:id="17">
    <w:p w:rsidR="00B56C51" w:rsidP="00C816F0" w14:paraId="19944FB1" w14:textId="77777777">
      <w:pPr>
        <w:pStyle w:val="FootnoteText"/>
      </w:pPr>
      <w:r>
        <w:rPr>
          <w:rStyle w:val="FootnoteReference"/>
        </w:rPr>
        <w:footnoteRef/>
      </w:r>
      <w:r>
        <w:t xml:space="preserve"> </w:t>
      </w:r>
      <w:r w:rsidRPr="000321FD">
        <w:rPr>
          <w:i/>
          <w:iCs/>
        </w:rPr>
        <w:t>Id.</w:t>
      </w:r>
    </w:p>
  </w:footnote>
  <w:footnote w:id="18">
    <w:p w:rsidR="00B56C51" w:rsidP="00C816F0" w14:paraId="69C2068D" w14:textId="77777777">
      <w:pPr>
        <w:pStyle w:val="FootnoteText"/>
      </w:pPr>
      <w:r>
        <w:rPr>
          <w:rStyle w:val="FootnoteReference"/>
        </w:rPr>
        <w:footnoteRef/>
      </w:r>
      <w:r>
        <w:t xml:space="preserve"> </w:t>
      </w:r>
      <w:r w:rsidRPr="00941072">
        <w:t>Petition at 5</w:t>
      </w:r>
      <w:r>
        <w:t>.</w:t>
      </w:r>
    </w:p>
  </w:footnote>
  <w:footnote w:id="19">
    <w:p w:rsidR="00B56C51" w:rsidRPr="00877EBD" w:rsidP="00C816F0" w14:paraId="5382337A" w14:textId="77777777">
      <w:pPr>
        <w:spacing w:after="120"/>
        <w:rPr>
          <w:sz w:val="20"/>
        </w:rPr>
      </w:pPr>
      <w:r>
        <w:rPr>
          <w:rStyle w:val="FootnoteReference"/>
        </w:rPr>
        <w:footnoteRef/>
      </w:r>
      <w:r>
        <w:t xml:space="preserve"> </w:t>
      </w:r>
      <w:r w:rsidRPr="000321FD">
        <w:rPr>
          <w:i/>
          <w:iCs/>
          <w:sz w:val="20"/>
        </w:rPr>
        <w:t xml:space="preserve">See </w:t>
      </w:r>
      <w:r>
        <w:rPr>
          <w:i/>
          <w:sz w:val="20"/>
        </w:rPr>
        <w:t xml:space="preserve">Application of </w:t>
      </w:r>
      <w:r w:rsidRPr="00E15218">
        <w:rPr>
          <w:rFonts w:eastAsia="Calibri"/>
          <w:i/>
          <w:snapToGrid/>
          <w:color w:val="242021"/>
          <w:kern w:val="0"/>
          <w:sz w:val="20"/>
        </w:rPr>
        <w:t>City Coll</w:t>
      </w:r>
      <w:r>
        <w:rPr>
          <w:rFonts w:eastAsia="Calibri"/>
          <w:i/>
          <w:snapToGrid/>
          <w:color w:val="242021"/>
          <w:kern w:val="0"/>
          <w:sz w:val="20"/>
        </w:rPr>
        <w:t>ege</w:t>
      </w:r>
      <w:r w:rsidRPr="00E15218">
        <w:rPr>
          <w:rFonts w:eastAsia="Calibri"/>
          <w:i/>
          <w:snapToGrid/>
          <w:color w:val="242021"/>
          <w:kern w:val="0"/>
          <w:sz w:val="20"/>
        </w:rPr>
        <w:t xml:space="preserve"> of New York, New York</w:t>
      </w:r>
      <w:r w:rsidRPr="00E15218">
        <w:rPr>
          <w:rFonts w:eastAsia="Calibri"/>
          <w:snapToGrid/>
          <w:color w:val="242021"/>
          <w:kern w:val="0"/>
          <w:sz w:val="20"/>
        </w:rPr>
        <w:t xml:space="preserve">, </w:t>
      </w:r>
      <w:r>
        <w:rPr>
          <w:rFonts w:eastAsia="Calibri"/>
          <w:snapToGrid/>
          <w:color w:val="242021"/>
          <w:kern w:val="0"/>
          <w:sz w:val="20"/>
        </w:rPr>
        <w:t xml:space="preserve">Order on Reconsideration, </w:t>
      </w:r>
      <w:r w:rsidRPr="00E15218">
        <w:rPr>
          <w:rFonts w:eastAsia="Calibri"/>
          <w:snapToGrid/>
          <w:color w:val="242021"/>
          <w:kern w:val="0"/>
          <w:sz w:val="20"/>
        </w:rPr>
        <w:t>79 FCC</w:t>
      </w:r>
      <w:r>
        <w:rPr>
          <w:rFonts w:eastAsia="Calibri"/>
          <w:snapToGrid/>
          <w:color w:val="242021"/>
          <w:kern w:val="0"/>
          <w:sz w:val="20"/>
        </w:rPr>
        <w:t xml:space="preserve"> </w:t>
      </w:r>
      <w:r w:rsidRPr="00E15218">
        <w:rPr>
          <w:rFonts w:eastAsia="Calibri"/>
          <w:snapToGrid/>
          <w:color w:val="242021"/>
          <w:kern w:val="0"/>
          <w:sz w:val="20"/>
        </w:rPr>
        <w:t>2d 385, 386</w:t>
      </w:r>
      <w:r>
        <w:rPr>
          <w:rFonts w:eastAsia="Calibri"/>
          <w:snapToGrid/>
          <w:color w:val="242021"/>
          <w:kern w:val="0"/>
          <w:sz w:val="20"/>
        </w:rPr>
        <w:t>, para. 3</w:t>
      </w:r>
      <w:r w:rsidRPr="00E15218">
        <w:rPr>
          <w:rFonts w:eastAsia="Calibri"/>
          <w:snapToGrid/>
          <w:color w:val="242021"/>
          <w:kern w:val="0"/>
          <w:sz w:val="20"/>
        </w:rPr>
        <w:t xml:space="preserve"> (1980)</w:t>
      </w:r>
      <w:r>
        <w:rPr>
          <w:rFonts w:eastAsia="Calibri"/>
          <w:snapToGrid/>
          <w:color w:val="242021"/>
          <w:kern w:val="0"/>
          <w:sz w:val="20"/>
        </w:rPr>
        <w:t xml:space="preserve"> (stating that </w:t>
      </w:r>
      <w:r w:rsidRPr="00E15218">
        <w:rPr>
          <w:sz w:val="20"/>
        </w:rPr>
        <w:t>“if the distances involved are below 10 miles, it is necessary to use the </w:t>
      </w:r>
      <w:r w:rsidRPr="00E15218">
        <w:rPr>
          <w:bCs/>
          <w:sz w:val="20"/>
        </w:rPr>
        <w:t>F</w:t>
      </w:r>
      <w:r w:rsidRPr="00E15218">
        <w:rPr>
          <w:sz w:val="20"/>
        </w:rPr>
        <w:t>(</w:t>
      </w:r>
      <w:r w:rsidRPr="00E15218">
        <w:rPr>
          <w:bCs/>
          <w:sz w:val="20"/>
        </w:rPr>
        <w:t>50</w:t>
      </w:r>
      <w:r w:rsidRPr="00E15218">
        <w:rPr>
          <w:sz w:val="20"/>
        </w:rPr>
        <w:t>,</w:t>
      </w:r>
      <w:r w:rsidRPr="00E15218">
        <w:rPr>
          <w:bCs/>
          <w:sz w:val="20"/>
        </w:rPr>
        <w:t>50</w:t>
      </w:r>
      <w:r w:rsidRPr="00E15218">
        <w:rPr>
          <w:sz w:val="20"/>
        </w:rPr>
        <w:t>) curves to determine the signal strength of the undesired signal”</w:t>
      </w:r>
      <w:r>
        <w:rPr>
          <w:sz w:val="20"/>
        </w:rPr>
        <w:t>)</w:t>
      </w:r>
      <w:r w:rsidRPr="00E15218">
        <w:rPr>
          <w:rFonts w:eastAsia="Calibri"/>
          <w:snapToGrid/>
          <w:color w:val="242021"/>
          <w:kern w:val="0"/>
          <w:sz w:val="20"/>
        </w:rPr>
        <w:t>.</w:t>
      </w:r>
      <w:r w:rsidRPr="00E15218">
        <w:rPr>
          <w:sz w:val="20"/>
        </w:rPr>
        <w:t xml:space="preserve">  </w:t>
      </w:r>
      <w:r>
        <w:rPr>
          <w:sz w:val="20"/>
        </w:rPr>
        <w:t xml:space="preserve">  </w:t>
      </w:r>
    </w:p>
  </w:footnote>
  <w:footnote w:id="20">
    <w:p w:rsidR="00B56C51" w:rsidP="00C816F0" w14:paraId="44FDAA82" w14:textId="77777777">
      <w:pPr>
        <w:pStyle w:val="FootnoteText"/>
      </w:pPr>
      <w:r>
        <w:rPr>
          <w:rStyle w:val="FootnoteReference"/>
        </w:rPr>
        <w:footnoteRef/>
      </w:r>
      <w:r>
        <w:t xml:space="preserve"> Moreover, requiring use of interference contours will not impede coordination at shorter distances in this case.  As shown in Attachment 1 hereto, interference and coverage contours for 800 MHz systems converge at 15 kilometers and thus will produce the same results from 15 kilometers to 1.5 kilometers.  For coordination of stations less than 1.5 kilometers apart, free-space propagation is typically employed for interference prediction because neither contour method generates values at such short distances.   </w:t>
      </w:r>
    </w:p>
  </w:footnote>
  <w:footnote w:id="21">
    <w:p w:rsidR="00B56C51" w:rsidRPr="00CC1D5B" w:rsidP="00C816F0" w14:paraId="5283193D" w14:textId="77777777">
      <w:pPr>
        <w:pStyle w:val="FootnoteText"/>
      </w:pPr>
      <w:r>
        <w:rPr>
          <w:rStyle w:val="FootnoteReference"/>
        </w:rPr>
        <w:footnoteRef/>
      </w:r>
      <w:r>
        <w:t xml:space="preserve"> LMCC’s proposal is opposed by one commenter, Iota Communications, Inc. (Iota), on the grounds that it </w:t>
      </w:r>
      <w:r w:rsidRPr="00F72DCC">
        <w:t xml:space="preserve">could </w:t>
      </w:r>
      <w:r>
        <w:t>“</w:t>
      </w:r>
      <w:r w:rsidRPr="00F72DCC">
        <w:t>block an incumbent from expanding or changing its service contour once the new application is granted.</w:t>
      </w:r>
      <w:r>
        <w:t xml:space="preserve">”  </w:t>
      </w:r>
      <w:r w:rsidRPr="00F72DCC">
        <w:t>Iota Communications, Inc. Opposition to the Petition for Reconsideration Filed by LMCC in the Above Referenced Proceeding</w:t>
      </w:r>
      <w:r>
        <w:t>, Feb. 7, 2019.  Because we decline to adopt LMCC’s proposal based on its potential to lead to increased interference, Iota’s objection is moot and not further addressed herein.</w:t>
      </w:r>
    </w:p>
  </w:footnote>
  <w:footnote w:id="22">
    <w:p w:rsidR="00B56C51" w:rsidRPr="00FF5E32" w:rsidP="00C816F0" w14:paraId="0A6C151A" w14:textId="77777777">
      <w:pPr>
        <w:pStyle w:val="FootnoteText"/>
      </w:pPr>
      <w:r>
        <w:rPr>
          <w:rStyle w:val="FootnoteReference"/>
        </w:rPr>
        <w:footnoteRef/>
      </w:r>
      <w:r>
        <w:t xml:space="preserve"> Letter to Marlene H. Dortch, Secretary, Federal Communications Commission, from David B. Smith, President, LMCC, </w:t>
      </w:r>
      <w:r w:rsidRPr="00292FF2">
        <w:t>March 21, 2019</w:t>
      </w:r>
      <w:r>
        <w:t>.</w:t>
      </w:r>
    </w:p>
  </w:footnote>
  <w:footnote w:id="23">
    <w:p w:rsidR="00B56C51" w:rsidP="00C816F0" w14:paraId="6F72350C" w14:textId="77777777">
      <w:pPr>
        <w:pStyle w:val="FootnoteText"/>
      </w:pPr>
      <w:r>
        <w:rPr>
          <w:rStyle w:val="FootnoteReference"/>
        </w:rPr>
        <w:footnoteRef/>
      </w:r>
      <w:r>
        <w:t xml:space="preserve"> </w:t>
      </w:r>
      <w:r>
        <w:rPr>
          <w:i/>
          <w:iCs/>
        </w:rPr>
        <w:t>Id.</w:t>
      </w:r>
    </w:p>
  </w:footnote>
  <w:footnote w:id="24">
    <w:p w:rsidR="00B56C51" w:rsidP="00C816F0" w14:paraId="0B6A0CD1" w14:textId="77777777">
      <w:pPr>
        <w:pStyle w:val="FootnoteText"/>
      </w:pPr>
      <w:r>
        <w:rPr>
          <w:rStyle w:val="FootnoteReference"/>
        </w:rPr>
        <w:footnoteRef/>
      </w:r>
      <w:r>
        <w:t xml:space="preserve"> Whereas the</w:t>
      </w:r>
      <w:r w:rsidRPr="007047D3">
        <w:rPr>
          <w:i/>
          <w:snapToGrid w:val="0"/>
          <w:kern w:val="28"/>
          <w:sz w:val="22"/>
        </w:rPr>
        <w:t xml:space="preserve"> </w:t>
      </w:r>
      <w:r w:rsidRPr="007047D3">
        <w:rPr>
          <w:i/>
        </w:rPr>
        <w:t>PLMR Report and Order</w:t>
      </w:r>
      <w:r>
        <w:t xml:space="preserve"> contained the matrix with the derating factors only in the body of the text of the order and not in the rules, we now include it for convenient reference in both Attachment 2 to this order and in the rules that will appear in the Code of Federal Regulations.  </w:t>
      </w:r>
    </w:p>
  </w:footnote>
  <w:footnote w:id="25">
    <w:p w:rsidR="00B56C51" w:rsidP="00C816F0" w14:paraId="7E7A6059" w14:textId="77777777">
      <w:pPr>
        <w:pStyle w:val="FootnoteText"/>
      </w:pPr>
      <w:r>
        <w:rPr>
          <w:rStyle w:val="FootnoteReference"/>
        </w:rPr>
        <w:footnoteRef/>
      </w:r>
      <w:r>
        <w:t xml:space="preserve"> See </w:t>
      </w:r>
      <w:r w:rsidRPr="007047D3">
        <w:rPr>
          <w:i/>
        </w:rPr>
        <w:t>PLMR Report and Order</w:t>
      </w:r>
      <w:r>
        <w:t xml:space="preserve"> at 10228 Appendix B (Final Rules).</w:t>
      </w:r>
    </w:p>
  </w:footnote>
  <w:footnote w:id="26">
    <w:p w:rsidR="00B56C51" w:rsidP="00C816F0" w14:paraId="37CF3FE7" w14:textId="77777777">
      <w:pPr>
        <w:pStyle w:val="FootnoteText"/>
      </w:pPr>
      <w:r>
        <w:rPr>
          <w:rStyle w:val="FootnoteReference"/>
        </w:rPr>
        <w:footnoteRef/>
      </w:r>
      <w:r>
        <w:t xml:space="preserve"> </w:t>
      </w:r>
      <w:r w:rsidRPr="00D71F13">
        <w:rPr>
          <w:i/>
        </w:rPr>
        <w:t>See</w:t>
      </w:r>
      <w:r>
        <w:t xml:space="preserve"> </w:t>
      </w:r>
      <w:r w:rsidRPr="00D71F13">
        <w:rPr>
          <w:i/>
        </w:rPr>
        <w:t>PLMR Report and Order</w:t>
      </w:r>
      <w:r>
        <w:t xml:space="preserve"> at </w:t>
      </w:r>
      <w:r w:rsidRPr="00FC4EEA">
        <w:t>10235</w:t>
      </w:r>
      <w:r>
        <w:t>, para. 37.</w:t>
      </w:r>
    </w:p>
  </w:footnote>
  <w:footnote w:id="27">
    <w:p w:rsidR="00B56C51" w:rsidP="00C816F0" w14:paraId="24D34747" w14:textId="77777777">
      <w:pPr>
        <w:pStyle w:val="FootnoteText"/>
      </w:pPr>
      <w:r>
        <w:rPr>
          <w:rStyle w:val="FootnoteReference"/>
        </w:rPr>
        <w:footnoteRef/>
      </w:r>
      <w:r>
        <w:t xml:space="preserve"> Petition at 5-6; </w:t>
      </w:r>
      <w:r w:rsidRPr="001E03BF">
        <w:rPr>
          <w:i/>
        </w:rPr>
        <w:t>id.</w:t>
      </w:r>
      <w:r>
        <w:t xml:space="preserve"> at 8 (asking the Commission to revise the last sentence of section 90.621(d)(2) to provide that “[t]he incumbent’s interference contour is determined using the </w:t>
      </w:r>
      <w:r>
        <w:t>dBu</w:t>
      </w:r>
      <w:r>
        <w:t xml:space="preserve"> level listed in the appropriate table on the Land Mobile Communications Council (LMCC) website:  http://lmcc.org/policy-advocacy/consensus-filings”).</w:t>
      </w:r>
    </w:p>
  </w:footnote>
  <w:footnote w:id="28">
    <w:p w:rsidR="00B56C51" w:rsidP="00C816F0" w14:paraId="586237C6" w14:textId="77777777">
      <w:pPr>
        <w:pStyle w:val="FootnoteText"/>
      </w:pPr>
      <w:r>
        <w:rPr>
          <w:rStyle w:val="FootnoteReference"/>
        </w:rPr>
        <w:footnoteRef/>
      </w:r>
      <w:r>
        <w:t xml:space="preserve"> </w:t>
      </w:r>
      <w:r w:rsidRPr="001E03BF">
        <w:rPr>
          <w:i/>
        </w:rPr>
        <w:t>Id.</w:t>
      </w:r>
      <w:r>
        <w:t xml:space="preserve"> at 8.</w:t>
      </w:r>
    </w:p>
  </w:footnote>
  <w:footnote w:id="29">
    <w:p w:rsidR="00B56C51" w:rsidP="00C816F0" w14:paraId="4B027D9F" w14:textId="77777777">
      <w:pPr>
        <w:pStyle w:val="FootnoteText"/>
      </w:pPr>
      <w:r>
        <w:rPr>
          <w:rStyle w:val="FootnoteReference"/>
        </w:rPr>
        <w:footnoteRef/>
      </w:r>
      <w:r>
        <w:t xml:space="preserve"> </w:t>
      </w:r>
      <w:r w:rsidRPr="001E03BF">
        <w:rPr>
          <w:i/>
        </w:rPr>
        <w:t>Id.</w:t>
      </w:r>
      <w:r w:rsidRPr="00E449D4">
        <w:t xml:space="preserve"> at 5</w:t>
      </w:r>
      <w:r>
        <w:t>-6</w:t>
      </w:r>
      <w:r w:rsidRPr="00E449D4">
        <w:t xml:space="preserve"> (</w:t>
      </w:r>
      <w:r>
        <w:t>“</w:t>
      </w:r>
      <w:r w:rsidRPr="00E449D4">
        <w:t>[</w:t>
      </w:r>
      <w:r w:rsidRPr="00E449D4">
        <w:t>i</w:t>
      </w:r>
      <w:r w:rsidRPr="00E449D4">
        <w:t>]</w:t>
      </w:r>
      <w:r w:rsidRPr="00E449D4">
        <w:t>ncluding</w:t>
      </w:r>
      <w:r w:rsidRPr="00E449D4">
        <w:t xml:space="preserve"> the matrix in the rules would require a rulemaking proceeding each time equipment changes were made, thereby delaying the time at which such equipment could be used by applicants whose proposed systems require a contour analysis</w:t>
      </w:r>
      <w:r>
        <w:t>”</w:t>
      </w:r>
      <w:r w:rsidRPr="00E449D4">
        <w:t>)</w:t>
      </w:r>
      <w:r>
        <w:t xml:space="preserve">; </w:t>
      </w:r>
      <w:r w:rsidRPr="000D5ACF">
        <w:rPr>
          <w:i/>
        </w:rPr>
        <w:t>id.</w:t>
      </w:r>
      <w:r>
        <w:t xml:space="preserve"> at 9 (stating that incorporating the interference contour matrix into the rules “would make [it] difficult to update in a timely fashion in response to experience or changes in technology and equipment” and that “the PLMR community would be unnecessarily handicapped by having to wait for adoption of a rule change in the coordination process”)</w:t>
      </w:r>
      <w:r w:rsidRPr="00E449D4">
        <w:t>.</w:t>
      </w:r>
    </w:p>
  </w:footnote>
  <w:footnote w:id="30">
    <w:p w:rsidR="00B56C51" w:rsidP="00C816F0" w14:paraId="399A1CAC" w14:textId="77777777">
      <w:pPr>
        <w:pStyle w:val="FootnoteText"/>
      </w:pPr>
      <w:r>
        <w:rPr>
          <w:rStyle w:val="FootnoteReference"/>
        </w:rPr>
        <w:footnoteRef/>
      </w:r>
      <w:r>
        <w:t xml:space="preserve"> </w:t>
      </w:r>
      <w:r w:rsidRPr="00D71F13">
        <w:rPr>
          <w:i/>
        </w:rPr>
        <w:t>PLMR Report and Order</w:t>
      </w:r>
      <w:r>
        <w:t xml:space="preserve"> at 10235, para. 37.</w:t>
      </w:r>
    </w:p>
  </w:footnote>
  <w:footnote w:id="31">
    <w:p w:rsidR="00B56C51" w:rsidRPr="00862868" w:rsidP="00C816F0" w14:paraId="684AB924" w14:textId="77777777">
      <w:pPr>
        <w:pStyle w:val="FootnoteText"/>
      </w:pPr>
      <w:r w:rsidRPr="004C6202">
        <w:rPr>
          <w:rStyle w:val="FootnoteReference"/>
        </w:rPr>
        <w:footnoteRef/>
      </w:r>
      <w:r w:rsidRPr="004C6202">
        <w:t xml:space="preserve"> </w:t>
      </w:r>
      <w:r w:rsidRPr="00681E13">
        <w:rPr>
          <w:i/>
        </w:rPr>
        <w:t>See</w:t>
      </w:r>
      <w:r>
        <w:t xml:space="preserve"> 5 U.S.C. § 553(b)(B) (notice-and-comment procedures); </w:t>
      </w:r>
      <w:r w:rsidRPr="00B84A7B">
        <w:rPr>
          <w:i/>
        </w:rPr>
        <w:t xml:space="preserve">U.S. Telecom </w:t>
      </w:r>
      <w:r w:rsidRPr="00B84A7B">
        <w:rPr>
          <w:i/>
        </w:rPr>
        <w:t>Ass’n</w:t>
      </w:r>
      <w:r w:rsidRPr="00B84A7B">
        <w:rPr>
          <w:i/>
        </w:rPr>
        <w:t xml:space="preserve"> v. FCC</w:t>
      </w:r>
      <w:r>
        <w:t xml:space="preserve">, 359 F.3d 554, 556 (D.C. Cir. 2004) (holding that “while federal agency officials may subdelegate their decision-making authority to subordinates absent evidence of contrary congressional intent, they may not subdelegate to outside entities—private or sovereign—absent affirmative evidence of authority to do so”); </w:t>
      </w:r>
      <w:r>
        <w:rPr>
          <w:i/>
        </w:rPr>
        <w:t>c</w:t>
      </w:r>
      <w:r w:rsidRPr="002810C2">
        <w:rPr>
          <w:i/>
        </w:rPr>
        <w:t>f</w:t>
      </w:r>
      <w:r w:rsidRPr="004C6202">
        <w:t xml:space="preserve">. </w:t>
      </w:r>
      <w:r>
        <w:t>1</w:t>
      </w:r>
      <w:r w:rsidRPr="004C6202">
        <w:t xml:space="preserve"> CFR § 1.51.1(f) </w:t>
      </w:r>
      <w:r>
        <w:t>(</w:t>
      </w:r>
      <w:r w:rsidRPr="004C6202">
        <w:t>stating that future amendments or revisions to standards incorporated by reference by the Commission are not allowed</w:t>
      </w:r>
      <w:r>
        <w:t xml:space="preserve">); </w:t>
      </w:r>
      <w:r>
        <w:rPr>
          <w:i/>
        </w:rPr>
        <w:t>s</w:t>
      </w:r>
      <w:r w:rsidRPr="002810C2">
        <w:rPr>
          <w:i/>
        </w:rPr>
        <w:t>ee also</w:t>
      </w:r>
      <w:r w:rsidRPr="004C6202">
        <w:rPr>
          <w:i/>
        </w:rPr>
        <w:t xml:space="preserve"> </w:t>
      </w:r>
      <w:r>
        <w:t xml:space="preserve">Administrative Conference of the United States, Adoption of Recommendations, 77 Fed. Reg. 2257, 2257-59 (Jan. 17, 2012); Emily S. </w:t>
      </w:r>
      <w:r w:rsidRPr="002810C2">
        <w:rPr>
          <w:rFonts w:eastAsia="Calibri"/>
        </w:rPr>
        <w:t xml:space="preserve">Bremer, Incorporation by Reference in an Open-Government Age, 36 </w:t>
      </w:r>
      <w:r w:rsidRPr="002810C2">
        <w:rPr>
          <w:rFonts w:eastAsia="Calibri"/>
        </w:rPr>
        <w:t>Harv</w:t>
      </w:r>
      <w:r w:rsidRPr="002810C2">
        <w:rPr>
          <w:rFonts w:eastAsia="Calibri"/>
        </w:rPr>
        <w:t>. J</w:t>
      </w:r>
      <w:r>
        <w:rPr>
          <w:rFonts w:eastAsia="Calibri"/>
        </w:rPr>
        <w:t>.</w:t>
      </w:r>
      <w:r w:rsidRPr="002810C2">
        <w:rPr>
          <w:rFonts w:eastAsia="Calibri"/>
        </w:rPr>
        <w:t>L</w:t>
      </w:r>
      <w:r>
        <w:rPr>
          <w:rFonts w:eastAsia="Calibri"/>
        </w:rPr>
        <w:t>.</w:t>
      </w:r>
      <w:r w:rsidRPr="002810C2">
        <w:rPr>
          <w:rFonts w:eastAsia="Calibri"/>
        </w:rPr>
        <w:t xml:space="preserve"> &amp; Pub. </w:t>
      </w:r>
      <w:r w:rsidRPr="002810C2">
        <w:rPr>
          <w:rFonts w:eastAsia="Calibri"/>
        </w:rPr>
        <w:t>Pol</w:t>
      </w:r>
      <w:r>
        <w:rPr>
          <w:rFonts w:eastAsia="Calibri"/>
        </w:rPr>
        <w:t>’y</w:t>
      </w:r>
      <w:r w:rsidRPr="002810C2">
        <w:rPr>
          <w:rFonts w:eastAsia="Calibri"/>
        </w:rPr>
        <w:t xml:space="preserve"> 131, 184 (2013) (noting that when a more recent rev</w:t>
      </w:r>
      <w:r>
        <w:rPr>
          <w:rFonts w:eastAsia="Calibri"/>
        </w:rPr>
        <w:t>ision</w:t>
      </w:r>
      <w:r w:rsidRPr="002810C2">
        <w:rPr>
          <w:rFonts w:eastAsia="Calibri"/>
        </w:rPr>
        <w:t xml:space="preserve"> of material incorporated by reference becomes available “the agency must conduct a rulemaking to update its regulation to reflect the change”)</w:t>
      </w:r>
      <w:r>
        <w:rPr>
          <w:rFonts w:eastAsia="Calibri"/>
        </w:rPr>
        <w:t xml:space="preserve">. </w:t>
      </w:r>
    </w:p>
  </w:footnote>
  <w:footnote w:id="32">
    <w:p w:rsidR="00B56C51" w:rsidP="00C816F0" w14:paraId="15AD7EEF" w14:textId="77777777">
      <w:pPr>
        <w:pStyle w:val="FootnoteText"/>
      </w:pPr>
      <w:r>
        <w:rPr>
          <w:rStyle w:val="FootnoteReference"/>
        </w:rPr>
        <w:footnoteRef/>
      </w:r>
      <w:r>
        <w:t xml:space="preserve"> </w:t>
      </w:r>
      <w:r w:rsidRPr="00AA1EB6">
        <w:rPr>
          <w:i/>
        </w:rPr>
        <w:t>Replacement of Part 90</w:t>
      </w:r>
      <w:r>
        <w:t xml:space="preserve">, Order on Reconsideration, </w:t>
      </w:r>
      <w:r w:rsidRPr="00AA1EB6">
        <w:t xml:space="preserve">11 FCC </w:t>
      </w:r>
      <w:r w:rsidRPr="00AA1EB6">
        <w:t>Rcd</w:t>
      </w:r>
      <w:r w:rsidRPr="00AA1EB6">
        <w:t xml:space="preserve"> 17676</w:t>
      </w:r>
      <w:r>
        <w:t>,</w:t>
      </w:r>
      <w:r w:rsidRPr="00AA1EB6">
        <w:t> </w:t>
      </w:r>
      <w:r>
        <w:t xml:space="preserve">17713 </w:t>
      </w:r>
      <w:r>
        <w:t>para</w:t>
      </w:r>
      <w:r>
        <w:t>. 95 (1996). (prediction of interference “</w:t>
      </w:r>
      <w:r w:rsidRPr="000321FD">
        <w:rPr>
          <w:color w:val="3D3D3D"/>
          <w:shd w:val="clear" w:color="auto" w:fill="FFFFFF"/>
        </w:rPr>
        <w:t>based upon generally-accepted terrain-based propagation models</w:t>
      </w:r>
      <w:r>
        <w:rPr>
          <w:color w:val="3D3D3D"/>
          <w:shd w:val="clear" w:color="auto" w:fill="FFFFFF"/>
        </w:rPr>
        <w:t>”).</w:t>
      </w:r>
    </w:p>
  </w:footnote>
  <w:footnote w:id="33">
    <w:p w:rsidR="00B56C51" w:rsidP="00C816F0" w14:paraId="3BEB5D08" w14:textId="77777777">
      <w:pPr>
        <w:pStyle w:val="FootnoteText"/>
      </w:pPr>
      <w:r>
        <w:rPr>
          <w:rStyle w:val="FootnoteReference"/>
        </w:rPr>
        <w:footnoteRef/>
      </w:r>
      <w:r>
        <w:t xml:space="preserve"> 47 CFR § 90.621(b)(4).</w:t>
      </w:r>
    </w:p>
  </w:footnote>
  <w:footnote w:id="34">
    <w:p w:rsidR="00B56C51" w:rsidP="00C816F0" w14:paraId="4F5CDD50" w14:textId="77777777">
      <w:pPr>
        <w:pStyle w:val="FootnoteText"/>
      </w:pPr>
      <w:r>
        <w:rPr>
          <w:rStyle w:val="FootnoteReference"/>
        </w:rPr>
        <w:footnoteRef/>
      </w:r>
      <w:r>
        <w:t xml:space="preserve"> Petition at 7.  </w:t>
      </w:r>
    </w:p>
  </w:footnote>
  <w:footnote w:id="35">
    <w:p w:rsidR="00B56C51" w:rsidP="00C816F0" w14:paraId="38A324FF" w14:textId="77777777">
      <w:pPr>
        <w:pStyle w:val="FootnoteText"/>
      </w:pPr>
      <w:r>
        <w:rPr>
          <w:rStyle w:val="FootnoteReference"/>
        </w:rPr>
        <w:footnoteRef/>
      </w:r>
      <w:r>
        <w:t xml:space="preserve"> Petition at 7 (table).</w:t>
      </w:r>
    </w:p>
  </w:footnote>
  <w:footnote w:id="36">
    <w:p w:rsidR="00B56C51" w:rsidP="00C816F0" w14:paraId="65CF29CB" w14:textId="77777777">
      <w:pPr>
        <w:pStyle w:val="FootnoteText"/>
      </w:pPr>
      <w:r>
        <w:rPr>
          <w:rStyle w:val="FootnoteReference"/>
        </w:rPr>
        <w:footnoteRef/>
      </w:r>
      <w:r>
        <w:t xml:space="preserve"> 47 U.S.C. §</w:t>
      </w:r>
      <w:r w:rsidRPr="00854E15">
        <w:t>553(b)(3)(</w:t>
      </w:r>
      <w:r>
        <w:t>B</w:t>
      </w:r>
      <w:r w:rsidRPr="00854E15">
        <w:t>)</w:t>
      </w:r>
      <w:r>
        <w:t>.</w:t>
      </w:r>
    </w:p>
  </w:footnote>
  <w:footnote w:id="37">
    <w:p w:rsidR="00B56C51" w:rsidP="00C816F0" w14:paraId="578344CF" w14:textId="77777777">
      <w:pPr>
        <w:pStyle w:val="FootnoteText"/>
      </w:pPr>
      <w:r>
        <w:rPr>
          <w:rStyle w:val="FootnoteReference"/>
        </w:rPr>
        <w:footnoteRef/>
      </w:r>
      <w:r>
        <w:t xml:space="preserve"> </w:t>
      </w:r>
      <w:r w:rsidRPr="00854E15">
        <w:rPr>
          <w:i/>
        </w:rPr>
        <w:t>Id.</w:t>
      </w:r>
    </w:p>
  </w:footnote>
  <w:footnote w:id="38">
    <w:p w:rsidR="00B56C51" w:rsidRPr="00992DB7" w:rsidP="00C816F0" w14:paraId="61F3A0E6" w14:textId="77777777">
      <w:pPr>
        <w:pStyle w:val="FootnoteText"/>
      </w:pPr>
      <w:r>
        <w:rPr>
          <w:rStyle w:val="FootnoteReference"/>
        </w:rPr>
        <w:footnoteRef/>
      </w:r>
      <w:r>
        <w:t xml:space="preserve"> </w:t>
      </w:r>
      <w:r w:rsidRPr="00604AAE">
        <w:rPr>
          <w:i/>
        </w:rPr>
        <w:t>See</w:t>
      </w:r>
      <w:r w:rsidRPr="00F341EC">
        <w:rPr>
          <w:i/>
          <w:iCs/>
          <w:snapToGrid w:val="0"/>
          <w:kern w:val="28"/>
        </w:rPr>
        <w:t xml:space="preserve"> Nat’l Helium Corp. v. Fed. Energy Admin.</w:t>
      </w:r>
      <w:r w:rsidRPr="00F341EC">
        <w:rPr>
          <w:snapToGrid w:val="0"/>
          <w:kern w:val="28"/>
        </w:rPr>
        <w:t>, 569 F.2d 1137, 1146 (Temp. Emer. Ct. App. 1977).</w:t>
      </w:r>
    </w:p>
  </w:footnote>
  <w:footnote w:id="39">
    <w:p w:rsidR="00B56C51" w:rsidP="00C816F0" w14:paraId="5A708061" w14:textId="77777777">
      <w:pPr>
        <w:pStyle w:val="FootnoteText"/>
      </w:pPr>
      <w:r>
        <w:rPr>
          <w:rStyle w:val="FootnoteReference"/>
        </w:rPr>
        <w:footnoteRef/>
      </w:r>
      <w:r>
        <w:t xml:space="preserve"> </w:t>
      </w:r>
      <w:r w:rsidRPr="00952A01">
        <w:rPr>
          <w:i/>
        </w:rPr>
        <w:t>See</w:t>
      </w:r>
      <w:r>
        <w:t xml:space="preserve"> 47 CFR §§</w:t>
      </w:r>
      <w:r w:rsidRPr="00172D1A">
        <w:t xml:space="preserve"> 90.6</w:t>
      </w:r>
      <w:r>
        <w:t>17</w:t>
      </w:r>
      <w:r w:rsidRPr="00172D1A">
        <w:t>(</w:t>
      </w:r>
      <w:r>
        <w:t>b</w:t>
      </w:r>
      <w:r w:rsidRPr="00172D1A">
        <w:t>)</w:t>
      </w:r>
      <w:r>
        <w:t xml:space="preserve">(1)-(2), </w:t>
      </w:r>
      <w:r w:rsidRPr="00952A01">
        <w:rPr>
          <w:i/>
        </w:rPr>
        <w:t>infra</w:t>
      </w:r>
      <w:r>
        <w:t xml:space="preserve"> Attachment 2.</w:t>
      </w:r>
    </w:p>
  </w:footnote>
  <w:footnote w:id="40">
    <w:p w:rsidR="00B56C51" w:rsidP="00C816F0" w14:paraId="28F9E780" w14:textId="77777777">
      <w:pPr>
        <w:pStyle w:val="FootnoteText"/>
      </w:pPr>
      <w:r>
        <w:rPr>
          <w:rStyle w:val="FootnoteReference"/>
        </w:rPr>
        <w:footnoteRef/>
      </w:r>
      <w:r>
        <w:t xml:space="preserve"> </w:t>
      </w:r>
      <w:r w:rsidRPr="002C2933">
        <w:rPr>
          <w:i/>
        </w:rPr>
        <w:t>PLMR Report and Order</w:t>
      </w:r>
      <w:r>
        <w:rPr>
          <w:i/>
        </w:rPr>
        <w:t xml:space="preserve"> </w:t>
      </w:r>
      <w:r>
        <w:t>at 10250, para. 48 n.109.</w:t>
      </w:r>
    </w:p>
  </w:footnote>
  <w:footnote w:id="41">
    <w:p w:rsidR="00B56C51" w:rsidP="00C816F0" w14:paraId="1632E04F" w14:textId="77777777">
      <w:pPr>
        <w:pStyle w:val="FootnoteText"/>
      </w:pPr>
      <w:r>
        <w:rPr>
          <w:rStyle w:val="FootnoteReference"/>
        </w:rPr>
        <w:footnoteRef/>
      </w:r>
      <w:r>
        <w:t xml:space="preserve"> </w:t>
      </w:r>
      <w:r w:rsidRPr="00CD2376">
        <w:t xml:space="preserve">Channel 370a (812/857.500 MHz) would overlap the Expansion Band in the Southeast region which extends from 812/857.500 MHz to 813/858.500 MHz while channel 390a (813/858.000 MHz) would overlap the Expansion Band in the Atlanta Market which extends from 813/858.000 MHz to 813/858.500 </w:t>
      </w:r>
      <w:r w:rsidRPr="00CD2376">
        <w:t>MHz</w:t>
      </w:r>
      <w:r>
        <w:t>.</w:t>
      </w:r>
      <w:r w:rsidRPr="00CD2376">
        <w:t xml:space="preserve">  </w:t>
      </w:r>
      <w:r w:rsidRPr="0072705C">
        <w:rPr>
          <w:i/>
        </w:rPr>
        <w:t>See Improving Public Safety Communications in the 800 MHz Band et al</w:t>
      </w:r>
      <w:r w:rsidRPr="00CD2376">
        <w:t>., Report and Order</w:t>
      </w:r>
      <w:r>
        <w:t>, Fifth Report and Order, Fourth Order on Reconsideration, and Order</w:t>
      </w:r>
      <w:r w:rsidRPr="00CD2376">
        <w:t xml:space="preserve">, 19 FCC </w:t>
      </w:r>
      <w:r w:rsidRPr="00CD2376">
        <w:t>Rcd</w:t>
      </w:r>
      <w:r w:rsidRPr="00CD2376">
        <w:t xml:space="preserve"> 14969, 15058, para. 166 (2004) (establishing an Expansion Band for the Southeast region); </w:t>
      </w:r>
      <w:r w:rsidRPr="0072705C">
        <w:rPr>
          <w:i/>
        </w:rPr>
        <w:t>Improving Public Safety Communications in the 800 MHz Band et al.</w:t>
      </w:r>
      <w:r w:rsidRPr="00E810C6">
        <w:rPr>
          <w:i/>
        </w:rPr>
        <w:t xml:space="preserve">, </w:t>
      </w:r>
      <w:r>
        <w:rPr>
          <w:i/>
        </w:rPr>
        <w:t>Order on Reconsideration</w:t>
      </w:r>
      <w:r w:rsidRPr="0072705C">
        <w:rPr>
          <w:i/>
        </w:rPr>
        <w:t>,</w:t>
      </w:r>
      <w:r w:rsidRPr="00CD2376">
        <w:t xml:space="preserve"> 20 FCC </w:t>
      </w:r>
      <w:r w:rsidRPr="00CD2376">
        <w:t>Rcd</w:t>
      </w:r>
      <w:r w:rsidRPr="00CD2376">
        <w:t xml:space="preserve"> 16015,16035-36, para</w:t>
      </w:r>
      <w:r>
        <w:t>s</w:t>
      </w:r>
      <w:r w:rsidRPr="00CD2376">
        <w:t>. 46</w:t>
      </w:r>
      <w:r>
        <w:t>-49</w:t>
      </w:r>
      <w:r w:rsidRPr="00CD2376">
        <w:t xml:space="preserve"> (2005) (establishing an Expansion Band for the Atlanta market).   </w:t>
      </w:r>
    </w:p>
  </w:footnote>
  <w:footnote w:id="42">
    <w:p w:rsidR="00B56C51" w:rsidRPr="00CD2376" w:rsidP="00C816F0" w14:paraId="38D40320" w14:textId="77777777">
      <w:pPr>
        <w:pStyle w:val="FootnoteText"/>
      </w:pPr>
      <w:r>
        <w:rPr>
          <w:rStyle w:val="FootnoteReference"/>
        </w:rPr>
        <w:footnoteRef/>
      </w:r>
      <w:r>
        <w:t xml:space="preserve"> </w:t>
      </w:r>
      <w:r>
        <w:rPr>
          <w:i/>
        </w:rPr>
        <w:t xml:space="preserve">See </w:t>
      </w:r>
      <w:r>
        <w:t>47 CFR §§</w:t>
      </w:r>
      <w:r w:rsidRPr="00172D1A">
        <w:t xml:space="preserve"> 90</w:t>
      </w:r>
      <w:r>
        <w:t xml:space="preserve">.617(a)(2)-(3), </w:t>
      </w:r>
      <w:r w:rsidRPr="00952A01">
        <w:rPr>
          <w:i/>
        </w:rPr>
        <w:t>infra</w:t>
      </w:r>
      <w:r>
        <w:rPr>
          <w:i/>
        </w:rPr>
        <w:t>,</w:t>
      </w:r>
      <w:r>
        <w:t xml:space="preserve"> Attachment 2.</w:t>
      </w:r>
    </w:p>
  </w:footnote>
  <w:footnote w:id="43">
    <w:p w:rsidR="00B56C51" w:rsidRPr="000D6289" w:rsidP="00C816F0" w14:paraId="3888C6F4" w14:textId="77777777">
      <w:pPr>
        <w:pStyle w:val="FootnoteText"/>
      </w:pPr>
      <w:r>
        <w:rPr>
          <w:rStyle w:val="FootnoteReference"/>
        </w:rPr>
        <w:footnoteRef/>
      </w:r>
      <w:r>
        <w:t xml:space="preserve"> </w:t>
      </w:r>
      <w:r w:rsidRPr="00952A01">
        <w:rPr>
          <w:i/>
        </w:rPr>
        <w:t>See</w:t>
      </w:r>
      <w:r>
        <w:t xml:space="preserve"> 47 CFR §§</w:t>
      </w:r>
      <w:r w:rsidRPr="00172D1A">
        <w:t xml:space="preserve"> 90.6</w:t>
      </w:r>
      <w:r>
        <w:t>19</w:t>
      </w:r>
      <w:r w:rsidRPr="00172D1A">
        <w:t>(</w:t>
      </w:r>
      <w:r>
        <w:t>a</w:t>
      </w:r>
      <w:r w:rsidRPr="00172D1A">
        <w:t>)</w:t>
      </w:r>
      <w:r>
        <w:t xml:space="preserve">(5), Table A3 and (ii), </w:t>
      </w:r>
      <w:r w:rsidRPr="00952A01">
        <w:rPr>
          <w:i/>
        </w:rPr>
        <w:t>infra</w:t>
      </w:r>
      <w:r>
        <w:rPr>
          <w:i/>
        </w:rPr>
        <w:t>,</w:t>
      </w:r>
      <w:r>
        <w:t xml:space="preserve"> Attachment 2.</w:t>
      </w:r>
    </w:p>
  </w:footnote>
  <w:footnote w:id="44">
    <w:p w:rsidR="00B56C51" w:rsidP="00C816F0" w14:paraId="724560CB" w14:textId="77777777">
      <w:pPr>
        <w:pStyle w:val="FootnoteText"/>
      </w:pPr>
      <w:r>
        <w:rPr>
          <w:rStyle w:val="FootnoteReference"/>
        </w:rPr>
        <w:footnoteRef/>
      </w:r>
      <w:r>
        <w:t xml:space="preserve"> </w:t>
      </w:r>
      <w:r w:rsidRPr="001E4492">
        <w:t xml:space="preserve">5 U.S.C. § 603. </w:t>
      </w:r>
      <w:r>
        <w:t xml:space="preserve"> </w:t>
      </w:r>
      <w:r w:rsidRPr="001E4492">
        <w:t>The RFA, 5 U.S.C. §§ 601-612, has been amended by the Small Business Regulatory Enforcement Fairness Act of 1996 (SBREFA), Public L. No. 104-121, Title II, 110 Stat. 857 (1996).</w:t>
      </w:r>
    </w:p>
  </w:footnote>
  <w:footnote w:id="45">
    <w:p w:rsidR="00B56C51" w:rsidP="00C816F0" w14:paraId="6A9F49FF" w14:textId="77777777">
      <w:pPr>
        <w:pStyle w:val="FootnoteText"/>
      </w:pPr>
      <w:r>
        <w:rPr>
          <w:rStyle w:val="FootnoteReference"/>
        </w:rPr>
        <w:footnoteRef/>
      </w:r>
      <w:r>
        <w:t xml:space="preserve"> </w:t>
      </w:r>
      <w:r w:rsidRPr="0045437B">
        <w:rPr>
          <w:i/>
        </w:rPr>
        <w:t>Id.</w:t>
      </w:r>
    </w:p>
  </w:footnote>
  <w:footnote w:id="46">
    <w:p w:rsidR="00B56C51" w:rsidP="00C816F0" w14:paraId="7BE6BE62" w14:textId="77777777">
      <w:pPr>
        <w:pStyle w:val="FootnoteText"/>
      </w:pPr>
      <w:r>
        <w:rPr>
          <w:rStyle w:val="FootnoteReference"/>
        </w:rPr>
        <w:footnoteRef/>
      </w:r>
      <w:r>
        <w:t xml:space="preserve"> </w:t>
      </w:r>
      <w:r w:rsidRPr="00836EE4">
        <w:t xml:space="preserve">The RFA, </w:t>
      </w:r>
      <w:r w:rsidRPr="00836EE4">
        <w:rPr>
          <w:i/>
        </w:rPr>
        <w:t xml:space="preserve">see </w:t>
      </w:r>
      <w:r>
        <w:t>5 U.S.C. §§ 601–</w:t>
      </w:r>
      <w:r w:rsidRPr="00836EE4">
        <w:t>612, has been amended by the Small Business Regulatory Enforcement Fairness Act of 1996 (SBREFA), Pub. L. No. 104-121, Title II, 110 Stat. 857 (1996).</w:t>
      </w:r>
    </w:p>
  </w:footnote>
  <w:footnote w:id="47">
    <w:p w:rsidR="00B56C51" w:rsidP="00C816F0" w14:paraId="5E22B461" w14:textId="77777777">
      <w:pPr>
        <w:pStyle w:val="FootnoteText"/>
      </w:pPr>
      <w:r>
        <w:rPr>
          <w:rStyle w:val="FootnoteReference"/>
        </w:rPr>
        <w:footnoteRef/>
      </w:r>
      <w:r>
        <w:t xml:space="preserve"> 5 U.S.C. § 605(b).</w:t>
      </w:r>
    </w:p>
  </w:footnote>
  <w:footnote w:id="48">
    <w:p w:rsidR="00B56C51" w:rsidP="00C816F0" w14:paraId="746ED3F6" w14:textId="77777777">
      <w:pPr>
        <w:pStyle w:val="FootnoteText"/>
      </w:pPr>
      <w:r>
        <w:rPr>
          <w:rStyle w:val="FootnoteReference"/>
        </w:rPr>
        <w:footnoteRef/>
      </w:r>
      <w:r>
        <w:t xml:space="preserve"> 5 U.S.C. § 601(6).</w:t>
      </w:r>
    </w:p>
  </w:footnote>
  <w:footnote w:id="49">
    <w:p w:rsidR="00B56C51" w:rsidP="00C816F0" w14:paraId="5AC685B1"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0">
    <w:p w:rsidR="00B56C51" w:rsidP="00C816F0" w14:paraId="0D03C4ED" w14:textId="77777777">
      <w:pPr>
        <w:pStyle w:val="FootnoteText"/>
      </w:pPr>
      <w:r>
        <w:rPr>
          <w:rStyle w:val="FootnoteReference"/>
        </w:rPr>
        <w:footnoteRef/>
      </w:r>
      <w:r>
        <w:t xml:space="preserve"> 15 U.S.C. § 632.</w:t>
      </w:r>
    </w:p>
  </w:footnote>
  <w:footnote w:id="51">
    <w:p w:rsidR="00B56C51" w:rsidRPr="00CC6E82" w:rsidP="00C816F0" w14:paraId="64A6619B" w14:textId="77777777">
      <w:pPr>
        <w:pStyle w:val="FootnoteText"/>
      </w:pPr>
      <w:r>
        <w:rPr>
          <w:rStyle w:val="FootnoteReference"/>
        </w:rPr>
        <w:footnoteRef/>
      </w:r>
      <w:r>
        <w:t xml:space="preserve"> </w:t>
      </w:r>
      <w:r>
        <w:rPr>
          <w:i/>
        </w:rPr>
        <w:t>Creation of Interstitial 12.5 Kilohertz Channels in the 800 MHz Band Between 809-817/854-862 MHz</w:t>
      </w:r>
      <w:r>
        <w:t xml:space="preserve">, Notice of Proposed Rulemaking, 30 FCC </w:t>
      </w:r>
      <w:r>
        <w:t>Rcd</w:t>
      </w:r>
      <w:r>
        <w:t xml:space="preserve"> 1663, 1682-87 (2015) (</w:t>
      </w:r>
      <w:r>
        <w:rPr>
          <w:i/>
        </w:rPr>
        <w:t xml:space="preserve">800 MHz Interstitial </w:t>
      </w:r>
      <w:r w:rsidRPr="001A0208">
        <w:rPr>
          <w:i/>
        </w:rPr>
        <w:t>NPRM</w:t>
      </w:r>
      <w:r>
        <w:t xml:space="preserve">); </w:t>
      </w:r>
      <w:r>
        <w:rPr>
          <w:i/>
        </w:rPr>
        <w:t>Amendment of Part 90 of the Commission’s Rules to Improve Access to Private Land Mobile Radio Spectrum; Land Mobile Communications Council Petition for Rulemaking Regarding Interim Eligibility for 800 MHz Expansion Band and Guard Band Frequencies; Petition for Rulemaking Regarding Conditional Licensing Authority Above 470 MHz</w:t>
      </w:r>
      <w:r>
        <w:t xml:space="preserve">, Notice of Proposed Rulemaking, 31 FCC </w:t>
      </w:r>
      <w:r>
        <w:t>Rcd</w:t>
      </w:r>
      <w:r>
        <w:t xml:space="preserve"> 9431 (2016) (</w:t>
      </w:r>
      <w:r>
        <w:rPr>
          <w:i/>
        </w:rPr>
        <w:t>PLMR Access NPRM</w:t>
      </w:r>
      <w:r>
        <w:t>).</w:t>
      </w:r>
    </w:p>
  </w:footnote>
  <w:footnote w:id="52">
    <w:p w:rsidR="00B56C51" w:rsidRPr="00EA07FF" w:rsidP="00C816F0" w14:paraId="5DFB6946" w14:textId="77777777">
      <w:pPr>
        <w:pStyle w:val="FootnoteText"/>
      </w:pPr>
      <w:r>
        <w:rPr>
          <w:rStyle w:val="FootnoteReference"/>
        </w:rPr>
        <w:footnoteRef/>
      </w:r>
      <w:r>
        <w:t xml:space="preserve"> </w:t>
      </w:r>
      <w:r w:rsidRPr="00070F9B">
        <w:rPr>
          <w:i/>
        </w:rPr>
        <w:t xml:space="preserve">Creation of Interstitial 12.5 Kilohertz Channels in the 800 MHz Band Between 809-817/854-862 MHz; Amendment of Part 90 of the Commission’s Rules to Improve Access to Private Land Mobile Radio Spectrum; Land Mobile Communications </w:t>
      </w:r>
      <w:r w:rsidRPr="00EA07FF">
        <w:rPr>
          <w:i/>
        </w:rPr>
        <w:t>Council Petition for Rulemaking Regarding Interim Eligibility for 800 MHz Expansion Band and Guard Band Frequencies; Petition for Rulemaking Regarding Conditional Licensing Authority Above 470 MHz</w:t>
      </w:r>
      <w:r w:rsidRPr="00EA07FF">
        <w:t>, Report and Order</w:t>
      </w:r>
      <w:r>
        <w:t xml:space="preserve"> and Order</w:t>
      </w:r>
      <w:r w:rsidRPr="00EA07FF">
        <w:t xml:space="preserve">, FCC </w:t>
      </w:r>
      <w:r>
        <w:t>18-143</w:t>
      </w:r>
      <w:r w:rsidRPr="00EA07FF">
        <w:t xml:space="preserve"> (Oct. 22, 2018) (</w:t>
      </w:r>
      <w:r w:rsidRPr="00EA07FF">
        <w:rPr>
          <w:i/>
        </w:rPr>
        <w:t>PLMR Report and Order</w:t>
      </w:r>
      <w:r w:rsidRPr="00EA07FF">
        <w:t xml:space="preserve">).  </w:t>
      </w:r>
    </w:p>
  </w:footnote>
  <w:footnote w:id="53">
    <w:p w:rsidR="00B56C51" w:rsidP="00C816F0" w14:paraId="110286D6" w14:textId="77777777">
      <w:pPr>
        <w:pStyle w:val="FootnoteText"/>
      </w:pPr>
      <w:r>
        <w:rPr>
          <w:rStyle w:val="FootnoteReference"/>
        </w:rPr>
        <w:footnoteRef/>
      </w:r>
      <w:r>
        <w:t xml:space="preserve"> </w:t>
      </w:r>
      <w:r>
        <w:rPr>
          <w:i/>
        </w:rPr>
        <w:t xml:space="preserve">See </w:t>
      </w:r>
      <w:r>
        <w:t>5 U.S.C. § 801(a)(1)(A).</w:t>
      </w:r>
    </w:p>
  </w:footnote>
  <w:footnote w:id="54">
    <w:p w:rsidR="00B56C51" w:rsidP="00C816F0" w14:paraId="28FB8281" w14:textId="77777777">
      <w:pPr>
        <w:pStyle w:val="FootnoteText"/>
      </w:pPr>
      <w:r>
        <w:rPr>
          <w:rStyle w:val="FootnoteReference"/>
        </w:rPr>
        <w:footnoteRef/>
      </w:r>
      <w:r>
        <w:t xml:space="preserve"> </w:t>
      </w:r>
      <w:r>
        <w:rPr>
          <w:i/>
        </w:rPr>
        <w:t xml:space="preserve">See </w:t>
      </w:r>
      <w:r>
        <w:t>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810B6F" w14:paraId="4D12250F" w14:textId="7F200EEC">
    <w:pPr>
      <w:pStyle w:val="Header"/>
      <w:rPr>
        <w:b w:val="0"/>
      </w:rPr>
    </w:pPr>
    <w:r>
      <w:tab/>
      <w:t>Federal Communications Commission</w:t>
    </w:r>
    <w:r>
      <w:tab/>
    </w:r>
    <w:r w:rsidR="001E423F">
      <w:t>FCC 20-62</w:t>
    </w:r>
  </w:p>
  <w:p w:rsidR="00B56C51" w14:paraId="4C2486B1"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B56C51" w14:paraId="305010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810B6F" w14:paraId="1E0316AC" w14:textId="3F840D9E">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1E423F">
      <w:rPr>
        <w:spacing w:val="-2"/>
      </w:rPr>
      <w:t>FCC 20-62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810B6F" w14:paraId="60BB2B49" w14:textId="3BC6080D">
    <w:pPr>
      <w:pStyle w:val="Header"/>
      <w:rPr>
        <w:b w:val="0"/>
      </w:rPr>
    </w:pPr>
    <w:r>
      <w:tab/>
      <w:t>Federal Communications Commission</w:t>
    </w:r>
    <w:r>
      <w:tab/>
    </w:r>
    <w:r w:rsidR="001E423F">
      <w:t>FCC 20-62</w:t>
    </w:r>
  </w:p>
  <w:p w:rsidR="00B56C51" w14:paraId="07787414"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B56C51" w14:paraId="3309CD9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C51" w:rsidP="00810B6F" w14:paraId="62339EBB" w14:textId="31CEFF10">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423F">
      <w:rPr>
        <w:spacing w:val="-2"/>
      </w:rPr>
      <w:t>FCC 20-62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A03FF"/>
    <w:multiLevelType w:val="hybridMultilevel"/>
    <w:tmpl w:val="81122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606FA4"/>
    <w:multiLevelType w:val="hybridMultilevel"/>
    <w:tmpl w:val="4EE64B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EE2B8F"/>
    <w:multiLevelType w:val="hybridMultilevel"/>
    <w:tmpl w:val="897AA1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F0"/>
    <w:rsid w:val="000321FD"/>
    <w:rsid w:val="00036039"/>
    <w:rsid w:val="00037F90"/>
    <w:rsid w:val="00070F9B"/>
    <w:rsid w:val="000875BF"/>
    <w:rsid w:val="00096D8C"/>
    <w:rsid w:val="000C0B65"/>
    <w:rsid w:val="000D5ACF"/>
    <w:rsid w:val="000D6289"/>
    <w:rsid w:val="000E05FE"/>
    <w:rsid w:val="000E3D42"/>
    <w:rsid w:val="00122BD5"/>
    <w:rsid w:val="00133F79"/>
    <w:rsid w:val="00172D1A"/>
    <w:rsid w:val="00194A66"/>
    <w:rsid w:val="001A0208"/>
    <w:rsid w:val="001D4833"/>
    <w:rsid w:val="001D6BCF"/>
    <w:rsid w:val="001E01CA"/>
    <w:rsid w:val="001E03BF"/>
    <w:rsid w:val="001E423F"/>
    <w:rsid w:val="001E4492"/>
    <w:rsid w:val="00275CF5"/>
    <w:rsid w:val="002810C2"/>
    <w:rsid w:val="00282857"/>
    <w:rsid w:val="0028301F"/>
    <w:rsid w:val="00285017"/>
    <w:rsid w:val="00292FF2"/>
    <w:rsid w:val="00293E3B"/>
    <w:rsid w:val="0029567F"/>
    <w:rsid w:val="002A2D2E"/>
    <w:rsid w:val="002C00E8"/>
    <w:rsid w:val="002C2933"/>
    <w:rsid w:val="002F1304"/>
    <w:rsid w:val="00315AA3"/>
    <w:rsid w:val="00315AEF"/>
    <w:rsid w:val="00343749"/>
    <w:rsid w:val="00346F62"/>
    <w:rsid w:val="003660ED"/>
    <w:rsid w:val="003B0550"/>
    <w:rsid w:val="003B3BCE"/>
    <w:rsid w:val="003B694F"/>
    <w:rsid w:val="003F171C"/>
    <w:rsid w:val="00412FC5"/>
    <w:rsid w:val="00422276"/>
    <w:rsid w:val="004242F1"/>
    <w:rsid w:val="00445A00"/>
    <w:rsid w:val="00451B0F"/>
    <w:rsid w:val="0045437B"/>
    <w:rsid w:val="004C2EE3"/>
    <w:rsid w:val="004C6202"/>
    <w:rsid w:val="004E4A22"/>
    <w:rsid w:val="00511968"/>
    <w:rsid w:val="00553924"/>
    <w:rsid w:val="0055614C"/>
    <w:rsid w:val="00566D06"/>
    <w:rsid w:val="005D6FBF"/>
    <w:rsid w:val="005E14C2"/>
    <w:rsid w:val="005F2858"/>
    <w:rsid w:val="00604AAE"/>
    <w:rsid w:val="00607BA5"/>
    <w:rsid w:val="0061180A"/>
    <w:rsid w:val="00626EB6"/>
    <w:rsid w:val="0063096E"/>
    <w:rsid w:val="00655D03"/>
    <w:rsid w:val="006654CF"/>
    <w:rsid w:val="00681E13"/>
    <w:rsid w:val="00683388"/>
    <w:rsid w:val="00683F84"/>
    <w:rsid w:val="006A6A81"/>
    <w:rsid w:val="006F7393"/>
    <w:rsid w:val="0070224F"/>
    <w:rsid w:val="007047D3"/>
    <w:rsid w:val="007115F7"/>
    <w:rsid w:val="0072705C"/>
    <w:rsid w:val="00785689"/>
    <w:rsid w:val="0079754B"/>
    <w:rsid w:val="007A1E6D"/>
    <w:rsid w:val="007B0EB2"/>
    <w:rsid w:val="007D283D"/>
    <w:rsid w:val="007E5E40"/>
    <w:rsid w:val="00810827"/>
    <w:rsid w:val="00810B6F"/>
    <w:rsid w:val="00822CE0"/>
    <w:rsid w:val="00825806"/>
    <w:rsid w:val="00833855"/>
    <w:rsid w:val="00836EE4"/>
    <w:rsid w:val="00841AB1"/>
    <w:rsid w:val="00854E15"/>
    <w:rsid w:val="00862868"/>
    <w:rsid w:val="00877EBD"/>
    <w:rsid w:val="008C68F1"/>
    <w:rsid w:val="00911209"/>
    <w:rsid w:val="00921803"/>
    <w:rsid w:val="00926503"/>
    <w:rsid w:val="00930987"/>
    <w:rsid w:val="00932341"/>
    <w:rsid w:val="00941072"/>
    <w:rsid w:val="00952A01"/>
    <w:rsid w:val="009655B9"/>
    <w:rsid w:val="0097094B"/>
    <w:rsid w:val="00972069"/>
    <w:rsid w:val="009726D8"/>
    <w:rsid w:val="00992DB7"/>
    <w:rsid w:val="00992FC3"/>
    <w:rsid w:val="009D7308"/>
    <w:rsid w:val="009E3229"/>
    <w:rsid w:val="009F76DB"/>
    <w:rsid w:val="00A323E4"/>
    <w:rsid w:val="00A32C3B"/>
    <w:rsid w:val="00A45F4F"/>
    <w:rsid w:val="00A600A9"/>
    <w:rsid w:val="00A775F8"/>
    <w:rsid w:val="00AA1EB6"/>
    <w:rsid w:val="00AA55B7"/>
    <w:rsid w:val="00AA5B9E"/>
    <w:rsid w:val="00AB2407"/>
    <w:rsid w:val="00AB53DF"/>
    <w:rsid w:val="00AF76C7"/>
    <w:rsid w:val="00B07E5C"/>
    <w:rsid w:val="00B428B0"/>
    <w:rsid w:val="00B56C51"/>
    <w:rsid w:val="00B811F7"/>
    <w:rsid w:val="00B84A7B"/>
    <w:rsid w:val="00BA5DC6"/>
    <w:rsid w:val="00BA6196"/>
    <w:rsid w:val="00BC6D8C"/>
    <w:rsid w:val="00C34006"/>
    <w:rsid w:val="00C36B4C"/>
    <w:rsid w:val="00C426B1"/>
    <w:rsid w:val="00C66160"/>
    <w:rsid w:val="00C721AC"/>
    <w:rsid w:val="00C816F0"/>
    <w:rsid w:val="00C81DC4"/>
    <w:rsid w:val="00C90D6A"/>
    <w:rsid w:val="00CA247E"/>
    <w:rsid w:val="00CA6D21"/>
    <w:rsid w:val="00CC1D5B"/>
    <w:rsid w:val="00CC6E82"/>
    <w:rsid w:val="00CC72B6"/>
    <w:rsid w:val="00CD2376"/>
    <w:rsid w:val="00D0218D"/>
    <w:rsid w:val="00D1764F"/>
    <w:rsid w:val="00D25FB5"/>
    <w:rsid w:val="00D44223"/>
    <w:rsid w:val="00D60E26"/>
    <w:rsid w:val="00D71F13"/>
    <w:rsid w:val="00DA2529"/>
    <w:rsid w:val="00DB130A"/>
    <w:rsid w:val="00DB2EBB"/>
    <w:rsid w:val="00DC10A1"/>
    <w:rsid w:val="00DC655F"/>
    <w:rsid w:val="00DD0B59"/>
    <w:rsid w:val="00DD7EBD"/>
    <w:rsid w:val="00DF2F2A"/>
    <w:rsid w:val="00DF62B6"/>
    <w:rsid w:val="00E07225"/>
    <w:rsid w:val="00E15218"/>
    <w:rsid w:val="00E449D4"/>
    <w:rsid w:val="00E5409F"/>
    <w:rsid w:val="00E810C6"/>
    <w:rsid w:val="00E818BC"/>
    <w:rsid w:val="00EA07FF"/>
    <w:rsid w:val="00EE6488"/>
    <w:rsid w:val="00F021FA"/>
    <w:rsid w:val="00F11654"/>
    <w:rsid w:val="00F21CC0"/>
    <w:rsid w:val="00F341EC"/>
    <w:rsid w:val="00F3647F"/>
    <w:rsid w:val="00F62E97"/>
    <w:rsid w:val="00F64209"/>
    <w:rsid w:val="00F72DCC"/>
    <w:rsid w:val="00F73C3A"/>
    <w:rsid w:val="00F93BF5"/>
    <w:rsid w:val="00FB0A1D"/>
    <w:rsid w:val="00FC4EEA"/>
    <w:rsid w:val="00FF5E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F10FE1-900E-45BA-A6C0-7C25F40D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55"/>
    <w:pPr>
      <w:widowControl w:val="0"/>
    </w:pPr>
    <w:rPr>
      <w:snapToGrid w:val="0"/>
      <w:kern w:val="28"/>
      <w:sz w:val="22"/>
    </w:rPr>
  </w:style>
  <w:style w:type="paragraph" w:styleId="Heading1">
    <w:name w:val="heading 1"/>
    <w:basedOn w:val="Normal"/>
    <w:next w:val="ParaNum"/>
    <w:link w:val="Heading1Char"/>
    <w:qFormat/>
    <w:rsid w:val="008338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33855"/>
    <w:pPr>
      <w:keepNext/>
      <w:numPr>
        <w:ilvl w:val="1"/>
        <w:numId w:val="3"/>
      </w:numPr>
      <w:spacing w:after="120"/>
      <w:outlineLvl w:val="1"/>
    </w:pPr>
    <w:rPr>
      <w:b/>
    </w:rPr>
  </w:style>
  <w:style w:type="paragraph" w:styleId="Heading3">
    <w:name w:val="heading 3"/>
    <w:basedOn w:val="Normal"/>
    <w:next w:val="ParaNum"/>
    <w:link w:val="Heading3Char"/>
    <w:qFormat/>
    <w:rsid w:val="0083385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3385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3385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3385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3385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338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338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3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3855"/>
  </w:style>
  <w:style w:type="paragraph" w:customStyle="1" w:styleId="ParaNum">
    <w:name w:val="ParaNum"/>
    <w:basedOn w:val="Normal"/>
    <w:link w:val="ParaNumChar"/>
    <w:rsid w:val="00833855"/>
    <w:pPr>
      <w:numPr>
        <w:numId w:val="2"/>
      </w:numPr>
      <w:tabs>
        <w:tab w:val="clear" w:pos="1080"/>
        <w:tab w:val="num" w:pos="1440"/>
      </w:tabs>
      <w:spacing w:after="120"/>
    </w:pPr>
  </w:style>
  <w:style w:type="paragraph" w:styleId="EndnoteText">
    <w:name w:val="endnote text"/>
    <w:basedOn w:val="Normal"/>
    <w:link w:val="EndnoteTextChar"/>
    <w:semiHidden/>
    <w:rsid w:val="00833855"/>
    <w:rPr>
      <w:sz w:val="20"/>
    </w:rPr>
  </w:style>
  <w:style w:type="character" w:styleId="EndnoteReference">
    <w:name w:val="endnote reference"/>
    <w:semiHidden/>
    <w:rsid w:val="00833855"/>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1,Footnote Text Char2,Footnote Text Char2 Char Char Char Char,f"/>
    <w:link w:val="FootnoteTextChar"/>
    <w:rsid w:val="0083385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33855"/>
    <w:rPr>
      <w:rFonts w:ascii="Times New Roman" w:hAnsi="Times New Roman"/>
      <w:dstrike w:val="0"/>
      <w:color w:val="auto"/>
      <w:sz w:val="20"/>
      <w:vertAlign w:val="superscript"/>
    </w:rPr>
  </w:style>
  <w:style w:type="paragraph" w:styleId="TOC1">
    <w:name w:val="toc 1"/>
    <w:basedOn w:val="Normal"/>
    <w:next w:val="Normal"/>
    <w:rsid w:val="00833855"/>
    <w:pPr>
      <w:tabs>
        <w:tab w:val="left" w:pos="360"/>
        <w:tab w:val="right" w:leader="dot" w:pos="9360"/>
      </w:tabs>
      <w:suppressAutoHyphens/>
      <w:ind w:left="360" w:right="720" w:hanging="360"/>
    </w:pPr>
    <w:rPr>
      <w:caps/>
      <w:noProof/>
    </w:rPr>
  </w:style>
  <w:style w:type="paragraph" w:styleId="TOC2">
    <w:name w:val="toc 2"/>
    <w:basedOn w:val="Normal"/>
    <w:next w:val="Normal"/>
    <w:rsid w:val="00833855"/>
    <w:pPr>
      <w:tabs>
        <w:tab w:val="left" w:pos="720"/>
        <w:tab w:val="right" w:leader="dot" w:pos="9360"/>
      </w:tabs>
      <w:suppressAutoHyphens/>
      <w:ind w:left="720" w:right="720" w:hanging="360"/>
    </w:pPr>
    <w:rPr>
      <w:noProof/>
    </w:rPr>
  </w:style>
  <w:style w:type="paragraph" w:styleId="TOC3">
    <w:name w:val="toc 3"/>
    <w:basedOn w:val="Normal"/>
    <w:next w:val="Normal"/>
    <w:semiHidden/>
    <w:rsid w:val="008338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38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38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38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38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38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38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3855"/>
    <w:pPr>
      <w:tabs>
        <w:tab w:val="right" w:pos="9360"/>
      </w:tabs>
      <w:suppressAutoHyphens/>
    </w:pPr>
  </w:style>
  <w:style w:type="character" w:customStyle="1" w:styleId="EquationCaption">
    <w:name w:val="_Equation Caption"/>
    <w:rsid w:val="00833855"/>
  </w:style>
  <w:style w:type="paragraph" w:styleId="Header">
    <w:name w:val="header"/>
    <w:basedOn w:val="Normal"/>
    <w:link w:val="HeaderChar"/>
    <w:autoRedefine/>
    <w:rsid w:val="00833855"/>
    <w:pPr>
      <w:tabs>
        <w:tab w:val="center" w:pos="4680"/>
        <w:tab w:val="right" w:pos="9360"/>
      </w:tabs>
    </w:pPr>
    <w:rPr>
      <w:b/>
    </w:rPr>
  </w:style>
  <w:style w:type="paragraph" w:styleId="Footer">
    <w:name w:val="footer"/>
    <w:basedOn w:val="Normal"/>
    <w:link w:val="FooterChar"/>
    <w:uiPriority w:val="99"/>
    <w:rsid w:val="00833855"/>
    <w:pPr>
      <w:tabs>
        <w:tab w:val="center" w:pos="4320"/>
        <w:tab w:val="right" w:pos="8640"/>
      </w:tabs>
    </w:pPr>
  </w:style>
  <w:style w:type="character" w:styleId="PageNumber">
    <w:name w:val="page number"/>
    <w:basedOn w:val="DefaultParagraphFont"/>
    <w:rsid w:val="00833855"/>
  </w:style>
  <w:style w:type="paragraph" w:styleId="BlockText">
    <w:name w:val="Block Text"/>
    <w:basedOn w:val="Normal"/>
    <w:rsid w:val="00833855"/>
    <w:pPr>
      <w:spacing w:after="240"/>
      <w:ind w:left="1440" w:right="1440"/>
    </w:pPr>
  </w:style>
  <w:style w:type="paragraph" w:customStyle="1" w:styleId="Paratitle">
    <w:name w:val="Para title"/>
    <w:basedOn w:val="Normal"/>
    <w:rsid w:val="00833855"/>
    <w:pPr>
      <w:tabs>
        <w:tab w:val="center" w:pos="9270"/>
      </w:tabs>
      <w:spacing w:after="240"/>
    </w:pPr>
    <w:rPr>
      <w:spacing w:val="-2"/>
    </w:rPr>
  </w:style>
  <w:style w:type="paragraph" w:customStyle="1" w:styleId="Bullet">
    <w:name w:val="Bullet"/>
    <w:basedOn w:val="Normal"/>
    <w:rsid w:val="00833855"/>
    <w:pPr>
      <w:tabs>
        <w:tab w:val="left" w:pos="2160"/>
      </w:tabs>
      <w:spacing w:after="220"/>
      <w:ind w:left="2160" w:hanging="720"/>
    </w:pPr>
  </w:style>
  <w:style w:type="paragraph" w:customStyle="1" w:styleId="TableFormat">
    <w:name w:val="TableFormat"/>
    <w:basedOn w:val="Bullet"/>
    <w:rsid w:val="00833855"/>
    <w:pPr>
      <w:tabs>
        <w:tab w:val="clear" w:pos="2160"/>
        <w:tab w:val="left" w:pos="5040"/>
      </w:tabs>
      <w:ind w:left="5040" w:hanging="3600"/>
    </w:pPr>
  </w:style>
  <w:style w:type="paragraph" w:customStyle="1" w:styleId="TOCTitle">
    <w:name w:val="TOC Title"/>
    <w:basedOn w:val="Normal"/>
    <w:rsid w:val="008338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3855"/>
    <w:pPr>
      <w:jc w:val="center"/>
    </w:pPr>
    <w:rPr>
      <w:rFonts w:ascii="Times New Roman Bold" w:hAnsi="Times New Roman Bold"/>
      <w:b/>
      <w:bCs/>
      <w:caps/>
      <w:szCs w:val="22"/>
    </w:rPr>
  </w:style>
  <w:style w:type="character" w:styleId="Hyperlink">
    <w:name w:val="Hyperlink"/>
    <w:rsid w:val="00833855"/>
    <w:rPr>
      <w:color w:val="0000FF"/>
      <w:u w:val="single"/>
    </w:rPr>
  </w:style>
  <w:style w:type="character" w:customStyle="1" w:styleId="FooterChar">
    <w:name w:val="Footer Char"/>
    <w:link w:val="Footer"/>
    <w:uiPriority w:val="99"/>
    <w:rsid w:val="00833855"/>
    <w:rPr>
      <w:snapToGrid w:val="0"/>
      <w:kern w:val="28"/>
      <w:sz w:val="22"/>
    </w:rPr>
  </w:style>
  <w:style w:type="character" w:customStyle="1" w:styleId="ParaNumChar">
    <w:name w:val="ParaNum Char"/>
    <w:link w:val="ParaNum"/>
    <w:locked/>
    <w:rsid w:val="00C816F0"/>
    <w:rPr>
      <w:snapToGrid w:val="0"/>
      <w:kern w:val="28"/>
      <w:sz w:val="22"/>
    </w:rPr>
  </w:style>
  <w:style w:type="character" w:customStyle="1" w:styleId="Heading1Char">
    <w:name w:val="Heading 1 Char"/>
    <w:link w:val="Heading1"/>
    <w:rsid w:val="00C816F0"/>
    <w:rPr>
      <w:rFonts w:ascii="Times New Roman Bold" w:hAnsi="Times New Roman Bold"/>
      <w:b/>
      <w:caps/>
      <w:snapToGrid w:val="0"/>
      <w:kern w:val="28"/>
      <w:sz w:val="22"/>
    </w:rPr>
  </w:style>
  <w:style w:type="character" w:customStyle="1" w:styleId="Heading2Char">
    <w:name w:val="Heading 2 Char"/>
    <w:link w:val="Heading2"/>
    <w:rsid w:val="00C816F0"/>
    <w:rPr>
      <w:b/>
      <w:snapToGrid w:val="0"/>
      <w:kern w:val="28"/>
      <w:sz w:val="22"/>
    </w:rPr>
  </w:style>
  <w:style w:type="character" w:customStyle="1" w:styleId="Heading3Char">
    <w:name w:val="Heading 3 Char"/>
    <w:link w:val="Heading3"/>
    <w:rsid w:val="00C816F0"/>
    <w:rPr>
      <w:b/>
      <w:snapToGrid w:val="0"/>
      <w:kern w:val="28"/>
      <w:sz w:val="22"/>
    </w:rPr>
  </w:style>
  <w:style w:type="character" w:customStyle="1" w:styleId="Heading4Char">
    <w:name w:val="Heading 4 Char"/>
    <w:link w:val="Heading4"/>
    <w:rsid w:val="00C816F0"/>
    <w:rPr>
      <w:b/>
      <w:snapToGrid w:val="0"/>
      <w:kern w:val="28"/>
      <w:sz w:val="22"/>
    </w:rPr>
  </w:style>
  <w:style w:type="character" w:customStyle="1" w:styleId="Heading5Char">
    <w:name w:val="Heading 5 Char"/>
    <w:link w:val="Heading5"/>
    <w:rsid w:val="00C816F0"/>
    <w:rPr>
      <w:b/>
      <w:snapToGrid w:val="0"/>
      <w:kern w:val="28"/>
      <w:sz w:val="22"/>
    </w:rPr>
  </w:style>
  <w:style w:type="character" w:customStyle="1" w:styleId="Heading6Char">
    <w:name w:val="Heading 6 Char"/>
    <w:link w:val="Heading6"/>
    <w:rsid w:val="00C816F0"/>
    <w:rPr>
      <w:b/>
      <w:snapToGrid w:val="0"/>
      <w:kern w:val="28"/>
      <w:sz w:val="22"/>
    </w:rPr>
  </w:style>
  <w:style w:type="character" w:customStyle="1" w:styleId="Heading7Char">
    <w:name w:val="Heading 7 Char"/>
    <w:link w:val="Heading7"/>
    <w:rsid w:val="00C816F0"/>
    <w:rPr>
      <w:b/>
      <w:snapToGrid w:val="0"/>
      <w:kern w:val="28"/>
      <w:sz w:val="22"/>
    </w:rPr>
  </w:style>
  <w:style w:type="character" w:customStyle="1" w:styleId="Heading8Char">
    <w:name w:val="Heading 8 Char"/>
    <w:link w:val="Heading8"/>
    <w:rsid w:val="00C816F0"/>
    <w:rPr>
      <w:b/>
      <w:snapToGrid w:val="0"/>
      <w:kern w:val="28"/>
      <w:sz w:val="22"/>
    </w:rPr>
  </w:style>
  <w:style w:type="character" w:customStyle="1" w:styleId="Heading9Char">
    <w:name w:val="Heading 9 Char"/>
    <w:link w:val="Heading9"/>
    <w:rsid w:val="00C816F0"/>
    <w:rPr>
      <w:b/>
      <w:snapToGrid w:val="0"/>
      <w:kern w:val="28"/>
      <w:sz w:val="22"/>
    </w:rPr>
  </w:style>
  <w:style w:type="character" w:customStyle="1" w:styleId="EndnoteTextChar">
    <w:name w:val="Endnote Text Char"/>
    <w:link w:val="EndnoteText"/>
    <w:semiHidden/>
    <w:rsid w:val="00C816F0"/>
    <w:rPr>
      <w:snapToGrid w:val="0"/>
      <w:kern w:val="28"/>
    </w:rPr>
  </w:style>
  <w:style w:type="character" w:customStyle="1" w:styleId="FootnoteTextChar">
    <w:name w:val="Footnote Text Char"/>
    <w:aliases w:val="Footnote Text Char Char Char Char,Footnote Text Char Char Char Char Char Char Char,Footnote Text Char1 Char Char Char Char,Footnote Text Char1 Char1 Char,Footnote Text Char2 Char,Footnote Text Char2 Char Char Char Char Char,f Char"/>
    <w:link w:val="FootnoteText"/>
    <w:rsid w:val="00C816F0"/>
  </w:style>
  <w:style w:type="character" w:customStyle="1" w:styleId="HeaderChar">
    <w:name w:val="Header Char"/>
    <w:link w:val="Header"/>
    <w:rsid w:val="00C816F0"/>
    <w:rPr>
      <w:b/>
      <w:snapToGrid w:val="0"/>
      <w:kern w:val="28"/>
      <w:sz w:val="22"/>
    </w:rPr>
  </w:style>
  <w:style w:type="character" w:styleId="CommentReference">
    <w:name w:val="annotation reference"/>
    <w:rsid w:val="00C816F0"/>
    <w:rPr>
      <w:sz w:val="16"/>
      <w:szCs w:val="16"/>
    </w:rPr>
  </w:style>
  <w:style w:type="paragraph" w:styleId="CommentText">
    <w:name w:val="annotation text"/>
    <w:basedOn w:val="Normal"/>
    <w:link w:val="CommentTextChar"/>
    <w:rsid w:val="00C816F0"/>
    <w:rPr>
      <w:sz w:val="20"/>
    </w:rPr>
  </w:style>
  <w:style w:type="character" w:customStyle="1" w:styleId="CommentTextChar">
    <w:name w:val="Comment Text Char"/>
    <w:link w:val="CommentText"/>
    <w:rsid w:val="00C816F0"/>
    <w:rPr>
      <w:snapToGrid w:val="0"/>
      <w:kern w:val="28"/>
    </w:rPr>
  </w:style>
  <w:style w:type="paragraph" w:styleId="BalloonText">
    <w:name w:val="Balloon Text"/>
    <w:basedOn w:val="Normal"/>
    <w:link w:val="BalloonTextChar"/>
    <w:rsid w:val="00C816F0"/>
    <w:rPr>
      <w:rFonts w:ascii="Segoe UI" w:hAnsi="Segoe UI" w:cs="Segoe UI"/>
      <w:sz w:val="18"/>
      <w:szCs w:val="18"/>
    </w:rPr>
  </w:style>
  <w:style w:type="character" w:customStyle="1" w:styleId="BalloonTextChar">
    <w:name w:val="Balloon Text Char"/>
    <w:link w:val="BalloonText"/>
    <w:rsid w:val="00C816F0"/>
    <w:rPr>
      <w:rFonts w:ascii="Segoe UI" w:hAnsi="Segoe UI" w:cs="Segoe UI"/>
      <w:snapToGrid w:val="0"/>
      <w:kern w:val="28"/>
      <w:sz w:val="18"/>
      <w:szCs w:val="18"/>
    </w:rPr>
  </w:style>
  <w:style w:type="character" w:styleId="Strong">
    <w:name w:val="Strong"/>
    <w:uiPriority w:val="22"/>
    <w:qFormat/>
    <w:rsid w:val="00C816F0"/>
    <w:rPr>
      <w:b/>
      <w:bCs/>
    </w:rPr>
  </w:style>
  <w:style w:type="character" w:customStyle="1" w:styleId="costarpage">
    <w:name w:val="co_starpage"/>
    <w:rsid w:val="00C816F0"/>
  </w:style>
  <w:style w:type="character" w:styleId="Emphasis">
    <w:name w:val="Emphasis"/>
    <w:uiPriority w:val="20"/>
    <w:qFormat/>
    <w:rsid w:val="00C816F0"/>
    <w:rPr>
      <w:i/>
      <w:iCs/>
    </w:rPr>
  </w:style>
  <w:style w:type="character" w:customStyle="1" w:styleId="cosearchterm">
    <w:name w:val="co_searchterm"/>
    <w:rsid w:val="00C816F0"/>
  </w:style>
  <w:style w:type="paragraph" w:styleId="CommentSubject">
    <w:name w:val="annotation subject"/>
    <w:basedOn w:val="CommentText"/>
    <w:next w:val="CommentText"/>
    <w:link w:val="CommentSubjectChar"/>
    <w:rsid w:val="00C816F0"/>
    <w:rPr>
      <w:b/>
      <w:bCs/>
    </w:rPr>
  </w:style>
  <w:style w:type="character" w:customStyle="1" w:styleId="CommentSubjectChar">
    <w:name w:val="Comment Subject Char"/>
    <w:link w:val="CommentSubject"/>
    <w:rsid w:val="00C816F0"/>
    <w:rPr>
      <w:b/>
      <w:bCs/>
      <w:snapToGrid w:val="0"/>
      <w:kern w:val="28"/>
    </w:rPr>
  </w:style>
  <w:style w:type="paragraph" w:styleId="ListParagraph">
    <w:name w:val="List Paragraph"/>
    <w:basedOn w:val="Normal"/>
    <w:uiPriority w:val="34"/>
    <w:qFormat/>
    <w:rsid w:val="00C816F0"/>
    <w:pPr>
      <w:ind w:left="720"/>
      <w:contextualSpacing/>
    </w:pPr>
  </w:style>
  <w:style w:type="character" w:styleId="FollowedHyperlink">
    <w:name w:val="FollowedHyperlink"/>
    <w:rsid w:val="00C816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oleObject" Target="embeddings/oleObject1.xls"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