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D15C3" w:rsidRPr="003C560E" w:rsidP="007D15C3">
      <w:pPr>
        <w:pStyle w:val="Heading6"/>
        <w:numPr>
          <w:ilvl w:val="0"/>
          <w:numId w:val="0"/>
        </w:numPr>
        <w:spacing w:after="0"/>
        <w:ind w:left="4320"/>
        <w:rPr>
          <w:szCs w:val="22"/>
        </w:rPr>
      </w:pPr>
      <w:r w:rsidRPr="003C560E">
        <w:rPr>
          <w:szCs w:val="22"/>
        </w:rPr>
        <w:t>Before the</w:t>
      </w:r>
    </w:p>
    <w:p w:rsidR="007D15C3" w:rsidRPr="003C560E" w:rsidP="007D15C3">
      <w:pPr>
        <w:pStyle w:val="StyleBoldCentered"/>
        <w:rPr>
          <w:rFonts w:ascii="Times New Roman" w:hAnsi="Times New Roman"/>
        </w:rPr>
      </w:pPr>
      <w:r w:rsidRPr="003C560E">
        <w:rPr>
          <w:rFonts w:ascii="Times New Roman" w:hAnsi="Times New Roman"/>
        </w:rPr>
        <w:t>F</w:t>
      </w:r>
      <w:r w:rsidRPr="003C560E">
        <w:rPr>
          <w:rFonts w:ascii="Times New Roman" w:hAnsi="Times New Roman"/>
          <w:caps w:val="0"/>
        </w:rPr>
        <w:t>ederal Communications Commission</w:t>
      </w:r>
    </w:p>
    <w:p w:rsidR="007D15C3" w:rsidRPr="003C560E" w:rsidP="007D15C3">
      <w:pPr>
        <w:pStyle w:val="StyleBoldCentered"/>
        <w:rPr>
          <w:rFonts w:ascii="Times New Roman" w:hAnsi="Times New Roman"/>
        </w:rPr>
      </w:pPr>
      <w:r w:rsidRPr="003C560E">
        <w:rPr>
          <w:rFonts w:ascii="Times New Roman" w:hAnsi="Times New Roman"/>
          <w:caps w:val="0"/>
        </w:rPr>
        <w:t>Washington, DC 20554</w:t>
      </w:r>
    </w:p>
    <w:p w:rsidR="007D15C3" w:rsidRPr="003C560E" w:rsidP="007D15C3">
      <w:pPr>
        <w:rPr>
          <w:szCs w:val="22"/>
        </w:rPr>
      </w:pPr>
    </w:p>
    <w:p w:rsidR="007D15C3" w:rsidRPr="003C560E" w:rsidP="007D15C3">
      <w:pPr>
        <w:rPr>
          <w:szCs w:val="22"/>
        </w:rPr>
      </w:pPr>
    </w:p>
    <w:tbl>
      <w:tblPr>
        <w:tblW w:w="0" w:type="auto"/>
        <w:tblLayout w:type="fixed"/>
        <w:tblLook w:val="0000"/>
      </w:tblPr>
      <w:tblGrid>
        <w:gridCol w:w="4698"/>
        <w:gridCol w:w="630"/>
        <w:gridCol w:w="4248"/>
      </w:tblGrid>
      <w:tr w:rsidTr="00274E20">
        <w:tblPrEx>
          <w:tblW w:w="0" w:type="auto"/>
          <w:tblLayout w:type="fixed"/>
          <w:tblLook w:val="0000"/>
        </w:tblPrEx>
        <w:tc>
          <w:tcPr>
            <w:tcW w:w="4698" w:type="dxa"/>
          </w:tcPr>
          <w:p w:rsidR="007D15C3" w:rsidP="00274E20">
            <w:pPr>
              <w:tabs>
                <w:tab w:val="center" w:pos="4680"/>
              </w:tabs>
              <w:suppressAutoHyphens/>
              <w:rPr>
                <w:spacing w:val="-2"/>
                <w:szCs w:val="22"/>
              </w:rPr>
            </w:pPr>
            <w:r>
              <w:rPr>
                <w:spacing w:val="-2"/>
                <w:szCs w:val="22"/>
              </w:rPr>
              <w:t xml:space="preserve">In the Matter of </w:t>
            </w:r>
          </w:p>
          <w:p w:rsidR="007D15C3" w:rsidRPr="00804676" w:rsidP="00274E20">
            <w:pPr>
              <w:tabs>
                <w:tab w:val="center" w:pos="4680"/>
              </w:tabs>
              <w:suppressAutoHyphens/>
              <w:rPr>
                <w:spacing w:val="-2"/>
                <w:szCs w:val="22"/>
              </w:rPr>
            </w:pPr>
          </w:p>
          <w:p w:rsidR="007D15C3" w:rsidP="00274E20">
            <w:pPr>
              <w:tabs>
                <w:tab w:val="center" w:pos="4680"/>
              </w:tabs>
              <w:suppressAutoHyphens/>
              <w:rPr>
                <w:spacing w:val="-2"/>
                <w:szCs w:val="22"/>
              </w:rPr>
            </w:pPr>
            <w:r w:rsidRPr="00804676">
              <w:rPr>
                <w:spacing w:val="-2"/>
                <w:szCs w:val="22"/>
              </w:rPr>
              <w:t>Assessment and Collection of Regulatory Fees for Fiscal Year 20</w:t>
            </w:r>
            <w:r>
              <w:rPr>
                <w:spacing w:val="-2"/>
                <w:szCs w:val="22"/>
              </w:rPr>
              <w:t>20</w:t>
            </w:r>
          </w:p>
          <w:p w:rsidR="007D15C3" w:rsidP="00274E20">
            <w:pPr>
              <w:tabs>
                <w:tab w:val="center" w:pos="4680"/>
              </w:tabs>
              <w:suppressAutoHyphens/>
              <w:rPr>
                <w:spacing w:val="-2"/>
                <w:szCs w:val="22"/>
              </w:rPr>
            </w:pPr>
          </w:p>
          <w:p w:rsidR="007D15C3" w:rsidRPr="003C560E" w:rsidP="00274E20">
            <w:pPr>
              <w:tabs>
                <w:tab w:val="center" w:pos="4680"/>
              </w:tabs>
              <w:suppressAutoHyphens/>
              <w:rPr>
                <w:spacing w:val="-2"/>
                <w:szCs w:val="22"/>
              </w:rPr>
            </w:pPr>
            <w:r>
              <w:rPr>
                <w:spacing w:val="-2"/>
                <w:szCs w:val="22"/>
              </w:rPr>
              <w:t>Assessment and Collection of Regulatory Fees for Fiscal Year 2019</w:t>
            </w:r>
          </w:p>
        </w:tc>
        <w:tc>
          <w:tcPr>
            <w:tcW w:w="630" w:type="dxa"/>
          </w:tcPr>
          <w:p w:rsidR="007D15C3" w:rsidRPr="003C560E" w:rsidP="00274E20">
            <w:pPr>
              <w:tabs>
                <w:tab w:val="center" w:pos="4680"/>
              </w:tabs>
              <w:suppressAutoHyphens/>
              <w:rPr>
                <w:b/>
                <w:spacing w:val="-2"/>
                <w:szCs w:val="22"/>
              </w:rPr>
            </w:pPr>
            <w:r w:rsidRPr="003C560E">
              <w:rPr>
                <w:b/>
                <w:spacing w:val="-2"/>
                <w:szCs w:val="22"/>
              </w:rPr>
              <w:t>)</w:t>
            </w:r>
          </w:p>
          <w:p w:rsidR="007D15C3" w:rsidRPr="003C560E" w:rsidP="00274E20">
            <w:pPr>
              <w:tabs>
                <w:tab w:val="center" w:pos="4680"/>
              </w:tabs>
              <w:suppressAutoHyphens/>
              <w:rPr>
                <w:b/>
                <w:spacing w:val="-2"/>
                <w:szCs w:val="22"/>
              </w:rPr>
            </w:pPr>
            <w:r w:rsidRPr="003C560E">
              <w:rPr>
                <w:b/>
                <w:spacing w:val="-2"/>
                <w:szCs w:val="22"/>
              </w:rPr>
              <w:t>)</w:t>
            </w:r>
          </w:p>
          <w:p w:rsidR="007D15C3" w:rsidRPr="003C560E" w:rsidP="00274E20">
            <w:pPr>
              <w:tabs>
                <w:tab w:val="center" w:pos="4680"/>
              </w:tabs>
              <w:suppressAutoHyphens/>
              <w:rPr>
                <w:b/>
                <w:spacing w:val="-2"/>
                <w:szCs w:val="22"/>
              </w:rPr>
            </w:pPr>
            <w:r w:rsidRPr="003C560E">
              <w:rPr>
                <w:b/>
                <w:spacing w:val="-2"/>
                <w:szCs w:val="22"/>
              </w:rPr>
              <w:t>)</w:t>
            </w:r>
          </w:p>
          <w:p w:rsidR="007D15C3" w:rsidRPr="003C560E" w:rsidP="00274E20">
            <w:pPr>
              <w:tabs>
                <w:tab w:val="center" w:pos="4680"/>
              </w:tabs>
              <w:suppressAutoHyphens/>
              <w:rPr>
                <w:b/>
                <w:spacing w:val="-2"/>
                <w:szCs w:val="22"/>
              </w:rPr>
            </w:pPr>
            <w:r w:rsidRPr="003C560E">
              <w:rPr>
                <w:b/>
                <w:spacing w:val="-2"/>
                <w:szCs w:val="22"/>
              </w:rPr>
              <w:t>)</w:t>
            </w:r>
          </w:p>
          <w:p w:rsidR="007D15C3" w:rsidP="00274E20">
            <w:pPr>
              <w:tabs>
                <w:tab w:val="center" w:pos="4680"/>
              </w:tabs>
              <w:suppressAutoHyphens/>
              <w:rPr>
                <w:b/>
                <w:spacing w:val="-2"/>
                <w:szCs w:val="22"/>
              </w:rPr>
            </w:pPr>
            <w:r w:rsidRPr="003C560E">
              <w:rPr>
                <w:b/>
                <w:spacing w:val="-2"/>
                <w:szCs w:val="22"/>
              </w:rPr>
              <w:t>)</w:t>
            </w:r>
          </w:p>
          <w:p w:rsidR="007D15C3" w:rsidP="00274E20">
            <w:pPr>
              <w:tabs>
                <w:tab w:val="center" w:pos="4680"/>
              </w:tabs>
              <w:suppressAutoHyphens/>
              <w:rPr>
                <w:b/>
                <w:spacing w:val="-2"/>
                <w:szCs w:val="22"/>
              </w:rPr>
            </w:pPr>
            <w:r>
              <w:rPr>
                <w:b/>
                <w:spacing w:val="-2"/>
                <w:szCs w:val="22"/>
              </w:rPr>
              <w:t>)</w:t>
            </w:r>
          </w:p>
          <w:p w:rsidR="007D15C3" w:rsidRPr="003C560E" w:rsidP="00274E20">
            <w:pPr>
              <w:tabs>
                <w:tab w:val="center" w:pos="4680"/>
              </w:tabs>
              <w:suppressAutoHyphens/>
              <w:rPr>
                <w:b/>
                <w:spacing w:val="-2"/>
                <w:szCs w:val="22"/>
              </w:rPr>
            </w:pPr>
            <w:r>
              <w:rPr>
                <w:b/>
                <w:spacing w:val="-2"/>
                <w:szCs w:val="22"/>
              </w:rPr>
              <w:t>)</w:t>
            </w:r>
          </w:p>
          <w:p w:rsidR="007D15C3" w:rsidRPr="003C560E" w:rsidP="00274E20">
            <w:pPr>
              <w:tabs>
                <w:tab w:val="center" w:pos="4680"/>
              </w:tabs>
              <w:suppressAutoHyphens/>
              <w:rPr>
                <w:spacing w:val="-2"/>
                <w:szCs w:val="22"/>
              </w:rPr>
            </w:pPr>
          </w:p>
        </w:tc>
        <w:tc>
          <w:tcPr>
            <w:tcW w:w="4248" w:type="dxa"/>
          </w:tcPr>
          <w:p w:rsidR="007D15C3" w:rsidRPr="003C560E" w:rsidP="00274E20">
            <w:pPr>
              <w:tabs>
                <w:tab w:val="center" w:pos="4680"/>
              </w:tabs>
              <w:suppressAutoHyphens/>
              <w:rPr>
                <w:spacing w:val="-2"/>
                <w:szCs w:val="22"/>
              </w:rPr>
            </w:pPr>
          </w:p>
          <w:p w:rsidR="007D15C3" w:rsidRPr="003C560E" w:rsidP="00274E20">
            <w:pPr>
              <w:pStyle w:val="TOAHeading"/>
              <w:tabs>
                <w:tab w:val="center" w:pos="4680"/>
                <w:tab w:val="clear" w:pos="9360"/>
              </w:tabs>
              <w:rPr>
                <w:spacing w:val="-2"/>
                <w:szCs w:val="22"/>
              </w:rPr>
            </w:pPr>
          </w:p>
          <w:p w:rsidR="007D15C3" w:rsidP="00274E20">
            <w:pPr>
              <w:tabs>
                <w:tab w:val="left" w:pos="2592"/>
              </w:tabs>
              <w:suppressAutoHyphens/>
              <w:rPr>
                <w:spacing w:val="-2"/>
                <w:szCs w:val="22"/>
              </w:rPr>
            </w:pPr>
            <w:r w:rsidRPr="003C560E">
              <w:rPr>
                <w:spacing w:val="-2"/>
                <w:szCs w:val="22"/>
              </w:rPr>
              <w:t xml:space="preserve">MD Docket No. </w:t>
            </w:r>
            <w:r>
              <w:rPr>
                <w:spacing w:val="-2"/>
                <w:szCs w:val="22"/>
              </w:rPr>
              <w:t>20-105</w:t>
            </w:r>
            <w:r w:rsidRPr="003C560E">
              <w:rPr>
                <w:spacing w:val="-2"/>
                <w:szCs w:val="22"/>
              </w:rPr>
              <w:tab/>
            </w:r>
          </w:p>
          <w:p w:rsidR="007D15C3" w:rsidP="00274E20">
            <w:pPr>
              <w:tabs>
                <w:tab w:val="left" w:pos="2592"/>
              </w:tabs>
              <w:suppressAutoHyphens/>
              <w:rPr>
                <w:spacing w:val="-2"/>
                <w:szCs w:val="22"/>
              </w:rPr>
            </w:pPr>
          </w:p>
          <w:p w:rsidR="007D15C3" w:rsidP="00274E20">
            <w:pPr>
              <w:tabs>
                <w:tab w:val="left" w:pos="2592"/>
              </w:tabs>
              <w:suppressAutoHyphens/>
              <w:rPr>
                <w:spacing w:val="-2"/>
                <w:szCs w:val="22"/>
              </w:rPr>
            </w:pPr>
          </w:p>
          <w:p w:rsidR="007D15C3" w:rsidRPr="003C560E" w:rsidP="00274E20">
            <w:pPr>
              <w:tabs>
                <w:tab w:val="left" w:pos="2592"/>
              </w:tabs>
              <w:suppressAutoHyphens/>
              <w:rPr>
                <w:spacing w:val="-2"/>
                <w:szCs w:val="22"/>
              </w:rPr>
            </w:pPr>
            <w:r>
              <w:rPr>
                <w:spacing w:val="-2"/>
                <w:szCs w:val="22"/>
              </w:rPr>
              <w:t>MD Docket No. 19-105</w:t>
            </w:r>
          </w:p>
        </w:tc>
      </w:tr>
    </w:tbl>
    <w:p w:rsidR="007D15C3" w:rsidRPr="003C560E" w:rsidP="007D15C3">
      <w:pPr>
        <w:rPr>
          <w:szCs w:val="22"/>
        </w:rPr>
      </w:pPr>
    </w:p>
    <w:p w:rsidR="007D15C3" w:rsidRPr="003C560E" w:rsidP="007D15C3">
      <w:pPr>
        <w:pStyle w:val="StyleBoldCentered"/>
        <w:rPr>
          <w:rFonts w:ascii="Times New Roman" w:hAnsi="Times New Roman"/>
        </w:rPr>
      </w:pPr>
      <w:r>
        <w:rPr>
          <w:rFonts w:ascii="Times New Roman" w:hAnsi="Times New Roman"/>
        </w:rPr>
        <w:t xml:space="preserve">report and Order and </w:t>
      </w:r>
      <w:r w:rsidRPr="003C560E">
        <w:rPr>
          <w:rFonts w:ascii="Times New Roman" w:hAnsi="Times New Roman"/>
        </w:rPr>
        <w:t>notice of proposed rulemaking</w:t>
      </w:r>
    </w:p>
    <w:p w:rsidR="007D15C3" w:rsidRPr="003C560E" w:rsidP="007D15C3">
      <w:pPr>
        <w:tabs>
          <w:tab w:val="left" w:pos="-720"/>
        </w:tabs>
        <w:suppressAutoHyphens/>
        <w:spacing w:line="227" w:lineRule="auto"/>
        <w:rPr>
          <w:spacing w:val="-2"/>
          <w:szCs w:val="22"/>
        </w:rPr>
      </w:pPr>
    </w:p>
    <w:p w:rsidR="007D15C3" w:rsidRPr="003C560E" w:rsidP="007D15C3">
      <w:pPr>
        <w:tabs>
          <w:tab w:val="left" w:pos="720"/>
          <w:tab w:val="right" w:pos="9360"/>
        </w:tabs>
        <w:suppressAutoHyphens/>
        <w:spacing w:line="227" w:lineRule="auto"/>
        <w:rPr>
          <w:spacing w:val="-2"/>
          <w:szCs w:val="22"/>
        </w:rPr>
      </w:pPr>
      <w:r w:rsidRPr="003C560E">
        <w:rPr>
          <w:b/>
          <w:spacing w:val="-2"/>
          <w:szCs w:val="22"/>
        </w:rPr>
        <w:t xml:space="preserve">Adopted:  </w:t>
      </w:r>
      <w:r w:rsidR="00BC400D">
        <w:rPr>
          <w:b/>
          <w:spacing w:val="-2"/>
          <w:szCs w:val="22"/>
        </w:rPr>
        <w:t>May 12, 2020</w:t>
      </w:r>
      <w:r w:rsidRPr="003C560E">
        <w:rPr>
          <w:b/>
          <w:spacing w:val="-2"/>
          <w:szCs w:val="22"/>
        </w:rPr>
        <w:tab/>
        <w:t xml:space="preserve">Released:  </w:t>
      </w:r>
      <w:r w:rsidR="00BC400D">
        <w:rPr>
          <w:b/>
          <w:spacing w:val="-2"/>
          <w:szCs w:val="22"/>
        </w:rPr>
        <w:t>May 13, 2020</w:t>
      </w:r>
    </w:p>
    <w:p w:rsidR="007D15C3" w:rsidRPr="003C560E" w:rsidP="007D15C3">
      <w:pPr>
        <w:rPr>
          <w:szCs w:val="22"/>
        </w:rPr>
      </w:pPr>
    </w:p>
    <w:p w:rsidR="007D15C3" w:rsidRPr="003C560E" w:rsidP="007D15C3">
      <w:pPr>
        <w:rPr>
          <w:spacing w:val="-2"/>
          <w:szCs w:val="22"/>
        </w:rPr>
      </w:pPr>
      <w:r>
        <w:t>By the Commission: Commissioner O’Rielly issuing a statement</w:t>
      </w:r>
      <w:r>
        <w:rPr>
          <w:spacing w:val="-2"/>
          <w:szCs w:val="22"/>
        </w:rPr>
        <w:t>.</w:t>
      </w:r>
    </w:p>
    <w:p w:rsidR="007D15C3" w:rsidRPr="003C560E" w:rsidP="007D15C3">
      <w:pPr>
        <w:rPr>
          <w:spacing w:val="-2"/>
          <w:szCs w:val="22"/>
        </w:rPr>
      </w:pPr>
    </w:p>
    <w:p w:rsidR="007D15C3" w:rsidRPr="003C560E" w:rsidP="007D15C3">
      <w:pPr>
        <w:tabs>
          <w:tab w:val="left" w:pos="7688"/>
        </w:tabs>
        <w:rPr>
          <w:b/>
          <w:spacing w:val="-2"/>
          <w:szCs w:val="22"/>
        </w:rPr>
      </w:pPr>
      <w:r w:rsidRPr="003C560E">
        <w:rPr>
          <w:b/>
          <w:spacing w:val="-2"/>
          <w:szCs w:val="22"/>
        </w:rPr>
        <w:t xml:space="preserve">Comment Date: </w:t>
      </w:r>
      <w:r w:rsidR="00BC400D">
        <w:rPr>
          <w:b/>
          <w:spacing w:val="-2"/>
          <w:szCs w:val="22"/>
        </w:rPr>
        <w:t xml:space="preserve"> June 12, 2020</w:t>
      </w:r>
      <w:r w:rsidRPr="003C560E">
        <w:rPr>
          <w:b/>
          <w:spacing w:val="-2"/>
          <w:szCs w:val="22"/>
        </w:rPr>
        <w:tab/>
      </w:r>
    </w:p>
    <w:p w:rsidR="007D15C3" w:rsidP="007D15C3">
      <w:pPr>
        <w:rPr>
          <w:b/>
          <w:spacing w:val="-2"/>
          <w:szCs w:val="22"/>
        </w:rPr>
      </w:pPr>
      <w:r w:rsidRPr="003C560E">
        <w:rPr>
          <w:b/>
          <w:spacing w:val="-2"/>
          <w:szCs w:val="22"/>
        </w:rPr>
        <w:t>Reply Comment Date</w:t>
      </w:r>
      <w:r w:rsidRPr="00BC400D">
        <w:rPr>
          <w:b/>
          <w:bCs/>
          <w:spacing w:val="-2"/>
          <w:szCs w:val="22"/>
        </w:rPr>
        <w:t>:</w:t>
      </w:r>
      <w:r w:rsidRPr="003C560E">
        <w:rPr>
          <w:spacing w:val="-2"/>
          <w:szCs w:val="22"/>
        </w:rPr>
        <w:t xml:space="preserve"> </w:t>
      </w:r>
      <w:r w:rsidR="00BC400D">
        <w:rPr>
          <w:b/>
          <w:spacing w:val="-2"/>
          <w:szCs w:val="22"/>
        </w:rPr>
        <w:t xml:space="preserve"> June 29, 2020</w:t>
      </w:r>
    </w:p>
    <w:p w:rsidR="007D15C3" w:rsidP="007D15C3">
      <w:pPr>
        <w:pStyle w:val="TOCTitle"/>
      </w:pPr>
      <w:bookmarkStart w:id="0" w:name="TOChere"/>
      <w:bookmarkStart w:id="1" w:name="_Toc6326135"/>
      <w:bookmarkStart w:id="2" w:name="_Toc26536852"/>
      <w:bookmarkStart w:id="3" w:name="_Toc29915869"/>
      <w:bookmarkStart w:id="4" w:name="_Toc30000064"/>
      <w:bookmarkStart w:id="5" w:name="_Toc31023897"/>
      <w:r>
        <w:t>Table of Contents</w:t>
      </w:r>
      <w:bookmarkStart w:id="6" w:name="start_here"/>
      <w:bookmarkEnd w:id="6"/>
    </w:p>
    <w:p w:rsidR="007D15C3" w:rsidRPr="007D15C3" w:rsidP="007D15C3">
      <w:pPr>
        <w:pStyle w:val="TOC1"/>
        <w:rPr>
          <w:rFonts w:ascii="Calibri" w:hAnsi="Calibri"/>
          <w:caps w:val="0"/>
          <w:snapToGrid/>
          <w:kern w:val="0"/>
          <w:szCs w:val="22"/>
        </w:rPr>
      </w:pPr>
      <w:r w:rsidRPr="007F2769">
        <w:t>I.</w:t>
      </w:r>
      <w:r w:rsidRPr="007D15C3">
        <w:rPr>
          <w:rFonts w:ascii="Calibri" w:hAnsi="Calibri"/>
          <w:caps w:val="0"/>
          <w:snapToGrid/>
          <w:kern w:val="0"/>
          <w:szCs w:val="22"/>
        </w:rPr>
        <w:tab/>
      </w:r>
      <w:r w:rsidRPr="007F2769">
        <w:t>introduction</w:t>
      </w:r>
      <w:r>
        <w:tab/>
        <w:t>1</w:t>
      </w:r>
    </w:p>
    <w:p w:rsidR="007D15C3" w:rsidRPr="007D15C3" w:rsidP="007D15C3">
      <w:pPr>
        <w:pStyle w:val="TOC1"/>
        <w:rPr>
          <w:rFonts w:ascii="Calibri" w:hAnsi="Calibri"/>
          <w:caps w:val="0"/>
          <w:snapToGrid/>
          <w:kern w:val="0"/>
          <w:szCs w:val="22"/>
        </w:rPr>
      </w:pPr>
      <w:r w:rsidRPr="007F2769">
        <w:t>II.</w:t>
      </w:r>
      <w:r w:rsidRPr="007D15C3">
        <w:rPr>
          <w:rFonts w:ascii="Calibri" w:hAnsi="Calibri"/>
          <w:caps w:val="0"/>
          <w:snapToGrid/>
          <w:kern w:val="0"/>
          <w:szCs w:val="22"/>
        </w:rPr>
        <w:tab/>
      </w:r>
      <w:r w:rsidRPr="007F2769">
        <w:t>background</w:t>
      </w:r>
      <w:r>
        <w:tab/>
        <w:t>2</w:t>
      </w:r>
    </w:p>
    <w:p w:rsidR="007D15C3" w:rsidRPr="007D15C3" w:rsidP="007D15C3">
      <w:pPr>
        <w:pStyle w:val="TOC1"/>
        <w:rPr>
          <w:rFonts w:ascii="Calibri" w:hAnsi="Calibri"/>
          <w:caps w:val="0"/>
          <w:snapToGrid/>
          <w:kern w:val="0"/>
          <w:szCs w:val="22"/>
        </w:rPr>
      </w:pPr>
      <w:r>
        <w:t>III.</w:t>
      </w:r>
      <w:r w:rsidRPr="007D15C3">
        <w:rPr>
          <w:rFonts w:ascii="Calibri" w:hAnsi="Calibri"/>
          <w:caps w:val="0"/>
          <w:snapToGrid/>
          <w:kern w:val="0"/>
          <w:szCs w:val="22"/>
        </w:rPr>
        <w:tab/>
      </w:r>
      <w:r>
        <w:t>report and order</w:t>
      </w:r>
      <w:r>
        <w:tab/>
        <w:t>6</w:t>
      </w:r>
    </w:p>
    <w:p w:rsidR="007D15C3" w:rsidRPr="007D15C3" w:rsidP="007D15C3">
      <w:pPr>
        <w:pStyle w:val="TOC2"/>
        <w:tabs>
          <w:tab w:val="left" w:pos="360"/>
        </w:tabs>
        <w:rPr>
          <w:rFonts w:ascii="Calibri" w:hAnsi="Calibri"/>
          <w:snapToGrid/>
          <w:kern w:val="0"/>
          <w:szCs w:val="22"/>
        </w:rPr>
      </w:pPr>
      <w:r>
        <w:t>A.</w:t>
      </w:r>
      <w:r w:rsidRPr="007D15C3">
        <w:rPr>
          <w:rFonts w:ascii="Calibri" w:hAnsi="Calibri"/>
          <w:snapToGrid/>
          <w:kern w:val="0"/>
          <w:szCs w:val="22"/>
        </w:rPr>
        <w:tab/>
      </w:r>
      <w:r>
        <w:t>Assessing Regulatory Fees on Non-U.S. Licensed Space Stations with U.S. Market Access</w:t>
      </w:r>
      <w:r>
        <w:tab/>
        <w:t>7</w:t>
      </w:r>
    </w:p>
    <w:p w:rsidR="007D15C3" w:rsidRPr="007D15C3" w:rsidP="007D15C3">
      <w:pPr>
        <w:pStyle w:val="TOC2"/>
        <w:tabs>
          <w:tab w:val="left" w:pos="360"/>
        </w:tabs>
        <w:rPr>
          <w:rFonts w:ascii="Calibri" w:hAnsi="Calibri"/>
          <w:snapToGrid/>
          <w:kern w:val="0"/>
          <w:szCs w:val="22"/>
        </w:rPr>
      </w:pPr>
      <w:r>
        <w:t>B.</w:t>
      </w:r>
      <w:r w:rsidRPr="007D15C3">
        <w:rPr>
          <w:rFonts w:ascii="Calibri" w:hAnsi="Calibri"/>
          <w:snapToGrid/>
          <w:kern w:val="0"/>
          <w:szCs w:val="22"/>
        </w:rPr>
        <w:tab/>
      </w:r>
      <w:r>
        <w:t>Apportionment of Fees among International Bureau Regulatees</w:t>
      </w:r>
      <w:r>
        <w:tab/>
        <w:t>35</w:t>
      </w:r>
    </w:p>
    <w:p w:rsidR="007D15C3" w:rsidRPr="007D15C3" w:rsidP="007D15C3">
      <w:pPr>
        <w:pStyle w:val="TOC2"/>
        <w:tabs>
          <w:tab w:val="left" w:pos="360"/>
        </w:tabs>
        <w:rPr>
          <w:rFonts w:ascii="Calibri" w:hAnsi="Calibri"/>
          <w:snapToGrid/>
          <w:kern w:val="0"/>
          <w:szCs w:val="22"/>
        </w:rPr>
      </w:pPr>
      <w:r>
        <w:t>C.</w:t>
      </w:r>
      <w:r w:rsidRPr="007D15C3">
        <w:rPr>
          <w:rFonts w:ascii="Calibri" w:hAnsi="Calibri"/>
          <w:snapToGrid/>
          <w:kern w:val="0"/>
          <w:szCs w:val="22"/>
        </w:rPr>
        <w:tab/>
      </w:r>
      <w:r>
        <w:t>Regulatory Fees Paid by VHF Broadcasters</w:t>
      </w:r>
      <w:r>
        <w:tab/>
        <w:t>49</w:t>
      </w:r>
    </w:p>
    <w:p w:rsidR="007D15C3" w:rsidRPr="007D15C3" w:rsidP="007D15C3">
      <w:pPr>
        <w:pStyle w:val="TOC1"/>
        <w:rPr>
          <w:rFonts w:ascii="Calibri" w:hAnsi="Calibri"/>
          <w:caps w:val="0"/>
          <w:snapToGrid/>
          <w:kern w:val="0"/>
          <w:szCs w:val="22"/>
        </w:rPr>
      </w:pPr>
      <w:r>
        <w:t>IV.</w:t>
      </w:r>
      <w:r w:rsidRPr="007D15C3">
        <w:rPr>
          <w:rFonts w:ascii="Calibri" w:hAnsi="Calibri"/>
          <w:caps w:val="0"/>
          <w:snapToGrid/>
          <w:kern w:val="0"/>
          <w:szCs w:val="22"/>
        </w:rPr>
        <w:tab/>
      </w:r>
      <w:r>
        <w:t>Notice of proposed rulemaking</w:t>
      </w:r>
      <w:r>
        <w:tab/>
        <w:t>53</w:t>
      </w:r>
    </w:p>
    <w:p w:rsidR="007D15C3" w:rsidRPr="007D15C3" w:rsidP="007D15C3">
      <w:pPr>
        <w:pStyle w:val="TOC2"/>
        <w:tabs>
          <w:tab w:val="left" w:pos="360"/>
        </w:tabs>
        <w:rPr>
          <w:rFonts w:ascii="Calibri" w:hAnsi="Calibri"/>
          <w:snapToGrid/>
          <w:kern w:val="0"/>
          <w:szCs w:val="22"/>
        </w:rPr>
      </w:pPr>
      <w:r>
        <w:t>A.</w:t>
      </w:r>
      <w:r w:rsidRPr="007D15C3">
        <w:rPr>
          <w:rFonts w:ascii="Calibri" w:hAnsi="Calibri"/>
          <w:snapToGrid/>
          <w:kern w:val="0"/>
          <w:szCs w:val="22"/>
        </w:rPr>
        <w:tab/>
      </w:r>
      <w:r>
        <w:t>Allocating FTEs for FY 2020</w:t>
      </w:r>
      <w:r>
        <w:tab/>
        <w:t>56</w:t>
      </w:r>
    </w:p>
    <w:p w:rsidR="007D15C3" w:rsidRPr="007D15C3" w:rsidP="007D15C3">
      <w:pPr>
        <w:pStyle w:val="TOC2"/>
        <w:tabs>
          <w:tab w:val="left" w:pos="360"/>
        </w:tabs>
        <w:rPr>
          <w:rFonts w:ascii="Calibri" w:hAnsi="Calibri"/>
          <w:snapToGrid/>
          <w:kern w:val="0"/>
          <w:szCs w:val="22"/>
        </w:rPr>
      </w:pPr>
      <w:r>
        <w:t>B.</w:t>
      </w:r>
      <w:r w:rsidRPr="007D15C3">
        <w:rPr>
          <w:rFonts w:ascii="Calibri" w:hAnsi="Calibri"/>
          <w:snapToGrid/>
          <w:kern w:val="0"/>
          <w:szCs w:val="22"/>
        </w:rPr>
        <w:tab/>
      </w:r>
      <w:r>
        <w:t>International Bearer Circuits</w:t>
      </w:r>
      <w:r>
        <w:tab/>
        <w:t>59</w:t>
      </w:r>
    </w:p>
    <w:p w:rsidR="007D15C3" w:rsidRPr="007D15C3" w:rsidP="007D15C3">
      <w:pPr>
        <w:pStyle w:val="TOC2"/>
        <w:tabs>
          <w:tab w:val="left" w:pos="360"/>
        </w:tabs>
        <w:rPr>
          <w:rFonts w:ascii="Calibri" w:hAnsi="Calibri"/>
          <w:snapToGrid/>
          <w:kern w:val="0"/>
          <w:szCs w:val="22"/>
        </w:rPr>
      </w:pPr>
      <w:r>
        <w:t>C.</w:t>
      </w:r>
      <w:r w:rsidRPr="007D15C3">
        <w:rPr>
          <w:rFonts w:ascii="Calibri" w:hAnsi="Calibri"/>
          <w:snapToGrid/>
          <w:kern w:val="0"/>
          <w:szCs w:val="22"/>
        </w:rPr>
        <w:tab/>
      </w:r>
      <w:r>
        <w:t>Television Broadcaster Issues</w:t>
      </w:r>
      <w:r>
        <w:tab/>
        <w:t>66</w:t>
      </w:r>
    </w:p>
    <w:p w:rsidR="007D15C3" w:rsidRPr="007D15C3" w:rsidP="007D15C3">
      <w:pPr>
        <w:pStyle w:val="TOC2"/>
        <w:tabs>
          <w:tab w:val="left" w:pos="360"/>
        </w:tabs>
        <w:rPr>
          <w:rFonts w:ascii="Calibri" w:hAnsi="Calibri"/>
          <w:snapToGrid/>
          <w:kern w:val="0"/>
          <w:szCs w:val="22"/>
        </w:rPr>
      </w:pPr>
      <w:r>
        <w:t>D.</w:t>
      </w:r>
      <w:r w:rsidRPr="007D15C3">
        <w:rPr>
          <w:rFonts w:ascii="Calibri" w:hAnsi="Calibri"/>
          <w:snapToGrid/>
          <w:kern w:val="0"/>
          <w:szCs w:val="22"/>
        </w:rPr>
        <w:tab/>
      </w:r>
      <w:r>
        <w:t>Direct Broadcast Satellite Regulatory Fees</w:t>
      </w:r>
      <w:r>
        <w:tab/>
        <w:t>71</w:t>
      </w:r>
    </w:p>
    <w:p w:rsidR="007D15C3" w:rsidRPr="007D15C3" w:rsidP="007D15C3">
      <w:pPr>
        <w:pStyle w:val="TOC2"/>
        <w:tabs>
          <w:tab w:val="left" w:pos="360"/>
        </w:tabs>
        <w:rPr>
          <w:rFonts w:ascii="Calibri" w:hAnsi="Calibri"/>
          <w:snapToGrid/>
          <w:kern w:val="0"/>
          <w:szCs w:val="22"/>
        </w:rPr>
      </w:pPr>
      <w:r>
        <w:t>E.</w:t>
      </w:r>
      <w:r w:rsidRPr="007D15C3">
        <w:rPr>
          <w:rFonts w:ascii="Calibri" w:hAnsi="Calibri"/>
          <w:snapToGrid/>
          <w:kern w:val="0"/>
          <w:szCs w:val="22"/>
        </w:rPr>
        <w:tab/>
      </w:r>
      <w:r>
        <w:t>Economic Effects of COVID-19 Pandemic</w:t>
      </w:r>
      <w:r>
        <w:tab/>
        <w:t>73</w:t>
      </w:r>
    </w:p>
    <w:p w:rsidR="007D15C3" w:rsidRPr="007D15C3" w:rsidP="007D15C3">
      <w:pPr>
        <w:pStyle w:val="TOC2"/>
        <w:tabs>
          <w:tab w:val="left" w:pos="360"/>
        </w:tabs>
        <w:rPr>
          <w:rFonts w:ascii="Calibri" w:hAnsi="Calibri"/>
          <w:snapToGrid/>
          <w:kern w:val="0"/>
          <w:szCs w:val="22"/>
        </w:rPr>
      </w:pPr>
      <w:r>
        <w:t>F.</w:t>
      </w:r>
      <w:r w:rsidRPr="007D15C3">
        <w:rPr>
          <w:rFonts w:ascii="Calibri" w:hAnsi="Calibri"/>
          <w:snapToGrid/>
          <w:kern w:val="0"/>
          <w:szCs w:val="22"/>
        </w:rPr>
        <w:tab/>
      </w:r>
      <w:r>
        <w:t>Additional Regulatory Fee Reform</w:t>
      </w:r>
      <w:r>
        <w:tab/>
        <w:t>76</w:t>
      </w:r>
    </w:p>
    <w:p w:rsidR="007D15C3" w:rsidRPr="007D15C3" w:rsidP="007D15C3">
      <w:pPr>
        <w:pStyle w:val="TOC1"/>
        <w:rPr>
          <w:rFonts w:ascii="Calibri" w:hAnsi="Calibri"/>
          <w:caps w:val="0"/>
          <w:snapToGrid/>
          <w:kern w:val="0"/>
          <w:szCs w:val="22"/>
        </w:rPr>
      </w:pPr>
      <w:r w:rsidRPr="007F2769">
        <w:t>V.</w:t>
      </w:r>
      <w:r w:rsidRPr="007D15C3">
        <w:rPr>
          <w:rFonts w:ascii="Calibri" w:hAnsi="Calibri"/>
          <w:caps w:val="0"/>
          <w:snapToGrid/>
          <w:kern w:val="0"/>
          <w:szCs w:val="22"/>
        </w:rPr>
        <w:tab/>
      </w:r>
      <w:r w:rsidRPr="007F2769">
        <w:t>procedural matters</w:t>
      </w:r>
      <w:r>
        <w:tab/>
        <w:t>77</w:t>
      </w:r>
    </w:p>
    <w:p w:rsidR="007D15C3" w:rsidRPr="007D15C3" w:rsidP="007D15C3">
      <w:pPr>
        <w:pStyle w:val="TOC1"/>
        <w:rPr>
          <w:rFonts w:ascii="Calibri" w:hAnsi="Calibri"/>
          <w:caps w:val="0"/>
          <w:snapToGrid/>
          <w:kern w:val="0"/>
          <w:szCs w:val="22"/>
        </w:rPr>
      </w:pPr>
      <w:r w:rsidRPr="007F2769">
        <w:t>VI.</w:t>
      </w:r>
      <w:r w:rsidRPr="007D15C3">
        <w:rPr>
          <w:rFonts w:ascii="Calibri" w:hAnsi="Calibri"/>
          <w:caps w:val="0"/>
          <w:snapToGrid/>
          <w:kern w:val="0"/>
          <w:szCs w:val="22"/>
        </w:rPr>
        <w:tab/>
      </w:r>
      <w:r w:rsidRPr="007F2769">
        <w:t>Ordering clauseS</w:t>
      </w:r>
      <w:r>
        <w:tab/>
        <w:t>90</w:t>
      </w:r>
    </w:p>
    <w:bookmarkEnd w:id="0"/>
    <w:p w:rsidR="007D15C3" w:rsidP="007D15C3">
      <w:pPr>
        <w:ind w:left="450"/>
      </w:pPr>
      <w:r>
        <w:t>APPENDIX A—List of Commenters and Reply Commenters</w:t>
      </w:r>
    </w:p>
    <w:p w:rsidR="007D15C3" w:rsidP="007D15C3">
      <w:pPr>
        <w:ind w:left="450"/>
      </w:pPr>
      <w:r>
        <w:t>APPENDIX B—Calculation of FY 2020 Revenue Requirements and Pro-Rata Fees</w:t>
      </w:r>
    </w:p>
    <w:p w:rsidR="007D15C3" w:rsidP="007D15C3">
      <w:pPr>
        <w:ind w:left="450"/>
      </w:pPr>
      <w:r>
        <w:t>APPENDIX C—FY 2020 Schedule of Regulatory Fees</w:t>
      </w:r>
    </w:p>
    <w:p w:rsidR="007D15C3" w:rsidP="007D15C3">
      <w:pPr>
        <w:ind w:left="450"/>
      </w:pPr>
      <w:r>
        <w:t>APPENDIX D—Sources of Payment Unit Estimates for FY 2020</w:t>
      </w:r>
    </w:p>
    <w:p w:rsidR="007D15C3" w:rsidP="007D15C3">
      <w:pPr>
        <w:ind w:left="450"/>
      </w:pPr>
      <w:r>
        <w:t xml:space="preserve">APPENDIX E—Factors, Measurements, and Calculations that Determine Signal Contours and </w:t>
      </w:r>
      <w:r>
        <w:tab/>
      </w:r>
      <w:r>
        <w:tab/>
      </w:r>
      <w:r>
        <w:tab/>
        <w:t xml:space="preserve">        Associated Population Coverages</w:t>
      </w:r>
    </w:p>
    <w:p w:rsidR="007D15C3" w:rsidP="007D15C3">
      <w:pPr>
        <w:ind w:left="450"/>
      </w:pPr>
      <w:r>
        <w:t>APPENDIX F—Space Station Satellite Charges for FY 2020 Regulatory Fees</w:t>
      </w:r>
    </w:p>
    <w:p w:rsidR="007D15C3" w:rsidP="007D15C3">
      <w:pPr>
        <w:ind w:left="450"/>
      </w:pPr>
      <w:r>
        <w:t>APPENDIX G—FY 2020 Full-Service Broadcast Television Stations, by Call Sign</w:t>
      </w:r>
    </w:p>
    <w:p w:rsidR="007D15C3" w:rsidP="007D15C3">
      <w:pPr>
        <w:ind w:left="450"/>
      </w:pPr>
      <w:r>
        <w:t>APPENDIX H—FY 2019 Regulatory Fees</w:t>
      </w:r>
    </w:p>
    <w:p w:rsidR="007D15C3" w:rsidP="007D15C3">
      <w:pPr>
        <w:ind w:left="450"/>
      </w:pPr>
      <w:r>
        <w:t>APPENDIX I—Final Regulatory Flexibility Analysis</w:t>
      </w:r>
    </w:p>
    <w:p w:rsidR="007D15C3" w:rsidP="007D15C3">
      <w:pPr>
        <w:ind w:left="450"/>
      </w:pPr>
      <w:r>
        <w:t>APPENDIX J—Initial Regulatory Flexibility Analysis</w:t>
      </w:r>
    </w:p>
    <w:p w:rsidR="007D15C3" w:rsidP="007D15C3"/>
    <w:p w:rsidR="007D15C3" w:rsidRPr="003C560E" w:rsidP="007D15C3">
      <w:pPr>
        <w:pStyle w:val="Heading1"/>
        <w:rPr>
          <w:rFonts w:ascii="Times New Roman" w:hAnsi="Times New Roman"/>
          <w:szCs w:val="22"/>
        </w:rPr>
      </w:pPr>
      <w:bookmarkStart w:id="7" w:name="_Toc36903635"/>
      <w:bookmarkStart w:id="8" w:name="_Toc38017889"/>
      <w:bookmarkStart w:id="9" w:name="_Toc40091663"/>
      <w:r w:rsidRPr="003C560E">
        <w:rPr>
          <w:rFonts w:ascii="Times New Roman" w:hAnsi="Times New Roman"/>
          <w:szCs w:val="22"/>
        </w:rPr>
        <w:t>introduction</w:t>
      </w:r>
      <w:bookmarkEnd w:id="1"/>
      <w:bookmarkEnd w:id="2"/>
      <w:bookmarkEnd w:id="3"/>
      <w:bookmarkEnd w:id="4"/>
      <w:bookmarkEnd w:id="5"/>
      <w:bookmarkEnd w:id="7"/>
      <w:bookmarkEnd w:id="8"/>
      <w:bookmarkEnd w:id="9"/>
    </w:p>
    <w:p w:rsidR="007D15C3" w:rsidP="007D15C3">
      <w:pPr>
        <w:pStyle w:val="ParaNum"/>
      </w:pPr>
      <w:r w:rsidRPr="007876B4">
        <w:t>In</w:t>
      </w:r>
      <w:r w:rsidRPr="003C560E">
        <w:t xml:space="preserve"> this </w:t>
      </w:r>
      <w:r w:rsidRPr="001F4993">
        <w:t>Report</w:t>
      </w:r>
      <w:r>
        <w:t xml:space="preserve"> and Order and </w:t>
      </w:r>
      <w:r w:rsidRPr="003C560E">
        <w:t>Notice of Proposed Rulemaking</w:t>
      </w:r>
      <w:r>
        <w:t xml:space="preserve">, we follow through on our proposal in the </w:t>
      </w:r>
      <w:r w:rsidRPr="3C85307C">
        <w:rPr>
          <w:i/>
          <w:iCs/>
        </w:rPr>
        <w:t>FY 2019 Report and Order and Further Notice of Proposed Rulemaking</w:t>
      </w:r>
      <w:r>
        <w:rPr>
          <w:rStyle w:val="FootnoteReference"/>
        </w:rPr>
        <w:footnoteReference w:id="3"/>
      </w:r>
      <w:r>
        <w:t xml:space="preserve"> to level the playing field between domestic and foreign licensed space stations by assessing a regulatory fee on </w:t>
      </w:r>
      <w:r w:rsidRPr="007F3A7B">
        <w:t xml:space="preserve">commercial space stations </w:t>
      </w:r>
      <w:r w:rsidRPr="00894D7A">
        <w:t>licensed</w:t>
      </w:r>
      <w:r w:rsidRPr="007F3A7B">
        <w:t xml:space="preserve"> by other administrations </w:t>
      </w:r>
      <w:r>
        <w:t xml:space="preserve">(non-U.S. licensed space stations) with United States market access, among other things.  We also seek comment on the Commission’s proposed regulatory fees for fiscal year (FY) 2020.  Specifically, we propose to </w:t>
      </w:r>
      <w:r w:rsidRPr="003C560E">
        <w:t>collect $</w:t>
      </w:r>
      <w:r>
        <w:t xml:space="preserve">339,000,000 </w:t>
      </w:r>
      <w:r w:rsidRPr="003C560E">
        <w:t>in regulatory fees for FY 20</w:t>
      </w:r>
      <w:r>
        <w:t>20</w:t>
      </w:r>
      <w:r w:rsidRPr="003C560E">
        <w:t>,</w:t>
      </w:r>
      <w:r>
        <w:rPr>
          <w:rStyle w:val="FootnoteReference"/>
        </w:rPr>
        <w:footnoteReference w:id="4"/>
      </w:r>
      <w:r>
        <w:t xml:space="preserve"> pursuant to sections 9 and 9A of the Communications Act of 1934, as amended (Act or Communications Act), and the Commission’s FY 2020 Appropriation.</w:t>
      </w:r>
      <w:r>
        <w:rPr>
          <w:rStyle w:val="FootnoteReference"/>
        </w:rPr>
        <w:footnoteReference w:id="5"/>
      </w:r>
      <w:r w:rsidRPr="003C560E">
        <w:t xml:space="preserve"> </w:t>
      </w:r>
      <w:r>
        <w:t xml:space="preserve"> </w:t>
      </w:r>
    </w:p>
    <w:p w:rsidR="007D15C3" w:rsidRPr="003C560E" w:rsidP="007D15C3">
      <w:pPr>
        <w:pStyle w:val="Heading1"/>
        <w:rPr>
          <w:rFonts w:ascii="Times New Roman" w:hAnsi="Times New Roman"/>
          <w:szCs w:val="22"/>
        </w:rPr>
      </w:pPr>
      <w:bookmarkStart w:id="10" w:name="_Toc6326136"/>
      <w:bookmarkStart w:id="11" w:name="_Toc26536853"/>
      <w:bookmarkStart w:id="12" w:name="_Toc29915870"/>
      <w:bookmarkStart w:id="13" w:name="_Toc30000065"/>
      <w:bookmarkStart w:id="14" w:name="_Toc31023898"/>
      <w:bookmarkStart w:id="15" w:name="_Toc36903636"/>
      <w:bookmarkStart w:id="16" w:name="_Toc38017890"/>
      <w:bookmarkStart w:id="17" w:name="_Toc40091664"/>
      <w:r w:rsidRPr="003C560E">
        <w:rPr>
          <w:rFonts w:ascii="Times New Roman" w:hAnsi="Times New Roman"/>
          <w:szCs w:val="22"/>
        </w:rPr>
        <w:t>background</w:t>
      </w:r>
      <w:bookmarkEnd w:id="10"/>
      <w:bookmarkEnd w:id="11"/>
      <w:bookmarkEnd w:id="12"/>
      <w:bookmarkEnd w:id="13"/>
      <w:bookmarkEnd w:id="14"/>
      <w:bookmarkEnd w:id="15"/>
      <w:bookmarkEnd w:id="16"/>
      <w:bookmarkEnd w:id="17"/>
    </w:p>
    <w:p w:rsidR="007D15C3" w:rsidRPr="005F6BC2" w:rsidP="007D15C3">
      <w:pPr>
        <w:pStyle w:val="ParaNum"/>
      </w:pPr>
      <w:bookmarkStart w:id="18" w:name="_Hlk536608326"/>
      <w:r w:rsidRPr="005F6BC2">
        <w:t>The Commission is required by Congress to assess regulatory fees each year in an amount that can reasonably be expected to equal the amount of its appropriation.</w:t>
      </w:r>
      <w:r>
        <w:rPr>
          <w:rStyle w:val="FootnoteReference"/>
          <w:sz w:val="22"/>
          <w:szCs w:val="22"/>
        </w:rPr>
        <w:footnoteReference w:id="6"/>
      </w:r>
      <w:r w:rsidRPr="005F6BC2">
        <w:t xml:space="preserve">  Regulatory fees recover direct costs, such as salary and expenses</w:t>
      </w:r>
      <w:r>
        <w:t>;</w:t>
      </w:r>
      <w:r w:rsidRPr="005F6BC2">
        <w:t xml:space="preserve"> indirect costs, such as overhead functions</w:t>
      </w:r>
      <w:r>
        <w:t>;</w:t>
      </w:r>
      <w:r w:rsidRPr="005F6BC2">
        <w:t xml:space="preserve"> and support costs, such as rent, utilities, and equipment.</w:t>
      </w:r>
      <w:r>
        <w:rPr>
          <w:rStyle w:val="FootnoteReference"/>
          <w:sz w:val="22"/>
          <w:szCs w:val="22"/>
        </w:rPr>
        <w:footnoteReference w:id="7"/>
      </w:r>
      <w:r w:rsidRPr="005F6BC2">
        <w:t xml:space="preserve">  Regulatory fees also cover the costs incurred in regulating entities that are statutorily exempt from paying regulatory fees (</w:t>
      </w:r>
      <w:r>
        <w:t>e</w:t>
      </w:r>
      <w:r w:rsidRPr="005F6BC2">
        <w:t>.</w:t>
      </w:r>
      <w:r>
        <w:t>g</w:t>
      </w:r>
      <w:r w:rsidRPr="005F6BC2">
        <w:t>., governmental and nonprofit entities, amateur radio operators, and noncommercial radio and television stations)</w:t>
      </w:r>
      <w:r>
        <w:rPr>
          <w:rStyle w:val="FootnoteReference"/>
          <w:sz w:val="22"/>
          <w:szCs w:val="22"/>
        </w:rPr>
        <w:footnoteReference w:id="8"/>
      </w:r>
      <w:r w:rsidRPr="005F6BC2">
        <w:t xml:space="preserve"> and entities whose regulatory fees are waived.</w:t>
      </w:r>
      <w:r>
        <w:rPr>
          <w:rStyle w:val="FootnoteReference"/>
          <w:sz w:val="22"/>
          <w:szCs w:val="22"/>
        </w:rPr>
        <w:footnoteReference w:id="9"/>
      </w:r>
      <w:r w:rsidRPr="005F6BC2">
        <w:t xml:space="preserve">  </w:t>
      </w:r>
    </w:p>
    <w:p w:rsidR="007D15C3" w:rsidRPr="007E19B2" w:rsidP="007D15C3">
      <w:pPr>
        <w:pStyle w:val="ParaNum"/>
        <w:widowControl/>
      </w:pPr>
      <w:r w:rsidRPr="4BBD8B65">
        <w:t>The Commission’s methodology for assessing regulatory fees must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rPr>
        <w:footnoteReference w:id="10"/>
      </w:r>
      <w:r w:rsidRPr="4BBD8B65">
        <w:t xml:space="preserve">  Since 2012, the Commission has assessed the allocation of </w:t>
      </w:r>
      <w:r w:rsidRPr="005F6BC2">
        <w:t>full-time equivalents (FTE)</w:t>
      </w:r>
      <w:r>
        <w:rPr>
          <w:rStyle w:val="FootnoteReference"/>
        </w:rPr>
        <w:footnoteReference w:id="11"/>
      </w:r>
      <w:r w:rsidRPr="005F6BC2">
        <w:t xml:space="preserve"> by first determining the number of FTEs in each “core” bureau that carries out licensing activities (i.e., the Wireless Telecommunications Bureau, Media Bureau, Wireline Competition </w:t>
      </w:r>
      <w:r w:rsidRPr="005F6BC2">
        <w:t>Bureau, and International Bureau) and then attributing all other FTEs to payor categories based on these core FTE allocations.</w:t>
      </w:r>
      <w:r>
        <w:rPr>
          <w:rStyle w:val="FootnoteReference"/>
        </w:rPr>
        <w:footnoteReference w:id="12"/>
      </w:r>
    </w:p>
    <w:p w:rsidR="007D15C3" w:rsidP="007D15C3">
      <w:pPr>
        <w:pStyle w:val="ParaNum"/>
      </w:pPr>
      <w:r w:rsidRPr="4BBD8B65">
        <w:t xml:space="preserve">As part of its annual regulatory fee rulemaking process, the Commission seeks comment to improve the regulatory fee methodology and has adopted significant regulatory fee reforms.  </w:t>
      </w:r>
      <w:r>
        <w:t>Since 2013, the Commission has made numerous reforms to the regulatory fee schedule.</w:t>
      </w:r>
      <w:r>
        <w:rPr>
          <w:rStyle w:val="FootnoteReference"/>
        </w:rPr>
        <w:footnoteReference w:id="13"/>
      </w:r>
      <w:r>
        <w:t xml:space="preserve">  </w:t>
      </w:r>
      <w:bookmarkStart w:id="19" w:name="_Hlk5291500"/>
      <w:r w:rsidRPr="00F333AF">
        <w:t>Last year we adopted several amendments to our rules</w:t>
      </w:r>
      <w:r>
        <w:rPr>
          <w:rStyle w:val="FootnoteReference"/>
        </w:rPr>
        <w:footnoteReference w:id="14"/>
      </w:r>
      <w:r w:rsidRPr="00F333AF">
        <w:t xml:space="preserve"> to conform them to the RAY BAUM’S Act</w:t>
      </w:r>
      <w:r>
        <w:t xml:space="preserve"> of 2018.</w:t>
      </w:r>
      <w:r>
        <w:rPr>
          <w:rStyle w:val="FootnoteReference"/>
        </w:rPr>
        <w:footnoteReference w:id="15"/>
      </w:r>
      <w:r w:rsidRPr="00F333AF">
        <w:t xml:space="preserve"> </w:t>
      </w:r>
      <w:r>
        <w:t xml:space="preserve"> We also concluded that because the new section 9 closely aligns to how the Commission assessed and collected regulatory fees under the prior section 9, we would hew closely to our prior methodology in assessing regulatory fees under the RAY BAUM’S Act.</w:t>
      </w:r>
      <w:r>
        <w:rPr>
          <w:rStyle w:val="FootnoteReference"/>
        </w:rPr>
        <w:footnoteReference w:id="16"/>
      </w:r>
      <w:r>
        <w:t xml:space="preserve">  </w:t>
      </w:r>
    </w:p>
    <w:p w:rsidR="007D15C3" w:rsidP="007D15C3">
      <w:pPr>
        <w:pStyle w:val="ParaNum"/>
      </w:pPr>
      <w:r>
        <w:t xml:space="preserve">In the </w:t>
      </w:r>
      <w:r w:rsidRPr="008D17E8">
        <w:rPr>
          <w:i/>
          <w:iCs/>
        </w:rPr>
        <w:t>Further Notice of Proposed Rulemaking</w:t>
      </w:r>
      <w:r>
        <w:t xml:space="preserve"> attached to the </w:t>
      </w:r>
      <w:r w:rsidRPr="3C85307C">
        <w:rPr>
          <w:i/>
          <w:iCs/>
        </w:rPr>
        <w:t>FY 2019 Report and Order</w:t>
      </w:r>
      <w:r w:rsidRPr="00F333AF">
        <w:t>, we sought comment on proposals to amend our schedule of regulatory fees by</w:t>
      </w:r>
      <w:r>
        <w:t xml:space="preserve"> adopting regulatory fees for non-U.S. licensed space stations with United States market access;</w:t>
      </w:r>
      <w:r>
        <w:rPr>
          <w:rStyle w:val="FootnoteReference"/>
        </w:rPr>
        <w:footnoteReference w:id="17"/>
      </w:r>
      <w:r>
        <w:t xml:space="preserve"> </w:t>
      </w:r>
      <w:r w:rsidRPr="00F333AF">
        <w:t>revising the intra</w:t>
      </w:r>
      <w:r>
        <w:t>-</w:t>
      </w:r>
      <w:r w:rsidRPr="00F333AF">
        <w:t>bureau allocations in the International B</w:t>
      </w:r>
      <w:r>
        <w:t>ureau;</w:t>
      </w:r>
      <w:r>
        <w:rPr>
          <w:rStyle w:val="FootnoteReference"/>
        </w:rPr>
        <w:footnoteReference w:id="18"/>
      </w:r>
      <w:r>
        <w:t xml:space="preserve"> and adjusting regulatory fees paid by certain broadcasters.</w:t>
      </w:r>
      <w:r>
        <w:rPr>
          <w:rStyle w:val="FootnoteReference"/>
        </w:rPr>
        <w:footnoteReference w:id="19"/>
      </w:r>
      <w:bookmarkStart w:id="21" w:name="_Toc6326137"/>
      <w:bookmarkStart w:id="22" w:name="_Toc26536854"/>
      <w:bookmarkStart w:id="23" w:name="_Toc29915871"/>
      <w:bookmarkStart w:id="24" w:name="_Toc30000066"/>
      <w:bookmarkStart w:id="25" w:name="_Toc31023899"/>
      <w:bookmarkEnd w:id="19"/>
    </w:p>
    <w:p w:rsidR="007D15C3" w:rsidP="007D15C3">
      <w:pPr>
        <w:pStyle w:val="Heading1"/>
      </w:pPr>
      <w:bookmarkStart w:id="26" w:name="_Toc38017891"/>
      <w:bookmarkStart w:id="27" w:name="_Toc40091665"/>
      <w:r>
        <w:t>report and order</w:t>
      </w:r>
      <w:bookmarkEnd w:id="26"/>
      <w:bookmarkEnd w:id="27"/>
    </w:p>
    <w:p w:rsidR="007D15C3" w:rsidP="007D15C3">
      <w:pPr>
        <w:pStyle w:val="ParaNum"/>
      </w:pPr>
      <w:r>
        <w:t>In this Report and Order, we level the playing field among space stations by assessing a regulatory fee on non-U.S. licensed space stations with United States market access and including those non-U.S. licensed space stations in the current regulatory fee categories for geostationary (GSO) and non-geostationary (NGSO) space stations.  We impose this fee regardless of whether the non-U.S. licensed space station operator obtains the market access through a declaratory ruling or through an earth station applicant as a point of communication.  We also take the related action of adding four FTEs into the satellite regulatory fee category to account for the work that benefits these new fee payors.  We further adjust the FTE allocation for the international bearer circuit (IBC) category from 6.9 FTEs to eight FTEs to reflect direct FTE work in the International Bureau that benefits the fee payors in the IBC regulatory fee category.  Finally, we decline to categorically lower regulatory fees for VHF stations to account for signal limitations.</w:t>
      </w:r>
    </w:p>
    <w:p w:rsidR="007D15C3" w:rsidP="007D15C3">
      <w:pPr>
        <w:pStyle w:val="Heading2"/>
      </w:pPr>
      <w:bookmarkStart w:id="28" w:name="_Toc36903653"/>
      <w:bookmarkStart w:id="29" w:name="_Toc38017892"/>
      <w:bookmarkStart w:id="30" w:name="_Toc40091666"/>
      <w:r>
        <w:t>Assessing Regulatory Fees on Non-U.S. Licensed Space Stations with U.S. Market Access</w:t>
      </w:r>
      <w:bookmarkEnd w:id="28"/>
      <w:bookmarkEnd w:id="29"/>
      <w:bookmarkEnd w:id="30"/>
    </w:p>
    <w:p w:rsidR="007D15C3" w:rsidRPr="002652B6" w:rsidP="007D15C3">
      <w:pPr>
        <w:pStyle w:val="ParaNum"/>
        <w:widowControl/>
      </w:pPr>
      <w:r>
        <w:t>The Commission currently assesses regulatory fees on GSO and NGSO space stations licensed by the Commission but does not assess regulatory fees on non-U.S. licensed space stations that have been granted market access to the United States.</w:t>
      </w:r>
      <w:r>
        <w:rPr>
          <w:rStyle w:val="FootnoteReference"/>
        </w:rPr>
        <w:footnoteReference w:id="20"/>
      </w:r>
      <w:r>
        <w:t xml:space="preserve">  The issue of assessing regulatory fees on non-U.S. licensed space stations with U.S. market access has been raised several times previously.  In the </w:t>
      </w:r>
      <w:r w:rsidRPr="0059212C">
        <w:rPr>
          <w:i/>
          <w:iCs/>
        </w:rPr>
        <w:t>FY 1999 Report and Order</w:t>
      </w:r>
      <w:r>
        <w:t>, the Commission declined to adopt such a fee.</w:t>
      </w:r>
      <w:r>
        <w:rPr>
          <w:vertAlign w:val="superscript"/>
        </w:rPr>
        <w:footnoteReference w:id="21"/>
      </w:r>
      <w:r w:rsidRPr="002652B6">
        <w:t xml:space="preserve">  </w:t>
      </w:r>
      <w:r>
        <w:t>In 2013 and again in 2014, the Commission sought comment on assessing regulatory fees on non-U.S. licensed space stations with U.S. market access,</w:t>
      </w:r>
      <w:r>
        <w:rPr>
          <w:vertAlign w:val="superscript"/>
        </w:rPr>
        <w:footnoteReference w:id="22"/>
      </w:r>
      <w:r>
        <w:t xml:space="preserve"> but the Commission declined to adopt such a fee at the time because it might “raise[] significant issues regarding our authority to assess such a fee as well as the policy implications if other countries decided to follow our example.”</w:t>
      </w:r>
      <w:r>
        <w:rPr>
          <w:vertAlign w:val="superscript"/>
        </w:rPr>
        <w:footnoteReference w:id="23"/>
      </w:r>
      <w:r>
        <w:t xml:space="preserve">  The following year, the Commission observed that excluding non-U.S. licensed satellite operators from fees amounted to a subsidy of such operators by U.S. licensed satellite operators.</w:t>
      </w:r>
      <w:r>
        <w:rPr>
          <w:vertAlign w:val="superscript"/>
        </w:rPr>
        <w:footnoteReference w:id="24"/>
      </w:r>
      <w:r>
        <w:t xml:space="preserve">  The Commission thus concluded that the four FTEs working on market access petitions or other matters involving non-U.S. licensed space stations should be removed from the regulatory fee assessments for U.S. licensed space stations and considered indirect for regulatory fee purposes.</w:t>
      </w:r>
      <w:r>
        <w:rPr>
          <w:vertAlign w:val="superscript"/>
        </w:rPr>
        <w:footnoteReference w:id="25"/>
      </w:r>
      <w:r>
        <w:t xml:space="preserve">  </w:t>
      </w:r>
    </w:p>
    <w:p w:rsidR="007D15C3" w:rsidP="00BC400D">
      <w:pPr>
        <w:pStyle w:val="ParaNum"/>
        <w:widowControl/>
      </w:pPr>
      <w:r w:rsidRPr="007F3A7B">
        <w:t>The issue of assessing regulatory fees on non-U.S.</w:t>
      </w:r>
      <w:r>
        <w:t xml:space="preserve"> </w:t>
      </w:r>
      <w:r w:rsidRPr="007F3A7B">
        <w:t>licensed space stations with U.S. market access has been raised several times since Congress originally adopted the statutory schedule of regulatory fees originally in 1993.</w:t>
      </w:r>
      <w:r>
        <w:rPr>
          <w:rStyle w:val="FootnoteReference"/>
        </w:rPr>
        <w:footnoteReference w:id="26"/>
      </w:r>
      <w:r w:rsidRPr="007F3A7B">
        <w:t xml:space="preserve">  In exercising our Congressional mandate to collect regulatory fees each fiscal year, we proceed with careful consideration and make changes in our process only after fully developing the record.  This may mean, as it did here, that the Commission considers the adoption of a new fee category or a change in categories multiple times and only proceeds with making a change when it develops sufficient basis for making the change.  This meticulous approach to making changes </w:t>
      </w:r>
      <w:r w:rsidRPr="007F3A7B">
        <w:t>moreover serves the goal of ensuring that our actions in assessing regulatory fees are fair, administrable, and sustainable.</w:t>
      </w:r>
      <w:r>
        <w:rPr>
          <w:rStyle w:val="FootnoteReference"/>
        </w:rPr>
        <w:footnoteReference w:id="27"/>
      </w:r>
    </w:p>
    <w:p w:rsidR="007D15C3" w:rsidP="007D15C3">
      <w:pPr>
        <w:pStyle w:val="ParaNum"/>
      </w:pPr>
      <w:r w:rsidRPr="002652B6">
        <w:t>In the</w:t>
      </w:r>
      <w:r w:rsidRPr="009672DF">
        <w:t xml:space="preserve"> </w:t>
      </w:r>
      <w:r w:rsidRPr="008D17E8">
        <w:rPr>
          <w:i/>
          <w:iCs/>
        </w:rPr>
        <w:t>Further Notice of Proposed Rulemaking</w:t>
      </w:r>
      <w:r>
        <w:t xml:space="preserve"> attached to the</w:t>
      </w:r>
      <w:r w:rsidRPr="002652B6">
        <w:t xml:space="preserve"> </w:t>
      </w:r>
      <w:r w:rsidRPr="3C85307C">
        <w:rPr>
          <w:i/>
          <w:iCs/>
        </w:rPr>
        <w:t>FY 2019 Report and Order</w:t>
      </w:r>
      <w:r w:rsidRPr="002652B6">
        <w:t xml:space="preserve">, the Commission again sought comment on assessing regulatory fees on </w:t>
      </w:r>
      <w:r>
        <w:t>non-U.S. licensed space stations with U.S. market access</w:t>
      </w:r>
      <w:r w:rsidRPr="002652B6">
        <w:t>, noting that the International Bureau’s</w:t>
      </w:r>
      <w:r>
        <w:t xml:space="preserve"> policy, regulatory, international, user information, and enforcement activities all benefit non-U.S. licensed space stations that access the U.S. market.</w:t>
      </w:r>
      <w:r>
        <w:rPr>
          <w:vertAlign w:val="superscript"/>
        </w:rPr>
        <w:footnoteReference w:id="28"/>
      </w:r>
      <w:r>
        <w:t xml:space="preserve">  Non-U.S. licensed space stations are monitored to ensure that their operators satisfy all conditions placed on their grant of U.S. market access, including space station implementation milestones and operational requirements, and are subject to enforcement action if the conditions are not met.</w:t>
      </w:r>
      <w:r>
        <w:rPr>
          <w:vertAlign w:val="superscript"/>
        </w:rPr>
        <w:footnoteReference w:id="29"/>
      </w:r>
      <w:r>
        <w:t xml:space="preserve">  The Commission specifically sought comment on whether “we should or must assess regulatory fees on non-U.S. licensed space stations serving the United States under section 9, given that non-U.S. licensed space stations appear to benefit from the Commission’s regulatory activities in much the same manner as U.S. licensed space stations.”</w:t>
      </w:r>
      <w:r>
        <w:rPr>
          <w:rStyle w:val="FootnoteReference"/>
        </w:rPr>
        <w:footnoteReference w:id="30"/>
      </w:r>
      <w:r>
        <w:t xml:space="preserve">  The Commission noted that its initial decision in 1999 was premised on the Commission’s understanding at the time that its authority reached only space station “licensees,” i.e., those licensed under Title III.  We observed that section 9 of Communications Act, as amended by the RAY BAUM’S Act, does not mention “licensees” but only the “number of units” in each payor category—and that the “unit” used for assessing satellite space station regulatory fees is “per operational station in geostationary orbit” or “per operational system in non-geostationary orbit,” units that do not distinguish between the government issuing the license.</w:t>
      </w:r>
      <w:r>
        <w:rPr>
          <w:vertAlign w:val="superscript"/>
        </w:rPr>
        <w:footnoteReference w:id="31"/>
      </w:r>
      <w:r>
        <w:t xml:space="preserve">  The Commission also sought comment on </w:t>
      </w:r>
      <w:r w:rsidRPr="4E540434">
        <w:t>reallocating four International Bureau indirect FTEs as direct</w:t>
      </w:r>
      <w:r>
        <w:rPr>
          <w:szCs w:val="22"/>
        </w:rPr>
        <w:t>,</w:t>
      </w:r>
      <w:r w:rsidRPr="4E540434">
        <w:t xml:space="preserve"> if regulatory fees are adopted for non-U.S. licensed space stations</w:t>
      </w:r>
      <w:r>
        <w:rPr>
          <w:szCs w:val="22"/>
        </w:rPr>
        <w:t>.</w:t>
      </w:r>
      <w:r>
        <w:rPr>
          <w:rStyle w:val="FootnoteReference"/>
        </w:rPr>
        <w:footnoteReference w:id="32"/>
      </w:r>
    </w:p>
    <w:p w:rsidR="007D15C3" w:rsidP="007D15C3">
      <w:pPr>
        <w:pStyle w:val="ParaNum"/>
      </w:pPr>
      <w:r w:rsidRPr="007F3A7B">
        <w:t>We conclude that we can and should adopt regulatory fees for non-U.S.</w:t>
      </w:r>
      <w:r>
        <w:t xml:space="preserve"> </w:t>
      </w:r>
      <w:r w:rsidRPr="007F3A7B">
        <w:t>licensed space stations with U.S. market access.  On the question of whether we may assess regulatory fees on non-U.S.</w:t>
      </w:r>
      <w:r w:rsidRPr="007F3A7B">
        <w:t xml:space="preserve"> </w:t>
      </w:r>
      <w:r w:rsidRPr="007F3A7B">
        <w:t>licensed space stations with U.S. market access, we start with the statutory text.  The Act contemplates that we impose fees on regulatees that reflect the “benefits provided to the payor of the fee by the Commission’s activities.”</w:t>
      </w:r>
      <w:r>
        <w:rPr>
          <w:rStyle w:val="FootnoteReference"/>
        </w:rPr>
        <w:footnoteReference w:id="33"/>
      </w:r>
      <w:r w:rsidRPr="007F3A7B">
        <w:t xml:space="preserve">  The Act specifically contemplates the subset of regulatees </w:t>
      </w:r>
      <w:r>
        <w:t xml:space="preserve">that must be </w:t>
      </w:r>
      <w:r w:rsidRPr="007F3A7B">
        <w:t>exempt</w:t>
      </w:r>
      <w:r>
        <w:t>ed</w:t>
      </w:r>
      <w:r w:rsidRPr="007F3A7B">
        <w:t xml:space="preserve"> from regulatory fees in a section entitled “Parties to which fees are not applicable.”</w:t>
      </w:r>
      <w:r>
        <w:rPr>
          <w:rStyle w:val="FootnoteReference"/>
        </w:rPr>
        <w:footnoteReference w:id="34"/>
      </w:r>
      <w:r w:rsidRPr="007F3A7B">
        <w:t xml:space="preserve">  Notably, </w:t>
      </w:r>
      <w:r>
        <w:t xml:space="preserve">Congress did not include </w:t>
      </w:r>
      <w:r w:rsidRPr="007F3A7B">
        <w:t>operators of non-U.S.</w:t>
      </w:r>
      <w:r>
        <w:t xml:space="preserve"> </w:t>
      </w:r>
      <w:r w:rsidRPr="007F3A7B">
        <w:t>licensed space stations with U.S. market access in that list</w:t>
      </w:r>
      <w:r w:rsidRPr="006F130E">
        <w:t>, and thus did not require the Commission to exempt them from an assessment of regulatory fees</w:t>
      </w:r>
      <w:r w:rsidRPr="007F3A7B">
        <w:t>.  Moreover, the Commission’s authority to waive regulatory fees is limited to specific instances and the Commission has consistently rejected consideration of waiving the regulatory fee for classes of regulatees</w:t>
      </w:r>
      <w:r>
        <w:t>.</w:t>
      </w:r>
      <w:r>
        <w:rPr>
          <w:rStyle w:val="FootnoteReference"/>
        </w:rPr>
        <w:footnoteReference w:id="35"/>
      </w:r>
      <w:r w:rsidRPr="007F3A7B">
        <w:t xml:space="preserve">  Given the framework where the Commission has a mandate to collect fees from its regulatees, coupled with a limited list of exempt entities and narrow waiver authority, nothing in the text of the statute supports maintaining a blanket exception from regulatory fees for non</w:t>
      </w:r>
      <w:r>
        <w:t>-</w:t>
      </w:r>
      <w:r w:rsidRPr="007F3A7B">
        <w:t>U.S.</w:t>
      </w:r>
      <w:r>
        <w:t xml:space="preserve"> </w:t>
      </w:r>
      <w:r w:rsidRPr="007F3A7B">
        <w:t>licensed space stations granted market access.</w:t>
      </w:r>
      <w:r>
        <w:t xml:space="preserve">  </w:t>
      </w:r>
    </w:p>
    <w:p w:rsidR="007D15C3" w:rsidP="007D15C3">
      <w:pPr>
        <w:pStyle w:val="ParaNum"/>
      </w:pPr>
      <w:r>
        <w:t>U.S. licensed operators agree, arguing that we have the authority to impose regulatory fees on non-U.S. licensed space station operators with market access because section 9 provides that the purpose of regulatory fees is to recover the costs of the Commission’s activities taking “into account factors that are reasonably related to the benefits provided to the payor of the fee by the Commission’s activities.”</w:t>
      </w:r>
      <w:r>
        <w:rPr>
          <w:vertAlign w:val="superscript"/>
        </w:rPr>
        <w:footnoteReference w:id="36"/>
      </w:r>
      <w:r>
        <w:t xml:space="preserve">  Commenters contend that the use of the term “number of units” in the amended section 9(c)(1)(A), instead of “licensee,” broadens the language of the statute so that it appears to be applicable to both U.S. licensed and non-U.S. licensed space stations.</w:t>
      </w:r>
      <w:r>
        <w:rPr>
          <w:vertAlign w:val="superscript"/>
        </w:rPr>
        <w:footnoteReference w:id="37"/>
      </w:r>
      <w:r>
        <w:t xml:space="preserve">  SpaceX contends that the Commission “must consider increases and decreases only in the ‘number of units’ of operational GSO satellites and NGSO systems regardless of licensing administration.”</w:t>
      </w:r>
      <w:r>
        <w:rPr>
          <w:vertAlign w:val="superscript"/>
        </w:rPr>
        <w:footnoteReference w:id="38"/>
      </w:r>
      <w:r>
        <w:t xml:space="preserve">  Based on the plain language of statute—and the absence of any express limitation that we impose regulatory fees only on “licensees” or that we exempt non-U.S. licensed space stations with U.S. market access, we conclude that there is no statutory bar to adopting a new regulatory fee for non-U.S. licensed space stations with U.S. market access.  </w:t>
      </w:r>
    </w:p>
    <w:p w:rsidR="007D15C3" w:rsidP="007D15C3">
      <w:pPr>
        <w:pStyle w:val="ParaNum"/>
      </w:pPr>
      <w:r>
        <w:t>We dismiss the arguments of some commenters that focus on whether Congress intended to expand our authority by removing the word “licensees” in the amended section 9.</w:t>
      </w:r>
      <w:r>
        <w:rPr>
          <w:vertAlign w:val="superscript"/>
        </w:rPr>
        <w:footnoteReference w:id="39"/>
      </w:r>
      <w:r>
        <w:t xml:space="preserve">  </w:t>
      </w:r>
      <w:r>
        <w:t>Telesat</w:t>
      </w:r>
      <w:r>
        <w:t xml:space="preserve"> argues that “[t]he number of ‘units’ says nothing about which entities are subject to the Commission’s regulatory fee authority in the first instance.”</w:t>
      </w:r>
      <w:r>
        <w:rPr>
          <w:vertAlign w:val="superscript"/>
        </w:rPr>
        <w:footnoteReference w:id="40"/>
      </w:r>
      <w:r>
        <w:t xml:space="preserve">  Inmarsat contends that “the plain language of RAY BAUM’S Act is not directed to the entities from which the Commission may collect fees, but the manner in which the Commission may adjust fees.”</w:t>
      </w:r>
      <w:r>
        <w:rPr>
          <w:rStyle w:val="FootnoteReference"/>
        </w:rPr>
        <w:footnoteReference w:id="41"/>
      </w:r>
      <w:r>
        <w:t xml:space="preserve">  Such arguments, however, are a double-edged sword because the word “licensees” in that sentence was the only textual hook (under prior law) that such advocates had for arguing that the Commission’s authority was limited to assessing fees on licensees.  And so, although we tend to agree that this change </w:t>
      </w:r>
      <w:r w:rsidRPr="3C85307C">
        <w:rPr>
          <w:i/>
          <w:iCs/>
        </w:rPr>
        <w:t>does not imply</w:t>
      </w:r>
      <w:r>
        <w:t xml:space="preserve"> a change in </w:t>
      </w:r>
      <w:r w:rsidRPr="009B437C">
        <w:t>who</w:t>
      </w:r>
      <w:r>
        <w:t xml:space="preserve"> could be assessed, we also find that the use of the word “licensee” </w:t>
      </w:r>
      <w:r w:rsidRPr="3C85307C">
        <w:rPr>
          <w:i/>
          <w:iCs/>
        </w:rPr>
        <w:t>did not imply</w:t>
      </w:r>
      <w:r>
        <w:t xml:space="preserve"> that only licensees could be assessed.  In other words, whether Congress intended to expand the reach of regulatory fees with this language is irrelevant.  The question instead remains whether Congress precluded us from imposing regulatory fees on non-U.S. licensed space stations that clearly benefit from market access to the United States and the activities of the Commission—and nothing in the language of the Act suggests Congress intended to preclude such regulatees from the ambit of regulatory fees.</w:t>
      </w:r>
    </w:p>
    <w:p w:rsidR="007D15C3" w:rsidRPr="00DC4569" w:rsidP="007D15C3">
      <w:pPr>
        <w:pStyle w:val="ParaNum"/>
      </w:pPr>
      <w:r>
        <w:t>Absent any textual hook, commenters turn to the legislative history of section 9</w:t>
      </w:r>
      <w:r>
        <w:rPr>
          <w:vertAlign w:val="superscript"/>
        </w:rPr>
        <w:footnoteReference w:id="42"/>
      </w:r>
      <w:r>
        <w:t xml:space="preserve"> and argue that the Commission has taken this position previously.</w:t>
      </w:r>
      <w:r>
        <w:rPr>
          <w:vertAlign w:val="superscript"/>
        </w:rPr>
        <w:footnoteReference w:id="43"/>
      </w:r>
      <w:r>
        <w:t xml:space="preserve">  Indeed, in the </w:t>
      </w:r>
      <w:r w:rsidRPr="3C85307C">
        <w:rPr>
          <w:i/>
          <w:iCs/>
        </w:rPr>
        <w:t>FY 1999 Report and Order</w:t>
      </w:r>
      <w:r>
        <w:t>, the Commission based its conclusion on legislative history from 1991.</w:t>
      </w:r>
      <w:r>
        <w:rPr>
          <w:vertAlign w:val="superscript"/>
        </w:rPr>
        <w:footnoteReference w:id="44"/>
      </w:r>
      <w:r w:rsidRPr="002652B6">
        <w:t xml:space="preserve">  We find that it is appropriate to re-evaluate this conclusion at this time.  </w:t>
      </w:r>
    </w:p>
    <w:p w:rsidR="007D15C3" w:rsidP="007D15C3">
      <w:pPr>
        <w:pStyle w:val="ParaNum"/>
      </w:pPr>
      <w:r w:rsidRPr="002652B6">
        <w:t xml:space="preserve">The legislative history referred to in the </w:t>
      </w:r>
      <w:r w:rsidRPr="3C85307C">
        <w:rPr>
          <w:i/>
          <w:iCs/>
        </w:rPr>
        <w:t xml:space="preserve">FY 1999 Report and Order </w:t>
      </w:r>
      <w:r w:rsidRPr="002652B6">
        <w:t xml:space="preserve">and the </w:t>
      </w:r>
      <w:r w:rsidRPr="3C85307C">
        <w:rPr>
          <w:i/>
          <w:iCs/>
        </w:rPr>
        <w:t>FY 1995 Report and Order</w:t>
      </w:r>
      <w:r w:rsidRPr="002652B6">
        <w:t xml:space="preserve"> is found in the House and Senate Reports, Committee on Energy and Commerce, 102 H. Rpt. 207, September 17, 1991, in which the Committee stated</w:t>
      </w:r>
      <w:r>
        <w:t>: “The Committee intends that fees in this category be assessed on operators of U.S. facilities, consistent with FCC jurisdiction.  Therefore, these fees will apply only to space stations directly licensed by the Commission under Title III of the Communications Act.  Fees will not be applied to space stations operated by international organizations subject to the International Organizations Immunities Act, 22 U.S.C. Section 288 et seq.”</w:t>
      </w:r>
      <w:r>
        <w:rPr>
          <w:vertAlign w:val="superscript"/>
        </w:rPr>
        <w:footnoteReference w:id="45"/>
      </w:r>
      <w:r>
        <w:t xml:space="preserve">  </w:t>
      </w:r>
    </w:p>
    <w:p w:rsidR="007D15C3" w:rsidP="00BC400D">
      <w:pPr>
        <w:pStyle w:val="ParaNum"/>
        <w:widowControl/>
      </w:pPr>
      <w:r>
        <w:t xml:space="preserve">To understand these committee reports, it is helpful to recognize that in </w:t>
      </w:r>
      <w:r w:rsidRPr="005F6CF0">
        <w:t xml:space="preserve">1991 </w:t>
      </w:r>
      <w:r>
        <w:t xml:space="preserve">there was a </w:t>
      </w:r>
      <w:r w:rsidRPr="005F6CF0">
        <w:t xml:space="preserve">very different marketplace and regulatory environment than </w:t>
      </w:r>
      <w:r>
        <w:t>now exists in 2020</w:t>
      </w:r>
      <w:r w:rsidRPr="005F6CF0">
        <w:t>.  In 1991,</w:t>
      </w:r>
      <w:r>
        <w:t xml:space="preserve"> U.S. licensed space stations operated as either domestic satellites (</w:t>
      </w:r>
      <w:r>
        <w:t>domsats</w:t>
      </w:r>
      <w:r>
        <w:t>)</w:t>
      </w:r>
      <w:r>
        <w:rPr>
          <w:rStyle w:val="FootnoteReference"/>
        </w:rPr>
        <w:footnoteReference w:id="46"/>
      </w:r>
      <w:r>
        <w:t xml:space="preserve"> or international systems (separate satellite </w:t>
      </w:r>
      <w:r w:rsidRPr="008B3CBA">
        <w:t>systems).</w:t>
      </w:r>
      <w:r>
        <w:rPr>
          <w:rStyle w:val="FootnoteReference"/>
        </w:rPr>
        <w:footnoteReference w:id="47"/>
      </w:r>
      <w:r w:rsidRPr="008B3CBA">
        <w:rPr>
          <w:sz w:val="24"/>
          <w:szCs w:val="24"/>
        </w:rPr>
        <w:t xml:space="preserve"> </w:t>
      </w:r>
      <w:r>
        <w:rPr>
          <w:sz w:val="24"/>
          <w:szCs w:val="24"/>
        </w:rPr>
        <w:t xml:space="preserve"> </w:t>
      </w:r>
      <w:r w:rsidRPr="00A30130">
        <w:rPr>
          <w:szCs w:val="22"/>
        </w:rPr>
        <w:t xml:space="preserve">Satellite services in the United States, however, </w:t>
      </w:r>
      <w:r w:rsidRPr="008B3CBA">
        <w:rPr>
          <w:szCs w:val="22"/>
        </w:rPr>
        <w:t>w</w:t>
      </w:r>
      <w:r>
        <w:rPr>
          <w:szCs w:val="22"/>
        </w:rPr>
        <w:t>ere</w:t>
      </w:r>
      <w:r w:rsidRPr="008B3CBA">
        <w:rPr>
          <w:szCs w:val="22"/>
        </w:rPr>
        <w:t xml:space="preserve"> mainly provided by INTELSAT and INMARSAT,</w:t>
      </w:r>
      <w:r w:rsidRPr="008B3CBA">
        <w:t xml:space="preserve"> which were treaty-based international governmental organizations.  </w:t>
      </w:r>
      <w:r w:rsidRPr="00A30130">
        <w:rPr>
          <w:szCs w:val="22"/>
          <w:shd w:val="clear" w:color="auto" w:fill="FFFFFF"/>
        </w:rPr>
        <w:t>Both were the product of a unique set of initiatives undertaken by the United States and other countries to develop the global communications satellite systems.  As a result, they both benefited from a framework of protections based in statute,</w:t>
      </w:r>
      <w:r>
        <w:rPr>
          <w:rStyle w:val="FootnoteReference"/>
          <w:szCs w:val="22"/>
          <w:shd w:val="clear" w:color="auto" w:fill="FFFFFF"/>
        </w:rPr>
        <w:footnoteReference w:id="48"/>
      </w:r>
      <w:r w:rsidRPr="00A30130">
        <w:rPr>
          <w:szCs w:val="22"/>
          <w:shd w:val="clear" w:color="auto" w:fill="FFFFFF"/>
        </w:rPr>
        <w:t xml:space="preserve"> treaty</w:t>
      </w:r>
      <w:r>
        <w:rPr>
          <w:szCs w:val="22"/>
          <w:shd w:val="clear" w:color="auto" w:fill="FFFFFF"/>
        </w:rPr>
        <w:t>,</w:t>
      </w:r>
      <w:r w:rsidRPr="00A30130">
        <w:rPr>
          <w:szCs w:val="22"/>
          <w:shd w:val="clear" w:color="auto" w:fill="FFFFFF"/>
        </w:rPr>
        <w:t xml:space="preserve"> and Commission policy that protected and </w:t>
      </w:r>
      <w:r>
        <w:rPr>
          <w:szCs w:val="22"/>
          <w:shd w:val="clear" w:color="auto" w:fill="FFFFFF"/>
        </w:rPr>
        <w:t>preserved</w:t>
      </w:r>
      <w:r w:rsidRPr="00A30130">
        <w:rPr>
          <w:szCs w:val="22"/>
          <w:shd w:val="clear" w:color="auto" w:fill="FFFFFF"/>
        </w:rPr>
        <w:t xml:space="preserve"> the status of each </w:t>
      </w:r>
      <w:r>
        <w:rPr>
          <w:szCs w:val="22"/>
          <w:shd w:val="clear" w:color="auto" w:fill="FFFFFF"/>
        </w:rPr>
        <w:t>international governmental organization</w:t>
      </w:r>
      <w:r w:rsidRPr="00A30130">
        <w:rPr>
          <w:szCs w:val="22"/>
          <w:shd w:val="clear" w:color="auto" w:fill="FFFFFF"/>
        </w:rPr>
        <w:t>.</w:t>
      </w:r>
      <w:r w:rsidRPr="007C1CC0">
        <w:t xml:space="preserve"> </w:t>
      </w:r>
      <w:r>
        <w:t xml:space="preserve"> </w:t>
      </w:r>
    </w:p>
    <w:p w:rsidR="007D15C3" w:rsidP="007D15C3">
      <w:pPr>
        <w:pStyle w:val="ParaNum"/>
      </w:pPr>
      <w:r>
        <w:t xml:space="preserve">In this context, the phrase “space stations operated by international organizations subject to the International Organizations Immunities Act, 22 U.S.C. Section 288 et seq.” used in the 1991 legislative history referred to INTELSAT and INMARSAT, which at that time were </w:t>
      </w:r>
      <w:r w:rsidRPr="008B3CBA">
        <w:t>international governmental organizations</w:t>
      </w:r>
      <w:r>
        <w:t xml:space="preserve"> </w:t>
      </w:r>
      <w:r>
        <w:t>formed as a result of international treaties and with explicit support by the United States through statutory and regulatory mechanisms.</w:t>
      </w:r>
      <w:r>
        <w:rPr>
          <w:vertAlign w:val="superscript"/>
        </w:rPr>
        <w:footnoteReference w:id="49"/>
      </w:r>
      <w:r>
        <w:t xml:space="preserve">  This conclusion is borne out by the focus in the same legislative history on licenses issued directly by the FCC (as opposed to indirect regulation of provision of INTELSAT and INMARSAT services through licenses issued to COMSAT) and on the </w:t>
      </w:r>
      <w:r w:rsidRPr="007C1CC0">
        <w:t>International Organization Immunities Act</w:t>
      </w:r>
      <w:r>
        <w:t xml:space="preserve">, which provides </w:t>
      </w:r>
      <w:r w:rsidRPr="007C1CC0">
        <w:t xml:space="preserve">certain exemptions, immunities, and privileges </w:t>
      </w:r>
      <w:r>
        <w:t xml:space="preserve">to </w:t>
      </w:r>
      <w:r w:rsidRPr="007C1CC0">
        <w:t>international organizations and their employee</w:t>
      </w:r>
      <w:r>
        <w:t>s, such as exemption from custom duties and internal-revenue taxes,</w:t>
      </w:r>
      <w:r>
        <w:rPr>
          <w:rStyle w:val="FootnoteReference"/>
        </w:rPr>
        <w:footnoteReference w:id="50"/>
      </w:r>
      <w:r>
        <w:t xml:space="preserve"> and which applied to both INTELSAT and INMARSAT as </w:t>
      </w:r>
      <w:r w:rsidRPr="008B3CBA">
        <w:t>international governmental organizations</w:t>
      </w:r>
      <w:r>
        <w:t>.  Further, it was not until 1997 that the Commission adopted a formal process for granting market access to non-U.S. licensed space stations.</w:t>
      </w:r>
      <w:r>
        <w:rPr>
          <w:rStyle w:val="FootnoteReference"/>
        </w:rPr>
        <w:footnoteReference w:id="51"/>
      </w:r>
    </w:p>
    <w:p w:rsidR="007D15C3" w:rsidRPr="00EE3578" w:rsidP="007D15C3">
      <w:pPr>
        <w:pStyle w:val="ParaNum"/>
        <w:widowControl/>
      </w:pPr>
      <w:r>
        <w:t>Today, there are many commercial non-U.S. licensed satellite companies offering service in the United States.  The two International Government Organizations operating satellites at that time—INTELSAT and INMARSAT—are no longer International Governmental Organizations but instead are commercial enterprises.  INTELSAT became a private company in 2001, Intelsat, Ltd., after 37 years as an International Governmental Organization.</w:t>
      </w:r>
      <w:r>
        <w:rPr>
          <w:vertAlign w:val="superscript"/>
        </w:rPr>
        <w:footnoteReference w:id="52"/>
      </w:r>
      <w:r>
        <w:t xml:space="preserve">  Intelsat’s corporate headquarters are in Luxembourg and the United States, and it currently has a fleet of more than 50 satellites.</w:t>
      </w:r>
      <w:r>
        <w:rPr>
          <w:vertAlign w:val="superscript"/>
        </w:rPr>
        <w:footnoteReference w:id="53"/>
      </w:r>
      <w:r>
        <w:t xml:space="preserve">  INMARSAT, now Inmarsat, Inc., is headquartered in London, England, has offices in over 40 countries, and owns and operates 13 satellites.</w:t>
      </w:r>
      <w:r>
        <w:rPr>
          <w:vertAlign w:val="superscript"/>
        </w:rPr>
        <w:footnoteReference w:id="54"/>
      </w:r>
      <w:r>
        <w:t xml:space="preserve">  Other commercial non-U.S. licensed satellite companies include Eutelsat Communications </w:t>
      </w:r>
      <w:r>
        <w:t>SA, a public corporation, which has 38 satellites, is headquartered in France,</w:t>
      </w:r>
      <w:r>
        <w:rPr>
          <w:vertAlign w:val="superscript"/>
        </w:rPr>
        <w:footnoteReference w:id="55"/>
      </w:r>
      <w:r>
        <w:t xml:space="preserve"> and has satellites licensed by France and other countries, including the United States;</w:t>
      </w:r>
      <w:r>
        <w:rPr>
          <w:vertAlign w:val="superscript"/>
        </w:rPr>
        <w:footnoteReference w:id="56"/>
      </w:r>
      <w:r>
        <w:t xml:space="preserve"> and </w:t>
      </w:r>
      <w:r>
        <w:t>Telesat</w:t>
      </w:r>
      <w:r>
        <w:t>, a private Canadian satellite company, with 16 satellites.</w:t>
      </w:r>
      <w:r>
        <w:rPr>
          <w:vertAlign w:val="superscript"/>
        </w:rPr>
        <w:footnoteReference w:id="57"/>
      </w:r>
      <w:r>
        <w:t xml:space="preserve">  These companies, and others, have U.S. market access and compete with the U.S. licensed satellite companies such as commenters EchoStar Satellite Services (</w:t>
      </w:r>
      <w:r w:rsidRPr="00690DD1">
        <w:t>EchoStar)</w:t>
      </w:r>
      <w:r>
        <w:t xml:space="preserve"> and Space Exploration Technologies (</w:t>
      </w:r>
      <w:r w:rsidRPr="00690DD1">
        <w:t>SpaceX</w:t>
      </w:r>
      <w:r>
        <w:t>).  We find that the 1991 legislative history</w:t>
      </w:r>
      <w:r>
        <w:rPr>
          <w:rStyle w:val="FootnoteReference"/>
        </w:rPr>
        <w:footnoteReference w:id="58"/>
      </w:r>
      <w:r>
        <w:t xml:space="preserve"> purportedly limiting regulatory fees to U.S. licensed satellites is no longer relevant because in stating that “[f]</w:t>
      </w:r>
      <w:r>
        <w:t>ees</w:t>
      </w:r>
      <w:r>
        <w:t xml:space="preserve"> will not be applied to space stations operated by international organizations” it was not exempting from regulatory fees commercial non-U.S. licensed satellites with general U.S. market access, which did not exist at that time, but two International Governmental Organizations that no longer exist.  In other words, we find that the legislative history of the Act poses no bar to assessing regulatory fees on non-U.S. licensed space stations with U.S. market access.  </w:t>
      </w:r>
      <w:r>
        <w:rPr>
          <w:szCs w:val="22"/>
        </w:rPr>
        <w:t>O</w:t>
      </w:r>
      <w:r w:rsidRPr="00F67ED8">
        <w:rPr>
          <w:szCs w:val="22"/>
        </w:rPr>
        <w:t>perators of non-U.S. licensed space stations contend that Congress did in fact contemplate certain circumstances in which non-US licensed space stations could be used to provide service in the United States</w:t>
      </w:r>
      <w:r>
        <w:rPr>
          <w:szCs w:val="22"/>
        </w:rPr>
        <w:t>.</w:t>
      </w:r>
      <w:r>
        <w:rPr>
          <w:rStyle w:val="FootnoteReference"/>
          <w:szCs w:val="22"/>
        </w:rPr>
        <w:footnoteReference w:id="59"/>
      </w:r>
      <w:r w:rsidRPr="00F67ED8">
        <w:rPr>
          <w:szCs w:val="22"/>
        </w:rPr>
        <w:t xml:space="preserve"> </w:t>
      </w:r>
      <w:r>
        <w:rPr>
          <w:szCs w:val="22"/>
        </w:rPr>
        <w:t xml:space="preserve"> But at that time, </w:t>
      </w:r>
      <w:r w:rsidRPr="0088753C">
        <w:rPr>
          <w:szCs w:val="22"/>
        </w:rPr>
        <w:t xml:space="preserve">Congress could not have been </w:t>
      </w:r>
      <w:r>
        <w:rPr>
          <w:szCs w:val="22"/>
        </w:rPr>
        <w:t xml:space="preserve">contemplating </w:t>
      </w:r>
      <w:r w:rsidRPr="0088753C">
        <w:rPr>
          <w:szCs w:val="22"/>
        </w:rPr>
        <w:t>non-U</w:t>
      </w:r>
      <w:r>
        <w:rPr>
          <w:szCs w:val="22"/>
        </w:rPr>
        <w:t>.</w:t>
      </w:r>
      <w:r w:rsidRPr="0088753C">
        <w:rPr>
          <w:szCs w:val="22"/>
        </w:rPr>
        <w:t>S</w:t>
      </w:r>
      <w:r>
        <w:rPr>
          <w:szCs w:val="22"/>
        </w:rPr>
        <w:t>.</w:t>
      </w:r>
      <w:r w:rsidRPr="0088753C">
        <w:rPr>
          <w:szCs w:val="22"/>
        </w:rPr>
        <w:t xml:space="preserve"> licensed space stations that provide commercial service in the United States on an ongoing, unrestricted basis under the same regulatory framework as their U</w:t>
      </w:r>
      <w:r>
        <w:rPr>
          <w:szCs w:val="22"/>
        </w:rPr>
        <w:t>.</w:t>
      </w:r>
      <w:r w:rsidRPr="0088753C">
        <w:rPr>
          <w:szCs w:val="22"/>
        </w:rPr>
        <w:t>S</w:t>
      </w:r>
      <w:r>
        <w:rPr>
          <w:szCs w:val="22"/>
        </w:rPr>
        <w:t>.</w:t>
      </w:r>
      <w:r w:rsidRPr="0088753C">
        <w:rPr>
          <w:szCs w:val="22"/>
        </w:rPr>
        <w:t xml:space="preserve"> licensed counterparts.</w:t>
      </w:r>
      <w:r>
        <w:rPr>
          <w:rStyle w:val="FootnoteReference"/>
          <w:szCs w:val="22"/>
        </w:rPr>
        <w:footnoteReference w:id="60"/>
      </w:r>
      <w:r w:rsidRPr="0088753C">
        <w:rPr>
          <w:szCs w:val="22"/>
        </w:rPr>
        <w:t xml:space="preserve">  T</w:t>
      </w:r>
      <w:r w:rsidRPr="00F67ED8">
        <w:rPr>
          <w:szCs w:val="22"/>
        </w:rPr>
        <w:t>he circumstances that the operators cite consisted of very limited provision of service in the U.S. through non-U.S. licensed space stations upon a showing that existing U.S. domestic satellite capacity was inadequate to satisfy specific service requirements</w:t>
      </w:r>
      <w:r>
        <w:rPr>
          <w:szCs w:val="22"/>
        </w:rPr>
        <w:t>.</w:t>
      </w:r>
      <w:r>
        <w:rPr>
          <w:rStyle w:val="FootnoteReference"/>
          <w:szCs w:val="22"/>
        </w:rPr>
        <w:footnoteReference w:id="61"/>
      </w:r>
      <w:r>
        <w:rPr>
          <w:szCs w:val="22"/>
        </w:rPr>
        <w:t xml:space="preserve">  </w:t>
      </w:r>
      <w:r w:rsidRPr="00F67ED8">
        <w:rPr>
          <w:szCs w:val="22"/>
        </w:rPr>
        <w:t>Such case-by-case approval of use of a non-U</w:t>
      </w:r>
      <w:r>
        <w:rPr>
          <w:szCs w:val="22"/>
        </w:rPr>
        <w:t>.</w:t>
      </w:r>
      <w:r w:rsidRPr="00F67ED8">
        <w:rPr>
          <w:szCs w:val="22"/>
        </w:rPr>
        <w:t>S</w:t>
      </w:r>
      <w:r>
        <w:rPr>
          <w:szCs w:val="22"/>
        </w:rPr>
        <w:t>.</w:t>
      </w:r>
      <w:r w:rsidRPr="00F67ED8">
        <w:rPr>
          <w:szCs w:val="22"/>
        </w:rPr>
        <w:t xml:space="preserve"> licensed satellite on a bilateral, government-to-government basis to provide limited services was much more rare, and of a very different nature, than the regulations that the Commission adopted years later to permit U.S. market access by non-U.S. licensed space stations.</w:t>
      </w:r>
      <w:r>
        <w:rPr>
          <w:rStyle w:val="FootnoteReference"/>
          <w:szCs w:val="22"/>
        </w:rPr>
        <w:footnoteReference w:id="62"/>
      </w:r>
    </w:p>
    <w:p w:rsidR="007D15C3" w:rsidP="007D15C3">
      <w:pPr>
        <w:pStyle w:val="ParaNum"/>
        <w:widowControl/>
      </w:pPr>
      <w:r w:rsidRPr="00F67ED8">
        <w:t>Non-U.S. licensed space station operators contend that Congressional silence subsequent to the Commission’s statements regarding the legislative history of section 9 presumes Congress’s approval of the Commission’s prior interpretation</w:t>
      </w:r>
      <w:r>
        <w:t xml:space="preserve"> and argue that </w:t>
      </w:r>
      <w:r w:rsidRPr="00F67ED8">
        <w:t>the “acquiescence doctrine”</w:t>
      </w:r>
      <w:r>
        <w:t xml:space="preserve"> supports their position.</w:t>
      </w:r>
      <w:r>
        <w:rPr>
          <w:rStyle w:val="FootnoteReference"/>
        </w:rPr>
        <w:footnoteReference w:id="63"/>
      </w:r>
      <w:r>
        <w:t xml:space="preserve"> While </w:t>
      </w:r>
      <w:r w:rsidRPr="002C5E1C">
        <w:t xml:space="preserve">this doctrine recognizes that Congressional silence may have some bearing on the interpretation of a statute, it neither requires that an agency’s interpretation be cemented in stone if not </w:t>
      </w:r>
      <w:r w:rsidRPr="002C5E1C">
        <w:t>overtaken by subsequent legislative action, nor forecloses an agency from changing its interpretation of a statute and how the legislative history should inform such interpretation,</w:t>
      </w:r>
      <w:r>
        <w:rPr>
          <w:rStyle w:val="FootnoteReference"/>
        </w:rPr>
        <w:footnoteReference w:id="64"/>
      </w:r>
      <w:r w:rsidRPr="00840BF5">
        <w:t xml:space="preserve"> no matter how longstanding, particularly when the prior interpretation is based on error.</w:t>
      </w:r>
      <w:r>
        <w:rPr>
          <w:rStyle w:val="FootnoteReference"/>
        </w:rPr>
        <w:footnoteReference w:id="65"/>
      </w:r>
      <w:r w:rsidRPr="00840BF5">
        <w:t xml:space="preserve">  Here we acknowledge a change in our interpretation of the legislative history underlying section 9 based on a fuller and more accurate analysis of the context of the legislative history at the time it was adopted.</w:t>
      </w:r>
      <w:r>
        <w:rPr>
          <w:rStyle w:val="FootnoteReference"/>
        </w:rPr>
        <w:footnoteReference w:id="66"/>
      </w:r>
    </w:p>
    <w:p w:rsidR="007D15C3" w:rsidP="007D15C3">
      <w:pPr>
        <w:pStyle w:val="ParaNum"/>
      </w:pPr>
      <w:r>
        <w:t>On the policy question of whether we should</w:t>
      </w:r>
      <w:r w:rsidRPr="002652B6">
        <w:t xml:space="preserve"> assess regulatory fees on </w:t>
      </w:r>
      <w:r>
        <w:t xml:space="preserve">non-U.S. </w:t>
      </w:r>
      <w:r w:rsidRPr="002652B6">
        <w:t>licensed space stations with U.S. market access</w:t>
      </w:r>
      <w:r>
        <w:t>, we start with the fact that these non-U.S. licensed space stations benefit from the Commission’s regulatory activities in much the same manner as U.S. licensees.</w:t>
      </w:r>
      <w:r>
        <w:rPr>
          <w:rStyle w:val="FootnoteReference"/>
        </w:rPr>
        <w:footnoteReference w:id="67"/>
      </w:r>
      <w:r>
        <w:t xml:space="preserve">  Operators of U.S.</w:t>
      </w:r>
      <w:r>
        <w:t xml:space="preserve"> </w:t>
      </w:r>
      <w:r>
        <w:t>licensed space stations argue that non-U.S. licensed operators consume, and benefit from, Commission resources just as do U.S. licensees.</w:t>
      </w:r>
      <w:r>
        <w:rPr>
          <w:rStyle w:val="FootnoteReference"/>
        </w:rPr>
        <w:footnoteReference w:id="68"/>
      </w:r>
      <w:r>
        <w:t xml:space="preserve">  They estimate that nearly half of all satellite space station authorizations granted between 2014 and 2018 (30 of 62) were filed by non-U.S. operators</w:t>
      </w:r>
      <w:r>
        <w:rPr>
          <w:vertAlign w:val="superscript"/>
        </w:rPr>
        <w:footnoteReference w:id="69"/>
      </w:r>
      <w:r>
        <w:t xml:space="preserve"> and that non-U.S. operators participate actively in Commission rulemaking proceedings and benefit from Commission monitoring and enforcement activities.</w:t>
      </w:r>
      <w:r>
        <w:rPr>
          <w:vertAlign w:val="superscript"/>
        </w:rPr>
        <w:footnoteReference w:id="70"/>
      </w:r>
      <w:r>
        <w:t xml:space="preserve">  </w:t>
      </w:r>
    </w:p>
    <w:p w:rsidR="007D15C3" w:rsidP="007D15C3">
      <w:pPr>
        <w:pStyle w:val="ParaNum"/>
      </w:pPr>
      <w:r>
        <w:t>Certain non-U.S. licensed space stations argue that they should not contribute regulatory fees because the Commission incurs no costs regulating them and that non-U.S. licensed space stations do not benefit from the FCC’s regulatory activities, including international coordination and enforcement activities.</w:t>
      </w:r>
      <w:r>
        <w:rPr>
          <w:vertAlign w:val="superscript"/>
        </w:rPr>
        <w:footnoteReference w:id="71"/>
      </w:r>
      <w:r>
        <w:t xml:space="preserve">  Inmarsat contends that non-U.S. licensed satellites do not benefit from FCC regulatory </w:t>
      </w:r>
      <w:r>
        <w:t>activities because oversight of their operations is accomplished by the country that licenses the satellite, not by the FCC.</w:t>
      </w:r>
      <w:r>
        <w:rPr>
          <w:vertAlign w:val="superscript"/>
        </w:rPr>
        <w:footnoteReference w:id="72"/>
      </w:r>
      <w:r>
        <w:t xml:space="preserve">  </w:t>
      </w:r>
    </w:p>
    <w:p w:rsidR="007D15C3" w:rsidRPr="00F62B51" w:rsidP="00BC400D">
      <w:pPr>
        <w:pStyle w:val="ParaNum"/>
        <w:widowControl/>
      </w:pPr>
      <w:r>
        <w:t>We find that the Commission devotes significant resources to processing the growing number of market access petitions of non-U.S. licensed satellites and that they benefit from much of the same oversight and regulation by the Commission as the U.S. licensed satellites.  For example, processing a petition for market access requires evaluation of the same legal and technical information as required of U.S. licensed applicants.  The operators of non-U.S. licensed space stations also benefit from the Commission’s oversight efforts regarding all space and earth station operations in the U.S. market, since enforcement of Commission rules and policies in connection with all operators—whether licensed by the United States or otherwise—provides a fair and safe environment for all participants in the U.S. marketplace.  Likewise, the Commission’s adjudication, rulemaking, and international coordination efforts benefit all U.S. marketplace participants by evaluating and minimizing the risks of radiofrequency interference, increasing the number of participants in the U.S. satellite market, opening up additional frequency bands for use by satellite services, providing a level and uniform regime for mitigating the danger of orbital debris, and streamlining Commission rules that apply to all providers of satellite services in the United States, whether through U.S.</w:t>
      </w:r>
      <w:r>
        <w:t xml:space="preserve"> </w:t>
      </w:r>
      <w:r>
        <w:t>licensed or non-U.S. licensed space stations.</w:t>
      </w:r>
      <w:r>
        <w:rPr>
          <w:vertAlign w:val="superscript"/>
        </w:rPr>
        <w:footnoteReference w:id="73"/>
      </w:r>
      <w:r>
        <w:t xml:space="preserve">  The active participation of operators of non-U.S. licensed space stations in these adjudications and rulemakings—either individually or through involvement in industry trade organizations—demonstrates that they recognize benefits from Commission action to their operations within the U.S. market, since they would not participate in such proceedings if they held no possibility of benefit to them.</w:t>
      </w:r>
      <w:r>
        <w:rPr>
          <w:vertAlign w:val="superscript"/>
        </w:rPr>
        <w:footnoteReference w:id="74"/>
      </w:r>
      <w:r>
        <w:t xml:space="preserve">  Thus, the significant benefits to non-U.S. licensed satellites with market access support including them in regulatory fees.</w:t>
      </w:r>
    </w:p>
    <w:p w:rsidR="007D15C3" w:rsidP="007D15C3">
      <w:pPr>
        <w:pStyle w:val="ParaNum"/>
      </w:pPr>
      <w:r>
        <w:t xml:space="preserve">In the </w:t>
      </w:r>
      <w:r w:rsidRPr="008D17E8">
        <w:rPr>
          <w:i/>
          <w:iCs/>
        </w:rPr>
        <w:t>Further Notice of Proposed Rulemaking</w:t>
      </w:r>
      <w:r>
        <w:t xml:space="preserve"> attached to the </w:t>
      </w:r>
      <w:r w:rsidRPr="00AB00AF">
        <w:rPr>
          <w:i/>
          <w:iCs/>
        </w:rPr>
        <w:t>FY 2019 Report and Order</w:t>
      </w:r>
      <w:r w:rsidRPr="00FC3992">
        <w:t>,</w:t>
      </w:r>
      <w:r w:rsidRPr="3C85307C">
        <w:rPr>
          <w:i/>
          <w:iCs/>
        </w:rPr>
        <w:t xml:space="preserve"> </w:t>
      </w:r>
      <w:r>
        <w:t>we also sought comment on whether assessing non-U.S. licensed space stations would promote regulatory parity among space station operators.</w:t>
      </w:r>
      <w:r>
        <w:rPr>
          <w:rStyle w:val="FootnoteReference"/>
        </w:rPr>
        <w:footnoteReference w:id="75"/>
      </w:r>
      <w:r>
        <w:t xml:space="preserve">  U.S. licensees argue that the current fee system is inequitable and encourages companies to simply move overseas to evade fees and oversight.</w:t>
      </w:r>
      <w:r>
        <w:rPr>
          <w:rStyle w:val="FootnoteReference"/>
        </w:rPr>
        <w:footnoteReference w:id="76"/>
      </w:r>
      <w:r>
        <w:t xml:space="preserve">  Non-U.S. licensed satellite operators respond by contending that imposing regulatory fees on non-U.S. licensed satellites would place those entities at a competitive disadvantage.</w:t>
      </w:r>
      <w:r>
        <w:rPr>
          <w:vertAlign w:val="superscript"/>
        </w:rPr>
        <w:footnoteReference w:id="77"/>
      </w:r>
      <w:r>
        <w:t xml:space="preserve">  Non-U.S. licensed satellite operators are already paying regulatory fees in their own jurisdictions and, they assert, our regulatory fees would be a duplicative fee.</w:t>
      </w:r>
      <w:r>
        <w:rPr>
          <w:vertAlign w:val="superscript"/>
        </w:rPr>
        <w:footnoteReference w:id="78"/>
      </w:r>
      <w:r>
        <w:t xml:space="preserve">  Operators of non-U.S. licensed space stations also contend that imposing regulatory fees will negatively impact U.S. consumers because smaller foreign operators will bypass the U.S. market and the increased costs will be passed on to U.S. consumers.</w:t>
      </w:r>
      <w:r>
        <w:rPr>
          <w:vertAlign w:val="superscript"/>
        </w:rPr>
        <w:footnoteReference w:id="79"/>
      </w:r>
      <w:r>
        <w:t xml:space="preserve">  Imposing such a fee, they argue, would jeopardize the United States’ position in the global satellite market and other jurisdictions could also now impose similar charges on U.S. licensed satellites.</w:t>
      </w:r>
      <w:r>
        <w:rPr>
          <w:vertAlign w:val="superscript"/>
        </w:rPr>
        <w:footnoteReference w:id="80"/>
      </w:r>
      <w:r w:rsidRPr="001A0D82">
        <w:t xml:space="preserve"> </w:t>
      </w:r>
      <w:r>
        <w:t xml:space="preserve"> </w:t>
      </w:r>
    </w:p>
    <w:p w:rsidR="007D15C3" w:rsidP="007D15C3">
      <w:pPr>
        <w:pStyle w:val="ParaNum"/>
      </w:pPr>
      <w:r>
        <w:t>We agree with the comments of U.S.</w:t>
      </w:r>
      <w:r>
        <w:t xml:space="preserve"> </w:t>
      </w:r>
      <w:r>
        <w:t>licensed space station operators—who express more concern about fee inequity in the United States than the prospect of new or increased fees in other markets—that entities receiving U.S. market access, through either a space station or earth station authorization, should be subject to the same satellite regulatory fees as those assessed on U.S. licensed space station systems.</w:t>
      </w:r>
      <w:r>
        <w:rPr>
          <w:vertAlign w:val="superscript"/>
        </w:rPr>
        <w:footnoteReference w:id="81"/>
      </w:r>
      <w:r>
        <w:t xml:space="preserve">  Indeed, we are not convinced by the parade of </w:t>
      </w:r>
      <w:r>
        <w:t>horribles</w:t>
      </w:r>
      <w:r>
        <w:t xml:space="preserve"> cited by non-U.S. licensed satellite operators as they </w:t>
      </w:r>
      <w:r w:rsidRPr="009C6C40">
        <w:t>offer insufficient evidence</w:t>
      </w:r>
      <w:r>
        <w:t xml:space="preserve"> to support their claims.  </w:t>
      </w:r>
    </w:p>
    <w:p w:rsidR="007D15C3" w:rsidP="007D15C3">
      <w:pPr>
        <w:pStyle w:val="ParaNum"/>
      </w:pPr>
      <w:r>
        <w:t>Non-U.S. licensed satellite operators also argue that an assessment of fees conflicts with international trade agreements under the WTO Agreement on Basic Telecommunications Services.</w:t>
      </w:r>
      <w:r>
        <w:rPr>
          <w:vertAlign w:val="superscript"/>
        </w:rPr>
        <w:footnoteReference w:id="82"/>
      </w:r>
      <w:r>
        <w:t xml:space="preserve">  Eutelsat and </w:t>
      </w:r>
      <w:r>
        <w:t>Telesat</w:t>
      </w:r>
      <w:r>
        <w:t xml:space="preserve"> contend that under the Commission’s </w:t>
      </w:r>
      <w:r w:rsidRPr="3C85307C">
        <w:rPr>
          <w:i/>
          <w:iCs/>
        </w:rPr>
        <w:t>DISCO II</w:t>
      </w:r>
      <w:r>
        <w:t xml:space="preserve"> decision, the Commission rejected the idea of issuing a separate license for non-U.S. licensed space stations.</w:t>
      </w:r>
      <w:r>
        <w:rPr>
          <w:vertAlign w:val="superscript"/>
        </w:rPr>
        <w:footnoteReference w:id="83"/>
      </w:r>
      <w:r>
        <w:t xml:space="preserve">  In response, SpaceX asserts that spreading the regulatory costs evenly across U.S. and non-U.S. licensed space station operators instead of imposing the entire cost on U.S. space station licensees is fully consistent with the </w:t>
      </w:r>
      <w:r w:rsidRPr="3C85307C">
        <w:rPr>
          <w:i/>
          <w:iCs/>
        </w:rPr>
        <w:t>DISCO II</w:t>
      </w:r>
      <w:r>
        <w:t xml:space="preserve"> decision.</w:t>
      </w:r>
      <w:r>
        <w:rPr>
          <w:rStyle w:val="FootnoteReference"/>
        </w:rPr>
        <w:footnoteReference w:id="84"/>
      </w:r>
      <w:r>
        <w:t xml:space="preserve">  We find that our actions are consistent with the </w:t>
      </w:r>
      <w:r w:rsidRPr="3C85307C">
        <w:rPr>
          <w:i/>
          <w:iCs/>
        </w:rPr>
        <w:t>DISCO II</w:t>
      </w:r>
      <w:r>
        <w:t xml:space="preserve"> decision because we are treating </w:t>
      </w:r>
      <w:r>
        <w:t>non-U.S. licensed space station operators the same as U.S. licensed space station operators in assessing regulatory fees.</w:t>
      </w:r>
    </w:p>
    <w:p w:rsidR="007D15C3" w:rsidP="007D15C3">
      <w:pPr>
        <w:pStyle w:val="ParaNum"/>
      </w:pPr>
      <w:r w:rsidRPr="00F67ED8">
        <w:t>Non-U</w:t>
      </w:r>
      <w:r>
        <w:t>.</w:t>
      </w:r>
      <w:r w:rsidRPr="00F67ED8">
        <w:t>S</w:t>
      </w:r>
      <w:r>
        <w:t>.</w:t>
      </w:r>
      <w:r w:rsidRPr="00F67ED8">
        <w:t xml:space="preserve"> licensed space station operators argue that it would be unfair now to assess regulatory fees on non-U</w:t>
      </w:r>
      <w:r>
        <w:t>.</w:t>
      </w:r>
      <w:r w:rsidRPr="00F67ED8">
        <w:t>S</w:t>
      </w:r>
      <w:r>
        <w:t>.</w:t>
      </w:r>
      <w:r w:rsidRPr="00F67ED8">
        <w:t xml:space="preserve"> licensed space stations accessing the U.S. market because they have relied on a prior finding that regulatory fees for space stations were to be assessed on only those stations licensed by the United States and that they have made business plans based on this long-standing prior finding</w:t>
      </w:r>
      <w:r w:rsidRPr="002C5E1C">
        <w:t>.</w:t>
      </w:r>
      <w:r>
        <w:rPr>
          <w:rStyle w:val="FootnoteReference"/>
        </w:rPr>
        <w:footnoteReference w:id="85"/>
      </w:r>
      <w:r w:rsidRPr="002C5E1C">
        <w:t xml:space="preserve">  Licensees have no vested right to an unchanged regulatory framework.</w:t>
      </w:r>
      <w:r>
        <w:rPr>
          <w:rStyle w:val="FootnoteReference"/>
        </w:rPr>
        <w:footnoteReference w:id="86"/>
      </w:r>
      <w:r w:rsidRPr="00F67ED8">
        <w:t xml:space="preserve"> </w:t>
      </w:r>
      <w:r>
        <w:t xml:space="preserve"> </w:t>
      </w:r>
      <w:r w:rsidRPr="00F67ED8">
        <w:t>This is as true for market access grantees as it is for licensees, since both are subject to the Commission’s regulatory framework while providing service in the United States.</w:t>
      </w:r>
      <w:r>
        <w:t xml:space="preserve">  Moreover, each year the Commission engages in a proceeding seeking comment on its proposed fees for the year and frequently makes adjustments to the regulatory scheme to reflect changes in fact and law.  </w:t>
      </w:r>
      <w:r w:rsidRPr="00F67ED8">
        <w:t xml:space="preserve">For the reasons stated herein, we have concluded that non-U.S. licensed space stations accessing the U.S. market </w:t>
      </w:r>
      <w:r>
        <w:t xml:space="preserve">should be </w:t>
      </w:r>
      <w:r w:rsidRPr="00F67ED8">
        <w:t>subject to assessment of regulatory fees under section 9.</w:t>
      </w:r>
      <w:r>
        <w:rPr>
          <w:rStyle w:val="FootnoteReference"/>
        </w:rPr>
        <w:footnoteReference w:id="87"/>
      </w:r>
    </w:p>
    <w:p w:rsidR="007D15C3" w:rsidP="007D15C3">
      <w:pPr>
        <w:pStyle w:val="ParaNum"/>
      </w:pPr>
      <w:r w:rsidRPr="000F5C56">
        <w:t xml:space="preserve">Including non-U.S. licensed space stations in the Commission’s assessment of regulatory fees is important to fulfilling Congress’s mandate that the Commission recover the costs associated with its activities, since market access by non-U.S. licensed space stations has become a significant portion of the satellite services regulated by the Commission and exemption of non-U.S. licensed space stations </w:t>
      </w:r>
      <w:r>
        <w:t xml:space="preserve">places the burden of regulatory fees—which are designed to defray the costs of Commission regulatory activities (which we undertake to serve the overall interests of the public, including all parties engaged in the communications marketplace)—solely on the shoulders of </w:t>
      </w:r>
      <w:r w:rsidRPr="000F5C56">
        <w:t>U.S. licensees, either directly or indirectly.</w:t>
      </w:r>
      <w:r>
        <w:rPr>
          <w:rStyle w:val="FootnoteReference"/>
        </w:rPr>
        <w:footnoteReference w:id="88"/>
      </w:r>
      <w:r w:rsidRPr="000F5C56">
        <w:t xml:space="preserve"> We find that this is not sustainable, since the ability to gain the same benefits of Commission activities without being assessed regulatory fees presents an incentive for space station operators, even U.S.-based companies, to </w:t>
      </w:r>
      <w:r>
        <w:t>elect</w:t>
      </w:r>
      <w:r w:rsidRPr="000F5C56">
        <w:t xml:space="preserve"> to be licensed by a foreign administration in order to still have access to the U.S. market, but without being assessed regulatory </w:t>
      </w:r>
      <w:r>
        <w:t>fees</w:t>
      </w:r>
      <w:r w:rsidRPr="000F5C56">
        <w:t>.</w:t>
      </w:r>
      <w:r>
        <w:t xml:space="preserve">  In summary, we conclude that assessing the same regulatory fees on non-U.S. licensed space stations with market access as we assess on U.S. licensed space stations will better reflect the benefits received by these operators through the Commission’s adjudicatory, enforcement, regulatory, and international coordination activities.  Moreover, it will promote regulatory parity and fairness among space station operators by evenly distributing the regulatory cost recovery.</w:t>
      </w:r>
      <w:bookmarkStart w:id="32" w:name="_Hlk37860230"/>
      <w:bookmarkEnd w:id="32"/>
    </w:p>
    <w:p w:rsidR="007D15C3" w:rsidRPr="00425DB9" w:rsidP="007D15C3">
      <w:pPr>
        <w:pStyle w:val="ParaNum"/>
        <w:rPr>
          <w:szCs w:val="22"/>
        </w:rPr>
      </w:pPr>
      <w:r>
        <w:t xml:space="preserve">In the interest of equity and to eliminate regulatory arbitrage, we further conclude that regulatory fees for non-U.S. licensed space stations should be contributed regardless of the method by which the space station obtains U.S. market access.  In addition to </w:t>
      </w:r>
      <w:bookmarkStart w:id="33" w:name="_Hlk38038558"/>
      <w:r>
        <w:t>receiving U.S. market access directly through a petition for declaratory ruling</w:t>
      </w:r>
      <w:bookmarkEnd w:id="33"/>
      <w:r>
        <w:t xml:space="preserve">, a non-U.S. licensed space station operator may also receive market access by being added as a point of communication in an earth station license application.  In either case, the Commission’s review of the space station market access request is the same.  The earth </w:t>
      </w:r>
      <w:r>
        <w:t xml:space="preserve">station application may be filed by the non-U.S. licensed operator, one of its subsidiaries, or an independent third party.  Currently, neither the earth station licensee nor the non-U.S. satellite operator with market access through that earth station pays a regulatory fee despite the benefits it </w:t>
      </w:r>
      <w:r>
        <w:t>receives</w:t>
      </w:r>
      <w:r>
        <w:t xml:space="preserve"> and the additional Commission resources consumed by such market access.  We find that it serves the public interest to assess regulatory fees in the same manner against all non-U.S. licensed satellite operators with U.S. market access, regardless of how that access is obtained.  </w:t>
      </w:r>
      <w:bookmarkStart w:id="34" w:name="_Hlk37860459"/>
      <w:bookmarkEnd w:id="34"/>
    </w:p>
    <w:p w:rsidR="007D15C3" w:rsidP="007D15C3">
      <w:pPr>
        <w:pStyle w:val="ParaNum"/>
      </w:pPr>
      <w:r w:rsidRPr="002F7529">
        <w:t xml:space="preserve">We </w:t>
      </w:r>
      <w:r>
        <w:t>next address the mechanisms of assessment when non-U.S. satellite operators gain market access through earth stations</w:t>
      </w:r>
      <w:r w:rsidRPr="002F7529">
        <w:t xml:space="preserve">.  </w:t>
      </w:r>
      <w:r>
        <w:t xml:space="preserve">As of October 1, 2019, there are </w:t>
      </w:r>
      <w:r w:rsidRPr="00242A03">
        <w:t xml:space="preserve">approximately 25 non-U.S. </w:t>
      </w:r>
      <w:r>
        <w:t xml:space="preserve">licensed </w:t>
      </w:r>
      <w:r w:rsidRPr="00242A03">
        <w:t xml:space="preserve">space stations serving the U.S. market through earth station licensees. </w:t>
      </w:r>
      <w:r>
        <w:t xml:space="preserve"> </w:t>
      </w:r>
      <w:r w:rsidRPr="002F7529">
        <w:t>SpaceX proposes creating a new regulatory fee category for earth station authorizations that include</w:t>
      </w:r>
      <w:r>
        <w:t xml:space="preserve"> a</w:t>
      </w:r>
      <w:r w:rsidRPr="002F7529">
        <w:t xml:space="preserve"> first-time market access grant for a satellite system to </w:t>
      </w:r>
      <w:r>
        <w:t>“</w:t>
      </w:r>
      <w:r w:rsidRPr="00A9054A">
        <w:t>apply the same regulatory fee applicable to non-U.S. licensed systems granted market access at the space station level</w:t>
      </w:r>
      <w:r w:rsidRPr="002F7529">
        <w:t>.”</w:t>
      </w:r>
      <w:r>
        <w:rPr>
          <w:vertAlign w:val="superscript"/>
        </w:rPr>
        <w:footnoteReference w:id="89"/>
      </w:r>
      <w:r w:rsidRPr="002652B6">
        <w:t xml:space="preserve">  </w:t>
      </w:r>
      <w:r>
        <w:t>SpaceX asserts that doing so “</w:t>
      </w:r>
      <w:r w:rsidRPr="00A9054A">
        <w:t>would eliminate an opportunity for regulatory arbitrage while ensuring that the Commission’s regulatory fee structure equitably covers satellite systems granted access to the U.S. market regardless of the mechanism used to achieve that end.</w:t>
      </w:r>
      <w:r>
        <w:t>”</w:t>
      </w:r>
      <w:r>
        <w:rPr>
          <w:vertAlign w:val="superscript"/>
        </w:rPr>
        <w:footnoteReference w:id="90"/>
      </w:r>
      <w:r>
        <w:t xml:space="preserve">  We agree with SpaceX that assessing a regulatory fee to cover non-U.S. licensed space stations that gain market access through an earth station serves the public interest, although we assess the space station benefiting from the market access rather than the earth station operator(s).  Doing so will place the responsibility with the space station operator directly benefiting from market access rather than one or multiple earth stations that may be communicating with many other satellites as well.  </w:t>
      </w:r>
    </w:p>
    <w:p w:rsidR="007D15C3" w:rsidP="007D15C3">
      <w:pPr>
        <w:pStyle w:val="ParaNum"/>
      </w:pPr>
      <w:r>
        <w:t>We will therefore require non-U.S. licensed space stations that enter into the U.S. market through earth station authorizations to be subject to regulatory fees similar to those space stations</w:t>
      </w:r>
      <w:r w:rsidRPr="00696E7B">
        <w:t xml:space="preserve"> </w:t>
      </w:r>
      <w:r>
        <w:t>receiving U.S. market access directly through a petition for declaratory ruling.</w:t>
      </w:r>
      <w:r>
        <w:rPr>
          <w:rStyle w:val="FootnoteReference"/>
        </w:rPr>
        <w:footnoteReference w:id="91"/>
      </w:r>
      <w:r>
        <w:t xml:space="preserve">  Failure to pay a regulatory fee will subject the operator of the non-U.S. licensed space station to statutory penalties and the Commission’s rules governing nonpayment.</w:t>
      </w:r>
      <w:r>
        <w:rPr>
          <w:rStyle w:val="FootnoteReference"/>
        </w:rPr>
        <w:footnoteReference w:id="92"/>
      </w:r>
      <w:r>
        <w:t xml:space="preserve">  In addition to other penalties, non-payment may result in </w:t>
      </w:r>
      <w:r w:rsidRPr="00A5293E">
        <w:t>remov</w:t>
      </w:r>
      <w:r>
        <w:t>al of</w:t>
      </w:r>
      <w:r w:rsidRPr="00A5293E">
        <w:t xml:space="preserve"> the </w:t>
      </w:r>
      <w:r>
        <w:t xml:space="preserve">delinquent </w:t>
      </w:r>
      <w:r w:rsidRPr="00A5293E">
        <w:t xml:space="preserve">non-U.S. </w:t>
      </w:r>
      <w:r>
        <w:t>space</w:t>
      </w:r>
      <w:r w:rsidRPr="00A5293E">
        <w:t xml:space="preserve"> station as a point of communication for any </w:t>
      </w:r>
      <w:r>
        <w:t xml:space="preserve">associated </w:t>
      </w:r>
      <w:r w:rsidRPr="00A5293E">
        <w:t>earth station</w:t>
      </w:r>
      <w:r>
        <w:t xml:space="preserve"> authorizations.  Non-payment may also preven</w:t>
      </w:r>
      <w:r w:rsidRPr="00A5293E">
        <w:t xml:space="preserve">t </w:t>
      </w:r>
      <w:r>
        <w:t>such</w:t>
      </w:r>
      <w:r w:rsidRPr="00A5293E">
        <w:t xml:space="preserve"> space station to obtain future U.S. market access </w:t>
      </w:r>
      <w:r>
        <w:t xml:space="preserve">or other regulatory benefits </w:t>
      </w:r>
      <w:r w:rsidRPr="00A5293E">
        <w:t>until such matters are resolved</w:t>
      </w:r>
      <w:r>
        <w:t>.</w:t>
      </w:r>
      <w:r>
        <w:rPr>
          <w:rStyle w:val="FootnoteReference"/>
        </w:rPr>
        <w:footnoteReference w:id="93"/>
      </w:r>
      <w:r>
        <w:t xml:space="preserve">  This action eliminates any regulatory arbitrage or gaming opportunity by eliminating any regulatory fee differences between </w:t>
      </w:r>
      <w:r w:rsidRPr="00D507D3">
        <w:t>receiving U.S. market access directly through a petition for declaratory ruling</w:t>
      </w:r>
      <w:r>
        <w:t xml:space="preserve"> or</w:t>
      </w:r>
      <w:r w:rsidRPr="00D507D3">
        <w:t xml:space="preserve"> </w:t>
      </w:r>
      <w:r>
        <w:t>indirectly, through</w:t>
      </w:r>
      <w:r w:rsidRPr="00D507D3">
        <w:t xml:space="preserve"> an earth station license application</w:t>
      </w:r>
      <w:r>
        <w:t xml:space="preserve">. </w:t>
      </w:r>
    </w:p>
    <w:p w:rsidR="007D15C3" w:rsidRPr="009E5812" w:rsidP="007D15C3">
      <w:pPr>
        <w:pStyle w:val="ParaNum"/>
        <w:rPr>
          <w:snapToGrid/>
          <w:kern w:val="0"/>
        </w:rPr>
      </w:pPr>
      <w:r>
        <w:t>In some cases, non-U.S. licensed space stations that do not access earth stations aboard aircraft (ESAA) terminals in the United States or its territorial waters have been identified as a point of communication for U.S. licensed ESAA terminals.</w:t>
      </w:r>
      <w:r>
        <w:rPr>
          <w:rStyle w:val="FootnoteReference"/>
        </w:rPr>
        <w:footnoteReference w:id="94"/>
      </w:r>
      <w:r>
        <w:t>  To the extent such license clearly limits U.S. licensed ESAA terminals’ access to these non-U.S. licensed space stations to situations in which these terminals are in foreign territories and/or over international waters and the license does not otherwise allow the non-U.S. licensed space station access to the U.S. market, the non-U.S. licensed space station does not fall within the category of a non-U.S. licensed space station with access to the U.S. market for regulatory fee purposes.  In addition, a non-U.S. licensed space station that communicates with a U.S. licensed earth station solely for tracking, telemetry and command (TT&amp;C) purposes will not fall within the category of a non-U.S. licensed space station with access to the U.S. market for regulatory fee purposes.</w:t>
      </w:r>
      <w:r>
        <w:rPr>
          <w:rStyle w:val="FootnoteReference"/>
        </w:rPr>
        <w:footnoteReference w:id="95"/>
      </w:r>
      <w:r>
        <w:t xml:space="preserve">  The relevant earth station license, however, must clearly limit the non-U.S. licensed space station's access to TT&amp;C communications only.  If it does not include such a limitation, the relevant non-U.S. licensed space station will be subject to regulatory fees.  Accordingly, non-U.S. licensed space station operators may notify the Commission by July 15, 2020, as discussed below, to certify that their access is solely for TT&amp;C and identify the relevant earth station licenses for any needed express condition that the relevant non-U.S. licensed space station is identified a point of communication for TT&amp;C purposes only.</w:t>
      </w:r>
      <w:r>
        <w:rPr>
          <w:rStyle w:val="FootnoteReference"/>
        </w:rPr>
        <w:footnoteReference w:id="96"/>
      </w:r>
      <w:r>
        <w:t xml:space="preserve">  Otherwise, they will be assessed regulatory fees.</w:t>
      </w:r>
    </w:p>
    <w:p w:rsidR="007D15C3" w:rsidRPr="00AE3B62" w:rsidP="007D15C3">
      <w:pPr>
        <w:pStyle w:val="ParaNum"/>
        <w:rPr>
          <w:szCs w:val="22"/>
        </w:rPr>
      </w:pPr>
      <w:r>
        <w:t>We understand that non-U.S. licensed satellite operators have not always been conscientious in the past about advising the Commission when they have ceased to provide service to the U.S. from a particular satellite.  To provide a clear deadline for operators to correct the record and afford the International Bureau and the Office of Managing Director an opportunity to create a definitive list of market access grants from which to develop the final fee amounts,  non-U.S. licensed space station operators with U.S. market access may notify the Commission by July 15, 2020 whether they want to relinquish that market access.</w:t>
      </w:r>
      <w:r>
        <w:rPr>
          <w:rStyle w:val="FootnoteReference"/>
        </w:rPr>
        <w:footnoteReference w:id="97"/>
      </w:r>
      <w:r>
        <w:t xml:space="preserve">  Operators that relinquish their U.S. market access will not be assessed regulatory fees this year.  Accordingly, for FY 2020 we will require regulatory fees to be paid by those non-U.S. licensed space stations that have U.S. market access after July 15, 2020.</w:t>
      </w:r>
      <w:r>
        <w:rPr>
          <w:rStyle w:val="FootnoteReference"/>
        </w:rPr>
        <w:footnoteReference w:id="98"/>
      </w:r>
      <w:r>
        <w:t xml:space="preserve">  We instruct the International Bureau, when it receives a notice of surrender of market access by the operator of a non-U.S. licensed space station, to remove the space station as a point of communication in all earth station licenses, regardless of whether the earth station licensee itself requests removal of the non-U.S. licensed space station as a point of communication.</w:t>
      </w:r>
      <w:r>
        <w:rPr>
          <w:rStyle w:val="FootnoteReference"/>
        </w:rPr>
        <w:footnoteReference w:id="99"/>
      </w:r>
      <w:r>
        <w:t xml:space="preserve">  We do this so that a non-U.S. licensed space station operator would not be prejudiced by non-action of a third-party earth station licensee.</w:t>
      </w:r>
    </w:p>
    <w:p w:rsidR="007D15C3" w:rsidRPr="004E636D" w:rsidP="007D15C3">
      <w:pPr>
        <w:pStyle w:val="ParaNum"/>
        <w:rPr>
          <w:szCs w:val="22"/>
        </w:rPr>
      </w:pPr>
      <w:r>
        <w:t>Accordingly, we will issue an invoice for the annual space station regulatory fee to the non-U.S. licensed space station operator of record listed on the Schedule S filed in connection with a grant of a petition for declaratory ruling to access the U.S. market, or with an earth station application to add the non-U.S. licensed space station as a point of communication, as of July 16, 2020.</w:t>
      </w:r>
      <w:r>
        <w:rPr>
          <w:rStyle w:val="FootnoteReference"/>
        </w:rPr>
        <w:footnoteReference w:id="100"/>
      </w:r>
      <w:r>
        <w:t xml:space="preserve">  To facilitate administration of regulatory fees, we require that all non-U.S. licensed space station operators with such market access to obtain an FCC Registration Number by August 1, 2020.</w:t>
      </w:r>
      <w:r>
        <w:rPr>
          <w:rStyle w:val="FootnoteReference"/>
        </w:rPr>
        <w:footnoteReference w:id="101"/>
      </w:r>
      <w:r>
        <w:t xml:space="preserve">  Further, we remind non-U.S. licensed space station operators who do not pay the regulatory fees in a timely fashion that they will be in violation of our regulatory fee rules and,</w:t>
      </w:r>
      <w:r w:rsidRPr="001907DF">
        <w:t xml:space="preserve"> while being subject to other regulatory fee enforcement consequences,</w:t>
      </w:r>
      <w:r>
        <w:t xml:space="preserve"> may be unable to obtain future U.S. market access until such matters are resolved.</w:t>
      </w:r>
      <w:r>
        <w:rPr>
          <w:rStyle w:val="FootnoteReference"/>
        </w:rPr>
        <w:footnoteReference w:id="102"/>
      </w:r>
      <w:r>
        <w:t xml:space="preserve">  To reiterate, this fee will be assessed on any non-U.S. licensed space station that has been granted market access through existing earth stations licensees as of July 16, 2020.</w:t>
      </w:r>
      <w:r>
        <w:rPr>
          <w:rStyle w:val="FootnoteReference"/>
        </w:rPr>
        <w:footnoteReference w:id="103"/>
      </w:r>
      <w:r>
        <w:t xml:space="preserve">  </w:t>
      </w:r>
    </w:p>
    <w:p w:rsidR="007D15C3" w:rsidP="007D15C3">
      <w:pPr>
        <w:pStyle w:val="ParaNum"/>
      </w:pPr>
      <w:r>
        <w:t xml:space="preserve">We also conclude that we should </w:t>
      </w:r>
      <w:r w:rsidRPr="4E540434">
        <w:t>reallocat</w:t>
      </w:r>
      <w:r>
        <w:t>e</w:t>
      </w:r>
      <w:r w:rsidRPr="4E540434">
        <w:t xml:space="preserve"> four International Bureau indirect FTEs as direct</w:t>
      </w:r>
      <w:r>
        <w:t xml:space="preserve"> to account for our decision to assess </w:t>
      </w:r>
      <w:r w:rsidRPr="4E540434">
        <w:t xml:space="preserve">regulatory fees </w:t>
      </w:r>
      <w:r>
        <w:t>on</w:t>
      </w:r>
      <w:r w:rsidRPr="4E540434">
        <w:t xml:space="preserve"> non-U.S. </w:t>
      </w:r>
      <w:r>
        <w:t xml:space="preserve">licensed </w:t>
      </w:r>
      <w:r w:rsidRPr="4E540434">
        <w:t>space stations</w:t>
      </w:r>
      <w:r>
        <w:rPr>
          <w:szCs w:val="22"/>
        </w:rPr>
        <w:t xml:space="preserve">.  The Commission previously recategorized four International Bureau FTEs as indirect to avoid assessing U.S. </w:t>
      </w:r>
      <w:r>
        <w:t xml:space="preserve">licensed </w:t>
      </w:r>
      <w:r>
        <w:rPr>
          <w:szCs w:val="22"/>
        </w:rPr>
        <w:t xml:space="preserve">space stations for work that directly involved non-U.S. </w:t>
      </w:r>
      <w:r>
        <w:t xml:space="preserve">licensed </w:t>
      </w:r>
      <w:r>
        <w:rPr>
          <w:szCs w:val="22"/>
        </w:rPr>
        <w:t>space stations that did not pay regulatory fees.</w:t>
      </w:r>
      <w:r>
        <w:rPr>
          <w:rStyle w:val="FootnoteReference"/>
          <w:szCs w:val="22"/>
        </w:rPr>
        <w:footnoteReference w:id="104"/>
      </w:r>
      <w:r>
        <w:rPr>
          <w:szCs w:val="22"/>
        </w:rPr>
        <w:t xml:space="preserve">  We find that it is appropriate to make this adjustment to account for our decision to </w:t>
      </w:r>
      <w:r>
        <w:t xml:space="preserve">assess </w:t>
      </w:r>
      <w:r w:rsidRPr="4E540434">
        <w:t xml:space="preserve">regulatory fees </w:t>
      </w:r>
      <w:r>
        <w:t>on</w:t>
      </w:r>
      <w:r w:rsidRPr="4E540434">
        <w:t xml:space="preserve"> non-U.S. </w:t>
      </w:r>
      <w:r>
        <w:t xml:space="preserve">licensed </w:t>
      </w:r>
      <w:r w:rsidRPr="4E540434">
        <w:t>space stations</w:t>
      </w:r>
      <w:r>
        <w:t xml:space="preserve"> and the section 9 requirement that the Commission set regulatory fees to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rPr>
        <w:footnoteReference w:id="105"/>
      </w:r>
      <w:r>
        <w:t xml:space="preserve">  We accordingly add four FTEs to the satellite regulatory fee category as direct FTEs to account for the work that was allocated as indirect previously.  We note, however, that we add back these four FTEs only to correct the total number of direct FTEs in the International Bureau for regulatory fee purposes.  The apportionment of fees among International Bureau regulatees is calculated based on the factors reasonably related to the benefits </w:t>
      </w:r>
      <w:r w:rsidRPr="007E7DF6">
        <w:t>provided to the payor</w:t>
      </w:r>
      <w:r>
        <w:t>s</w:t>
      </w:r>
      <w:r w:rsidRPr="007E7DF6">
        <w:t xml:space="preserve"> of the fee</w:t>
      </w:r>
      <w:r>
        <w:t xml:space="preserve">, as discussed </w:t>
      </w:r>
      <w:r>
        <w:t>below..</w:t>
      </w:r>
      <w:r>
        <w:t xml:space="preserve">  </w:t>
      </w:r>
    </w:p>
    <w:p w:rsidR="007D15C3" w:rsidRPr="00BB63D2" w:rsidP="007D15C3">
      <w:pPr>
        <w:pStyle w:val="ParaNum"/>
      </w:pPr>
      <w:r>
        <w:t>Finally,</w:t>
      </w:r>
      <w:r w:rsidRPr="00CC13C2">
        <w:t xml:space="preserve"> </w:t>
      </w:r>
      <w:r>
        <w:t>we find that subjecting</w:t>
      </w:r>
      <w:r w:rsidRPr="002F7529">
        <w:t xml:space="preserve"> non-U.S.</w:t>
      </w:r>
      <w:r>
        <w:t xml:space="preserve"> </w:t>
      </w:r>
      <w:r w:rsidRPr="002F7529">
        <w:t>licensed space stations with U.S. market access</w:t>
      </w:r>
      <w:r>
        <w:t xml:space="preserve"> to the space station regulatory fees is</w:t>
      </w:r>
      <w:r w:rsidRPr="002F7529">
        <w:t xml:space="preserve"> an amendment as defined in section 9(d) of the Act</w:t>
      </w:r>
      <w:r>
        <w:t>.</w:t>
      </w:r>
      <w:r>
        <w:rPr>
          <w:vertAlign w:val="superscript"/>
        </w:rPr>
        <w:footnoteReference w:id="106"/>
      </w:r>
      <w:r w:rsidRPr="002F7529">
        <w:t xml:space="preserve"> </w:t>
      </w:r>
      <w:r>
        <w:t xml:space="preserve"> Such an amendment</w:t>
      </w:r>
      <w:r w:rsidRPr="002F7529">
        <w:t xml:space="preserve"> must be submitted to Congress at least 90 days before it become</w:t>
      </w:r>
      <w:r>
        <w:t>s</w:t>
      </w:r>
      <w:r w:rsidRPr="002F7529">
        <w:t xml:space="preserve"> effective</w:t>
      </w:r>
      <w:r w:rsidRPr="00F607BF">
        <w:t xml:space="preserve"> </w:t>
      </w:r>
      <w:r w:rsidRPr="002F7529">
        <w:t>pursuant to section 9A(b)(2).</w:t>
      </w:r>
      <w:r>
        <w:rPr>
          <w:vertAlign w:val="superscript"/>
        </w:rPr>
        <w:footnoteReference w:id="107"/>
      </w:r>
    </w:p>
    <w:p w:rsidR="007D15C3" w:rsidRPr="005F6BC2" w:rsidP="007D15C3">
      <w:pPr>
        <w:pStyle w:val="Heading2"/>
      </w:pPr>
      <w:bookmarkStart w:id="36" w:name="_Toc38017893"/>
      <w:bookmarkStart w:id="37" w:name="_Toc40091667"/>
      <w:bookmarkStart w:id="38" w:name="_Toc36903642"/>
      <w:r>
        <w:t>Apportionment of Fees among International Bureau Regulatees</w:t>
      </w:r>
      <w:bookmarkEnd w:id="36"/>
      <w:bookmarkEnd w:id="37"/>
    </w:p>
    <w:p w:rsidR="007D15C3" w:rsidP="007D15C3">
      <w:pPr>
        <w:pStyle w:val="ParaNum"/>
        <w:rPr>
          <w:snapToGrid/>
          <w:kern w:val="0"/>
        </w:rPr>
      </w:pPr>
      <w:r>
        <w:t xml:space="preserve">The Commission has previously determined over the course of several orders that a significant number of FTEs in the International Bureau do work that should be considered indirect for </w:t>
      </w:r>
      <w:r>
        <w:t>regulatory fee purposes and set the number of direct FTEs at 24.</w:t>
      </w:r>
      <w:r>
        <w:rPr>
          <w:rStyle w:val="FootnoteReference"/>
        </w:rPr>
        <w:footnoteReference w:id="108"/>
      </w:r>
      <w:r>
        <w:t xml:space="preserve">  The International Bureau fees are divided into a satellite category (with subcategories of GSO space stations, NGSO space stations, and earth stations) and an international bearer circuits category (consisting of submarine cable systems in one subcategory and terrestrial and satellite international facilities in another).  In the </w:t>
      </w:r>
      <w:r w:rsidRPr="3C85307C">
        <w:rPr>
          <w:i/>
          <w:iCs/>
        </w:rPr>
        <w:t>FY 2019 Report and Order</w:t>
      </w:r>
      <w:r>
        <w:t>, the Commission explained that we currently allocate 17.1 of the 24 International Bureau FTEs to the satellite category and 6.9 to the international bearer circuits category.</w:t>
      </w:r>
      <w:r>
        <w:rPr>
          <w:rStyle w:val="FootnoteReference"/>
        </w:rPr>
        <w:footnoteReference w:id="109"/>
      </w:r>
      <w:r>
        <w:t xml:space="preserve">  Including the 4 FTEs that were previously considered indirect because of their work with non-U.S. licensed space stations as discussed above brings those totals to 21.1 FTEs assigned to the satellite category and 6.9 to the international bearer circuit category. </w:t>
      </w:r>
    </w:p>
    <w:p w:rsidR="007D15C3" w:rsidP="007D15C3">
      <w:pPr>
        <w:pStyle w:val="ParaNum"/>
      </w:pPr>
      <w:r>
        <w:t xml:space="preserve">In the </w:t>
      </w:r>
      <w:bookmarkStart w:id="39" w:name="_Hlk38109153"/>
      <w:r w:rsidRPr="008D17E8">
        <w:rPr>
          <w:i/>
          <w:iCs/>
        </w:rPr>
        <w:t>Further Notice of Proposed Rulemaking</w:t>
      </w:r>
      <w:r>
        <w:t xml:space="preserve"> attached to the </w:t>
      </w:r>
      <w:r w:rsidRPr="3C85307C">
        <w:rPr>
          <w:i/>
          <w:iCs/>
        </w:rPr>
        <w:t>FY 2019 Report and Order</w:t>
      </w:r>
      <w:bookmarkEnd w:id="39"/>
      <w:r>
        <w:t xml:space="preserve">, we sought comment on whether </w:t>
      </w:r>
      <w:r w:rsidRPr="005F6BC2">
        <w:t xml:space="preserve">we should adjust the apportionment among fee categories within </w:t>
      </w:r>
      <w:r>
        <w:t>the International</w:t>
      </w:r>
      <w:r w:rsidRPr="005F6BC2">
        <w:t xml:space="preserve"> </w:t>
      </w:r>
      <w:r>
        <w:t>B</w:t>
      </w:r>
      <w:r w:rsidRPr="005F6BC2">
        <w:t>ureau</w:t>
      </w:r>
      <w:r>
        <w:t>.</w:t>
      </w:r>
      <w:r>
        <w:rPr>
          <w:rStyle w:val="FootnoteReference"/>
        </w:rPr>
        <w:footnoteReference w:id="110"/>
      </w:r>
      <w:r w:rsidRPr="005343F7">
        <w:t xml:space="preserve"> </w:t>
      </w:r>
      <w:r>
        <w:t xml:space="preserve"> In response, the International Bureau undertook a review of its work, staffing, and distribution of responsibilities benefiting its fee payers, division by division and between the Telecommunications and Analysis Division and the Satellite Division.  Based on this review, we find that adjusting the FTE allocation for the international bearer circuit category to 8 FTEs rather than 6.9 FTEs would better reflect </w:t>
      </w:r>
      <w:r w:rsidRPr="005F6BC2">
        <w:t>the direct FTE wor</w:t>
      </w:r>
      <w:r>
        <w:t>k in the International Bureau that</w:t>
      </w:r>
      <w:r w:rsidRPr="005F6BC2">
        <w:t xml:space="preserve"> benefit</w:t>
      </w:r>
      <w:r>
        <w:t>s</w:t>
      </w:r>
      <w:r w:rsidRPr="005F6BC2">
        <w:t xml:space="preserve"> the fee payor</w:t>
      </w:r>
      <w:r>
        <w:t>s in the international bearer circuit category</w:t>
      </w:r>
      <w:r w:rsidRPr="005F6BC2">
        <w:t>.</w:t>
      </w:r>
      <w:r>
        <w:t xml:space="preserve">  This action brings the FTEs for the satellite category to 20 and the total number of direct FTEs for the International Bureau to 28.</w:t>
      </w:r>
    </w:p>
    <w:p w:rsidR="007D15C3" w:rsidRPr="00C124A6" w:rsidP="007D15C3">
      <w:pPr>
        <w:pStyle w:val="ParaNum"/>
      </w:pPr>
      <w:r>
        <w:t>We are not persuaded by the Submarine Cable Coalition’s assertion that two FTEs from the Telecommunications and Analysis Division are sufficient for international bearer circuit regulation.</w:t>
      </w:r>
      <w:r>
        <w:rPr>
          <w:rStyle w:val="FootnoteReference"/>
        </w:rPr>
        <w:footnoteReference w:id="111"/>
      </w:r>
      <w:r>
        <w:t xml:space="preserve">  As we explained in the </w:t>
      </w:r>
      <w:r w:rsidRPr="3C85307C">
        <w:rPr>
          <w:i/>
          <w:iCs/>
        </w:rPr>
        <w:t>FY 2015 Report and Order</w:t>
      </w:r>
      <w:r w:rsidRPr="00FC3992">
        <w:t>,</w:t>
      </w:r>
      <w:r w:rsidRPr="00AF2F23">
        <w:t xml:space="preserve"> </w:t>
      </w:r>
      <w:r>
        <w:t>two FTEs do not take into account all the work provided for this industry by the International Bureau.</w:t>
      </w:r>
      <w:r>
        <w:rPr>
          <w:rStyle w:val="FootnoteReference"/>
        </w:rPr>
        <w:footnoteReference w:id="112"/>
      </w:r>
      <w:r>
        <w:t xml:space="preserve">  Currently, almost all of the work of the Telecommunications and Analysis Division, as well as some of the work by the Office of the Bureau Chief, benefits international telecommunications service providers including submarine cable operators.</w:t>
      </w:r>
      <w:r>
        <w:rPr>
          <w:rStyle w:val="FootnoteReference"/>
        </w:rPr>
        <w:footnoteReference w:id="113"/>
      </w:r>
      <w:r>
        <w:t xml:space="preserve">  </w:t>
      </w:r>
    </w:p>
    <w:p w:rsidR="007D15C3" w:rsidP="007D15C3">
      <w:pPr>
        <w:pStyle w:val="ParaNum"/>
      </w:pPr>
      <w:r>
        <w:t xml:space="preserve">The Submarine Cable Coalition also argues that the number of FTEs in the International Bureau was not appropriately reduced when the Office of Economics and Analytics was created and the reassignment of staff led to decreases in the direct FTEs in the Media, Wireline Competition, and </w:t>
      </w:r>
      <w:r>
        <w:t>Wireless Telecommunication Bureaus.</w:t>
      </w:r>
      <w:r>
        <w:rPr>
          <w:rStyle w:val="FootnoteReference"/>
        </w:rPr>
        <w:footnoteReference w:id="114"/>
      </w:r>
      <w:r>
        <w:t xml:space="preserve">  None of the 24 FTEs from the International Bureau identified as direct for regulatory fee purposes, however, were moved to the Office of Economics and Analytics.  Therefore, the number of direct FTEs in the International Bureau was not reduced due to the creation of the Office of Economics and Analytics.  Accordingly, we reject these arguments.  In the </w:t>
      </w:r>
      <w:r w:rsidRPr="3C85307C">
        <w:rPr>
          <w:i/>
          <w:iCs/>
        </w:rPr>
        <w:t>FY 2019 Report and Order</w:t>
      </w:r>
      <w:r>
        <w:t xml:space="preserve"> we recognized that the increase to fees for International Bureau regulatees was not trivial when we rejected similar arguments and explained that such an increase was consistent with previous FTE </w:t>
      </w:r>
      <w:r>
        <w:t>shifts</w:t>
      </w:r>
      <w:r>
        <w:t xml:space="preserve"> we have made as well as the statute.</w:t>
      </w:r>
      <w:r>
        <w:rPr>
          <w:rStyle w:val="FootnoteReference"/>
        </w:rPr>
        <w:footnoteReference w:id="115"/>
      </w:r>
      <w:r>
        <w:t xml:space="preserve">  </w:t>
      </w:r>
    </w:p>
    <w:bookmarkEnd w:id="38"/>
    <w:p w:rsidR="007D15C3" w:rsidP="007D15C3">
      <w:pPr>
        <w:pStyle w:val="ParaNum"/>
      </w:pPr>
      <w:r w:rsidRPr="3C85307C">
        <w:rPr>
          <w:i/>
          <w:iCs/>
        </w:rPr>
        <w:t>GSO and NGSO Space Stations Apportionment</w:t>
      </w:r>
      <w:r>
        <w:t xml:space="preserve">.—In the </w:t>
      </w:r>
      <w:r w:rsidRPr="00872FF5">
        <w:rPr>
          <w:i/>
          <w:iCs/>
        </w:rPr>
        <w:t>Further Notice of Proposed Rulemaking</w:t>
      </w:r>
      <w:r>
        <w:t xml:space="preserve"> attached to the </w:t>
      </w:r>
      <w:r w:rsidRPr="3C85307C">
        <w:rPr>
          <w:i/>
          <w:iCs/>
        </w:rPr>
        <w:t>FY 2019 Report and Order</w:t>
      </w:r>
      <w:r>
        <w:t>, we sought comment on adjustments to the allocation of FTEs among GSO and NGSO space and earth station operators.</w:t>
      </w:r>
      <w:r>
        <w:rPr>
          <w:rStyle w:val="FootnoteReference"/>
        </w:rPr>
        <w:footnoteReference w:id="116"/>
      </w:r>
      <w:r>
        <w:t xml:space="preserve">  The FY 2019 annual regulatory fee per unit for Space Stations (Geostationary Orbit) is $159,625, and the comparable fee per unit for Space Stations (Non-Geostationary Orbit) is $154,875.</w:t>
      </w:r>
      <w:r>
        <w:rPr>
          <w:rStyle w:val="FootnoteReference"/>
        </w:rPr>
        <w:footnoteReference w:id="117"/>
      </w:r>
      <w:r>
        <w:t xml:space="preserve">  </w:t>
      </w:r>
    </w:p>
    <w:p w:rsidR="007D15C3" w:rsidP="007D15C3">
      <w:pPr>
        <w:pStyle w:val="ParaNum"/>
      </w:pPr>
      <w:r>
        <w:t xml:space="preserve">In response, SES </w:t>
      </w:r>
      <w:r>
        <w:t>Americom</w:t>
      </w:r>
      <w:r>
        <w:t>, Intelsat, EchoStar, and Hughes (collectively, the GSO Satellite Operators), request that the Commission rebalance the cost allocations between GSO and NGSO space stations to address perceived unfairness in the current balance and because the current balance purportedly does not align with underlying costs.</w:t>
      </w:r>
      <w:r>
        <w:rPr>
          <w:rStyle w:val="FootnoteReference"/>
        </w:rPr>
        <w:footnoteReference w:id="118"/>
      </w:r>
      <w:r>
        <w:t xml:space="preserve">  The GSO Satellite Operators observe that, for FY 2019, the expected regulatory fee revenue from GSO satellite operators was $15,643,250, which is more than 14 times the expected $1,084,125 regulatory fee revenue for NGSO satellite operators.</w:t>
      </w:r>
      <w:r>
        <w:rPr>
          <w:rStyle w:val="FootnoteReference"/>
        </w:rPr>
        <w:footnoteReference w:id="119"/>
      </w:r>
      <w:r>
        <w:t xml:space="preserve">  This imbalance in regulatory fee revenue results from the large disparity in number of units between GSO space stations (98) and NGSO space stations (7),</w:t>
      </w:r>
      <w:r>
        <w:rPr>
          <w:rStyle w:val="FootnoteReference"/>
        </w:rPr>
        <w:footnoteReference w:id="120"/>
      </w:r>
      <w:r>
        <w:t xml:space="preserve"> even though under a single NGSO license hundreds, or thousands, of satellites can be operated while counting as a single unit for regulatory fee purposes, whereas only one satellite can be operated per GSO space station</w:t>
      </w:r>
      <w:r w:rsidRPr="0008303F">
        <w:t xml:space="preserve"> </w:t>
      </w:r>
      <w:r>
        <w:t>regulatory fee unit.</w:t>
      </w:r>
      <w:r>
        <w:rPr>
          <w:rStyle w:val="FootnoteReference"/>
        </w:rPr>
        <w:footnoteReference w:id="121"/>
      </w:r>
      <w:r>
        <w:t xml:space="preserve">  </w:t>
      </w:r>
    </w:p>
    <w:p w:rsidR="007D15C3" w:rsidP="007D15C3">
      <w:pPr>
        <w:pStyle w:val="ParaNum"/>
      </w:pPr>
      <w:r>
        <w:t xml:space="preserve">We agree with the GSO Satellite Operators that the significantly larger amount of regulatory fee payments by GSO operators cannot be attributed to them benefiting more from the Commission’s regulatory activities.  We instead allocate 80% of space station fees to Space Stations (Geostationary Orbit) and 20% to Space Stations (Non-Geostationary Orbit).  We consider three factors that reflect the benefits of Commission oversight to GSO and NGSO operators: the number of applications processed (that is, the benefits of adjudication), the number of changes made to the Commission’s rules (that is, the benefit of rulemaking), and the number of FTEs working on oversight for each category of operators.  </w:t>
      </w:r>
    </w:p>
    <w:p w:rsidR="007D15C3" w:rsidP="00BC400D">
      <w:pPr>
        <w:pStyle w:val="ParaNum"/>
        <w:widowControl/>
      </w:pPr>
      <w:r w:rsidRPr="3C85307C">
        <w:rPr>
          <w:i/>
          <w:iCs/>
        </w:rPr>
        <w:t>First</w:t>
      </w:r>
      <w:r>
        <w:t>, using the data compiled from the International Bureau Filing System, we looked at the applications received and processed by the International Bureau for each of the most recent three years (that is, 2017-2019).</w:t>
      </w:r>
      <w:r>
        <w:rPr>
          <w:rStyle w:val="FootnoteReference"/>
        </w:rPr>
        <w:footnoteReference w:id="122"/>
      </w:r>
      <w:r>
        <w:t xml:space="preserve">  The breakdown shows that GSO applications accounted for 79% (108/136) of applications disposed in 2019 and 79% (124/157) of applications received in 2019.  For 2018, the GSO share is 75% (88/117) disposed and 84% (77/92) received.  For 2017, the GSO share is 84% (122/146) disposed and 77% (128/167) received.  Thus, the total number of applications received and disposed of in this three-year period continues to support a significantly greater allocation of adjudication benefits to GSO than NGSO systems</w:t>
      </w:r>
      <w:r w:rsidRPr="000D03AE">
        <w:t xml:space="preserve"> </w:t>
      </w:r>
      <w:r>
        <w:t>in the range of 75% to 84%.</w:t>
      </w:r>
    </w:p>
    <w:p w:rsidR="007D15C3" w:rsidP="007D15C3">
      <w:pPr>
        <w:pStyle w:val="ParaNum"/>
      </w:pPr>
      <w:r w:rsidRPr="3C85307C">
        <w:rPr>
          <w:i/>
          <w:iCs/>
        </w:rPr>
        <w:t>Second</w:t>
      </w:r>
      <w:r>
        <w:t>, using compiled data for the last three years on the number of Commission-level items originating from the Satellite Division of the International Bureau, we considered each items’ relative precedential value to GSO and NGSO operators.</w:t>
      </w:r>
      <w:r>
        <w:rPr>
          <w:rStyle w:val="FootnoteReference"/>
        </w:rPr>
        <w:footnoteReference w:id="123"/>
      </w:r>
      <w:r>
        <w:t xml:space="preserve">  The list consists of 6 items during 2017-2019,</w:t>
      </w:r>
      <w:r>
        <w:rPr>
          <w:rStyle w:val="FootnoteReference"/>
        </w:rPr>
        <w:footnoteReference w:id="124"/>
      </w:r>
      <w:r>
        <w:t xml:space="preserve"> of which 3 held more benefit for GSOs and 3 held more benefit for NGSOs.</w:t>
      </w:r>
      <w:r>
        <w:rPr>
          <w:rStyle w:val="FootnoteReference"/>
        </w:rPr>
        <w:footnoteReference w:id="125"/>
      </w:r>
      <w:r>
        <w:t xml:space="preserve">  Accordingly, the data presented suggests that there was approximately the same rulemaking benefit to GSO operators as to NGSO operators.  We note, however, that</w:t>
      </w:r>
      <w:r w:rsidRPr="00A17E23">
        <w:t xml:space="preserve">, </w:t>
      </w:r>
      <w:r>
        <w:t>quantifying only the most recent</w:t>
      </w:r>
      <w:r w:rsidRPr="00A17E23">
        <w:t xml:space="preserve"> rulemaking activities do</w:t>
      </w:r>
      <w:r>
        <w:t>es</w:t>
      </w:r>
      <w:r w:rsidRPr="00A17E23">
        <w:t xml:space="preserve"> not </w:t>
      </w:r>
      <w:r>
        <w:t>take into account any</w:t>
      </w:r>
      <w:r w:rsidRPr="00A17E23">
        <w:t xml:space="preserve"> continued benefits derived from older rulemakings.  Some of those continued benefits </w:t>
      </w:r>
      <w:r>
        <w:t>are</w:t>
      </w:r>
      <w:r w:rsidRPr="00A17E23">
        <w:t xml:space="preserve"> </w:t>
      </w:r>
      <w:r>
        <w:t xml:space="preserve">received through </w:t>
      </w:r>
      <w:r w:rsidRPr="00A17E23">
        <w:t xml:space="preserve">the efforts of </w:t>
      </w:r>
      <w:r>
        <w:t xml:space="preserve">adjudication and </w:t>
      </w:r>
      <w:r w:rsidRPr="00A17E23">
        <w:t xml:space="preserve">administration of the rules adopted in those rulemakings.  </w:t>
      </w:r>
      <w:r>
        <w:t>Accordingly, we find that attributing a value to rulemaking activities directly is a somewhat subjective exercise and lacks precision.</w:t>
      </w:r>
    </w:p>
    <w:p w:rsidR="007D15C3" w:rsidP="007D15C3">
      <w:pPr>
        <w:pStyle w:val="ParaNum"/>
      </w:pPr>
      <w:r w:rsidRPr="3C85307C">
        <w:rPr>
          <w:i/>
          <w:iCs/>
        </w:rPr>
        <w:t>Third</w:t>
      </w:r>
      <w:r>
        <w:t>, we considered whether we could examine FTE activities directly, but there has been no change in the number of FTEs attributable to satellite regulatory activities in the International Bureau from previous years and the International Bureau does not separate FTEs by work done on GSO versus NGSO matters.</w:t>
      </w:r>
      <w:r>
        <w:rPr>
          <w:rStyle w:val="FootnoteReference"/>
        </w:rPr>
        <w:footnoteReference w:id="126"/>
      </w:r>
      <w:r>
        <w:t xml:space="preserve">  Indeed, a single FTE may work on authorizations and rulemakings that benefit both categories of satellite operations.  Because we are unable to assess benefits based on a clearly identifiable division of work by assigned FTEs, we must estimate the relative percentage of FTEs that are attributable to benefitting either GSO or NGSO systems based on the factors above.</w:t>
      </w:r>
    </w:p>
    <w:p w:rsidR="007D15C3" w:rsidRPr="000F66AE" w:rsidP="00BC400D">
      <w:pPr>
        <w:pStyle w:val="ParaNum"/>
        <w:widowControl/>
      </w:pPr>
      <w:r>
        <w:t xml:space="preserve">We recognize the considerable challenge of assigning a precise number to the apportionment of regulatory fees between GSO and NGSO space stations.  Taking all of the foregoing factors and data into consideration we conclude, however, that the GSO/NGSO ratio should be adjusted to reflect that GSO space stations derived roughly 75-84% of the benefit from the Commission’s adjudicatory efforts.  Given that our consideration of FTE activities did not yield a clearly identifiable division between GSO and NGSO, and because it is difficult to be precise in quantifying benefits of rulemaking activities, we believe a number in the middle of the </w:t>
      </w:r>
      <w:r w:rsidRPr="008637B6">
        <w:t xml:space="preserve">75-84% </w:t>
      </w:r>
      <w:r>
        <w:t>range is appropriate.  We are also mindful that the number of NGSO units for which regulatory fees are assessed is small, so selection of a number at the bottom end of the 75-84% range would result in a much greater change in the regulatory fee assessed.  We find that selecting a number in the middle of the 75-84% range best reflects the other factors considered in our re-balancing and imposes a balanced burden in that range on all space station operators, including the smaller number of NGSO system operators.  Accordingly, for FY 2020, GSO and NGSO space stations will be allocated 80% and 20% of the space station fees, respectively.</w:t>
      </w:r>
    </w:p>
    <w:p w:rsidR="007D15C3" w:rsidP="007D15C3">
      <w:pPr>
        <w:pStyle w:val="ParaNum"/>
      </w:pPr>
      <w:r w:rsidRPr="3C85307C">
        <w:rPr>
          <w:i/>
          <w:iCs/>
        </w:rPr>
        <w:t>Earth Station and Space Station Apportionment</w:t>
      </w:r>
      <w:r>
        <w:t>.—Although the</w:t>
      </w:r>
      <w:r w:rsidRPr="008E0123">
        <w:t xml:space="preserve"> </w:t>
      </w:r>
      <w:r w:rsidRPr="008D17E8">
        <w:rPr>
          <w:i/>
          <w:iCs/>
        </w:rPr>
        <w:t>Further Notice of Proposed Rulemaking</w:t>
      </w:r>
      <w:r>
        <w:t xml:space="preserve"> attached to the </w:t>
      </w:r>
      <w:r w:rsidRPr="00AB00AF">
        <w:rPr>
          <w:i/>
          <w:iCs/>
        </w:rPr>
        <w:t>FY 2019 Report and Order</w:t>
      </w:r>
      <w:r>
        <w:t xml:space="preserve"> did not propose adjusting the allocation within the satellite category for earth station regulatory fees, certain satellite operators asked that we review such apportionment</w:t>
      </w:r>
      <w:r>
        <w:rPr>
          <w:rStyle w:val="FootnoteReference"/>
        </w:rPr>
        <w:footnoteReference w:id="127"/>
      </w:r>
      <w:r>
        <w:t xml:space="preserve"> and suggested that we implement different earth station subcategories for regulatory fee purposes.</w:t>
      </w:r>
      <w:r>
        <w:rPr>
          <w:rStyle w:val="FootnoteReference"/>
        </w:rPr>
        <w:footnoteReference w:id="128"/>
      </w:r>
      <w:r>
        <w:t xml:space="preserve">  </w:t>
      </w:r>
    </w:p>
    <w:p w:rsidR="007D15C3" w:rsidP="007D15C3">
      <w:pPr>
        <w:pStyle w:val="ParaNum"/>
      </w:pPr>
      <w:r>
        <w:t>We decline to adopt any changes at this time.  We find that there is insufficient evidence in the record to increase the apportionment of fees paid by earth station licensees.  GSO Satellite Operators state that earth station licensees collectively are responsible for $1,402,500 in total regulatory fees, which is less than one-eleventh of the regulatory fees paid by GSO space station licensees.</w:t>
      </w:r>
      <w:r>
        <w:rPr>
          <w:rStyle w:val="FootnoteReference"/>
        </w:rPr>
        <w:footnoteReference w:id="129"/>
      </w:r>
      <w:r>
        <w:t xml:space="preserve">  Although the GSO Satellite Operators claim that this proportion is out of synch with actual relative costs,</w:t>
      </w:r>
      <w:r>
        <w:rPr>
          <w:rStyle w:val="FootnoteReference"/>
        </w:rPr>
        <w:footnoteReference w:id="130"/>
      </w:r>
      <w:r>
        <w:t xml:space="preserve"> they do not provide any data to support this claim, or propose an appropriate apportionment of fees between earth and space stations.  In support of their claim, GSO Satellite Operators point solely to a pair of proceedings focused on Earth Stations in Motion (ESIMs).</w:t>
      </w:r>
      <w:r>
        <w:rPr>
          <w:rStyle w:val="FootnoteReference"/>
        </w:rPr>
        <w:footnoteReference w:id="131"/>
      </w:r>
      <w:r>
        <w:t xml:space="preserve">  Although earth station licensees do benefit from these proceedings, we also find that the proceedings are of equal, if not more, benefit to space station licensees, which would gain access to additional frequency bands in which to sell transponder capacity for mobility services and increased streamlining of their regulatory environment.  Accordingly, the record does not support an increase of the apportionment of fees paid by earth station licensees at this time.</w:t>
      </w:r>
    </w:p>
    <w:p w:rsidR="007D15C3" w:rsidRPr="00512CC6" w:rsidP="007D15C3">
      <w:pPr>
        <w:pStyle w:val="ParaNum"/>
      </w:pPr>
      <w:r>
        <w:t>We also find that the record does not support implementing different classes of earth stations for regulatory fee purposes or increasing earth station regulatory fees.  GSO Satellite Operators suggest that blanket-licensed earth station licensees involving multiple antennas under a single authorization should pay higher fees than other earth station licensees because blanket-licensed earth station licensees require more regulatory oversight.</w:t>
      </w:r>
      <w:r>
        <w:rPr>
          <w:rStyle w:val="FootnoteReference"/>
        </w:rPr>
        <w:footnoteReference w:id="132"/>
      </w:r>
      <w:r>
        <w:t xml:space="preserve">  The GSO Satellite Operators, however, provide no factual support for the proposition</w:t>
      </w:r>
      <w:r w:rsidRPr="007A5DAA">
        <w:t xml:space="preserve"> </w:t>
      </w:r>
      <w:r>
        <w:t xml:space="preserve">other than a conclusory statement.  GSO Satellite Operators instead </w:t>
      </w:r>
      <w:r>
        <w:t>observe that the fee schedule originally adopted by Congress differentiated between blanket-licensed earth stations and stand-alone antennas.</w:t>
      </w:r>
      <w:r>
        <w:rPr>
          <w:rStyle w:val="FootnoteReference"/>
        </w:rPr>
        <w:footnoteReference w:id="133"/>
      </w:r>
      <w:r>
        <w:t xml:space="preserve">  But the prior statutory differentiation pertained to application fees, not regulatory fees—i.e., it was not tied to the statutory factors that bind us in setting regulatory fees.</w:t>
      </w:r>
      <w:r>
        <w:rPr>
          <w:rStyle w:val="FootnoteReference"/>
        </w:rPr>
        <w:footnoteReference w:id="134"/>
      </w:r>
      <w:r>
        <w:t xml:space="preserve">  Accordingly, we find no basis in the record to support an increase in regulatory fees for earth station licenses or to support the creation of a separate, higher regulatory fee for blanket-licensed earth stations.</w:t>
      </w:r>
    </w:p>
    <w:p w:rsidR="007D15C3" w:rsidP="007D15C3">
      <w:pPr>
        <w:pStyle w:val="Heading2"/>
      </w:pPr>
      <w:bookmarkStart w:id="42" w:name="_Toc36903654"/>
      <w:bookmarkStart w:id="43" w:name="_Toc38017894"/>
      <w:bookmarkStart w:id="44" w:name="_Toc40091668"/>
      <w:r>
        <w:t>Regulatory Fees Paid by VHF Broadcasters</w:t>
      </w:r>
      <w:bookmarkEnd w:id="42"/>
      <w:bookmarkEnd w:id="43"/>
      <w:bookmarkEnd w:id="44"/>
      <w:r>
        <w:t xml:space="preserve"> </w:t>
      </w:r>
    </w:p>
    <w:p w:rsidR="007D15C3" w:rsidP="007D15C3">
      <w:pPr>
        <w:pStyle w:val="ParaNum"/>
      </w:pPr>
      <w:bookmarkStart w:id="45" w:name="_Hlk36801429"/>
      <w:r w:rsidRPr="007A58BF">
        <w:t xml:space="preserve">In the </w:t>
      </w:r>
      <w:r w:rsidRPr="3C85307C">
        <w:rPr>
          <w:i/>
          <w:iCs/>
        </w:rPr>
        <w:t>FY 2018 Report and Order</w:t>
      </w:r>
      <w:r>
        <w:t>,</w:t>
      </w:r>
      <w:r w:rsidRPr="007A58BF">
        <w:t xml:space="preserve"> we adopted a new methodology for assessment of broadcast television regulatory fees, finding that the service contour-based population method more accurately reflects the actual market served by full-power television stations for purposes of assessing regulatory fees than the DMA</w:t>
      </w:r>
      <w:r>
        <w:t>-based</w:t>
      </w:r>
      <w:r w:rsidRPr="007A58BF">
        <w:t xml:space="preserve"> methodology we previously employed.</w:t>
      </w:r>
      <w:r>
        <w:rPr>
          <w:vertAlign w:val="superscript"/>
        </w:rPr>
        <w:footnoteReference w:id="135"/>
      </w:r>
      <w:r w:rsidRPr="007A58BF">
        <w:t xml:space="preserve">  We also said that we would phase in implementation of the new methodology in two years, using a transitional fee structure for FY 2019 fees and the new methodology for assessment of FY 2020 fees.</w:t>
      </w:r>
      <w:r>
        <w:rPr>
          <w:vertAlign w:val="superscript"/>
        </w:rPr>
        <w:footnoteReference w:id="136"/>
      </w:r>
      <w:r w:rsidRPr="007A58BF">
        <w:t xml:space="preserve">  </w:t>
      </w:r>
    </w:p>
    <w:p w:rsidR="007D15C3" w:rsidRPr="007A58BF" w:rsidP="007D15C3">
      <w:pPr>
        <w:pStyle w:val="ParaNum"/>
      </w:pPr>
      <w:r w:rsidRPr="007A58BF">
        <w:t xml:space="preserve">In the </w:t>
      </w:r>
      <w:r w:rsidRPr="002C7C70">
        <w:rPr>
          <w:i/>
          <w:iCs/>
        </w:rPr>
        <w:t>Further Notice of Proposed Rulemaking</w:t>
      </w:r>
      <w:r>
        <w:t xml:space="preserve"> attached to the </w:t>
      </w:r>
      <w:r w:rsidRPr="3C85307C">
        <w:rPr>
          <w:i/>
          <w:iCs/>
        </w:rPr>
        <w:t>FY 2019 Report and Order</w:t>
      </w:r>
      <w:r w:rsidRPr="00FC3992">
        <w:t>, we</w:t>
      </w:r>
      <w:r w:rsidRPr="007A58BF">
        <w:t xml:space="preserve"> sought comment on whether we should adjust population counts for the new methodology to address a signal limitation issue raised by commenters to the </w:t>
      </w:r>
      <w:r w:rsidRPr="00C6100F">
        <w:rPr>
          <w:i/>
        </w:rPr>
        <w:t>FY 2019 NPRM</w:t>
      </w:r>
      <w:r w:rsidRPr="007A58BF">
        <w:t>.</w:t>
      </w:r>
      <w:r>
        <w:rPr>
          <w:vertAlign w:val="superscript"/>
        </w:rPr>
        <w:footnoteReference w:id="137"/>
      </w:r>
      <w:r w:rsidRPr="007A58BF">
        <w:t xml:space="preserve">  Specifically, those commenters argued that VHF channels should have lower regulatory fees because the predicted contour distance does not adequately account for all of the possible effects on the VHF station signal, such as</w:t>
      </w:r>
      <w:r>
        <w:t xml:space="preserve"> environmental noise issues</w:t>
      </w:r>
      <w:r w:rsidRPr="007A58BF">
        <w:t>, the result of which may limit the signal and the population reached.</w:t>
      </w:r>
      <w:r>
        <w:t xml:space="preserve"> </w:t>
      </w:r>
      <w:r w:rsidRPr="007A58BF">
        <w:t xml:space="preserve"> Thus, they argued, the population count is overstated for VHF stations and should be adjusted downward accordingly.</w:t>
      </w:r>
      <w:r>
        <w:rPr>
          <w:vertAlign w:val="superscript"/>
        </w:rPr>
        <w:footnoteReference w:id="138"/>
      </w:r>
      <w:r w:rsidRPr="00FC3992">
        <w:rPr>
          <w:vertAlign w:val="superscript"/>
        </w:rPr>
        <w:t xml:space="preserve"> </w:t>
      </w:r>
    </w:p>
    <w:bookmarkEnd w:id="45"/>
    <w:p w:rsidR="007D15C3" w:rsidP="007D15C3">
      <w:pPr>
        <w:pStyle w:val="ParaNum"/>
      </w:pPr>
      <w:r w:rsidRPr="007A58BF">
        <w:t>Commenters reiterate and amplify the signal limitation concern.  NAB explains that following the digital transition, some VHF channels encountered environmental noise that affected the reliability of those broadcasters’ signals.</w:t>
      </w:r>
      <w:r>
        <w:rPr>
          <w:rStyle w:val="FootnoteReference"/>
        </w:rPr>
        <w:footnoteReference w:id="139"/>
      </w:r>
      <w:r w:rsidRPr="007A58BF">
        <w:t>  As a compensatory measure, some VHF stations have increased their power levels, resulting in an increase in the theoretical, but not the actual, population served and higher regulatory fees under the new methodology.</w:t>
      </w:r>
      <w:r>
        <w:rPr>
          <w:rStyle w:val="FootnoteReference"/>
        </w:rPr>
        <w:footnoteReference w:id="140"/>
      </w:r>
      <w:r>
        <w:t xml:space="preserve"> </w:t>
      </w:r>
      <w:r w:rsidRPr="007A58BF">
        <w:t xml:space="preserve"> PMCM TV argues that we should assess VHF stations, and especially low band VHF stations, a significantly lower regulatory fee.</w:t>
      </w:r>
      <w:r>
        <w:rPr>
          <w:rStyle w:val="FootnoteReference"/>
        </w:rPr>
        <w:footnoteReference w:id="141"/>
      </w:r>
      <w:r w:rsidRPr="007A58BF">
        <w:t xml:space="preserve"> </w:t>
      </w:r>
      <w:r>
        <w:t xml:space="preserve"> </w:t>
      </w:r>
      <w:r w:rsidRPr="007A58BF">
        <w:t>Maran</w:t>
      </w:r>
      <w:r>
        <w:t>a</w:t>
      </w:r>
      <w:r w:rsidRPr="007A58BF">
        <w:t xml:space="preserve">tha </w:t>
      </w:r>
      <w:r>
        <w:t xml:space="preserve">Broadcasting </w:t>
      </w:r>
      <w:r w:rsidRPr="007A58BF">
        <w:t xml:space="preserve">proposes that we average the fee amounts assessed to the commercial full power UHF stations in a given market and apply the average UHF fee as the fee to be assessed VHF stations in </w:t>
      </w:r>
      <w:r w:rsidRPr="007A58BF">
        <w:t>the same market.</w:t>
      </w:r>
      <w:r>
        <w:rPr>
          <w:rStyle w:val="FootnoteReference"/>
        </w:rPr>
        <w:footnoteReference w:id="142"/>
      </w:r>
      <w:r w:rsidRPr="007A58BF">
        <w:t>  Maran</w:t>
      </w:r>
      <w:r>
        <w:t>a</w:t>
      </w:r>
      <w:r w:rsidRPr="007A58BF">
        <w:t xml:space="preserve">tha </w:t>
      </w:r>
      <w:r>
        <w:t xml:space="preserve">Broadcasting </w:t>
      </w:r>
      <w:r w:rsidRPr="007A58BF">
        <w:t>argues that the population methodology does not properly account for “the inherent technical inferiority of the VHF signal in the digital broadcast world</w:t>
      </w:r>
      <w:r>
        <w:t>,</w:t>
      </w:r>
      <w:r w:rsidRPr="007A58BF">
        <w:t>” and that VHF stations should not be charged more than UHF stations in the same market.</w:t>
      </w:r>
      <w:r>
        <w:rPr>
          <w:rStyle w:val="FootnoteReference"/>
        </w:rPr>
        <w:footnoteReference w:id="143"/>
      </w:r>
      <w:r w:rsidRPr="007A58BF">
        <w:t xml:space="preserve"> </w:t>
      </w:r>
    </w:p>
    <w:p w:rsidR="007D15C3" w:rsidRPr="009C1CDE" w:rsidP="00BC400D">
      <w:pPr>
        <w:pStyle w:val="ParaNum"/>
      </w:pPr>
      <w:r>
        <w:t>We decline to categorically lower regulatory fees for VHF stations to account for signal limitations.</w:t>
      </w:r>
      <w:r w:rsidRPr="000F189F">
        <w:t xml:space="preserve"> </w:t>
      </w:r>
      <w:r>
        <w:t>Inconsistencies in the reports of low-VHF reception issues have led the Media Bureau to conclude that there is nothing inherent in VHF transmission that creates signal deficiencies but that environmental noise issues can affect reception in certain areas and situations.  And although we agree that environmental noise blockages affecting signal strength and reception exist, they do not exist across the board.  The impact of signal disruptions, to the extent they exist, varies widely from service area to service area and does not lend itself to an across-the-board rule.  However, we do agree with NAB and propose to take into account the licensed power increases that go beyond the maximum allowed for VHF stations. Therefore, we will assess the fees for those VHF stations that are licensed with a power level that exceeds the maximum based on the maximum power level specified for channels 2-6 in 73.622(f)(6) and for channels 7-13 in 73.622(f)(7).</w:t>
      </w:r>
    </w:p>
    <w:p w:rsidR="007D15C3" w:rsidRPr="000A1C38" w:rsidP="007D15C3">
      <w:pPr>
        <w:pStyle w:val="Heading1"/>
      </w:pPr>
      <w:bookmarkStart w:id="46" w:name="_Toc36903637"/>
      <w:bookmarkStart w:id="47" w:name="_Toc38017895"/>
      <w:bookmarkStart w:id="48" w:name="_Toc40091669"/>
      <w:r>
        <w:t>Notice of proposed rulemaking</w:t>
      </w:r>
      <w:bookmarkEnd w:id="46"/>
      <w:bookmarkEnd w:id="47"/>
      <w:bookmarkEnd w:id="48"/>
      <w:r>
        <w:t xml:space="preserve"> </w:t>
      </w:r>
      <w:bookmarkEnd w:id="21"/>
      <w:bookmarkEnd w:id="22"/>
      <w:bookmarkEnd w:id="23"/>
      <w:bookmarkEnd w:id="24"/>
      <w:bookmarkEnd w:id="25"/>
    </w:p>
    <w:p w:rsidR="007D15C3" w:rsidP="007D15C3">
      <w:pPr>
        <w:pStyle w:val="ParaNum"/>
      </w:pPr>
      <w:r>
        <w:t xml:space="preserve">Congress has required us to </w:t>
      </w:r>
      <w:r w:rsidRPr="003C560E">
        <w:t>collect $</w:t>
      </w:r>
      <w:r>
        <w:t xml:space="preserve">339,000,000 </w:t>
      </w:r>
      <w:r w:rsidRPr="003C560E">
        <w:t>in regulatory fees for FY 20</w:t>
      </w:r>
      <w:r>
        <w:t>20.  Section 9 of the Act directs the Commission to set regulatory fees to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rPr>
        <w:footnoteReference w:id="144"/>
      </w:r>
      <w:r>
        <w:t xml:space="preserve">  We implement this directive by looking first to identify the bureaus that conduct work that directly benefits fee payors and their FTEs, in order to establish “direct” FTEs.  The remaining FTEs and other Commission costs we categorize as indirect.  In doing this calculation, we separate out the FTEs and other expenses associated with our auctions program, which are separately funded.</w:t>
      </w:r>
      <w:r>
        <w:rPr>
          <w:rStyle w:val="FootnoteReference"/>
        </w:rPr>
        <w:footnoteReference w:id="145"/>
      </w:r>
      <w:r>
        <w:t xml:space="preserve">  Once we have identified the direct FTEs by operating bureau, we look within each bureau to allocate fees to specific fee categories.  We use these proportional calculations to allocate all Commission non-auction costs, direct and indirect, across all fee categories.  To establish specific fees, we identify “units” that corollate to the benefit provided; for example, broadcast </w:t>
      </w:r>
      <w:r>
        <w:t>licensee</w:t>
      </w:r>
      <w:r>
        <w:t xml:space="preserve"> fees will vary by population served</w:t>
      </w:r>
      <w:r>
        <w:rPr>
          <w:rStyle w:val="FootnoteReference"/>
        </w:rPr>
        <w:footnoteReference w:id="146"/>
      </w:r>
      <w:r>
        <w:t xml:space="preserve"> and wireless </w:t>
      </w:r>
      <w:r>
        <w:t>licensees</w:t>
      </w:r>
      <w:r>
        <w:t xml:space="preserve"> will pay fees based on their number of subscribers.</w:t>
      </w:r>
      <w:r>
        <w:rPr>
          <w:rStyle w:val="FootnoteReference"/>
        </w:rPr>
        <w:footnoteReference w:id="147"/>
      </w:r>
    </w:p>
    <w:p w:rsidR="007D15C3" w:rsidP="007D15C3">
      <w:pPr>
        <w:pStyle w:val="ParaNum"/>
      </w:pPr>
      <w:r>
        <w:t xml:space="preserve">We implement this framework by first proposing to allocate direct FTEs within the Commission.  We then consider the very specific proposals by industry segment of how to allocate within each regulatory fee category.  We seek comment on these proposals.  </w:t>
      </w:r>
    </w:p>
    <w:p w:rsidR="007D15C3" w:rsidP="007D15C3">
      <w:pPr>
        <w:pStyle w:val="ParaNum"/>
      </w:pPr>
      <w:r>
        <w:t>For the majority of the Commission’s regulatory fees, the allocation within fee category by unit is well established. Such proposed fees are based on the established methodology being applied to the result of the FTE allocation being applied to the Commission’s appropriation amount.  For those fees, we propose and seek comment on the schedule of FY 2020 regulatory fees</w:t>
      </w:r>
      <w:r w:rsidRPr="00B50F08">
        <w:t xml:space="preserve"> as set forth in Appendices </w:t>
      </w:r>
      <w:r w:rsidRPr="00AB00AF">
        <w:t xml:space="preserve">B </w:t>
      </w:r>
      <w:r w:rsidRPr="00620240">
        <w:t xml:space="preserve">and </w:t>
      </w:r>
      <w:r w:rsidRPr="00AB00AF">
        <w:t>C</w:t>
      </w:r>
      <w:r>
        <w:t xml:space="preserve"> and seek comment on those fees.</w:t>
      </w:r>
      <w:r>
        <w:rPr>
          <w:rStyle w:val="FootnoteReference"/>
        </w:rPr>
        <w:footnoteReference w:id="148"/>
      </w:r>
      <w:r>
        <w:t xml:space="preserve">  </w:t>
      </w:r>
    </w:p>
    <w:p w:rsidR="007D15C3" w:rsidRPr="004B79DA" w:rsidP="007D15C3">
      <w:pPr>
        <w:pStyle w:val="Heading2"/>
      </w:pPr>
      <w:bookmarkStart w:id="49" w:name="_Toc6326139"/>
      <w:bookmarkStart w:id="50" w:name="_Toc26536855"/>
      <w:bookmarkStart w:id="51" w:name="_Toc29915872"/>
      <w:bookmarkStart w:id="52" w:name="_Toc30000067"/>
      <w:bookmarkStart w:id="53" w:name="_Toc31023900"/>
      <w:bookmarkStart w:id="54" w:name="_Toc36903638"/>
      <w:bookmarkStart w:id="55" w:name="_Toc38017896"/>
      <w:bookmarkStart w:id="56" w:name="_Toc40091670"/>
      <w:bookmarkStart w:id="57" w:name="_Hlk29998565"/>
      <w:bookmarkEnd w:id="18"/>
      <w:r>
        <w:t>Allocating FTEs for FY 20</w:t>
      </w:r>
      <w:bookmarkEnd w:id="49"/>
      <w:r>
        <w:t>20</w:t>
      </w:r>
      <w:bookmarkEnd w:id="50"/>
      <w:bookmarkEnd w:id="51"/>
      <w:bookmarkEnd w:id="52"/>
      <w:bookmarkEnd w:id="53"/>
      <w:bookmarkEnd w:id="54"/>
      <w:bookmarkEnd w:id="55"/>
      <w:bookmarkEnd w:id="56"/>
      <w:r>
        <w:t xml:space="preserve"> </w:t>
      </w:r>
      <w:r w:rsidRPr="004B79DA">
        <w:t xml:space="preserve"> </w:t>
      </w:r>
    </w:p>
    <w:p w:rsidR="007D15C3" w:rsidP="007D15C3">
      <w:pPr>
        <w:pStyle w:val="ParaNum"/>
      </w:pPr>
      <w:r>
        <w:t>The first step in our annual regulatory fee rulemaking is to identify the FTEs doing work directly benefitting our regulatees.  The</w:t>
      </w:r>
      <w:r w:rsidRPr="4BBD8B65">
        <w:t xml:space="preserve"> Commission identifies the number of FTEs within each of the four core bureaus</w:t>
      </w:r>
      <w:r>
        <w:rPr>
          <w:szCs w:val="22"/>
        </w:rPr>
        <w:t xml:space="preserve"> </w:t>
      </w:r>
      <w:r>
        <w:t>(i.e., Wireline Competition Bureau, Wireless Telecommunications Bureau, International Bureau, and Media Bureau)</w:t>
      </w:r>
      <w:r w:rsidRPr="00CA28D0">
        <w:rPr>
          <w:rStyle w:val="FootnoteReference"/>
        </w:rPr>
        <w:t xml:space="preserve"> </w:t>
      </w:r>
      <w:r>
        <w:t>and then further subdivides within each core bureau to account for its regulatory fee categories.</w:t>
      </w:r>
      <w:r w:rsidRPr="0096649D">
        <w:rPr>
          <w:rStyle w:val="FootnoteReference"/>
        </w:rPr>
        <w:t xml:space="preserve"> </w:t>
      </w:r>
      <w:r>
        <w:rPr>
          <w:rStyle w:val="FootnoteReference"/>
        </w:rPr>
        <w:footnoteReference w:id="149"/>
      </w:r>
      <w:r w:rsidRPr="006B3F19">
        <w:t xml:space="preserve"> </w:t>
      </w:r>
      <w:r>
        <w:t xml:space="preserve"> </w:t>
      </w:r>
      <w:r w:rsidRPr="00BB229F">
        <w:t xml:space="preserve">As a general matter, we expect that the work of the FTEs in the </w:t>
      </w:r>
      <w:r>
        <w:t xml:space="preserve">four </w:t>
      </w:r>
      <w:r w:rsidRPr="00BB229F">
        <w:t xml:space="preserve">core bureaus </w:t>
      </w:r>
      <w:r>
        <w:t>will</w:t>
      </w:r>
      <w:r w:rsidRPr="00BB229F">
        <w:t xml:space="preserve"> remain focused on the industry segment regulated by each of those bureaus.  </w:t>
      </w:r>
      <w:r>
        <w:t xml:space="preserve">Consistent with past practices, we propose that for FY 2020 the </w:t>
      </w:r>
      <w:r w:rsidRPr="00E832C4">
        <w:t xml:space="preserve">allocation of fees to fee categories </w:t>
      </w:r>
      <w:r>
        <w:t xml:space="preserve">will be </w:t>
      </w:r>
      <w:r w:rsidRPr="00E832C4">
        <w:t>based on the Commission’s calculation of FTEs in each regulatory fee</w:t>
      </w:r>
      <w:r>
        <w:t xml:space="preserve"> category.</w:t>
      </w:r>
      <w:r w:rsidRPr="006B3F19">
        <w:t xml:space="preserve"> </w:t>
      </w:r>
      <w:r>
        <w:t xml:space="preserve"> </w:t>
      </w:r>
      <w:r w:rsidRPr="00BB229F">
        <w:t xml:space="preserve">The work of the FTEs in the indirect bureaus and offices benefits the Commission and the telecommunications industry </w:t>
      </w:r>
      <w:r>
        <w:t xml:space="preserve">generally </w:t>
      </w:r>
      <w:r w:rsidRPr="00BB229F">
        <w:t xml:space="preserve">and is not specifically focused on the regulatees and licensees of </w:t>
      </w:r>
      <w:r>
        <w:t xml:space="preserve">one </w:t>
      </w:r>
      <w:r w:rsidRPr="00BB229F">
        <w:t>core bureau.</w:t>
      </w:r>
      <w:r>
        <w:rPr>
          <w:rStyle w:val="FootnoteReference"/>
        </w:rPr>
        <w:footnoteReference w:id="150"/>
      </w:r>
      <w:r w:rsidRPr="00BB229F">
        <w:t xml:space="preserve">  </w:t>
      </w:r>
      <w:r>
        <w:t xml:space="preserve">We thus propose that, consistent with past practices, </w:t>
      </w:r>
      <w:r w:rsidRPr="4BBD8B65">
        <w:t>the total FTEs for each fee category include the direct FTEs associated with that category plus a proportional allocation of indirect FTEs.</w:t>
      </w:r>
      <w:r>
        <w:rPr>
          <w:rStyle w:val="FootnoteReference"/>
          <w:sz w:val="22"/>
          <w:szCs w:val="22"/>
        </w:rPr>
        <w:footnoteReference w:id="151"/>
      </w:r>
      <w:r w:rsidRPr="00323BFE">
        <w:rPr>
          <w:szCs w:val="22"/>
        </w:rPr>
        <w:t xml:space="preserve">  </w:t>
      </w:r>
    </w:p>
    <w:p w:rsidR="007D15C3" w:rsidRPr="0058075D" w:rsidP="007D15C3">
      <w:pPr>
        <w:pStyle w:val="ParaNum"/>
      </w:pPr>
      <w:r>
        <w:t>A</w:t>
      </w:r>
      <w:r w:rsidRPr="00AF4BE8">
        <w:t xml:space="preserve">pplying the </w:t>
      </w:r>
      <w:r>
        <w:t>s</w:t>
      </w:r>
      <w:r w:rsidRPr="00AF4BE8">
        <w:t xml:space="preserve">ection 9 requirements </w:t>
      </w:r>
      <w:r>
        <w:t>t</w:t>
      </w:r>
      <w:r w:rsidRPr="00E832C4">
        <w:t xml:space="preserve">o calculate regulatory fees, </w:t>
      </w:r>
      <w:r>
        <w:t>we</w:t>
      </w:r>
      <w:r w:rsidRPr="00E832C4">
        <w:t xml:space="preserve"> </w:t>
      </w:r>
      <w:r>
        <w:t xml:space="preserve">propose to </w:t>
      </w:r>
      <w:r w:rsidRPr="00E832C4">
        <w:t xml:space="preserve">allocate the total collection target across all regulatory fee categories.  </w:t>
      </w:r>
      <w:r w:rsidRPr="4BBD8B65">
        <w:t xml:space="preserve">Each </w:t>
      </w:r>
      <w:r w:rsidRPr="4BBD8B65">
        <w:t>regulatee</w:t>
      </w:r>
      <w:r w:rsidRPr="4BBD8B65">
        <w:t xml:space="preserve"> within a fee category then pays its proportionate share based on an objective measure of size (e.g., revenues or number of subscribers).</w:t>
      </w:r>
      <w:r>
        <w:rPr>
          <w:rStyle w:val="FootnoteReference"/>
          <w:sz w:val="22"/>
          <w:szCs w:val="22"/>
        </w:rPr>
        <w:footnoteReference w:id="152"/>
      </w:r>
      <w:r>
        <w:t xml:space="preserve">  These</w:t>
      </w:r>
      <w:r w:rsidRPr="0058075D">
        <w:t xml:space="preserve"> calculations are illustrated in </w:t>
      </w:r>
      <w:r w:rsidRPr="00620240">
        <w:t xml:space="preserve">Appendix </w:t>
      </w:r>
      <w:r>
        <w:t>B</w:t>
      </w:r>
      <w:r w:rsidRPr="00620240">
        <w:t>.</w:t>
      </w:r>
      <w:r w:rsidRPr="0058075D">
        <w:t xml:space="preserve">  The sources for the unit estimates that are used in these calculations are listed in </w:t>
      </w:r>
      <w:r w:rsidRPr="00620240">
        <w:t xml:space="preserve">Appendix </w:t>
      </w:r>
      <w:r>
        <w:t>D</w:t>
      </w:r>
      <w:r w:rsidRPr="00620240">
        <w:t>.</w:t>
      </w:r>
      <w:r w:rsidRPr="0058075D">
        <w:t xml:space="preserve"> </w:t>
      </w:r>
      <w:r>
        <w:t xml:space="preserve"> </w:t>
      </w:r>
    </w:p>
    <w:p w:rsidR="007D15C3" w:rsidRPr="000654C8" w:rsidP="007D15C3">
      <w:pPr>
        <w:pStyle w:val="ParaNum"/>
      </w:pPr>
      <w:r>
        <w:t xml:space="preserve">We project approximately $30.52 million (9.00% of the total FTE allocation, 28 direct FTEs) in fees from International Bureau regulatees; $79.57 million (23.47% of the total FTE allocation, 73 direct FTEs) in fees from Wireless Telecommunications Bureau regulatees; $102.46 million (30.23% of the total FTE allocation, 94 direct FTEs) from Wireline Competition Bureau regulatees; and $126.45 million (37.30% of the total FTE allocation, 116 direct FTEs) from Media Bureau regulatees.  We seek comment on our calculation for the FY 2020 FTEs (311 direct FTEs). </w:t>
      </w:r>
      <w:bookmarkStart w:id="58" w:name="_Hlk29398708"/>
    </w:p>
    <w:p w:rsidR="007D15C3" w:rsidP="007D15C3">
      <w:pPr>
        <w:pStyle w:val="Heading2"/>
      </w:pPr>
      <w:bookmarkStart w:id="59" w:name="_Toc30000070"/>
      <w:bookmarkStart w:id="60" w:name="_Toc31023903"/>
      <w:bookmarkStart w:id="61" w:name="_Toc36903640"/>
      <w:bookmarkStart w:id="62" w:name="_Toc38017897"/>
      <w:bookmarkStart w:id="63" w:name="_Toc40091671"/>
      <w:r>
        <w:t>International Bearer Circuits</w:t>
      </w:r>
      <w:bookmarkEnd w:id="59"/>
      <w:bookmarkEnd w:id="60"/>
      <w:bookmarkEnd w:id="61"/>
      <w:bookmarkEnd w:id="62"/>
      <w:bookmarkEnd w:id="63"/>
    </w:p>
    <w:p w:rsidR="007D15C3" w:rsidRPr="005F6BC2" w:rsidP="007D15C3">
      <w:pPr>
        <w:pStyle w:val="ParaNum"/>
      </w:pPr>
      <w:bookmarkStart w:id="64" w:name="_Hlk13497033"/>
      <w:bookmarkStart w:id="65" w:name="_Hlk13498048"/>
      <w:r>
        <w:t>The regulatory fees associated with IBCs reflect the work performed by the International Bureau, primarily the Telecommunications and Analysis Division</w:t>
      </w:r>
      <w:r w:rsidRPr="008F6C69">
        <w:t xml:space="preserve"> </w:t>
      </w:r>
      <w:r>
        <w:t xml:space="preserve">and the Office of the Bureau Chief, for the benefit of all U.S. international telecommunications service providers.  International telecommunications service is provided over terrestrial, satellite, and submarine cable facilities. </w:t>
      </w:r>
      <w:bookmarkEnd w:id="64"/>
    </w:p>
    <w:bookmarkEnd w:id="65"/>
    <w:p w:rsidR="007D15C3" w:rsidP="00BC400D">
      <w:pPr>
        <w:pStyle w:val="ParaNum"/>
      </w:pPr>
      <w:r w:rsidRPr="001E46EC">
        <w:t>IBC fees are currently broken into two components: (1) terrestrial and satellite circuits,</w:t>
      </w:r>
      <w:r>
        <w:rPr>
          <w:rStyle w:val="FootnoteReference"/>
        </w:rPr>
        <w:footnoteReference w:id="153"/>
      </w:r>
      <w:r w:rsidRPr="001E46EC">
        <w:t xml:space="preserve"> and (2) submarine cable systems.  Prior to 2009, IBC</w:t>
      </w:r>
      <w:r>
        <w:t xml:space="preserve"> fees</w:t>
      </w:r>
      <w:r w:rsidRPr="001E46EC">
        <w:t xml:space="preserve"> were collected based on 64 kbps circuits </w:t>
      </w:r>
      <w:r>
        <w:t>for</w:t>
      </w:r>
      <w:r w:rsidRPr="001E46EC">
        <w:t xml:space="preserve"> each of the three types of facilities used </w:t>
      </w:r>
      <w:r>
        <w:t xml:space="preserve">to </w:t>
      </w:r>
      <w:r w:rsidRPr="001E46EC">
        <w:t>provid</w:t>
      </w:r>
      <w:r>
        <w:t>e</w:t>
      </w:r>
      <w:r w:rsidRPr="001E46EC">
        <w:t xml:space="preserve"> international service.  In 2009, at the request of a large number of submarine cable operators, the Commission changed the methodology for assessing IBC</w:t>
      </w:r>
      <w:r>
        <w:t xml:space="preserve"> fees</w:t>
      </w:r>
      <w:r w:rsidRPr="001E46EC">
        <w:t xml:space="preserve"> and began to assess fees on a per cable landing license basis, with higher fees for larger submarine cable systems and lower fees for smaller submarine cable systems.</w:t>
      </w:r>
      <w:r>
        <w:rPr>
          <w:rStyle w:val="FootnoteReference"/>
        </w:rPr>
        <w:footnoteReference w:id="154"/>
      </w:r>
      <w:r w:rsidRPr="4BBD8B65">
        <w:t xml:space="preserve">  The Commission concluded that this methodology served the public interest and was competitively neutral because it included both common carriers and non-common carriers.</w:t>
      </w:r>
      <w:r>
        <w:rPr>
          <w:rStyle w:val="FootnoteReference"/>
        </w:rPr>
        <w:footnoteReference w:id="155"/>
      </w:r>
      <w:r w:rsidRPr="0083551F">
        <w:rPr>
          <w:szCs w:val="22"/>
        </w:rPr>
        <w:t xml:space="preserve"> </w:t>
      </w:r>
      <w:r w:rsidRPr="001E46EC">
        <w:t xml:space="preserve"> Th</w:t>
      </w:r>
      <w:r>
        <w:t>rough FY 2019, th</w:t>
      </w:r>
      <w:r w:rsidRPr="001E46EC">
        <w:t xml:space="preserve">e Commission continued to assess fees for international service provided over terrestrial and satellite facilities based on a per 64 </w:t>
      </w:r>
      <w:r>
        <w:t>k</w:t>
      </w:r>
      <w:r w:rsidRPr="001E46EC">
        <w:t xml:space="preserve">bps basis.  Under this </w:t>
      </w:r>
      <w:r>
        <w:t>bifurcated approach</w:t>
      </w:r>
      <w:r w:rsidRPr="001E46EC">
        <w:t xml:space="preserve">, based on the </w:t>
      </w:r>
      <w:r>
        <w:t xml:space="preserve">2009 </w:t>
      </w:r>
      <w:r w:rsidRPr="001E46EC">
        <w:t>Consensus Proposal from the submarine cable operators, 87.6% of IBC fees are assessed to submarine cable systems and 12.4% to terrestrial and satellite facilities</w:t>
      </w:r>
      <w:r>
        <w:t xml:space="preserve"> based on relative active or lit capacity at the time</w:t>
      </w:r>
      <w:r w:rsidRPr="001E46EC">
        <w:t>.</w:t>
      </w:r>
      <w:r>
        <w:rPr>
          <w:rStyle w:val="FootnoteReference"/>
        </w:rPr>
        <w:footnoteReference w:id="156"/>
      </w:r>
      <w:r w:rsidRPr="001E46EC">
        <w:t xml:space="preserve">  The Commission adopted a five-tier structure for assessing fees on submarine cables systems, with larger systems paying more</w:t>
      </w:r>
      <w:r>
        <w:t xml:space="preserve"> based on active capacity</w:t>
      </w:r>
      <w:r w:rsidRPr="001E46EC">
        <w:t>, and a per gigabits per second (Gbps) assessment for terrestrial and satellite facilities</w:t>
      </w:r>
      <w:r>
        <w:t xml:space="preserve"> that similarly maintained an active capacity basis</w:t>
      </w:r>
      <w:r w:rsidRPr="001E46EC">
        <w:t>.</w:t>
      </w:r>
      <w:r>
        <w:rPr>
          <w:rStyle w:val="FootnoteReference"/>
        </w:rPr>
        <w:footnoteReference w:id="157"/>
      </w:r>
      <w:r w:rsidRPr="001E46EC">
        <w:t xml:space="preserve"> </w:t>
      </w:r>
    </w:p>
    <w:p w:rsidR="00BC400D" w:rsidRPr="00BC400D" w:rsidP="00BC400D">
      <w:pPr>
        <w:pStyle w:val="ParaNum"/>
      </w:pPr>
      <w:r>
        <w:t xml:space="preserve">The </w:t>
      </w:r>
      <w:r w:rsidRPr="008D17E8">
        <w:rPr>
          <w:i/>
          <w:iCs/>
        </w:rPr>
        <w:t>Further Notice of Proposed Rulemaking</w:t>
      </w:r>
      <w:r>
        <w:t xml:space="preserve"> attached to the</w:t>
      </w:r>
      <w:r w:rsidRPr="002652B6">
        <w:t xml:space="preserve"> </w:t>
      </w:r>
      <w:r w:rsidRPr="3C85307C">
        <w:rPr>
          <w:i/>
          <w:iCs/>
        </w:rPr>
        <w:t>FY 2019 Report and Order</w:t>
      </w:r>
      <w:r w:rsidRPr="002652B6">
        <w:t xml:space="preserve"> </w:t>
      </w:r>
      <w:r>
        <w:t>sought comment on appropriate allocation within the IBC fee category in response to assertions regarding the relative benefits received by the different IBC components.</w:t>
      </w:r>
      <w:r>
        <w:rPr>
          <w:rStyle w:val="FootnoteReference"/>
        </w:rPr>
        <w:footnoteReference w:id="158"/>
      </w:r>
      <w:r>
        <w:t xml:space="preserve">  Based on our review of the record, we find t</w:t>
      </w:r>
      <w:r w:rsidRPr="00BB229F">
        <w:t xml:space="preserve">he International Bureau provides many services </w:t>
      </w:r>
      <w:r>
        <w:t>that benefit</w:t>
      </w:r>
      <w:r w:rsidRPr="00BB229F">
        <w:t xml:space="preserve"> </w:t>
      </w:r>
      <w:r>
        <w:t>international telecommunications service providers</w:t>
      </w:r>
      <w:r w:rsidRPr="001D09A8">
        <w:t xml:space="preserve"> </w:t>
      </w:r>
      <w:r>
        <w:t xml:space="preserve">no matter whether they use terrestrial facilities, satellites, or submarine cables to transport their international services.  These services include </w:t>
      </w:r>
      <w:r w:rsidRPr="005F6BC2">
        <w:t>maintaining the licensing database</w:t>
      </w:r>
      <w:r>
        <w:t>,</w:t>
      </w:r>
      <w:r>
        <w:rPr>
          <w:vertAlign w:val="superscript"/>
        </w:rPr>
        <w:footnoteReference w:id="159"/>
      </w:r>
      <w:r w:rsidRPr="008979DD">
        <w:rPr>
          <w:vertAlign w:val="superscript"/>
        </w:rPr>
        <w:t xml:space="preserve"> </w:t>
      </w:r>
      <w:r>
        <w:t xml:space="preserve">enforcing </w:t>
      </w:r>
      <w:r w:rsidRPr="005F6BC2">
        <w:t>benchmarks,</w:t>
      </w:r>
      <w:r>
        <w:rPr>
          <w:vertAlign w:val="superscript"/>
        </w:rPr>
        <w:footnoteReference w:id="160"/>
      </w:r>
      <w:r w:rsidRPr="005F6BC2">
        <w:t xml:space="preserve"> </w:t>
      </w:r>
      <w:r>
        <w:t>coordination with other U.S. government agencies,</w:t>
      </w:r>
      <w:r>
        <w:rPr>
          <w:vertAlign w:val="superscript"/>
        </w:rPr>
        <w:footnoteReference w:id="161"/>
      </w:r>
      <w:r>
        <w:t xml:space="preserve"> </w:t>
      </w:r>
      <w:r w:rsidRPr="005F6BC2">
        <w:t>protecti</w:t>
      </w:r>
      <w:r>
        <w:t xml:space="preserve">ng U.S. customers </w:t>
      </w:r>
      <w:r>
        <w:t xml:space="preserve">and consumers </w:t>
      </w:r>
      <w:r w:rsidRPr="005F6BC2">
        <w:t xml:space="preserve">from anticompetitive actions by foreign carriers, </w:t>
      </w:r>
      <w:r>
        <w:t xml:space="preserve">licensing international section </w:t>
      </w:r>
      <w:r w:rsidRPr="002E14F4">
        <w:t>214 authorizations</w:t>
      </w:r>
      <w:r>
        <w:t xml:space="preserve"> and submarine cables including review of transactions, </w:t>
      </w:r>
      <w:r w:rsidRPr="005F6BC2">
        <w:t xml:space="preserve">and </w:t>
      </w:r>
      <w:r>
        <w:t xml:space="preserve">representing U.S. interests at </w:t>
      </w:r>
      <w:r w:rsidRPr="005F6BC2">
        <w:t>bilateral and multilateral negotiations and at international organizations.</w:t>
      </w:r>
      <w:r>
        <w:rPr>
          <w:vertAlign w:val="superscript"/>
        </w:rPr>
        <w:footnoteReference w:id="162"/>
      </w:r>
      <w:r w:rsidRPr="005F6BC2">
        <w:t xml:space="preserve">  </w:t>
      </w:r>
      <w:r>
        <w:t xml:space="preserve">A fundamental premise of how the Commission assesses regulatory fees is that licensees with larger facilities benefit more from the Commission’s work and thus </w:t>
      </w:r>
      <w:r w:rsidRPr="00F62B51">
        <w:t>should pay a larger proportion of the Commission’s costs</w:t>
      </w:r>
      <w:r w:rsidRPr="59982C0D">
        <w:rPr>
          <w:rFonts w:ascii="TimesNewRomanPSMT" w:hAnsi="TimesNewRomanPSMT" w:cs="TimesNewRomanPSMT"/>
          <w:sz w:val="20"/>
        </w:rPr>
        <w:t>.</w:t>
      </w:r>
      <w:r>
        <w:rPr>
          <w:rStyle w:val="FootnoteReference"/>
          <w:rFonts w:cs="TimesNewRomanPSMT"/>
          <w:snapToGrid/>
          <w:kern w:val="0"/>
        </w:rPr>
        <w:footnoteReference w:id="163"/>
      </w:r>
    </w:p>
    <w:p w:rsidR="007D15C3" w:rsidP="007D15C3">
      <w:pPr>
        <w:pStyle w:val="ParaNum"/>
      </w:pPr>
      <w:r>
        <w:t xml:space="preserve"> We find it appropriate to consider adjusting the allocation of IBC fees given the significant changes in submarine cable system active or lit capacity and usage since 2009.  Commenters representing the terrestrial and satellite facility owners argue that the 87.6%-12.4% split is out of date and that submarine cable operators should pay a larger proportion of the IBC fees.  </w:t>
      </w:r>
      <w:bookmarkStart w:id="66" w:name="_Hlk38010018"/>
      <w:r>
        <w:t>For example, SIA argues that the 87.6%-12.4% split between submarine cable and satellite and terrestrial IBCs should be revised to reflect current relative capacity, to 98.3%-1.7%.</w:t>
      </w:r>
      <w:r>
        <w:rPr>
          <w:rStyle w:val="FootnoteReference"/>
        </w:rPr>
        <w:footnoteReference w:id="164"/>
      </w:r>
      <w:r>
        <w:t xml:space="preserve">  CenturyLink contends that, based on current capacity, the split should be 1.2% for satellite and terrestrial IBCs and 98.8% for submarine cable.</w:t>
      </w:r>
      <w:r>
        <w:rPr>
          <w:rStyle w:val="FootnoteReference"/>
        </w:rPr>
        <w:footnoteReference w:id="165"/>
      </w:r>
      <w:r>
        <w:t xml:space="preserve">  If we use the minimum capacity for the 2019 rate tiers for regulatory fees paid for submarine cables in FY 2019 (meaning a licensee that paid the rate for a capacity of 4000 Gbps or higher on the submarine cable is presumed to have a capacity of 4000 Gbps), we calculate that the ratio is at least 90.8% submarine cable and 9.8% </w:t>
      </w:r>
      <w:r w:rsidRPr="00C715B0">
        <w:t xml:space="preserve">terrestrial and satellite </w:t>
      </w:r>
      <w:r>
        <w:t>circuit</w:t>
      </w:r>
      <w:r w:rsidRPr="00C715B0">
        <w:t>s</w:t>
      </w:r>
      <w:r>
        <w:t xml:space="preserve">. </w:t>
      </w:r>
      <w:bookmarkEnd w:id="66"/>
      <w:r>
        <w:t xml:space="preserve"> However, we believe that this approach of assuming lit capacity at the minimum capacity in the tier substantially undercounts actual lit capacity and that an upward adjustment of 5% more closely approximates actual lit capacity numbers.  We therefore propose </w:t>
      </w:r>
      <w:bookmarkStart w:id="67" w:name="_Hlk38018365"/>
      <w:r>
        <w:t>a ratio attributing 95% to submarine cables and 5% to terrestrial and satellite circuits</w:t>
      </w:r>
      <w:bookmarkEnd w:id="67"/>
      <w:r>
        <w:t xml:space="preserve">.  We seek comment on this allocation. </w:t>
      </w:r>
    </w:p>
    <w:p w:rsidR="007D15C3" w:rsidRPr="00CD463F" w:rsidP="007D15C3">
      <w:pPr>
        <w:pStyle w:val="ParaNum"/>
      </w:pPr>
      <w:r>
        <w:t xml:space="preserve">Because the benefits from the work of the International Bureau accrue to international service providers regardless of which facilities are used, we propose to simplify the assessment by combining the two categories and assess IBC fees based on a unified fee structure.  Under this approach, terrestrial and satellite facility owners will pay regulatory fees based on the number of active international circuits using the rates set out in the tiers.  Submarine cable operators would continue to pay regulatory fees for each international submarine cable system based on the active (or lit) capacity of the cable system using the same tiers. </w:t>
      </w:r>
    </w:p>
    <w:p w:rsidR="007D15C3" w:rsidRPr="00AB00AF" w:rsidP="007D15C3">
      <w:pPr>
        <w:pStyle w:val="ParaNum"/>
        <w:keepNext/>
        <w:keepLines/>
        <w:numPr>
          <w:ilvl w:val="0"/>
          <w:numId w:val="0"/>
        </w:numPr>
        <w:ind w:left="720"/>
      </w:pPr>
      <w:r w:rsidRPr="00AB00AF">
        <w:t>FY 2020 International Bearer Circuits</w:t>
      </w:r>
    </w:p>
    <w:p w:rsidR="007D15C3" w:rsidRPr="005F6BC2" w:rsidP="007D15C3">
      <w:pPr>
        <w:pStyle w:val="ParaNum"/>
        <w:keepNext/>
        <w:keepLines/>
        <w:numPr>
          <w:ilvl w:val="0"/>
          <w:numId w:val="0"/>
        </w:num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780"/>
      </w:tblGrid>
      <w:tr w:rsidTr="00274E20">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60" w:type="dxa"/>
          </w:tcPr>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rPr>
            </w:pPr>
            <w:r w:rsidRPr="005F6BC2">
              <w:rPr>
                <w:b/>
                <w:szCs w:val="22"/>
              </w:rPr>
              <w:t>(capacity as of December 31, 201</w:t>
            </w:r>
            <w:r>
              <w:rPr>
                <w:b/>
                <w:szCs w:val="22"/>
              </w:rPr>
              <w:t>9</w:t>
            </w:r>
            <w:r w:rsidRPr="005F6BC2">
              <w:rPr>
                <w:b/>
                <w:szCs w:val="22"/>
              </w:rPr>
              <w:t>)</w:t>
            </w:r>
          </w:p>
        </w:tc>
        <w:tc>
          <w:tcPr>
            <w:tcW w:w="3780" w:type="dxa"/>
          </w:tcPr>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rPr>
            </w:pPr>
            <w:r w:rsidRPr="005F6BC2">
              <w:rPr>
                <w:b/>
                <w:spacing w:val="-3"/>
                <w:szCs w:val="22"/>
              </w:rPr>
              <w:t>FY 20</w:t>
            </w:r>
            <w:r>
              <w:rPr>
                <w:b/>
                <w:spacing w:val="-3"/>
                <w:szCs w:val="22"/>
              </w:rPr>
              <w:t>20 Regulatory Fees</w:t>
            </w:r>
          </w:p>
        </w:tc>
      </w:tr>
      <w:tr w:rsidTr="00274E20">
        <w:tblPrEx>
          <w:tblW w:w="0" w:type="auto"/>
          <w:tblInd w:w="175" w:type="dxa"/>
          <w:tblLook w:val="01E0"/>
        </w:tblPrEx>
        <w:trPr>
          <w:trHeight w:val="576"/>
        </w:trPr>
        <w:tc>
          <w:tcPr>
            <w:tcW w:w="4860" w:type="dxa"/>
            <w:vAlign w:val="center"/>
          </w:tcPr>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both"/>
            </w:pPr>
            <w:r w:rsidRPr="005F6BC2">
              <w:rPr>
                <w:szCs w:val="22"/>
              </w:rPr>
              <w:t xml:space="preserve">Less than </w:t>
            </w:r>
            <w:r>
              <w:rPr>
                <w:szCs w:val="22"/>
              </w:rPr>
              <w:t>3</w:t>
            </w:r>
            <w:r w:rsidRPr="005F6BC2">
              <w:rPr>
                <w:szCs w:val="22"/>
              </w:rPr>
              <w:t>0 Gbps</w:t>
            </w:r>
          </w:p>
        </w:tc>
        <w:tc>
          <w:tcPr>
            <w:tcW w:w="3780" w:type="dxa"/>
            <w:vAlign w:val="center"/>
          </w:tcPr>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rPr>
            </w:pPr>
            <w:r>
              <w:rPr>
                <w:bCs/>
                <w:szCs w:val="22"/>
              </w:rPr>
              <w:t>$1,000</w:t>
            </w:r>
          </w:p>
        </w:tc>
      </w:tr>
      <w:tr w:rsidTr="00274E20">
        <w:tblPrEx>
          <w:tblW w:w="0" w:type="auto"/>
          <w:tblInd w:w="175" w:type="dxa"/>
          <w:tblLook w:val="01E0"/>
        </w:tblPrEx>
        <w:trPr>
          <w:trHeight w:val="576"/>
        </w:trPr>
        <w:tc>
          <w:tcPr>
            <w:tcW w:w="4860" w:type="dxa"/>
            <w:vAlign w:val="center"/>
          </w:tcPr>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rPr>
            </w:pPr>
            <w:r>
              <w:rPr>
                <w:szCs w:val="22"/>
              </w:rPr>
              <w:t>3</w:t>
            </w:r>
            <w:r w:rsidRPr="005F6BC2">
              <w:rPr>
                <w:szCs w:val="22"/>
              </w:rPr>
              <w:t>0 Gbps or greater, but less than 2</w:t>
            </w:r>
            <w:r>
              <w:rPr>
                <w:szCs w:val="22"/>
              </w:rPr>
              <w:t>50</w:t>
            </w:r>
            <w:r w:rsidRPr="005F6BC2">
              <w:rPr>
                <w:szCs w:val="22"/>
              </w:rPr>
              <w:t xml:space="preserve"> Gbps</w:t>
            </w:r>
          </w:p>
        </w:tc>
        <w:tc>
          <w:tcPr>
            <w:tcW w:w="3780" w:type="dxa"/>
            <w:vAlign w:val="center"/>
          </w:tcPr>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rPr>
            </w:pPr>
            <w:r w:rsidRPr="005F6BC2">
              <w:rPr>
                <w:bCs/>
                <w:szCs w:val="22"/>
              </w:rPr>
              <w:t>$1</w:t>
            </w:r>
            <w:r>
              <w:rPr>
                <w:bCs/>
                <w:szCs w:val="22"/>
              </w:rPr>
              <w:t>8,450</w:t>
            </w:r>
          </w:p>
        </w:tc>
      </w:tr>
      <w:tr w:rsidTr="00274E20">
        <w:tblPrEx>
          <w:tblW w:w="0" w:type="auto"/>
          <w:tblInd w:w="175" w:type="dxa"/>
          <w:tblLook w:val="01E0"/>
        </w:tblPrEx>
        <w:trPr>
          <w:trHeight w:val="576"/>
        </w:trPr>
        <w:tc>
          <w:tcPr>
            <w:tcW w:w="4860" w:type="dxa"/>
            <w:vAlign w:val="center"/>
          </w:tcPr>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rPr>
            </w:pPr>
            <w:r>
              <w:rPr>
                <w:szCs w:val="22"/>
              </w:rPr>
              <w:t>250</w:t>
            </w:r>
            <w:r w:rsidRPr="005F6BC2">
              <w:rPr>
                <w:szCs w:val="22"/>
              </w:rPr>
              <w:t xml:space="preserve"> Gbps or greater, but less than </w:t>
            </w:r>
            <w:r>
              <w:rPr>
                <w:szCs w:val="22"/>
              </w:rPr>
              <w:t>1,00</w:t>
            </w:r>
            <w:r w:rsidRPr="005F6BC2">
              <w:rPr>
                <w:szCs w:val="22"/>
              </w:rPr>
              <w:t>0 Gbps</w:t>
            </w:r>
          </w:p>
        </w:tc>
        <w:tc>
          <w:tcPr>
            <w:tcW w:w="3780" w:type="dxa"/>
            <w:vAlign w:val="center"/>
          </w:tcPr>
          <w:p w:rsidR="007D15C3" w:rsidRPr="005F6BC2" w:rsidP="00274E20">
            <w:pPr>
              <w:keepNext/>
              <w:keepLines/>
              <w:jc w:val="center"/>
              <w:rPr>
                <w:spacing w:val="-3"/>
              </w:rPr>
            </w:pPr>
            <w:r w:rsidRPr="005F6BC2">
              <w:rPr>
                <w:bCs/>
                <w:szCs w:val="22"/>
              </w:rPr>
              <w:t>$</w:t>
            </w:r>
            <w:r>
              <w:rPr>
                <w:bCs/>
                <w:szCs w:val="22"/>
              </w:rPr>
              <w:t>36,875</w:t>
            </w:r>
          </w:p>
        </w:tc>
      </w:tr>
      <w:tr w:rsidTr="00274E20">
        <w:tblPrEx>
          <w:tblW w:w="0" w:type="auto"/>
          <w:tblInd w:w="175" w:type="dxa"/>
          <w:tblLook w:val="01E0"/>
        </w:tblPrEx>
        <w:trPr>
          <w:trHeight w:val="576"/>
        </w:trPr>
        <w:tc>
          <w:tcPr>
            <w:tcW w:w="4860" w:type="dxa"/>
            <w:vAlign w:val="center"/>
          </w:tcPr>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rPr>
            </w:pPr>
            <w:r>
              <w:rPr>
                <w:szCs w:val="22"/>
              </w:rPr>
              <w:t>1,00</w:t>
            </w:r>
            <w:r w:rsidRPr="005F6BC2">
              <w:rPr>
                <w:szCs w:val="22"/>
              </w:rPr>
              <w:t xml:space="preserve">0 Gbps or greater, but less than </w:t>
            </w:r>
            <w:r>
              <w:rPr>
                <w:szCs w:val="22"/>
              </w:rPr>
              <w:t>2</w:t>
            </w:r>
            <w:r w:rsidRPr="005F6BC2">
              <w:rPr>
                <w:szCs w:val="22"/>
              </w:rPr>
              <w:t>,</w:t>
            </w:r>
            <w:r>
              <w:rPr>
                <w:szCs w:val="22"/>
              </w:rPr>
              <w:t>000</w:t>
            </w:r>
            <w:r w:rsidRPr="005F6BC2">
              <w:rPr>
                <w:szCs w:val="22"/>
              </w:rPr>
              <w:t xml:space="preserve"> Gbps</w:t>
            </w:r>
          </w:p>
        </w:tc>
        <w:tc>
          <w:tcPr>
            <w:tcW w:w="3780" w:type="dxa"/>
            <w:vAlign w:val="center"/>
          </w:tcPr>
          <w:p w:rsidR="007D15C3" w:rsidRPr="005F6BC2" w:rsidP="00274E20">
            <w:pPr>
              <w:keepNext/>
              <w:keepLines/>
              <w:jc w:val="center"/>
              <w:rPr>
                <w:spacing w:val="-3"/>
              </w:rPr>
            </w:pPr>
            <w:r w:rsidRPr="005F6BC2">
              <w:rPr>
                <w:bCs/>
                <w:szCs w:val="22"/>
              </w:rPr>
              <w:t>$</w:t>
            </w:r>
            <w:r>
              <w:rPr>
                <w:bCs/>
                <w:szCs w:val="22"/>
              </w:rPr>
              <w:t>73,750</w:t>
            </w:r>
          </w:p>
        </w:tc>
      </w:tr>
      <w:tr w:rsidTr="00274E20">
        <w:tblPrEx>
          <w:tblW w:w="0" w:type="auto"/>
          <w:tblInd w:w="175" w:type="dxa"/>
          <w:tblLook w:val="01E0"/>
        </w:tblPrEx>
        <w:trPr>
          <w:trHeight w:val="576"/>
        </w:trPr>
        <w:tc>
          <w:tcPr>
            <w:tcW w:w="4860" w:type="dxa"/>
            <w:vAlign w:val="center"/>
          </w:tcPr>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rPr>
            </w:pPr>
            <w:r>
              <w:rPr>
                <w:szCs w:val="22"/>
              </w:rPr>
              <w:t>2</w:t>
            </w:r>
            <w:r w:rsidRPr="005F6BC2">
              <w:rPr>
                <w:szCs w:val="22"/>
              </w:rPr>
              <w:t>,</w:t>
            </w:r>
            <w:r>
              <w:rPr>
                <w:szCs w:val="22"/>
              </w:rPr>
              <w:t>000</w:t>
            </w:r>
            <w:r w:rsidRPr="005F6BC2">
              <w:rPr>
                <w:szCs w:val="22"/>
              </w:rPr>
              <w:t xml:space="preserve"> Gbps or greater, but less than </w:t>
            </w:r>
            <w:r>
              <w:rPr>
                <w:szCs w:val="22"/>
              </w:rPr>
              <w:t>3</w:t>
            </w:r>
            <w:r w:rsidRPr="005F6BC2">
              <w:rPr>
                <w:szCs w:val="22"/>
              </w:rPr>
              <w:t>,</w:t>
            </w:r>
            <w:r>
              <w:rPr>
                <w:szCs w:val="22"/>
              </w:rPr>
              <w:t>50</w:t>
            </w:r>
            <w:r w:rsidRPr="005F6BC2">
              <w:rPr>
                <w:szCs w:val="22"/>
              </w:rPr>
              <w:t>0 Gbps</w:t>
            </w:r>
          </w:p>
        </w:tc>
        <w:tc>
          <w:tcPr>
            <w:tcW w:w="3780" w:type="dxa"/>
            <w:vAlign w:val="center"/>
          </w:tcPr>
          <w:p w:rsidR="007D15C3" w:rsidRPr="005F6BC2" w:rsidP="00274E20">
            <w:pPr>
              <w:keepNext/>
              <w:keepLines/>
              <w:jc w:val="center"/>
              <w:rPr>
                <w:spacing w:val="-3"/>
              </w:rPr>
            </w:pPr>
            <w:r w:rsidRPr="005F6BC2">
              <w:rPr>
                <w:bCs/>
                <w:szCs w:val="22"/>
              </w:rPr>
              <w:t>$1</w:t>
            </w:r>
            <w:r>
              <w:rPr>
                <w:bCs/>
                <w:szCs w:val="22"/>
              </w:rPr>
              <w:t>47,500</w:t>
            </w:r>
          </w:p>
        </w:tc>
      </w:tr>
      <w:tr w:rsidTr="00274E20">
        <w:tblPrEx>
          <w:tblW w:w="0" w:type="auto"/>
          <w:tblInd w:w="175" w:type="dxa"/>
          <w:tblLook w:val="01E0"/>
        </w:tblPrEx>
        <w:trPr>
          <w:trHeight w:val="576"/>
        </w:trPr>
        <w:tc>
          <w:tcPr>
            <w:tcW w:w="4860" w:type="dxa"/>
            <w:vAlign w:val="center"/>
          </w:tcPr>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3780" w:type="dxa"/>
            <w:vAlign w:val="center"/>
          </w:tcPr>
          <w:p w:rsidR="007D15C3" w:rsidRPr="005F6BC2" w:rsidP="00274E20">
            <w:pPr>
              <w:keepNext/>
              <w:keepLines/>
              <w:jc w:val="center"/>
            </w:pPr>
            <w:r w:rsidRPr="005F6BC2">
              <w:rPr>
                <w:bCs/>
                <w:szCs w:val="22"/>
              </w:rPr>
              <w:t>$</w:t>
            </w:r>
            <w:r>
              <w:rPr>
                <w:bCs/>
                <w:szCs w:val="22"/>
              </w:rPr>
              <w:t>295,000</w:t>
            </w:r>
          </w:p>
        </w:tc>
      </w:tr>
      <w:tr w:rsidTr="00274E20">
        <w:tblPrEx>
          <w:tblW w:w="0" w:type="auto"/>
          <w:tblInd w:w="175" w:type="dxa"/>
          <w:tblLook w:val="01E0"/>
        </w:tblPrEx>
        <w:trPr>
          <w:trHeight w:val="576"/>
        </w:trPr>
        <w:tc>
          <w:tcPr>
            <w:tcW w:w="4860" w:type="dxa"/>
            <w:vAlign w:val="center"/>
          </w:tcPr>
          <w:p w:rsidR="007D15C3" w:rsidRPr="005F6BC2" w:rsidP="00274E20">
            <w:pPr>
              <w:keepNext/>
              <w:keepLines/>
              <w:tabs>
                <w:tab w:val="left" w:pos="-1440"/>
                <w:tab w:val="left" w:pos="-720"/>
                <w:tab w:val="left" w:pos="0"/>
                <w:tab w:val="left" w:pos="720"/>
                <w:tab w:val="left" w:pos="1440"/>
                <w:tab w:val="left" w:pos="2160"/>
                <w:tab w:val="left" w:pos="2880"/>
                <w:tab w:val="left" w:pos="3600"/>
                <w:tab w:val="left" w:pos="4680"/>
                <w:tab w:val="left" w:pos="5040"/>
              </w:tabs>
              <w:suppressAutoHyphens/>
            </w:pPr>
            <w:r>
              <w:rPr>
                <w:szCs w:val="22"/>
              </w:rPr>
              <w:t>6</w:t>
            </w:r>
            <w:r w:rsidRPr="005F6BC2">
              <w:rPr>
                <w:szCs w:val="22"/>
              </w:rPr>
              <w:t>,</w:t>
            </w:r>
            <w:r>
              <w:rPr>
                <w:szCs w:val="22"/>
              </w:rPr>
              <w:t>5</w:t>
            </w:r>
            <w:r w:rsidRPr="005F6BC2">
              <w:rPr>
                <w:szCs w:val="22"/>
              </w:rPr>
              <w:t>00 Gbps or greater</w:t>
            </w:r>
          </w:p>
        </w:tc>
        <w:tc>
          <w:tcPr>
            <w:tcW w:w="3780" w:type="dxa"/>
            <w:vAlign w:val="center"/>
          </w:tcPr>
          <w:p w:rsidR="007D15C3" w:rsidRPr="005F6BC2" w:rsidP="00274E20">
            <w:pPr>
              <w:keepNext/>
              <w:keepLines/>
              <w:jc w:val="center"/>
              <w:rPr>
                <w:bCs/>
              </w:rPr>
            </w:pPr>
            <w:r>
              <w:rPr>
                <w:bCs/>
                <w:szCs w:val="22"/>
              </w:rPr>
              <w:t>$590,000</w:t>
            </w:r>
          </w:p>
        </w:tc>
      </w:tr>
    </w:tbl>
    <w:p w:rsidR="007D15C3" w:rsidP="007D15C3">
      <w:pPr>
        <w:pStyle w:val="ParaNum"/>
        <w:numPr>
          <w:ilvl w:val="0"/>
          <w:numId w:val="0"/>
        </w:numPr>
        <w:ind w:left="720"/>
      </w:pPr>
    </w:p>
    <w:p w:rsidR="007D15C3" w:rsidP="007D15C3">
      <w:pPr>
        <w:pStyle w:val="ParaNum"/>
        <w:numPr>
          <w:ilvl w:val="0"/>
          <w:numId w:val="0"/>
        </w:numPr>
      </w:pPr>
      <w:r>
        <w:t xml:space="preserve">We seek comment on the use of a unified tiered structure for IBCs and these proposed fees, which are based on </w:t>
      </w:r>
      <w:r w:rsidRPr="001B6E56">
        <w:t xml:space="preserve">a ratio attributing 95% to submarine cables and 5% to </w:t>
      </w:r>
      <w:r>
        <w:t xml:space="preserve">terrestrial and satellite international bearer circuits.  As an alternative, we seek comment on maintaining the current fee structure for international bearer circuits and having the fees for submarine cables based on the proposed tier structure and assessing fees for terrestrial and satellite capacity </w:t>
      </w:r>
      <w:r w:rsidRPr="005A523D">
        <w:t xml:space="preserve">at </w:t>
      </w:r>
      <w:r w:rsidRPr="002C7C70">
        <w:t>$41</w:t>
      </w:r>
      <w:r>
        <w:t xml:space="preserve"> per Gbps circuits.</w:t>
      </w:r>
    </w:p>
    <w:p w:rsidR="007D15C3" w:rsidRPr="00FC3992" w:rsidP="001C5F4D">
      <w:pPr>
        <w:pStyle w:val="ParaNum"/>
        <w:widowControl/>
      </w:pPr>
      <w:r>
        <w:t>We are not persuaded that we should artificially reduce rates paid by submarine cable operators compared to terrestrial and satellite IBC operators because of “limited oversight” of submarine cables beyond the licensing process.</w:t>
      </w:r>
      <w:r>
        <w:rPr>
          <w:rStyle w:val="FootnoteReference"/>
        </w:rPr>
        <w:footnoteReference w:id="166"/>
      </w:r>
      <w:r>
        <w:t xml:space="preserve">  In addition to the work that the International Bureau provides that benefits all international telecommunications service providers, it provides services that specifically benefit submarine cable operators and the international services that are carried on the submarine cables.  For example, the International Bureau is in close coordination with other government agencies to facilitate the deployment of submarine cables and protect them once they are laid and in service.</w:t>
      </w:r>
      <w:r>
        <w:rPr>
          <w:vertAlign w:val="superscript"/>
        </w:rPr>
        <w:footnoteReference w:id="167"/>
      </w:r>
      <w:r>
        <w:t xml:space="preserve">  Further, as SIA clearly states, we find that the “Commission’s efforts in these areas lay the groundwork for robust competition necessary to support the operations of international telecommunications providers </w:t>
      </w:r>
      <w:r>
        <w:t>that use submarine cable capacity.  Thus, submarine cable operators that provide capacity to these carriers unquestionably reap the rewards of International Bureau activities that foster competition.”</w:t>
      </w:r>
      <w:r>
        <w:rPr>
          <w:rStyle w:val="FootnoteReference"/>
        </w:rPr>
        <w:footnoteReference w:id="168"/>
      </w:r>
      <w:r>
        <w:t xml:space="preserve">  </w:t>
      </w:r>
    </w:p>
    <w:p w:rsidR="007D15C3" w:rsidRPr="002652B6" w:rsidP="007D15C3">
      <w:pPr>
        <w:pStyle w:val="ParaNum"/>
      </w:pPr>
      <w:r>
        <w:t xml:space="preserve">We disagree with satellite operators’ assertions that they should bear a smaller portion of IBC fees because they also pay satellite regulatory fees.  Space station and earth station regulatory fees are based on the work done by the Satellite Division for those facilities.  The international bearer circuit fees paid by satellite operators are for the work done by the International Bureau for the international services carried on the satellites.  To the extent that satellites carry a smaller amount of international traffic than terrestrial facilities or submarine cables, they will then pay a smaller amount in fees.  As we noted in the </w:t>
      </w:r>
      <w:r w:rsidRPr="3C85307C">
        <w:rPr>
          <w:i/>
          <w:iCs/>
        </w:rPr>
        <w:t>FY 2019 Report and Order</w:t>
      </w:r>
      <w:r>
        <w:t>, regulatees with larger capacities reap more benefits from the Commission’s work and thus pay a larger fee.</w:t>
      </w:r>
      <w:r>
        <w:rPr>
          <w:vertAlign w:val="superscript"/>
        </w:rPr>
        <w:footnoteReference w:id="169"/>
      </w:r>
      <w:r>
        <w:t xml:space="preserve"> </w:t>
      </w:r>
    </w:p>
    <w:p w:rsidR="007D15C3" w:rsidRPr="00087530" w:rsidP="007D15C3">
      <w:pPr>
        <w:pStyle w:val="Heading2"/>
      </w:pPr>
      <w:bookmarkStart w:id="68" w:name="_Toc36903646"/>
      <w:bookmarkStart w:id="69" w:name="_Toc36903647"/>
      <w:bookmarkStart w:id="70" w:name="_Toc38017898"/>
      <w:bookmarkStart w:id="71" w:name="_Toc40091672"/>
      <w:bookmarkEnd w:id="68"/>
      <w:r w:rsidRPr="00087530">
        <w:t>Television Broadcaster Issues</w:t>
      </w:r>
      <w:bookmarkEnd w:id="69"/>
      <w:bookmarkEnd w:id="70"/>
      <w:bookmarkEnd w:id="71"/>
    </w:p>
    <w:p w:rsidR="007D15C3" w:rsidRPr="00087530" w:rsidP="007D15C3">
      <w:pPr>
        <w:pStyle w:val="ParaNum"/>
      </w:pPr>
      <w:r w:rsidRPr="00CD2452">
        <w:t>This</w:t>
      </w:r>
      <w:r w:rsidRPr="4BBD8B65">
        <w:t xml:space="preserve"> year we propose to complete the transition to a population-based full-power broadcast television regulatory fee.  Historically, regulatory fees for full-power television stations were based on the Nielsen Designated Market Area (DMA) groupings 1-10, 11-25, 26-50, 51-100, and remaining markets (DMAs 101-210).  </w:t>
      </w:r>
      <w:bookmarkStart w:id="72" w:name="_Hlk26449545"/>
      <w:r w:rsidRPr="4BBD8B65">
        <w:t xml:space="preserve">In the </w:t>
      </w:r>
      <w:r w:rsidRPr="3C85307C">
        <w:rPr>
          <w:i/>
          <w:iCs/>
        </w:rPr>
        <w:t>FY 2018 NPRM</w:t>
      </w:r>
      <w:r w:rsidRPr="4BBD8B65">
        <w:t>, we sought comment on whether using the actual population covered by the station’s contours instead of DMAs would more accurately reflect the market served by a full-power broadcast television station for purposes of assessing regulatory fees.</w:t>
      </w:r>
      <w:r>
        <w:rPr>
          <w:rStyle w:val="FootnoteReference"/>
          <w:sz w:val="22"/>
          <w:szCs w:val="22"/>
        </w:rPr>
        <w:footnoteReference w:id="170"/>
      </w:r>
      <w:r w:rsidRPr="00087530">
        <w:rPr>
          <w:szCs w:val="22"/>
        </w:rPr>
        <w:t xml:space="preserve">  </w:t>
      </w:r>
      <w:r w:rsidRPr="4BBD8B65">
        <w:rPr>
          <w:snapToGrid/>
          <w:kern w:val="0"/>
        </w:rPr>
        <w:t xml:space="preserve">In the </w:t>
      </w:r>
      <w:r w:rsidRPr="3C85307C">
        <w:rPr>
          <w:i/>
          <w:iCs/>
          <w:snapToGrid/>
          <w:kern w:val="0"/>
        </w:rPr>
        <w:t>FY 2018 Report and Order</w:t>
      </w:r>
      <w:r w:rsidRPr="4BBD8B65">
        <w:rPr>
          <w:snapToGrid/>
          <w:kern w:val="0"/>
        </w:rPr>
        <w:t>, we adopted the new methodology.  We determined that we would fully transition to the methodology by FY 2020, and in the interim, for FY 2019</w:t>
      </w:r>
      <w:r>
        <w:rPr>
          <w:snapToGrid/>
          <w:kern w:val="0"/>
        </w:rPr>
        <w:t>,</w:t>
      </w:r>
      <w:r w:rsidRPr="4BBD8B65">
        <w:rPr>
          <w:snapToGrid/>
          <w:kern w:val="0"/>
        </w:rPr>
        <w:t xml:space="preserve"> </w:t>
      </w:r>
      <w:bookmarkStart w:id="73" w:name="_Hlk26449603"/>
      <w:r w:rsidRPr="4BBD8B65">
        <w:rPr>
          <w:snapToGrid/>
          <w:kern w:val="0"/>
        </w:rPr>
        <w:t>we adopted a blended</w:t>
      </w:r>
      <w:r>
        <w:rPr>
          <w:snapToGrid/>
          <w:kern w:val="0"/>
          <w:szCs w:val="22"/>
        </w:rPr>
        <w:t xml:space="preserve"> </w:t>
      </w:r>
      <w:r w:rsidRPr="4BBD8B65">
        <w:rPr>
          <w:snapToGrid/>
          <w:kern w:val="0"/>
        </w:rPr>
        <w:t>fee based partly on the historical DMA methodology and partly on the new population-based methodology</w:t>
      </w:r>
      <w:bookmarkEnd w:id="72"/>
      <w:bookmarkEnd w:id="73"/>
      <w:r w:rsidRPr="00087530">
        <w:rPr>
          <w:snapToGrid/>
          <w:kern w:val="0"/>
          <w:szCs w:val="22"/>
        </w:rPr>
        <w:t>.</w:t>
      </w:r>
      <w:r>
        <w:rPr>
          <w:rStyle w:val="FootnoteReference"/>
          <w:snapToGrid/>
          <w:kern w:val="0"/>
          <w:sz w:val="22"/>
          <w:szCs w:val="22"/>
        </w:rPr>
        <w:footnoteReference w:id="171"/>
      </w:r>
      <w:r w:rsidRPr="00087530">
        <w:rPr>
          <w:snapToGrid/>
          <w:kern w:val="0"/>
          <w:szCs w:val="22"/>
        </w:rPr>
        <w:t xml:space="preserve"> </w:t>
      </w:r>
      <w:r w:rsidRPr="00087530">
        <w:rPr>
          <w:szCs w:val="22"/>
        </w:rPr>
        <w:t xml:space="preserve"> </w:t>
      </w:r>
    </w:p>
    <w:p w:rsidR="007D15C3" w:rsidRPr="00C9656E" w:rsidP="007D15C3">
      <w:pPr>
        <w:pStyle w:val="ParaNum"/>
      </w:pPr>
      <w:bookmarkStart w:id="74" w:name="_Hlk26449647"/>
      <w:r w:rsidRPr="00C9656E">
        <w:t>Accordingly, we now propose FY 2020 fees for full-power broadcast television stations based</w:t>
      </w:r>
      <w:r w:rsidRPr="002652B6">
        <w:t xml:space="preserve"> on the population covered by a full-power broadcast television station’s contour</w:t>
      </w:r>
      <w:bookmarkEnd w:id="74"/>
      <w:r w:rsidRPr="00C9656E">
        <w:t>.  We also propose adopting a factor of .78</w:t>
      </w:r>
      <w:r w:rsidRPr="001D7610">
        <w:t xml:space="preserve"> of one cent </w:t>
      </w:r>
      <w:bookmarkStart w:id="75" w:name="OLE_LINK3"/>
      <w:bookmarkStart w:id="76" w:name="OLE_LINK4"/>
      <w:r w:rsidRPr="001D7610">
        <w:t>($.007837</w:t>
      </w:r>
      <w:bookmarkEnd w:id="75"/>
      <w:bookmarkEnd w:id="76"/>
      <w:r w:rsidRPr="00AB5C78">
        <w:t>) [</w:t>
      </w:r>
      <w:r w:rsidRPr="00B0106B">
        <w:t>per person served</w:t>
      </w:r>
      <w:r w:rsidRPr="00C9656E">
        <w:t xml:space="preserve">] </w:t>
      </w:r>
      <w:r w:rsidRPr="001D7610">
        <w:t>for FY 2020 full-power broadcast television station fees.</w:t>
      </w:r>
      <w:r>
        <w:rPr>
          <w:vertAlign w:val="superscript"/>
        </w:rPr>
        <w:footnoteReference w:id="172"/>
      </w:r>
      <w:r w:rsidRPr="00C9656E">
        <w:t xml:space="preserve">  The population data for broadcasters’ service areas </w:t>
      </w:r>
      <w:r>
        <w:t xml:space="preserve">are </w:t>
      </w:r>
      <w:r w:rsidRPr="00C9656E">
        <w:t xml:space="preserve">extracted from the </w:t>
      </w:r>
      <w:r w:rsidRPr="00C9656E">
        <w:t>TVStudy</w:t>
      </w:r>
      <w:r w:rsidRPr="00C9656E">
        <w:t xml:space="preserve"> database, based on a station’s projected noise-limited service contour.</w:t>
      </w:r>
      <w:r>
        <w:rPr>
          <w:vertAlign w:val="superscript"/>
        </w:rPr>
        <w:footnoteReference w:id="173"/>
      </w:r>
      <w:r w:rsidRPr="00AD169D">
        <w:t xml:space="preserve">  </w:t>
      </w:r>
      <w:r w:rsidRPr="002C7C70">
        <w:t>Appendix G</w:t>
      </w:r>
      <w:r w:rsidRPr="00AD169D">
        <w:t xml:space="preserve"> l</w:t>
      </w:r>
      <w:r w:rsidRPr="00C9656E">
        <w:t>ists this population data for each licensee and the population-based fee (population multiplied by $.007837</w:t>
      </w:r>
      <w:r w:rsidRPr="001D7610">
        <w:t xml:space="preserve">) for each full-power broadcast television station, including each satellite station. </w:t>
      </w:r>
      <w:r w:rsidRPr="002652B6">
        <w:t xml:space="preserve"> </w:t>
      </w:r>
      <w:r w:rsidRPr="00C9656E">
        <w:t>We seek comment on these proposed fees.</w:t>
      </w:r>
      <w:r>
        <w:rPr>
          <w:vertAlign w:val="superscript"/>
        </w:rPr>
        <w:footnoteReference w:id="174"/>
      </w:r>
      <w:r w:rsidRPr="00C9656E">
        <w:t xml:space="preserve">  </w:t>
      </w:r>
    </w:p>
    <w:bookmarkEnd w:id="57"/>
    <w:bookmarkEnd w:id="58"/>
    <w:p w:rsidR="007D15C3" w:rsidP="007D15C3">
      <w:pPr>
        <w:pStyle w:val="ParaNum"/>
        <w:widowControl/>
      </w:pPr>
      <w:r w:rsidRPr="3C85307C">
        <w:rPr>
          <w:i/>
          <w:iCs/>
        </w:rPr>
        <w:t>Puerto Rico Broadcasters</w:t>
      </w:r>
      <w:r>
        <w:t>.—</w:t>
      </w:r>
      <w:r w:rsidRPr="00B0106B">
        <w:t xml:space="preserve">The Puerto Rico Broadcasters contend that </w:t>
      </w:r>
      <w:r w:rsidRPr="00973E15">
        <w:t>the population-based methodology overstates the population served by Puerto Rico stations for two reasons</w:t>
      </w:r>
      <w:r w:rsidRPr="00CF3187">
        <w:t>.  T</w:t>
      </w:r>
      <w:r w:rsidRPr="002F55BF">
        <w:t xml:space="preserve">hese </w:t>
      </w:r>
      <w:r w:rsidRPr="002F55BF">
        <w:t xml:space="preserve">commenters contend that Puerto </w:t>
      </w:r>
      <w:r w:rsidRPr="00E75FE8">
        <w:t>Rico’s</w:t>
      </w:r>
      <w:r w:rsidRPr="005B4944">
        <w:t xml:space="preserve"> mountainous terrain conditions</w:t>
      </w:r>
      <w:r w:rsidRPr="00855298">
        <w:t xml:space="preserve"> drive engineering decisions that result in the </w:t>
      </w:r>
      <w:r w:rsidRPr="00855298">
        <w:t>TVStudy</w:t>
      </w:r>
      <w:r w:rsidRPr="00855298">
        <w:t xml:space="preserve"> overstating the population</w:t>
      </w:r>
      <w:r w:rsidRPr="000A61E4">
        <w:t xml:space="preserve"> served.</w:t>
      </w:r>
      <w:bookmarkStart w:id="77" w:name="OLE_LINK1"/>
      <w:bookmarkStart w:id="78" w:name="OLE_LINK2"/>
      <w:r>
        <w:rPr>
          <w:vertAlign w:val="superscript"/>
        </w:rPr>
        <w:footnoteReference w:id="175"/>
      </w:r>
      <w:bookmarkEnd w:id="77"/>
      <w:bookmarkEnd w:id="78"/>
      <w:r w:rsidRPr="001D7610">
        <w:t xml:space="preserve">  They</w:t>
      </w:r>
      <w:r w:rsidRPr="00AB5C78">
        <w:t xml:space="preserve"> additionally argue that significant and measurable drops in </w:t>
      </w:r>
      <w:r w:rsidRPr="00B0106B">
        <w:t>Puerto Rico’s population result</w:t>
      </w:r>
      <w:r w:rsidRPr="00973E15">
        <w:t xml:space="preserve">ing from an exodus caused in part by Hurricane Maria evidence that the population counts underlying the </w:t>
      </w:r>
      <w:r w:rsidRPr="00973E15">
        <w:t>TVStudy</w:t>
      </w:r>
      <w:r w:rsidRPr="00973E15">
        <w:t xml:space="preserve"> overstate the population served </w:t>
      </w:r>
      <w:r w:rsidRPr="00CF3187">
        <w:t>by Puerto Rico television broadcasters.</w:t>
      </w:r>
    </w:p>
    <w:p w:rsidR="007D15C3" w:rsidP="007D15C3">
      <w:pPr>
        <w:pStyle w:val="ParaNum"/>
      </w:pPr>
      <w:r w:rsidRPr="00CF3187">
        <w:t xml:space="preserve">We </w:t>
      </w:r>
      <w:r>
        <w:t xml:space="preserve">agree and propose to adjust the fees of such broadcasters in two discrete ways.  </w:t>
      </w:r>
      <w:r w:rsidRPr="3C85307C">
        <w:rPr>
          <w:i/>
          <w:iCs/>
        </w:rPr>
        <w:t>First</w:t>
      </w:r>
      <w:r>
        <w:t xml:space="preserve">, </w:t>
      </w:r>
      <w:r w:rsidRPr="001D7610">
        <w:t>Puerto Rico Broadcasters state</w:t>
      </w:r>
      <w:r w:rsidRPr="00AB5C78">
        <w:t xml:space="preserve"> </w:t>
      </w:r>
      <w:r>
        <w:t>that</w:t>
      </w:r>
      <w:r w:rsidRPr="00AB5C78">
        <w:t xml:space="preserve"> an outdated base population for Puerto Rico does not factor </w:t>
      </w:r>
      <w:r>
        <w:t xml:space="preserve">in </w:t>
      </w:r>
      <w:r w:rsidRPr="00AB5C78">
        <w:t>the dramatic decrease in residents due to severe economic recession, and devastation caused by Hurricanes Irma and Maria.</w:t>
      </w:r>
      <w:r>
        <w:rPr>
          <w:vertAlign w:val="superscript"/>
        </w:rPr>
        <w:footnoteReference w:id="176"/>
      </w:r>
      <w:r w:rsidRPr="001D7610">
        <w:t xml:space="preserve">  Specifically, </w:t>
      </w:r>
      <w:r>
        <w:t xml:space="preserve">Census Bureau data indicate that </w:t>
      </w:r>
      <w:r w:rsidRPr="001D7610">
        <w:t>Puerto Rico’s population has decreased from 3.73 million in 2010 to 3.19 million in 2018, which is a 14</w:t>
      </w:r>
      <w:r>
        <w:t>%</w:t>
      </w:r>
      <w:r w:rsidRPr="001D7610">
        <w:t xml:space="preserve"> decline.</w:t>
      </w:r>
      <w:r>
        <w:rPr>
          <w:vertAlign w:val="superscript"/>
        </w:rPr>
        <w:footnoteReference w:id="177"/>
      </w:r>
      <w:r w:rsidRPr="001D7610">
        <w:t xml:space="preserve">  More recent data suggest the decline is higher, with </w:t>
      </w:r>
      <w:r>
        <w:t xml:space="preserve">an </w:t>
      </w:r>
      <w:r w:rsidRPr="001D7610">
        <w:t>estimated 3.10 million Puerto Rico base population in 2020</w:t>
      </w:r>
      <w:r>
        <w:t>, a 16.9% decline</w:t>
      </w:r>
      <w:r w:rsidRPr="001D7610">
        <w:t>.</w:t>
      </w:r>
      <w:r>
        <w:rPr>
          <w:vertAlign w:val="superscript"/>
        </w:rPr>
        <w:footnoteReference w:id="178"/>
      </w:r>
      <w:r>
        <w:t xml:space="preserve">  We propose to account for the objectively measurable reduction in population by reducing the population counts used in </w:t>
      </w:r>
      <w:r>
        <w:t>TVStudy</w:t>
      </w:r>
      <w:r>
        <w:t xml:space="preserve"> by 16.9%, or the decline between the last census in 2010 and the current population estimate</w:t>
      </w:r>
      <w:r w:rsidRPr="001D7610">
        <w:t>.</w:t>
      </w:r>
    </w:p>
    <w:p w:rsidR="007D15C3" w:rsidRPr="001D7610" w:rsidP="007D15C3">
      <w:pPr>
        <w:pStyle w:val="ParaNum"/>
      </w:pPr>
      <w:r w:rsidRPr="3C85307C">
        <w:rPr>
          <w:i/>
          <w:iCs/>
        </w:rPr>
        <w:t>Second</w:t>
      </w:r>
      <w:r>
        <w:t xml:space="preserve">, </w:t>
      </w:r>
      <w:r w:rsidRPr="002F55BF">
        <w:t xml:space="preserve">Puerto Rico Broadcasters assert that actual signal coverage for broadcast stations is far less than predicted coverage because Puerto Rico is an island with rugged </w:t>
      </w:r>
      <w:r w:rsidRPr="00E75FE8">
        <w:t>mountainous terrain conditions.</w:t>
      </w:r>
      <w:r>
        <w:rPr>
          <w:vertAlign w:val="superscript"/>
        </w:rPr>
        <w:footnoteReference w:id="179"/>
      </w:r>
      <w:r w:rsidRPr="001D7610">
        <w:t xml:space="preserve">  In particular, the rugged mountain range that divides the island blocks signals in many locations</w:t>
      </w:r>
      <w:r w:rsidRPr="00AB5C78">
        <w:t>.</w:t>
      </w:r>
      <w:r>
        <w:rPr>
          <w:vertAlign w:val="superscript"/>
        </w:rPr>
        <w:footnoteReference w:id="180"/>
      </w:r>
      <w:r w:rsidRPr="001D7610">
        <w:t xml:space="preserve">  For this reason, broadcasters employ a unique network that relies on multiple full power satellite facilities in addition to a primary station.</w:t>
      </w:r>
      <w:r>
        <w:rPr>
          <w:vertAlign w:val="superscript"/>
        </w:rPr>
        <w:footnoteReference w:id="181"/>
      </w:r>
      <w:r w:rsidRPr="001D7610">
        <w:t xml:space="preserve">  The Puerto Rico Broadcasters contend that under the regulatory fee methodology adopted for television broadcasters, millions of viewers in Puerto Rico are now counted multiple times, once for each predicted</w:t>
      </w:r>
      <w:r>
        <w:t xml:space="preserve"> </w:t>
      </w:r>
      <w:r w:rsidRPr="00C9656E">
        <w:t>noise-limited service contour</w:t>
      </w:r>
      <w:r w:rsidRPr="001D7610">
        <w:t xml:space="preserve"> in which they live.</w:t>
      </w:r>
      <w:r>
        <w:rPr>
          <w:vertAlign w:val="superscript"/>
        </w:rPr>
        <w:footnoteReference w:id="182"/>
      </w:r>
      <w:r w:rsidRPr="001D7610">
        <w:t xml:space="preserve">  </w:t>
      </w:r>
      <w:r>
        <w:t xml:space="preserve">To address this issue, we further propose </w:t>
      </w:r>
      <w:r w:rsidRPr="001D7610">
        <w:t xml:space="preserve">to limit the market served by a primary television stations and commonly owned satellite </w:t>
      </w:r>
      <w:r>
        <w:t xml:space="preserve">broadcast stations </w:t>
      </w:r>
      <w:r w:rsidRPr="001D7610">
        <w:t xml:space="preserve">in Puerto Rico to no more than </w:t>
      </w:r>
      <w:r>
        <w:t>3.10</w:t>
      </w:r>
      <w:r w:rsidRPr="001D7610">
        <w:t xml:space="preserve"> million</w:t>
      </w:r>
      <w:r>
        <w:t xml:space="preserve"> people, the latest population estimate.</w:t>
      </w:r>
      <w:r>
        <w:rPr>
          <w:vertAlign w:val="superscript"/>
        </w:rPr>
        <w:footnoteReference w:id="183"/>
      </w:r>
      <w:r w:rsidRPr="001D7610">
        <w:t xml:space="preserve">  Under this scenario, the fee for television broadcasters and commonly owned satellites,</w:t>
      </w:r>
      <w:r w:rsidRPr="00AB5C78">
        <w:t xml:space="preserve"> using the proposed population fee of </w:t>
      </w:r>
      <w:r w:rsidRPr="00B0106B">
        <w:t>$.007837, would not exceed</w:t>
      </w:r>
      <w:r>
        <w:t xml:space="preserve"> $24,300</w:t>
      </w:r>
      <w:r w:rsidRPr="001D7610">
        <w:t>.  We seek comment on th</w:t>
      </w:r>
      <w:r>
        <w:t>ese</w:t>
      </w:r>
      <w:r w:rsidRPr="001D7610">
        <w:t xml:space="preserve"> proposal</w:t>
      </w:r>
      <w:r>
        <w:t>s</w:t>
      </w:r>
      <w:r w:rsidRPr="001D7610">
        <w:t>.</w:t>
      </w:r>
    </w:p>
    <w:p w:rsidR="007D15C3" w:rsidRPr="00087530" w:rsidP="007D15C3">
      <w:pPr>
        <w:pStyle w:val="Heading2"/>
      </w:pPr>
      <w:bookmarkStart w:id="79" w:name="_Toc6326140"/>
      <w:bookmarkStart w:id="80" w:name="_Toc26536860"/>
      <w:bookmarkStart w:id="81" w:name="_Toc29915877"/>
      <w:bookmarkStart w:id="82" w:name="_Toc30000074"/>
      <w:bookmarkStart w:id="83" w:name="_Toc31023907"/>
      <w:bookmarkStart w:id="84" w:name="_Toc36903650"/>
      <w:bookmarkStart w:id="85" w:name="_Toc38017899"/>
      <w:bookmarkStart w:id="86" w:name="_Toc40091673"/>
      <w:bookmarkStart w:id="87" w:name="_GoBack"/>
      <w:bookmarkEnd w:id="87"/>
      <w:r>
        <w:t>Direct Broadcast Satellite</w:t>
      </w:r>
      <w:r w:rsidRPr="00087530">
        <w:t xml:space="preserve"> Regulatory Fees</w:t>
      </w:r>
      <w:bookmarkEnd w:id="79"/>
      <w:bookmarkEnd w:id="80"/>
      <w:bookmarkEnd w:id="81"/>
      <w:bookmarkEnd w:id="82"/>
      <w:bookmarkEnd w:id="83"/>
      <w:bookmarkEnd w:id="84"/>
      <w:bookmarkEnd w:id="85"/>
      <w:bookmarkEnd w:id="86"/>
    </w:p>
    <w:p w:rsidR="007D15C3" w:rsidRPr="00973E15" w:rsidP="007D15C3">
      <w:pPr>
        <w:pStyle w:val="ParaNum"/>
      </w:pPr>
      <w:r>
        <w:t>Direct Broadcast Satellite (</w:t>
      </w:r>
      <w:r w:rsidRPr="00AB5C78">
        <w:t>DBS</w:t>
      </w:r>
      <w:r>
        <w:t>)</w:t>
      </w:r>
      <w:r w:rsidRPr="00AB5C78">
        <w:t xml:space="preserve"> service is a nationally distributed subscription service that delivers video and audio programming via satellite to a small parabolic dish antenna at the subscriber’s location.  The two DBS providers, </w:t>
      </w:r>
      <w:r w:rsidRPr="00B0106B">
        <w:t>AT&amp;T and DISH Network, are MVPDs.</w:t>
      </w:r>
      <w:r>
        <w:rPr>
          <w:vertAlign w:val="superscript"/>
        </w:rPr>
        <w:footnoteReference w:id="184"/>
      </w:r>
      <w:r w:rsidRPr="00AB5C78">
        <w:t xml:space="preserve">  The Media Bureau oversees the regulation of MVPDs, i.e., regulated companies that make available for purchase, by subscribers or customers, multiple channels of video programming.  The Media Bureau relies on a common poo</w:t>
      </w:r>
      <w:r w:rsidRPr="00B0106B">
        <w:t>l of FTEs to carry out its oversight of MVPDs and other video distribution providers.</w:t>
      </w:r>
      <w:r>
        <w:rPr>
          <w:vertAlign w:val="superscript"/>
        </w:rPr>
        <w:footnoteReference w:id="185"/>
      </w:r>
      <w:r w:rsidRPr="00AB5C78">
        <w:t xml:space="preserve">  These responsibilities include market modifications, local-into-local, must-carry and retransmission </w:t>
      </w:r>
      <w:r w:rsidRPr="00AB5C78">
        <w:t>consent disputes, program carriage and program access complaints, over-the-air reception device declaratory rulings and waivers, media rule modernization, media ownership, and proposed transactions.</w:t>
      </w:r>
      <w:r>
        <w:rPr>
          <w:vertAlign w:val="superscript"/>
        </w:rPr>
        <w:footnoteReference w:id="186"/>
      </w:r>
      <w:r w:rsidRPr="00AB5C78">
        <w:t xml:space="preserve">  For Media Bureau activities in FY 20</w:t>
      </w:r>
      <w:r w:rsidRPr="00B0106B">
        <w:t xml:space="preserve">20, the Commission must collect </w:t>
      </w:r>
      <w:r>
        <w:t xml:space="preserve">$69.53 </w:t>
      </w:r>
      <w:r w:rsidRPr="00B0106B">
        <w:t xml:space="preserve">million in regulatory fees from </w:t>
      </w:r>
      <w:r>
        <w:t>MVPDs</w:t>
      </w:r>
      <w:r w:rsidRPr="00973E15">
        <w:t>, i.e., cable TV systems</w:t>
      </w:r>
      <w:r>
        <w:t xml:space="preserve"> (including CARS licenses)</w:t>
      </w:r>
      <w:r w:rsidRPr="00973E15">
        <w:t xml:space="preserve">, IPTV providers, and DBS operators.  </w:t>
      </w:r>
    </w:p>
    <w:p w:rsidR="007D15C3" w:rsidP="001C5F4D">
      <w:pPr>
        <w:pStyle w:val="ParaNum"/>
      </w:pPr>
      <w:r>
        <w:t>We</w:t>
      </w:r>
      <w:r w:rsidRPr="00087530">
        <w:t xml:space="preserve"> propose to continue to assess cable TV systems and IPTV providers at the same rate for regulatory fee purposes.</w:t>
      </w:r>
      <w:r>
        <w:rPr>
          <w:vertAlign w:val="superscript"/>
        </w:rPr>
        <w:footnoteReference w:id="187"/>
      </w:r>
      <w:r w:rsidRPr="00087530">
        <w:t xml:space="preserve">  The Commission has historically taken a different approach </w:t>
      </w:r>
      <w:r>
        <w:t>for establishing DBS operator</w:t>
      </w:r>
      <w:r w:rsidRPr="00087530">
        <w:t xml:space="preserve"> regulatory </w:t>
      </w:r>
      <w:r>
        <w:t>fees</w:t>
      </w:r>
      <w:r w:rsidRPr="00087530">
        <w:t>.  In FY 2015, the Commission decided to phase in the new Media Bureau-based regulatory fee for DBS, starting at 12 cents per subscriber per year, as a subcategory in the cable television and IPTV category.</w:t>
      </w:r>
      <w:r>
        <w:rPr>
          <w:vertAlign w:val="superscript"/>
        </w:rPr>
        <w:footnoteReference w:id="188"/>
      </w:r>
      <w:r w:rsidRPr="00087530">
        <w:t xml:space="preserve">  At the same time, the Commission committed to updating the regulatory fee rate in future years.</w:t>
      </w:r>
      <w:r>
        <w:rPr>
          <w:vertAlign w:val="superscript"/>
        </w:rPr>
        <w:footnoteReference w:id="189"/>
      </w:r>
      <w:r w:rsidRPr="00087530">
        <w:t xml:space="preserve">  The Commission has increased the DBS regulatory fee </w:t>
      </w:r>
      <w:r>
        <w:t xml:space="preserve">by </w:t>
      </w:r>
      <w:r w:rsidRPr="00087530">
        <w:t>12 cents per subscriber per year in each subsequent year.</w:t>
      </w:r>
      <w:r>
        <w:rPr>
          <w:vertAlign w:val="superscript"/>
        </w:rPr>
        <w:footnoteReference w:id="190"/>
      </w:r>
      <w:r w:rsidRPr="00087530">
        <w:t xml:space="preserve">  The DBS regulatory fee is based on the significant number of Media Bureau FTEs that work on MVPD issues that include DBS, “not a particular number of FTEs focused solely on DBS” or “specific recent proceedings.”</w:t>
      </w:r>
      <w:r>
        <w:rPr>
          <w:vertAlign w:val="superscript"/>
        </w:rPr>
        <w:footnoteReference w:id="191"/>
      </w:r>
      <w:r w:rsidRPr="00087530">
        <w:t xml:space="preserve">  We propose, for FY 2020, to continue to phase in the DBS regulatory fee by increasing it by 12 cents per subscriber, to 72 cents.  </w:t>
      </w:r>
      <w:r>
        <w:t xml:space="preserve">This will result in a $ 0.89 fee per subscriber per year for other MVPDs.  </w:t>
      </w:r>
      <w:r w:rsidRPr="00087530">
        <w:t>We seek comment on this proposal.</w:t>
      </w:r>
    </w:p>
    <w:p w:rsidR="007D15C3" w:rsidRPr="006F130E" w:rsidP="001C5F4D">
      <w:pPr>
        <w:pStyle w:val="Heading2"/>
      </w:pPr>
      <w:bookmarkStart w:id="88" w:name="_Toc40091674"/>
      <w:r>
        <w:t>Economic Effects of COVID-19 Pandemic</w:t>
      </w:r>
      <w:bookmarkEnd w:id="88"/>
    </w:p>
    <w:p w:rsidR="007D15C3" w:rsidP="007D15C3">
      <w:pPr>
        <w:pStyle w:val="ParaNum"/>
      </w:pPr>
      <w:r>
        <w:t xml:space="preserve">We recognize that the ongoing COVID-19 pandemic is having an impact on some of our regulatees’ businesses.  While many states in this country have begun to permit or are developing plans to permit businesses to re-open, it is not possible to forecast how quickly or to what extent businesses affected by the pandemic will return to normal levels of operation.  Some of our regulatees may continue to be affected and may require assistance in meeting their regulatory fee obligations.  We seek comment on how to provide assistance to these regulatees in these circumstances.  </w:t>
      </w:r>
    </w:p>
    <w:p w:rsidR="007D15C3" w:rsidP="007D15C3">
      <w:pPr>
        <w:pStyle w:val="ParaNum"/>
      </w:pPr>
      <w:r>
        <w:t>In this regard, we note that the Commission is constrained in three important aspects.  First, we are required by statute to collect our FY 2020 appropriation, $339,000,000, as an offsetting collection from our regulatees by September 30, 2020.  Second, the Act requires that we allocate our regulatory fees among regulatees in a proportional manner to fairly reflect the value of FTE work expended to benefit regulatees.  Finally, we cannot exempt regulatees that are not expressly exempted under the statute.</w:t>
      </w:r>
      <w:r>
        <w:rPr>
          <w:rStyle w:val="FootnoteReference"/>
        </w:rPr>
        <w:footnoteReference w:id="192"/>
      </w:r>
      <w:r>
        <w:t xml:space="preserve"> Thus, we cannot reduce the proposed FY 2020 fees across-the-board; we cannot re-apportion the fees among categories based on, for example, relative ability to pay, and we cannot exempt regulatees based on their financial circumstances.    </w:t>
      </w:r>
    </w:p>
    <w:p w:rsidR="007D15C3" w:rsidRPr="001C5F4D" w:rsidP="001C5F4D">
      <w:pPr>
        <w:pStyle w:val="ParaNum"/>
        <w:widowControl/>
        <w:rPr>
          <w:snapToGrid/>
          <w:kern w:val="0"/>
          <w:sz w:val="24"/>
          <w:szCs w:val="24"/>
        </w:rPr>
      </w:pPr>
      <w:r>
        <w:t>Within those constraints, we have some flexibility to assist.  For example, we have authority to offer extended payment terms at nominal interest rates for regulatory fee payors that demonstrate they face significant financial challenges,</w:t>
      </w:r>
      <w:r>
        <w:rPr>
          <w:rStyle w:val="FootnoteReference"/>
        </w:rPr>
        <w:footnoteReference w:id="193"/>
      </w:r>
      <w:r>
        <w:t xml:space="preserve"> as we did in 2017 and 2018 for regulatees whose businesses were devastated by Hurricanes Florence Harvey, Irma, Maria and Florence.  We seek comment on how to  facilitate similar or additional relief here where appropriate.</w:t>
      </w:r>
      <w:r>
        <w:rPr>
          <w:sz w:val="24"/>
          <w:szCs w:val="24"/>
        </w:rPr>
        <w:t xml:space="preserve"> </w:t>
      </w:r>
    </w:p>
    <w:p w:rsidR="007D15C3" w:rsidRPr="00087530" w:rsidP="007D15C3">
      <w:pPr>
        <w:pStyle w:val="Heading2"/>
      </w:pPr>
      <w:bookmarkStart w:id="90" w:name="_Toc382567922"/>
      <w:bookmarkStart w:id="91" w:name="_Toc384227055"/>
      <w:bookmarkStart w:id="92" w:name="_Toc6326144"/>
      <w:bookmarkStart w:id="93" w:name="_Toc26536862"/>
      <w:bookmarkStart w:id="94" w:name="_Toc29915879"/>
      <w:bookmarkStart w:id="95" w:name="_Toc30000076"/>
      <w:bookmarkStart w:id="96" w:name="_Toc31023909"/>
      <w:bookmarkStart w:id="97" w:name="_Toc36903651"/>
      <w:bookmarkStart w:id="98" w:name="_Toc38017900"/>
      <w:bookmarkStart w:id="99" w:name="_Toc40091675"/>
      <w:bookmarkStart w:id="100" w:name="_Hlk504125051"/>
      <w:r w:rsidRPr="00087530">
        <w:t>Additional Regulatory Fee Reform</w:t>
      </w:r>
      <w:bookmarkEnd w:id="90"/>
      <w:bookmarkEnd w:id="91"/>
      <w:bookmarkEnd w:id="92"/>
      <w:bookmarkEnd w:id="93"/>
      <w:bookmarkEnd w:id="94"/>
      <w:bookmarkEnd w:id="95"/>
      <w:bookmarkEnd w:id="96"/>
      <w:bookmarkEnd w:id="97"/>
      <w:bookmarkEnd w:id="98"/>
      <w:bookmarkEnd w:id="99"/>
      <w:r w:rsidRPr="00087530">
        <w:t xml:space="preserve">   </w:t>
      </w:r>
    </w:p>
    <w:p w:rsidR="007D15C3" w:rsidRPr="000E5A84" w:rsidP="007D15C3">
      <w:pPr>
        <w:pStyle w:val="ParaNum"/>
      </w:pPr>
      <w:r>
        <w:t xml:space="preserve">We also seek comment on additional regulatory fee reform and ways to further improve our regulatory fee process to make it less burdensome for all entities.  In particular, we seek comment on whether our fee setting methodologies could be improved or updated to ensure that our regulatory fees are more equitable or otherwise streamlined to make the fee schedule simpler.  As part of this analysis, we seek comment on the costs and benefits of reforming our fee-setting process.  </w:t>
      </w:r>
      <w:bookmarkStart w:id="101" w:name="_Toc351572423"/>
      <w:bookmarkStart w:id="102" w:name="_Toc6326147"/>
      <w:bookmarkStart w:id="103" w:name="_Toc26536863"/>
      <w:bookmarkStart w:id="104" w:name="_Toc29915880"/>
      <w:bookmarkStart w:id="105" w:name="_Toc30000077"/>
      <w:bookmarkStart w:id="106" w:name="_Toc31023910"/>
      <w:bookmarkEnd w:id="101"/>
      <w:bookmarkEnd w:id="102"/>
      <w:bookmarkEnd w:id="103"/>
      <w:bookmarkEnd w:id="104"/>
      <w:bookmarkEnd w:id="105"/>
      <w:bookmarkEnd w:id="106"/>
    </w:p>
    <w:p w:rsidR="007D15C3" w:rsidP="007D15C3">
      <w:pPr>
        <w:pStyle w:val="Heading1"/>
        <w:rPr>
          <w:rFonts w:ascii="Times New Roman" w:hAnsi="Times New Roman"/>
          <w:szCs w:val="22"/>
        </w:rPr>
      </w:pPr>
      <w:bookmarkStart w:id="107" w:name="_Toc6326148"/>
      <w:bookmarkStart w:id="108" w:name="_Toc26536864"/>
      <w:bookmarkStart w:id="109" w:name="_Toc29915881"/>
      <w:bookmarkStart w:id="110" w:name="_Toc30000078"/>
      <w:bookmarkStart w:id="111" w:name="_Toc31023911"/>
      <w:bookmarkStart w:id="112" w:name="_Toc36903655"/>
      <w:bookmarkStart w:id="113" w:name="_Toc38017901"/>
      <w:bookmarkStart w:id="114" w:name="_Toc40091676"/>
      <w:bookmarkEnd w:id="100"/>
      <w:r w:rsidRPr="003C560E">
        <w:rPr>
          <w:rFonts w:ascii="Times New Roman" w:hAnsi="Times New Roman"/>
          <w:szCs w:val="22"/>
        </w:rPr>
        <w:t>procedural matters</w:t>
      </w:r>
      <w:bookmarkEnd w:id="107"/>
      <w:bookmarkEnd w:id="108"/>
      <w:bookmarkEnd w:id="109"/>
      <w:bookmarkEnd w:id="110"/>
      <w:bookmarkEnd w:id="111"/>
      <w:bookmarkEnd w:id="112"/>
      <w:bookmarkEnd w:id="113"/>
      <w:bookmarkEnd w:id="114"/>
    </w:p>
    <w:p w:rsidR="007D15C3" w:rsidP="007D15C3">
      <w:pPr>
        <w:pStyle w:val="ParaNum"/>
        <w:rPr>
          <w:snapToGrid/>
        </w:rPr>
      </w:pPr>
      <w:r>
        <w:t xml:space="preserve">Included below are procedural items as well as our current payment and collection methods.  We include these payments and collection procedures here as a useful way of reminding regulatory fee payers and the public about these aspects of the annual regulatory fee collection process.    </w:t>
      </w:r>
    </w:p>
    <w:p w:rsidR="007D15C3" w:rsidRPr="002652B6" w:rsidP="007D15C3">
      <w:pPr>
        <w:pStyle w:val="ParaNum"/>
      </w:pPr>
      <w:r w:rsidRPr="3C85307C">
        <w:rPr>
          <w:i/>
          <w:iCs/>
        </w:rPr>
        <w:t>Credit Card Transaction Levels</w:t>
      </w:r>
      <w:r>
        <w:rPr>
          <w:szCs w:val="22"/>
        </w:rPr>
        <w:t xml:space="preserve">.  </w:t>
      </w:r>
      <w:r w:rsidRPr="4BBD8B65">
        <w:t>Since June 1, 2015, in accordance with</w:t>
      </w:r>
      <w:r>
        <w:t xml:space="preserve"> </w:t>
      </w:r>
      <w:r>
        <w:rPr>
          <w:i/>
          <w:iCs/>
        </w:rPr>
        <w:t>Treasury Financial Manual</w:t>
      </w:r>
      <w:r>
        <w:t xml:space="preserve">, Volume I, Part 5, Chapter 7000, </w:t>
      </w:r>
      <w:r>
        <w:rPr>
          <w:color w:val="333333"/>
          <w:bdr w:val="none" w:sz="0" w:space="0" w:color="auto" w:frame="1"/>
          <w:shd w:val="clear" w:color="auto" w:fill="FFFFFF"/>
        </w:rPr>
        <w:t>Section 7045—</w:t>
      </w:r>
      <w:r>
        <w:rPr>
          <w:i/>
          <w:iCs/>
          <w:color w:val="333333"/>
          <w:bdr w:val="none" w:sz="0" w:space="0" w:color="auto" w:frame="1"/>
          <w:shd w:val="clear" w:color="auto" w:fill="FFFFFF"/>
        </w:rPr>
        <w:t>Limitations on Card Collection Transactions</w:t>
      </w:r>
      <w:r>
        <w:rPr>
          <w:color w:val="333333"/>
          <w:bdr w:val="none" w:sz="0" w:space="0" w:color="auto" w:frame="1"/>
          <w:shd w:val="clear" w:color="auto" w:fill="FFFFFF"/>
        </w:rPr>
        <w:t>.</w:t>
      </w:r>
      <w:r w:rsidRPr="005B4944">
        <w:t xml:space="preserve"> the highest</w:t>
      </w:r>
      <w:r w:rsidRPr="00855298">
        <w:t xml:space="preserve"> amount that can be charged on a credit card for transactions with federal agencies is $24,999.99.</w:t>
      </w:r>
      <w:r>
        <w:rPr>
          <w:vertAlign w:val="superscript"/>
        </w:rPr>
        <w:footnoteReference w:id="194"/>
      </w:r>
      <w:r w:rsidRPr="005B4944">
        <w:t xml:space="preserve">  Transactions greater than $24,999.99 will be rejected.  This limit applies to single payments or bundled payments of more than one bill.  Multiple transactions to a single agency in one day may be aggregated and tre</w:t>
      </w:r>
      <w:r w:rsidRPr="00855298">
        <w:t>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Pr="000A61E4">
        <w:t xml:space="preserve">9 regulatory fee collection in Fact Sheets, </w:t>
      </w:r>
      <w:hyperlink r:id="rId5" w:history="1">
        <w:r w:rsidRPr="002652B6">
          <w:t>https://www.fcc.gov/regfees</w:t>
        </w:r>
      </w:hyperlink>
      <w:r w:rsidRPr="002652B6">
        <w:t>.</w:t>
      </w:r>
    </w:p>
    <w:p w:rsidR="007D15C3" w:rsidRPr="00461FF4" w:rsidP="007D15C3">
      <w:pPr>
        <w:pStyle w:val="ParaNum"/>
        <w:rPr>
          <w:rStyle w:val="Hyperlink"/>
          <w:color w:val="auto"/>
        </w:rPr>
      </w:pPr>
      <w:r w:rsidRPr="3C85307C">
        <w:rPr>
          <w:i/>
          <w:iCs/>
        </w:rPr>
        <w:t>Payment Methods</w:t>
      </w:r>
      <w:r w:rsidRPr="005B4944">
        <w:t>.  Pursuant to an Office of Management and Budget (OMB) directive,</w:t>
      </w:r>
      <w:r>
        <w:rPr>
          <w:vertAlign w:val="superscript"/>
        </w:rPr>
        <w:footnoteReference w:id="195"/>
      </w:r>
      <w:r w:rsidRPr="002652B6">
        <w:t xml:space="preserve"> </w:t>
      </w:r>
      <w:r w:rsidRPr="005B4944">
        <w:t>the Commission is moving towards a paperless environment, extending to disbursement and collection of select federal government payments and receipts.</w:t>
      </w:r>
      <w:r>
        <w:rPr>
          <w:vertAlign w:val="superscript"/>
        </w:rPr>
        <w:footnoteReference w:id="196"/>
      </w:r>
      <w:r w:rsidRPr="005B4944">
        <w:t xml:space="preserve">  In 2015, the Commission stopped accepting checks (including cashier’s checks and money orders) and the accompanying hardcopy forms (e.g., Forms 159, 159-B, 159-E, 159-W) for the payment of regulatory fees.</w:t>
      </w:r>
      <w:r>
        <w:rPr>
          <w:vertAlign w:val="superscript"/>
        </w:rPr>
        <w:footnoteReference w:id="197"/>
      </w:r>
      <w:r w:rsidRPr="005B4944">
        <w:t xml:space="preserve">  During the fee season for collecting regulatory fees, regulatees can pay their fees by credit card through Pay.gov,</w:t>
      </w:r>
      <w:r>
        <w:rPr>
          <w:vertAlign w:val="superscript"/>
        </w:rPr>
        <w:footnoteReference w:id="198"/>
      </w:r>
      <w:r w:rsidRPr="005B4944">
        <w:t xml:space="preserve"> ACH, debit </w:t>
      </w:r>
      <w:r w:rsidRPr="005B4944">
        <w:t>card,</w:t>
      </w:r>
      <w:r>
        <w:rPr>
          <w:vertAlign w:val="superscript"/>
        </w:rPr>
        <w:footnoteReference w:id="199"/>
      </w:r>
      <w:r w:rsidRPr="005B4944">
        <w:t xml:space="preserve"> or by wire transfer.  Additional payment instructions are posted on the Commission’s website at </w:t>
      </w:r>
      <w:hyperlink r:id="rId6" w:history="1">
        <w:r w:rsidRPr="002652B6">
          <w:t>http://transition.fcc.gov/fees/regfees.html</w:t>
        </w:r>
      </w:hyperlink>
      <w:r w:rsidRPr="002652B6">
        <w:t>.</w:t>
      </w:r>
      <w:r w:rsidRPr="005B4944">
        <w:t xml:space="preserve">  The receiving bank for all wire payments is the U.S. Treasury, New York, NY (TREAS NYC).  Any other form of payment (e.g., checks, cashier’s checks, or money orders) will be rejected.  For payments by wire, a Form 159-E should still be transmitted via fax so that the Commission can associate the wire payment with the correct regulatory fee information.  </w:t>
      </w:r>
      <w:r w:rsidRPr="00855298">
        <w:t>The fax should be sent to the Federal Communications Commission at (202) 418-2843 at least one hour before initiating the wire transfer (but on the same b</w:t>
      </w:r>
      <w:r w:rsidRPr="000A61E4">
        <w:t>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w:t>
      </w:r>
      <w:r w:rsidRPr="00461FF4">
        <w:rPr>
          <w:szCs w:val="22"/>
        </w:rPr>
        <w:t xml:space="preserve"> </w:t>
      </w:r>
      <w:hyperlink r:id="rId7" w:tooltip="http://transition.fcc.gov/fees/wiretran.html" w:history="1">
        <w:r w:rsidRPr="4BBD8B65">
          <w:rPr>
            <w:rStyle w:val="Hyperlink"/>
          </w:rPr>
          <w:t>http://transition.fcc.gov/fees/wiretran.html</w:t>
        </w:r>
      </w:hyperlink>
      <w:r w:rsidRPr="4BBD8B65">
        <w:rPr>
          <w:rStyle w:val="Hyperlink"/>
          <w:color w:val="auto"/>
          <w:u w:val="none"/>
        </w:rPr>
        <w:t>.</w:t>
      </w:r>
    </w:p>
    <w:p w:rsidR="007D15C3" w:rsidRPr="003C560E" w:rsidP="007D15C3">
      <w:pPr>
        <w:pStyle w:val="ParaNum"/>
      </w:pPr>
      <w:r w:rsidRPr="3C85307C">
        <w:rPr>
          <w:i/>
          <w:iCs/>
        </w:rPr>
        <w:t>Standard Fee Calculations and Payment Dates</w:t>
      </w:r>
      <w:r>
        <w:t>.—The Commission will accept fee payments made in advance of the window for the payment of regulatory fees.  The responsibility for payment of fees by service category is as follows:</w:t>
      </w:r>
    </w:p>
    <w:p w:rsidR="007D15C3" w:rsidRPr="003C560E" w:rsidP="007D15C3">
      <w:pPr>
        <w:pStyle w:val="ParaNum"/>
        <w:numPr>
          <w:ilvl w:val="0"/>
          <w:numId w:val="8"/>
        </w:numPr>
      </w:pPr>
      <w:r w:rsidRPr="003C560E">
        <w:rPr>
          <w:i/>
        </w:rPr>
        <w:t>Media Services</w:t>
      </w:r>
      <w:r w:rsidRPr="003C560E">
        <w:t>:  Regulatory fees must be paid for initial construction permits that were granted on or before October 1, 201</w:t>
      </w:r>
      <w:r>
        <w:t>9</w:t>
      </w:r>
      <w:r w:rsidRPr="003C560E">
        <w:t xml:space="preserve"> for AM/FM radio stations, VHF/UHF </w:t>
      </w:r>
      <w:r>
        <w:t>broadcast</w:t>
      </w:r>
      <w:r w:rsidRPr="003C560E">
        <w:t xml:space="preserve"> television stations, and satellite television stations.  Regulatory fees must be paid for all broadcast facility licenses granted on or before October 1, 201</w:t>
      </w:r>
      <w:r>
        <w:t>9</w:t>
      </w:r>
      <w:r w:rsidRPr="003C560E">
        <w:t xml:space="preserve">.  </w:t>
      </w:r>
    </w:p>
    <w:p w:rsidR="007D15C3" w:rsidRPr="003C560E" w:rsidP="007D15C3">
      <w:pPr>
        <w:pStyle w:val="ParaNum"/>
        <w:numPr>
          <w:ilvl w:val="0"/>
          <w:numId w:val="8"/>
        </w:numPr>
      </w:pPr>
      <w:r w:rsidRPr="0E6F4A2D">
        <w:rPr>
          <w:i/>
        </w:rPr>
        <w:t>Wireline (Common Carrier) Services</w:t>
      </w:r>
      <w:r w:rsidRPr="0E6F4A2D">
        <w:t>:  Regulatory fees must be paid for authorizations that were granted on or before October 1, 2019.  In instances where a permit or license is transferred or assigned after October 1, 2019, responsibility for payment rests with the holder of the permit or license as of the fee due date.  Audio bridging service providers are included in this category.</w:t>
      </w:r>
      <w:r>
        <w:rPr>
          <w:rStyle w:val="FootnoteReference"/>
          <w:sz w:val="22"/>
          <w:szCs w:val="22"/>
        </w:rPr>
        <w:footnoteReference w:id="200"/>
      </w:r>
      <w:r w:rsidRPr="0E6F4A2D">
        <w:t xml:space="preserve">  For Responsible Organizations (</w:t>
      </w:r>
      <w:r w:rsidRPr="0E6F4A2D">
        <w:t>RespOrgs</w:t>
      </w:r>
      <w:r w:rsidRPr="0E6F4A2D">
        <w:t>) that manage Toll Free Numbers (TFN), regulatory fees should be paid on all working, assigned, and reserved toll free numbers as well as toll free numbers in any other status as defined in section 52.103 of the Commission’s rules.</w:t>
      </w:r>
      <w:r>
        <w:rPr>
          <w:rStyle w:val="FootnoteReference"/>
          <w:sz w:val="22"/>
          <w:szCs w:val="22"/>
        </w:rPr>
        <w:footnoteReference w:id="201"/>
      </w:r>
      <w:r w:rsidRPr="0E6F4A2D">
        <w:t xml:space="preserve">  The unit count should be based on toll free numbers managed by </w:t>
      </w:r>
      <w:r w:rsidRPr="0E6F4A2D">
        <w:t>RespOrgs</w:t>
      </w:r>
      <w:r w:rsidRPr="0E6F4A2D">
        <w:t xml:space="preserve"> on or about December 31, 2019</w:t>
      </w:r>
      <w:r w:rsidRPr="003C560E">
        <w:rPr>
          <w:szCs w:val="22"/>
        </w:rPr>
        <w:t>.</w:t>
      </w:r>
    </w:p>
    <w:p w:rsidR="007D15C3" w:rsidRPr="003C560E" w:rsidP="007D15C3">
      <w:pPr>
        <w:pStyle w:val="ParaNum"/>
        <w:numPr>
          <w:ilvl w:val="0"/>
          <w:numId w:val="8"/>
        </w:numPr>
      </w:pPr>
      <w:r w:rsidRPr="003C560E">
        <w:rPr>
          <w:i/>
        </w:rPr>
        <w:t>Wireless Services</w:t>
      </w:r>
      <w:r w:rsidRPr="003C560E">
        <w:t>:  CMRS cellular, mobile, and messaging services (fees based on number of subscribers or telephone number count):  Regulatory fees must be paid for authorizations that were granted on or before October 1, 201</w:t>
      </w:r>
      <w:r>
        <w:t>9</w:t>
      </w:r>
      <w:r w:rsidRPr="003C560E">
        <w:t>.  The number of subscribers, units, or telephone numbers on December 31, 201</w:t>
      </w:r>
      <w:r>
        <w:t>9</w:t>
      </w:r>
      <w:r w:rsidRPr="003C560E">
        <w:t xml:space="preserve"> will be used as the basis from which to calculate the fee payment.  In instances where a permit or license is transferred or assigned after October 1, 201</w:t>
      </w:r>
      <w:r>
        <w:t>9</w:t>
      </w:r>
      <w:r w:rsidRPr="003C560E">
        <w:t xml:space="preserve">, responsibility for payment rests with the holder of the permit or license as of the fee due date.  </w:t>
      </w:r>
    </w:p>
    <w:p w:rsidR="007D15C3" w:rsidRPr="003C560E" w:rsidP="007D15C3">
      <w:pPr>
        <w:pStyle w:val="ParaNum"/>
        <w:numPr>
          <w:ilvl w:val="0"/>
          <w:numId w:val="8"/>
        </w:numPr>
      </w:pPr>
      <w:r w:rsidRPr="003C560E">
        <w:rPr>
          <w:i/>
        </w:rPr>
        <w:t>Wireless Services, Multi-year fees</w:t>
      </w:r>
      <w:r w:rsidRPr="003C560E">
        <w:t>:  The first eight regulatory fee categories in our Schedule of Regulatory Fees pay “small multi-year wireless regulatory fees.”  Entities pay these regulatory fees in advance for the entire amount period covered by the five-year or ten-year terms of their initial licenses, and pay regulatory fees again only when the license is renewed, or a new license is obtained.  We include these fee categories in our rulemaking to publicize our estimates of the number of “small multi-year wireless” licenses that will be renewed or newly obtained in FY 20</w:t>
      </w:r>
      <w:r>
        <w:t>20</w:t>
      </w:r>
      <w:r w:rsidRPr="003C560E">
        <w:t xml:space="preserve">. </w:t>
      </w:r>
    </w:p>
    <w:p w:rsidR="007D15C3" w:rsidRPr="003C560E" w:rsidP="001C5F4D">
      <w:pPr>
        <w:pStyle w:val="ParaNum"/>
        <w:widowControl/>
        <w:numPr>
          <w:ilvl w:val="0"/>
          <w:numId w:val="8"/>
        </w:numPr>
        <w:ind w:left="806"/>
      </w:pPr>
      <w:r w:rsidRPr="0E6F4A2D">
        <w:rPr>
          <w:i/>
        </w:rPr>
        <w:t>Multichannel Video Programming Distributor Services (cable television operators, CARS licensees, DBS, and IPTV)</w:t>
      </w:r>
      <w:r w:rsidRPr="0E6F4A2D">
        <w:t>:  Regulatory fees must be paid for the number of basic cable television subscribers as of December 31, 2019</w:t>
      </w:r>
      <w:r w:rsidRPr="003C560E">
        <w:rPr>
          <w:szCs w:val="22"/>
        </w:rPr>
        <w:t>.</w:t>
      </w:r>
      <w:r>
        <w:rPr>
          <w:vertAlign w:val="superscript"/>
        </w:rPr>
        <w:footnoteReference w:id="202"/>
      </w:r>
      <w:r w:rsidRPr="0E6F4A2D">
        <w:t xml:space="preserve">  Regulatory fees also must be paid for CARS licenses that were granted on or before October 1, 2019.  In instances where a permit or license is transferred or assigned after October 1, 2019, responsibility for payment rests with the holder of the permit or license as of the fee due date.  For providers of DBS service and IPTV-based MVPDs, regulatory fees should be paid based on a subscriber count on or about December 31, 2019</w:t>
      </w:r>
      <w:r w:rsidRPr="003C560E">
        <w:rPr>
          <w:bCs/>
          <w:szCs w:val="22"/>
        </w:rPr>
        <w:t>.</w:t>
      </w:r>
      <w:r w:rsidRPr="0E6F4A2D">
        <w:t xml:space="preserve">  In instances where a permit or license is transferred or assigned after October 1, 2019, responsibility for payment rests with the holder of the permit or license as of the fee due date.</w:t>
      </w:r>
    </w:p>
    <w:p w:rsidR="007D15C3" w:rsidRPr="0049102A" w:rsidP="007D15C3">
      <w:pPr>
        <w:pStyle w:val="ParaNum"/>
        <w:numPr>
          <w:ilvl w:val="0"/>
          <w:numId w:val="8"/>
        </w:numPr>
      </w:pPr>
      <w:r w:rsidRPr="00BA0557">
        <w:rPr>
          <w:i/>
        </w:rPr>
        <w:t>International Services (Earth Stations, Space Stations (GSO and NGSO)</w:t>
      </w:r>
      <w:r w:rsidRPr="00BA0557">
        <w:t>:  Regulatory fees must be paid for (1) earth stations and (2) geostationary orbit space stations and non-geostationary orbit satellite systems that were U.S licensed, or non-U.S. licensed but granted U.S. market access, and operational on or before October 1, 2019.  In instances where a permit or license is transferred or assigned after October 1, 2019, responsibility for payment rests with the holder of the permit or license as of the fee due date.</w:t>
      </w:r>
      <w:r>
        <w:t xml:space="preserve">  For FY 2020 only, non-U.S. licensed GSO and NGSO satellites that have been granted market access to the U.S. through a Petition for Declaratory Ruling (PDR) or through an earth station have until July 15, 2020 to relinquish their market access status to avoid having to pay FY 2020 regulatory fees in September 2020.  If non-U.S. licensed GSO and NGSO satellites, either through a PDR or an earth station, still have market access </w:t>
      </w:r>
      <w:r w:rsidRPr="006F130E">
        <w:rPr>
          <w:u w:val="single"/>
        </w:rPr>
        <w:t>after</w:t>
      </w:r>
      <w:r>
        <w:t xml:space="preserve"> July 15, 2020, regulatory fees will be </w:t>
      </w:r>
      <w:r>
        <w:t>assessed</w:t>
      </w:r>
      <w:r>
        <w:t xml:space="preserve"> and payment will be required by the due date of FY 2020 regulatory fees. </w:t>
      </w:r>
    </w:p>
    <w:p w:rsidR="007D15C3" w:rsidRPr="00AB00AF" w:rsidP="007D15C3">
      <w:pPr>
        <w:pStyle w:val="ParaNum"/>
        <w:numPr>
          <w:ilvl w:val="0"/>
          <w:numId w:val="8"/>
        </w:numPr>
      </w:pPr>
      <w:r w:rsidRPr="0011764D">
        <w:rPr>
          <w:i/>
        </w:rPr>
        <w:t xml:space="preserve">International Services </w:t>
      </w:r>
      <w:r w:rsidRPr="0011764D">
        <w:t>(</w:t>
      </w:r>
      <w:r w:rsidRPr="0011764D">
        <w:rPr>
          <w:i/>
        </w:rPr>
        <w:t>Submarine Cable Systems, Terrestrial and Satellite Services</w:t>
      </w:r>
      <w:r w:rsidRPr="0011764D">
        <w:t>):</w:t>
      </w:r>
      <w:r w:rsidRPr="0011764D">
        <w:rPr>
          <w:i/>
        </w:rPr>
        <w:t xml:space="preserve">  </w:t>
      </w:r>
      <w:r w:rsidRPr="0011764D">
        <w:t>Regulatory fees for submarine cable systems are to be paid on a per cable landing license basis based on lit circuit capacity as of December 31, 2019.  Regulatory fees for terrestrial and satellite IBCs are to be paid based on active (used or leased) international bearer circuits as of December 31, 2019 in any terrestrial or satellite transmission facility for the provision of service to an end user or resale carrier.  When calculating the number of such active circuits, entities must include circuits used by themselves or their affiliates.  For these purposes, “active circuits” include backup and redundant circuits as of December 31, 2019.  Whether circuits are used specifically for voice or data is not relevant for purposes of determining that they are active circuits.</w:t>
      </w:r>
      <w:r>
        <w:rPr>
          <w:rStyle w:val="FootnoteReference"/>
          <w:sz w:val="22"/>
          <w:szCs w:val="22"/>
        </w:rPr>
        <w:footnoteReference w:id="203"/>
      </w:r>
      <w:r w:rsidRPr="0011764D">
        <w:t xml:space="preserve">  In instances where a permit or license is transferred or assigned after October 1, 2019, responsibility for payment rests with the holder of the permit or license as of the fee due date.  </w:t>
      </w:r>
    </w:p>
    <w:p w:rsidR="007D15C3" w:rsidRPr="00F35DB5" w:rsidP="001C5F4D">
      <w:pPr>
        <w:pStyle w:val="ParaNum"/>
        <w:widowControl/>
      </w:pPr>
      <w:r w:rsidRPr="3C85307C">
        <w:rPr>
          <w:i/>
          <w:iCs/>
        </w:rPr>
        <w:t xml:space="preserve">Commercial Mobile Radio Service (CMRS) and Mobile Services Assessments.  </w:t>
      </w:r>
      <w:r w:rsidRPr="000A61E4">
        <w:t>The Commission will compile data from the Numbering Resource Utilization Forecast (NRUF) report that is based on “assigned” telephone number (subscriber) counts that h</w:t>
      </w:r>
      <w:r w:rsidRPr="00F35DB5">
        <w:t>ave been adjusted for porting to net Type 0 ports (“in” and “out”).</w:t>
      </w:r>
      <w:r>
        <w:rPr>
          <w:vertAlign w:val="superscript"/>
        </w:rPr>
        <w:footnoteReference w:id="204"/>
      </w:r>
      <w:r w:rsidRPr="000A61E4">
        <w:t xml:space="preserve">  This information of telephone numbers (subscriber count) will be posted on </w:t>
      </w:r>
      <w:r w:rsidRPr="000A61E4">
        <w:t>the Commission’s electronic filing and payment system (Fee Filer) along with the carrier’s Operating Company Nu</w:t>
      </w:r>
      <w:r w:rsidRPr="00F35DB5">
        <w:t xml:space="preserve">mbers (OCNs).  </w:t>
      </w:r>
    </w:p>
    <w:p w:rsidR="007D15C3" w:rsidRPr="00A55495" w:rsidP="007D15C3">
      <w:pPr>
        <w:pStyle w:val="ParaNum"/>
      </w:pPr>
      <w:r w:rsidRPr="00F35DB5">
        <w:t>A carrier wishing to revise its telephone number (subscriber) count can do so by accessing Fee Filer and follow the prompts to revise their telephone number counts.  Any revisions to the telephone number counts should be accompanied by an explanation or</w:t>
      </w:r>
      <w:r w:rsidRPr="002652B6">
        <w:t> </w:t>
      </w:r>
      <w:r w:rsidRPr="000A61E4">
        <w:t>supporting documentation.</w:t>
      </w:r>
      <w:r>
        <w:rPr>
          <w:vertAlign w:val="superscript"/>
        </w:rPr>
        <w:footnoteReference w:id="205"/>
      </w:r>
      <w:r w:rsidRPr="000A61E4">
        <w:t xml:space="preserve">  The Commission will then review the revised count and supporting documentation and either approve or disapprove the submission in Fee Filer.  If the submission is disapproved, the Commission will contact the provid</w:t>
      </w:r>
      <w:r w:rsidRPr="00F35DB5">
        <w:t>er to afford the provider an opportunity to discuss its revised subscriber count and/or provide additional supporting documentation.  If we receive no response from the provider, or we do not reverse our initial disapproval of the provider’s revised count submission, the fee payment must be based on the number of subscribers listed initially in Fee Filer.  Once the timeframe for revision has passed, the telephone number counts are final and are the basis upon which CMRS regulatory fees are to be paid.  Prov</w:t>
      </w:r>
      <w:r w:rsidRPr="008443E5">
        <w:t>iders can view their final telephone counts online in Fee Filer.  A final CMRS assessment letter will not be mailed out.</w:t>
      </w:r>
    </w:p>
    <w:p w:rsidR="007D15C3" w:rsidP="007D15C3">
      <w:pPr>
        <w:pStyle w:val="ParaNum"/>
      </w:pPr>
      <w:r>
        <w:t>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2019), and submit their fee payment accordingly.  Whether a carrier reviews its telephone number counts in Fee Filer or not, the Commission reserves the right to audit the number of telephone numbers for which regulatory fees are paid.  In the event that the Commission determines that the number of telephone numbers that are paid is inaccurate, the Commission will bill the carrier for the difference between what was paid and what should have been paid.</w:t>
      </w:r>
    </w:p>
    <w:p w:rsidR="007D15C3" w:rsidRPr="00894D7A" w:rsidP="007D15C3">
      <w:pPr>
        <w:pStyle w:val="ParaNum"/>
        <w:rPr>
          <w:snapToGrid/>
          <w:kern w:val="0"/>
        </w:rPr>
      </w:pPr>
      <w:r w:rsidRPr="00994172">
        <w:rPr>
          <w:i/>
        </w:rPr>
        <w:t>Congressional Review Act</w:t>
      </w:r>
      <w:r w:rsidRPr="00271039">
        <w:rPr>
          <w:b/>
        </w:rPr>
        <w:t>.</w:t>
      </w:r>
      <w:r>
        <w:rPr>
          <w:b/>
        </w:rPr>
        <w:t>—</w:t>
      </w:r>
      <w:r w:rsidRPr="00AC47F5">
        <w:t xml:space="preserve"> </w:t>
      </w:r>
      <w:r>
        <w:t xml:space="preserve">The Commission will submit this draft </w:t>
      </w:r>
      <w:r w:rsidRPr="002C7C70">
        <w:rPr>
          <w:i/>
          <w:iCs/>
        </w:rPr>
        <w:t>Report and Order and Notice of Proposed Rulemaking</w:t>
      </w:r>
      <w:r>
        <w:t xml:space="preserve"> to the Administrator of the Office of Information and Regulatory Affairs, Office of Management and Budget, for concurrence as to whether this rule is “major” or “non-major” under the Congressional Review Act, 5 U.S.C. § 804(2).  The Commission will send a copy of this Report and Order and Notice of Proposed Rulemaking to Congress and the Government Accountability Office pursuant to 5 U.S.C. § 801(a)(1)(A).</w:t>
      </w:r>
    </w:p>
    <w:p w:rsidR="007D15C3" w:rsidRPr="00DF4AE2" w:rsidP="007D15C3">
      <w:pPr>
        <w:pStyle w:val="ParaNum"/>
        <w:widowControl/>
      </w:pPr>
      <w:r w:rsidRPr="3C85307C">
        <w:rPr>
          <w:i/>
          <w:iCs/>
        </w:rPr>
        <w:t xml:space="preserve">Initial Regulatory Flexibility Analysis.  </w:t>
      </w:r>
      <w:r>
        <w:t>An initial regulatory flexibility analysis (IRFA) is contained in Appendix J.  Comments to the IRFA must be identified as responses to the IRFA and filed by the deadlines for comments on the Notice of Proposed Rulemaking.  The Commission will send a copy of the Notice of Proposed Rulemaking, including the IRFA, to the Chief Counsel for Advocacy of the Small Business Administration.</w:t>
      </w:r>
    </w:p>
    <w:p w:rsidR="007D15C3" w:rsidRPr="002834A8" w:rsidP="007D15C3">
      <w:pPr>
        <w:pStyle w:val="ParaNum"/>
      </w:pPr>
      <w:r w:rsidRPr="3C85307C">
        <w:rPr>
          <w:i/>
          <w:iCs/>
        </w:rPr>
        <w:t xml:space="preserve">Initial Paperwork Reductions Act of 1995 Analysis. </w:t>
      </w:r>
      <w:r>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3C85307C">
        <w:rPr>
          <w:i/>
          <w:iCs/>
        </w:rPr>
        <w:t xml:space="preserve">see </w:t>
      </w:r>
      <w:r>
        <w:t>44 U.S.C. § 3506(c)(4).</w:t>
      </w:r>
    </w:p>
    <w:p w:rsidR="007D15C3" w:rsidRPr="003C560E" w:rsidP="007D15C3">
      <w:pPr>
        <w:pStyle w:val="ParaNum"/>
      </w:pPr>
      <w:r w:rsidRPr="3C85307C">
        <w:rPr>
          <w:i/>
          <w:iCs/>
        </w:rPr>
        <w:t xml:space="preserve">Filing Instructions.  </w:t>
      </w: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3C85307C">
        <w:rPr>
          <w:i/>
          <w:iCs/>
        </w:rPr>
        <w:t>See</w:t>
      </w:r>
      <w:r>
        <w:t xml:space="preserve"> </w:t>
      </w:r>
      <w:r w:rsidRPr="3C85307C">
        <w:rPr>
          <w:i/>
          <w:iCs/>
        </w:rPr>
        <w:t>Electronic Filing of Documents in Rulemaking Proceedings</w:t>
      </w:r>
      <w:r>
        <w:t>, 63 FR 24121 (1998).</w:t>
      </w:r>
    </w:p>
    <w:p w:rsidR="007D15C3" w:rsidRPr="006F130E" w:rsidP="001C5F4D">
      <w:pPr>
        <w:pStyle w:val="ParaNum"/>
        <w:widowControl/>
        <w:numPr>
          <w:ilvl w:val="0"/>
          <w:numId w:val="9"/>
        </w:numPr>
        <w:ind w:left="1354"/>
      </w:pPr>
      <w:r w:rsidRPr="003C560E">
        <w:t>Electronic Filers:  Comments may be filed electronically using the Internet by accessing the ECFS</w:t>
      </w:r>
      <w:r w:rsidRPr="00882C03">
        <w:t xml:space="preserve">:  </w:t>
      </w:r>
      <w:hyperlink r:id="rId8" w:history="1">
        <w:r w:rsidRPr="00882C03">
          <w:rPr>
            <w:color w:val="0000FF"/>
            <w:u w:val="single"/>
          </w:rPr>
          <w:t>http://apps.fcc.gov/ecfs/</w:t>
        </w:r>
      </w:hyperlink>
      <w:r>
        <w:rPr>
          <w:color w:val="0000FF"/>
        </w:rPr>
        <w:t>.</w:t>
      </w:r>
    </w:p>
    <w:p w:rsidR="007D15C3" w:rsidRPr="00C337F5" w:rsidP="007D15C3">
      <w:pPr>
        <w:widowControl/>
        <w:numPr>
          <w:ilvl w:val="0"/>
          <w:numId w:val="21"/>
        </w:numPr>
        <w:rPr>
          <w:szCs w:val="22"/>
        </w:rPr>
      </w:pPr>
      <w:r w:rsidRPr="00C337F5">
        <w:rPr>
          <w:szCs w:val="22"/>
        </w:rPr>
        <w:t xml:space="preserve">Paper Filers:  Parties who choose to file by paper must file an original and one copy of each filing.  </w:t>
      </w:r>
    </w:p>
    <w:p w:rsidR="007D15C3" w:rsidRPr="00C337F5" w:rsidP="007D15C3">
      <w:pPr>
        <w:rPr>
          <w:szCs w:val="22"/>
        </w:rPr>
      </w:pPr>
    </w:p>
    <w:p w:rsidR="007D15C3" w:rsidRPr="00C337F5" w:rsidP="007D15C3">
      <w:pPr>
        <w:widowControl/>
        <w:numPr>
          <w:ilvl w:val="0"/>
          <w:numId w:val="22"/>
        </w:numPr>
        <w:rPr>
          <w:szCs w:val="22"/>
        </w:rPr>
      </w:pPr>
      <w:r w:rsidRPr="00C337F5">
        <w:rPr>
          <w:szCs w:val="22"/>
        </w:rPr>
        <w:t>Filings can be sent by commercial overnight courier, or by first-class or overnight U.S. Postal Service mail.  All filings must be addressed to the Commission’s Secretary, Office of the Secretary, Federal Communications Commission.</w:t>
      </w:r>
    </w:p>
    <w:p w:rsidR="007D15C3" w:rsidRPr="00C337F5" w:rsidP="007D15C3">
      <w:pPr>
        <w:rPr>
          <w:szCs w:val="22"/>
        </w:rPr>
      </w:pPr>
    </w:p>
    <w:p w:rsidR="007D15C3" w:rsidRPr="00C337F5" w:rsidP="007D15C3">
      <w:pPr>
        <w:widowControl/>
        <w:numPr>
          <w:ilvl w:val="0"/>
          <w:numId w:val="22"/>
        </w:numPr>
        <w:rPr>
          <w:szCs w:val="22"/>
        </w:rPr>
      </w:pPr>
      <w:r w:rsidRPr="00C337F5">
        <w:rPr>
          <w:szCs w:val="22"/>
        </w:rPr>
        <w:t>Commercial overnight mail (other than U.S. Postal Service Express Mail and Priority Mail) must be sent to 9050 Junction Drive, Annapolis Junction, MD 20701.</w:t>
      </w:r>
    </w:p>
    <w:p w:rsidR="007D15C3" w:rsidRPr="00C337F5" w:rsidP="007D15C3">
      <w:pPr>
        <w:rPr>
          <w:szCs w:val="22"/>
        </w:rPr>
      </w:pPr>
    </w:p>
    <w:p w:rsidR="007D15C3" w:rsidP="007D15C3">
      <w:pPr>
        <w:widowControl/>
        <w:numPr>
          <w:ilvl w:val="0"/>
          <w:numId w:val="22"/>
        </w:numPr>
        <w:rPr>
          <w:szCs w:val="22"/>
        </w:rPr>
      </w:pPr>
      <w:r w:rsidRPr="00C337F5">
        <w:rPr>
          <w:szCs w:val="22"/>
        </w:rPr>
        <w:t>U.S. Postal Service first-class, Express, and Priority mail must be addressed to 445 12</w:t>
      </w:r>
      <w:r w:rsidRPr="00C337F5">
        <w:rPr>
          <w:szCs w:val="22"/>
          <w:vertAlign w:val="superscript"/>
        </w:rPr>
        <w:t>th</w:t>
      </w:r>
      <w:r w:rsidRPr="00C337F5">
        <w:rPr>
          <w:szCs w:val="22"/>
        </w:rPr>
        <w:t xml:space="preserve"> Street, SW, Washington DC 20554.</w:t>
      </w:r>
    </w:p>
    <w:p w:rsidR="007D15C3" w:rsidRPr="00BE7000" w:rsidP="007D15C3">
      <w:pPr>
        <w:widowControl/>
        <w:ind w:left="1440"/>
        <w:rPr>
          <w:szCs w:val="22"/>
        </w:rPr>
      </w:pPr>
    </w:p>
    <w:p w:rsidR="007D15C3" w:rsidRPr="006F130E" w:rsidP="007D15C3">
      <w:pPr>
        <w:widowControl/>
        <w:numPr>
          <w:ilvl w:val="0"/>
          <w:numId w:val="22"/>
        </w:numPr>
        <w:rPr>
          <w:rStyle w:val="Hyperlink"/>
          <w:color w:val="auto"/>
          <w:szCs w:val="22"/>
          <w:u w:val="none"/>
        </w:rPr>
      </w:pPr>
      <w:r w:rsidRPr="00545A68">
        <w:rPr>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545A68">
        <w:rPr>
          <w:bCs/>
          <w:i/>
          <w:iCs/>
        </w:rPr>
        <w:t>FCC Announces Closure of FCC Headquarters Open Window and Change in Hand-Delivery Policy</w:t>
      </w:r>
      <w:r w:rsidRPr="00545A68">
        <w:rPr>
          <w:bCs/>
        </w:rPr>
        <w:t xml:space="preserve">, Public Notice, DA 20-304 (March 19, 2020), </w:t>
      </w:r>
      <w:hyperlink r:id="rId9" w:history="1">
        <w:r w:rsidRPr="00545A68">
          <w:rPr>
            <w:rStyle w:val="Hyperlink"/>
            <w:bCs/>
          </w:rPr>
          <w:t>https://www.fcc.gov/document/fcc-closes-headquarters-open-window-and-changes-hand-delivery-policy</w:t>
        </w:r>
      </w:hyperlink>
      <w:r w:rsidRPr="00545A68">
        <w:rPr>
          <w:rStyle w:val="Hyperlink"/>
          <w:bCs/>
        </w:rPr>
        <w:t>.</w:t>
      </w:r>
    </w:p>
    <w:p w:rsidR="007D15C3" w:rsidP="007D15C3">
      <w:pPr>
        <w:pStyle w:val="ListParagraph"/>
        <w:rPr>
          <w:szCs w:val="22"/>
        </w:rPr>
      </w:pPr>
    </w:p>
    <w:p w:rsidR="007D15C3" w:rsidRPr="001C5F4D" w:rsidP="001C5F4D">
      <w:pPr>
        <w:numPr>
          <w:ilvl w:val="0"/>
          <w:numId w:val="22"/>
        </w:numPr>
        <w:spacing w:after="120"/>
        <w:rPr>
          <w:szCs w:val="22"/>
        </w:rPr>
      </w:pPr>
      <w:r w:rsidRPr="00B850A5">
        <w:rPr>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7D15C3" w:rsidRPr="00B231D7" w:rsidP="007D15C3">
      <w:pPr>
        <w:pStyle w:val="ParaNum"/>
      </w:pPr>
      <w:r>
        <w:t xml:space="preserve">People with Disabilities:  To request materials in accessible formats for people with disabilities (braille, large print, electronic files, audio format), send an e-mail to </w:t>
      </w:r>
      <w:hyperlink r:id="rId10" w:history="1">
        <w:r w:rsidRPr="3C85307C">
          <w:rPr>
            <w:rStyle w:val="Hyperlink"/>
          </w:rPr>
          <w:t>fcc504@fcc.gov</w:t>
        </w:r>
      </w:hyperlink>
      <w:r>
        <w:t xml:space="preserve"> or call the Consumer &amp; Governmental Affairs Bureau at 202-418-0530 (voice), 202-418-0432 (tty).</w:t>
      </w:r>
    </w:p>
    <w:p w:rsidR="007D15C3" w:rsidRPr="003C560E" w:rsidP="007D15C3">
      <w:pPr>
        <w:pStyle w:val="ParaNum"/>
      </w:pPr>
      <w:r w:rsidRPr="3C85307C">
        <w:rPr>
          <w:i/>
          <w:iCs/>
        </w:rPr>
        <w:t xml:space="preserve">Ex Parte Information.  </w:t>
      </w:r>
      <w:r w:rsidRPr="4BBD8B65">
        <w:t>This proceeding shall be treated as a “permit-but-disclose” proceeding in accordance with the Commission’s ex parte rules.</w:t>
      </w:r>
      <w:r>
        <w:rPr>
          <w:rStyle w:val="FootnoteReference"/>
        </w:rPr>
        <w:footnoteReference w:id="206"/>
      </w:r>
      <w:r>
        <w:rPr>
          <w:szCs w:val="22"/>
        </w:rPr>
        <w:t xml:space="preserve"> </w:t>
      </w:r>
      <w:r w:rsidRPr="4BBD8B65">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of the Commission’s rules.  In proceedings governed by section 1.49(f) of the Commission’s rules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7D15C3" w:rsidRPr="003C560E" w:rsidP="007D15C3">
      <w:pPr>
        <w:pStyle w:val="Heading1"/>
        <w:rPr>
          <w:rFonts w:ascii="Times New Roman" w:hAnsi="Times New Roman"/>
          <w:szCs w:val="22"/>
        </w:rPr>
      </w:pPr>
      <w:bookmarkStart w:id="115" w:name="_Toc6326155"/>
      <w:bookmarkStart w:id="116" w:name="_Toc26536871"/>
      <w:bookmarkStart w:id="117" w:name="_Toc29915888"/>
      <w:bookmarkStart w:id="118" w:name="_Toc30000085"/>
      <w:bookmarkStart w:id="119" w:name="_Toc31023918"/>
      <w:bookmarkStart w:id="120" w:name="_Toc36903662"/>
      <w:bookmarkStart w:id="121" w:name="_Toc38017902"/>
      <w:bookmarkStart w:id="122" w:name="_Toc40091677"/>
      <w:bookmarkStart w:id="123" w:name="_Hlk509265090"/>
      <w:r w:rsidRPr="003C560E">
        <w:rPr>
          <w:rFonts w:ascii="Times New Roman" w:hAnsi="Times New Roman"/>
          <w:szCs w:val="22"/>
        </w:rPr>
        <w:t>Ordering clause</w:t>
      </w:r>
      <w:bookmarkEnd w:id="115"/>
      <w:bookmarkEnd w:id="116"/>
      <w:bookmarkEnd w:id="117"/>
      <w:bookmarkEnd w:id="118"/>
      <w:bookmarkEnd w:id="119"/>
      <w:bookmarkEnd w:id="120"/>
      <w:bookmarkEnd w:id="121"/>
      <w:r>
        <w:rPr>
          <w:rFonts w:ascii="Times New Roman" w:hAnsi="Times New Roman"/>
          <w:szCs w:val="22"/>
        </w:rPr>
        <w:t>S</w:t>
      </w:r>
      <w:bookmarkEnd w:id="122"/>
    </w:p>
    <w:p w:rsidR="007D15C3" w:rsidRPr="00940D48" w:rsidP="007D15C3">
      <w:pPr>
        <w:pStyle w:val="ParaNum"/>
      </w:pPr>
      <w:r>
        <w:t>Accordingly</w:t>
      </w:r>
      <w:r w:rsidRPr="00940D48">
        <w:t>, IT IS ORDERED that</w:t>
      </w:r>
      <w:r>
        <w:t>, pursuant to the authority found in sections 4(</w:t>
      </w:r>
      <w:r>
        <w:t>i</w:t>
      </w:r>
      <w:r>
        <w:t>) and (j), 9, 9A, and 303(r) of the Communications Act of 1934, as amended, 47 U.S.C. §§ 154(</w:t>
      </w:r>
      <w:r>
        <w:t>i</w:t>
      </w:r>
      <w:r>
        <w:t xml:space="preserve">), 154(j), 159, 159A, and 303(r), this Report and Order and Notice of Proposed </w:t>
      </w:r>
      <w:r w:rsidRPr="00940D48">
        <w:t>Rulemaking IS HEREBY ADOPTED.</w:t>
      </w:r>
    </w:p>
    <w:p w:rsidR="007D15C3" w:rsidP="007D15C3">
      <w:pPr>
        <w:pStyle w:val="ParaNum"/>
      </w:pPr>
      <w:r>
        <w:t>IT IS FURTHER ORDERED that the Report and Order SHALL BE EFFECTIVE 30 days after publication in the Federal Register.</w:t>
      </w:r>
    </w:p>
    <w:p w:rsidR="007D15C3" w:rsidP="007D15C3">
      <w:pPr>
        <w:pStyle w:val="ParaNum"/>
      </w:pPr>
      <w:r>
        <w:t>IT IS FURTHER ORDERED that the amendment adopted in section III A shall be effective 90 days after notice to Congress, pursuant to section 159A(b) of the Communications Act of 1934, as amended, 47 U.S.C. § 159A(b),</w:t>
      </w:r>
    </w:p>
    <w:p w:rsidR="007D15C3" w:rsidRPr="003C560E" w:rsidP="007D15C3">
      <w:pPr>
        <w:pStyle w:val="ParaNum"/>
      </w:pPr>
      <w:r>
        <w:t>IT IS FURTHER ORDERED that the Commission’s Consumer and Governmental Affairs Bureau, Reference Information Center, SHALL SEND a copy of this Report and Order, including the Final Regulatory Flexibility Analysis in Appendix I, to Congress and the Government Accountability Office pursuant to 5 U.S.C. § 801(a)(1)(A).</w:t>
      </w:r>
    </w:p>
    <w:bookmarkEnd w:id="123"/>
    <w:p w:rsidR="007D15C3" w:rsidRPr="003C560E" w:rsidP="007D15C3">
      <w:pPr>
        <w:pStyle w:val="Heading1"/>
        <w:numPr>
          <w:ilvl w:val="0"/>
          <w:numId w:val="0"/>
        </w:numPr>
        <w:ind w:left="720" w:hanging="720"/>
        <w:rPr>
          <w:rFonts w:ascii="Times New Roman" w:hAnsi="Times New Roman"/>
          <w:szCs w:val="22"/>
        </w:rPr>
      </w:pPr>
    </w:p>
    <w:p w:rsidR="007D15C3" w:rsidP="007D15C3">
      <w:r w:rsidRPr="003C560E">
        <w:rPr>
          <w:szCs w:val="22"/>
        </w:rPr>
        <w:tab/>
      </w:r>
      <w:r w:rsidRPr="003C560E">
        <w:rPr>
          <w:szCs w:val="22"/>
        </w:rPr>
        <w:tab/>
      </w:r>
      <w:r w:rsidRPr="003C560E">
        <w:rPr>
          <w:szCs w:val="22"/>
        </w:rPr>
        <w:tab/>
      </w:r>
      <w:r w:rsidRPr="003C560E">
        <w:rPr>
          <w:szCs w:val="22"/>
        </w:rPr>
        <w:tab/>
      </w:r>
      <w:r w:rsidRPr="003C560E">
        <w:rPr>
          <w:szCs w:val="22"/>
        </w:rPr>
        <w:tab/>
      </w:r>
      <w:r w:rsidRPr="003C560E">
        <w:rPr>
          <w:szCs w:val="22"/>
        </w:rPr>
        <w:tab/>
      </w:r>
      <w:r>
        <w:tab/>
      </w:r>
      <w:r>
        <w:tab/>
      </w:r>
      <w:r>
        <w:tab/>
      </w:r>
      <w:r>
        <w:tab/>
      </w:r>
      <w:r>
        <w:tab/>
      </w:r>
      <w:r>
        <w:tab/>
      </w:r>
      <w:r>
        <w:tab/>
      </w:r>
      <w:r>
        <w:tab/>
      </w:r>
      <w:r>
        <w:tab/>
      </w:r>
      <w:r>
        <w:tab/>
      </w:r>
      <w:r>
        <w:tab/>
      </w:r>
      <w:r>
        <w:tab/>
      </w:r>
      <w:r>
        <w:tab/>
        <w:t>FEDERAL COMMUNICATIONS COMMISSION</w:t>
      </w:r>
    </w:p>
    <w:p w:rsidR="007D15C3" w:rsidP="007D15C3"/>
    <w:p w:rsidR="007D15C3" w:rsidP="007D15C3"/>
    <w:p w:rsidR="007D15C3" w:rsidP="007D15C3"/>
    <w:p w:rsidR="007D15C3" w:rsidP="007D15C3"/>
    <w:p w:rsidR="007D15C3" w:rsidP="007D15C3">
      <w:r>
        <w:tab/>
      </w:r>
      <w:r>
        <w:tab/>
      </w:r>
      <w:r>
        <w:tab/>
      </w:r>
      <w:r>
        <w:tab/>
      </w:r>
      <w:r>
        <w:tab/>
      </w:r>
      <w:r>
        <w:tab/>
        <w:t>Marlene H. Dortch</w:t>
      </w:r>
    </w:p>
    <w:p w:rsidR="007D15C3" w:rsidP="007D15C3">
      <w:pPr>
        <w:sectPr w:rsidSect="007672E3">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cols w:space="720"/>
          <w:noEndnote/>
          <w:titlePg/>
          <w:docGrid w:linePitch="299"/>
        </w:sectPr>
      </w:pPr>
      <w:r>
        <w:tab/>
      </w:r>
      <w:r>
        <w:tab/>
      </w:r>
      <w:r>
        <w:tab/>
      </w:r>
      <w:r>
        <w:tab/>
      </w:r>
      <w:r>
        <w:tab/>
      </w:r>
      <w:r>
        <w:tab/>
        <w:t>Secretary</w:t>
      </w:r>
    </w:p>
    <w:p w:rsidR="007D15C3" w:rsidP="007D15C3">
      <w:pPr>
        <w:jc w:val="center"/>
        <w:rPr>
          <w:b/>
          <w:szCs w:val="22"/>
        </w:rPr>
      </w:pPr>
      <w:r w:rsidRPr="005F6BC2">
        <w:rPr>
          <w:b/>
          <w:szCs w:val="22"/>
        </w:rPr>
        <w:t>APPENDIX A</w:t>
      </w:r>
    </w:p>
    <w:p w:rsidR="007D15C3" w:rsidP="002B6141">
      <w:pPr>
        <w:tabs>
          <w:tab w:val="left" w:pos="3629"/>
        </w:tabs>
        <w:rPr>
          <w:b/>
          <w:szCs w:val="22"/>
        </w:rPr>
      </w:pPr>
    </w:p>
    <w:p w:rsidR="007D15C3" w:rsidRPr="005F6BC2" w:rsidP="007D15C3">
      <w:pPr>
        <w:tabs>
          <w:tab w:val="left" w:pos="3629"/>
        </w:tabs>
        <w:jc w:val="center"/>
        <w:rPr>
          <w:b/>
          <w:szCs w:val="22"/>
        </w:rPr>
      </w:pPr>
      <w:r w:rsidRPr="005F6BC2">
        <w:rPr>
          <w:b/>
          <w:szCs w:val="22"/>
        </w:rPr>
        <w:t>List of Commenters</w:t>
      </w:r>
    </w:p>
    <w:p w:rsidR="007D15C3" w:rsidRPr="005F6BC2" w:rsidP="007D15C3">
      <w:pPr>
        <w:tabs>
          <w:tab w:val="left" w:pos="3629"/>
        </w:tabs>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3"/>
        <w:gridCol w:w="4727"/>
      </w:tblGrid>
      <w:tr w:rsidTr="00274E2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3" w:type="dxa"/>
            <w:shd w:val="clear" w:color="auto" w:fill="auto"/>
          </w:tcPr>
          <w:p w:rsidR="007D15C3" w:rsidRPr="005F6BC2" w:rsidP="00274E20">
            <w:pPr>
              <w:tabs>
                <w:tab w:val="left" w:pos="3629"/>
              </w:tabs>
              <w:jc w:val="center"/>
            </w:pPr>
            <w:r w:rsidRPr="004163A7">
              <w:rPr>
                <w:b/>
                <w:szCs w:val="22"/>
              </w:rPr>
              <w:t>Commenter</w:t>
            </w:r>
          </w:p>
        </w:tc>
        <w:tc>
          <w:tcPr>
            <w:tcW w:w="4727" w:type="dxa"/>
            <w:shd w:val="clear" w:color="auto" w:fill="auto"/>
          </w:tcPr>
          <w:p w:rsidR="007D15C3" w:rsidRPr="005F6BC2" w:rsidP="00274E20">
            <w:pPr>
              <w:tabs>
                <w:tab w:val="left" w:pos="3629"/>
              </w:tabs>
              <w:jc w:val="center"/>
            </w:pPr>
            <w:r w:rsidRPr="004163A7">
              <w:rPr>
                <w:b/>
                <w:szCs w:val="22"/>
              </w:rPr>
              <w:t>Abbreviated name</w:t>
            </w:r>
          </w:p>
        </w:tc>
      </w:tr>
      <w:tr w:rsidTr="00274E20">
        <w:tblPrEx>
          <w:tblW w:w="0" w:type="auto"/>
          <w:tblLook w:val="04A0"/>
        </w:tblPrEx>
        <w:tc>
          <w:tcPr>
            <w:tcW w:w="4623" w:type="dxa"/>
            <w:shd w:val="clear" w:color="auto" w:fill="auto"/>
          </w:tcPr>
          <w:p w:rsidR="007D15C3" w:rsidRPr="005F6BC2" w:rsidP="00274E20">
            <w:pPr>
              <w:tabs>
                <w:tab w:val="left" w:pos="3629"/>
              </w:tabs>
              <w:jc w:val="center"/>
            </w:pPr>
            <w:r>
              <w:t>North American Submarine Cable Association</w:t>
            </w:r>
          </w:p>
        </w:tc>
        <w:tc>
          <w:tcPr>
            <w:tcW w:w="4727" w:type="dxa"/>
            <w:shd w:val="clear" w:color="auto" w:fill="auto"/>
          </w:tcPr>
          <w:p w:rsidR="007D15C3" w:rsidRPr="005F6BC2" w:rsidP="00274E20">
            <w:pPr>
              <w:tabs>
                <w:tab w:val="left" w:pos="3629"/>
              </w:tabs>
              <w:jc w:val="center"/>
            </w:pPr>
            <w:r>
              <w:t>NASCA</w:t>
            </w:r>
          </w:p>
        </w:tc>
      </w:tr>
      <w:tr w:rsidTr="00274E20">
        <w:tblPrEx>
          <w:tblW w:w="0" w:type="auto"/>
          <w:tblLook w:val="04A0"/>
        </w:tblPrEx>
        <w:tc>
          <w:tcPr>
            <w:tcW w:w="4623" w:type="dxa"/>
            <w:shd w:val="clear" w:color="auto" w:fill="auto"/>
          </w:tcPr>
          <w:p w:rsidR="007D15C3" w:rsidRPr="004163A7" w:rsidP="00274E20">
            <w:pPr>
              <w:tabs>
                <w:tab w:val="left" w:pos="3629"/>
              </w:tabs>
              <w:jc w:val="center"/>
              <w:rPr>
                <w:szCs w:val="22"/>
              </w:rPr>
            </w:pPr>
            <w:r>
              <w:rPr>
                <w:szCs w:val="22"/>
              </w:rPr>
              <w:t>National Association of Broadcasters</w:t>
            </w:r>
          </w:p>
        </w:tc>
        <w:tc>
          <w:tcPr>
            <w:tcW w:w="4727" w:type="dxa"/>
            <w:shd w:val="clear" w:color="auto" w:fill="auto"/>
          </w:tcPr>
          <w:p w:rsidR="007D15C3" w:rsidRPr="004163A7" w:rsidP="00274E20">
            <w:pPr>
              <w:tabs>
                <w:tab w:val="left" w:pos="3629"/>
              </w:tabs>
              <w:jc w:val="center"/>
              <w:rPr>
                <w:szCs w:val="22"/>
              </w:rPr>
            </w:pPr>
            <w:r>
              <w:rPr>
                <w:szCs w:val="22"/>
              </w:rPr>
              <w:t>NAB</w:t>
            </w:r>
          </w:p>
        </w:tc>
      </w:tr>
      <w:tr w:rsidTr="00274E20">
        <w:tblPrEx>
          <w:tblW w:w="0" w:type="auto"/>
          <w:tblLook w:val="04A0"/>
        </w:tblPrEx>
        <w:tc>
          <w:tcPr>
            <w:tcW w:w="4623" w:type="dxa"/>
            <w:shd w:val="clear" w:color="auto" w:fill="auto"/>
          </w:tcPr>
          <w:p w:rsidR="007D15C3" w:rsidRPr="004163A7" w:rsidP="00274E20">
            <w:pPr>
              <w:tabs>
                <w:tab w:val="left" w:pos="3629"/>
              </w:tabs>
              <w:jc w:val="center"/>
              <w:rPr>
                <w:szCs w:val="22"/>
              </w:rPr>
            </w:pPr>
            <w:r w:rsidRPr="004163A7">
              <w:rPr>
                <w:szCs w:val="22"/>
              </w:rPr>
              <w:t>Intelsat License LLC</w:t>
            </w:r>
          </w:p>
        </w:tc>
        <w:tc>
          <w:tcPr>
            <w:tcW w:w="4727" w:type="dxa"/>
            <w:shd w:val="clear" w:color="auto" w:fill="auto"/>
          </w:tcPr>
          <w:p w:rsidR="007D15C3" w:rsidRPr="004163A7" w:rsidP="00274E20">
            <w:pPr>
              <w:tabs>
                <w:tab w:val="left" w:pos="3629"/>
              </w:tabs>
              <w:jc w:val="center"/>
              <w:rPr>
                <w:szCs w:val="22"/>
              </w:rPr>
            </w:pPr>
            <w:r>
              <w:rPr>
                <w:szCs w:val="22"/>
              </w:rPr>
              <w:t>Intelsat</w:t>
            </w:r>
          </w:p>
        </w:tc>
      </w:tr>
      <w:tr w:rsidTr="00274E20">
        <w:tblPrEx>
          <w:tblW w:w="0" w:type="auto"/>
          <w:tblLook w:val="04A0"/>
        </w:tblPrEx>
        <w:tc>
          <w:tcPr>
            <w:tcW w:w="4623" w:type="dxa"/>
            <w:shd w:val="clear" w:color="auto" w:fill="auto"/>
          </w:tcPr>
          <w:p w:rsidR="007D15C3" w:rsidRPr="004163A7" w:rsidP="00274E20">
            <w:pPr>
              <w:tabs>
                <w:tab w:val="left" w:pos="3629"/>
              </w:tabs>
              <w:jc w:val="center"/>
              <w:rPr>
                <w:szCs w:val="22"/>
              </w:rPr>
            </w:pPr>
            <w:r>
              <w:rPr>
                <w:szCs w:val="22"/>
              </w:rPr>
              <w:t>WorldVu</w:t>
            </w:r>
            <w:r>
              <w:rPr>
                <w:szCs w:val="22"/>
              </w:rPr>
              <w:t xml:space="preserve"> Satellites Ltd.</w:t>
            </w:r>
          </w:p>
        </w:tc>
        <w:tc>
          <w:tcPr>
            <w:tcW w:w="4727" w:type="dxa"/>
            <w:shd w:val="clear" w:color="auto" w:fill="auto"/>
          </w:tcPr>
          <w:p w:rsidR="007D15C3" w:rsidRPr="004163A7" w:rsidP="00274E20">
            <w:pPr>
              <w:tabs>
                <w:tab w:val="left" w:pos="3629"/>
              </w:tabs>
              <w:jc w:val="center"/>
              <w:rPr>
                <w:szCs w:val="22"/>
              </w:rPr>
            </w:pPr>
            <w:r>
              <w:rPr>
                <w:szCs w:val="22"/>
              </w:rPr>
              <w:t>OneWeb</w:t>
            </w:r>
          </w:p>
        </w:tc>
      </w:tr>
      <w:tr w:rsidTr="00274E20">
        <w:tblPrEx>
          <w:tblW w:w="0" w:type="auto"/>
          <w:tblLook w:val="04A0"/>
        </w:tblPrEx>
        <w:tc>
          <w:tcPr>
            <w:tcW w:w="4623" w:type="dxa"/>
            <w:shd w:val="clear" w:color="auto" w:fill="auto"/>
          </w:tcPr>
          <w:p w:rsidR="007D15C3" w:rsidRPr="004163A7" w:rsidP="00274E20">
            <w:pPr>
              <w:tabs>
                <w:tab w:val="left" w:pos="3629"/>
              </w:tabs>
              <w:jc w:val="center"/>
              <w:rPr>
                <w:szCs w:val="22"/>
              </w:rPr>
            </w:pPr>
            <w:r>
              <w:t>MMTC and NABOB</w:t>
            </w:r>
          </w:p>
        </w:tc>
        <w:tc>
          <w:tcPr>
            <w:tcW w:w="4727" w:type="dxa"/>
            <w:shd w:val="clear" w:color="auto" w:fill="auto"/>
          </w:tcPr>
          <w:p w:rsidR="007D15C3" w:rsidRPr="004163A7" w:rsidP="00274E20">
            <w:pPr>
              <w:tabs>
                <w:tab w:val="left" w:pos="3629"/>
              </w:tabs>
              <w:jc w:val="center"/>
              <w:rPr>
                <w:szCs w:val="22"/>
              </w:rPr>
            </w:pPr>
            <w:r>
              <w:rPr>
                <w:szCs w:val="22"/>
              </w:rPr>
              <w:t>MMTC &amp; NABOB</w:t>
            </w:r>
          </w:p>
        </w:tc>
      </w:tr>
      <w:tr w:rsidTr="00274E20">
        <w:tblPrEx>
          <w:tblW w:w="0" w:type="auto"/>
          <w:tblLook w:val="04A0"/>
        </w:tblPrEx>
        <w:tc>
          <w:tcPr>
            <w:tcW w:w="4623" w:type="dxa"/>
            <w:shd w:val="clear" w:color="auto" w:fill="auto"/>
          </w:tcPr>
          <w:p w:rsidR="007D15C3" w:rsidRPr="004163A7" w:rsidP="00274E20">
            <w:pPr>
              <w:tabs>
                <w:tab w:val="left" w:pos="3629"/>
              </w:tabs>
              <w:jc w:val="center"/>
              <w:rPr>
                <w:szCs w:val="22"/>
              </w:rPr>
            </w:pPr>
            <w:r w:rsidRPr="004163A7">
              <w:rPr>
                <w:szCs w:val="22"/>
              </w:rPr>
              <w:t xml:space="preserve">EchoStar Satellite </w:t>
            </w:r>
            <w:r>
              <w:rPr>
                <w:szCs w:val="22"/>
              </w:rPr>
              <w:t>Services</w:t>
            </w:r>
            <w:r w:rsidRPr="004163A7">
              <w:rPr>
                <w:szCs w:val="22"/>
              </w:rPr>
              <w:t>,</w:t>
            </w:r>
            <w:r>
              <w:rPr>
                <w:szCs w:val="22"/>
              </w:rPr>
              <w:t xml:space="preserve"> LLC;</w:t>
            </w:r>
            <w:r w:rsidRPr="004163A7">
              <w:rPr>
                <w:szCs w:val="22"/>
              </w:rPr>
              <w:t xml:space="preserve"> Hughes Network Systems, LLC, Intelsat License LLC, Space Exploration Technologies Corp</w:t>
            </w:r>
            <w:r>
              <w:rPr>
                <w:szCs w:val="22"/>
              </w:rPr>
              <w:t>.</w:t>
            </w:r>
          </w:p>
        </w:tc>
        <w:tc>
          <w:tcPr>
            <w:tcW w:w="4727" w:type="dxa"/>
            <w:shd w:val="clear" w:color="auto" w:fill="auto"/>
          </w:tcPr>
          <w:p w:rsidR="007D15C3" w:rsidP="00274E20">
            <w:pPr>
              <w:tabs>
                <w:tab w:val="left" w:pos="3629"/>
              </w:tabs>
              <w:jc w:val="center"/>
              <w:rPr>
                <w:szCs w:val="22"/>
              </w:rPr>
            </w:pPr>
          </w:p>
          <w:p w:rsidR="007D15C3" w:rsidRPr="004163A7" w:rsidP="00274E20">
            <w:pPr>
              <w:tabs>
                <w:tab w:val="left" w:pos="3629"/>
              </w:tabs>
              <w:jc w:val="center"/>
              <w:rPr>
                <w:szCs w:val="22"/>
              </w:rPr>
            </w:pPr>
            <w:r>
              <w:rPr>
                <w:szCs w:val="22"/>
              </w:rPr>
              <w:t>U.S. Satellite Licensees</w:t>
            </w:r>
          </w:p>
        </w:tc>
      </w:tr>
      <w:tr w:rsidTr="00274E20">
        <w:tblPrEx>
          <w:tblW w:w="0" w:type="auto"/>
          <w:tblLook w:val="04A0"/>
        </w:tblPrEx>
        <w:tc>
          <w:tcPr>
            <w:tcW w:w="4623" w:type="dxa"/>
            <w:shd w:val="clear" w:color="auto" w:fill="auto"/>
          </w:tcPr>
          <w:p w:rsidR="007D15C3" w:rsidRPr="004163A7" w:rsidP="00274E20">
            <w:pPr>
              <w:tabs>
                <w:tab w:val="left" w:pos="3629"/>
              </w:tabs>
              <w:jc w:val="center"/>
              <w:rPr>
                <w:szCs w:val="22"/>
              </w:rPr>
            </w:pPr>
            <w:r>
              <w:rPr>
                <w:szCs w:val="22"/>
              </w:rPr>
              <w:t>Eutelsat S.A.</w:t>
            </w:r>
          </w:p>
        </w:tc>
        <w:tc>
          <w:tcPr>
            <w:tcW w:w="4727" w:type="dxa"/>
            <w:shd w:val="clear" w:color="auto" w:fill="auto"/>
          </w:tcPr>
          <w:p w:rsidR="007D15C3" w:rsidRPr="004163A7" w:rsidP="00274E20">
            <w:pPr>
              <w:tabs>
                <w:tab w:val="left" w:pos="3629"/>
              </w:tabs>
              <w:jc w:val="center"/>
              <w:rPr>
                <w:szCs w:val="22"/>
              </w:rPr>
            </w:pPr>
            <w:r>
              <w:rPr>
                <w:szCs w:val="22"/>
              </w:rPr>
              <w:t>Eutelsat</w:t>
            </w:r>
          </w:p>
        </w:tc>
      </w:tr>
      <w:tr w:rsidTr="00274E20">
        <w:tblPrEx>
          <w:tblW w:w="0" w:type="auto"/>
          <w:tblLook w:val="04A0"/>
        </w:tblPrEx>
        <w:tc>
          <w:tcPr>
            <w:tcW w:w="4623" w:type="dxa"/>
            <w:shd w:val="clear" w:color="auto" w:fill="auto"/>
          </w:tcPr>
          <w:p w:rsidR="007D15C3" w:rsidRPr="004163A7" w:rsidP="00274E20">
            <w:pPr>
              <w:tabs>
                <w:tab w:val="left" w:pos="3629"/>
              </w:tabs>
              <w:jc w:val="center"/>
              <w:rPr>
                <w:szCs w:val="22"/>
              </w:rPr>
            </w:pPr>
            <w:r w:rsidRPr="005F6BC2">
              <w:t>Satellite Industry Association</w:t>
            </w:r>
          </w:p>
        </w:tc>
        <w:tc>
          <w:tcPr>
            <w:tcW w:w="4727" w:type="dxa"/>
            <w:shd w:val="clear" w:color="auto" w:fill="auto"/>
          </w:tcPr>
          <w:p w:rsidR="007D15C3" w:rsidRPr="004163A7" w:rsidP="00274E20">
            <w:pPr>
              <w:tabs>
                <w:tab w:val="left" w:pos="3629"/>
              </w:tabs>
              <w:jc w:val="center"/>
              <w:rPr>
                <w:szCs w:val="22"/>
              </w:rPr>
            </w:pPr>
            <w:r w:rsidRPr="005F6BC2">
              <w:t>SIA</w:t>
            </w:r>
          </w:p>
        </w:tc>
      </w:tr>
      <w:tr w:rsidTr="00274E20">
        <w:tblPrEx>
          <w:tblW w:w="0" w:type="auto"/>
          <w:tblLook w:val="04A0"/>
        </w:tblPrEx>
        <w:tc>
          <w:tcPr>
            <w:tcW w:w="4623" w:type="dxa"/>
            <w:shd w:val="clear" w:color="auto" w:fill="auto"/>
          </w:tcPr>
          <w:p w:rsidR="007D15C3" w:rsidRPr="005F6BC2" w:rsidP="00274E20">
            <w:pPr>
              <w:tabs>
                <w:tab w:val="left" w:pos="3629"/>
              </w:tabs>
              <w:jc w:val="center"/>
            </w:pPr>
            <w:r>
              <w:rPr>
                <w:szCs w:val="22"/>
              </w:rPr>
              <w:t>Telesat</w:t>
            </w:r>
            <w:r>
              <w:rPr>
                <w:szCs w:val="22"/>
              </w:rPr>
              <w:t xml:space="preserve"> Canada</w:t>
            </w:r>
          </w:p>
        </w:tc>
        <w:tc>
          <w:tcPr>
            <w:tcW w:w="4727" w:type="dxa"/>
            <w:shd w:val="clear" w:color="auto" w:fill="auto"/>
          </w:tcPr>
          <w:p w:rsidR="007D15C3" w:rsidRPr="005F6BC2" w:rsidP="00274E20">
            <w:pPr>
              <w:tabs>
                <w:tab w:val="left" w:pos="3629"/>
              </w:tabs>
              <w:jc w:val="center"/>
            </w:pPr>
            <w:r>
              <w:t>Telesat</w:t>
            </w:r>
          </w:p>
        </w:tc>
      </w:tr>
      <w:tr w:rsidTr="00274E20">
        <w:tblPrEx>
          <w:tblW w:w="0" w:type="auto"/>
          <w:tblLook w:val="04A0"/>
        </w:tblPrEx>
        <w:tc>
          <w:tcPr>
            <w:tcW w:w="4623" w:type="dxa"/>
            <w:shd w:val="clear" w:color="auto" w:fill="auto"/>
          </w:tcPr>
          <w:p w:rsidR="007D15C3" w:rsidRPr="005F6BC2" w:rsidP="00274E20">
            <w:pPr>
              <w:tabs>
                <w:tab w:val="left" w:pos="3629"/>
              </w:tabs>
              <w:jc w:val="center"/>
            </w:pPr>
            <w:r w:rsidRPr="004163A7">
              <w:rPr>
                <w:szCs w:val="22"/>
              </w:rPr>
              <w:t>Space Exploration Technologies Corp</w:t>
            </w:r>
            <w:r>
              <w:rPr>
                <w:szCs w:val="22"/>
              </w:rPr>
              <w:t>.</w:t>
            </w:r>
          </w:p>
        </w:tc>
        <w:tc>
          <w:tcPr>
            <w:tcW w:w="4727" w:type="dxa"/>
            <w:shd w:val="clear" w:color="auto" w:fill="auto"/>
          </w:tcPr>
          <w:p w:rsidR="007D15C3" w:rsidRPr="005F6BC2" w:rsidP="00274E20">
            <w:pPr>
              <w:tabs>
                <w:tab w:val="left" w:pos="3629"/>
              </w:tabs>
              <w:jc w:val="center"/>
            </w:pPr>
            <w:r>
              <w:t>SpaceX</w:t>
            </w:r>
          </w:p>
        </w:tc>
      </w:tr>
      <w:tr w:rsidTr="00274E20">
        <w:tblPrEx>
          <w:tblW w:w="0" w:type="auto"/>
          <w:tblLook w:val="04A0"/>
        </w:tblPrEx>
        <w:tc>
          <w:tcPr>
            <w:tcW w:w="4623" w:type="dxa"/>
            <w:shd w:val="clear" w:color="auto" w:fill="auto"/>
          </w:tcPr>
          <w:p w:rsidR="007D15C3" w:rsidRPr="005F6BC2" w:rsidP="00274E20">
            <w:pPr>
              <w:tabs>
                <w:tab w:val="left" w:pos="3629"/>
              </w:tabs>
              <w:jc w:val="center"/>
            </w:pPr>
            <w:r>
              <w:t xml:space="preserve">SES </w:t>
            </w:r>
            <w:r>
              <w:t>Americom</w:t>
            </w:r>
            <w:r>
              <w:t>, Inc.; Intelsat License LLC, EchoStar Satellite Services LLC, Hughes Network Systems LLC</w:t>
            </w:r>
          </w:p>
        </w:tc>
        <w:tc>
          <w:tcPr>
            <w:tcW w:w="4727" w:type="dxa"/>
            <w:shd w:val="clear" w:color="auto" w:fill="auto"/>
          </w:tcPr>
          <w:p w:rsidR="007D15C3" w:rsidP="00274E20">
            <w:pPr>
              <w:tabs>
                <w:tab w:val="left" w:pos="3629"/>
              </w:tabs>
              <w:jc w:val="center"/>
            </w:pPr>
          </w:p>
          <w:p w:rsidR="007D15C3" w:rsidRPr="005F6BC2" w:rsidP="00274E20">
            <w:pPr>
              <w:tabs>
                <w:tab w:val="left" w:pos="3629"/>
              </w:tabs>
              <w:jc w:val="center"/>
            </w:pPr>
            <w:r>
              <w:t>Satellite Operators</w:t>
            </w:r>
          </w:p>
        </w:tc>
      </w:tr>
      <w:tr w:rsidTr="00274E20">
        <w:tblPrEx>
          <w:tblW w:w="0" w:type="auto"/>
          <w:tblLook w:val="04A0"/>
        </w:tblPrEx>
        <w:tc>
          <w:tcPr>
            <w:tcW w:w="4623" w:type="dxa"/>
            <w:shd w:val="clear" w:color="auto" w:fill="auto"/>
          </w:tcPr>
          <w:p w:rsidR="007D15C3" w:rsidP="00274E20">
            <w:pPr>
              <w:tabs>
                <w:tab w:val="left" w:pos="3629"/>
              </w:tabs>
              <w:jc w:val="center"/>
            </w:pPr>
            <w:r>
              <w:t xml:space="preserve">America-CV Station Group, Inc., Spanish Broadcasting System Holding Company, Inc., </w:t>
            </w:r>
            <w:r>
              <w:t>Televicentro</w:t>
            </w:r>
            <w:r>
              <w:t xml:space="preserve"> of Puerto Rico LLC</w:t>
            </w:r>
          </w:p>
        </w:tc>
        <w:tc>
          <w:tcPr>
            <w:tcW w:w="4727" w:type="dxa"/>
            <w:shd w:val="clear" w:color="auto" w:fill="auto"/>
          </w:tcPr>
          <w:p w:rsidR="007D15C3" w:rsidP="00274E20">
            <w:pPr>
              <w:tabs>
                <w:tab w:val="left" w:pos="3629"/>
              </w:tabs>
              <w:jc w:val="center"/>
            </w:pPr>
          </w:p>
          <w:p w:rsidR="007D15C3" w:rsidRPr="005F6BC2" w:rsidP="00274E20">
            <w:pPr>
              <w:tabs>
                <w:tab w:val="left" w:pos="3629"/>
              </w:tabs>
              <w:jc w:val="center"/>
            </w:pPr>
            <w:r>
              <w:t>Puerto Rico Television Broadcasters</w:t>
            </w:r>
          </w:p>
        </w:tc>
      </w:tr>
      <w:tr w:rsidTr="00274E20">
        <w:tblPrEx>
          <w:tblW w:w="0" w:type="auto"/>
          <w:tblLook w:val="04A0"/>
        </w:tblPrEx>
        <w:tc>
          <w:tcPr>
            <w:tcW w:w="4623" w:type="dxa"/>
            <w:shd w:val="clear" w:color="auto" w:fill="auto"/>
          </w:tcPr>
          <w:p w:rsidR="007D15C3" w:rsidP="00274E20">
            <w:pPr>
              <w:tabs>
                <w:tab w:val="left" w:pos="3629"/>
              </w:tabs>
              <w:jc w:val="center"/>
            </w:pPr>
            <w:r>
              <w:t>Myriota</w:t>
            </w:r>
            <w:r>
              <w:t xml:space="preserve"> Pty. Ltd</w:t>
            </w:r>
          </w:p>
        </w:tc>
        <w:tc>
          <w:tcPr>
            <w:tcW w:w="4727" w:type="dxa"/>
            <w:shd w:val="clear" w:color="auto" w:fill="auto"/>
          </w:tcPr>
          <w:p w:rsidR="007D15C3" w:rsidRPr="005F6BC2" w:rsidP="00274E20">
            <w:pPr>
              <w:tabs>
                <w:tab w:val="left" w:pos="3629"/>
              </w:tabs>
              <w:jc w:val="center"/>
            </w:pPr>
            <w:r>
              <w:t>Myriota</w:t>
            </w:r>
          </w:p>
        </w:tc>
      </w:tr>
      <w:tr w:rsidTr="00274E20">
        <w:tblPrEx>
          <w:tblW w:w="0" w:type="auto"/>
          <w:tblLook w:val="04A0"/>
        </w:tblPrEx>
        <w:tc>
          <w:tcPr>
            <w:tcW w:w="4623" w:type="dxa"/>
            <w:shd w:val="clear" w:color="auto" w:fill="auto"/>
          </w:tcPr>
          <w:p w:rsidR="007D15C3" w:rsidP="00274E20">
            <w:pPr>
              <w:tabs>
                <w:tab w:val="left" w:pos="3629"/>
              </w:tabs>
              <w:jc w:val="center"/>
            </w:pPr>
            <w:r>
              <w:t>CenturyLink</w:t>
            </w:r>
          </w:p>
        </w:tc>
        <w:tc>
          <w:tcPr>
            <w:tcW w:w="4727" w:type="dxa"/>
            <w:shd w:val="clear" w:color="auto" w:fill="auto"/>
          </w:tcPr>
          <w:p w:rsidR="007D15C3" w:rsidRPr="005F6BC2" w:rsidP="00274E20">
            <w:pPr>
              <w:tabs>
                <w:tab w:val="left" w:pos="3629"/>
              </w:tabs>
              <w:jc w:val="center"/>
            </w:pPr>
            <w:r>
              <w:t>CenturyLink</w:t>
            </w:r>
          </w:p>
        </w:tc>
      </w:tr>
      <w:tr w:rsidTr="00274E20">
        <w:tblPrEx>
          <w:tblW w:w="0" w:type="auto"/>
          <w:tblLook w:val="04A0"/>
        </w:tblPrEx>
        <w:tc>
          <w:tcPr>
            <w:tcW w:w="4623" w:type="dxa"/>
            <w:shd w:val="clear" w:color="auto" w:fill="auto"/>
          </w:tcPr>
          <w:p w:rsidR="007D15C3" w:rsidP="00274E20">
            <w:pPr>
              <w:tabs>
                <w:tab w:val="left" w:pos="3629"/>
              </w:tabs>
              <w:jc w:val="center"/>
            </w:pPr>
            <w:r>
              <w:t>PMCM TV LLC</w:t>
            </w:r>
          </w:p>
        </w:tc>
        <w:tc>
          <w:tcPr>
            <w:tcW w:w="4727" w:type="dxa"/>
            <w:shd w:val="clear" w:color="auto" w:fill="auto"/>
          </w:tcPr>
          <w:p w:rsidR="007D15C3" w:rsidRPr="005F6BC2" w:rsidP="00274E20">
            <w:pPr>
              <w:tabs>
                <w:tab w:val="left" w:pos="3629"/>
              </w:tabs>
              <w:jc w:val="center"/>
            </w:pPr>
            <w:r>
              <w:t>PMCM</w:t>
            </w:r>
          </w:p>
        </w:tc>
      </w:tr>
      <w:tr w:rsidTr="00274E20">
        <w:tblPrEx>
          <w:tblW w:w="0" w:type="auto"/>
          <w:tblLook w:val="04A0"/>
        </w:tblPrEx>
        <w:tc>
          <w:tcPr>
            <w:tcW w:w="4623" w:type="dxa"/>
            <w:shd w:val="clear" w:color="auto" w:fill="auto"/>
          </w:tcPr>
          <w:p w:rsidR="007D15C3" w:rsidP="00274E20">
            <w:pPr>
              <w:tabs>
                <w:tab w:val="left" w:pos="3629"/>
              </w:tabs>
              <w:jc w:val="center"/>
            </w:pPr>
            <w:r>
              <w:t>Maranatha Broadcasting Company, Inc.</w:t>
            </w:r>
          </w:p>
        </w:tc>
        <w:tc>
          <w:tcPr>
            <w:tcW w:w="4727" w:type="dxa"/>
            <w:shd w:val="clear" w:color="auto" w:fill="auto"/>
          </w:tcPr>
          <w:p w:rsidR="007D15C3" w:rsidRPr="005F6BC2" w:rsidP="00274E20">
            <w:pPr>
              <w:tabs>
                <w:tab w:val="left" w:pos="3629"/>
              </w:tabs>
              <w:jc w:val="center"/>
            </w:pPr>
            <w:r>
              <w:t>MBC</w:t>
            </w:r>
          </w:p>
        </w:tc>
      </w:tr>
    </w:tbl>
    <w:p w:rsidR="007D15C3" w:rsidP="007D15C3">
      <w:pPr>
        <w:tabs>
          <w:tab w:val="left" w:pos="3629"/>
        </w:tabs>
        <w:rPr>
          <w:b/>
          <w:szCs w:val="22"/>
        </w:rPr>
      </w:pPr>
    </w:p>
    <w:p w:rsidR="007D15C3" w:rsidP="007D15C3">
      <w:pPr>
        <w:tabs>
          <w:tab w:val="left" w:pos="3629"/>
        </w:tabs>
        <w:jc w:val="center"/>
        <w:rPr>
          <w:b/>
          <w:szCs w:val="22"/>
        </w:rPr>
      </w:pPr>
    </w:p>
    <w:p w:rsidR="007D15C3" w:rsidP="007D15C3">
      <w:pPr>
        <w:tabs>
          <w:tab w:val="left" w:pos="3629"/>
        </w:tabs>
        <w:jc w:val="center"/>
        <w:rPr>
          <w:b/>
          <w:szCs w:val="22"/>
        </w:rPr>
      </w:pPr>
      <w:r w:rsidRPr="005F6BC2">
        <w:rPr>
          <w:b/>
          <w:szCs w:val="22"/>
        </w:rPr>
        <w:t xml:space="preserve">List of </w:t>
      </w:r>
      <w:r>
        <w:rPr>
          <w:b/>
          <w:szCs w:val="22"/>
        </w:rPr>
        <w:t xml:space="preserve">Reply </w:t>
      </w:r>
      <w:r w:rsidRPr="005F6BC2">
        <w:rPr>
          <w:b/>
          <w:szCs w:val="22"/>
        </w:rPr>
        <w:t>Commenters</w:t>
      </w:r>
    </w:p>
    <w:p w:rsidR="007D15C3" w:rsidRPr="005F6BC2" w:rsidP="007D15C3">
      <w:pPr>
        <w:tabs>
          <w:tab w:val="left" w:pos="3629"/>
        </w:tabs>
        <w:jc w:val="center"/>
        <w:rPr>
          <w:b/>
          <w:szCs w:val="22"/>
        </w:rPr>
      </w:pPr>
    </w:p>
    <w:p w:rsidR="007D15C3" w:rsidRPr="005F6BC2" w:rsidP="007D15C3">
      <w:pPr>
        <w:tabs>
          <w:tab w:val="left" w:pos="3629"/>
        </w:tabs>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Tr="00274E2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auto"/>
          </w:tcPr>
          <w:p w:rsidR="007D15C3" w:rsidRPr="004163A7" w:rsidP="00274E20">
            <w:pPr>
              <w:tabs>
                <w:tab w:val="left" w:pos="3629"/>
              </w:tabs>
              <w:jc w:val="center"/>
              <w:rPr>
                <w:b/>
                <w:szCs w:val="22"/>
              </w:rPr>
            </w:pPr>
            <w:r>
              <w:rPr>
                <w:b/>
                <w:szCs w:val="22"/>
              </w:rPr>
              <w:t xml:space="preserve">Reply </w:t>
            </w:r>
            <w:r w:rsidRPr="004163A7">
              <w:rPr>
                <w:b/>
                <w:szCs w:val="22"/>
              </w:rPr>
              <w:t>Commenter</w:t>
            </w:r>
          </w:p>
        </w:tc>
        <w:tc>
          <w:tcPr>
            <w:tcW w:w="4675" w:type="dxa"/>
            <w:shd w:val="clear" w:color="auto" w:fill="auto"/>
          </w:tcPr>
          <w:p w:rsidR="007D15C3" w:rsidRPr="004163A7" w:rsidP="00274E20">
            <w:pPr>
              <w:tabs>
                <w:tab w:val="left" w:pos="3629"/>
              </w:tabs>
              <w:jc w:val="center"/>
              <w:rPr>
                <w:b/>
                <w:szCs w:val="22"/>
              </w:rPr>
            </w:pPr>
            <w:r w:rsidRPr="004163A7">
              <w:rPr>
                <w:b/>
                <w:szCs w:val="22"/>
              </w:rPr>
              <w:t>Abbreviated name</w:t>
            </w:r>
          </w:p>
        </w:tc>
      </w:tr>
      <w:tr w:rsidTr="00274E20">
        <w:tblPrEx>
          <w:tblW w:w="0" w:type="auto"/>
          <w:tblLook w:val="04A0"/>
        </w:tblPrEx>
        <w:tc>
          <w:tcPr>
            <w:tcW w:w="4675" w:type="dxa"/>
            <w:shd w:val="clear" w:color="auto" w:fill="auto"/>
          </w:tcPr>
          <w:p w:rsidR="007D15C3" w:rsidRPr="004163A7" w:rsidP="00274E20">
            <w:pPr>
              <w:tabs>
                <w:tab w:val="left" w:pos="3629"/>
              </w:tabs>
              <w:jc w:val="center"/>
              <w:rPr>
                <w:szCs w:val="22"/>
              </w:rPr>
            </w:pPr>
            <w:r>
              <w:rPr>
                <w:szCs w:val="22"/>
              </w:rPr>
              <w:t>Kepler Communications</w:t>
            </w:r>
          </w:p>
        </w:tc>
        <w:tc>
          <w:tcPr>
            <w:tcW w:w="4675" w:type="dxa"/>
            <w:shd w:val="clear" w:color="auto" w:fill="auto"/>
          </w:tcPr>
          <w:p w:rsidR="007D15C3" w:rsidRPr="004163A7" w:rsidP="00274E20">
            <w:pPr>
              <w:tabs>
                <w:tab w:val="left" w:pos="3629"/>
              </w:tabs>
              <w:jc w:val="center"/>
              <w:rPr>
                <w:szCs w:val="22"/>
              </w:rPr>
            </w:pPr>
            <w:r>
              <w:rPr>
                <w:szCs w:val="22"/>
              </w:rPr>
              <w:t>Kepler</w:t>
            </w:r>
          </w:p>
        </w:tc>
      </w:tr>
      <w:tr w:rsidTr="00274E20">
        <w:tblPrEx>
          <w:tblW w:w="0" w:type="auto"/>
          <w:tblLook w:val="04A0"/>
        </w:tblPrEx>
        <w:tc>
          <w:tcPr>
            <w:tcW w:w="4675" w:type="dxa"/>
            <w:shd w:val="clear" w:color="auto" w:fill="auto"/>
          </w:tcPr>
          <w:p w:rsidR="007D15C3" w:rsidRPr="004163A7" w:rsidP="00274E20">
            <w:pPr>
              <w:tabs>
                <w:tab w:val="left" w:pos="3629"/>
              </w:tabs>
              <w:jc w:val="center"/>
              <w:rPr>
                <w:szCs w:val="22"/>
              </w:rPr>
            </w:pPr>
            <w:r>
              <w:rPr>
                <w:szCs w:val="22"/>
              </w:rPr>
              <w:t>Inmarset</w:t>
            </w:r>
            <w:r>
              <w:rPr>
                <w:szCs w:val="22"/>
              </w:rPr>
              <w:t>, Inc.</w:t>
            </w:r>
          </w:p>
        </w:tc>
        <w:tc>
          <w:tcPr>
            <w:tcW w:w="4675" w:type="dxa"/>
            <w:shd w:val="clear" w:color="auto" w:fill="auto"/>
          </w:tcPr>
          <w:p w:rsidR="007D15C3" w:rsidRPr="004163A7" w:rsidP="00274E20">
            <w:pPr>
              <w:tabs>
                <w:tab w:val="left" w:pos="3629"/>
              </w:tabs>
              <w:jc w:val="center"/>
              <w:rPr>
                <w:szCs w:val="22"/>
              </w:rPr>
            </w:pPr>
            <w:r>
              <w:rPr>
                <w:szCs w:val="22"/>
              </w:rPr>
              <w:t>Inmarset</w:t>
            </w:r>
          </w:p>
        </w:tc>
      </w:tr>
      <w:tr w:rsidTr="00274E20">
        <w:tblPrEx>
          <w:tblW w:w="0" w:type="auto"/>
          <w:tblLook w:val="04A0"/>
        </w:tblPrEx>
        <w:tc>
          <w:tcPr>
            <w:tcW w:w="4675" w:type="dxa"/>
            <w:shd w:val="clear" w:color="auto" w:fill="auto"/>
          </w:tcPr>
          <w:p w:rsidR="007D15C3" w:rsidRPr="004163A7" w:rsidP="00274E20">
            <w:pPr>
              <w:tabs>
                <w:tab w:val="left" w:pos="3629"/>
              </w:tabs>
              <w:jc w:val="center"/>
              <w:rPr>
                <w:szCs w:val="22"/>
              </w:rPr>
            </w:pPr>
            <w:r>
              <w:rPr>
                <w:szCs w:val="22"/>
              </w:rPr>
              <w:t>Maranatha Broadcasting Company</w:t>
            </w:r>
          </w:p>
        </w:tc>
        <w:tc>
          <w:tcPr>
            <w:tcW w:w="4675" w:type="dxa"/>
            <w:shd w:val="clear" w:color="auto" w:fill="auto"/>
          </w:tcPr>
          <w:p w:rsidR="007D15C3" w:rsidRPr="004163A7" w:rsidP="00274E20">
            <w:pPr>
              <w:tabs>
                <w:tab w:val="left" w:pos="3629"/>
              </w:tabs>
              <w:jc w:val="center"/>
              <w:rPr>
                <w:szCs w:val="22"/>
              </w:rPr>
            </w:pPr>
            <w:r>
              <w:rPr>
                <w:szCs w:val="22"/>
              </w:rPr>
              <w:t>MBC</w:t>
            </w:r>
          </w:p>
        </w:tc>
      </w:tr>
      <w:tr w:rsidTr="00274E20">
        <w:tblPrEx>
          <w:tblW w:w="0" w:type="auto"/>
          <w:tblLook w:val="04A0"/>
        </w:tblPrEx>
        <w:tc>
          <w:tcPr>
            <w:tcW w:w="4675" w:type="dxa"/>
            <w:shd w:val="clear" w:color="auto" w:fill="auto"/>
          </w:tcPr>
          <w:p w:rsidR="007D15C3" w:rsidRPr="004163A7" w:rsidP="00274E20">
            <w:pPr>
              <w:tabs>
                <w:tab w:val="left" w:pos="3629"/>
              </w:tabs>
              <w:jc w:val="center"/>
              <w:rPr>
                <w:szCs w:val="22"/>
              </w:rPr>
            </w:pPr>
            <w:r w:rsidRPr="004163A7">
              <w:rPr>
                <w:szCs w:val="22"/>
              </w:rPr>
              <w:t xml:space="preserve">EchoStar Satellite </w:t>
            </w:r>
            <w:r>
              <w:rPr>
                <w:szCs w:val="22"/>
              </w:rPr>
              <w:t>Services</w:t>
            </w:r>
            <w:r w:rsidRPr="004163A7">
              <w:rPr>
                <w:szCs w:val="22"/>
              </w:rPr>
              <w:t>,</w:t>
            </w:r>
            <w:r>
              <w:rPr>
                <w:szCs w:val="22"/>
              </w:rPr>
              <w:t xml:space="preserve"> LLC;</w:t>
            </w:r>
            <w:r w:rsidRPr="004163A7">
              <w:rPr>
                <w:szCs w:val="22"/>
              </w:rPr>
              <w:t xml:space="preserve"> Hughes Network Systems, LLC, Intelsat License LLC, Space Exploration Technologies Corp</w:t>
            </w:r>
            <w:r>
              <w:rPr>
                <w:szCs w:val="22"/>
              </w:rPr>
              <w:t>.</w:t>
            </w:r>
          </w:p>
        </w:tc>
        <w:tc>
          <w:tcPr>
            <w:tcW w:w="4675" w:type="dxa"/>
            <w:shd w:val="clear" w:color="auto" w:fill="auto"/>
          </w:tcPr>
          <w:p w:rsidR="007D15C3" w:rsidP="00274E20">
            <w:pPr>
              <w:tabs>
                <w:tab w:val="left" w:pos="3629"/>
              </w:tabs>
              <w:jc w:val="center"/>
              <w:rPr>
                <w:szCs w:val="22"/>
              </w:rPr>
            </w:pPr>
          </w:p>
          <w:p w:rsidR="007D15C3" w:rsidRPr="004163A7" w:rsidP="00274E20">
            <w:pPr>
              <w:tabs>
                <w:tab w:val="left" w:pos="3629"/>
              </w:tabs>
              <w:jc w:val="center"/>
              <w:rPr>
                <w:szCs w:val="22"/>
              </w:rPr>
            </w:pPr>
            <w:r>
              <w:rPr>
                <w:szCs w:val="22"/>
              </w:rPr>
              <w:t>U.S. Satellite Licensees</w:t>
            </w:r>
          </w:p>
        </w:tc>
      </w:tr>
      <w:tr w:rsidTr="00274E20">
        <w:tblPrEx>
          <w:tblW w:w="0" w:type="auto"/>
          <w:tblLook w:val="04A0"/>
        </w:tblPrEx>
        <w:tc>
          <w:tcPr>
            <w:tcW w:w="4675" w:type="dxa"/>
            <w:shd w:val="clear" w:color="auto" w:fill="auto"/>
          </w:tcPr>
          <w:p w:rsidR="007D15C3" w:rsidRPr="004163A7" w:rsidP="00274E20">
            <w:pPr>
              <w:tabs>
                <w:tab w:val="left" w:pos="3629"/>
              </w:tabs>
              <w:jc w:val="center"/>
              <w:rPr>
                <w:szCs w:val="22"/>
              </w:rPr>
            </w:pPr>
            <w:r>
              <w:rPr>
                <w:szCs w:val="22"/>
              </w:rPr>
              <w:t>Century Link</w:t>
            </w:r>
          </w:p>
        </w:tc>
        <w:tc>
          <w:tcPr>
            <w:tcW w:w="4675" w:type="dxa"/>
            <w:shd w:val="clear" w:color="auto" w:fill="auto"/>
          </w:tcPr>
          <w:p w:rsidR="007D15C3" w:rsidRPr="004163A7" w:rsidP="00274E20">
            <w:pPr>
              <w:tabs>
                <w:tab w:val="left" w:pos="3629"/>
              </w:tabs>
              <w:jc w:val="center"/>
              <w:rPr>
                <w:szCs w:val="22"/>
              </w:rPr>
            </w:pPr>
            <w:r>
              <w:rPr>
                <w:szCs w:val="22"/>
              </w:rPr>
              <w:t>CenturyLink</w:t>
            </w:r>
          </w:p>
        </w:tc>
      </w:tr>
      <w:tr w:rsidTr="00274E20">
        <w:tblPrEx>
          <w:tblW w:w="0" w:type="auto"/>
          <w:tblLook w:val="04A0"/>
        </w:tblPrEx>
        <w:tc>
          <w:tcPr>
            <w:tcW w:w="4675" w:type="dxa"/>
            <w:shd w:val="clear" w:color="auto" w:fill="auto"/>
          </w:tcPr>
          <w:p w:rsidR="007D15C3" w:rsidRPr="004163A7" w:rsidP="00274E20">
            <w:pPr>
              <w:tabs>
                <w:tab w:val="left" w:pos="3629"/>
              </w:tabs>
              <w:jc w:val="center"/>
              <w:rPr>
                <w:szCs w:val="22"/>
              </w:rPr>
            </w:pPr>
            <w:r>
              <w:rPr>
                <w:szCs w:val="22"/>
              </w:rPr>
              <w:t>AT&amp;T Services, Inc.</w:t>
            </w:r>
          </w:p>
        </w:tc>
        <w:tc>
          <w:tcPr>
            <w:tcW w:w="4675" w:type="dxa"/>
            <w:shd w:val="clear" w:color="auto" w:fill="auto"/>
          </w:tcPr>
          <w:p w:rsidR="007D15C3" w:rsidRPr="004163A7" w:rsidP="00274E20">
            <w:pPr>
              <w:tabs>
                <w:tab w:val="left" w:pos="3629"/>
              </w:tabs>
              <w:jc w:val="center"/>
              <w:rPr>
                <w:szCs w:val="22"/>
              </w:rPr>
            </w:pPr>
            <w:r>
              <w:rPr>
                <w:szCs w:val="22"/>
              </w:rPr>
              <w:t>AT&amp;T</w:t>
            </w:r>
          </w:p>
        </w:tc>
      </w:tr>
      <w:tr w:rsidTr="00274E20">
        <w:tblPrEx>
          <w:tblW w:w="0" w:type="auto"/>
          <w:tblLook w:val="04A0"/>
        </w:tblPrEx>
        <w:tc>
          <w:tcPr>
            <w:tcW w:w="4675" w:type="dxa"/>
            <w:shd w:val="clear" w:color="auto" w:fill="auto"/>
          </w:tcPr>
          <w:p w:rsidR="007D15C3" w:rsidRPr="004163A7" w:rsidP="00274E20">
            <w:pPr>
              <w:tabs>
                <w:tab w:val="left" w:pos="3629"/>
              </w:tabs>
              <w:jc w:val="center"/>
              <w:rPr>
                <w:szCs w:val="22"/>
              </w:rPr>
            </w:pPr>
            <w:r>
              <w:rPr>
                <w:szCs w:val="22"/>
              </w:rPr>
              <w:t>Satellite Industry Association</w:t>
            </w:r>
          </w:p>
        </w:tc>
        <w:tc>
          <w:tcPr>
            <w:tcW w:w="4675" w:type="dxa"/>
            <w:shd w:val="clear" w:color="auto" w:fill="auto"/>
          </w:tcPr>
          <w:p w:rsidR="007D15C3" w:rsidRPr="004163A7" w:rsidP="00274E20">
            <w:pPr>
              <w:tabs>
                <w:tab w:val="left" w:pos="3629"/>
              </w:tabs>
              <w:jc w:val="center"/>
              <w:rPr>
                <w:szCs w:val="22"/>
              </w:rPr>
            </w:pPr>
            <w:r>
              <w:rPr>
                <w:szCs w:val="22"/>
              </w:rPr>
              <w:t>SIA</w:t>
            </w:r>
          </w:p>
        </w:tc>
      </w:tr>
      <w:tr w:rsidTr="00274E20">
        <w:tblPrEx>
          <w:tblW w:w="0" w:type="auto"/>
          <w:tblLook w:val="04A0"/>
        </w:tblPrEx>
        <w:tc>
          <w:tcPr>
            <w:tcW w:w="4675" w:type="dxa"/>
            <w:shd w:val="clear" w:color="auto" w:fill="auto"/>
          </w:tcPr>
          <w:p w:rsidR="007D15C3" w:rsidRPr="004163A7" w:rsidP="00274E20">
            <w:pPr>
              <w:tabs>
                <w:tab w:val="left" w:pos="3629"/>
              </w:tabs>
              <w:jc w:val="center"/>
              <w:rPr>
                <w:szCs w:val="22"/>
              </w:rPr>
            </w:pPr>
            <w:r w:rsidRPr="004163A7">
              <w:rPr>
                <w:szCs w:val="22"/>
              </w:rPr>
              <w:t>Space Exploration Technologies Corp</w:t>
            </w:r>
            <w:r>
              <w:rPr>
                <w:szCs w:val="22"/>
              </w:rPr>
              <w:t>.</w:t>
            </w:r>
          </w:p>
        </w:tc>
        <w:tc>
          <w:tcPr>
            <w:tcW w:w="4675" w:type="dxa"/>
            <w:shd w:val="clear" w:color="auto" w:fill="auto"/>
          </w:tcPr>
          <w:p w:rsidR="007D15C3" w:rsidRPr="004163A7" w:rsidP="00274E20">
            <w:pPr>
              <w:tabs>
                <w:tab w:val="left" w:pos="3629"/>
              </w:tabs>
              <w:jc w:val="center"/>
              <w:rPr>
                <w:szCs w:val="22"/>
              </w:rPr>
            </w:pPr>
            <w:r>
              <w:rPr>
                <w:szCs w:val="22"/>
              </w:rPr>
              <w:t>SpaceX</w:t>
            </w:r>
          </w:p>
        </w:tc>
      </w:tr>
      <w:tr w:rsidTr="00274E20">
        <w:tblPrEx>
          <w:tblW w:w="0" w:type="auto"/>
          <w:tblLook w:val="04A0"/>
        </w:tblPrEx>
        <w:tc>
          <w:tcPr>
            <w:tcW w:w="4675" w:type="dxa"/>
            <w:shd w:val="clear" w:color="auto" w:fill="auto"/>
          </w:tcPr>
          <w:p w:rsidR="007D15C3" w:rsidRPr="004163A7" w:rsidP="00274E20">
            <w:pPr>
              <w:tabs>
                <w:tab w:val="left" w:pos="3629"/>
              </w:tabs>
              <w:jc w:val="center"/>
              <w:rPr>
                <w:szCs w:val="22"/>
              </w:rPr>
            </w:pPr>
            <w:r>
              <w:rPr>
                <w:szCs w:val="22"/>
              </w:rPr>
              <w:t>Telesat</w:t>
            </w:r>
            <w:r>
              <w:rPr>
                <w:szCs w:val="22"/>
              </w:rPr>
              <w:t xml:space="preserve"> Canada</w:t>
            </w:r>
          </w:p>
        </w:tc>
        <w:tc>
          <w:tcPr>
            <w:tcW w:w="4675" w:type="dxa"/>
            <w:shd w:val="clear" w:color="auto" w:fill="auto"/>
          </w:tcPr>
          <w:p w:rsidR="007D15C3" w:rsidRPr="004163A7" w:rsidP="00274E20">
            <w:pPr>
              <w:tabs>
                <w:tab w:val="left" w:pos="3629"/>
              </w:tabs>
              <w:jc w:val="center"/>
              <w:rPr>
                <w:szCs w:val="22"/>
              </w:rPr>
            </w:pPr>
            <w:r>
              <w:rPr>
                <w:szCs w:val="22"/>
              </w:rPr>
              <w:t>Telesat</w:t>
            </w:r>
          </w:p>
        </w:tc>
      </w:tr>
      <w:tr w:rsidTr="00274E20">
        <w:tblPrEx>
          <w:tblW w:w="0" w:type="auto"/>
          <w:tblLook w:val="04A0"/>
        </w:tblPrEx>
        <w:tc>
          <w:tcPr>
            <w:tcW w:w="4675" w:type="dxa"/>
            <w:shd w:val="clear" w:color="auto" w:fill="auto"/>
          </w:tcPr>
          <w:p w:rsidR="007D15C3" w:rsidRPr="004163A7" w:rsidP="00274E20">
            <w:pPr>
              <w:tabs>
                <w:tab w:val="left" w:pos="3629"/>
              </w:tabs>
              <w:jc w:val="center"/>
              <w:rPr>
                <w:szCs w:val="22"/>
              </w:rPr>
            </w:pPr>
            <w:r>
              <w:rPr>
                <w:szCs w:val="22"/>
              </w:rPr>
              <w:t>WorldVu</w:t>
            </w:r>
            <w:r>
              <w:rPr>
                <w:szCs w:val="22"/>
              </w:rPr>
              <w:t xml:space="preserve"> Satellites Ltd.</w:t>
            </w:r>
          </w:p>
        </w:tc>
        <w:tc>
          <w:tcPr>
            <w:tcW w:w="4675" w:type="dxa"/>
            <w:shd w:val="clear" w:color="auto" w:fill="auto"/>
          </w:tcPr>
          <w:p w:rsidR="007D15C3" w:rsidRPr="004163A7" w:rsidP="00274E20">
            <w:pPr>
              <w:tabs>
                <w:tab w:val="left" w:pos="3629"/>
              </w:tabs>
              <w:jc w:val="center"/>
              <w:rPr>
                <w:szCs w:val="22"/>
              </w:rPr>
            </w:pPr>
            <w:r>
              <w:rPr>
                <w:szCs w:val="22"/>
              </w:rPr>
              <w:t>OneWeb</w:t>
            </w:r>
          </w:p>
        </w:tc>
      </w:tr>
      <w:tr w:rsidTr="00274E20">
        <w:tblPrEx>
          <w:tblW w:w="0" w:type="auto"/>
          <w:tblLook w:val="04A0"/>
        </w:tblPrEx>
        <w:tc>
          <w:tcPr>
            <w:tcW w:w="4675" w:type="dxa"/>
            <w:shd w:val="clear" w:color="auto" w:fill="auto"/>
          </w:tcPr>
          <w:p w:rsidR="007D15C3" w:rsidRPr="004163A7" w:rsidP="00274E20">
            <w:pPr>
              <w:tabs>
                <w:tab w:val="left" w:pos="3629"/>
              </w:tabs>
              <w:jc w:val="center"/>
              <w:rPr>
                <w:szCs w:val="22"/>
              </w:rPr>
            </w:pPr>
            <w:r>
              <w:rPr>
                <w:szCs w:val="22"/>
              </w:rPr>
              <w:t xml:space="preserve">SES </w:t>
            </w:r>
            <w:r>
              <w:rPr>
                <w:szCs w:val="22"/>
              </w:rPr>
              <w:t>Americom</w:t>
            </w:r>
            <w:r>
              <w:rPr>
                <w:szCs w:val="22"/>
              </w:rPr>
              <w:t>, Inc.; Intelsat License, LLC; EchoStar Satellite Services, LLC; Hughes Network Systems, LLC</w:t>
            </w:r>
          </w:p>
        </w:tc>
        <w:tc>
          <w:tcPr>
            <w:tcW w:w="4675" w:type="dxa"/>
            <w:shd w:val="clear" w:color="auto" w:fill="auto"/>
          </w:tcPr>
          <w:p w:rsidR="007D15C3" w:rsidP="00274E20">
            <w:pPr>
              <w:tabs>
                <w:tab w:val="left" w:pos="3629"/>
              </w:tabs>
              <w:jc w:val="center"/>
              <w:rPr>
                <w:szCs w:val="22"/>
              </w:rPr>
            </w:pPr>
          </w:p>
          <w:p w:rsidR="007D15C3" w:rsidRPr="004163A7" w:rsidP="00274E20">
            <w:pPr>
              <w:tabs>
                <w:tab w:val="left" w:pos="3629"/>
              </w:tabs>
              <w:jc w:val="center"/>
              <w:rPr>
                <w:szCs w:val="22"/>
              </w:rPr>
            </w:pPr>
            <w:r>
              <w:rPr>
                <w:szCs w:val="22"/>
              </w:rPr>
              <w:t>Satellite Operators</w:t>
            </w:r>
          </w:p>
        </w:tc>
      </w:tr>
    </w:tbl>
    <w:p w:rsidR="007D15C3" w:rsidP="007D15C3">
      <w:pPr>
        <w:tabs>
          <w:tab w:val="left" w:pos="3629"/>
        </w:tabs>
        <w:jc w:val="center"/>
        <w:rPr>
          <w:b/>
          <w:szCs w:val="22"/>
        </w:rPr>
      </w:pPr>
    </w:p>
    <w:p w:rsidR="007D15C3" w:rsidP="007D15C3">
      <w:pPr>
        <w:tabs>
          <w:tab w:val="left" w:pos="3629"/>
        </w:tabs>
        <w:rPr>
          <w:b/>
          <w:szCs w:val="22"/>
        </w:rPr>
        <w:sectPr w:rsidSect="007672E3">
          <w:footerReference w:type="first" r:id="rId16"/>
          <w:endnotePr>
            <w:numFmt w:val="decimal"/>
          </w:endnotePr>
          <w:pgSz w:w="12240" w:h="15840" w:code="1"/>
          <w:pgMar w:top="1440" w:right="1440" w:bottom="720" w:left="1440" w:header="720" w:footer="720" w:gutter="0"/>
          <w:cols w:space="720"/>
          <w:noEndnote/>
          <w:titlePg/>
          <w:docGrid w:linePitch="299"/>
        </w:sectPr>
      </w:pPr>
    </w:p>
    <w:p w:rsidR="007D15C3" w:rsidRPr="005F6BC2" w:rsidP="007D15C3">
      <w:pPr>
        <w:tabs>
          <w:tab w:val="left" w:pos="3629"/>
        </w:tabs>
        <w:jc w:val="center"/>
        <w:rPr>
          <w:b/>
          <w:szCs w:val="22"/>
        </w:rPr>
      </w:pPr>
      <w:r w:rsidRPr="005F6BC2">
        <w:rPr>
          <w:b/>
          <w:szCs w:val="22"/>
        </w:rPr>
        <w:t>APPENDIX B</w:t>
      </w:r>
    </w:p>
    <w:p w:rsidR="007D15C3" w:rsidRPr="005F6BC2" w:rsidP="007D15C3">
      <w:pPr>
        <w:tabs>
          <w:tab w:val="left" w:pos="3629"/>
        </w:tabs>
        <w:rPr>
          <w:b/>
          <w:szCs w:val="22"/>
        </w:rPr>
      </w:pPr>
    </w:p>
    <w:p w:rsidR="007D15C3" w:rsidRPr="005F6BC2" w:rsidP="007D15C3">
      <w:pPr>
        <w:tabs>
          <w:tab w:val="left" w:pos="3629"/>
        </w:tabs>
        <w:jc w:val="center"/>
        <w:rPr>
          <w:b/>
          <w:szCs w:val="22"/>
        </w:rPr>
      </w:pPr>
      <w:r w:rsidRPr="005F6BC2">
        <w:rPr>
          <w:b/>
          <w:szCs w:val="22"/>
        </w:rPr>
        <w:t>Calculation of FY 20</w:t>
      </w:r>
      <w:r>
        <w:rPr>
          <w:b/>
          <w:szCs w:val="22"/>
        </w:rPr>
        <w:t>20</w:t>
      </w:r>
      <w:r w:rsidRPr="005F6BC2">
        <w:rPr>
          <w:b/>
          <w:szCs w:val="22"/>
        </w:rPr>
        <w:t xml:space="preserve"> Revenue Requirements and Pro-Rata Fees </w:t>
      </w:r>
    </w:p>
    <w:p w:rsidR="007D15C3" w:rsidRPr="005F6BC2" w:rsidP="007D15C3">
      <w:pPr>
        <w:tabs>
          <w:tab w:val="left" w:pos="3629"/>
        </w:tabs>
        <w:jc w:val="center"/>
        <w:rPr>
          <w:b/>
          <w:szCs w:val="22"/>
        </w:rPr>
      </w:pPr>
    </w:p>
    <w:p w:rsidR="007D15C3" w:rsidRPr="005F6BC2" w:rsidP="007D15C3">
      <w:pPr>
        <w:tabs>
          <w:tab w:val="center" w:pos="5040"/>
        </w:tabs>
        <w:suppressAutoHyphens/>
        <w:outlineLvl w:val="0"/>
        <w:rPr>
          <w:b/>
          <w:szCs w:val="22"/>
        </w:rPr>
      </w:pPr>
      <w:r w:rsidRPr="005F6BC2">
        <w:rPr>
          <w:szCs w:val="22"/>
        </w:rPr>
        <w:t xml:space="preserve">Regulatory fees for the categories shaded in gray are collected by the Commission in advance to cover the term of the license and are submitted at the time the application is filed.  </w:t>
      </w:r>
    </w:p>
    <w:tbl>
      <w:tblPr>
        <w:tblW w:w="10350" w:type="dxa"/>
        <w:tblInd w:w="-563" w:type="dxa"/>
        <w:tblLayout w:type="fixed"/>
        <w:tblCellMar>
          <w:left w:w="30" w:type="dxa"/>
          <w:right w:w="30" w:type="dxa"/>
        </w:tblCellMar>
        <w:tblLook w:val="0000"/>
      </w:tblPr>
      <w:tblGrid>
        <w:gridCol w:w="2520"/>
        <w:gridCol w:w="1620"/>
        <w:gridCol w:w="450"/>
        <w:gridCol w:w="1260"/>
        <w:gridCol w:w="1170"/>
        <w:gridCol w:w="1170"/>
        <w:gridCol w:w="990"/>
        <w:gridCol w:w="1170"/>
      </w:tblGrid>
      <w:tr w:rsidTr="00274E20">
        <w:tblPrEx>
          <w:tblW w:w="10350" w:type="dxa"/>
          <w:tblInd w:w="-563" w:type="dxa"/>
          <w:tblLayout w:type="fixed"/>
          <w:tblCellMar>
            <w:left w:w="30" w:type="dxa"/>
            <w:right w:w="30" w:type="dxa"/>
          </w:tblCellMar>
          <w:tblLook w:val="0000"/>
        </w:tblPrEx>
        <w:trPr>
          <w:tblHeader/>
        </w:trPr>
        <w:tc>
          <w:tcPr>
            <w:tcW w:w="2520" w:type="dxa"/>
            <w:tcBorders>
              <w:top w:val="double" w:sz="6" w:space="0" w:color="auto"/>
              <w:left w:val="double" w:sz="6" w:space="0" w:color="auto"/>
              <w:bottom w:val="single" w:sz="18"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Pr>
                <w:b/>
                <w:szCs w:val="22"/>
              </w:rPr>
              <w:fldChar w:fldCharType="begin"/>
            </w:r>
            <w:r w:rsidRPr="005F6BC2">
              <w:rPr>
                <w:b/>
                <w:szCs w:val="22"/>
              </w:rPr>
              <w:instrText xml:space="preserve">PRIVATE </w:instrText>
            </w:r>
            <w:r>
              <w:rPr>
                <w:b/>
                <w:szCs w:val="22"/>
              </w:rPr>
              <w:fldChar w:fldCharType="end"/>
            </w:r>
            <w:r w:rsidRPr="005F6BC2">
              <w:rPr>
                <w:b/>
                <w:szCs w:val="22"/>
              </w:rPr>
              <w:t>Fee Category</w:t>
            </w:r>
          </w:p>
        </w:tc>
        <w:tc>
          <w:tcPr>
            <w:tcW w:w="1620" w:type="dxa"/>
            <w:tcBorders>
              <w:top w:val="double" w:sz="6" w:space="0" w:color="auto"/>
              <w:left w:val="single" w:sz="6" w:space="0" w:color="auto"/>
              <w:bottom w:val="single" w:sz="18"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5F6BC2">
              <w:rPr>
                <w:b/>
                <w:szCs w:val="22"/>
              </w:rPr>
              <w:t>FY 20</w:t>
            </w:r>
            <w:r>
              <w:rPr>
                <w:b/>
                <w:szCs w:val="22"/>
              </w:rPr>
              <w:t>20</w:t>
            </w:r>
            <w:r w:rsidRPr="005F6BC2">
              <w:rPr>
                <w:b/>
                <w:szCs w:val="22"/>
              </w:rPr>
              <w:t xml:space="preserve"> Payment Units</w:t>
            </w:r>
          </w:p>
        </w:tc>
        <w:tc>
          <w:tcPr>
            <w:tcW w:w="450" w:type="dxa"/>
            <w:tcBorders>
              <w:top w:val="double" w:sz="6" w:space="0" w:color="auto"/>
              <w:left w:val="single" w:sz="6" w:space="0" w:color="auto"/>
              <w:bottom w:val="single" w:sz="18"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5F6BC2">
              <w:rPr>
                <w:b/>
                <w:szCs w:val="22"/>
              </w:rPr>
              <w:t>Yrs</w:t>
            </w:r>
          </w:p>
        </w:tc>
        <w:tc>
          <w:tcPr>
            <w:tcW w:w="1260" w:type="dxa"/>
            <w:tcBorders>
              <w:top w:val="double" w:sz="6" w:space="0" w:color="auto"/>
              <w:left w:val="single" w:sz="6" w:space="0" w:color="auto"/>
              <w:bottom w:val="single" w:sz="18"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5F6BC2">
              <w:rPr>
                <w:b/>
                <w:szCs w:val="22"/>
              </w:rPr>
              <w:t>FY 201</w:t>
            </w:r>
            <w:r>
              <w:rPr>
                <w:b/>
                <w:szCs w:val="22"/>
              </w:rPr>
              <w:t>9</w:t>
            </w:r>
            <w:r w:rsidRPr="005F6BC2">
              <w:rPr>
                <w:b/>
                <w:szCs w:val="22"/>
              </w:rPr>
              <w:t xml:space="preserve"> Revenue Estimate</w:t>
            </w:r>
          </w:p>
        </w:tc>
        <w:tc>
          <w:tcPr>
            <w:tcW w:w="1170" w:type="dxa"/>
            <w:tcBorders>
              <w:top w:val="double" w:sz="6" w:space="0" w:color="auto"/>
              <w:left w:val="single" w:sz="6" w:space="0" w:color="auto"/>
              <w:bottom w:val="single" w:sz="18"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5F6BC2">
              <w:rPr>
                <w:b/>
                <w:szCs w:val="22"/>
              </w:rPr>
              <w:t>Pro-Rated FY 20</w:t>
            </w:r>
            <w:r>
              <w:rPr>
                <w:b/>
                <w:szCs w:val="22"/>
              </w:rPr>
              <w:t>20</w:t>
            </w:r>
            <w:r w:rsidRPr="005F6BC2">
              <w:rPr>
                <w:b/>
                <w:szCs w:val="22"/>
              </w:rPr>
              <w:t xml:space="preserve"> Revenue Require-</w:t>
            </w:r>
            <w:r w:rsidRPr="005F6BC2">
              <w:rPr>
                <w:b/>
                <w:szCs w:val="22"/>
              </w:rPr>
              <w:t>ment</w:t>
            </w:r>
          </w:p>
        </w:tc>
        <w:tc>
          <w:tcPr>
            <w:tcW w:w="1170" w:type="dxa"/>
            <w:tcBorders>
              <w:top w:val="double" w:sz="6" w:space="0" w:color="auto"/>
              <w:left w:val="single" w:sz="6" w:space="0" w:color="auto"/>
              <w:bottom w:val="single" w:sz="18"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b/>
                <w:szCs w:val="22"/>
              </w:rPr>
              <w:t>Computed FY 20</w:t>
            </w:r>
            <w:r>
              <w:rPr>
                <w:b/>
                <w:szCs w:val="22"/>
              </w:rPr>
              <w:t>20</w:t>
            </w:r>
            <w:r w:rsidRPr="005F6BC2">
              <w:rPr>
                <w:b/>
                <w:szCs w:val="22"/>
              </w:rPr>
              <w:t xml:space="preserve"> Regulatory Fee</w:t>
            </w:r>
          </w:p>
        </w:tc>
        <w:tc>
          <w:tcPr>
            <w:tcW w:w="990" w:type="dxa"/>
            <w:tcBorders>
              <w:top w:val="double" w:sz="6" w:space="0" w:color="auto"/>
              <w:left w:val="single" w:sz="6" w:space="0" w:color="auto"/>
              <w:bottom w:val="single" w:sz="18"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 xml:space="preserve"> Rounded </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FY 20</w:t>
            </w:r>
            <w:r>
              <w:rPr>
                <w:b/>
                <w:szCs w:val="22"/>
              </w:rPr>
              <w:t>20</w:t>
            </w:r>
            <w:r w:rsidRPr="005F6BC2">
              <w:rPr>
                <w:b/>
                <w:szCs w:val="22"/>
              </w:rPr>
              <w:t xml:space="preserve"> </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b/>
                <w:szCs w:val="22"/>
              </w:rPr>
              <w:t>Reg. Fee</w:t>
            </w:r>
          </w:p>
        </w:tc>
        <w:tc>
          <w:tcPr>
            <w:tcW w:w="1170" w:type="dxa"/>
            <w:tcBorders>
              <w:top w:val="double" w:sz="6" w:space="0" w:color="auto"/>
              <w:left w:val="single" w:sz="6" w:space="0" w:color="auto"/>
              <w:bottom w:val="single" w:sz="18"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Expected</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FY 20</w:t>
            </w:r>
            <w:r>
              <w:rPr>
                <w:b/>
                <w:szCs w:val="22"/>
              </w:rPr>
              <w:t>20</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b/>
                <w:szCs w:val="22"/>
              </w:rPr>
              <w:t>Revenue</w:t>
            </w:r>
          </w:p>
        </w:tc>
      </w:tr>
      <w:tr w:rsidTr="00274E20">
        <w:tblPrEx>
          <w:tblW w:w="10350" w:type="dxa"/>
          <w:tblInd w:w="-563" w:type="dxa"/>
          <w:tblLayout w:type="fixed"/>
          <w:tblCellMar>
            <w:left w:w="30" w:type="dxa"/>
            <w:right w:w="30" w:type="dxa"/>
          </w:tblCellMar>
          <w:tblLook w:val="0000"/>
        </w:tblPrEx>
        <w:tc>
          <w:tcPr>
            <w:tcW w:w="2520" w:type="dxa"/>
            <w:tcBorders>
              <w:top w:val="single" w:sz="18" w:space="0" w:color="auto"/>
              <w:left w:val="double" w:sz="4"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PLMRS (Exclusive Use) </w:t>
            </w:r>
          </w:p>
        </w:tc>
        <w:tc>
          <w:tcPr>
            <w:tcW w:w="1620" w:type="dxa"/>
            <w:tcBorders>
              <w:top w:val="single" w:sz="1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w:t>
            </w:r>
            <w:r w:rsidRPr="005F6BC2">
              <w:rPr>
                <w:szCs w:val="22"/>
              </w:rPr>
              <w:t>50</w:t>
            </w:r>
          </w:p>
        </w:tc>
        <w:tc>
          <w:tcPr>
            <w:tcW w:w="450" w:type="dxa"/>
            <w:tcBorders>
              <w:top w:val="single" w:sz="1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1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112</w:t>
            </w:r>
            <w:r w:rsidRPr="005F6BC2">
              <w:rPr>
                <w:szCs w:val="22"/>
              </w:rPr>
              <w:t>,</w:t>
            </w:r>
            <w:r>
              <w:rPr>
                <w:szCs w:val="22"/>
              </w:rPr>
              <w:t>5</w:t>
            </w:r>
            <w:r w:rsidRPr="005F6BC2">
              <w:rPr>
                <w:szCs w:val="22"/>
              </w:rPr>
              <w:t>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87</w:t>
            </w:r>
            <w:r w:rsidRPr="005F6BC2">
              <w:rPr>
                <w:szCs w:val="22"/>
              </w:rPr>
              <w:t>,500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25.00</w:t>
            </w:r>
          </w:p>
        </w:tc>
        <w:tc>
          <w:tcPr>
            <w:tcW w:w="990" w:type="dxa"/>
            <w:tcBorders>
              <w:top w:val="single" w:sz="1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w:t>
            </w:r>
          </w:p>
        </w:tc>
        <w:tc>
          <w:tcPr>
            <w:tcW w:w="1170" w:type="dxa"/>
            <w:tcBorders>
              <w:top w:val="single" w:sz="18" w:space="0" w:color="auto"/>
              <w:left w:val="single" w:sz="8" w:space="0" w:color="auto"/>
              <w:bottom w:val="single" w:sz="8" w:space="0" w:color="auto"/>
              <w:right w:val="double" w:sz="4"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87</w:t>
            </w:r>
            <w:r w:rsidRPr="005F6BC2">
              <w:rPr>
                <w:szCs w:val="22"/>
              </w:rPr>
              <w:t>,500</w:t>
            </w:r>
          </w:p>
        </w:tc>
      </w:tr>
      <w:tr w:rsidTr="00274E20">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PLMRS (Shared use)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1</w:t>
            </w:r>
            <w:r w:rsidRPr="005F6BC2">
              <w:rPr>
                <w:szCs w:val="22"/>
              </w:rPr>
              <w:t>,</w:t>
            </w:r>
            <w:r>
              <w:rPr>
                <w:szCs w:val="22"/>
              </w:rPr>
              <w:t>7</w:t>
            </w:r>
            <w:r w:rsidRPr="005F6BC2">
              <w:rPr>
                <w:szCs w:val="22"/>
              </w:rPr>
              <w:t>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1,240,000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170</w:t>
            </w:r>
            <w:r w:rsidRPr="005F6BC2">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170</w:t>
            </w:r>
            <w:r w:rsidRPr="005F6BC2">
              <w:rPr>
                <w:szCs w:val="22"/>
              </w:rPr>
              <w:t>,000</w:t>
            </w:r>
          </w:p>
        </w:tc>
      </w:tr>
      <w:tr w:rsidTr="00274E20">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Microwave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2</w:t>
            </w:r>
            <w:r w:rsidRPr="005F6BC2">
              <w:rPr>
                <w:szCs w:val="22"/>
              </w:rPr>
              <w:t>,</w:t>
            </w:r>
            <w:r>
              <w:rPr>
                <w:szCs w:val="22"/>
              </w:rPr>
              <w:t>6</w:t>
            </w:r>
            <w:r w:rsidRPr="005F6BC2">
              <w:rPr>
                <w:szCs w:val="22"/>
              </w:rPr>
              <w:t>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2,500,000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5F6BC2">
              <w:rPr>
                <w:szCs w:val="22"/>
              </w:rPr>
              <w:t>,</w:t>
            </w:r>
            <w:r>
              <w:rPr>
                <w:szCs w:val="22"/>
              </w:rPr>
              <w:t>150</w:t>
            </w:r>
            <w:r w:rsidRPr="005F6BC2">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5F6BC2">
              <w:rPr>
                <w:szCs w:val="22"/>
              </w:rPr>
              <w:t>,</w:t>
            </w:r>
            <w:r>
              <w:rPr>
                <w:szCs w:val="22"/>
              </w:rPr>
              <w:t>150</w:t>
            </w:r>
            <w:r w:rsidRPr="005F6BC2">
              <w:rPr>
                <w:szCs w:val="22"/>
              </w:rPr>
              <w:t>,000</w:t>
            </w:r>
          </w:p>
        </w:tc>
      </w:tr>
      <w:tr w:rsidTr="00274E20">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Marine (Ship)</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7,100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1,065,000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1,065,000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1,065,000</w:t>
            </w:r>
          </w:p>
        </w:tc>
      </w:tr>
      <w:tr w:rsidTr="00274E20">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Aviation (Aircraft)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5F6BC2">
              <w:rPr>
                <w:szCs w:val="22"/>
              </w:rPr>
              <w:t xml:space="preserve">,500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5F6BC2">
              <w:rPr>
                <w:szCs w:val="22"/>
              </w:rPr>
              <w:t>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5F6BC2">
              <w:rPr>
                <w:szCs w:val="22"/>
              </w:rPr>
              <w:t>50,000</w:t>
            </w:r>
          </w:p>
        </w:tc>
      </w:tr>
      <w:tr w:rsidTr="00274E20">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Marine (Coast)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w:t>
            </w:r>
            <w:r w:rsidRPr="005F6BC2">
              <w:rPr>
                <w:szCs w:val="22"/>
              </w:rPr>
              <w:t xml:space="preserve">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24,000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36,</w:t>
            </w:r>
            <w:r w:rsidRPr="005F6BC2">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36,</w:t>
            </w:r>
            <w:r w:rsidRPr="005F6BC2">
              <w:rPr>
                <w:szCs w:val="22"/>
              </w:rPr>
              <w:t>000</w:t>
            </w:r>
          </w:p>
        </w:tc>
      </w:tr>
      <w:tr w:rsidTr="00274E20">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Aviation (Ground)</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1,100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220,000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220,000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220,000</w:t>
            </w:r>
          </w:p>
        </w:tc>
      </w:tr>
      <w:tr w:rsidTr="00274E20">
        <w:tblPrEx>
          <w:tblW w:w="10350" w:type="dxa"/>
          <w:tblInd w:w="-563" w:type="dxa"/>
          <w:tblLayout w:type="fixed"/>
          <w:tblCellMar>
            <w:left w:w="30" w:type="dxa"/>
            <w:right w:w="30" w:type="dxa"/>
          </w:tblCellMar>
          <w:tblLook w:val="0000"/>
        </w:tblPrEx>
        <w:tc>
          <w:tcPr>
            <w:tcW w:w="2520" w:type="dxa"/>
            <w:tcBorders>
              <w:top w:val="single" w:sz="8"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AM Class A</w:t>
            </w:r>
            <w:r w:rsidRPr="005F6BC2">
              <w:rPr>
                <w:szCs w:val="22"/>
                <w:vertAlign w:val="superscript"/>
              </w:rPr>
              <w:t>1</w:t>
            </w:r>
          </w:p>
        </w:tc>
        <w:tc>
          <w:tcPr>
            <w:tcW w:w="1620" w:type="dxa"/>
            <w:tcBorders>
              <w:top w:val="single" w:sz="8"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62</w:t>
            </w:r>
          </w:p>
        </w:tc>
        <w:tc>
          <w:tcPr>
            <w:tcW w:w="450" w:type="dxa"/>
            <w:tcBorders>
              <w:top w:val="single" w:sz="8"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8"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285,200</w:t>
            </w:r>
          </w:p>
        </w:tc>
        <w:tc>
          <w:tcPr>
            <w:tcW w:w="1170" w:type="dxa"/>
            <w:tcBorders>
              <w:top w:val="single" w:sz="8"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296,501</w:t>
            </w:r>
          </w:p>
        </w:tc>
        <w:tc>
          <w:tcPr>
            <w:tcW w:w="1170" w:type="dxa"/>
            <w:tcBorders>
              <w:top w:val="single" w:sz="8"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w:t>
            </w:r>
            <w:r>
              <w:rPr>
                <w:szCs w:val="22"/>
              </w:rPr>
              <w:t>782</w:t>
            </w:r>
          </w:p>
        </w:tc>
        <w:tc>
          <w:tcPr>
            <w:tcW w:w="990" w:type="dxa"/>
            <w:tcBorders>
              <w:top w:val="single" w:sz="8"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w:t>
            </w:r>
            <w:r>
              <w:rPr>
                <w:szCs w:val="22"/>
              </w:rPr>
              <w:t>775</w:t>
            </w:r>
          </w:p>
        </w:tc>
        <w:tc>
          <w:tcPr>
            <w:tcW w:w="1170" w:type="dxa"/>
            <w:tcBorders>
              <w:top w:val="single" w:sz="8"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296,050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AM Class B</w:t>
            </w:r>
            <w:r w:rsidRPr="005F6BC2">
              <w:rPr>
                <w:szCs w:val="22"/>
                <w:vertAlign w:val="superscript"/>
              </w:rPr>
              <w:t>1</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1,4</w:t>
            </w:r>
            <w:r>
              <w:rPr>
                <w:szCs w:val="22"/>
              </w:rPr>
              <w:t>58</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3,541,950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3,678,692</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w:t>
            </w:r>
            <w:r>
              <w:rPr>
                <w:szCs w:val="22"/>
              </w:rPr>
              <w:t>23</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2,5</w:t>
            </w:r>
            <w:r>
              <w:rPr>
                <w:szCs w:val="22"/>
              </w:rPr>
              <w:t>25</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3,681,450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AM Class C</w:t>
            </w:r>
            <w:r w:rsidRPr="005F6BC2">
              <w:rPr>
                <w:szCs w:val="22"/>
                <w:vertAlign w:val="superscript"/>
              </w:rPr>
              <w:t>1</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w:t>
            </w:r>
            <w:r>
              <w:rPr>
                <w:szCs w:val="22"/>
              </w:rPr>
              <w:t>19</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1,266,000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1,317,039</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608</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600</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1,310,400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AM Class D</w:t>
            </w:r>
            <w:r w:rsidRPr="005F6BC2">
              <w:rPr>
                <w:szCs w:val="22"/>
                <w:vertAlign w:val="superscript"/>
              </w:rPr>
              <w:t>1</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372</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4,200,800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4,351,447</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3,172</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3,175</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w:t>
            </w:r>
            <w:r>
              <w:rPr>
                <w:szCs w:val="22"/>
              </w:rPr>
              <w:t>356,100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lang w:val="pt-BR"/>
              </w:rPr>
            </w:pPr>
            <w:r w:rsidRPr="005F6BC2">
              <w:rPr>
                <w:szCs w:val="22"/>
                <w:lang w:val="pt-BR"/>
              </w:rPr>
              <w:t>FM Classes A, B1 &amp; C3</w:t>
            </w:r>
            <w:r w:rsidRPr="005F6BC2">
              <w:rPr>
                <w:szCs w:val="22"/>
                <w:vertAlign w:val="superscript"/>
              </w:rPr>
              <w:t>1</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2,973</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8,823,375</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9,156,345</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3,080</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3,075</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9,141,975</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FM Classes B, C, C0, C1 &amp; C2</w:t>
            </w:r>
            <w:r w:rsidRPr="005F6BC2">
              <w:rPr>
                <w:szCs w:val="22"/>
                <w:vertAlign w:val="superscript"/>
              </w:rPr>
              <w:t>1</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2,952</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10,833,000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11,216,626</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800</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80</w:t>
            </w:r>
            <w:r w:rsidRPr="005F6BC2">
              <w:rPr>
                <w:szCs w:val="22"/>
              </w:rPr>
              <w:t>0</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11,217,600</w:t>
            </w:r>
          </w:p>
        </w:tc>
      </w:tr>
      <w:tr w:rsidTr="00274E20">
        <w:tblPrEx>
          <w:tblW w:w="10350" w:type="dxa"/>
          <w:tblInd w:w="-563" w:type="dxa"/>
          <w:tblLayout w:type="fixed"/>
          <w:tblCellMar>
            <w:left w:w="30" w:type="dxa"/>
            <w:right w:w="30" w:type="dxa"/>
          </w:tblCellMar>
          <w:tblLook w:val="0000"/>
        </w:tblPrEx>
        <w:trPr>
          <w:trHeight w:val="534"/>
        </w:trPr>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AM Construction Permits </w:t>
            </w:r>
            <w:r w:rsidRPr="005F6BC2">
              <w:rPr>
                <w:szCs w:val="22"/>
                <w:vertAlign w:val="superscript"/>
              </w:rPr>
              <w:t>2</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w:t>
            </w:r>
            <w:r w:rsidRPr="005F6BC2">
              <w:rPr>
                <w:szCs w:val="22"/>
              </w:rPr>
              <w:t xml:space="preserve"> </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1,785</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3,720</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620.1</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620</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3,720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FM Construction Permits</w:t>
            </w:r>
            <w:r w:rsidRPr="005F6BC2">
              <w:rPr>
                <w:szCs w:val="22"/>
                <w:vertAlign w:val="superscript"/>
              </w:rPr>
              <w:t>2</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w:t>
            </w:r>
            <w:r>
              <w:rPr>
                <w:szCs w:val="22"/>
              </w:rPr>
              <w:t>0</w:t>
            </w:r>
            <w:r w:rsidRPr="005F6BC2">
              <w:rPr>
                <w:szCs w:val="22"/>
              </w:rPr>
              <w:t xml:space="preserve"> </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w:t>
            </w:r>
            <w:r>
              <w:rPr>
                <w:szCs w:val="22"/>
              </w:rPr>
              <w:t>7,000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w:t>
            </w:r>
            <w:r>
              <w:rPr>
                <w:szCs w:val="22"/>
              </w:rPr>
              <w:t>4</w:t>
            </w:r>
            <w:r w:rsidRPr="005F6BC2">
              <w:rPr>
                <w:szCs w:val="22"/>
              </w:rPr>
              <w:t>,</w:t>
            </w:r>
            <w:r>
              <w:rPr>
                <w:szCs w:val="22"/>
              </w:rPr>
              <w:t>5</w:t>
            </w:r>
            <w:r w:rsidRPr="005F6BC2">
              <w:rPr>
                <w:szCs w:val="22"/>
              </w:rPr>
              <w:t>00</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w:t>
            </w:r>
            <w:r>
              <w:rPr>
                <w:szCs w:val="22"/>
              </w:rPr>
              <w:t>75</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w:t>
            </w:r>
            <w:r>
              <w:rPr>
                <w:szCs w:val="22"/>
              </w:rPr>
              <w:t>75</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w:t>
            </w:r>
            <w:r>
              <w:rPr>
                <w:szCs w:val="22"/>
              </w:rPr>
              <w:t>4</w:t>
            </w:r>
            <w:r w:rsidRPr="005F6BC2">
              <w:rPr>
                <w:szCs w:val="22"/>
              </w:rPr>
              <w:t>,</w:t>
            </w:r>
            <w:r>
              <w:rPr>
                <w:szCs w:val="22"/>
              </w:rPr>
              <w:t>5</w:t>
            </w:r>
            <w:r w:rsidRPr="005F6BC2">
              <w:rPr>
                <w:szCs w:val="22"/>
              </w:rPr>
              <w:t>00</w:t>
            </w:r>
          </w:p>
        </w:tc>
      </w:tr>
      <w:tr w:rsidTr="00274E20">
        <w:tblPrEx>
          <w:tblW w:w="10350" w:type="dxa"/>
          <w:tblInd w:w="-563" w:type="dxa"/>
          <w:tblLayout w:type="fixed"/>
          <w:tblCellMar>
            <w:left w:w="30" w:type="dxa"/>
            <w:right w:w="30" w:type="dxa"/>
          </w:tblCellMar>
          <w:tblLook w:val="0000"/>
        </w:tblPrEx>
        <w:trPr>
          <w:trHeight w:val="444"/>
        </w:trPr>
        <w:tc>
          <w:tcPr>
            <w:tcW w:w="2520" w:type="dxa"/>
            <w:tcBorders>
              <w:top w:val="single" w:sz="6" w:space="0" w:color="auto"/>
              <w:left w:val="double" w:sz="6" w:space="0" w:color="auto"/>
            </w:tcBorders>
          </w:tcPr>
          <w:p w:rsidR="007D15C3"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Pr>
                <w:szCs w:val="22"/>
              </w:rPr>
              <w:t>Digital Television</w:t>
            </w:r>
            <w:r>
              <w:rPr>
                <w:szCs w:val="22"/>
                <w:vertAlign w:val="superscript"/>
              </w:rPr>
              <w:t>5</w:t>
            </w:r>
          </w:p>
          <w:p w:rsidR="007D15C3" w:rsidRPr="001B053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Pr>
                <w:szCs w:val="22"/>
              </w:rPr>
              <w:t>(including Satellite TV)</w:t>
            </w:r>
            <w:r w:rsidRPr="001B0532">
              <w:rPr>
                <w:szCs w:val="22"/>
                <w:vertAlign w:val="superscript"/>
              </w:rPr>
              <w:t xml:space="preserve"> </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3.25 billion population</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24,294,675</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25,473,855</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.00783665</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.007837</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25,473,855</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Digital TV Construction Permits</w:t>
            </w:r>
            <w:r w:rsidRPr="005F6BC2">
              <w:rPr>
                <w:szCs w:val="22"/>
                <w:vertAlign w:val="superscript"/>
              </w:rPr>
              <w:t>2</w:t>
            </w:r>
          </w:p>
        </w:tc>
        <w:tc>
          <w:tcPr>
            <w:tcW w:w="1620" w:type="dxa"/>
            <w:tcBorders>
              <w:top w:val="single" w:sz="6" w:space="0" w:color="auto"/>
              <w:left w:val="sing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3 </w:t>
            </w:r>
          </w:p>
        </w:tc>
        <w:tc>
          <w:tcPr>
            <w:tcW w:w="450" w:type="dxa"/>
            <w:tcBorders>
              <w:top w:val="single" w:sz="6" w:space="0" w:color="auto"/>
              <w:left w:val="sing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13,350</w:t>
            </w:r>
          </w:p>
        </w:tc>
        <w:tc>
          <w:tcPr>
            <w:tcW w:w="1170" w:type="dxa"/>
            <w:tcBorders>
              <w:top w:val="single" w:sz="6" w:space="0" w:color="auto"/>
              <w:left w:val="sing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14,850</w:t>
            </w:r>
          </w:p>
        </w:tc>
        <w:tc>
          <w:tcPr>
            <w:tcW w:w="1170" w:type="dxa"/>
            <w:tcBorders>
              <w:top w:val="single" w:sz="6" w:space="0" w:color="auto"/>
              <w:left w:val="single" w:sz="6" w:space="0" w:color="auto"/>
              <w:bottom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4,950</w:t>
            </w:r>
          </w:p>
        </w:tc>
        <w:tc>
          <w:tcPr>
            <w:tcW w:w="990" w:type="dxa"/>
            <w:tcBorders>
              <w:top w:val="single" w:sz="6" w:space="0" w:color="auto"/>
              <w:left w:val="sing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4,950</w:t>
            </w:r>
          </w:p>
        </w:tc>
        <w:tc>
          <w:tcPr>
            <w:tcW w:w="1170" w:type="dxa"/>
            <w:tcBorders>
              <w:top w:val="single" w:sz="6" w:space="0" w:color="auto"/>
              <w:left w:val="single" w:sz="6" w:space="0" w:color="auto"/>
              <w:bottom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14,850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LPTV/Translators/ Boosters/Class A TV</w:t>
            </w:r>
          </w:p>
        </w:tc>
        <w:tc>
          <w:tcPr>
            <w:tcW w:w="1620" w:type="dxa"/>
            <w:tcBorders>
              <w:top w:val="single" w:sz="6" w:space="0" w:color="auto"/>
              <w:left w:val="sing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5,340</w:t>
            </w:r>
            <w:r w:rsidRPr="005F6BC2">
              <w:rPr>
                <w:szCs w:val="22"/>
              </w:rPr>
              <w:t xml:space="preserve"> </w:t>
            </w:r>
          </w:p>
        </w:tc>
        <w:tc>
          <w:tcPr>
            <w:tcW w:w="450" w:type="dxa"/>
            <w:tcBorders>
              <w:top w:val="single" w:sz="6" w:space="0" w:color="auto"/>
              <w:left w:val="sing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1,621,500</w:t>
            </w:r>
          </w:p>
        </w:tc>
        <w:tc>
          <w:tcPr>
            <w:tcW w:w="1170" w:type="dxa"/>
            <w:tcBorders>
              <w:top w:val="single" w:sz="6" w:space="0" w:color="auto"/>
              <w:left w:val="sing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1,684,648</w:t>
            </w:r>
          </w:p>
        </w:tc>
        <w:tc>
          <w:tcPr>
            <w:tcW w:w="1170" w:type="dxa"/>
            <w:tcBorders>
              <w:top w:val="single" w:sz="6" w:space="0" w:color="auto"/>
              <w:left w:val="single" w:sz="6" w:space="0" w:color="auto"/>
              <w:bottom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15</w:t>
            </w:r>
            <w:r w:rsidRPr="005F6BC2">
              <w:rPr>
                <w:szCs w:val="22"/>
              </w:rPr>
              <w:t>.</w:t>
            </w:r>
            <w:r>
              <w:rPr>
                <w:szCs w:val="22"/>
              </w:rPr>
              <w:t>5</w:t>
            </w:r>
          </w:p>
        </w:tc>
        <w:tc>
          <w:tcPr>
            <w:tcW w:w="990" w:type="dxa"/>
            <w:tcBorders>
              <w:top w:val="single" w:sz="6" w:space="0" w:color="auto"/>
              <w:left w:val="sing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15</w:t>
            </w:r>
          </w:p>
        </w:tc>
        <w:tc>
          <w:tcPr>
            <w:tcW w:w="1170" w:type="dxa"/>
            <w:tcBorders>
              <w:top w:val="single" w:sz="6" w:space="0" w:color="auto"/>
              <w:left w:val="single" w:sz="6" w:space="0" w:color="auto"/>
              <w:bottom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1,682,100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CARS Stations</w:t>
            </w:r>
          </w:p>
        </w:tc>
        <w:tc>
          <w:tcPr>
            <w:tcW w:w="1620" w:type="dxa"/>
            <w:tcBorders>
              <w:top w:val="single" w:sz="6" w:space="0" w:color="auto"/>
              <w:left w:val="single" w:sz="6" w:space="0" w:color="auto"/>
              <w:bottom w:val="doub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60</w:t>
            </w:r>
            <w:r w:rsidRPr="005F6BC2">
              <w:rPr>
                <w:szCs w:val="22"/>
              </w:rPr>
              <w:t xml:space="preserve"> </w:t>
            </w:r>
          </w:p>
        </w:tc>
        <w:tc>
          <w:tcPr>
            <w:tcW w:w="450" w:type="dxa"/>
            <w:tcBorders>
              <w:top w:val="single" w:sz="6" w:space="0" w:color="auto"/>
              <w:left w:val="single" w:sz="6" w:space="0" w:color="auto"/>
              <w:bottom w:val="doub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doub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202,125</w:t>
            </w:r>
          </w:p>
        </w:tc>
        <w:tc>
          <w:tcPr>
            <w:tcW w:w="1170" w:type="dxa"/>
            <w:tcBorders>
              <w:top w:val="single" w:sz="6" w:space="0" w:color="auto"/>
              <w:left w:val="single" w:sz="6" w:space="0" w:color="auto"/>
              <w:bottom w:val="doub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208,683</w:t>
            </w:r>
          </w:p>
        </w:tc>
        <w:tc>
          <w:tcPr>
            <w:tcW w:w="1170" w:type="dxa"/>
            <w:tcBorders>
              <w:top w:val="single" w:sz="6" w:space="0" w:color="auto"/>
              <w:left w:val="single" w:sz="6" w:space="0" w:color="auto"/>
              <w:bottom w:val="double" w:sz="4"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304</w:t>
            </w:r>
          </w:p>
        </w:tc>
        <w:tc>
          <w:tcPr>
            <w:tcW w:w="990" w:type="dxa"/>
            <w:tcBorders>
              <w:top w:val="single" w:sz="6" w:space="0" w:color="auto"/>
              <w:left w:val="single" w:sz="6" w:space="0" w:color="auto"/>
              <w:bottom w:val="doub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300</w:t>
            </w:r>
          </w:p>
        </w:tc>
        <w:tc>
          <w:tcPr>
            <w:tcW w:w="1170" w:type="dxa"/>
            <w:tcBorders>
              <w:top w:val="single" w:sz="6" w:space="0" w:color="auto"/>
              <w:left w:val="single" w:sz="6" w:space="0" w:color="auto"/>
              <w:bottom w:val="double" w:sz="4"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208,000</w:t>
            </w:r>
          </w:p>
        </w:tc>
      </w:tr>
      <w:tr w:rsidTr="00274E20">
        <w:tblPrEx>
          <w:tblW w:w="10350" w:type="dxa"/>
          <w:tblInd w:w="-563" w:type="dxa"/>
          <w:tblLayout w:type="fixed"/>
          <w:tblCellMar>
            <w:left w:w="30" w:type="dxa"/>
            <w:right w:w="30" w:type="dxa"/>
          </w:tblCellMar>
          <w:tblLook w:val="0000"/>
        </w:tblPrEx>
        <w:tc>
          <w:tcPr>
            <w:tcW w:w="2520" w:type="dxa"/>
            <w:tcBorders>
              <w:top w:val="double" w:sz="4" w:space="0" w:color="auto"/>
              <w:left w:val="double" w:sz="6" w:space="0" w:color="auto"/>
              <w:bottom w:val="sing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Cable TV Systems, including IPTV </w:t>
            </w:r>
          </w:p>
        </w:tc>
        <w:tc>
          <w:tcPr>
            <w:tcW w:w="1620" w:type="dxa"/>
            <w:tcBorders>
              <w:top w:val="double" w:sz="4" w:space="0" w:color="auto"/>
              <w:left w:val="single" w:sz="6" w:space="0" w:color="auto"/>
              <w:bottom w:val="sing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55,500,000</w:t>
            </w:r>
            <w:r w:rsidRPr="005F6BC2">
              <w:rPr>
                <w:szCs w:val="22"/>
              </w:rPr>
              <w:t xml:space="preserve"> </w:t>
            </w:r>
          </w:p>
        </w:tc>
        <w:tc>
          <w:tcPr>
            <w:tcW w:w="450" w:type="dxa"/>
            <w:tcBorders>
              <w:top w:val="double" w:sz="4" w:space="0" w:color="auto"/>
              <w:left w:val="single" w:sz="6" w:space="0" w:color="auto"/>
              <w:bottom w:val="sing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double" w:sz="4" w:space="0" w:color="auto"/>
              <w:left w:val="single" w:sz="6" w:space="0" w:color="auto"/>
              <w:bottom w:val="sing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49,020,000</w:t>
            </w:r>
          </w:p>
        </w:tc>
        <w:tc>
          <w:tcPr>
            <w:tcW w:w="1170" w:type="dxa"/>
            <w:tcBorders>
              <w:top w:val="double" w:sz="4" w:space="0" w:color="auto"/>
              <w:left w:val="single" w:sz="6" w:space="0" w:color="auto"/>
              <w:bottom w:val="sing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49,207,472</w:t>
            </w:r>
          </w:p>
        </w:tc>
        <w:tc>
          <w:tcPr>
            <w:tcW w:w="1170" w:type="dxa"/>
            <w:tcBorders>
              <w:top w:val="double" w:sz="4" w:space="0" w:color="auto"/>
              <w:left w:val="single" w:sz="6" w:space="0" w:color="auto"/>
              <w:bottom w:val="single" w:sz="4"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w:t>
            </w:r>
            <w:r>
              <w:rPr>
                <w:szCs w:val="22"/>
              </w:rPr>
              <w:t>887</w:t>
            </w:r>
          </w:p>
        </w:tc>
        <w:tc>
          <w:tcPr>
            <w:tcW w:w="990" w:type="dxa"/>
            <w:tcBorders>
              <w:top w:val="double" w:sz="4" w:space="0" w:color="auto"/>
              <w:left w:val="single" w:sz="6" w:space="0" w:color="auto"/>
              <w:bottom w:val="sing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w:t>
            </w:r>
            <w:r>
              <w:rPr>
                <w:szCs w:val="22"/>
              </w:rPr>
              <w:t>89</w:t>
            </w:r>
          </w:p>
        </w:tc>
        <w:tc>
          <w:tcPr>
            <w:tcW w:w="1170" w:type="dxa"/>
            <w:tcBorders>
              <w:top w:val="double" w:sz="4" w:space="0" w:color="auto"/>
              <w:left w:val="single" w:sz="6" w:space="0" w:color="auto"/>
              <w:bottom w:val="single" w:sz="4"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49,395,000</w:t>
            </w:r>
          </w:p>
        </w:tc>
      </w:tr>
      <w:tr w:rsidTr="00274E20">
        <w:tblPrEx>
          <w:tblW w:w="10350" w:type="dxa"/>
          <w:tblInd w:w="-563" w:type="dxa"/>
          <w:tblLayout w:type="fixed"/>
          <w:tblCellMar>
            <w:left w:w="30" w:type="dxa"/>
            <w:right w:w="30" w:type="dxa"/>
          </w:tblCellMar>
          <w:tblLook w:val="0000"/>
        </w:tblPrEx>
        <w:tc>
          <w:tcPr>
            <w:tcW w:w="2520" w:type="dxa"/>
            <w:tcBorders>
              <w:top w:val="single" w:sz="4"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Direct Broadcast Satellite (DBS)</w:t>
            </w:r>
          </w:p>
        </w:tc>
        <w:tc>
          <w:tcPr>
            <w:tcW w:w="1620" w:type="dxa"/>
            <w:tcBorders>
              <w:top w:val="single" w:sz="4"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27,800,000</w:t>
            </w:r>
          </w:p>
        </w:tc>
        <w:tc>
          <w:tcPr>
            <w:tcW w:w="450" w:type="dxa"/>
            <w:tcBorders>
              <w:top w:val="single" w:sz="4"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4"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18,000,000</w:t>
            </w:r>
          </w:p>
        </w:tc>
        <w:tc>
          <w:tcPr>
            <w:tcW w:w="1170" w:type="dxa"/>
            <w:tcBorders>
              <w:top w:val="single" w:sz="4"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20,117,050</w:t>
            </w:r>
          </w:p>
        </w:tc>
        <w:tc>
          <w:tcPr>
            <w:tcW w:w="1170" w:type="dxa"/>
            <w:tcBorders>
              <w:top w:val="single" w:sz="4"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.724</w:t>
            </w:r>
          </w:p>
        </w:tc>
        <w:tc>
          <w:tcPr>
            <w:tcW w:w="990" w:type="dxa"/>
            <w:tcBorders>
              <w:top w:val="single" w:sz="4"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w:t>
            </w:r>
            <w:r>
              <w:rPr>
                <w:szCs w:val="22"/>
              </w:rPr>
              <w:t>72</w:t>
            </w:r>
          </w:p>
        </w:tc>
        <w:tc>
          <w:tcPr>
            <w:tcW w:w="1170" w:type="dxa"/>
            <w:tcBorders>
              <w:top w:val="single" w:sz="4"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20,116,000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Interstate Telecommunication Service Providers</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$30,700,000,000</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102,708,000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98,504,384</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0.003</w:t>
            </w:r>
            <w:r>
              <w:rPr>
                <w:szCs w:val="22"/>
              </w:rPr>
              <w:t>209</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0.003</w:t>
            </w:r>
            <w:r>
              <w:rPr>
                <w:szCs w:val="22"/>
              </w:rPr>
              <w:t>21</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98,547,000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Toll Free Numbers</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33,000,000</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3,960,000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3,975,316</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w:t>
            </w:r>
            <w:r>
              <w:rPr>
                <w:szCs w:val="22"/>
              </w:rPr>
              <w:t>205</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0.12</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3,960,000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CMRS Mobile Services (Cellular/Public Mobile)</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42</w:t>
            </w:r>
            <w:r>
              <w:rPr>
                <w:szCs w:val="22"/>
              </w:rPr>
              <w:t>5</w:t>
            </w:r>
            <w:r w:rsidRPr="005F6BC2">
              <w:rPr>
                <w:szCs w:val="22"/>
              </w:rPr>
              <w:t xml:space="preserve">,000,000 </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79,990,000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72,127,369</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w:t>
            </w:r>
            <w:r>
              <w:rPr>
                <w:szCs w:val="22"/>
              </w:rPr>
              <w:t>697</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0.1</w:t>
            </w:r>
            <w:r>
              <w:rPr>
                <w:szCs w:val="22"/>
              </w:rPr>
              <w:t>7</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72,250,000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CMRS Messag</w:t>
            </w:r>
            <w:r>
              <w:rPr>
                <w:szCs w:val="22"/>
              </w:rPr>
              <w:t>ing</w:t>
            </w:r>
            <w:r w:rsidRPr="005F6BC2">
              <w:rPr>
                <w:szCs w:val="22"/>
              </w:rPr>
              <w:t xml:space="preserve"> Services</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 xml:space="preserve">1,900,000 </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152,000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152,000</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0.0800</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0.080</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152,000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8772C8">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BRS/</w:t>
            </w:r>
            <w:r w:rsidRPr="005F6BC2">
              <w:rPr>
                <w:szCs w:val="22"/>
                <w:vertAlign w:val="superscript"/>
              </w:rPr>
              <w:t>3</w:t>
            </w:r>
          </w:p>
          <w:p w:rsidR="007D15C3" w:rsidRPr="005F6BC2" w:rsidP="008772C8">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LMDS </w:t>
            </w:r>
          </w:p>
          <w:p w:rsidR="007D15C3" w:rsidRPr="005F6BC2" w:rsidP="008772C8">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1,2</w:t>
            </w:r>
            <w:r>
              <w:rPr>
                <w:szCs w:val="22"/>
              </w:rPr>
              <w:t>8</w:t>
            </w:r>
            <w:r w:rsidRPr="005F6BC2">
              <w:rPr>
                <w:szCs w:val="22"/>
              </w:rPr>
              <w:t>0</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5F6BC2">
              <w:rPr>
                <w:szCs w:val="22"/>
              </w:rPr>
              <w:t>40</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869,400</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96,600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716,800</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190,400</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560</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560</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560</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560</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716,800</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190,400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 xml:space="preserve">Per Gbps circuit Int’l Bearer Circuits </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Terrestrial (Common &amp; Non-Common) &amp; Satellite (Common &amp; Non-Common) </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10,700</w:t>
            </w:r>
            <w:r w:rsidRPr="005F6BC2">
              <w:rPr>
                <w:szCs w:val="22"/>
              </w:rPr>
              <w:t xml:space="preserve"> </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900,240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436,293</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40.8</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41</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438,700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8772C8">
            <w:pPr>
              <w:tabs>
                <w:tab w:val="left" w:pos="-1440"/>
                <w:tab w:val="left" w:pos="-720"/>
                <w:tab w:val="left" w:pos="720"/>
                <w:tab w:val="left" w:pos="750"/>
                <w:tab w:val="left" w:pos="1440"/>
                <w:tab w:val="left" w:pos="2160"/>
                <w:tab w:val="left" w:pos="2880"/>
                <w:tab w:val="left" w:pos="3600"/>
                <w:tab w:val="left" w:pos="4680"/>
                <w:tab w:val="left" w:pos="5040"/>
              </w:tabs>
              <w:suppressAutoHyphens/>
              <w:spacing w:after="48"/>
              <w:rPr>
                <w:szCs w:val="22"/>
              </w:rPr>
            </w:pPr>
            <w:r w:rsidRPr="005F6BC2">
              <w:rPr>
                <w:szCs w:val="22"/>
              </w:rPr>
              <w:t xml:space="preserve">Submarine Cable Providers (See chart at bottom of Appendix </w:t>
            </w:r>
            <w:r>
              <w:rPr>
                <w:szCs w:val="22"/>
              </w:rPr>
              <w:t>C</w:t>
            </w:r>
            <w:r w:rsidRPr="005F6BC2">
              <w:rPr>
                <w:szCs w:val="22"/>
              </w:rPr>
              <w:t>)</w:t>
            </w:r>
            <w:r w:rsidRPr="005F6BC2">
              <w:rPr>
                <w:szCs w:val="22"/>
                <w:vertAlign w:val="superscript"/>
              </w:rPr>
              <w:t>4</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1.063</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6,36</w:t>
            </w:r>
            <w:r>
              <w:rPr>
                <w:szCs w:val="22"/>
              </w:rPr>
              <w:t>3</w:t>
            </w:r>
            <w:r w:rsidRPr="005F6BC2">
              <w:rPr>
                <w:szCs w:val="22"/>
              </w:rPr>
              <w:t>,</w:t>
            </w:r>
            <w:r>
              <w:rPr>
                <w:szCs w:val="22"/>
              </w:rPr>
              <w:t>741</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8,280,414</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266,573</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266,575</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8,280,486</w:t>
            </w:r>
          </w:p>
        </w:tc>
      </w:tr>
      <w:tr w:rsidTr="00274E20">
        <w:tblPrEx>
          <w:tblW w:w="10350" w:type="dxa"/>
          <w:tblInd w:w="-563" w:type="dxa"/>
          <w:tblLayout w:type="fixed"/>
          <w:tblCellMar>
            <w:left w:w="30" w:type="dxa"/>
            <w:right w:w="30" w:type="dxa"/>
          </w:tblCellMar>
          <w:tblLook w:val="0000"/>
        </w:tblPrEx>
        <w:trPr>
          <w:trHeight w:val="370"/>
        </w:trPr>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5F6BC2">
              <w:rPr>
                <w:szCs w:val="22"/>
              </w:rPr>
              <w:t xml:space="preserve">Earth Stations </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3,</w:t>
            </w:r>
            <w:r>
              <w:rPr>
                <w:szCs w:val="22"/>
              </w:rPr>
              <w:t>0</w:t>
            </w:r>
            <w:r w:rsidRPr="005F6BC2">
              <w:rPr>
                <w:szCs w:val="22"/>
              </w:rPr>
              <w:t xml:space="preserve">00 </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1,402,500</w:t>
            </w:r>
          </w:p>
        </w:tc>
        <w:tc>
          <w:tcPr>
            <w:tcW w:w="117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678,050</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559</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560</w:t>
            </w:r>
          </w:p>
        </w:tc>
        <w:tc>
          <w:tcPr>
            <w:tcW w:w="1170"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680,000</w:t>
            </w:r>
          </w:p>
        </w:tc>
      </w:tr>
      <w:tr w:rsidTr="00274E20">
        <w:tblPrEx>
          <w:tblW w:w="10350" w:type="dxa"/>
          <w:tblInd w:w="-563" w:type="dxa"/>
          <w:tblLayout w:type="fixed"/>
          <w:tblCellMar>
            <w:left w:w="30" w:type="dxa"/>
            <w:right w:w="30" w:type="dxa"/>
          </w:tblCellMar>
          <w:tblLook w:val="0000"/>
        </w:tblPrEx>
        <w:trPr>
          <w:trHeight w:val="595"/>
        </w:trPr>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Space Stations (Geostationary) </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179</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 xml:space="preserve">1 </w:t>
            </w:r>
          </w:p>
        </w:tc>
        <w:tc>
          <w:tcPr>
            <w:tcW w:w="1260" w:type="dxa"/>
            <w:tcBorders>
              <w:top w:val="single" w:sz="6" w:space="0" w:color="auto"/>
              <w:left w:val="single" w:sz="6" w:space="0" w:color="auto"/>
              <w:bottom w:val="single" w:sz="2"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15,643,250</w:t>
            </w:r>
          </w:p>
        </w:tc>
        <w:tc>
          <w:tcPr>
            <w:tcW w:w="1170" w:type="dxa"/>
            <w:tcBorders>
              <w:top w:val="single" w:sz="6" w:space="0" w:color="auto"/>
              <w:left w:val="single" w:sz="6" w:space="0" w:color="auto"/>
              <w:bottom w:val="single" w:sz="2"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6,092,194</w:t>
            </w: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89,901</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89,900</w:t>
            </w:r>
          </w:p>
        </w:tc>
        <w:tc>
          <w:tcPr>
            <w:tcW w:w="1170" w:type="dxa"/>
            <w:tcBorders>
              <w:top w:val="single" w:sz="6" w:space="0" w:color="auto"/>
              <w:left w:val="single" w:sz="6" w:space="0" w:color="auto"/>
              <w:bottom w:val="single" w:sz="2"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w:t>
            </w:r>
            <w:r>
              <w:rPr>
                <w:szCs w:val="22"/>
              </w:rPr>
              <w:t>6,092,100</w:t>
            </w:r>
          </w:p>
        </w:tc>
      </w:tr>
      <w:tr w:rsidTr="00274E20">
        <w:tblPrEx>
          <w:tblW w:w="10350" w:type="dxa"/>
          <w:tblInd w:w="-563" w:type="dxa"/>
          <w:tblLayout w:type="fixed"/>
          <w:tblCellMar>
            <w:left w:w="30" w:type="dxa"/>
            <w:right w:w="30" w:type="dxa"/>
          </w:tblCellMar>
          <w:tblLook w:val="0000"/>
        </w:tblPrEx>
        <w:trPr>
          <w:trHeight w:val="813"/>
        </w:trPr>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5F6BC2">
              <w:rPr>
                <w:szCs w:val="22"/>
              </w:rPr>
              <w:t xml:space="preserve">Space Stations (Non-Geostationary) </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14</w:t>
            </w: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5F6BC2">
              <w:rPr>
                <w:szCs w:val="22"/>
              </w:rPr>
              <w:t>1</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5F6BC2">
              <w:rPr>
                <w:szCs w:val="22"/>
              </w:rPr>
              <w:t>1,084,125</w:t>
            </w:r>
          </w:p>
        </w:tc>
        <w:tc>
          <w:tcPr>
            <w:tcW w:w="1170" w:type="dxa"/>
            <w:tcBorders>
              <w:top w:val="single" w:sz="2" w:space="0" w:color="auto"/>
              <w:left w:val="nil"/>
              <w:bottom w:val="single" w:sz="2" w:space="0" w:color="auto"/>
              <w:right w:val="single" w:sz="2"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4,023,049</w:t>
            </w:r>
          </w:p>
        </w:tc>
        <w:tc>
          <w:tcPr>
            <w:tcW w:w="1170" w:type="dxa"/>
            <w:tcBorders>
              <w:top w:val="single" w:sz="6" w:space="0" w:color="auto"/>
              <w:left w:val="nil"/>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287,361</w:t>
            </w: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287,350</w:t>
            </w:r>
          </w:p>
        </w:tc>
        <w:tc>
          <w:tcPr>
            <w:tcW w:w="1170" w:type="dxa"/>
            <w:tcBorders>
              <w:top w:val="single" w:sz="2" w:space="0" w:color="auto"/>
              <w:left w:val="single" w:sz="2" w:space="0" w:color="auto"/>
              <w:bottom w:val="single" w:sz="2" w:space="0" w:color="auto"/>
              <w:right w:val="double" w:sz="2"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Pr>
                <w:szCs w:val="22"/>
              </w:rPr>
              <w:t>4,022,900</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5F6BC2">
              <w:rPr>
                <w:b/>
                <w:szCs w:val="22"/>
              </w:rPr>
              <w:t>******  Total Estimated Revenue to be Collected</w:t>
            </w:r>
          </w:p>
        </w:tc>
        <w:tc>
          <w:tcPr>
            <w:tcW w:w="162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260" w:type="dxa"/>
            <w:tcBorders>
              <w:top w:val="single" w:sz="2"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5F6BC2">
              <w:rPr>
                <w:b/>
                <w:szCs w:val="22"/>
              </w:rPr>
              <w:t>3</w:t>
            </w:r>
            <w:r>
              <w:rPr>
                <w:b/>
                <w:szCs w:val="22"/>
              </w:rPr>
              <w:t>40,929,616</w:t>
            </w:r>
          </w:p>
        </w:tc>
        <w:tc>
          <w:tcPr>
            <w:tcW w:w="1170" w:type="dxa"/>
            <w:tcBorders>
              <w:top w:val="single" w:sz="2" w:space="0" w:color="auto"/>
              <w:left w:val="single" w:sz="6" w:space="0" w:color="auto"/>
              <w:bottom w:val="single" w:sz="2"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5F6BC2">
              <w:rPr>
                <w:b/>
                <w:szCs w:val="22"/>
              </w:rPr>
              <w:t>3</w:t>
            </w:r>
            <w:r>
              <w:rPr>
                <w:b/>
                <w:szCs w:val="22"/>
              </w:rPr>
              <w:t>38,686,759</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6" w:space="0" w:color="auto"/>
              <w:left w:val="sing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6" w:space="0" w:color="auto"/>
              <w:bottom w:val="single" w:sz="2"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338,911,046</w:t>
            </w:r>
          </w:p>
        </w:tc>
      </w:tr>
      <w:tr w:rsidTr="00274E20">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5F6BC2">
              <w:rPr>
                <w:b/>
                <w:szCs w:val="22"/>
              </w:rPr>
              <w:t>******  Total Revenue Requirement</w:t>
            </w:r>
          </w:p>
        </w:tc>
        <w:tc>
          <w:tcPr>
            <w:tcW w:w="1620" w:type="dxa"/>
            <w:tcBorders>
              <w:top w:val="single" w:sz="6" w:space="0" w:color="auto"/>
              <w:left w:val="single" w:sz="6" w:space="0" w:color="auto"/>
              <w:bottom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single" w:sz="6" w:space="0" w:color="auto"/>
              <w:left w:val="single" w:sz="6" w:space="0" w:color="auto"/>
              <w:bottom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single" w:sz="6" w:space="0" w:color="auto"/>
              <w:left w:val="single" w:sz="6" w:space="0" w:color="auto"/>
              <w:bottom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5F6BC2">
              <w:rPr>
                <w:b/>
                <w:szCs w:val="22"/>
              </w:rPr>
              <w:t>3</w:t>
            </w:r>
            <w:r>
              <w:rPr>
                <w:b/>
                <w:szCs w:val="22"/>
              </w:rPr>
              <w:t>39,000,000</w:t>
            </w:r>
          </w:p>
        </w:tc>
        <w:tc>
          <w:tcPr>
            <w:tcW w:w="1170" w:type="dxa"/>
            <w:tcBorders>
              <w:top w:val="single" w:sz="2" w:space="0" w:color="auto"/>
              <w:left w:val="single" w:sz="2" w:space="0" w:color="auto"/>
              <w:bottom w:val="double" w:sz="6" w:space="0" w:color="auto"/>
              <w:right w:val="single" w:sz="2"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5F6BC2">
              <w:rPr>
                <w:b/>
                <w:szCs w:val="22"/>
              </w:rPr>
              <w:t>339,000,000</w:t>
            </w:r>
          </w:p>
        </w:tc>
        <w:tc>
          <w:tcPr>
            <w:tcW w:w="1170" w:type="dxa"/>
            <w:tcBorders>
              <w:top w:val="single" w:sz="6" w:space="0" w:color="auto"/>
              <w:left w:val="nil"/>
              <w:bottom w:val="doub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bottom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2" w:space="0" w:color="auto"/>
              <w:bottom w:val="double" w:sz="6" w:space="0" w:color="auto"/>
              <w:right w:val="double" w:sz="2"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5F6BC2">
              <w:rPr>
                <w:b/>
                <w:szCs w:val="22"/>
              </w:rPr>
              <w:t>339,000,000</w:t>
            </w:r>
          </w:p>
        </w:tc>
      </w:tr>
      <w:tr w:rsidTr="00274E20">
        <w:tblPrEx>
          <w:tblW w:w="10350" w:type="dxa"/>
          <w:tblInd w:w="-563" w:type="dxa"/>
          <w:tblLayout w:type="fixed"/>
          <w:tblCellMar>
            <w:left w:w="30" w:type="dxa"/>
            <w:right w:w="30" w:type="dxa"/>
          </w:tblCellMar>
          <w:tblLook w:val="0000"/>
        </w:tblPrEx>
        <w:tc>
          <w:tcPr>
            <w:tcW w:w="2520" w:type="dxa"/>
            <w:tcBorders>
              <w:top w:val="double" w:sz="6" w:space="0" w:color="auto"/>
              <w:left w:val="double" w:sz="6" w:space="0" w:color="auto"/>
              <w:bottom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5F6BC2">
              <w:rPr>
                <w:b/>
                <w:szCs w:val="22"/>
              </w:rPr>
              <w:t xml:space="preserve">                   Difference</w:t>
            </w:r>
          </w:p>
        </w:tc>
        <w:tc>
          <w:tcPr>
            <w:tcW w:w="1620" w:type="dxa"/>
            <w:tcBorders>
              <w:top w:val="double" w:sz="6" w:space="0" w:color="auto"/>
              <w:left w:val="single" w:sz="6" w:space="0" w:color="auto"/>
              <w:bottom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double" w:sz="6" w:space="0" w:color="auto"/>
              <w:left w:val="single" w:sz="6" w:space="0" w:color="auto"/>
              <w:bottom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double" w:sz="6" w:space="0" w:color="auto"/>
              <w:left w:val="single" w:sz="6" w:space="0" w:color="auto"/>
              <w:bottom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1,929,616</w:t>
            </w:r>
          </w:p>
        </w:tc>
        <w:tc>
          <w:tcPr>
            <w:tcW w:w="1170" w:type="dxa"/>
            <w:tcBorders>
              <w:top w:val="double" w:sz="6" w:space="0" w:color="auto"/>
              <w:left w:val="single" w:sz="6" w:space="0" w:color="auto"/>
              <w:bottom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(313,241)</w:t>
            </w:r>
          </w:p>
        </w:tc>
        <w:tc>
          <w:tcPr>
            <w:tcW w:w="1170" w:type="dxa"/>
            <w:tcBorders>
              <w:top w:val="double" w:sz="6" w:space="0" w:color="auto"/>
              <w:left w:val="single" w:sz="6" w:space="0" w:color="auto"/>
              <w:bottom w:val="double" w:sz="6" w:space="0" w:color="auto"/>
              <w:right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double" w:sz="6" w:space="0" w:color="auto"/>
              <w:left w:val="single" w:sz="6" w:space="0" w:color="auto"/>
              <w:bottom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double" w:sz="6" w:space="0" w:color="auto"/>
              <w:left w:val="single" w:sz="6" w:space="0" w:color="auto"/>
              <w:bottom w:val="doub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(88,954)</w:t>
            </w:r>
          </w:p>
        </w:tc>
      </w:tr>
    </w:tbl>
    <w:p w:rsidR="007D15C3" w:rsidRPr="005F6BC2" w:rsidP="007D15C3">
      <w:pPr>
        <w:tabs>
          <w:tab w:val="left" w:pos="3629"/>
        </w:tabs>
        <w:jc w:val="center"/>
        <w:rPr>
          <w:b/>
        </w:rPr>
      </w:pPr>
    </w:p>
    <w:p w:rsidR="007D15C3" w:rsidRPr="005F6BC2" w:rsidP="007D15C3">
      <w:pPr>
        <w:widowControl/>
        <w:rPr>
          <w:szCs w:val="22"/>
          <w:u w:val="single"/>
        </w:rPr>
      </w:pPr>
      <w:r w:rsidRPr="005F6BC2">
        <w:rPr>
          <w:szCs w:val="22"/>
          <w:u w:val="single"/>
        </w:rPr>
        <w:br w:type="page"/>
      </w:r>
      <w:r w:rsidRPr="005F6BC2">
        <w:rPr>
          <w:szCs w:val="22"/>
          <w:u w:val="single"/>
        </w:rPr>
        <w:t>Notes on Appendix B</w:t>
      </w:r>
    </w:p>
    <w:p w:rsidR="007D15C3" w:rsidRPr="005F6BC2" w:rsidP="007D15C3">
      <w:pPr>
        <w:widowControl/>
        <w:rPr>
          <w:szCs w:val="22"/>
        </w:rPr>
      </w:pPr>
    </w:p>
    <w:p w:rsidR="007D15C3" w:rsidRPr="005F6BC2" w:rsidP="007D15C3">
      <w:pPr>
        <w:widowControl/>
        <w:rPr>
          <w:szCs w:val="22"/>
        </w:rPr>
      </w:pPr>
      <w:r w:rsidRPr="005F6BC2">
        <w:rPr>
          <w:szCs w:val="22"/>
          <w:vertAlign w:val="superscript"/>
        </w:rPr>
        <w:t>1</w:t>
      </w:r>
      <w:r w:rsidRPr="005F6BC2">
        <w:rPr>
          <w:szCs w:val="22"/>
        </w:rPr>
        <w:t xml:space="preserve"> The fee amounts listed in the column entitled “Rounded New FY 20</w:t>
      </w:r>
      <w:r>
        <w:rPr>
          <w:szCs w:val="22"/>
        </w:rPr>
        <w:t>20</w:t>
      </w:r>
      <w:r w:rsidRPr="005F6BC2">
        <w:rPr>
          <w:szCs w:val="22"/>
        </w:rPr>
        <w:t xml:space="preserve"> Regulatory Fee” constitute a weighted average broadcast regulatory fee by class of service.  The actual FY 20</w:t>
      </w:r>
      <w:r>
        <w:rPr>
          <w:szCs w:val="22"/>
        </w:rPr>
        <w:t>20</w:t>
      </w:r>
      <w:r w:rsidRPr="005F6BC2">
        <w:rPr>
          <w:szCs w:val="22"/>
        </w:rPr>
        <w:t xml:space="preserve"> regulatory fees for AM/FM radio station are listed on a grid located at the end of Appendix C.</w:t>
      </w:r>
    </w:p>
    <w:p w:rsidR="007D15C3" w:rsidRPr="005F6BC2" w:rsidP="007D15C3">
      <w:pPr>
        <w:widowControl/>
        <w:rPr>
          <w:szCs w:val="22"/>
        </w:rPr>
      </w:pP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vertAlign w:val="superscript"/>
        </w:rPr>
      </w:pPr>
      <w:r w:rsidRPr="005F6BC2">
        <w:rPr>
          <w:szCs w:val="22"/>
          <w:vertAlign w:val="superscript"/>
        </w:rPr>
        <w:t>2</w:t>
      </w:r>
      <w:r w:rsidRPr="005F6BC2">
        <w:rPr>
          <w:szCs w:val="22"/>
        </w:rPr>
        <w:t xml:space="preserve"> The AM and FM Construction Permit revenues and the Digital (VHF/UHF) Construction Permit revenues were adjusted, respectively, to set the regulatory fee to an amount no higher than the lowest licensed fee for that class of service.  Reductions in the Digital (VHF/UHF) Construction Permit revenues, and in the AM and FM Construction Permit revenues, were offset by increases in the revenue totals for Digital television stations by market size, and in the AM and FM radio stations by class size and population served, respectively. </w:t>
      </w: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5F6BC2">
        <w:rPr>
          <w:szCs w:val="22"/>
          <w:vertAlign w:val="superscript"/>
        </w:rPr>
        <w:t>3</w:t>
      </w:r>
      <w:r w:rsidRPr="005F6BC2">
        <w:rPr>
          <w:szCs w:val="22"/>
        </w:rPr>
        <w:t xml:space="preserve"> </w:t>
      </w:r>
      <w:r>
        <w:rPr>
          <w:szCs w:val="22"/>
        </w:rPr>
        <w:t xml:space="preserve">The </w:t>
      </w:r>
      <w:r w:rsidRPr="005F6BC2">
        <w:rPr>
          <w:szCs w:val="22"/>
        </w:rPr>
        <w:t xml:space="preserve">MDS/MMDS category was renamed Broadband Radio Service (BRS).  </w:t>
      </w:r>
      <w:r w:rsidRPr="005F6BC2">
        <w:rPr>
          <w:i/>
          <w:szCs w:val="22"/>
        </w:rPr>
        <w:t>See Amendment of Parts 1, 21, 73, 74 and 101 of the Commission’s Rules to Facilitate the Provision of Fixed and Mobile Broadband Access, Educational and Other Advanced Services in the 2150-2162 and 2500-2690 MHz Bands</w:t>
      </w:r>
      <w:r w:rsidRPr="005F6BC2">
        <w:rPr>
          <w:szCs w:val="22"/>
        </w:rPr>
        <w:t>, Report &amp; Order and Further Notice of Proposed Rulemaking, 19 FCC Rcd 14165, 14169, para. 6 (2004).</w:t>
      </w:r>
    </w:p>
    <w:p w:rsidR="007D15C3"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5F6BC2">
        <w:rPr>
          <w:szCs w:val="22"/>
          <w:vertAlign w:val="superscript"/>
        </w:rPr>
        <w:t>4</w:t>
      </w:r>
      <w:r w:rsidRPr="005F6BC2">
        <w:rPr>
          <w:szCs w:val="22"/>
        </w:rPr>
        <w:t xml:space="preserve"> The chart at the end of Appendix C lists the submarine cable bearer circuit regulatory fees (common and non-common carrier basis) that resulted from the adoption of the </w:t>
      </w:r>
      <w:r w:rsidRPr="005F6BC2">
        <w:rPr>
          <w:i/>
          <w:szCs w:val="22"/>
        </w:rPr>
        <w:t xml:space="preserve">Assessment and Collection of Regulatory Fees for Fiscal Year 2008, </w:t>
      </w:r>
      <w:r w:rsidRPr="005F6BC2">
        <w:rPr>
          <w:szCs w:val="22"/>
        </w:rPr>
        <w:t xml:space="preserve">Report and Order and Further Notice of Proposed Rulemaking, 24 FCC Rcd 6388 (2008) and </w:t>
      </w:r>
      <w:r w:rsidRPr="005F6BC2">
        <w:rPr>
          <w:i/>
          <w:szCs w:val="22"/>
        </w:rPr>
        <w:t>Assessment and Collection of Regulatory Fees for Fiscal Year 2008</w:t>
      </w:r>
      <w:r w:rsidRPr="005F6BC2">
        <w:rPr>
          <w:szCs w:val="22"/>
        </w:rPr>
        <w:t>, Second Report and Order, 24 FCC Rcd 4208 (2009).</w:t>
      </w:r>
      <w:r>
        <w:rPr>
          <w:szCs w:val="22"/>
        </w:rPr>
        <w:t xml:space="preserve">  The Submarine Cable fee in Appendix B is a weighted average of the various fee payers in the chart at the end of Appendix C. </w:t>
      </w:r>
    </w:p>
    <w:p w:rsidR="007D15C3" w:rsidRPr="003E784F"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Pr>
          <w:szCs w:val="22"/>
          <w:vertAlign w:val="superscript"/>
        </w:rPr>
        <w:t xml:space="preserve">5 </w:t>
      </w:r>
      <w:r>
        <w:rPr>
          <w:szCs w:val="22"/>
        </w:rPr>
        <w:t xml:space="preserve">The actual digital television regulatory fees to be paid by call sign are identified in Appendix </w:t>
      </w:r>
      <w:r w:rsidRPr="002C7C70">
        <w:rPr>
          <w:szCs w:val="22"/>
        </w:rPr>
        <w:t>G</w:t>
      </w:r>
      <w:r w:rsidRPr="00AA1125">
        <w:rPr>
          <w:szCs w:val="22"/>
        </w:rPr>
        <w:t>.</w:t>
      </w:r>
      <w:r>
        <w:rPr>
          <w:szCs w:val="22"/>
        </w:rPr>
        <w:t xml:space="preserve">  </w:t>
      </w: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5F6BC2">
        <w:rPr>
          <w:szCs w:val="22"/>
        </w:rPr>
        <w:t xml:space="preserve">   </w:t>
      </w:r>
    </w:p>
    <w:p w:rsidR="007D15C3" w:rsidRPr="005F6BC2" w:rsidP="007D15C3">
      <w:pPr>
        <w:widowControl/>
        <w:rPr>
          <w:b/>
          <w:szCs w:val="22"/>
        </w:rPr>
        <w:sectPr w:rsidSect="007672E3">
          <w:endnotePr>
            <w:numFmt w:val="decimal"/>
          </w:endnotePr>
          <w:pgSz w:w="12240" w:h="15840" w:code="1"/>
          <w:pgMar w:top="1440" w:right="1440" w:bottom="720" w:left="1440" w:header="720" w:footer="720" w:gutter="0"/>
          <w:cols w:space="720"/>
          <w:noEndnote/>
          <w:titlePg/>
          <w:docGrid w:linePitch="299"/>
        </w:sectPr>
      </w:pPr>
    </w:p>
    <w:p w:rsidR="007D15C3" w:rsidRPr="005F6BC2" w:rsidP="007D15C3">
      <w:pPr>
        <w:tabs>
          <w:tab w:val="left" w:pos="3629"/>
        </w:tabs>
        <w:jc w:val="center"/>
        <w:rPr>
          <w:b/>
          <w:szCs w:val="22"/>
        </w:rPr>
      </w:pPr>
      <w:r w:rsidRPr="005F6BC2">
        <w:rPr>
          <w:b/>
          <w:szCs w:val="22"/>
        </w:rPr>
        <w:t>APPENDIX C</w:t>
      </w:r>
    </w:p>
    <w:p w:rsidR="007D15C3" w:rsidRPr="005F6BC2" w:rsidP="007D15C3">
      <w:pPr>
        <w:tabs>
          <w:tab w:val="left" w:pos="3629"/>
        </w:tabs>
        <w:jc w:val="center"/>
        <w:rPr>
          <w:b/>
          <w:szCs w:val="22"/>
        </w:rPr>
      </w:pPr>
    </w:p>
    <w:p w:rsidR="007D15C3" w:rsidP="007D15C3">
      <w:pPr>
        <w:tabs>
          <w:tab w:val="left" w:pos="3629"/>
        </w:tabs>
        <w:jc w:val="center"/>
        <w:rPr>
          <w:b/>
          <w:szCs w:val="22"/>
        </w:rPr>
      </w:pPr>
      <w:r w:rsidRPr="005F6BC2">
        <w:rPr>
          <w:b/>
          <w:szCs w:val="22"/>
        </w:rPr>
        <w:t>Regulatory Fees</w:t>
      </w:r>
    </w:p>
    <w:p w:rsidR="007D15C3" w:rsidRPr="005F6BC2" w:rsidP="007D15C3">
      <w:pPr>
        <w:tabs>
          <w:tab w:val="left" w:pos="3629"/>
        </w:tabs>
        <w:jc w:val="center"/>
        <w:rPr>
          <w:b/>
          <w:szCs w:val="22"/>
        </w:rPr>
      </w:pPr>
      <w:r w:rsidRPr="005F6BC2">
        <w:rPr>
          <w:b/>
          <w:szCs w:val="22"/>
        </w:rPr>
        <w:t>FY 20</w:t>
      </w:r>
      <w:r>
        <w:rPr>
          <w:b/>
          <w:szCs w:val="22"/>
        </w:rPr>
        <w:t>20</w:t>
      </w:r>
    </w:p>
    <w:p w:rsidR="007D15C3" w:rsidRPr="005F6BC2" w:rsidP="007D15C3">
      <w:pPr>
        <w:tabs>
          <w:tab w:val="left" w:pos="3629"/>
        </w:tabs>
        <w:jc w:val="center"/>
        <w:rPr>
          <w:b/>
          <w:szCs w:val="22"/>
        </w:rPr>
      </w:pPr>
    </w:p>
    <w:p w:rsidR="007D15C3" w:rsidRPr="005F6BC2" w:rsidP="007D15C3">
      <w:pPr>
        <w:tabs>
          <w:tab w:val="center" w:pos="5040"/>
        </w:tabs>
        <w:suppressAutoHyphens/>
        <w:outlineLvl w:val="0"/>
        <w:rPr>
          <w:szCs w:val="22"/>
        </w:rPr>
      </w:pPr>
      <w:r w:rsidRPr="005F6BC2">
        <w:rPr>
          <w:szCs w:val="22"/>
        </w:rPr>
        <w:t>Regulatory fees for the categories shaded in gray are collected by the Commission in advance to cover the term of the license and are submitted at the time the application is filed.</w:t>
      </w: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5F6BC2">
        <w:rPr>
          <w:szCs w:val="22"/>
        </w:rPr>
        <w:tab/>
      </w:r>
      <w:r w:rsidRPr="005F6BC2">
        <w:rPr>
          <w:szCs w:val="22"/>
        </w:rPr>
        <w:tab/>
      </w:r>
      <w:r w:rsidRPr="005F6BC2">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47"/>
      </w:tblGrid>
      <w:tr w:rsidTr="00274E20">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5F6BC2">
              <w:rPr>
                <w:szCs w:val="22"/>
              </w:rPr>
              <w:instrText xml:space="preserve">PRIVATE </w:instrText>
            </w:r>
            <w:r>
              <w:rPr>
                <w:szCs w:val="22"/>
              </w:rPr>
              <w:fldChar w:fldCharType="end"/>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Fee Category</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47" w:type="dxa"/>
            <w:tcBorders>
              <w:top w:val="double" w:sz="4"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5F6BC2">
              <w:rPr>
                <w:b/>
                <w:szCs w:val="22"/>
              </w:rPr>
              <w:t>Annual Regulatory Fee</w:t>
            </w:r>
          </w:p>
          <w:p w:rsidR="007D15C3" w:rsidRPr="005F6BC2" w:rsidP="00274E20">
            <w:pPr>
              <w:tabs>
                <w:tab w:val="center" w:pos="850"/>
              </w:tabs>
              <w:suppressAutoHyphens/>
              <w:spacing w:after="54"/>
              <w:jc w:val="center"/>
              <w:rPr>
                <w:b/>
                <w:szCs w:val="22"/>
              </w:rPr>
            </w:pPr>
            <w:r w:rsidRPr="005F6BC2">
              <w:rPr>
                <w:b/>
                <w:szCs w:val="22"/>
              </w:rPr>
              <w:t>(U.S. $s)</w:t>
            </w:r>
          </w:p>
        </w:tc>
      </w:tr>
      <w:tr w:rsidTr="00274E20">
        <w:tblPrEx>
          <w:tblW w:w="8587"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5F6BC2">
              <w:rPr>
                <w:szCs w:val="22"/>
              </w:rPr>
              <w:t>PLMRS (per license) (Exclusive Use) (47 CFR part 90)</w:t>
            </w:r>
          </w:p>
        </w:tc>
        <w:tc>
          <w:tcPr>
            <w:tcW w:w="1747" w:type="dxa"/>
            <w:tcBorders>
              <w:top w:val="single" w:sz="6"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5F6BC2">
              <w:rPr>
                <w:szCs w:val="22"/>
              </w:rPr>
              <w:t>Microwave (per license) (47 CFR part 101)</w:t>
            </w:r>
            <w:r w:rsidRPr="005F6BC2">
              <w:rPr>
                <w:szCs w:val="22"/>
              </w:rPr>
              <w:tab/>
            </w:r>
          </w:p>
        </w:tc>
        <w:tc>
          <w:tcPr>
            <w:tcW w:w="1747" w:type="dxa"/>
            <w:shd w:val="clear" w:color="auto" w:fill="C0C0C0"/>
          </w:tcPr>
          <w:p w:rsidR="007D15C3" w:rsidRPr="005F6BC2" w:rsidP="00274E20">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s>
              <w:suppressAutoHyphens/>
              <w:spacing w:before="90" w:after="54"/>
              <w:rPr>
                <w:szCs w:val="22"/>
              </w:rPr>
            </w:pPr>
            <w:r w:rsidRPr="005F6BC2">
              <w:rPr>
                <w:szCs w:val="22"/>
              </w:rPr>
              <w:t>Marine (Ship) (per station) (47 CFR part 80)</w:t>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15</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s>
              <w:suppressAutoHyphens/>
              <w:spacing w:before="90" w:after="54"/>
              <w:rPr>
                <w:szCs w:val="22"/>
              </w:rPr>
            </w:pPr>
            <w:r w:rsidRPr="005F6BC2">
              <w:rPr>
                <w:szCs w:val="22"/>
              </w:rPr>
              <w:t>Marine (Coast) (per license) (47 CFR part 80)</w:t>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40</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s>
              <w:suppressAutoHyphens/>
              <w:spacing w:before="90" w:after="54"/>
              <w:rPr>
                <w:szCs w:val="22"/>
              </w:rPr>
            </w:pPr>
            <w:r w:rsidRPr="005F6BC2">
              <w:rPr>
                <w:szCs w:val="22"/>
              </w:rPr>
              <w:t>Rural Radio (47 CFR part 22) (previously listed under the Land Mobile category)</w:t>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10</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s>
              <w:suppressAutoHyphens/>
              <w:spacing w:before="90" w:after="54"/>
              <w:rPr>
                <w:szCs w:val="22"/>
              </w:rPr>
            </w:pPr>
            <w:r w:rsidRPr="005F6BC2">
              <w:rPr>
                <w:szCs w:val="22"/>
              </w:rPr>
              <w:t>PLMRS (Shared Use) (per license) (47 CFR part 90)</w:t>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10</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Aviation (Aircraft) (per station) (47 CFR part 87)</w:t>
            </w:r>
            <w:r w:rsidRPr="005F6BC2">
              <w:rPr>
                <w:szCs w:val="22"/>
              </w:rPr>
              <w:tab/>
            </w:r>
            <w:r w:rsidRPr="005F6BC2">
              <w:rPr>
                <w:szCs w:val="22"/>
              </w:rPr>
              <w:tab/>
            </w:r>
            <w:r w:rsidRPr="005F6BC2">
              <w:rPr>
                <w:szCs w:val="22"/>
              </w:rPr>
              <w:tab/>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10</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Aviation (Ground) (per license) (47 CFR part 87)</w:t>
            </w:r>
            <w:r w:rsidRPr="005F6BC2">
              <w:rPr>
                <w:szCs w:val="22"/>
              </w:rPr>
              <w:tab/>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20</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CMRS Mobile/Cellular Services (per unit) (47 CFR parts 20, 22, 24, 27, 80 and 90)</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.1</w:t>
            </w:r>
            <w:r>
              <w:rPr>
                <w:szCs w:val="22"/>
              </w:rPr>
              <w:t>7</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CMRS Messaging Services (per unit) (47 CFR parts 20, 22, 24 and 90)</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.08</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Broadband Radio Service (formerly MMDS/ MDS) (per license) (47 CFR part 27)</w:t>
            </w:r>
          </w:p>
          <w:p w:rsidR="007D15C3" w:rsidRPr="005F6BC2" w:rsidP="00274E20">
            <w:pPr>
              <w:tabs>
                <w:tab w:val="left" w:pos="-1440"/>
                <w:tab w:val="left" w:pos="-720"/>
              </w:tabs>
              <w:suppressAutoHyphens/>
              <w:spacing w:before="90" w:after="54"/>
              <w:rPr>
                <w:szCs w:val="22"/>
              </w:rPr>
            </w:pPr>
            <w:r w:rsidRPr="005F6BC2">
              <w:rPr>
                <w:szCs w:val="22"/>
              </w:rPr>
              <w:t>Local Multipoint Distribution Service (per call sign) (47 CFR, part 101)</w:t>
            </w:r>
          </w:p>
          <w:p w:rsidR="007D15C3" w:rsidRPr="005F6BC2" w:rsidP="00274E20">
            <w:pPr>
              <w:tabs>
                <w:tab w:val="left" w:pos="-1440"/>
                <w:tab w:val="left" w:pos="-720"/>
              </w:tabs>
              <w:suppressAutoHyphens/>
              <w:spacing w:before="90" w:after="54"/>
              <w:rPr>
                <w:szCs w:val="22"/>
              </w:rPr>
            </w:pPr>
          </w:p>
        </w:tc>
        <w:tc>
          <w:tcPr>
            <w:tcW w:w="1747" w:type="dxa"/>
          </w:tcPr>
          <w:p w:rsidR="007D15C3" w:rsidRPr="005F6BC2" w:rsidP="00274E20">
            <w:pPr>
              <w:tabs>
                <w:tab w:val="left" w:pos="-1440"/>
                <w:tab w:val="left" w:pos="-720"/>
              </w:tabs>
              <w:suppressAutoHyphens/>
              <w:spacing w:before="90" w:after="54"/>
              <w:jc w:val="center"/>
              <w:rPr>
                <w:szCs w:val="22"/>
              </w:rPr>
            </w:pPr>
            <w:r>
              <w:rPr>
                <w:szCs w:val="22"/>
              </w:rPr>
              <w:t>560</w:t>
            </w:r>
          </w:p>
          <w:p w:rsidR="007D15C3" w:rsidRPr="005F6BC2" w:rsidP="00274E20">
            <w:pPr>
              <w:tabs>
                <w:tab w:val="left" w:pos="-1440"/>
                <w:tab w:val="left" w:pos="-720"/>
              </w:tabs>
              <w:suppressAutoHyphens/>
              <w:spacing w:before="90" w:after="54"/>
              <w:jc w:val="center"/>
              <w:rPr>
                <w:szCs w:val="22"/>
              </w:rPr>
            </w:pPr>
          </w:p>
          <w:p w:rsidR="007D15C3" w:rsidRPr="005F6BC2" w:rsidP="00274E20">
            <w:pPr>
              <w:tabs>
                <w:tab w:val="left" w:pos="-1440"/>
                <w:tab w:val="left" w:pos="-720"/>
              </w:tabs>
              <w:suppressAutoHyphens/>
              <w:spacing w:before="90" w:after="54"/>
              <w:jc w:val="center"/>
              <w:rPr>
                <w:szCs w:val="22"/>
              </w:rPr>
            </w:pPr>
            <w:r>
              <w:rPr>
                <w:szCs w:val="22"/>
              </w:rPr>
              <w:t>560</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AM Radio Construction Permits</w:t>
            </w:r>
          </w:p>
        </w:tc>
        <w:tc>
          <w:tcPr>
            <w:tcW w:w="1747" w:type="dxa"/>
          </w:tcPr>
          <w:p w:rsidR="007D15C3" w:rsidRPr="005F6BC2" w:rsidP="00274E20">
            <w:pPr>
              <w:tabs>
                <w:tab w:val="left" w:pos="-1440"/>
                <w:tab w:val="left" w:pos="-720"/>
              </w:tabs>
              <w:suppressAutoHyphens/>
              <w:spacing w:before="90" w:after="54"/>
              <w:jc w:val="center"/>
              <w:rPr>
                <w:szCs w:val="22"/>
              </w:rPr>
            </w:pPr>
            <w:r>
              <w:rPr>
                <w:szCs w:val="22"/>
              </w:rPr>
              <w:t>620</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FM Radio Construction Permits</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1,0</w:t>
            </w:r>
            <w:r>
              <w:rPr>
                <w:szCs w:val="22"/>
              </w:rPr>
              <w:t>75</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AM and FM Broadcast Radio Station Fees</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See Table Below</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Digital TV (47 CFR part 73) VHF and UHF Commercial</w:t>
            </w:r>
            <w:r>
              <w:rPr>
                <w:szCs w:val="22"/>
              </w:rPr>
              <w:t xml:space="preserve"> Fee Factor</w:t>
            </w:r>
          </w:p>
        </w:tc>
        <w:tc>
          <w:tcPr>
            <w:tcW w:w="1747" w:type="dxa"/>
          </w:tcPr>
          <w:p w:rsidR="007D15C3" w:rsidRPr="00546C27" w:rsidP="00274E20">
            <w:pPr>
              <w:tabs>
                <w:tab w:val="left" w:pos="-1440"/>
                <w:tab w:val="left" w:pos="-720"/>
              </w:tabs>
              <w:suppressAutoHyphens/>
              <w:spacing w:before="90" w:after="54"/>
              <w:rPr>
                <w:szCs w:val="22"/>
              </w:rPr>
            </w:pPr>
            <w:r>
              <w:rPr>
                <w:szCs w:val="22"/>
              </w:rPr>
              <w:t>$.007837</w:t>
            </w:r>
          </w:p>
          <w:p w:rsidR="007D15C3" w:rsidRPr="00ED4FB1" w:rsidP="00274E20">
            <w:pPr>
              <w:tabs>
                <w:tab w:val="left" w:pos="-1440"/>
                <w:tab w:val="left" w:pos="-720"/>
              </w:tabs>
              <w:suppressAutoHyphens/>
              <w:spacing w:before="90" w:after="54"/>
              <w:rPr>
                <w:szCs w:val="22"/>
              </w:rPr>
            </w:pPr>
            <w:r w:rsidRPr="00ED4FB1">
              <w:rPr>
                <w:szCs w:val="22"/>
              </w:rPr>
              <w:t xml:space="preserve">See Appendix. </w:t>
            </w:r>
            <w:r>
              <w:rPr>
                <w:szCs w:val="22"/>
              </w:rPr>
              <w:t>G</w:t>
            </w:r>
            <w:r w:rsidRPr="00ED4FB1">
              <w:rPr>
                <w:szCs w:val="22"/>
              </w:rPr>
              <w:t xml:space="preserve"> for fee amounts due, also available at</w:t>
            </w:r>
          </w:p>
          <w:p w:rsidR="007D15C3" w:rsidRPr="005F6BC2" w:rsidP="00274E20">
            <w:pPr>
              <w:rPr>
                <w:szCs w:val="22"/>
              </w:rPr>
            </w:pPr>
            <w:hyperlink r:id="rId17" w:history="1">
              <w:r w:rsidRPr="005F6BC2">
                <w:rPr>
                  <w:rStyle w:val="Hyperlink"/>
                </w:rPr>
                <w:t>https://www.fcc.gov/licensing-databases/fees/regulatory-fees</w:t>
              </w:r>
            </w:hyperlink>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 w:val="left" w:pos="0"/>
              </w:tabs>
              <w:suppressAutoHyphens/>
              <w:spacing w:before="90" w:after="54"/>
              <w:ind w:left="720" w:hanging="720"/>
              <w:rPr>
                <w:szCs w:val="22"/>
              </w:rPr>
            </w:pPr>
            <w:r w:rsidRPr="005F6BC2">
              <w:rPr>
                <w:szCs w:val="22"/>
              </w:rPr>
              <w:tab/>
            </w:r>
            <w:r>
              <w:rPr>
                <w:szCs w:val="22"/>
              </w:rPr>
              <w:t xml:space="preserve">Digital TV </w:t>
            </w:r>
            <w:r w:rsidRPr="005F6BC2">
              <w:rPr>
                <w:szCs w:val="22"/>
              </w:rPr>
              <w:t>Construction Permits</w:t>
            </w:r>
          </w:p>
        </w:tc>
        <w:tc>
          <w:tcPr>
            <w:tcW w:w="1747" w:type="dxa"/>
          </w:tcPr>
          <w:p w:rsidR="007D15C3" w:rsidRPr="005F6BC2" w:rsidP="00274E20">
            <w:pPr>
              <w:tabs>
                <w:tab w:val="left" w:pos="-1440"/>
                <w:tab w:val="left" w:pos="-720"/>
              </w:tabs>
              <w:suppressAutoHyphens/>
              <w:spacing w:before="90" w:after="54"/>
              <w:jc w:val="center"/>
              <w:rPr>
                <w:szCs w:val="22"/>
              </w:rPr>
            </w:pPr>
            <w:r>
              <w:rPr>
                <w:szCs w:val="22"/>
              </w:rPr>
              <w:t>4,950</w:t>
            </w:r>
          </w:p>
        </w:tc>
      </w:tr>
      <w:tr w:rsidTr="00274E20">
        <w:tblPrEx>
          <w:tblW w:w="8587" w:type="dxa"/>
          <w:tblInd w:w="210" w:type="dxa"/>
          <w:tblLayout w:type="fixed"/>
          <w:tblCellMar>
            <w:left w:w="120" w:type="dxa"/>
            <w:right w:w="120" w:type="dxa"/>
          </w:tblCellMar>
          <w:tblLook w:val="0000"/>
        </w:tblPrEx>
        <w:tc>
          <w:tcPr>
            <w:tcW w:w="6840" w:type="dxa"/>
          </w:tcPr>
          <w:p w:rsidR="007D15C3" w:rsidP="00274E2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Low Power TV, Class A TV, TV/FM Translators &amp; Boosters (47 CFR</w:t>
            </w:r>
          </w:p>
          <w:p w:rsidR="007D15C3" w:rsidRPr="005F6BC2" w:rsidP="00274E2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 xml:space="preserve"> part 74)</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3</w:t>
            </w:r>
            <w:r>
              <w:rPr>
                <w:szCs w:val="22"/>
              </w:rPr>
              <w:t>15</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CARS (47 CFR part 78)</w:t>
            </w:r>
            <w:r w:rsidRPr="005F6BC2">
              <w:rPr>
                <w:szCs w:val="22"/>
              </w:rPr>
              <w:tab/>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1,</w:t>
            </w:r>
            <w:r>
              <w:rPr>
                <w:szCs w:val="22"/>
              </w:rPr>
              <w:t>300</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Cable Television Systems (per subscriber) (47 CFR part 76), Including IPTV</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w:t>
            </w:r>
            <w:r>
              <w:rPr>
                <w:szCs w:val="22"/>
              </w:rPr>
              <w:t>89</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Direct Broadcast Service (DBS) (per subscriber) (as defined by section 602(13) of the Act)</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w:t>
            </w:r>
            <w:r>
              <w:rPr>
                <w:szCs w:val="22"/>
              </w:rPr>
              <w:t>72</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Interstate Telecommunication Service Providers (per revenue dollar)</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.003</w:t>
            </w:r>
            <w:r>
              <w:rPr>
                <w:szCs w:val="22"/>
              </w:rPr>
              <w:t>21</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Toll Free (per toll free subscriber) (47 CFR section 52.101 (f) of the rules)</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.12</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Earth Stations (47 CFR part 25)</w:t>
            </w:r>
          </w:p>
        </w:tc>
        <w:tc>
          <w:tcPr>
            <w:tcW w:w="1747" w:type="dxa"/>
          </w:tcPr>
          <w:p w:rsidR="007D15C3" w:rsidRPr="005F6BC2" w:rsidP="00274E20">
            <w:pPr>
              <w:tabs>
                <w:tab w:val="left" w:pos="-1440"/>
                <w:tab w:val="left" w:pos="-720"/>
              </w:tabs>
              <w:suppressAutoHyphens/>
              <w:spacing w:before="90" w:after="54"/>
              <w:jc w:val="center"/>
              <w:rPr>
                <w:szCs w:val="22"/>
              </w:rPr>
            </w:pPr>
            <w:r>
              <w:rPr>
                <w:szCs w:val="22"/>
              </w:rPr>
              <w:t>560</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Space Stations (per operational station in geostationary orbit) (47 CFR part 25) also includes DBS Service (per operational station) (47 CFR part 100)</w:t>
            </w:r>
          </w:p>
        </w:tc>
        <w:tc>
          <w:tcPr>
            <w:tcW w:w="1747" w:type="dxa"/>
          </w:tcPr>
          <w:p w:rsidR="007D15C3" w:rsidRPr="005F6BC2" w:rsidP="00274E20">
            <w:pPr>
              <w:tabs>
                <w:tab w:val="left" w:pos="-1440"/>
                <w:tab w:val="left" w:pos="-720"/>
              </w:tabs>
              <w:suppressAutoHyphens/>
              <w:spacing w:before="90"/>
              <w:jc w:val="center"/>
              <w:rPr>
                <w:szCs w:val="22"/>
              </w:rPr>
            </w:pPr>
          </w:p>
          <w:p w:rsidR="007D15C3" w:rsidRPr="005F6BC2" w:rsidP="00274E20">
            <w:pPr>
              <w:tabs>
                <w:tab w:val="left" w:pos="-1440"/>
                <w:tab w:val="left" w:pos="-720"/>
              </w:tabs>
              <w:suppressAutoHyphens/>
              <w:spacing w:after="54"/>
              <w:jc w:val="center"/>
              <w:rPr>
                <w:szCs w:val="22"/>
              </w:rPr>
            </w:pPr>
            <w:r>
              <w:rPr>
                <w:szCs w:val="22"/>
              </w:rPr>
              <w:t>89,900</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Space Stations (per operational system in non-geostationary orbit) (47 CFR part 25)</w:t>
            </w:r>
          </w:p>
        </w:tc>
        <w:tc>
          <w:tcPr>
            <w:tcW w:w="1747" w:type="dxa"/>
          </w:tcPr>
          <w:p w:rsidR="007D15C3" w:rsidRPr="005F6BC2" w:rsidP="00274E20">
            <w:pPr>
              <w:tabs>
                <w:tab w:val="left" w:pos="-1440"/>
                <w:tab w:val="left" w:pos="-720"/>
              </w:tabs>
              <w:suppressAutoHyphens/>
              <w:spacing w:before="90" w:after="54"/>
              <w:jc w:val="center"/>
              <w:rPr>
                <w:szCs w:val="22"/>
              </w:rPr>
            </w:pPr>
            <w:r>
              <w:rPr>
                <w:szCs w:val="22"/>
              </w:rPr>
              <w:t>287,350</w:t>
            </w:r>
          </w:p>
        </w:tc>
      </w:tr>
      <w:tr w:rsidTr="00274E20">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7D15C3" w:rsidRPr="005F6BC2" w:rsidP="00274E20">
            <w:pPr>
              <w:tabs>
                <w:tab w:val="left" w:pos="-1440"/>
                <w:tab w:val="left" w:pos="-720"/>
              </w:tabs>
              <w:suppressAutoHyphens/>
              <w:spacing w:before="90" w:after="54"/>
            </w:pPr>
            <w:r w:rsidRPr="005F6BC2">
              <w:t>International Bearer Circuits - Terrestrial/Satellites (per Gbps circuit)</w:t>
            </w:r>
          </w:p>
        </w:tc>
        <w:tc>
          <w:tcPr>
            <w:tcW w:w="1747" w:type="dxa"/>
            <w:tcBorders>
              <w:bottom w:val="single" w:sz="6" w:space="0" w:color="auto"/>
            </w:tcBorders>
          </w:tcPr>
          <w:p w:rsidR="007D15C3" w:rsidRPr="005F6BC2" w:rsidP="00274E20">
            <w:pPr>
              <w:tabs>
                <w:tab w:val="left" w:pos="-1440"/>
                <w:tab w:val="left" w:pos="-720"/>
              </w:tabs>
              <w:suppressAutoHyphens/>
              <w:spacing w:before="90" w:after="54"/>
              <w:jc w:val="center"/>
              <w:rPr>
                <w:szCs w:val="22"/>
              </w:rPr>
            </w:pPr>
            <w:r>
              <w:rPr>
                <w:szCs w:val="22"/>
              </w:rPr>
              <w:t>$41</w:t>
            </w:r>
          </w:p>
        </w:tc>
      </w:tr>
      <w:tr w:rsidTr="00274E20">
        <w:tblPrEx>
          <w:tblW w:w="8587" w:type="dxa"/>
          <w:tblInd w:w="210" w:type="dxa"/>
          <w:tblLayout w:type="fixed"/>
          <w:tblCellMar>
            <w:left w:w="120" w:type="dxa"/>
            <w:right w:w="120" w:type="dxa"/>
          </w:tblCellMar>
          <w:tblLook w:val="0000"/>
        </w:tblPrEx>
        <w:tc>
          <w:tcPr>
            <w:tcW w:w="6840" w:type="dxa"/>
            <w:tcBorders>
              <w:bottom w:val="doub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 xml:space="preserve">Submarine Cable Landing Licenses Fee (per cable system) </w:t>
            </w:r>
          </w:p>
        </w:tc>
        <w:tc>
          <w:tcPr>
            <w:tcW w:w="1747" w:type="dxa"/>
            <w:tcBorders>
              <w:bottom w:val="double" w:sz="4" w:space="0" w:color="auto"/>
            </w:tcBorders>
          </w:tcPr>
          <w:p w:rsidR="007D15C3" w:rsidRPr="005F6BC2" w:rsidP="00274E20">
            <w:pPr>
              <w:tabs>
                <w:tab w:val="left" w:pos="-1440"/>
                <w:tab w:val="left" w:pos="-720"/>
              </w:tabs>
              <w:suppressAutoHyphens/>
              <w:spacing w:before="90" w:after="54"/>
              <w:jc w:val="center"/>
              <w:rPr>
                <w:szCs w:val="22"/>
              </w:rPr>
            </w:pPr>
            <w:r w:rsidRPr="005F6BC2">
              <w:rPr>
                <w:szCs w:val="22"/>
              </w:rPr>
              <w:t>See Table Below</w:t>
            </w:r>
          </w:p>
        </w:tc>
      </w:tr>
    </w:tbl>
    <w:p w:rsidR="007D15C3" w:rsidRPr="005F6BC2" w:rsidP="007D15C3">
      <w:pPr>
        <w:widowControl/>
        <w:rPr>
          <w:b/>
          <w:szCs w:val="22"/>
        </w:rPr>
      </w:pPr>
      <w:r w:rsidRPr="005F6BC2">
        <w:rPr>
          <w:b/>
          <w:szCs w:val="22"/>
        </w:rPr>
        <w:br w:type="page"/>
      </w: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rsidTr="00274E20">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7D15C3" w:rsidRPr="005F6BC2" w:rsidP="00274E20">
            <w:pPr>
              <w:spacing w:before="42" w:after="104"/>
              <w:jc w:val="center"/>
              <w:rPr>
                <w:b/>
                <w:bCs/>
                <w:sz w:val="20"/>
              </w:rPr>
            </w:pPr>
            <w:r w:rsidRPr="005F6BC2">
              <w:rPr>
                <w:b/>
                <w:bCs/>
                <w:sz w:val="20"/>
              </w:rPr>
              <w:t>FY 20</w:t>
            </w:r>
            <w:r>
              <w:rPr>
                <w:b/>
                <w:bCs/>
                <w:sz w:val="20"/>
              </w:rPr>
              <w:t>20</w:t>
            </w:r>
            <w:r w:rsidRPr="005F6BC2">
              <w:rPr>
                <w:b/>
                <w:bCs/>
                <w:sz w:val="20"/>
              </w:rPr>
              <w:t xml:space="preserve"> RADIO STATION REGULATORY FEES</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jc w:val="center"/>
              <w:rPr>
                <w:b/>
                <w:bCs/>
                <w:sz w:val="20"/>
              </w:rPr>
            </w:pPr>
            <w:r w:rsidRPr="005F6BC2">
              <w:rPr>
                <w:b/>
                <w:bCs/>
                <w:sz w:val="20"/>
              </w:rPr>
              <w:t xml:space="preserve">Population </w:t>
            </w:r>
          </w:p>
          <w:p w:rsidR="007D15C3" w:rsidRPr="005F6BC2" w:rsidP="00274E20">
            <w:pPr>
              <w:spacing w:after="104"/>
              <w:jc w:val="center"/>
              <w:rPr>
                <w:b/>
                <w:bCs/>
                <w:sz w:val="20"/>
              </w:rPr>
            </w:pPr>
            <w:r w:rsidRPr="005F6BC2">
              <w:rPr>
                <w:b/>
                <w:bCs/>
                <w:sz w:val="20"/>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7D15C3" w:rsidRPr="005F6BC2" w:rsidP="00274E20">
            <w:pPr>
              <w:spacing w:before="42" w:after="104"/>
              <w:jc w:val="center"/>
              <w:rPr>
                <w:b/>
                <w:bCs/>
                <w:sz w:val="20"/>
              </w:rPr>
            </w:pPr>
            <w:r w:rsidRPr="005F6BC2">
              <w:rPr>
                <w:b/>
                <w:bCs/>
                <w:sz w:val="20"/>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7D15C3" w:rsidRPr="005F6BC2" w:rsidP="00274E20">
            <w:pPr>
              <w:spacing w:before="42" w:after="104"/>
              <w:jc w:val="center"/>
              <w:rPr>
                <w:b/>
                <w:bCs/>
                <w:sz w:val="20"/>
              </w:rPr>
            </w:pPr>
            <w:r w:rsidRPr="005F6BC2">
              <w:rPr>
                <w:b/>
                <w:bCs/>
                <w:sz w:val="20"/>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7D15C3" w:rsidRPr="005F6BC2" w:rsidP="00274E20">
            <w:pPr>
              <w:spacing w:before="42" w:after="104"/>
              <w:jc w:val="center"/>
              <w:rPr>
                <w:b/>
                <w:bCs/>
                <w:sz w:val="20"/>
              </w:rPr>
            </w:pPr>
            <w:r w:rsidRPr="005F6BC2">
              <w:rPr>
                <w:b/>
                <w:bCs/>
                <w:sz w:val="20"/>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7D15C3" w:rsidRPr="005F6BC2" w:rsidP="00274E20">
            <w:pPr>
              <w:spacing w:before="42" w:after="104"/>
              <w:jc w:val="center"/>
              <w:rPr>
                <w:b/>
                <w:bCs/>
                <w:sz w:val="20"/>
              </w:rPr>
            </w:pPr>
            <w:r w:rsidRPr="005F6BC2">
              <w:rPr>
                <w:b/>
                <w:bCs/>
                <w:sz w:val="20"/>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7D15C3" w:rsidRPr="005F6BC2" w:rsidP="00274E20">
            <w:pPr>
              <w:spacing w:before="42"/>
              <w:jc w:val="center"/>
              <w:rPr>
                <w:b/>
                <w:bCs/>
                <w:sz w:val="20"/>
                <w:lang w:val="pt-BR"/>
              </w:rPr>
            </w:pPr>
            <w:r w:rsidRPr="005F6BC2">
              <w:rPr>
                <w:b/>
                <w:bCs/>
                <w:sz w:val="20"/>
                <w:lang w:val="pt-BR"/>
              </w:rPr>
              <w:t>FM Classes</w:t>
            </w:r>
          </w:p>
          <w:p w:rsidR="007D15C3" w:rsidRPr="005F6BC2" w:rsidP="00274E20">
            <w:pPr>
              <w:spacing w:after="104"/>
              <w:jc w:val="center"/>
              <w:rPr>
                <w:b/>
                <w:bCs/>
                <w:sz w:val="20"/>
                <w:lang w:val="pt-BR"/>
              </w:rPr>
            </w:pPr>
            <w:r w:rsidRPr="005F6BC2">
              <w:rPr>
                <w:b/>
                <w:bCs/>
                <w:sz w:val="20"/>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7D15C3" w:rsidRPr="005F6BC2" w:rsidP="00274E20">
            <w:pPr>
              <w:spacing w:before="42"/>
              <w:jc w:val="center"/>
              <w:rPr>
                <w:b/>
                <w:bCs/>
                <w:sz w:val="20"/>
                <w:lang w:val="pt-BR"/>
              </w:rPr>
            </w:pPr>
            <w:r w:rsidRPr="005F6BC2">
              <w:rPr>
                <w:b/>
                <w:bCs/>
                <w:sz w:val="20"/>
                <w:lang w:val="pt-BR"/>
              </w:rPr>
              <w:t>FM Classes</w:t>
            </w:r>
          </w:p>
          <w:p w:rsidR="007D15C3" w:rsidRPr="005F6BC2" w:rsidP="00274E20">
            <w:pPr>
              <w:spacing w:after="104"/>
              <w:jc w:val="center"/>
              <w:rPr>
                <w:b/>
                <w:bCs/>
                <w:sz w:val="20"/>
                <w:lang w:val="pt-BR"/>
              </w:rPr>
            </w:pPr>
            <w:r w:rsidRPr="005F6BC2">
              <w:rPr>
                <w:b/>
                <w:bCs/>
                <w:sz w:val="20"/>
                <w:lang w:val="pt-BR"/>
              </w:rPr>
              <w:t>B, C, C0, C1 &amp; C2</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w:t>
            </w:r>
            <w:r>
              <w:rPr>
                <w:szCs w:val="22"/>
              </w:rPr>
              <w:t>1,000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w:t>
            </w:r>
            <w:r>
              <w:rPr>
                <w:szCs w:val="22"/>
              </w:rPr>
              <w:t>715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w:t>
            </w:r>
            <w:r>
              <w:rPr>
                <w:szCs w:val="22"/>
              </w:rPr>
              <w:t>620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$6</w:t>
            </w:r>
            <w:r>
              <w:rPr>
                <w:szCs w:val="22"/>
              </w:rPr>
              <w:t>80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$1,0</w:t>
            </w:r>
            <w:r>
              <w:rPr>
                <w:szCs w:val="22"/>
              </w:rPr>
              <w:t>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$1,2</w:t>
            </w:r>
            <w:r>
              <w:rPr>
                <w:szCs w:val="22"/>
              </w:rPr>
              <w:t>5</w:t>
            </w:r>
            <w:r w:rsidRPr="005F6BC2">
              <w:rPr>
                <w:szCs w:val="22"/>
              </w:rPr>
              <w:t>0</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w:t>
            </w:r>
            <w:r>
              <w:rPr>
                <w:szCs w:val="22"/>
              </w:rPr>
              <w:t>500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$1,0</w:t>
            </w:r>
            <w:r>
              <w:rPr>
                <w:szCs w:val="22"/>
              </w:rPr>
              <w:t>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w:t>
            </w:r>
            <w:r>
              <w:rPr>
                <w:szCs w:val="22"/>
              </w:rPr>
              <w:t>930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w:t>
            </w:r>
            <w:r>
              <w:rPr>
                <w:szCs w:val="22"/>
              </w:rPr>
              <w:t>1,000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w:t>
            </w:r>
            <w:r>
              <w:rPr>
                <w:szCs w:val="22"/>
              </w:rPr>
              <w:t>625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$1,8</w:t>
            </w:r>
            <w:r>
              <w:rPr>
                <w:szCs w:val="22"/>
              </w:rPr>
              <w:t>75</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w:t>
            </w:r>
            <w:r>
              <w:rPr>
                <w:szCs w:val="22"/>
              </w:rPr>
              <w:t>2</w:t>
            </w:r>
            <w:r w:rsidRPr="005F6BC2">
              <w:rPr>
                <w:szCs w:val="22"/>
              </w:rPr>
              <w:t>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w:t>
            </w:r>
            <w:r>
              <w:rPr>
                <w:szCs w:val="22"/>
              </w:rPr>
              <w:t>60</w:t>
            </w:r>
            <w:r w:rsidRPr="005F6BC2">
              <w:rPr>
                <w:szCs w:val="22"/>
              </w:rPr>
              <w:t>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w:t>
            </w:r>
            <w:r>
              <w:rPr>
                <w:szCs w:val="22"/>
              </w:rPr>
              <w:t>40</w:t>
            </w:r>
            <w:r w:rsidRPr="005F6BC2">
              <w:rPr>
                <w:szCs w:val="22"/>
              </w:rPr>
              <w:t>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w:t>
            </w:r>
            <w:r>
              <w:rPr>
                <w:szCs w:val="22"/>
              </w:rPr>
              <w:t>525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w:t>
            </w:r>
            <w:r>
              <w:rPr>
                <w:szCs w:val="22"/>
              </w:rPr>
              <w:t>425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w:t>
            </w:r>
            <w:r>
              <w:rPr>
                <w:szCs w:val="22"/>
              </w:rPr>
              <w:t>825</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$3,</w:t>
            </w:r>
            <w:r>
              <w:rPr>
                <w:szCs w:val="22"/>
              </w:rPr>
              <w:t>375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w:t>
            </w:r>
            <w:r>
              <w:rPr>
                <w:szCs w:val="22"/>
              </w:rPr>
              <w:t>4</w:t>
            </w:r>
            <w:r w:rsidRPr="005F6BC2">
              <w:rPr>
                <w:szCs w:val="22"/>
              </w:rPr>
              <w:t>25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w:t>
            </w:r>
            <w:r>
              <w:rPr>
                <w:szCs w:val="22"/>
              </w:rPr>
              <w:t>1</w:t>
            </w:r>
            <w:r w:rsidRPr="005F6BC2">
              <w:rPr>
                <w:szCs w:val="22"/>
              </w:rPr>
              <w:t>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w:t>
            </w:r>
            <w:r>
              <w:rPr>
                <w:szCs w:val="22"/>
              </w:rPr>
              <w:t>300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$3,</w:t>
            </w:r>
            <w:r>
              <w:rPr>
                <w:szCs w:val="22"/>
              </w:rPr>
              <w:t>625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$4,</w:t>
            </w:r>
            <w:r>
              <w:rPr>
                <w:szCs w:val="22"/>
              </w:rPr>
              <w:t>225</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w:t>
            </w:r>
            <w:r>
              <w:rPr>
                <w:szCs w:val="22"/>
              </w:rPr>
              <w:t>5,050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$3,</w:t>
            </w:r>
            <w:r>
              <w:rPr>
                <w:szCs w:val="22"/>
              </w:rPr>
              <w:t>625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$3,</w:t>
            </w:r>
            <w:r>
              <w:rPr>
                <w:szCs w:val="22"/>
              </w:rPr>
              <w:t>125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$3,</w:t>
            </w:r>
            <w:r>
              <w:rPr>
                <w:szCs w:val="22"/>
              </w:rPr>
              <w:t>450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$5,</w:t>
            </w:r>
            <w:r>
              <w:rPr>
                <w:szCs w:val="22"/>
              </w:rPr>
              <w:t>450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$6,</w:t>
            </w:r>
            <w:r>
              <w:rPr>
                <w:szCs w:val="22"/>
              </w:rPr>
              <w:t>325</w:t>
            </w:r>
          </w:p>
        </w:tc>
      </w:tr>
      <w:tr w:rsidTr="00274E20">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1,200,001 – 3,000,00</w:t>
            </w:r>
            <w:r>
              <w:rPr>
                <w:b/>
                <w:bCs/>
                <w:sz w:val="20"/>
              </w:rPr>
              <w:t>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$7,</w:t>
            </w:r>
            <w:r>
              <w:rPr>
                <w:szCs w:val="22"/>
              </w:rPr>
              <w:t>600</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$5,</w:t>
            </w:r>
            <w:r>
              <w:rPr>
                <w:szCs w:val="22"/>
              </w:rPr>
              <w:t>425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$4,</w:t>
            </w:r>
            <w:r>
              <w:rPr>
                <w:szCs w:val="22"/>
              </w:rPr>
              <w:t>700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w:t>
            </w:r>
            <w:r>
              <w:rPr>
                <w:szCs w:val="22"/>
              </w:rPr>
              <w:t>5,175</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w:t>
            </w:r>
            <w:r>
              <w:rPr>
                <w:szCs w:val="22"/>
              </w:rPr>
              <w:t>8,175</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$9,</w:t>
            </w:r>
            <w:r>
              <w:rPr>
                <w:szCs w:val="22"/>
              </w:rPr>
              <w:t>500</w:t>
            </w:r>
          </w:p>
        </w:tc>
      </w:tr>
      <w:tr w:rsidTr="00274E20">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3,000,001 – 6,000,00</w:t>
            </w:r>
            <w:r>
              <w:rPr>
                <w:b/>
                <w:bCs/>
                <w:sz w:val="20"/>
              </w:rPr>
              <w:t>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w:t>
            </w:r>
            <w:r>
              <w:rPr>
                <w:szCs w:val="22"/>
              </w:rPr>
              <w:t>1,400</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w:t>
            </w:r>
            <w:r>
              <w:rPr>
                <w:szCs w:val="22"/>
              </w:rPr>
              <w:t>8,150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w:t>
            </w:r>
            <w:r>
              <w:rPr>
                <w:szCs w:val="22"/>
              </w:rPr>
              <w:t>7,050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$7,</w:t>
            </w:r>
            <w:r>
              <w:rPr>
                <w:szCs w:val="22"/>
              </w:rPr>
              <w:t>750</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w:t>
            </w:r>
            <w:r>
              <w:rPr>
                <w:szCs w:val="22"/>
              </w:rPr>
              <w:t>2,250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w:t>
            </w:r>
            <w:r>
              <w:rPr>
                <w:szCs w:val="22"/>
              </w:rPr>
              <w:t>4,250</w:t>
            </w:r>
          </w:p>
        </w:tc>
      </w:tr>
      <w:tr w:rsidTr="00274E20">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w:t>
            </w:r>
            <w:r>
              <w:rPr>
                <w:szCs w:val="22"/>
              </w:rPr>
              <w:t>7,100</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w:t>
            </w:r>
            <w:r>
              <w:rPr>
                <w:szCs w:val="22"/>
              </w:rPr>
              <w:t>2,225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$10,</w:t>
            </w:r>
            <w:r>
              <w:rPr>
                <w:szCs w:val="22"/>
              </w:rPr>
              <w:t>600</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$11,</w:t>
            </w:r>
            <w:r>
              <w:rPr>
                <w:szCs w:val="22"/>
              </w:rPr>
              <w:t>625</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w:t>
            </w:r>
            <w:r>
              <w:rPr>
                <w:szCs w:val="22"/>
              </w:rPr>
              <w:t>8,375</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w:t>
            </w:r>
            <w:r>
              <w:rPr>
                <w:szCs w:val="22"/>
              </w:rPr>
              <w:t>1,375</w:t>
            </w:r>
          </w:p>
        </w:tc>
      </w:tr>
    </w:tbl>
    <w:p w:rsidR="007D15C3" w:rsidP="007D15C3">
      <w:pPr>
        <w:pStyle w:val="ParaNum"/>
        <w:numPr>
          <w:ilvl w:val="0"/>
          <w:numId w:val="0"/>
        </w:numPr>
        <w:ind w:left="720"/>
      </w:pPr>
    </w:p>
    <w:p w:rsidR="007D15C3" w:rsidP="007D15C3">
      <w:pPr>
        <w:pStyle w:val="ParaNum"/>
        <w:numPr>
          <w:ilvl w:val="0"/>
          <w:numId w:val="0"/>
        </w:numPr>
        <w:ind w:left="720"/>
      </w:pPr>
    </w:p>
    <w:p w:rsidR="007D15C3" w:rsidRPr="005F6BC2" w:rsidP="007D15C3">
      <w:pPr>
        <w:tabs>
          <w:tab w:val="right" w:pos="10080"/>
        </w:tabs>
        <w:suppressAutoHyphens/>
        <w:ind w:left="450"/>
        <w:jc w:val="center"/>
        <w:outlineLvl w:val="0"/>
        <w:rPr>
          <w:b/>
          <w:szCs w:val="22"/>
        </w:rPr>
      </w:pPr>
      <w:r w:rsidRPr="005F6BC2">
        <w:rPr>
          <w:b/>
          <w:szCs w:val="22"/>
        </w:rPr>
        <w:t>FY 20</w:t>
      </w:r>
      <w:r>
        <w:rPr>
          <w:b/>
          <w:szCs w:val="22"/>
        </w:rPr>
        <w:t>20</w:t>
      </w:r>
      <w:r w:rsidRPr="005F6BC2">
        <w:rPr>
          <w:b/>
          <w:szCs w:val="22"/>
        </w:rPr>
        <w:t xml:space="preserve"> International Bearer Circuits - Submarine Cable Systems</w:t>
      </w: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780"/>
      </w:tblGrid>
      <w:tr w:rsidTr="00274E20">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60" w:type="dxa"/>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(capacity as of December 31, 201</w:t>
            </w:r>
            <w:r>
              <w:rPr>
                <w:b/>
                <w:szCs w:val="22"/>
              </w:rPr>
              <w:t>9</w:t>
            </w:r>
            <w:r w:rsidRPr="005F6BC2">
              <w:rPr>
                <w:b/>
                <w:szCs w:val="22"/>
              </w:rPr>
              <w:t>)</w:t>
            </w:r>
          </w:p>
        </w:tc>
        <w:tc>
          <w:tcPr>
            <w:tcW w:w="3780" w:type="dxa"/>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w:t>
            </w:r>
            <w:r>
              <w:rPr>
                <w:b/>
                <w:spacing w:val="-3"/>
                <w:szCs w:val="22"/>
              </w:rPr>
              <w:t>20 Regulatory Fees</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5F6BC2">
              <w:rPr>
                <w:szCs w:val="22"/>
              </w:rPr>
              <w:t xml:space="preserve">Less than </w:t>
            </w:r>
            <w:r>
              <w:rPr>
                <w:szCs w:val="22"/>
              </w:rPr>
              <w:t>3</w:t>
            </w:r>
            <w:r w:rsidRPr="005F6BC2">
              <w:rPr>
                <w:szCs w:val="22"/>
              </w:rPr>
              <w:t>0 Gbps</w:t>
            </w:r>
          </w:p>
        </w:tc>
        <w:tc>
          <w:tcPr>
            <w:tcW w:w="378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$1,000</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zCs w:val="22"/>
              </w:rPr>
              <w:t>3</w:t>
            </w:r>
            <w:r w:rsidRPr="005F6BC2">
              <w:rPr>
                <w:szCs w:val="22"/>
              </w:rPr>
              <w:t>0 Gbps or greater, but less than 2</w:t>
            </w:r>
            <w:r>
              <w:rPr>
                <w:szCs w:val="22"/>
              </w:rPr>
              <w:t>50</w:t>
            </w:r>
            <w:r w:rsidRPr="005F6BC2">
              <w:rPr>
                <w:szCs w:val="22"/>
              </w:rPr>
              <w:t xml:space="preserve"> Gbps</w:t>
            </w:r>
          </w:p>
        </w:tc>
        <w:tc>
          <w:tcPr>
            <w:tcW w:w="378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$1</w:t>
            </w:r>
            <w:r>
              <w:rPr>
                <w:bCs/>
                <w:szCs w:val="22"/>
              </w:rPr>
              <w:t>8,450</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250</w:t>
            </w:r>
            <w:r w:rsidRPr="005F6BC2">
              <w:rPr>
                <w:szCs w:val="22"/>
              </w:rPr>
              <w:t xml:space="preserve"> Gbps or greater, but less than </w:t>
            </w:r>
            <w:r>
              <w:rPr>
                <w:szCs w:val="22"/>
              </w:rPr>
              <w:t>1,00</w:t>
            </w:r>
            <w:r w:rsidRPr="005F6BC2">
              <w:rPr>
                <w:szCs w:val="22"/>
              </w:rPr>
              <w:t>0 Gbps</w:t>
            </w:r>
          </w:p>
        </w:tc>
        <w:tc>
          <w:tcPr>
            <w:tcW w:w="3780" w:type="dxa"/>
            <w:vAlign w:val="center"/>
          </w:tcPr>
          <w:p w:rsidR="007D15C3" w:rsidRPr="005F6BC2" w:rsidP="00274E20">
            <w:pPr>
              <w:jc w:val="center"/>
              <w:rPr>
                <w:spacing w:val="-3"/>
                <w:szCs w:val="22"/>
              </w:rPr>
            </w:pPr>
            <w:r w:rsidRPr="005F6BC2">
              <w:rPr>
                <w:bCs/>
                <w:szCs w:val="22"/>
              </w:rPr>
              <w:t>$</w:t>
            </w:r>
            <w:r>
              <w:rPr>
                <w:bCs/>
                <w:szCs w:val="22"/>
              </w:rPr>
              <w:t>36,875</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1,00</w:t>
            </w:r>
            <w:r w:rsidRPr="005F6BC2">
              <w:rPr>
                <w:szCs w:val="22"/>
              </w:rPr>
              <w:t xml:space="preserve">0 Gbps or greater, but less than </w:t>
            </w:r>
            <w:r>
              <w:rPr>
                <w:szCs w:val="22"/>
              </w:rPr>
              <w:t>2</w:t>
            </w:r>
            <w:r w:rsidRPr="005F6BC2">
              <w:rPr>
                <w:szCs w:val="22"/>
              </w:rPr>
              <w:t>,</w:t>
            </w:r>
            <w:r>
              <w:rPr>
                <w:szCs w:val="22"/>
              </w:rPr>
              <w:t>000</w:t>
            </w:r>
            <w:r w:rsidRPr="005F6BC2">
              <w:rPr>
                <w:szCs w:val="22"/>
              </w:rPr>
              <w:t xml:space="preserve"> Gbps</w:t>
            </w:r>
          </w:p>
        </w:tc>
        <w:tc>
          <w:tcPr>
            <w:tcW w:w="3780" w:type="dxa"/>
            <w:vAlign w:val="center"/>
          </w:tcPr>
          <w:p w:rsidR="007D15C3" w:rsidRPr="005F6BC2" w:rsidP="00274E20">
            <w:pPr>
              <w:jc w:val="center"/>
              <w:rPr>
                <w:spacing w:val="-3"/>
                <w:szCs w:val="22"/>
              </w:rPr>
            </w:pPr>
            <w:r w:rsidRPr="005F6BC2">
              <w:rPr>
                <w:bCs/>
                <w:szCs w:val="22"/>
              </w:rPr>
              <w:t>$</w:t>
            </w:r>
            <w:r>
              <w:rPr>
                <w:bCs/>
                <w:szCs w:val="22"/>
              </w:rPr>
              <w:t>73,750</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2</w:t>
            </w:r>
            <w:r w:rsidRPr="005F6BC2">
              <w:rPr>
                <w:szCs w:val="22"/>
              </w:rPr>
              <w:t>,</w:t>
            </w:r>
            <w:r>
              <w:rPr>
                <w:szCs w:val="22"/>
              </w:rPr>
              <w:t>000</w:t>
            </w:r>
            <w:r w:rsidRPr="005F6BC2">
              <w:rPr>
                <w:szCs w:val="22"/>
              </w:rPr>
              <w:t xml:space="preserve"> Gbps or greater, but less than </w:t>
            </w:r>
            <w:r>
              <w:rPr>
                <w:szCs w:val="22"/>
              </w:rPr>
              <w:t>3</w:t>
            </w:r>
            <w:r w:rsidRPr="005F6BC2">
              <w:rPr>
                <w:szCs w:val="22"/>
              </w:rPr>
              <w:t>,</w:t>
            </w:r>
            <w:r>
              <w:rPr>
                <w:szCs w:val="22"/>
              </w:rPr>
              <w:t>50</w:t>
            </w:r>
            <w:r w:rsidRPr="005F6BC2">
              <w:rPr>
                <w:szCs w:val="22"/>
              </w:rPr>
              <w:t>0 Gbps</w:t>
            </w:r>
          </w:p>
        </w:tc>
        <w:tc>
          <w:tcPr>
            <w:tcW w:w="3780" w:type="dxa"/>
            <w:vAlign w:val="center"/>
          </w:tcPr>
          <w:p w:rsidR="007D15C3" w:rsidRPr="005F6BC2" w:rsidP="00274E20">
            <w:pPr>
              <w:jc w:val="center"/>
              <w:rPr>
                <w:spacing w:val="-3"/>
                <w:szCs w:val="22"/>
              </w:rPr>
            </w:pPr>
            <w:r w:rsidRPr="005F6BC2">
              <w:rPr>
                <w:bCs/>
                <w:szCs w:val="22"/>
              </w:rPr>
              <w:t>$1</w:t>
            </w:r>
            <w:r>
              <w:rPr>
                <w:bCs/>
                <w:szCs w:val="22"/>
              </w:rPr>
              <w:t>47,500</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3780" w:type="dxa"/>
            <w:vAlign w:val="center"/>
          </w:tcPr>
          <w:p w:rsidR="007D15C3" w:rsidRPr="005F6BC2" w:rsidP="00274E20">
            <w:pPr>
              <w:jc w:val="center"/>
              <w:rPr>
                <w:szCs w:val="22"/>
              </w:rPr>
            </w:pPr>
            <w:r w:rsidRPr="005F6BC2">
              <w:rPr>
                <w:bCs/>
                <w:szCs w:val="22"/>
              </w:rPr>
              <w:t>$</w:t>
            </w:r>
            <w:r>
              <w:rPr>
                <w:bCs/>
                <w:szCs w:val="22"/>
              </w:rPr>
              <w:t>295,000</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6</w:t>
            </w:r>
            <w:r w:rsidRPr="005F6BC2">
              <w:rPr>
                <w:szCs w:val="22"/>
              </w:rPr>
              <w:t>,</w:t>
            </w:r>
            <w:r>
              <w:rPr>
                <w:szCs w:val="22"/>
              </w:rPr>
              <w:t>5</w:t>
            </w:r>
            <w:r w:rsidRPr="005F6BC2">
              <w:rPr>
                <w:szCs w:val="22"/>
              </w:rPr>
              <w:t>00 Gbps or greater</w:t>
            </w:r>
          </w:p>
        </w:tc>
        <w:tc>
          <w:tcPr>
            <w:tcW w:w="3780" w:type="dxa"/>
            <w:vAlign w:val="center"/>
          </w:tcPr>
          <w:p w:rsidR="007D15C3" w:rsidRPr="005F6BC2" w:rsidP="00274E20">
            <w:pPr>
              <w:jc w:val="center"/>
              <w:rPr>
                <w:bCs/>
                <w:szCs w:val="22"/>
              </w:rPr>
            </w:pPr>
            <w:r>
              <w:rPr>
                <w:bCs/>
                <w:szCs w:val="22"/>
              </w:rPr>
              <w:t>$590,000</w:t>
            </w:r>
          </w:p>
        </w:tc>
      </w:tr>
    </w:tbl>
    <w:p w:rsidR="007D15C3" w:rsidRPr="005F6BC2" w:rsidP="007D15C3">
      <w:pPr>
        <w:tabs>
          <w:tab w:val="left" w:pos="3629"/>
        </w:tabs>
        <w:jc w:val="center"/>
        <w:rPr>
          <w:b/>
          <w:szCs w:val="22"/>
        </w:rPr>
      </w:pPr>
    </w:p>
    <w:p w:rsidR="007D15C3" w:rsidP="007D15C3">
      <w:pPr>
        <w:pStyle w:val="ParaNum"/>
        <w:numPr>
          <w:ilvl w:val="0"/>
          <w:numId w:val="0"/>
        </w:numPr>
        <w:ind w:left="720"/>
      </w:pPr>
    </w:p>
    <w:p w:rsidR="007D15C3" w:rsidP="007D15C3">
      <w:pPr>
        <w:pStyle w:val="ParaNum"/>
        <w:numPr>
          <w:ilvl w:val="0"/>
          <w:numId w:val="0"/>
        </w:numPr>
        <w:ind w:left="720"/>
      </w:pPr>
    </w:p>
    <w:p w:rsidR="007D15C3" w:rsidP="007D15C3">
      <w:pPr>
        <w:pStyle w:val="ParaNum"/>
        <w:numPr>
          <w:ilvl w:val="0"/>
          <w:numId w:val="0"/>
        </w:numPr>
        <w:ind w:left="720"/>
      </w:pPr>
    </w:p>
    <w:p w:rsidR="007D15C3" w:rsidP="007D15C3">
      <w:pPr>
        <w:pStyle w:val="ParaNum"/>
        <w:numPr>
          <w:ilvl w:val="0"/>
          <w:numId w:val="0"/>
        </w:numPr>
        <w:ind w:left="720"/>
      </w:pPr>
    </w:p>
    <w:p w:rsidR="007D15C3" w:rsidP="007D15C3">
      <w:pPr>
        <w:pStyle w:val="ParaNum"/>
        <w:numPr>
          <w:ilvl w:val="0"/>
          <w:numId w:val="0"/>
        </w:numPr>
        <w:ind w:left="720"/>
      </w:pPr>
    </w:p>
    <w:p w:rsidR="007D15C3" w:rsidRPr="005F6BC2" w:rsidP="007D15C3">
      <w:pPr>
        <w:widowControl/>
        <w:rPr>
          <w:b/>
          <w:szCs w:val="22"/>
        </w:rPr>
        <w:sectPr w:rsidSect="007672E3">
          <w:footnotePr>
            <w:numRestart w:val="eachSect"/>
          </w:footnotePr>
          <w:endnotePr>
            <w:numFmt w:val="decimal"/>
          </w:endnotePr>
          <w:pgSz w:w="12240" w:h="15840"/>
          <w:pgMar w:top="1440" w:right="1440" w:bottom="720" w:left="1440" w:header="720" w:footer="720" w:gutter="0"/>
          <w:cols w:space="720"/>
          <w:noEndnote/>
          <w:titlePg/>
        </w:sectPr>
      </w:pPr>
    </w:p>
    <w:p w:rsidR="007D15C3" w:rsidRPr="005F6BC2" w:rsidP="007D15C3">
      <w:pPr>
        <w:tabs>
          <w:tab w:val="left" w:pos="3629"/>
        </w:tabs>
        <w:jc w:val="center"/>
        <w:rPr>
          <w:b/>
          <w:szCs w:val="22"/>
        </w:rPr>
      </w:pPr>
      <w:r w:rsidRPr="005F6BC2">
        <w:rPr>
          <w:b/>
          <w:szCs w:val="22"/>
        </w:rPr>
        <w:t>APPENDIX D</w:t>
      </w:r>
    </w:p>
    <w:p w:rsidR="007D15C3" w:rsidRPr="005F6BC2" w:rsidP="007D15C3">
      <w:pPr>
        <w:tabs>
          <w:tab w:val="left" w:pos="3629"/>
        </w:tabs>
        <w:jc w:val="center"/>
        <w:rPr>
          <w:b/>
          <w:szCs w:val="22"/>
        </w:rPr>
      </w:pPr>
    </w:p>
    <w:p w:rsidR="007D15C3" w:rsidRPr="005F6BC2" w:rsidP="007D15C3">
      <w:pPr>
        <w:tabs>
          <w:tab w:val="left" w:pos="3629"/>
        </w:tabs>
        <w:jc w:val="center"/>
        <w:rPr>
          <w:b/>
          <w:szCs w:val="22"/>
        </w:rPr>
      </w:pPr>
      <w:r w:rsidRPr="005F6BC2">
        <w:rPr>
          <w:b/>
          <w:szCs w:val="22"/>
        </w:rPr>
        <w:t>Sources of Payment Unit Estimates for FY 20</w:t>
      </w:r>
      <w:r>
        <w:rPr>
          <w:b/>
          <w:szCs w:val="22"/>
        </w:rPr>
        <w:t>20</w:t>
      </w:r>
    </w:p>
    <w:p w:rsidR="007D15C3" w:rsidRPr="005F6BC2" w:rsidP="007D15C3">
      <w:pPr>
        <w:tabs>
          <w:tab w:val="left" w:pos="3629"/>
        </w:tabs>
        <w:jc w:val="center"/>
        <w:rPr>
          <w:b/>
          <w:szCs w:val="22"/>
        </w:rPr>
      </w:pP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5F6BC2">
        <w:rPr>
          <w:szCs w:val="22"/>
        </w:rPr>
        <w:t>In order to calculate individual service fees for FY 20</w:t>
      </w:r>
      <w:r>
        <w:rPr>
          <w:szCs w:val="22"/>
        </w:rPr>
        <w:t>20</w:t>
      </w:r>
      <w:r w:rsidRPr="005F6BC2">
        <w:rPr>
          <w:szCs w:val="22"/>
        </w:rPr>
        <w:t>, we adjusted FY 20</w:t>
      </w:r>
      <w:r>
        <w:rPr>
          <w:szCs w:val="22"/>
        </w:rPr>
        <w:t>20</w:t>
      </w:r>
      <w:r w:rsidRPr="005F6BC2">
        <w:rPr>
          <w:szCs w:val="22"/>
        </w:rPr>
        <w:t xml:space="preserve"> payment units for each service to more accurately reflect expected FY 20</w:t>
      </w:r>
      <w:r>
        <w:rPr>
          <w:szCs w:val="22"/>
        </w:rPr>
        <w:t>20</w:t>
      </w:r>
      <w:r w:rsidRPr="005F6BC2">
        <w:rPr>
          <w:szCs w:val="22"/>
        </w:rPr>
        <w:t xml:space="preserve"> payment liabilities.  </w:t>
      </w:r>
      <w:r w:rsidRPr="005F6BC2">
        <w:rPr>
          <w:spacing w:val="-2"/>
          <w:szCs w:val="22"/>
        </w:rPr>
        <w:t>We obtained our updated estimates through a variety of means</w:t>
      </w:r>
      <w:r>
        <w:rPr>
          <w:spacing w:val="-2"/>
          <w:szCs w:val="22"/>
        </w:rPr>
        <w:t xml:space="preserve"> and sources</w:t>
      </w:r>
      <w:r w:rsidRPr="005F6BC2">
        <w:rPr>
          <w:spacing w:val="-2"/>
          <w:szCs w:val="22"/>
        </w:rPr>
        <w:t>. For example, we used Commission licensee data bases, actual prior year payment records and industry and trade association projections</w:t>
      </w:r>
      <w:r>
        <w:rPr>
          <w:spacing w:val="-2"/>
          <w:szCs w:val="22"/>
        </w:rPr>
        <w:t>,</w:t>
      </w:r>
      <w:r w:rsidRPr="005F6BC2">
        <w:rPr>
          <w:spacing w:val="-2"/>
          <w:szCs w:val="22"/>
        </w:rPr>
        <w:t xml:space="preserve"> when available.  The databases we consulted include </w:t>
      </w:r>
      <w:r w:rsidRPr="005F6BC2">
        <w:rPr>
          <w:szCs w:val="22"/>
        </w:rPr>
        <w:t>our Universal Licensing System (ULS), International Bureau Filing System (IBFS), Consolidated Database System (CDBS)</w:t>
      </w:r>
      <w:r>
        <w:rPr>
          <w:szCs w:val="22"/>
        </w:rPr>
        <w:t>,</w:t>
      </w:r>
      <w:r w:rsidRPr="005F6BC2">
        <w:rPr>
          <w:szCs w:val="22"/>
        </w:rPr>
        <w:t xml:space="preserve"> </w:t>
      </w:r>
      <w:r>
        <w:rPr>
          <w:szCs w:val="22"/>
        </w:rPr>
        <w:t>Licensing and Management System (LMS)</w:t>
      </w:r>
      <w:r w:rsidRPr="005F6BC2">
        <w:rPr>
          <w:szCs w:val="22"/>
        </w:rPr>
        <w:t xml:space="preserve"> and Cable Operations and Licensing System (COALS), as well as reports generated within the Commission such as the Wireless Telecommunications Bureau’s </w:t>
      </w:r>
      <w:r w:rsidRPr="005F6BC2">
        <w:rPr>
          <w:i/>
          <w:szCs w:val="22"/>
        </w:rPr>
        <w:t>Numbering Resource Utilization Forecast</w:t>
      </w:r>
      <w:r w:rsidRPr="005F6BC2">
        <w:rPr>
          <w:szCs w:val="22"/>
        </w:rPr>
        <w:t xml:space="preserve">.  </w:t>
      </w:r>
      <w:r>
        <w:rPr>
          <w:szCs w:val="22"/>
        </w:rPr>
        <w:t>Regulatory fee payment units are not all the same for all fee categories.  For most fee categories, the term “units” reflect licenses or permits that have been issued, but for other fee categories, the term “units” reflect quantities such as subscribers, population counts, circuit counts, telephone numbers, and revenues.</w:t>
      </w: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5F6BC2">
        <w:rPr>
          <w:spacing w:val="-2"/>
          <w:szCs w:val="22"/>
        </w:rPr>
        <w:t>We sought verification for these estimates from multiple sources and, in all cases, we compared FY 20</w:t>
      </w:r>
      <w:r>
        <w:rPr>
          <w:spacing w:val="-2"/>
          <w:szCs w:val="22"/>
        </w:rPr>
        <w:t>20</w:t>
      </w:r>
      <w:r w:rsidRPr="005F6BC2">
        <w:rPr>
          <w:spacing w:val="-2"/>
          <w:szCs w:val="22"/>
        </w:rPr>
        <w:t xml:space="preserve"> estimates with actual FY 201</w:t>
      </w:r>
      <w:r>
        <w:rPr>
          <w:spacing w:val="-2"/>
          <w:szCs w:val="22"/>
        </w:rPr>
        <w:t>9</w:t>
      </w:r>
      <w:r w:rsidRPr="005F6BC2">
        <w:rPr>
          <w:spacing w:val="-2"/>
          <w:szCs w:val="22"/>
        </w:rPr>
        <w:t xml:space="preserve">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w:t>
      </w:r>
      <w:r>
        <w:rPr>
          <w:spacing w:val="-2"/>
          <w:szCs w:val="22"/>
        </w:rPr>
        <w:t>20</w:t>
      </w:r>
      <w:r w:rsidRPr="005F6BC2">
        <w:rPr>
          <w:spacing w:val="-2"/>
          <w:szCs w:val="22"/>
        </w:rPr>
        <w:t xml:space="preserve"> and the fact that, in many services, the number of actual licensees or station operators fluctuates from time to time due to economic, technical, or other reasons.  When we note, for example, that our estimated FY 20</w:t>
      </w:r>
      <w:r>
        <w:rPr>
          <w:spacing w:val="-2"/>
          <w:szCs w:val="22"/>
        </w:rPr>
        <w:t>20</w:t>
      </w:r>
      <w:r w:rsidRPr="005F6BC2">
        <w:rPr>
          <w:spacing w:val="-2"/>
          <w:szCs w:val="22"/>
        </w:rPr>
        <w:t xml:space="preserve"> payment units are based on FY 201</w:t>
      </w:r>
      <w:r>
        <w:rPr>
          <w:spacing w:val="-2"/>
          <w:szCs w:val="22"/>
        </w:rPr>
        <w:t>9</w:t>
      </w:r>
      <w:r w:rsidRPr="005F6BC2">
        <w:rPr>
          <w:spacing w:val="-2"/>
          <w:szCs w:val="22"/>
        </w:rPr>
        <w:t xml:space="preserve"> actual payment units, it does not necessarily mean that our FY 20</w:t>
      </w:r>
      <w:r>
        <w:rPr>
          <w:spacing w:val="-2"/>
          <w:szCs w:val="22"/>
        </w:rPr>
        <w:t>20</w:t>
      </w:r>
      <w:r w:rsidRPr="005F6BC2">
        <w:rPr>
          <w:spacing w:val="-2"/>
          <w:szCs w:val="22"/>
        </w:rPr>
        <w:t xml:space="preserve"> projection is exactly the same number as in FY 201</w:t>
      </w:r>
      <w:r>
        <w:rPr>
          <w:spacing w:val="-2"/>
          <w:szCs w:val="22"/>
        </w:rPr>
        <w:t>9</w:t>
      </w:r>
      <w:r w:rsidRPr="005F6BC2">
        <w:rPr>
          <w:spacing w:val="-2"/>
          <w:szCs w:val="22"/>
        </w:rPr>
        <w:t>.  We have either rounded the FY 20</w:t>
      </w:r>
      <w:r>
        <w:rPr>
          <w:spacing w:val="-2"/>
          <w:szCs w:val="22"/>
        </w:rPr>
        <w:t>19</w:t>
      </w:r>
      <w:r w:rsidRPr="005F6BC2">
        <w:rPr>
          <w:spacing w:val="-2"/>
          <w:szCs w:val="22"/>
        </w:rPr>
        <w:t xml:space="preserve"> number or adjusted it slightly to account for these variables.</w:t>
      </w: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5F6BC2">
        <w:rPr>
          <w:szCs w:val="22"/>
        </w:rPr>
        <w:t xml:space="preserve"> </w:t>
      </w:r>
    </w:p>
    <w:tbl>
      <w:tblPr>
        <w:tblW w:w="8640" w:type="dxa"/>
        <w:tblInd w:w="120" w:type="dxa"/>
        <w:tblLayout w:type="fixed"/>
        <w:tblCellMar>
          <w:left w:w="120" w:type="dxa"/>
          <w:right w:w="120" w:type="dxa"/>
        </w:tblCellMar>
        <w:tblLook w:val="0000"/>
      </w:tblPr>
      <w:tblGrid>
        <w:gridCol w:w="2978"/>
        <w:gridCol w:w="5662"/>
      </w:tblGrid>
      <w:tr w:rsidTr="00274E20">
        <w:tblPrEx>
          <w:tblW w:w="8640" w:type="dxa"/>
          <w:tblInd w:w="120" w:type="dxa"/>
          <w:tblLayout w:type="fixed"/>
          <w:tblCellMar>
            <w:left w:w="120" w:type="dxa"/>
            <w:right w:w="120" w:type="dxa"/>
          </w:tblCellMar>
          <w:tblLook w:val="0000"/>
        </w:tblPrEx>
        <w:tc>
          <w:tcPr>
            <w:tcW w:w="2978" w:type="dxa"/>
            <w:tcBorders>
              <w:top w:val="doub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Pr>
                <w:szCs w:val="22"/>
              </w:rPr>
              <w:fldChar w:fldCharType="begin"/>
            </w:r>
            <w:r w:rsidRPr="005F6BC2">
              <w:rPr>
                <w:szCs w:val="22"/>
              </w:rPr>
              <w:instrText xml:space="preserve">PRIVATE </w:instrText>
            </w:r>
            <w:r>
              <w:rPr>
                <w:szCs w:val="22"/>
              </w:rPr>
              <w:fldChar w:fldCharType="end"/>
            </w:r>
            <w:r w:rsidRPr="005F6BC2">
              <w:rPr>
                <w:b/>
                <w:szCs w:val="22"/>
              </w:rPr>
              <w:t>FEE CATEGORY</w:t>
            </w:r>
          </w:p>
        </w:tc>
        <w:tc>
          <w:tcPr>
            <w:tcW w:w="5662" w:type="dxa"/>
            <w:tcBorders>
              <w:top w:val="doub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sidRPr="005F6BC2">
              <w:rPr>
                <w:b/>
                <w:szCs w:val="22"/>
              </w:rPr>
              <w:t>SOURCES OF PAYMENT UNIT ESTIMATES</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Land Mobile (All), Microwave, Marine (Ship &amp; Coast), Aviation (Aircraft &amp; Ground), Domestic Public Fixed </w:t>
            </w:r>
          </w:p>
        </w:tc>
        <w:tc>
          <w:tcPr>
            <w:tcW w:w="5662"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CMRS Cellular/Mobile Services </w:t>
            </w:r>
          </w:p>
        </w:tc>
        <w:tc>
          <w:tcPr>
            <w:tcW w:w="5662"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WTB projection reports, and FY 201</w:t>
            </w:r>
            <w:r>
              <w:rPr>
                <w:szCs w:val="22"/>
              </w:rPr>
              <w:t>9</w:t>
            </w:r>
            <w:r w:rsidRPr="005F6BC2">
              <w:rPr>
                <w:szCs w:val="22"/>
              </w:rPr>
              <w:t xml:space="preserve"> payment data. </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CMRS Messaging Services</w:t>
            </w:r>
          </w:p>
        </w:tc>
        <w:tc>
          <w:tcPr>
            <w:tcW w:w="5662"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WTB reports, and FY 201</w:t>
            </w:r>
            <w:r>
              <w:rPr>
                <w:szCs w:val="22"/>
              </w:rPr>
              <w:t>9</w:t>
            </w:r>
            <w:r w:rsidRPr="005F6BC2">
              <w:rPr>
                <w:szCs w:val="22"/>
              </w:rPr>
              <w:t xml:space="preserve"> payment data.  </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AM/FM Radio Stations</w:t>
            </w:r>
          </w:p>
        </w:tc>
        <w:tc>
          <w:tcPr>
            <w:tcW w:w="5662"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CDBS data, adjusted for exemptions, and actual FY 201</w:t>
            </w:r>
            <w:r>
              <w:rPr>
                <w:szCs w:val="22"/>
              </w:rPr>
              <w:t>9</w:t>
            </w:r>
            <w:r w:rsidRPr="005F6BC2">
              <w:rPr>
                <w:szCs w:val="22"/>
              </w:rPr>
              <w:t xml:space="preserve"> payment units.</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Digital TV Stations (Combined VHF/UHF units)</w:t>
            </w:r>
          </w:p>
        </w:tc>
        <w:tc>
          <w:tcPr>
            <w:tcW w:w="5662"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F130E">
              <w:t xml:space="preserve">Based on </w:t>
            </w:r>
            <w:r>
              <w:t>LMS</w:t>
            </w:r>
            <w:r w:rsidRPr="006F130E">
              <w:t xml:space="preserve"> data, fee rate adjusted for exemptions, and population figures </w:t>
            </w:r>
            <w:r>
              <w:t xml:space="preserve">are </w:t>
            </w:r>
            <w:r w:rsidRPr="006F130E">
              <w:t>calculated based on individual station parameters.</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AM/FM/TV Construction Permits</w:t>
            </w:r>
          </w:p>
        </w:tc>
        <w:tc>
          <w:tcPr>
            <w:tcW w:w="5662" w:type="dxa"/>
            <w:tcBorders>
              <w:top w:val="single" w:sz="6" w:space="0" w:color="auto"/>
              <w:left w:val="single" w:sz="6" w:space="0" w:color="auto"/>
              <w:bottom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CDBS data, adjusted for exemptions, and actual FY 201</w:t>
            </w:r>
            <w:r>
              <w:rPr>
                <w:szCs w:val="22"/>
              </w:rPr>
              <w:t>9</w:t>
            </w:r>
            <w:r w:rsidRPr="005F6BC2">
              <w:rPr>
                <w:szCs w:val="22"/>
              </w:rPr>
              <w:t xml:space="preserve"> payment units. </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LPTV, Translators and Boosters, Class A Television</w:t>
            </w:r>
          </w:p>
        </w:tc>
        <w:tc>
          <w:tcPr>
            <w:tcW w:w="5662" w:type="dxa"/>
            <w:tcBorders>
              <w:top w:val="single" w:sz="6" w:space="0" w:color="auto"/>
              <w:left w:val="single" w:sz="6" w:space="0" w:color="auto"/>
              <w:bottom w:val="double" w:sz="4"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Based on </w:t>
            </w:r>
            <w:r>
              <w:rPr>
                <w:szCs w:val="22"/>
              </w:rPr>
              <w:t>LMS</w:t>
            </w:r>
            <w:r w:rsidRPr="005F6BC2">
              <w:rPr>
                <w:szCs w:val="22"/>
              </w:rPr>
              <w:t xml:space="preserve"> data, adjusted for exemptions, and actual FY 201</w:t>
            </w:r>
            <w:r>
              <w:rPr>
                <w:szCs w:val="22"/>
              </w:rPr>
              <w:t>9</w:t>
            </w:r>
            <w:r w:rsidRPr="005F6BC2">
              <w:rPr>
                <w:szCs w:val="22"/>
              </w:rPr>
              <w:t xml:space="preserve"> payment units.</w:t>
            </w:r>
          </w:p>
        </w:tc>
      </w:tr>
      <w:tr w:rsidTr="00274E20">
        <w:tblPrEx>
          <w:tblW w:w="8640" w:type="dxa"/>
          <w:tblInd w:w="120" w:type="dxa"/>
          <w:tblLayout w:type="fixed"/>
          <w:tblCellMar>
            <w:left w:w="120" w:type="dxa"/>
            <w:right w:w="120" w:type="dxa"/>
          </w:tblCellMar>
          <w:tblLook w:val="0000"/>
        </w:tblPrEx>
        <w:tc>
          <w:tcPr>
            <w:tcW w:w="2978" w:type="dxa"/>
            <w:tcBorders>
              <w:top w:val="double" w:sz="4" w:space="0" w:color="auto"/>
              <w:left w:val="double" w:sz="6" w:space="0" w:color="auto"/>
              <w:bottom w:val="sing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 xml:space="preserve">BRS (formerly </w:t>
            </w:r>
            <w:r w:rsidRPr="005F6BC2">
              <w:rPr>
                <w:szCs w:val="22"/>
              </w:rPr>
              <w:t>MDS/MMDS)LMDS</w:t>
            </w:r>
          </w:p>
        </w:tc>
        <w:tc>
          <w:tcPr>
            <w:tcW w:w="5662" w:type="dxa"/>
            <w:tcBorders>
              <w:top w:val="double" w:sz="4" w:space="0" w:color="auto"/>
              <w:left w:val="single" w:sz="6" w:space="0" w:color="auto"/>
              <w:bottom w:val="single" w:sz="4"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WTB reports and actual FY 201</w:t>
            </w:r>
            <w:r>
              <w:rPr>
                <w:szCs w:val="22"/>
              </w:rPr>
              <w:t>9</w:t>
            </w:r>
            <w:r w:rsidRPr="005F6BC2">
              <w:rPr>
                <w:szCs w:val="22"/>
              </w:rPr>
              <w:t xml:space="preserve"> payment units.  </w:t>
            </w:r>
            <w:r w:rsidRPr="005F6BC2">
              <w:rPr>
                <w:szCs w:val="22"/>
              </w:rPr>
              <w:t>Based on WTB reports and actual FY 201</w:t>
            </w:r>
            <w:r>
              <w:rPr>
                <w:szCs w:val="22"/>
              </w:rPr>
              <w:t>9</w:t>
            </w:r>
            <w:r w:rsidRPr="005F6BC2">
              <w:rPr>
                <w:szCs w:val="22"/>
              </w:rPr>
              <w:t xml:space="preserve"> payment units.</w:t>
            </w:r>
          </w:p>
        </w:tc>
      </w:tr>
      <w:tr w:rsidTr="00274E20">
        <w:tblPrEx>
          <w:tblW w:w="8640" w:type="dxa"/>
          <w:tblInd w:w="120" w:type="dxa"/>
          <w:tblLayout w:type="fixed"/>
          <w:tblCellMar>
            <w:left w:w="120" w:type="dxa"/>
            <w:right w:w="120" w:type="dxa"/>
          </w:tblCellMar>
          <w:tblLook w:val="0000"/>
        </w:tblPrEx>
        <w:trPr>
          <w:cantSplit/>
        </w:trPr>
        <w:tc>
          <w:tcPr>
            <w:tcW w:w="2978" w:type="dxa"/>
            <w:tcBorders>
              <w:top w:val="single" w:sz="4"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Cable Television Relay Service (CARS) Stations</w:t>
            </w:r>
          </w:p>
        </w:tc>
        <w:tc>
          <w:tcPr>
            <w:tcW w:w="5662" w:type="dxa"/>
            <w:tcBorders>
              <w:top w:val="single" w:sz="4"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data from Media Bureau’s COALS database and actual FY 201</w:t>
            </w:r>
            <w:r>
              <w:rPr>
                <w:szCs w:val="22"/>
              </w:rPr>
              <w:t>9</w:t>
            </w:r>
            <w:r w:rsidRPr="005F6BC2">
              <w:rPr>
                <w:szCs w:val="22"/>
              </w:rPr>
              <w:t xml:space="preserve"> payment units.</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Cable Television System Subscribers, Including IPTV Subscribers</w:t>
            </w:r>
          </w:p>
        </w:tc>
        <w:tc>
          <w:tcPr>
            <w:tcW w:w="5662"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publicly available data sources for estimated subscriber counts and actual FY 201</w:t>
            </w:r>
            <w:r>
              <w:rPr>
                <w:szCs w:val="22"/>
              </w:rPr>
              <w:t>9</w:t>
            </w:r>
            <w:r w:rsidRPr="005F6BC2">
              <w:rPr>
                <w:szCs w:val="22"/>
              </w:rPr>
              <w:t xml:space="preserve"> payment units. </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Interstate Telecommunication Service Providers</w:t>
            </w:r>
          </w:p>
        </w:tc>
        <w:tc>
          <w:tcPr>
            <w:tcW w:w="5662"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FCC Form 499-Q data for the four quarters of calendar year 201</w:t>
            </w:r>
            <w:r>
              <w:rPr>
                <w:szCs w:val="22"/>
              </w:rPr>
              <w:t>9</w:t>
            </w:r>
            <w:r w:rsidRPr="005F6BC2">
              <w:rPr>
                <w:szCs w:val="22"/>
              </w:rPr>
              <w:t>, the Wireline Competition Bureau projected the amount of calendar year 201</w:t>
            </w:r>
            <w:r>
              <w:rPr>
                <w:szCs w:val="22"/>
              </w:rPr>
              <w:t>9</w:t>
            </w:r>
            <w:r w:rsidRPr="005F6BC2">
              <w:rPr>
                <w:szCs w:val="22"/>
              </w:rPr>
              <w:t xml:space="preserve"> revenue that will be reported on </w:t>
            </w:r>
            <w:r>
              <w:rPr>
                <w:szCs w:val="22"/>
              </w:rPr>
              <w:t xml:space="preserve">the </w:t>
            </w:r>
            <w:r w:rsidRPr="005F6BC2">
              <w:rPr>
                <w:szCs w:val="22"/>
              </w:rPr>
              <w:t>20</w:t>
            </w:r>
            <w:r>
              <w:rPr>
                <w:szCs w:val="22"/>
              </w:rPr>
              <w:t>20</w:t>
            </w:r>
            <w:r w:rsidRPr="005F6BC2">
              <w:rPr>
                <w:szCs w:val="22"/>
              </w:rPr>
              <w:t xml:space="preserve"> FCC Form 499-A worksheets due in April 20</w:t>
            </w:r>
            <w:r>
              <w:rPr>
                <w:szCs w:val="22"/>
              </w:rPr>
              <w:t>20</w:t>
            </w:r>
            <w:r w:rsidRPr="005F6BC2">
              <w:rPr>
                <w:szCs w:val="22"/>
              </w:rPr>
              <w:t>.</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Earth Stations</w:t>
            </w:r>
          </w:p>
        </w:tc>
        <w:tc>
          <w:tcPr>
            <w:tcW w:w="5662"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licensing data and actual FY 201</w:t>
            </w:r>
            <w:r>
              <w:rPr>
                <w:szCs w:val="22"/>
              </w:rPr>
              <w:t>9</w:t>
            </w:r>
            <w:r w:rsidRPr="005F6BC2">
              <w:rPr>
                <w:szCs w:val="22"/>
              </w:rPr>
              <w:t xml:space="preserve"> payment units.</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Space Stations (GSOs &amp; NGSOs)</w:t>
            </w:r>
          </w:p>
        </w:tc>
        <w:tc>
          <w:tcPr>
            <w:tcW w:w="5662" w:type="dxa"/>
            <w:tcBorders>
              <w:top w:val="single" w:sz="6" w:space="0" w:color="auto"/>
              <w:left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data reports and actual FY 201</w:t>
            </w:r>
            <w:r>
              <w:rPr>
                <w:szCs w:val="22"/>
              </w:rPr>
              <w:t>9</w:t>
            </w:r>
            <w:r w:rsidRPr="005F6BC2">
              <w:rPr>
                <w:szCs w:val="22"/>
              </w:rPr>
              <w:t xml:space="preserve"> payment units.</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International Bearer Circuits</w:t>
            </w:r>
          </w:p>
        </w:tc>
        <w:tc>
          <w:tcPr>
            <w:tcW w:w="5662" w:type="dxa"/>
            <w:tcBorders>
              <w:top w:val="single" w:sz="6" w:space="0" w:color="auto"/>
              <w:left w:val="single" w:sz="6" w:space="0" w:color="auto"/>
              <w:bottom w:val="single" w:sz="6"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reports and submissions by licensees, adjusted as necessary</w:t>
            </w:r>
            <w:r>
              <w:rPr>
                <w:szCs w:val="22"/>
              </w:rPr>
              <w:t xml:space="preserve">, and </w:t>
            </w:r>
            <w:r w:rsidRPr="005F6BC2">
              <w:rPr>
                <w:szCs w:val="22"/>
              </w:rPr>
              <w:t>actual FY 201</w:t>
            </w:r>
            <w:r>
              <w:rPr>
                <w:szCs w:val="22"/>
              </w:rPr>
              <w:t>9</w:t>
            </w:r>
            <w:r w:rsidRPr="005F6BC2">
              <w:rPr>
                <w:szCs w:val="22"/>
              </w:rPr>
              <w:t xml:space="preserve"> payment units.</w:t>
            </w:r>
          </w:p>
        </w:tc>
      </w:tr>
      <w:tr w:rsidTr="00274E20">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Submarine Cable Licenses</w:t>
            </w:r>
          </w:p>
        </w:tc>
        <w:tc>
          <w:tcPr>
            <w:tcW w:w="5662" w:type="dxa"/>
            <w:tcBorders>
              <w:top w:val="single" w:sz="6" w:space="0" w:color="auto"/>
              <w:left w:val="single" w:sz="6" w:space="0" w:color="auto"/>
              <w:bottom w:val="double" w:sz="4" w:space="0" w:color="auto"/>
              <w:right w:val="doub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5F6BC2">
              <w:rPr>
                <w:szCs w:val="22"/>
              </w:rPr>
              <w:t>Based on International Bureau license information</w:t>
            </w:r>
            <w:r>
              <w:rPr>
                <w:szCs w:val="22"/>
              </w:rPr>
              <w:t>,</w:t>
            </w:r>
            <w:r w:rsidRPr="005F6BC2">
              <w:rPr>
                <w:szCs w:val="22"/>
              </w:rPr>
              <w:t xml:space="preserve"> </w:t>
            </w:r>
            <w:r>
              <w:rPr>
                <w:szCs w:val="22"/>
              </w:rPr>
              <w:t xml:space="preserve">and </w:t>
            </w:r>
            <w:r w:rsidRPr="005F6BC2">
              <w:rPr>
                <w:szCs w:val="22"/>
              </w:rPr>
              <w:t>actual FY 201</w:t>
            </w:r>
            <w:r>
              <w:rPr>
                <w:szCs w:val="22"/>
              </w:rPr>
              <w:t>9</w:t>
            </w:r>
            <w:r w:rsidRPr="005F6BC2">
              <w:rPr>
                <w:szCs w:val="22"/>
              </w:rPr>
              <w:t xml:space="preserve"> payment units.</w:t>
            </w:r>
          </w:p>
        </w:tc>
      </w:tr>
    </w:tbl>
    <w:p w:rsidR="007D15C3" w:rsidRPr="005F6BC2" w:rsidP="007D15C3">
      <w:pPr>
        <w:widowControl/>
        <w:jc w:val="center"/>
        <w:rPr>
          <w:szCs w:val="22"/>
        </w:rPr>
        <w:sectPr w:rsidSect="007672E3">
          <w:footnotePr>
            <w:numRestart w:val="eachSect"/>
          </w:footnotePr>
          <w:endnotePr>
            <w:numFmt w:val="decimal"/>
          </w:endnotePr>
          <w:pgSz w:w="12240" w:h="15840"/>
          <w:pgMar w:top="1440" w:right="1440" w:bottom="720" w:left="1440" w:header="720" w:footer="720" w:gutter="0"/>
          <w:cols w:space="720"/>
          <w:noEndnote/>
          <w:titlePg/>
        </w:sectPr>
      </w:pPr>
    </w:p>
    <w:p w:rsidR="007D15C3" w:rsidRPr="005F6BC2" w:rsidP="007D15C3">
      <w:pPr>
        <w:tabs>
          <w:tab w:val="left" w:pos="3629"/>
        </w:tabs>
        <w:jc w:val="center"/>
        <w:rPr>
          <w:b/>
          <w:szCs w:val="22"/>
        </w:rPr>
      </w:pPr>
      <w:r w:rsidRPr="005F6BC2">
        <w:rPr>
          <w:b/>
          <w:szCs w:val="22"/>
        </w:rPr>
        <w:t>APPENDIX E</w:t>
      </w:r>
    </w:p>
    <w:p w:rsidR="007D15C3" w:rsidRPr="005F6BC2" w:rsidP="007D15C3">
      <w:pPr>
        <w:tabs>
          <w:tab w:val="left" w:pos="3629"/>
        </w:tabs>
        <w:jc w:val="center"/>
        <w:rPr>
          <w:b/>
          <w:szCs w:val="22"/>
        </w:rPr>
      </w:pPr>
    </w:p>
    <w:p w:rsidR="007D15C3" w:rsidRPr="005F6BC2" w:rsidP="007D15C3">
      <w:pPr>
        <w:tabs>
          <w:tab w:val="left" w:pos="3629"/>
        </w:tabs>
        <w:jc w:val="center"/>
        <w:rPr>
          <w:b/>
          <w:szCs w:val="22"/>
        </w:rPr>
      </w:pPr>
      <w:r w:rsidRPr="005F6BC2">
        <w:rPr>
          <w:b/>
          <w:szCs w:val="22"/>
        </w:rPr>
        <w:t>Factors, Measurements, and Calculations that Determine Station Signal Contours and Associated Population Coverages</w:t>
      </w:r>
    </w:p>
    <w:p w:rsidR="007D15C3" w:rsidRPr="005F6BC2" w:rsidP="007D15C3">
      <w:pPr>
        <w:tabs>
          <w:tab w:val="left" w:pos="3629"/>
        </w:tabs>
        <w:jc w:val="center"/>
        <w:rPr>
          <w:b/>
          <w:szCs w:val="22"/>
        </w:rPr>
      </w:pP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r w:rsidRPr="005F6BC2">
        <w:rPr>
          <w:b/>
          <w:spacing w:val="-3"/>
          <w:szCs w:val="22"/>
          <w:u w:val="single"/>
        </w:rPr>
        <w:t xml:space="preserve">AM </w:t>
      </w:r>
      <w:r w:rsidRPr="005F6BC2">
        <w:rPr>
          <w:b/>
          <w:szCs w:val="22"/>
          <w:u w:val="single"/>
        </w:rPr>
        <w:t>Stations</w:t>
      </w: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5F6BC2">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w:t>
      </w:r>
      <w:r w:rsidRPr="005F6BC2">
        <w:rPr>
          <w:szCs w:val="22"/>
        </w:rPr>
        <w:t>milliVolt</w:t>
      </w:r>
      <w:r w:rsidRPr="005F6BC2">
        <w:rPr>
          <w:szCs w:val="22"/>
        </w:rPr>
        <w:t xml:space="preserve">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u w:val="single"/>
        </w:rPr>
      </w:pPr>
      <w:r w:rsidRPr="005F6BC2">
        <w:rPr>
          <w:b/>
          <w:szCs w:val="22"/>
        </w:rPr>
        <w:tab/>
      </w:r>
      <w:r w:rsidRPr="005F6BC2">
        <w:rPr>
          <w:b/>
          <w:szCs w:val="22"/>
          <w:u w:val="single"/>
        </w:rPr>
        <w:t>FM Stations</w:t>
      </w: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7D15C3" w:rsidRPr="005F6BC2" w:rsidP="007D15C3">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r w:rsidRPr="005F6BC2">
        <w:rPr>
          <w:szCs w:val="22"/>
        </w:rPr>
        <w:t xml:space="preserve">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 73.313 of the Commission’s rules to predict the distance to the principal community (70 </w:t>
      </w:r>
      <w:r w:rsidRPr="005F6BC2">
        <w:rPr>
          <w:szCs w:val="22"/>
        </w:rPr>
        <w:t>dBu</w:t>
      </w:r>
      <w:r w:rsidRPr="005F6BC2">
        <w:rPr>
          <w:szCs w:val="22"/>
        </w:rPr>
        <w:t xml:space="preserve"> (decibel above 1 </w:t>
      </w:r>
      <w:r w:rsidRPr="005F6BC2">
        <w:rPr>
          <w:szCs w:val="22"/>
        </w:rPr>
        <w:t>microVolt</w:t>
      </w:r>
      <w:r w:rsidRPr="005F6BC2">
        <w:rPr>
          <w:szCs w:val="22"/>
        </w:rPr>
        <w:t xml:space="preserve">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 </w:t>
      </w:r>
    </w:p>
    <w:p w:rsidR="007D15C3" w:rsidRPr="005F6BC2" w:rsidP="007D15C3">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p>
    <w:p w:rsidR="007D15C3" w:rsidRPr="005F6BC2" w:rsidP="007D15C3">
      <w:pPr>
        <w:tabs>
          <w:tab w:val="left" w:pos="3629"/>
        </w:tabs>
        <w:jc w:val="center"/>
        <w:rPr>
          <w:b/>
          <w:szCs w:val="22"/>
        </w:rPr>
      </w:pPr>
      <w:r>
        <w:br w:type="page"/>
      </w:r>
      <w:r w:rsidRPr="005F6BC2">
        <w:rPr>
          <w:b/>
          <w:szCs w:val="22"/>
        </w:rPr>
        <w:t xml:space="preserve">APPENDIX </w:t>
      </w:r>
      <w:r>
        <w:rPr>
          <w:b/>
          <w:szCs w:val="22"/>
        </w:rPr>
        <w:t>F</w:t>
      </w:r>
    </w:p>
    <w:p w:rsidR="007D15C3" w:rsidRPr="005F6BC2" w:rsidP="007D15C3">
      <w:pPr>
        <w:tabs>
          <w:tab w:val="left" w:pos="3629"/>
        </w:tabs>
        <w:jc w:val="center"/>
        <w:rPr>
          <w:b/>
          <w:szCs w:val="22"/>
        </w:rPr>
      </w:pPr>
      <w:r>
        <w:rPr>
          <w:b/>
          <w:szCs w:val="22"/>
        </w:rPr>
        <w:t>Space Station Satellite Charts for FY 2020 Regulatory Fees</w:t>
      </w:r>
    </w:p>
    <w:p w:rsidR="007D15C3" w:rsidP="007D15C3">
      <w:pPr>
        <w:widowControl/>
        <w:spacing w:after="160" w:line="259" w:lineRule="auto"/>
      </w:pPr>
    </w:p>
    <w:p w:rsidR="007D15C3" w:rsidRPr="00A80A6C" w:rsidP="007D15C3">
      <w:pPr>
        <w:jc w:val="center"/>
        <w:rPr>
          <w:b/>
          <w:bCs/>
          <w:u w:val="single"/>
        </w:rPr>
      </w:pPr>
      <w:r w:rsidRPr="00656F48">
        <w:rPr>
          <w:b/>
          <w:bCs/>
          <w:u w:val="single"/>
        </w:rPr>
        <w:t xml:space="preserve">GSO vs. NGSO IBFS </w:t>
      </w:r>
      <w:r>
        <w:rPr>
          <w:b/>
          <w:bCs/>
          <w:u w:val="single"/>
        </w:rPr>
        <w:t>A</w:t>
      </w:r>
      <w:r w:rsidRPr="00656F48">
        <w:rPr>
          <w:b/>
          <w:bCs/>
          <w:u w:val="single"/>
        </w:rPr>
        <w:t>pplications (</w:t>
      </w:r>
      <w:r>
        <w:rPr>
          <w:b/>
          <w:bCs/>
          <w:u w:val="single"/>
        </w:rPr>
        <w:t>R</w:t>
      </w:r>
      <w:r w:rsidRPr="00656F48">
        <w:rPr>
          <w:b/>
          <w:bCs/>
          <w:u w:val="single"/>
        </w:rPr>
        <w:t>eceived</w:t>
      </w:r>
      <w:r>
        <w:rPr>
          <w:b/>
          <w:bCs/>
          <w:u w:val="single"/>
        </w:rPr>
        <w:t xml:space="preserve"> and Disposed</w:t>
      </w:r>
      <w:r w:rsidRPr="00656F48">
        <w:rPr>
          <w:b/>
          <w:bCs/>
          <w:u w:val="single"/>
        </w:rPr>
        <w:t>)  2017-2019</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8"/>
        <w:gridCol w:w="2430"/>
        <w:gridCol w:w="2565"/>
        <w:gridCol w:w="2880"/>
      </w:tblGrid>
      <w:tr w:rsidTr="00274E20">
        <w:tblPrEx>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1365" w:type="dxa"/>
          </w:tcPr>
          <w:p w:rsidR="007D15C3" w:rsidRPr="00926B90" w:rsidP="00274E20">
            <w:pPr>
              <w:rPr>
                <w:b/>
                <w:bCs/>
              </w:rPr>
            </w:pPr>
            <w:r w:rsidRPr="00926B90">
              <w:rPr>
                <w:b/>
                <w:bCs/>
              </w:rPr>
              <w:t>RECEIVED</w:t>
            </w:r>
          </w:p>
        </w:tc>
        <w:tc>
          <w:tcPr>
            <w:tcW w:w="2430" w:type="dxa"/>
          </w:tcPr>
          <w:p w:rsidR="007D15C3" w:rsidRPr="00ED76B4" w:rsidP="00274E20">
            <w:pPr>
              <w:jc w:val="center"/>
              <w:rPr>
                <w:b/>
                <w:bCs/>
              </w:rPr>
            </w:pPr>
            <w:r w:rsidRPr="00ED76B4">
              <w:rPr>
                <w:b/>
                <w:bCs/>
              </w:rPr>
              <w:t>2019</w:t>
            </w:r>
          </w:p>
        </w:tc>
        <w:tc>
          <w:tcPr>
            <w:tcW w:w="2565" w:type="dxa"/>
          </w:tcPr>
          <w:p w:rsidR="007D15C3" w:rsidRPr="00ED76B4" w:rsidP="00274E20">
            <w:pPr>
              <w:jc w:val="center"/>
              <w:rPr>
                <w:b/>
                <w:bCs/>
              </w:rPr>
            </w:pPr>
            <w:r w:rsidRPr="00ED76B4">
              <w:rPr>
                <w:b/>
                <w:bCs/>
              </w:rPr>
              <w:t>2018</w:t>
            </w:r>
          </w:p>
        </w:tc>
        <w:tc>
          <w:tcPr>
            <w:tcW w:w="2880" w:type="dxa"/>
          </w:tcPr>
          <w:p w:rsidR="007D15C3" w:rsidRPr="00ED76B4" w:rsidP="00274E20">
            <w:pPr>
              <w:jc w:val="center"/>
              <w:rPr>
                <w:b/>
                <w:bCs/>
              </w:rPr>
            </w:pPr>
            <w:r w:rsidRPr="00ED76B4">
              <w:rPr>
                <w:b/>
                <w:bCs/>
              </w:rPr>
              <w:t>2017</w:t>
            </w:r>
          </w:p>
        </w:tc>
      </w:tr>
      <w:tr w:rsidTr="00274E20">
        <w:tblPrEx>
          <w:tblW w:w="0" w:type="auto"/>
          <w:tblInd w:w="40" w:type="dxa"/>
          <w:tblLook w:val="0000"/>
        </w:tblPrEx>
        <w:trPr>
          <w:trHeight w:val="285"/>
        </w:trPr>
        <w:tc>
          <w:tcPr>
            <w:tcW w:w="1365" w:type="dxa"/>
          </w:tcPr>
          <w:p w:rsidR="007D15C3" w:rsidRPr="00926B90" w:rsidP="00274E20">
            <w:pPr>
              <w:rPr>
                <w:b/>
                <w:bCs/>
              </w:rPr>
            </w:pPr>
            <w:r w:rsidRPr="00926B90">
              <w:rPr>
                <w:b/>
                <w:bCs/>
              </w:rPr>
              <w:t>GSO</w:t>
            </w:r>
          </w:p>
        </w:tc>
        <w:tc>
          <w:tcPr>
            <w:tcW w:w="2430" w:type="dxa"/>
          </w:tcPr>
          <w:p w:rsidR="007D15C3" w:rsidRPr="00926B90" w:rsidP="00274E20">
            <w:pPr>
              <w:jc w:val="center"/>
            </w:pPr>
            <w:r w:rsidRPr="00926B90">
              <w:t>124</w:t>
            </w:r>
          </w:p>
        </w:tc>
        <w:tc>
          <w:tcPr>
            <w:tcW w:w="2565" w:type="dxa"/>
          </w:tcPr>
          <w:p w:rsidR="007D15C3" w:rsidRPr="00926B90" w:rsidP="00274E20">
            <w:pPr>
              <w:jc w:val="center"/>
            </w:pPr>
            <w:r w:rsidRPr="00926B90">
              <w:t>77</w:t>
            </w:r>
          </w:p>
        </w:tc>
        <w:tc>
          <w:tcPr>
            <w:tcW w:w="2880" w:type="dxa"/>
          </w:tcPr>
          <w:p w:rsidR="007D15C3" w:rsidRPr="00926B90" w:rsidP="00274E20">
            <w:pPr>
              <w:jc w:val="center"/>
            </w:pPr>
            <w:r w:rsidRPr="00926B90">
              <w:t>128*</w:t>
            </w:r>
          </w:p>
        </w:tc>
      </w:tr>
      <w:tr w:rsidTr="00274E20">
        <w:tblPrEx>
          <w:tblW w:w="0" w:type="auto"/>
          <w:tblInd w:w="40" w:type="dxa"/>
          <w:tblLook w:val="0000"/>
        </w:tblPrEx>
        <w:trPr>
          <w:trHeight w:val="255"/>
        </w:trPr>
        <w:tc>
          <w:tcPr>
            <w:tcW w:w="1365" w:type="dxa"/>
          </w:tcPr>
          <w:p w:rsidR="007D15C3" w:rsidRPr="00926B90" w:rsidP="00274E20">
            <w:pPr>
              <w:rPr>
                <w:b/>
                <w:bCs/>
              </w:rPr>
            </w:pPr>
            <w:r w:rsidRPr="00926B90">
              <w:rPr>
                <w:b/>
                <w:bCs/>
              </w:rPr>
              <w:t>NGSO</w:t>
            </w:r>
          </w:p>
        </w:tc>
        <w:tc>
          <w:tcPr>
            <w:tcW w:w="2430" w:type="dxa"/>
          </w:tcPr>
          <w:p w:rsidR="007D15C3" w:rsidRPr="00926B90" w:rsidP="00274E20">
            <w:pPr>
              <w:jc w:val="center"/>
            </w:pPr>
            <w:r w:rsidRPr="00926B90">
              <w:t>33</w:t>
            </w:r>
          </w:p>
        </w:tc>
        <w:tc>
          <w:tcPr>
            <w:tcW w:w="2565" w:type="dxa"/>
          </w:tcPr>
          <w:p w:rsidR="007D15C3" w:rsidRPr="00926B90" w:rsidP="00274E20">
            <w:pPr>
              <w:jc w:val="center"/>
            </w:pPr>
            <w:r w:rsidRPr="00926B90">
              <w:t>15</w:t>
            </w:r>
          </w:p>
        </w:tc>
        <w:tc>
          <w:tcPr>
            <w:tcW w:w="2880" w:type="dxa"/>
          </w:tcPr>
          <w:p w:rsidR="007D15C3" w:rsidRPr="00926B90" w:rsidP="00274E20">
            <w:pPr>
              <w:jc w:val="center"/>
            </w:pPr>
            <w:r w:rsidRPr="00926B90">
              <w:t>39</w:t>
            </w:r>
          </w:p>
        </w:tc>
      </w:tr>
      <w:tr w:rsidTr="00274E20">
        <w:tblPrEx>
          <w:tblW w:w="0" w:type="auto"/>
          <w:tblInd w:w="40" w:type="dxa"/>
          <w:tblLook w:val="0000"/>
        </w:tblPrEx>
        <w:trPr>
          <w:trHeight w:val="180"/>
        </w:trPr>
        <w:tc>
          <w:tcPr>
            <w:tcW w:w="1365" w:type="dxa"/>
          </w:tcPr>
          <w:p w:rsidR="007D15C3" w:rsidRPr="00926B90" w:rsidP="00274E20">
            <w:pPr>
              <w:rPr>
                <w:b/>
                <w:bCs/>
              </w:rPr>
            </w:pPr>
            <w:r w:rsidRPr="00926B90">
              <w:rPr>
                <w:b/>
                <w:bCs/>
              </w:rPr>
              <w:t>GSO/NGSO split</w:t>
            </w:r>
          </w:p>
        </w:tc>
        <w:tc>
          <w:tcPr>
            <w:tcW w:w="2430" w:type="dxa"/>
          </w:tcPr>
          <w:p w:rsidR="007D15C3" w:rsidRPr="00926B90" w:rsidP="00274E20">
            <w:pPr>
              <w:jc w:val="center"/>
            </w:pPr>
            <w:r w:rsidRPr="00926B90">
              <w:t>79%/</w:t>
            </w:r>
            <w:r>
              <w:t>2</w:t>
            </w:r>
            <w:r w:rsidRPr="00926B90">
              <w:t>1%</w:t>
            </w:r>
          </w:p>
        </w:tc>
        <w:tc>
          <w:tcPr>
            <w:tcW w:w="2565" w:type="dxa"/>
          </w:tcPr>
          <w:p w:rsidR="007D15C3" w:rsidRPr="00926B90" w:rsidP="00274E20">
            <w:pPr>
              <w:jc w:val="center"/>
            </w:pPr>
            <w:r>
              <w:t>84%/16%</w:t>
            </w:r>
          </w:p>
        </w:tc>
        <w:tc>
          <w:tcPr>
            <w:tcW w:w="2880" w:type="dxa"/>
          </w:tcPr>
          <w:p w:rsidR="007D15C3" w:rsidRPr="00926B90" w:rsidP="00274E20">
            <w:pPr>
              <w:jc w:val="center"/>
            </w:pPr>
            <w:r>
              <w:t>77%/23%</w:t>
            </w:r>
          </w:p>
        </w:tc>
      </w:tr>
    </w:tbl>
    <w:p w:rsidR="007D15C3" w:rsidRPr="00926B90" w:rsidP="007D15C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2430"/>
        <w:gridCol w:w="2565"/>
        <w:gridCol w:w="2895"/>
      </w:tblGrid>
      <w:tr w:rsidTr="00274E20">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1452" w:type="dxa"/>
          </w:tcPr>
          <w:p w:rsidR="007D15C3" w:rsidRPr="00926B90" w:rsidP="00274E20">
            <w:pPr>
              <w:rPr>
                <w:b/>
                <w:bCs/>
              </w:rPr>
            </w:pPr>
            <w:r w:rsidRPr="00926B90">
              <w:rPr>
                <w:b/>
                <w:bCs/>
              </w:rPr>
              <w:t>DISPOSED</w:t>
            </w:r>
          </w:p>
        </w:tc>
        <w:tc>
          <w:tcPr>
            <w:tcW w:w="2430" w:type="dxa"/>
          </w:tcPr>
          <w:p w:rsidR="007D15C3" w:rsidRPr="00ED76B4" w:rsidP="00274E20">
            <w:pPr>
              <w:jc w:val="center"/>
              <w:rPr>
                <w:b/>
                <w:bCs/>
              </w:rPr>
            </w:pPr>
            <w:r w:rsidRPr="00ED76B4">
              <w:rPr>
                <w:b/>
                <w:bCs/>
              </w:rPr>
              <w:t>2019</w:t>
            </w:r>
          </w:p>
        </w:tc>
        <w:tc>
          <w:tcPr>
            <w:tcW w:w="2565" w:type="dxa"/>
          </w:tcPr>
          <w:p w:rsidR="007D15C3" w:rsidRPr="00ED76B4" w:rsidP="00274E20">
            <w:pPr>
              <w:jc w:val="center"/>
              <w:rPr>
                <w:b/>
                <w:bCs/>
              </w:rPr>
            </w:pPr>
            <w:r w:rsidRPr="00ED76B4">
              <w:rPr>
                <w:b/>
                <w:bCs/>
              </w:rPr>
              <w:t>2018</w:t>
            </w:r>
          </w:p>
        </w:tc>
        <w:tc>
          <w:tcPr>
            <w:tcW w:w="2895" w:type="dxa"/>
          </w:tcPr>
          <w:p w:rsidR="007D15C3" w:rsidRPr="00ED76B4" w:rsidP="00274E20">
            <w:pPr>
              <w:jc w:val="center"/>
              <w:rPr>
                <w:b/>
                <w:bCs/>
              </w:rPr>
            </w:pPr>
            <w:r w:rsidRPr="00ED76B4">
              <w:rPr>
                <w:b/>
                <w:bCs/>
              </w:rPr>
              <w:t>2017</w:t>
            </w:r>
          </w:p>
        </w:tc>
      </w:tr>
      <w:tr w:rsidTr="00274E20">
        <w:tblPrEx>
          <w:tblW w:w="0" w:type="auto"/>
          <w:tblInd w:w="-5" w:type="dxa"/>
          <w:tblLook w:val="0000"/>
        </w:tblPrEx>
        <w:trPr>
          <w:trHeight w:val="450"/>
        </w:trPr>
        <w:tc>
          <w:tcPr>
            <w:tcW w:w="1452" w:type="dxa"/>
          </w:tcPr>
          <w:p w:rsidR="007D15C3" w:rsidRPr="00926B90" w:rsidP="00274E20">
            <w:pPr>
              <w:rPr>
                <w:b/>
                <w:bCs/>
              </w:rPr>
            </w:pPr>
            <w:r w:rsidRPr="00926B90">
              <w:rPr>
                <w:b/>
                <w:bCs/>
              </w:rPr>
              <w:t>GSO</w:t>
            </w:r>
          </w:p>
        </w:tc>
        <w:tc>
          <w:tcPr>
            <w:tcW w:w="2430" w:type="dxa"/>
          </w:tcPr>
          <w:p w:rsidR="007D15C3" w:rsidRPr="00926B90" w:rsidP="00274E20">
            <w:pPr>
              <w:jc w:val="center"/>
            </w:pPr>
            <w:r w:rsidRPr="00926B90">
              <w:t>108</w:t>
            </w:r>
          </w:p>
        </w:tc>
        <w:tc>
          <w:tcPr>
            <w:tcW w:w="2565" w:type="dxa"/>
          </w:tcPr>
          <w:p w:rsidR="007D15C3" w:rsidRPr="00926B90" w:rsidP="00274E20">
            <w:pPr>
              <w:jc w:val="center"/>
            </w:pPr>
            <w:r w:rsidRPr="00926B90">
              <w:t>88</w:t>
            </w:r>
          </w:p>
        </w:tc>
        <w:tc>
          <w:tcPr>
            <w:tcW w:w="2895" w:type="dxa"/>
          </w:tcPr>
          <w:p w:rsidR="007D15C3" w:rsidRPr="00926B90" w:rsidP="00274E20">
            <w:pPr>
              <w:jc w:val="center"/>
            </w:pPr>
            <w:r w:rsidRPr="00926B90">
              <w:t>122</w:t>
            </w:r>
          </w:p>
        </w:tc>
      </w:tr>
      <w:tr w:rsidTr="00274E20">
        <w:tblPrEx>
          <w:tblW w:w="0" w:type="auto"/>
          <w:tblInd w:w="-5" w:type="dxa"/>
          <w:tblLook w:val="0000"/>
        </w:tblPrEx>
        <w:trPr>
          <w:trHeight w:val="510"/>
        </w:trPr>
        <w:tc>
          <w:tcPr>
            <w:tcW w:w="1452" w:type="dxa"/>
          </w:tcPr>
          <w:p w:rsidR="007D15C3" w:rsidRPr="00926B90" w:rsidP="00274E20">
            <w:pPr>
              <w:rPr>
                <w:b/>
                <w:bCs/>
              </w:rPr>
            </w:pPr>
            <w:r w:rsidRPr="00926B90">
              <w:rPr>
                <w:b/>
                <w:bCs/>
              </w:rPr>
              <w:t>NGSO</w:t>
            </w:r>
          </w:p>
        </w:tc>
        <w:tc>
          <w:tcPr>
            <w:tcW w:w="2430" w:type="dxa"/>
          </w:tcPr>
          <w:p w:rsidR="007D15C3" w:rsidRPr="00926B90" w:rsidP="00274E20">
            <w:pPr>
              <w:jc w:val="center"/>
            </w:pPr>
            <w:r w:rsidRPr="00926B90">
              <w:t>28</w:t>
            </w:r>
          </w:p>
        </w:tc>
        <w:tc>
          <w:tcPr>
            <w:tcW w:w="2565" w:type="dxa"/>
          </w:tcPr>
          <w:p w:rsidR="007D15C3" w:rsidRPr="00926B90" w:rsidP="00274E20">
            <w:pPr>
              <w:jc w:val="center"/>
            </w:pPr>
            <w:r w:rsidRPr="00926B90">
              <w:t>29</w:t>
            </w:r>
          </w:p>
        </w:tc>
        <w:tc>
          <w:tcPr>
            <w:tcW w:w="2895" w:type="dxa"/>
          </w:tcPr>
          <w:p w:rsidR="007D15C3" w:rsidRPr="00926B90" w:rsidP="00274E20">
            <w:pPr>
              <w:jc w:val="center"/>
            </w:pPr>
            <w:r w:rsidRPr="00926B90">
              <w:t>24</w:t>
            </w:r>
          </w:p>
        </w:tc>
      </w:tr>
      <w:tr w:rsidTr="00274E20">
        <w:tblPrEx>
          <w:tblW w:w="0" w:type="auto"/>
          <w:tblInd w:w="-5" w:type="dxa"/>
          <w:tblLook w:val="0000"/>
        </w:tblPrEx>
        <w:trPr>
          <w:trHeight w:val="855"/>
        </w:trPr>
        <w:tc>
          <w:tcPr>
            <w:tcW w:w="1452" w:type="dxa"/>
          </w:tcPr>
          <w:p w:rsidR="007D15C3" w:rsidRPr="00926B90" w:rsidP="00274E20">
            <w:pPr>
              <w:rPr>
                <w:b/>
                <w:bCs/>
              </w:rPr>
            </w:pPr>
            <w:r w:rsidRPr="00926B90">
              <w:rPr>
                <w:b/>
                <w:bCs/>
              </w:rPr>
              <w:t>GSO/NGSO Split</w:t>
            </w:r>
          </w:p>
        </w:tc>
        <w:tc>
          <w:tcPr>
            <w:tcW w:w="2430" w:type="dxa"/>
          </w:tcPr>
          <w:p w:rsidR="007D15C3" w:rsidRPr="00926B90" w:rsidP="00274E20">
            <w:pPr>
              <w:jc w:val="center"/>
            </w:pPr>
            <w:r>
              <w:t>79%/21%</w:t>
            </w:r>
          </w:p>
        </w:tc>
        <w:tc>
          <w:tcPr>
            <w:tcW w:w="2565" w:type="dxa"/>
          </w:tcPr>
          <w:p w:rsidR="007D15C3" w:rsidRPr="00926B90" w:rsidP="00274E20">
            <w:pPr>
              <w:jc w:val="center"/>
            </w:pPr>
            <w:r>
              <w:t>75%/25%</w:t>
            </w:r>
          </w:p>
        </w:tc>
        <w:tc>
          <w:tcPr>
            <w:tcW w:w="2895" w:type="dxa"/>
          </w:tcPr>
          <w:p w:rsidR="007D15C3" w:rsidRPr="00926B90" w:rsidP="00274E20">
            <w:pPr>
              <w:jc w:val="center"/>
            </w:pPr>
            <w:r>
              <w:t>84%/16%</w:t>
            </w:r>
          </w:p>
        </w:tc>
      </w:tr>
    </w:tbl>
    <w:p w:rsidR="007D15C3" w:rsidRPr="00926B90" w:rsidP="007D15C3"/>
    <w:p w:rsidR="007D15C3" w:rsidRPr="00A80A6C" w:rsidP="007D15C3">
      <w:r w:rsidRPr="00926B90">
        <w:t>* includes 12 withdrawals pending for 3 days or less</w:t>
      </w:r>
    </w:p>
    <w:p w:rsidR="007D15C3" w:rsidP="007D15C3">
      <w:pPr>
        <w:jc w:val="center"/>
        <w:rPr>
          <w:b/>
          <w:bCs/>
        </w:rPr>
      </w:pPr>
    </w:p>
    <w:p w:rsidR="007D15C3" w:rsidP="007D15C3">
      <w:pPr>
        <w:jc w:val="center"/>
        <w:rPr>
          <w:b/>
          <w:bCs/>
        </w:rPr>
      </w:pPr>
    </w:p>
    <w:p w:rsidR="007D15C3" w:rsidRPr="00670BBF" w:rsidP="007D15C3">
      <w:pPr>
        <w:jc w:val="center"/>
        <w:rPr>
          <w:b/>
          <w:bCs/>
        </w:rPr>
      </w:pPr>
      <w:r>
        <w:rPr>
          <w:b/>
          <w:bCs/>
        </w:rPr>
        <w:t>N</w:t>
      </w:r>
      <w:r w:rsidRPr="00A80A6C">
        <w:rPr>
          <w:b/>
          <w:bCs/>
          <w:u w:val="single"/>
        </w:rPr>
        <w:t>on-</w:t>
      </w:r>
      <w:r>
        <w:rPr>
          <w:b/>
          <w:bCs/>
          <w:u w:val="single"/>
        </w:rPr>
        <w:t>U.S. Licensed</w:t>
      </w:r>
      <w:r w:rsidRPr="00A80A6C">
        <w:rPr>
          <w:b/>
          <w:bCs/>
          <w:u w:val="single"/>
        </w:rPr>
        <w:t xml:space="preserve"> Space Stations – Market Access Through Petition for Declaratory Ruling (PDR)</w:t>
      </w:r>
    </w:p>
    <w:tbl>
      <w:tblPr>
        <w:tblW w:w="10351" w:type="dxa"/>
        <w:tblLook w:val="04A0"/>
      </w:tblPr>
      <w:tblGrid>
        <w:gridCol w:w="5000"/>
        <w:gridCol w:w="1480"/>
        <w:gridCol w:w="2740"/>
        <w:gridCol w:w="1131"/>
      </w:tblGrid>
      <w:tr w:rsidTr="00274E20">
        <w:tblPrEx>
          <w:tblW w:w="10351" w:type="dxa"/>
          <w:tblLook w:val="04A0"/>
        </w:tblPrEx>
        <w:trPr>
          <w:trHeight w:val="300"/>
        </w:trPr>
        <w:tc>
          <w:tcPr>
            <w:tcW w:w="5000" w:type="dxa"/>
            <w:tcBorders>
              <w:top w:val="single" w:sz="4" w:space="0" w:color="auto"/>
              <w:left w:val="single" w:sz="4" w:space="0" w:color="auto"/>
              <w:bottom w:val="nil"/>
              <w:right w:val="single" w:sz="4" w:space="0" w:color="auto"/>
            </w:tcBorders>
            <w:shd w:val="clear" w:color="auto" w:fill="auto"/>
            <w:noWrap/>
            <w:vAlign w:val="bottom"/>
            <w:hideMark/>
          </w:tcPr>
          <w:p w:rsidR="007D15C3" w:rsidRPr="00500EA4" w:rsidP="00274E20">
            <w:pPr>
              <w:rPr>
                <w:rFonts w:ascii="Calibri" w:hAnsi="Calibri"/>
                <w:color w:val="000000"/>
              </w:rPr>
            </w:pPr>
            <w:r w:rsidRPr="00500EA4">
              <w:rPr>
                <w:rFonts w:ascii="Calibri" w:hAnsi="Calibri"/>
                <w:color w:val="000000"/>
              </w:rPr>
              <w:t> </w:t>
            </w:r>
          </w:p>
        </w:tc>
        <w:tc>
          <w:tcPr>
            <w:tcW w:w="1480" w:type="dxa"/>
            <w:tcBorders>
              <w:top w:val="single" w:sz="4" w:space="0" w:color="auto"/>
              <w:left w:val="nil"/>
              <w:bottom w:val="nil"/>
              <w:right w:val="single" w:sz="4" w:space="0" w:color="auto"/>
            </w:tcBorders>
            <w:shd w:val="clear" w:color="auto" w:fill="auto"/>
            <w:noWrap/>
            <w:vAlign w:val="bottom"/>
            <w:hideMark/>
          </w:tcPr>
          <w:p w:rsidR="007D15C3" w:rsidRPr="00500EA4" w:rsidP="00274E20">
            <w:pPr>
              <w:rPr>
                <w:rFonts w:ascii="Calibri" w:hAnsi="Calibri"/>
                <w:color w:val="000000"/>
              </w:rPr>
            </w:pPr>
            <w:r w:rsidRPr="00500EA4">
              <w:rPr>
                <w:rFonts w:ascii="Calibri" w:hAnsi="Calibri"/>
                <w:color w:val="000000"/>
              </w:rPr>
              <w:t> </w:t>
            </w:r>
          </w:p>
        </w:tc>
        <w:tc>
          <w:tcPr>
            <w:tcW w:w="2740" w:type="dxa"/>
            <w:tcBorders>
              <w:top w:val="single" w:sz="4" w:space="0" w:color="auto"/>
              <w:left w:val="nil"/>
              <w:bottom w:val="nil"/>
              <w:right w:val="single" w:sz="4" w:space="0" w:color="auto"/>
            </w:tcBorders>
            <w:shd w:val="clear" w:color="auto" w:fill="auto"/>
            <w:noWrap/>
            <w:vAlign w:val="bottom"/>
            <w:hideMark/>
          </w:tcPr>
          <w:p w:rsidR="007D15C3" w:rsidRPr="00500EA4" w:rsidP="00274E20">
            <w:pPr>
              <w:jc w:val="center"/>
              <w:rPr>
                <w:rFonts w:ascii="Calibri" w:hAnsi="Calibri"/>
                <w:b/>
                <w:bCs/>
                <w:color w:val="000000"/>
              </w:rPr>
            </w:pPr>
            <w:r w:rsidRPr="00500EA4">
              <w:rPr>
                <w:rFonts w:ascii="Calibri" w:hAnsi="Calibri"/>
                <w:b/>
                <w:bCs/>
                <w:color w:val="000000"/>
              </w:rPr>
              <w:t>SATELLITE</w:t>
            </w:r>
          </w:p>
        </w:tc>
        <w:tc>
          <w:tcPr>
            <w:tcW w:w="1131" w:type="dxa"/>
            <w:tcBorders>
              <w:top w:val="single" w:sz="4" w:space="0" w:color="auto"/>
              <w:left w:val="nil"/>
              <w:bottom w:val="nil"/>
              <w:right w:val="single" w:sz="4" w:space="0" w:color="auto"/>
            </w:tcBorders>
            <w:shd w:val="clear" w:color="auto" w:fill="auto"/>
            <w:noWrap/>
            <w:vAlign w:val="bottom"/>
            <w:hideMark/>
          </w:tcPr>
          <w:p w:rsidR="007D15C3" w:rsidRPr="00500EA4" w:rsidP="00274E20">
            <w:pPr>
              <w:jc w:val="center"/>
              <w:rPr>
                <w:rFonts w:ascii="Calibri" w:hAnsi="Calibri"/>
                <w:b/>
                <w:bCs/>
                <w:color w:val="000000"/>
              </w:rPr>
            </w:pPr>
            <w:r w:rsidRPr="00500EA4">
              <w:rPr>
                <w:rFonts w:ascii="Calibri" w:hAnsi="Calibri"/>
                <w:b/>
                <w:bCs/>
                <w:color w:val="000000"/>
              </w:rPr>
              <w:t>SATELLITE</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7D15C3" w:rsidRPr="00500EA4" w:rsidP="00274E20">
            <w:pPr>
              <w:jc w:val="center"/>
              <w:rPr>
                <w:rFonts w:ascii="Calibri" w:hAnsi="Calibri"/>
                <w:b/>
                <w:bCs/>
                <w:color w:val="000000"/>
                <w:u w:val="single"/>
              </w:rPr>
            </w:pPr>
            <w:r w:rsidRPr="00500EA4">
              <w:rPr>
                <w:rFonts w:ascii="Calibri" w:hAnsi="Calibri"/>
                <w:b/>
                <w:bCs/>
                <w:color w:val="000000"/>
                <w:u w:val="single"/>
              </w:rPr>
              <w:t>LICENSEE</w:t>
            </w:r>
          </w:p>
        </w:tc>
        <w:tc>
          <w:tcPr>
            <w:tcW w:w="1480" w:type="dxa"/>
            <w:tcBorders>
              <w:top w:val="nil"/>
              <w:left w:val="nil"/>
              <w:bottom w:val="single" w:sz="4" w:space="0" w:color="auto"/>
              <w:right w:val="single" w:sz="4" w:space="0" w:color="auto"/>
            </w:tcBorders>
            <w:shd w:val="clear" w:color="auto" w:fill="auto"/>
            <w:noWrap/>
            <w:vAlign w:val="bottom"/>
            <w:hideMark/>
          </w:tcPr>
          <w:p w:rsidR="007D15C3" w:rsidRPr="00500EA4" w:rsidP="00274E20">
            <w:pPr>
              <w:jc w:val="center"/>
              <w:rPr>
                <w:rFonts w:ascii="Calibri" w:hAnsi="Calibri"/>
                <w:b/>
                <w:bCs/>
                <w:color w:val="000000"/>
                <w:u w:val="single"/>
              </w:rPr>
            </w:pPr>
            <w:r w:rsidRPr="00500EA4">
              <w:rPr>
                <w:rFonts w:ascii="Calibri" w:hAnsi="Calibri"/>
                <w:b/>
                <w:bCs/>
                <w:color w:val="000000"/>
                <w:u w:val="single"/>
              </w:rPr>
              <w:t>CALL SIGN</w:t>
            </w:r>
          </w:p>
        </w:tc>
        <w:tc>
          <w:tcPr>
            <w:tcW w:w="2740" w:type="dxa"/>
            <w:tcBorders>
              <w:top w:val="nil"/>
              <w:left w:val="nil"/>
              <w:bottom w:val="single" w:sz="4" w:space="0" w:color="auto"/>
              <w:right w:val="single" w:sz="4" w:space="0" w:color="auto"/>
            </w:tcBorders>
            <w:shd w:val="clear" w:color="auto" w:fill="auto"/>
            <w:noWrap/>
            <w:vAlign w:val="bottom"/>
            <w:hideMark/>
          </w:tcPr>
          <w:p w:rsidR="007D15C3" w:rsidRPr="00500EA4" w:rsidP="00274E20">
            <w:pPr>
              <w:jc w:val="center"/>
              <w:rPr>
                <w:rFonts w:ascii="Calibri" w:hAnsi="Calibri"/>
                <w:b/>
                <w:bCs/>
                <w:color w:val="000000"/>
                <w:u w:val="single"/>
              </w:rPr>
            </w:pPr>
            <w:r w:rsidRPr="00500EA4">
              <w:rPr>
                <w:rFonts w:ascii="Calibri" w:hAnsi="Calibri"/>
                <w:b/>
                <w:bCs/>
                <w:color w:val="000000"/>
                <w:u w:val="single"/>
              </w:rPr>
              <w:t>COMMON NAME</w:t>
            </w:r>
          </w:p>
        </w:tc>
        <w:tc>
          <w:tcPr>
            <w:tcW w:w="1131" w:type="dxa"/>
            <w:tcBorders>
              <w:top w:val="nil"/>
              <w:left w:val="nil"/>
              <w:bottom w:val="single" w:sz="4" w:space="0" w:color="auto"/>
              <w:right w:val="single" w:sz="4" w:space="0" w:color="auto"/>
            </w:tcBorders>
            <w:shd w:val="clear" w:color="auto" w:fill="auto"/>
            <w:noWrap/>
            <w:vAlign w:val="bottom"/>
            <w:hideMark/>
          </w:tcPr>
          <w:p w:rsidR="007D15C3" w:rsidRPr="00500EA4" w:rsidP="00274E20">
            <w:pPr>
              <w:jc w:val="center"/>
              <w:rPr>
                <w:rFonts w:ascii="Calibri" w:hAnsi="Calibri"/>
                <w:b/>
                <w:bCs/>
                <w:color w:val="000000"/>
                <w:u w:val="single"/>
              </w:rPr>
            </w:pPr>
            <w:r w:rsidRPr="00500EA4">
              <w:rPr>
                <w:rFonts w:ascii="Calibri" w:hAnsi="Calibri"/>
                <w:b/>
                <w:bCs/>
                <w:color w:val="000000"/>
                <w:u w:val="single"/>
              </w:rPr>
              <w:t>TYPE</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DBSD Services Ltd</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S2651</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ICO G1</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Empresa</w:t>
            </w:r>
            <w:r w:rsidRPr="00500EA4">
              <w:rPr>
                <w:color w:val="000000"/>
              </w:rPr>
              <w:t xml:space="preserve"> Argentina De </w:t>
            </w:r>
            <w:r w:rsidRPr="00500EA4">
              <w:rPr>
                <w:color w:val="000000"/>
              </w:rPr>
              <w:t>Soluciones</w:t>
            </w:r>
            <w:r w:rsidRPr="00500EA4">
              <w:rPr>
                <w:color w:val="000000"/>
              </w:rPr>
              <w:t xml:space="preserve"> </w:t>
            </w:r>
            <w:r w:rsidRPr="00500EA4">
              <w:rPr>
                <w:color w:val="000000"/>
              </w:rPr>
              <w:t>Satelitales</w:t>
            </w:r>
            <w:r w:rsidRPr="00500EA4">
              <w:rPr>
                <w:color w:val="000000"/>
              </w:rPr>
              <w:t xml:space="preserve"> S.A.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S2956</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ARSAT-2</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ES 172 LLC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S3021</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EUTELSAT 172B</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European Telecommunications Satellite Organization</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S2595</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Atlantic Bird 1</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European Telecommunications Satellite Organization</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S2596</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Atlantic Bird 2</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European Telecommunications Satellite Organization</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S2702</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Eutelsat II-F2</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Gamma Acquisition L.L.C.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S2633</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TerreStar</w:t>
            </w:r>
            <w:r w:rsidRPr="00500EA4">
              <w:rPr>
                <w:color w:val="000000"/>
              </w:rPr>
              <w:t xml:space="preserve"> 1</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Hispasati</w:t>
            </w:r>
            <w:r w:rsidRPr="00500EA4">
              <w:rPr>
                <w:color w:val="000000"/>
              </w:rPr>
              <w:t>, S.A.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S2969</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HISPASAT 30W-6</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Hispasati</w:t>
            </w:r>
            <w:r w:rsidRPr="00500EA4">
              <w:rPr>
                <w:color w:val="000000"/>
              </w:rPr>
              <w:t>, S.A.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S2476</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HISPASAT-1D et al.</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Horizons Satellite LLC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S2475</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Galaxy 13</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Horizons-1 Satellite LLC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S2970/S3049</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 xml:space="preserve">HORIZONS-1 </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Horizons-3 License LLC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S2947</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Horizons 3e</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Hughes Network Systems, LLC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S2753</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SPACEWAY 4</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Hughes Network Systems, LLC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S2834</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Jupiter 2/EchoStar 1</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Inmarsat PLC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S2780</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I2F1</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Inmarsat PLC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S2783</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Inmarsat 3F4</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Inmarsat PLC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S2932</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Inmarsat-4 F3</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Inmarsat PLC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S2949</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Inmarsat-3 F5</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Intelsat License LLC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S2592/S2868</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Galaxy 23</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Intelsat North America LLC</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S2592</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Intelsat Americas 13</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Jansky-</w:t>
            </w:r>
            <w:r w:rsidRPr="00500EA4">
              <w:rPr>
                <w:color w:val="000000"/>
              </w:rPr>
              <w:t>Barmet</w:t>
            </w:r>
            <w:r w:rsidRPr="00500EA4">
              <w:rPr>
                <w:color w:val="000000"/>
              </w:rPr>
              <w:t xml:space="preserve"> Telecommunications Inc.</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S2793</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AMAZONAS-2</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New Skies Satellites B.V.</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S2756</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NSS-9</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New Skies Satellites B.V.</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S2870</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SES-6</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New Skies Satellites B.V.</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S3048</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NSS-6</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New Skies Satellites B.V.</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S2463</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NSS-7</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tcPr>
          <w:p w:rsidR="007D15C3" w:rsidRPr="00500EA4" w:rsidP="00274E20">
            <w:pPr>
              <w:rPr>
                <w:color w:val="000000"/>
              </w:rPr>
            </w:pPr>
            <w:r w:rsidRPr="00500EA4">
              <w:rPr>
                <w:color w:val="000000"/>
              </w:rPr>
              <w:t>New Skies Satellites B.V.</w:t>
            </w:r>
          </w:p>
        </w:tc>
        <w:tc>
          <w:tcPr>
            <w:tcW w:w="1480" w:type="dxa"/>
            <w:tcBorders>
              <w:top w:val="nil"/>
              <w:left w:val="nil"/>
              <w:bottom w:val="single" w:sz="4" w:space="0" w:color="auto"/>
              <w:right w:val="single" w:sz="4" w:space="0" w:color="auto"/>
            </w:tcBorders>
            <w:shd w:val="clear" w:color="auto" w:fill="auto"/>
            <w:vAlign w:val="bottom"/>
          </w:tcPr>
          <w:p w:rsidR="007D15C3" w:rsidRPr="00500EA4" w:rsidP="00274E20">
            <w:pPr>
              <w:jc w:val="center"/>
              <w:rPr>
                <w:color w:val="000000"/>
              </w:rPr>
            </w:pPr>
            <w:r>
              <w:rPr>
                <w:color w:val="000000"/>
              </w:rPr>
              <w:t>S2828</w:t>
            </w:r>
          </w:p>
        </w:tc>
        <w:tc>
          <w:tcPr>
            <w:tcW w:w="2740" w:type="dxa"/>
            <w:tcBorders>
              <w:top w:val="nil"/>
              <w:left w:val="nil"/>
              <w:bottom w:val="single" w:sz="4" w:space="0" w:color="auto"/>
              <w:right w:val="single" w:sz="4" w:space="0" w:color="auto"/>
            </w:tcBorders>
            <w:shd w:val="clear" w:color="auto" w:fill="auto"/>
            <w:vAlign w:val="bottom"/>
          </w:tcPr>
          <w:p w:rsidR="007D15C3" w:rsidRPr="00500EA4" w:rsidP="00274E20">
            <w:pPr>
              <w:jc w:val="center"/>
              <w:rPr>
                <w:color w:val="000000"/>
              </w:rPr>
            </w:pPr>
            <w:r>
              <w:rPr>
                <w:color w:val="000000"/>
              </w:rPr>
              <w:t>SES-4</w:t>
            </w:r>
          </w:p>
        </w:tc>
        <w:tc>
          <w:tcPr>
            <w:tcW w:w="1131" w:type="dxa"/>
            <w:tcBorders>
              <w:top w:val="nil"/>
              <w:left w:val="nil"/>
              <w:bottom w:val="single" w:sz="4" w:space="0" w:color="auto"/>
              <w:right w:val="single" w:sz="4" w:space="0" w:color="auto"/>
            </w:tcBorders>
            <w:shd w:val="clear" w:color="auto" w:fill="auto"/>
          </w:tcPr>
          <w:p w:rsidR="007D15C3" w:rsidRPr="00500EA4" w:rsidP="00274E20">
            <w:pPr>
              <w:jc w:val="center"/>
              <w:rPr>
                <w:color w:val="000000"/>
              </w:rPr>
            </w:pPr>
            <w:r w:rsidRPr="0017261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tcPr>
          <w:p w:rsidR="007D15C3" w:rsidRPr="00500EA4" w:rsidP="00274E20">
            <w:pPr>
              <w:rPr>
                <w:color w:val="000000"/>
              </w:rPr>
            </w:pPr>
            <w:r w:rsidRPr="00500EA4">
              <w:rPr>
                <w:color w:val="000000"/>
              </w:rPr>
              <w:t>New Skies Satellites B.V.</w:t>
            </w:r>
          </w:p>
        </w:tc>
        <w:tc>
          <w:tcPr>
            <w:tcW w:w="1480" w:type="dxa"/>
            <w:tcBorders>
              <w:top w:val="nil"/>
              <w:left w:val="nil"/>
              <w:bottom w:val="single" w:sz="4" w:space="0" w:color="auto"/>
              <w:right w:val="single" w:sz="4" w:space="0" w:color="auto"/>
            </w:tcBorders>
            <w:shd w:val="clear" w:color="auto" w:fill="auto"/>
            <w:vAlign w:val="bottom"/>
          </w:tcPr>
          <w:p w:rsidR="007D15C3" w:rsidRPr="00500EA4" w:rsidP="00274E20">
            <w:pPr>
              <w:jc w:val="center"/>
              <w:rPr>
                <w:color w:val="000000"/>
              </w:rPr>
            </w:pPr>
            <w:r>
              <w:rPr>
                <w:color w:val="000000"/>
              </w:rPr>
              <w:t>S2950</w:t>
            </w:r>
          </w:p>
        </w:tc>
        <w:tc>
          <w:tcPr>
            <w:tcW w:w="2740" w:type="dxa"/>
            <w:tcBorders>
              <w:top w:val="nil"/>
              <w:left w:val="nil"/>
              <w:bottom w:val="single" w:sz="4" w:space="0" w:color="auto"/>
              <w:right w:val="single" w:sz="4" w:space="0" w:color="auto"/>
            </w:tcBorders>
            <w:shd w:val="clear" w:color="auto" w:fill="auto"/>
            <w:vAlign w:val="bottom"/>
          </w:tcPr>
          <w:p w:rsidR="007D15C3" w:rsidRPr="00500EA4" w:rsidP="00274E20">
            <w:pPr>
              <w:jc w:val="center"/>
              <w:rPr>
                <w:color w:val="000000"/>
              </w:rPr>
            </w:pPr>
            <w:r>
              <w:rPr>
                <w:color w:val="000000"/>
              </w:rPr>
              <w:t>SES-10</w:t>
            </w:r>
          </w:p>
        </w:tc>
        <w:tc>
          <w:tcPr>
            <w:tcW w:w="1131" w:type="dxa"/>
            <w:tcBorders>
              <w:top w:val="nil"/>
              <w:left w:val="nil"/>
              <w:bottom w:val="single" w:sz="4" w:space="0" w:color="auto"/>
              <w:right w:val="single" w:sz="4" w:space="0" w:color="auto"/>
            </w:tcBorders>
            <w:shd w:val="clear" w:color="auto" w:fill="auto"/>
          </w:tcPr>
          <w:p w:rsidR="007D15C3" w:rsidRPr="00500EA4" w:rsidP="00274E20">
            <w:pPr>
              <w:jc w:val="center"/>
              <w:rPr>
                <w:color w:val="000000"/>
              </w:rPr>
            </w:pPr>
            <w:r w:rsidRPr="0017261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O3B Ltd.</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S2935</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O3B</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NGSO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Satelites</w:t>
            </w:r>
            <w:r w:rsidRPr="00500EA4">
              <w:rPr>
                <w:color w:val="000000"/>
              </w:rPr>
              <w:t xml:space="preserve"> </w:t>
            </w:r>
            <w:r w:rsidRPr="00500EA4">
              <w:rPr>
                <w:color w:val="000000"/>
              </w:rPr>
              <w:t>Mexicanos</w:t>
            </w:r>
            <w:r w:rsidRPr="00500EA4">
              <w:rPr>
                <w:color w:val="000000"/>
              </w:rPr>
              <w:t>, S.A. DE C.V.</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S2695</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SATMEX 6</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Satelites</w:t>
            </w:r>
            <w:r w:rsidRPr="00500EA4">
              <w:rPr>
                <w:color w:val="000000"/>
              </w:rPr>
              <w:t xml:space="preserve"> </w:t>
            </w:r>
            <w:r w:rsidRPr="00500EA4">
              <w:rPr>
                <w:color w:val="000000"/>
              </w:rPr>
              <w:t>Mexicanos</w:t>
            </w:r>
            <w:r w:rsidRPr="00500EA4">
              <w:rPr>
                <w:color w:val="000000"/>
              </w:rPr>
              <w:t>, S.A. DE C.V.</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S2926</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E117WB</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Satelites</w:t>
            </w:r>
            <w:r w:rsidRPr="00500EA4">
              <w:rPr>
                <w:color w:val="000000"/>
              </w:rPr>
              <w:t xml:space="preserve"> </w:t>
            </w:r>
            <w:r w:rsidRPr="00500EA4">
              <w:rPr>
                <w:color w:val="000000"/>
              </w:rPr>
              <w:t>Mexicanos</w:t>
            </w:r>
            <w:r w:rsidRPr="00500EA4">
              <w:rPr>
                <w:color w:val="000000"/>
              </w:rPr>
              <w:t>, S.A. DE C.V.</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S2938</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EUTELSAT WEST 115 B</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Satelites</w:t>
            </w:r>
            <w:r w:rsidRPr="00500EA4">
              <w:rPr>
                <w:color w:val="000000"/>
              </w:rPr>
              <w:t xml:space="preserve"> </w:t>
            </w:r>
            <w:r w:rsidRPr="00500EA4">
              <w:rPr>
                <w:color w:val="000000"/>
              </w:rPr>
              <w:t>Mexicanos</w:t>
            </w:r>
            <w:r w:rsidRPr="00500EA4">
              <w:rPr>
                <w:color w:val="000000"/>
              </w:rPr>
              <w:t>, S.A. DE C.V.</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S2873</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Satmex</w:t>
            </w:r>
            <w:r w:rsidRPr="00500EA4">
              <w:rPr>
                <w:color w:val="000000"/>
              </w:rPr>
              <w:t xml:space="preserve"> 8 et al.</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 xml:space="preserve">SES </w:t>
            </w:r>
            <w:r w:rsidRPr="00500EA4">
              <w:rPr>
                <w:color w:val="000000"/>
              </w:rPr>
              <w:t>Americom</w:t>
            </w:r>
            <w:r w:rsidRPr="00500EA4">
              <w:rPr>
                <w:color w:val="000000"/>
              </w:rPr>
              <w:t>, INC.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S2676</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AMC 21</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 xml:space="preserve">SES </w:t>
            </w:r>
            <w:r w:rsidRPr="00500EA4">
              <w:rPr>
                <w:color w:val="000000"/>
              </w:rPr>
              <w:t>Americom</w:t>
            </w:r>
            <w:r w:rsidRPr="00500EA4">
              <w:rPr>
                <w:color w:val="000000"/>
              </w:rPr>
              <w:t>, INC.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S3037</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NSS-11</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 xml:space="preserve">SES </w:t>
            </w:r>
            <w:r w:rsidRPr="00500EA4">
              <w:rPr>
                <w:color w:val="000000"/>
              </w:rPr>
              <w:t>Americom</w:t>
            </w:r>
            <w:r w:rsidRPr="00500EA4">
              <w:rPr>
                <w:color w:val="000000"/>
              </w:rPr>
              <w:t>, INC.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S2964</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SES-11</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tcPr>
          <w:p w:rsidR="007D15C3" w:rsidRPr="00500EA4" w:rsidP="00274E20">
            <w:pPr>
              <w:rPr>
                <w:color w:val="000000"/>
              </w:rPr>
            </w:pPr>
            <w:r>
              <w:rPr>
                <w:color w:val="000000"/>
              </w:rPr>
              <w:t xml:space="preserve">SES DTH do </w:t>
            </w:r>
            <w:r>
              <w:rPr>
                <w:color w:val="000000"/>
              </w:rPr>
              <w:t>Brasil</w:t>
            </w:r>
            <w:r>
              <w:rPr>
                <w:color w:val="000000"/>
              </w:rPr>
              <w:t xml:space="preserve"> </w:t>
            </w:r>
            <w:r>
              <w:rPr>
                <w:color w:val="000000"/>
              </w:rPr>
              <w:t>Ltda</w:t>
            </w:r>
          </w:p>
        </w:tc>
        <w:tc>
          <w:tcPr>
            <w:tcW w:w="1480" w:type="dxa"/>
            <w:tcBorders>
              <w:top w:val="nil"/>
              <w:left w:val="nil"/>
              <w:bottom w:val="single" w:sz="4" w:space="0" w:color="auto"/>
              <w:right w:val="single" w:sz="4" w:space="0" w:color="auto"/>
            </w:tcBorders>
            <w:shd w:val="clear" w:color="auto" w:fill="auto"/>
            <w:vAlign w:val="bottom"/>
          </w:tcPr>
          <w:p w:rsidR="007D15C3" w:rsidRPr="00500EA4" w:rsidP="00274E20">
            <w:pPr>
              <w:jc w:val="center"/>
              <w:rPr>
                <w:color w:val="000000"/>
              </w:rPr>
            </w:pPr>
            <w:r>
              <w:rPr>
                <w:color w:val="000000"/>
              </w:rPr>
              <w:t>S2974</w:t>
            </w:r>
          </w:p>
        </w:tc>
        <w:tc>
          <w:tcPr>
            <w:tcW w:w="2740" w:type="dxa"/>
            <w:tcBorders>
              <w:top w:val="nil"/>
              <w:left w:val="nil"/>
              <w:bottom w:val="single" w:sz="4" w:space="0" w:color="auto"/>
              <w:right w:val="single" w:sz="4" w:space="0" w:color="auto"/>
            </w:tcBorders>
            <w:shd w:val="clear" w:color="auto" w:fill="auto"/>
            <w:vAlign w:val="bottom"/>
          </w:tcPr>
          <w:p w:rsidR="007D15C3" w:rsidRPr="00500EA4" w:rsidP="00274E20">
            <w:pPr>
              <w:jc w:val="center"/>
              <w:rPr>
                <w:color w:val="000000"/>
              </w:rPr>
            </w:pPr>
            <w:r>
              <w:rPr>
                <w:color w:val="000000"/>
              </w:rPr>
              <w:t>SES-14</w:t>
            </w:r>
          </w:p>
        </w:tc>
        <w:tc>
          <w:tcPr>
            <w:tcW w:w="1131" w:type="dxa"/>
            <w:tcBorders>
              <w:top w:val="nil"/>
              <w:left w:val="nil"/>
              <w:bottom w:val="single" w:sz="4" w:space="0" w:color="auto"/>
              <w:right w:val="single" w:sz="4" w:space="0" w:color="auto"/>
            </w:tcBorders>
            <w:shd w:val="clear" w:color="auto" w:fill="auto"/>
            <w:vAlign w:val="bottom"/>
          </w:tcPr>
          <w:p w:rsidR="007D15C3" w:rsidRPr="00500EA4" w:rsidP="00274E20">
            <w:pPr>
              <w:jc w:val="center"/>
              <w:rPr>
                <w:color w:val="000000"/>
              </w:rPr>
            </w:pPr>
            <w:r>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tcPr>
          <w:p w:rsidR="007D15C3" w:rsidRPr="00500EA4" w:rsidP="00274E20">
            <w:pPr>
              <w:rPr>
                <w:color w:val="000000"/>
              </w:rPr>
            </w:pPr>
            <w:r w:rsidRPr="00500EA4">
              <w:rPr>
                <w:color w:val="000000"/>
              </w:rPr>
              <w:t>SES Satellites (GIBRALTAR) Ltd.</w:t>
            </w:r>
          </w:p>
        </w:tc>
        <w:tc>
          <w:tcPr>
            <w:tcW w:w="1480" w:type="dxa"/>
            <w:tcBorders>
              <w:top w:val="nil"/>
              <w:left w:val="nil"/>
              <w:bottom w:val="single" w:sz="4" w:space="0" w:color="auto"/>
              <w:right w:val="single" w:sz="4" w:space="0" w:color="auto"/>
            </w:tcBorders>
            <w:shd w:val="clear" w:color="auto" w:fill="auto"/>
            <w:vAlign w:val="bottom"/>
          </w:tcPr>
          <w:p w:rsidR="007D15C3" w:rsidRPr="00A77182" w:rsidP="00274E20">
            <w:pPr>
              <w:jc w:val="center"/>
              <w:rPr>
                <w:color w:val="000000"/>
              </w:rPr>
            </w:pPr>
            <w:r w:rsidRPr="00A77182">
              <w:rPr>
                <w:color w:val="000000"/>
              </w:rPr>
              <w:t>S2951</w:t>
            </w:r>
          </w:p>
        </w:tc>
        <w:tc>
          <w:tcPr>
            <w:tcW w:w="2740" w:type="dxa"/>
            <w:tcBorders>
              <w:top w:val="nil"/>
              <w:left w:val="nil"/>
              <w:bottom w:val="single" w:sz="4" w:space="0" w:color="auto"/>
              <w:right w:val="single" w:sz="4" w:space="0" w:color="auto"/>
            </w:tcBorders>
            <w:shd w:val="clear" w:color="auto" w:fill="auto"/>
            <w:vAlign w:val="bottom"/>
          </w:tcPr>
          <w:p w:rsidR="007D15C3" w:rsidRPr="00500EA4" w:rsidP="00274E20">
            <w:pPr>
              <w:jc w:val="center"/>
              <w:rPr>
                <w:color w:val="000000"/>
              </w:rPr>
            </w:pPr>
            <w:r>
              <w:rPr>
                <w:color w:val="000000"/>
              </w:rPr>
              <w:t>SES-15</w:t>
            </w:r>
          </w:p>
        </w:tc>
        <w:tc>
          <w:tcPr>
            <w:tcW w:w="1131" w:type="dxa"/>
            <w:tcBorders>
              <w:top w:val="nil"/>
              <w:left w:val="nil"/>
              <w:bottom w:val="single" w:sz="4" w:space="0" w:color="auto"/>
              <w:right w:val="single" w:sz="4" w:space="0" w:color="auto"/>
            </w:tcBorders>
            <w:shd w:val="clear" w:color="auto" w:fill="auto"/>
          </w:tcPr>
          <w:p w:rsidR="007D15C3" w:rsidRPr="00500EA4" w:rsidP="00274E20">
            <w:pPr>
              <w:jc w:val="center"/>
              <w:rPr>
                <w:color w:val="000000"/>
              </w:rPr>
            </w:pPr>
            <w:r w:rsidRPr="0017261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Skynet Satellite Corp</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S2462</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Telstar 12</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Space Communications Corp</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S2685</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Superbird-B2</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Space Communications Corp</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S2639</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SUPERBIRD-C</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Space Norway AS</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S2978</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ASBM</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NGSO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Spectrum Five LLC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S2777</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BSSNET119W</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Star One S.A.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S2677</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STAR ONE C1</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Star One S.A.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S2678</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STAR ONE C2</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Star One S.A.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S2845</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STAR ONE C3</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Telesat</w:t>
            </w:r>
            <w:r w:rsidRPr="00500EA4">
              <w:rPr>
                <w:color w:val="000000"/>
              </w:rPr>
              <w:t xml:space="preserve"> </w:t>
            </w:r>
            <w:r w:rsidRPr="00500EA4">
              <w:rPr>
                <w:color w:val="000000"/>
              </w:rPr>
              <w:t>Brasil</w:t>
            </w:r>
            <w:r w:rsidRPr="00500EA4">
              <w:rPr>
                <w:color w:val="000000"/>
              </w:rPr>
              <w:t xml:space="preserve"> </w:t>
            </w:r>
            <w:r w:rsidRPr="00500EA4">
              <w:rPr>
                <w:color w:val="000000"/>
              </w:rPr>
              <w:t>Capacidade</w:t>
            </w:r>
            <w:r w:rsidRPr="00500EA4">
              <w:rPr>
                <w:color w:val="000000"/>
              </w:rPr>
              <w:t xml:space="preserve"> De </w:t>
            </w:r>
            <w:r w:rsidRPr="00500EA4">
              <w:rPr>
                <w:color w:val="000000"/>
              </w:rPr>
              <w:t>Satelites</w:t>
            </w:r>
            <w:r w:rsidRPr="00500EA4">
              <w:rPr>
                <w:color w:val="000000"/>
              </w:rPr>
              <w:t xml:space="preserve"> Ltda.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S2821</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ESTRELA DO SUL 2</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Telesat</w:t>
            </w:r>
            <w:r w:rsidRPr="00500EA4">
              <w:rPr>
                <w:color w:val="000000"/>
              </w:rPr>
              <w:t xml:space="preserve"> Canada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S2597</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Anik</w:t>
            </w:r>
            <w:r w:rsidRPr="00500EA4">
              <w:rPr>
                <w:color w:val="000000"/>
              </w:rPr>
              <w:t xml:space="preserve"> E2</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Telesat</w:t>
            </w:r>
            <w:r w:rsidRPr="00500EA4">
              <w:rPr>
                <w:color w:val="000000"/>
              </w:rPr>
              <w:t xml:space="preserve"> Canada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S2674</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ANIK F1R</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Telesat</w:t>
            </w:r>
            <w:r w:rsidRPr="00500EA4">
              <w:rPr>
                <w:color w:val="000000"/>
              </w:rPr>
              <w:t xml:space="preserve"> Canada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S2745</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ANIK F1</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Telesat</w:t>
            </w:r>
            <w:r w:rsidRPr="00500EA4">
              <w:rPr>
                <w:color w:val="000000"/>
              </w:rPr>
              <w:t xml:space="preserve"> Canada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S2703</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ANIK F3</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Telesat</w:t>
            </w:r>
            <w:r w:rsidRPr="00500EA4">
              <w:rPr>
                <w:color w:val="000000"/>
              </w:rPr>
              <w:t xml:space="preserve"> Canada</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S2646</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ANIK F2</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Telesat</w:t>
            </w:r>
            <w:r w:rsidRPr="00500EA4">
              <w:rPr>
                <w:color w:val="000000"/>
              </w:rPr>
              <w:t xml:space="preserve"> International Ltd.</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S2955</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TELSTAR 19 VANTAGE</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Viasat, INC.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S2747</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VIASAT-IOM</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Viasat, INC.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S2902</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VIASAT-2</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Viasat, INC.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S2952</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VIASAT-79W</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Viasat, INC.</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S2953</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VIASAT-109W</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GSO</w:t>
            </w:r>
          </w:p>
        </w:tc>
      </w:tr>
      <w:tr w:rsidTr="00274E20">
        <w:tblPrEx>
          <w:tblW w:w="10351" w:type="dxa"/>
          <w:tblLook w:val="04A0"/>
        </w:tblPrEx>
        <w:trPr>
          <w:trHeight w:val="3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7D15C3" w:rsidRPr="00500EA4" w:rsidP="00274E20">
            <w:pPr>
              <w:rPr>
                <w:color w:val="000000"/>
              </w:rPr>
            </w:pPr>
            <w:r w:rsidRPr="00500EA4">
              <w:rPr>
                <w:color w:val="000000"/>
              </w:rPr>
              <w:t>WorldVu</w:t>
            </w:r>
            <w:r w:rsidRPr="00500EA4">
              <w:rPr>
                <w:color w:val="000000"/>
              </w:rPr>
              <w:t xml:space="preserve"> Satellites Ltd.</w:t>
            </w:r>
          </w:p>
        </w:tc>
        <w:tc>
          <w:tcPr>
            <w:tcW w:w="148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S2963</w:t>
            </w:r>
          </w:p>
        </w:tc>
        <w:tc>
          <w:tcPr>
            <w:tcW w:w="2740"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ONEWEB</w:t>
            </w:r>
          </w:p>
        </w:tc>
        <w:tc>
          <w:tcPr>
            <w:tcW w:w="1131" w:type="dxa"/>
            <w:tcBorders>
              <w:top w:val="nil"/>
              <w:left w:val="nil"/>
              <w:bottom w:val="single" w:sz="4" w:space="0" w:color="auto"/>
              <w:right w:val="single" w:sz="4" w:space="0" w:color="auto"/>
            </w:tcBorders>
            <w:shd w:val="clear" w:color="auto" w:fill="auto"/>
            <w:vAlign w:val="bottom"/>
            <w:hideMark/>
          </w:tcPr>
          <w:p w:rsidR="007D15C3" w:rsidRPr="00500EA4" w:rsidP="00274E20">
            <w:pPr>
              <w:jc w:val="center"/>
              <w:rPr>
                <w:color w:val="000000"/>
              </w:rPr>
            </w:pPr>
            <w:r w:rsidRPr="00500EA4">
              <w:rPr>
                <w:color w:val="000000"/>
              </w:rPr>
              <w:t>NGSO</w:t>
            </w:r>
          </w:p>
        </w:tc>
      </w:tr>
    </w:tbl>
    <w:p w:rsidR="007D15C3" w:rsidP="007D15C3"/>
    <w:p w:rsidR="007D15C3" w:rsidP="007D15C3"/>
    <w:p w:rsidR="007D15C3" w:rsidP="007D15C3">
      <w:pPr>
        <w:jc w:val="center"/>
        <w:rPr>
          <w:b/>
          <w:bCs/>
        </w:rPr>
      </w:pPr>
      <w:r>
        <w:rPr>
          <w:b/>
          <w:bCs/>
        </w:rPr>
        <w:t>Non-U.S. Space Stations - Market Access Through Earth Stations</w:t>
      </w:r>
    </w:p>
    <w:tbl>
      <w:tblPr>
        <w:tblW w:w="8736" w:type="dxa"/>
        <w:tblLook w:val="04A0"/>
      </w:tblPr>
      <w:tblGrid>
        <w:gridCol w:w="2800"/>
        <w:gridCol w:w="2500"/>
        <w:gridCol w:w="1716"/>
        <w:gridCol w:w="1720"/>
      </w:tblGrid>
      <w:tr w:rsidTr="00274E20">
        <w:tblPrEx>
          <w:tblW w:w="8736" w:type="dxa"/>
          <w:tblLook w:val="04A0"/>
        </w:tblPrEx>
        <w:trPr>
          <w:trHeight w:val="300"/>
        </w:trPr>
        <w:tc>
          <w:tcPr>
            <w:tcW w:w="2800" w:type="dxa"/>
            <w:tcBorders>
              <w:top w:val="single" w:sz="4" w:space="0" w:color="auto"/>
              <w:left w:val="single" w:sz="4" w:space="0" w:color="auto"/>
              <w:bottom w:val="nil"/>
              <w:right w:val="single" w:sz="4" w:space="0" w:color="auto"/>
            </w:tcBorders>
            <w:shd w:val="clear" w:color="auto" w:fill="auto"/>
            <w:noWrap/>
            <w:vAlign w:val="bottom"/>
            <w:hideMark/>
          </w:tcPr>
          <w:p w:rsidR="007D15C3" w:rsidRPr="002509CE" w:rsidP="00274E20">
            <w:pPr>
              <w:jc w:val="center"/>
              <w:rPr>
                <w:b/>
                <w:bCs/>
                <w:color w:val="000000"/>
                <w:u w:val="single"/>
              </w:rPr>
            </w:pPr>
            <w:r w:rsidRPr="002509CE">
              <w:rPr>
                <w:b/>
                <w:bCs/>
                <w:color w:val="000000"/>
                <w:u w:val="single"/>
              </w:rPr>
              <w:t>ITU Name</w:t>
            </w:r>
          </w:p>
        </w:tc>
        <w:tc>
          <w:tcPr>
            <w:tcW w:w="2500" w:type="dxa"/>
            <w:tcBorders>
              <w:top w:val="single" w:sz="4" w:space="0" w:color="auto"/>
              <w:left w:val="nil"/>
              <w:bottom w:val="nil"/>
              <w:right w:val="nil"/>
            </w:tcBorders>
            <w:shd w:val="clear" w:color="auto" w:fill="auto"/>
            <w:noWrap/>
            <w:vAlign w:val="bottom"/>
            <w:hideMark/>
          </w:tcPr>
          <w:p w:rsidR="007D15C3" w:rsidRPr="002509CE" w:rsidP="00274E20">
            <w:pPr>
              <w:jc w:val="center"/>
              <w:rPr>
                <w:b/>
                <w:bCs/>
                <w:color w:val="000000"/>
                <w:u w:val="single"/>
              </w:rPr>
            </w:pPr>
            <w:r w:rsidRPr="002509CE">
              <w:rPr>
                <w:b/>
                <w:bCs/>
                <w:color w:val="000000"/>
                <w:u w:val="single"/>
              </w:rPr>
              <w:t>Common Name</w:t>
            </w:r>
          </w:p>
        </w:tc>
        <w:tc>
          <w:tcPr>
            <w:tcW w:w="1716" w:type="dxa"/>
            <w:tcBorders>
              <w:top w:val="single" w:sz="4" w:space="0" w:color="auto"/>
              <w:left w:val="single" w:sz="4" w:space="0" w:color="auto"/>
              <w:bottom w:val="nil"/>
              <w:right w:val="single" w:sz="4" w:space="0" w:color="auto"/>
            </w:tcBorders>
            <w:shd w:val="clear" w:color="auto" w:fill="auto"/>
            <w:noWrap/>
            <w:vAlign w:val="bottom"/>
            <w:hideMark/>
          </w:tcPr>
          <w:p w:rsidR="007D15C3" w:rsidRPr="002509CE" w:rsidP="00274E20">
            <w:pPr>
              <w:jc w:val="center"/>
              <w:rPr>
                <w:b/>
                <w:bCs/>
                <w:color w:val="000000"/>
                <w:u w:val="single"/>
              </w:rPr>
            </w:pPr>
            <w:r w:rsidRPr="002509CE">
              <w:rPr>
                <w:b/>
                <w:bCs/>
                <w:color w:val="000000"/>
                <w:u w:val="single"/>
              </w:rPr>
              <w:t>Call Sign</w:t>
            </w:r>
          </w:p>
        </w:tc>
        <w:tc>
          <w:tcPr>
            <w:tcW w:w="1720" w:type="dxa"/>
            <w:tcBorders>
              <w:top w:val="single" w:sz="4" w:space="0" w:color="auto"/>
              <w:left w:val="nil"/>
              <w:bottom w:val="nil"/>
              <w:right w:val="single" w:sz="4" w:space="0" w:color="auto"/>
            </w:tcBorders>
            <w:shd w:val="clear" w:color="auto" w:fill="auto"/>
            <w:noWrap/>
            <w:vAlign w:val="bottom"/>
            <w:hideMark/>
          </w:tcPr>
          <w:p w:rsidR="007D15C3" w:rsidRPr="002509CE" w:rsidP="00274E20">
            <w:pPr>
              <w:jc w:val="center"/>
              <w:rPr>
                <w:b/>
                <w:bCs/>
                <w:color w:val="000000"/>
                <w:u w:val="single"/>
              </w:rPr>
            </w:pPr>
            <w:r w:rsidRPr="002509CE">
              <w:rPr>
                <w:b/>
                <w:bCs/>
                <w:color w:val="000000"/>
                <w:u w:val="single"/>
              </w:rPr>
              <w:t>GSO/NGSO</w:t>
            </w:r>
          </w:p>
        </w:tc>
      </w:tr>
      <w:tr w:rsidTr="00274E20">
        <w:tblPrEx>
          <w:tblW w:w="8736" w:type="dxa"/>
          <w:tblLook w:val="04A0"/>
        </w:tblPrEx>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ANIK G1</w:t>
            </w:r>
          </w:p>
        </w:tc>
        <w:tc>
          <w:tcPr>
            <w:tcW w:w="2500" w:type="dxa"/>
            <w:tcBorders>
              <w:top w:val="single" w:sz="4" w:space="0" w:color="auto"/>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ANIK G1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M090164</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nil"/>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APSTAR 6C</w:t>
            </w:r>
          </w:p>
        </w:tc>
        <w:tc>
          <w:tcPr>
            <w:tcW w:w="2500" w:type="dxa"/>
            <w:tcBorders>
              <w:top w:val="nil"/>
              <w:left w:val="nil"/>
              <w:bottom w:val="nil"/>
              <w:right w:val="nil"/>
            </w:tcBorders>
            <w:shd w:val="clear" w:color="auto" w:fill="auto"/>
            <w:vAlign w:val="bottom"/>
            <w:hideMark/>
          </w:tcPr>
          <w:p w:rsidR="007D15C3" w:rsidRPr="002509CE" w:rsidP="00274E20">
            <w:pPr>
              <w:jc w:val="center"/>
              <w:rPr>
                <w:color w:val="000000"/>
                <w:sz w:val="20"/>
              </w:rPr>
            </w:pPr>
            <w:r w:rsidRPr="002509CE">
              <w:rPr>
                <w:color w:val="000000"/>
                <w:sz w:val="20"/>
              </w:rPr>
              <w:t>APSTAR 6C(M161190)</w:t>
            </w:r>
          </w:p>
        </w:tc>
        <w:tc>
          <w:tcPr>
            <w:tcW w:w="1716" w:type="dxa"/>
            <w:tcBorders>
              <w:top w:val="nil"/>
              <w:left w:val="single" w:sz="4" w:space="0" w:color="auto"/>
              <w:bottom w:val="nil"/>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M161190</w:t>
            </w:r>
          </w:p>
        </w:tc>
        <w:tc>
          <w:tcPr>
            <w:tcW w:w="1720" w:type="dxa"/>
            <w:tcBorders>
              <w:top w:val="nil"/>
              <w:left w:val="nil"/>
              <w:bottom w:val="nil"/>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APSTAR 6D</w:t>
            </w:r>
          </w:p>
        </w:tc>
        <w:tc>
          <w:tcPr>
            <w:tcW w:w="2500" w:type="dxa"/>
            <w:tcBorders>
              <w:top w:val="single" w:sz="4" w:space="0" w:color="auto"/>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APSTAR 6D(M246190)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M246190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Apstar</w:t>
            </w:r>
            <w:r w:rsidRPr="002509CE">
              <w:rPr>
                <w:color w:val="000000"/>
                <w:sz w:val="20"/>
              </w:rPr>
              <w:t xml:space="preserve"> 7</w:t>
            </w:r>
          </w:p>
        </w:tc>
        <w:tc>
          <w:tcPr>
            <w:tcW w:w="2500" w:type="dxa"/>
            <w:tcBorders>
              <w:top w:val="single" w:sz="4" w:space="0" w:color="auto"/>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Apstar</w:t>
            </w:r>
            <w:r w:rsidRPr="002509CE">
              <w:rPr>
                <w:color w:val="000000"/>
                <w:sz w:val="20"/>
              </w:rPr>
              <w:t xml:space="preserve"> 7</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M090165</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APSTAR VI</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APSTAR 6(M292090)</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M292090</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AsiaSat</w:t>
            </w:r>
            <w:r w:rsidRPr="002509CE">
              <w:rPr>
                <w:color w:val="000000"/>
                <w:sz w:val="20"/>
              </w:rPr>
              <w:t xml:space="preserve"> 5</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AsiaSat</w:t>
            </w:r>
            <w:r w:rsidRPr="002509CE">
              <w:rPr>
                <w:color w:val="000000"/>
                <w:sz w:val="20"/>
              </w:rPr>
              <w:t xml:space="preserve"> 5</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M090163</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AsiaSat</w:t>
            </w:r>
            <w:r w:rsidRPr="002509CE">
              <w:rPr>
                <w:color w:val="000000"/>
                <w:sz w:val="20"/>
              </w:rPr>
              <w:t xml:space="preserve"> 7</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AsiaSat</w:t>
            </w:r>
            <w:r w:rsidRPr="002509CE">
              <w:rPr>
                <w:color w:val="000000"/>
                <w:sz w:val="20"/>
              </w:rPr>
              <w:t xml:space="preserve"> 7</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M174161</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AsiaSat-9</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AsiaSat-9</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M161191</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AUSSAT B 152E</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OPTUS D2</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M221170</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CAN-BSS3 and CAN-BSS</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ECHOSTAR 23</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SM1987</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Chinasat</w:t>
            </w:r>
            <w:r w:rsidRPr="002509CE">
              <w:rPr>
                <w:color w:val="000000"/>
                <w:sz w:val="20"/>
              </w:rPr>
              <w:t xml:space="preserve"> 10</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Chinasat</w:t>
            </w:r>
            <w:r w:rsidRPr="002509CE">
              <w:rPr>
                <w:color w:val="000000"/>
                <w:sz w:val="20"/>
              </w:rPr>
              <w:t xml:space="preserve"> 10(M246191)</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M246191</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7D15C3" w:rsidRPr="002509CE" w:rsidP="00274E20">
            <w:pPr>
              <w:rPr>
                <w:color w:val="000000"/>
                <w:sz w:val="20"/>
              </w:rPr>
            </w:pPr>
            <w:r>
              <w:rPr>
                <w:color w:val="000000"/>
                <w:sz w:val="20"/>
              </w:rPr>
              <w:t>Ciel Satellite Group</w:t>
            </w:r>
          </w:p>
        </w:tc>
        <w:tc>
          <w:tcPr>
            <w:tcW w:w="2500" w:type="dxa"/>
            <w:tcBorders>
              <w:top w:val="nil"/>
              <w:left w:val="nil"/>
              <w:bottom w:val="single" w:sz="4" w:space="0" w:color="auto"/>
              <w:right w:val="nil"/>
            </w:tcBorders>
            <w:shd w:val="clear" w:color="auto" w:fill="auto"/>
            <w:vAlign w:val="bottom"/>
          </w:tcPr>
          <w:p w:rsidR="007D15C3" w:rsidRPr="002509CE" w:rsidP="00274E20">
            <w:pPr>
              <w:jc w:val="center"/>
              <w:rPr>
                <w:color w:val="000000"/>
                <w:sz w:val="20"/>
              </w:rPr>
            </w:pPr>
            <w:r>
              <w:rPr>
                <w:color w:val="000000"/>
                <w:sz w:val="20"/>
              </w:rPr>
              <w:t>Ciel-2</w:t>
            </w:r>
          </w:p>
        </w:tc>
        <w:tc>
          <w:tcPr>
            <w:tcW w:w="1716" w:type="dxa"/>
            <w:tcBorders>
              <w:top w:val="nil"/>
              <w:left w:val="single" w:sz="4" w:space="0" w:color="auto"/>
              <w:bottom w:val="single" w:sz="4" w:space="0" w:color="auto"/>
              <w:right w:val="single" w:sz="4" w:space="0" w:color="auto"/>
            </w:tcBorders>
            <w:shd w:val="clear" w:color="auto" w:fill="auto"/>
            <w:vAlign w:val="bottom"/>
          </w:tcPr>
          <w:p w:rsidR="007D15C3" w:rsidRPr="002509CE" w:rsidP="00274E20">
            <w:pPr>
              <w:jc w:val="center"/>
              <w:rPr>
                <w:color w:val="000000"/>
                <w:sz w:val="20"/>
              </w:rPr>
            </w:pPr>
            <w:r>
              <w:rPr>
                <w:color w:val="000000"/>
                <w:sz w:val="20"/>
              </w:rPr>
              <w:t>E050029</w:t>
            </w:r>
          </w:p>
        </w:tc>
        <w:tc>
          <w:tcPr>
            <w:tcW w:w="1720" w:type="dxa"/>
            <w:tcBorders>
              <w:top w:val="nil"/>
              <w:left w:val="nil"/>
              <w:bottom w:val="single" w:sz="4" w:space="0" w:color="auto"/>
              <w:right w:val="single" w:sz="4" w:space="0" w:color="auto"/>
            </w:tcBorders>
            <w:shd w:val="clear" w:color="auto" w:fill="auto"/>
            <w:vAlign w:val="bottom"/>
          </w:tcPr>
          <w:p w:rsidR="007D15C3" w:rsidRPr="002509CE" w:rsidP="00274E20">
            <w:pPr>
              <w:jc w:val="center"/>
              <w:rPr>
                <w:color w:val="000000"/>
                <w:sz w:val="20"/>
              </w:rPr>
            </w:pPr>
            <w:r>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ECHOSTAR 23</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ECHOSTAR 23</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SM2975</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ECHOSTAR 8 (MEX)</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ECHOSTAR 8</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NUS1108</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Eutelsat 10A</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Eutelsat 10A (W2A)</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M0311</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Eutelsat 65 West A</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Eutelsat 65 West A</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E160081</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Eutelsat 70B</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Eutelsat 70B</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M090167</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7D15C3" w:rsidRPr="002509CE" w:rsidP="00274E20">
            <w:pPr>
              <w:rPr>
                <w:color w:val="000000"/>
                <w:sz w:val="20"/>
              </w:rPr>
            </w:pPr>
            <w:r>
              <w:rPr>
                <w:color w:val="000000"/>
                <w:sz w:val="20"/>
              </w:rPr>
              <w:t>exactEarth</w:t>
            </w:r>
          </w:p>
        </w:tc>
        <w:tc>
          <w:tcPr>
            <w:tcW w:w="2500" w:type="dxa"/>
            <w:tcBorders>
              <w:top w:val="nil"/>
              <w:left w:val="nil"/>
              <w:bottom w:val="single" w:sz="4" w:space="0" w:color="auto"/>
              <w:right w:val="nil"/>
            </w:tcBorders>
            <w:shd w:val="clear" w:color="auto" w:fill="auto"/>
            <w:vAlign w:val="bottom"/>
          </w:tcPr>
          <w:p w:rsidR="007D15C3" w:rsidRPr="002509CE" w:rsidP="00274E20">
            <w:pPr>
              <w:jc w:val="center"/>
              <w:rPr>
                <w:color w:val="000000"/>
                <w:sz w:val="20"/>
              </w:rPr>
            </w:pPr>
            <w:r>
              <w:rPr>
                <w:color w:val="000000"/>
                <w:sz w:val="20"/>
              </w:rPr>
              <w:t>exactEarth-7</w:t>
            </w:r>
          </w:p>
        </w:tc>
        <w:tc>
          <w:tcPr>
            <w:tcW w:w="1716" w:type="dxa"/>
            <w:tcBorders>
              <w:top w:val="nil"/>
              <w:left w:val="single" w:sz="4" w:space="0" w:color="auto"/>
              <w:bottom w:val="single" w:sz="4" w:space="0" w:color="auto"/>
              <w:right w:val="single" w:sz="4" w:space="0" w:color="auto"/>
            </w:tcBorders>
            <w:shd w:val="clear" w:color="auto" w:fill="auto"/>
            <w:vAlign w:val="bottom"/>
          </w:tcPr>
          <w:p w:rsidR="007D15C3" w:rsidRPr="002509CE" w:rsidP="00274E20">
            <w:pPr>
              <w:jc w:val="center"/>
              <w:rPr>
                <w:color w:val="000000"/>
                <w:sz w:val="20"/>
              </w:rPr>
            </w:pPr>
            <w:r>
              <w:rPr>
                <w:color w:val="000000"/>
                <w:sz w:val="20"/>
              </w:rPr>
              <w:t>E160028</w:t>
            </w:r>
          </w:p>
        </w:tc>
        <w:tc>
          <w:tcPr>
            <w:tcW w:w="1720" w:type="dxa"/>
            <w:tcBorders>
              <w:top w:val="nil"/>
              <w:left w:val="nil"/>
              <w:bottom w:val="single" w:sz="4" w:space="0" w:color="auto"/>
              <w:right w:val="single" w:sz="4" w:space="0" w:color="auto"/>
            </w:tcBorders>
            <w:shd w:val="clear" w:color="auto" w:fill="auto"/>
            <w:vAlign w:val="bottom"/>
          </w:tcPr>
          <w:p w:rsidR="007D15C3" w:rsidRPr="002509CE" w:rsidP="00274E20">
            <w:pPr>
              <w:jc w:val="center"/>
              <w:rPr>
                <w:color w:val="000000"/>
                <w:sz w:val="20"/>
              </w:rPr>
            </w:pPr>
            <w:r>
              <w:rPr>
                <w:color w:val="000000"/>
                <w:sz w:val="20"/>
              </w:rPr>
              <w:t>NGSO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JCSAT- 5A</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JCSAT 5A</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M063130</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JCSAT-2B</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JCSAT-2B</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M174163</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QUETZSAT-1(MEX)</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QUETZSAT-1</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NUS1101</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Superbird</w:t>
            </w:r>
            <w:r w:rsidRPr="002509CE">
              <w:rPr>
                <w:color w:val="000000"/>
                <w:sz w:val="20"/>
              </w:rPr>
              <w:t xml:space="preserve"> C2</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Superbird</w:t>
            </w:r>
            <w:r w:rsidRPr="002509CE">
              <w:rPr>
                <w:color w:val="000000"/>
                <w:sz w:val="20"/>
              </w:rPr>
              <w:t xml:space="preserve"> C2</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M334100</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TELSTAR 18</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TELSTAR 18</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None</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Yamal 300K</w:t>
            </w:r>
          </w:p>
        </w:tc>
        <w:tc>
          <w:tcPr>
            <w:tcW w:w="2500" w:type="dxa"/>
            <w:tcBorders>
              <w:top w:val="nil"/>
              <w:left w:val="nil"/>
              <w:bottom w:val="single" w:sz="4" w:space="0" w:color="auto"/>
              <w:right w:val="nil"/>
            </w:tcBorders>
            <w:shd w:val="clear" w:color="auto" w:fill="auto"/>
            <w:vAlign w:val="bottom"/>
            <w:hideMark/>
          </w:tcPr>
          <w:p w:rsidR="007D15C3" w:rsidRPr="002509CE" w:rsidP="00274E20">
            <w:pPr>
              <w:jc w:val="center"/>
              <w:rPr>
                <w:color w:val="000000"/>
                <w:sz w:val="20"/>
              </w:rPr>
            </w:pPr>
            <w:r w:rsidRPr="002509CE">
              <w:rPr>
                <w:color w:val="000000"/>
                <w:sz w:val="20"/>
              </w:rPr>
              <w:t>Yamal 300K</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M174162</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r w:rsidTr="00274E20">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7D15C3" w:rsidRPr="002509CE" w:rsidP="00274E20">
            <w:pPr>
              <w:rPr>
                <w:color w:val="000000"/>
                <w:sz w:val="20"/>
              </w:rPr>
            </w:pPr>
            <w:r w:rsidRPr="002509CE">
              <w:rPr>
                <w:color w:val="000000"/>
                <w:sz w:val="20"/>
              </w:rPr>
              <w:t>Yamal 401</w:t>
            </w:r>
          </w:p>
        </w:tc>
        <w:tc>
          <w:tcPr>
            <w:tcW w:w="250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Yamal 401</w:t>
            </w:r>
          </w:p>
        </w:tc>
        <w:tc>
          <w:tcPr>
            <w:tcW w:w="1716"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M001166</w:t>
            </w:r>
          </w:p>
        </w:tc>
        <w:tc>
          <w:tcPr>
            <w:tcW w:w="1720" w:type="dxa"/>
            <w:tcBorders>
              <w:top w:val="nil"/>
              <w:left w:val="nil"/>
              <w:bottom w:val="single" w:sz="4" w:space="0" w:color="auto"/>
              <w:right w:val="single" w:sz="4" w:space="0" w:color="auto"/>
            </w:tcBorders>
            <w:shd w:val="clear" w:color="auto" w:fill="auto"/>
            <w:vAlign w:val="bottom"/>
            <w:hideMark/>
          </w:tcPr>
          <w:p w:rsidR="007D15C3" w:rsidRPr="002509CE" w:rsidP="00274E20">
            <w:pPr>
              <w:jc w:val="center"/>
              <w:rPr>
                <w:color w:val="000000"/>
                <w:sz w:val="20"/>
              </w:rPr>
            </w:pPr>
            <w:r w:rsidRPr="002509CE">
              <w:rPr>
                <w:color w:val="000000"/>
                <w:sz w:val="20"/>
              </w:rPr>
              <w:t>GSO</w:t>
            </w:r>
          </w:p>
        </w:tc>
      </w:tr>
    </w:tbl>
    <w:p w:rsidR="007D15C3" w:rsidRPr="002509CE" w:rsidP="007D15C3"/>
    <w:p w:rsidR="007D15C3" w:rsidP="007D15C3">
      <w:pPr>
        <w:widowControl/>
        <w:spacing w:after="160" w:line="259" w:lineRule="auto"/>
      </w:pPr>
    </w:p>
    <w:p w:rsidR="007D15C3" w:rsidP="007D15C3">
      <w:pPr>
        <w:widowControl/>
        <w:spacing w:after="160" w:line="259" w:lineRule="auto"/>
        <w:rPr>
          <w:b/>
          <w:szCs w:val="22"/>
        </w:rPr>
        <w:sectPr w:rsidSect="006D498C">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p>
    <w:p w:rsidR="007D15C3" w:rsidP="007D15C3">
      <w:pPr>
        <w:tabs>
          <w:tab w:val="left" w:pos="3629"/>
        </w:tabs>
        <w:jc w:val="center"/>
        <w:rPr>
          <w:b/>
          <w:szCs w:val="22"/>
        </w:rPr>
      </w:pPr>
      <w:r>
        <w:rPr>
          <w:b/>
          <w:szCs w:val="22"/>
        </w:rPr>
        <w:t>APPENDIX G</w:t>
      </w:r>
    </w:p>
    <w:p w:rsidR="007D15C3" w:rsidP="007D15C3">
      <w:pPr>
        <w:tabs>
          <w:tab w:val="left" w:pos="3629"/>
        </w:tabs>
        <w:jc w:val="center"/>
        <w:rPr>
          <w:b/>
          <w:szCs w:val="22"/>
        </w:rPr>
      </w:pPr>
    </w:p>
    <w:p w:rsidR="007D15C3" w:rsidP="007D15C3">
      <w:pPr>
        <w:tabs>
          <w:tab w:val="left" w:pos="3629"/>
        </w:tabs>
        <w:jc w:val="center"/>
        <w:rPr>
          <w:b/>
          <w:szCs w:val="22"/>
        </w:rPr>
      </w:pPr>
      <w:r>
        <w:rPr>
          <w:b/>
          <w:szCs w:val="22"/>
        </w:rPr>
        <w:t>FY 2020 Full-Service Broadcast Television Stations by Call Sign</w:t>
      </w:r>
    </w:p>
    <w:p w:rsidR="007D15C3" w:rsidP="003F4A2A">
      <w:pPr>
        <w:tabs>
          <w:tab w:val="left" w:pos="3629"/>
        </w:tabs>
        <w:rPr>
          <w:bCs/>
          <w:szCs w:val="22"/>
        </w:rPr>
      </w:pPr>
    </w:p>
    <w:p w:rsidR="007D15C3" w:rsidRPr="003F6DAA" w:rsidP="007D15C3">
      <w:pPr>
        <w:rPr>
          <w:b/>
          <w:bCs/>
        </w:rPr>
      </w:pPr>
    </w:p>
    <w:tbl>
      <w:tblPr>
        <w:tblW w:w="8820" w:type="dxa"/>
        <w:tblInd w:w="-5" w:type="dxa"/>
        <w:tblLook w:val="04A0"/>
      </w:tblPr>
      <w:tblGrid>
        <w:gridCol w:w="1350"/>
        <w:gridCol w:w="1800"/>
        <w:gridCol w:w="1980"/>
        <w:gridCol w:w="1800"/>
        <w:gridCol w:w="1890"/>
      </w:tblGrid>
      <w:tr w:rsidTr="00274E20">
        <w:tblPrEx>
          <w:tblW w:w="8820" w:type="dxa"/>
          <w:tblInd w:w="-5" w:type="dxa"/>
          <w:tblLook w:val="04A0"/>
        </w:tblPrEx>
        <w:trPr>
          <w:trHeight w:val="315"/>
          <w:tblHeader/>
        </w:trPr>
        <w:tc>
          <w:tcPr>
            <w:tcW w:w="1350" w:type="dxa"/>
            <w:tcBorders>
              <w:top w:val="single" w:sz="4" w:space="0" w:color="auto"/>
              <w:left w:val="single" w:sz="4" w:space="0" w:color="auto"/>
              <w:bottom w:val="single" w:sz="4" w:space="0" w:color="auto"/>
              <w:right w:val="single" w:sz="4" w:space="0" w:color="auto"/>
            </w:tcBorders>
            <w:shd w:val="clear" w:color="FFFFFF" w:fill="FFFFFF"/>
            <w:noWrap/>
          </w:tcPr>
          <w:p w:rsidR="007D15C3" w:rsidRPr="007D15C3" w:rsidP="00274E20">
            <w:pPr>
              <w:jc w:val="center"/>
              <w:rPr>
                <w:rFonts w:cs="Calibri"/>
                <w:b/>
                <w:bCs/>
              </w:rPr>
            </w:pPr>
            <w:r w:rsidRPr="00F71063">
              <w:rPr>
                <w:b/>
                <w:bCs/>
              </w:rPr>
              <w:t>Facility Id. #</w:t>
            </w:r>
          </w:p>
        </w:tc>
        <w:tc>
          <w:tcPr>
            <w:tcW w:w="1800" w:type="dxa"/>
            <w:tcBorders>
              <w:top w:val="single" w:sz="4" w:space="0" w:color="auto"/>
              <w:left w:val="nil"/>
              <w:bottom w:val="single" w:sz="4" w:space="0" w:color="auto"/>
              <w:right w:val="single" w:sz="4" w:space="0" w:color="auto"/>
            </w:tcBorders>
            <w:shd w:val="clear" w:color="FFFFFF" w:fill="FFFFFF"/>
            <w:noWrap/>
          </w:tcPr>
          <w:p w:rsidR="007D15C3" w:rsidRPr="007D15C3" w:rsidP="00274E20">
            <w:pPr>
              <w:jc w:val="center"/>
              <w:rPr>
                <w:rFonts w:cs="Calibri"/>
                <w:b/>
                <w:bCs/>
              </w:rPr>
            </w:pPr>
            <w:r w:rsidRPr="00F71063">
              <w:rPr>
                <w:b/>
                <w:bCs/>
              </w:rPr>
              <w:t>Call Sign</w:t>
            </w:r>
          </w:p>
        </w:tc>
        <w:tc>
          <w:tcPr>
            <w:tcW w:w="1980" w:type="dxa"/>
            <w:tcBorders>
              <w:top w:val="single" w:sz="4" w:space="0" w:color="auto"/>
              <w:left w:val="nil"/>
              <w:bottom w:val="single" w:sz="4" w:space="0" w:color="auto"/>
              <w:right w:val="single" w:sz="4" w:space="0" w:color="auto"/>
            </w:tcBorders>
            <w:shd w:val="clear" w:color="auto" w:fill="auto"/>
            <w:noWrap/>
          </w:tcPr>
          <w:p w:rsidR="007D15C3" w:rsidRPr="007D15C3" w:rsidP="00274E20">
            <w:pPr>
              <w:rPr>
                <w:rFonts w:cs="Calibri"/>
                <w:b/>
                <w:bCs/>
              </w:rPr>
            </w:pPr>
            <w:r w:rsidRPr="00F71063">
              <w:rPr>
                <w:b/>
                <w:bCs/>
              </w:rPr>
              <w:t>Service Area Population</w:t>
            </w:r>
          </w:p>
        </w:tc>
        <w:tc>
          <w:tcPr>
            <w:tcW w:w="1800" w:type="dxa"/>
            <w:tcBorders>
              <w:top w:val="single" w:sz="4" w:space="0" w:color="auto"/>
              <w:left w:val="nil"/>
              <w:bottom w:val="single" w:sz="4" w:space="0" w:color="auto"/>
              <w:right w:val="single" w:sz="4" w:space="0" w:color="auto"/>
            </w:tcBorders>
            <w:shd w:val="clear" w:color="auto" w:fill="auto"/>
            <w:noWrap/>
          </w:tcPr>
          <w:p w:rsidR="007D15C3" w:rsidRPr="007D15C3" w:rsidP="00274E20">
            <w:pPr>
              <w:rPr>
                <w:rFonts w:cs="Calibri"/>
                <w:b/>
                <w:bCs/>
              </w:rPr>
            </w:pPr>
            <w:r w:rsidRPr="00F71063">
              <w:rPr>
                <w:b/>
                <w:bCs/>
              </w:rPr>
              <w:t>Terrain-Ltd Population</w:t>
            </w:r>
          </w:p>
        </w:tc>
        <w:tc>
          <w:tcPr>
            <w:tcW w:w="1890" w:type="dxa"/>
            <w:tcBorders>
              <w:top w:val="single" w:sz="4" w:space="0" w:color="auto"/>
              <w:left w:val="nil"/>
              <w:bottom w:val="single" w:sz="4" w:space="0" w:color="auto"/>
              <w:right w:val="single" w:sz="4" w:space="0" w:color="auto"/>
            </w:tcBorders>
            <w:shd w:val="clear" w:color="auto" w:fill="auto"/>
            <w:noWrap/>
          </w:tcPr>
          <w:p w:rsidR="007D15C3" w:rsidRPr="007D15C3" w:rsidP="00274E20">
            <w:pPr>
              <w:jc w:val="right"/>
              <w:rPr>
                <w:rFonts w:cs="Calibri"/>
                <w:b/>
                <w:bCs/>
              </w:rPr>
            </w:pPr>
            <w:r w:rsidRPr="00F71063">
              <w:rPr>
                <w:b/>
                <w:bCs/>
              </w:rPr>
              <w:t>FY 2020 Terrain-Ltd. Fee Amount</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3246</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KAAH-TV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955,391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879,906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$6,896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18285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KAAL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589,502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568,169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11912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KAAS-TV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220,262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219,922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56528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KABB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2,474,296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2,456,689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$19,253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KABC-TV*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17,540,791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16,957,292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$132,894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KACV-TV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372,627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372,330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33261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KADN-TV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877,965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877,965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$6,881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KAEF-TV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138,085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122,808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KAET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4,217,217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4,184,386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$32,793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KAFT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1,204,376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1,122,928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62442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KAID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711,035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702,721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KAII-TV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188,810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165,396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67494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KAIL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1,967,744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1,948,341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$15,269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KAIT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861,149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845,812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40517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KAJB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383,886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383,195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65522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KAKE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803,937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799,254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KAKM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380,240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379,105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KAKW-DT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2,615,956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2,531,813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$19,842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51598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KALB-TV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943,307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942,043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$7,383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51241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KALO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948,683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844,503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40820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KAMC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391,526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391,502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8523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KAMR-TV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366,476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366,335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65301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KAMU-TV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346,892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342,455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KAPP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319,797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283,944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KARD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703,234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700,887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23079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KARE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3,924,944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3,907,483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$30,623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33440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KARK-TV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1,212,038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1,196,196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$9,375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37005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KARZ-TV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1,066,386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1,050,270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32311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KASA-TV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1,161,789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1,119,108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$8,770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41212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KASN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1,175,627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1,159,721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KASW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4,174,437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4,160,497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$32,606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55049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KASY-TV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1,144,839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1,099,825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33471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KATC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1,348,897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1,348,897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13813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KATN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97,466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97,128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21649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KATU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2,978,043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2,845,632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$22,301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33543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1,257,777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1,234,933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$9,678</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50182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KAUT-TV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1,637,333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1,636,330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KAUZ-TV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381,671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379,435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KAVU-TV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320,484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320,363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49579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KAWB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186,919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186,845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49578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KAWE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136,033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133,937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58684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KAYU-TV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809,464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750,766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29234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KAZA-TV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14,973,535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13,810,130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$108,230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17433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KAZD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6,747,915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6,744,517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$52,857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KAZQ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1,097,010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1,084,327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$8,498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KAZT-TV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436,925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359,273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KBAK-TV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1,510,400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1,263,910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$9,905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16940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KBCA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479,260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479,219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$3,756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53586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KBCB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1,256,193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1,223,883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$9,592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69619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8,020,424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6,962,363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$54,564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22685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KBDI-TV*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4,042,177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3,683,394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$28,867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56384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KBEH*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17,736,497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17,695,306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$138,678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65395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KBFD-DT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953,207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834,341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$6,539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169030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KBGS-TV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159,269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156,802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KBHE-TV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140,860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133,082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48556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KBIM-TV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205,701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205,647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29108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KBIN-TV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912,921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911,725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$7,145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33658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KBJR-TV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275,585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271,298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83306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KBLN-TV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297,384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134,927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63768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KBLR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1,964,979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1,915,859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$15,015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53324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KBME-TV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123,571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123,485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10150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KBMT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743,009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742,369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22121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KBMY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119,993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119,908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49760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KBOI-TV*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715,191</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708,374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55370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KBRR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149,869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149,868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66414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KBSD-DT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155,012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154,891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66415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KBSH-DT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102,781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100,433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19593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KBSI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752,366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751,025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66416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KBSL-DT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49,814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48,483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4939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KBSV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1,352,166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1,262,708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$9,896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62469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KBTC-TV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3,697,981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3,621,965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$28,385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61214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KBTV-TV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734,008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734,008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KBTX-TV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4,048,516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4,047,275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$31,718</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35909</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KBVO</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1,498,015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1,312,360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$10,285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58618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KBVU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135,249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120,827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KBYU-TV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2,389,548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2,209,060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$17,312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33756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KBZK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116,485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106,020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21422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KCAL-TV*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17,499,483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16,889,157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$132,360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11265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KCAU-TV*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714,315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706,224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14867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KCBA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3,094,778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2,278,552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$17,857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27507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KCBD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414,804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414,091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9628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KCBS-TV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17,853,152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16,656,778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$130,539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49750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KCBY-TV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89,156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73,211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33710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KCCI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1,102,130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1,095,326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$8,584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9640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KCCW-TV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284,280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276,935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63158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KCDO-TV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2,798,103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2,650,225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$20,770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62424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694,584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638,366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83913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KCEB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1,163,228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1,159,665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57219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KCEC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3,874,159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3,654,445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$28,640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KCEN-TV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1,795,767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1,757,018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$13,770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13058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KCET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16,875,019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15,402,588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$120,710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18079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KCFW-TV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148,162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129,122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132606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KCGE-DT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123,930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123,930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60793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KCHF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1,118,671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1,085,205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$8,505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33722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KCIT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382,477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381,818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62468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KCKA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953,680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804,362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$6,304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41969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KCLO-TV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138,413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132,157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KCNC-TV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3,794,400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3,541,089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$27,752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71586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KCNS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8,048,427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7,069,903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$55,407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33742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KCOP-TV*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17,386,133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16,647,708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$130,468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19117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KCOS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1,014,396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1,014,205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63165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KCOY-TV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664,655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459,468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86208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KCPM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90,266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90,266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33894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KCPQ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4,439,875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4,311,994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$33,793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53843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2,507,879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2,506,224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$19,641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33875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KCRA-TV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10,612,483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6,500,774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$50,947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9719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KCRG-TV*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1,136.762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1,107,130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60728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KCSD-TV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273,553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273,447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59494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KCSG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174,814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164,765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33749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KCTS-TV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4,177,824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4,115,603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$32,254</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41230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2,547,456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2,545,645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$19,950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58605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KCVU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630,068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616,068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10036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KCWC-DT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44,216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39,439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64444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KCWE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2,460,172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2,458,913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$19,271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51502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KCWI-TV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1,043,811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1,042,642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$8,171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42008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KCWO-TV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50,707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50,685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166511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KCWV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207,398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207,370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24316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KCWX*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3,961,268</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3,954,787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$30,994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68713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KCWY-DT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79,948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79,414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22201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KDAF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6,648,507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6,645,226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$52,079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33764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KDBC-TV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1,015,564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1,015,162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79258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KDCK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43,088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43,067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166332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KDCU-DT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796,251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795,504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38375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KDEN-TV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3,376,799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3,351,182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$26,263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17037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KDFI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6,684,439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6,682,487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$52,371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33770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KDFW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6,658,976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6,656,502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$52,167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29102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KDIN-TV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1,088,376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1,083,845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$8,494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25454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KDKA-TV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3,611,796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3,450,690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$27,043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60740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KDKF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71,413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64,567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KDLH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263,422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260,394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41975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KDLO-TV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208,354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208,118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55379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KDLT-TV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639,284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628,281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55375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KDLV-TV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96,873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96,620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25221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KDMD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374,951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372,727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78915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KDMI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1,141,990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1,140,939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$8,942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56524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KDNL-TV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2,987,219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2,982,311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$23,372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24518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KDOC-TV*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17,503,793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16,701,233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$130,888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KDOR-TV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1,112,060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1,108,556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60736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KDRV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519,706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440,002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KDSD-TV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64,314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59,635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53329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KDSE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42,896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41,432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56527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KDSM-TV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1,096,220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1,095,478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$8,585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49326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KDTN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6,602,327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6,600,186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$51,726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83491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KDTP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26,564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24,469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33778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KDTV-DT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7,921,124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6,576,672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$51,541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67910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KDTX-TV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6,680,738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6,679,424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$52,347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KDVR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3,430,717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3,394,796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$26,605</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18084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KECI-TV*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211,745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193,803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51208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KECY-TV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399,372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394,379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58408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513,683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513,683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55435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KEET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177,313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159,960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41983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KELO-TV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705,364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646,126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34440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KEMO-TV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8,048,427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7,069,903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$55,407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KEMV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619,889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559,135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26304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KENS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2,544,094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2,529,382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$19,823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63845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KENV-DT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47,220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40,677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18338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KENW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87,017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87,017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50591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KEPB-TV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576,964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523,655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56029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KEPR-TV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453,259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433,260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49324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KERA-TV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6,681,083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6,677,852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$52,334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40878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KERO-TV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1,285,357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1,164,979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$9,130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KESD-TV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166,018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159,195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25577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KESQ-TV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1,334,172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572,057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50205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KETA-TV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1,702,441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1,688,227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$13,231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62182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KETC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2,913,924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2,911,313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$22,816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37101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KETD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3,098,889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3,058,327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$23,968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KETG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426,883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409,511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12895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KETH-TV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6,088,821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6,088,677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$47,717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55643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KETK-TV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1,031,567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1,030,122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$8,073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KETS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1,185,111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1,166,796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$9,144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53903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1,355,714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1,350,740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92872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KETZ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526,890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523,877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68853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KEYC-TV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544,900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531,079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33691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KEYE-TV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2,732,257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2,652,529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$20,788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60637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KEYT-TV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1,419,564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1,239,577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$9,715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83715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KEYU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339,348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339,302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$2,659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34406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KEZI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1,113,171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1,065,880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34412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KFBB-TV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93,519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91,964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KFCT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795,114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788,747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$6,181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51466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KFDA-TV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385,064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383,977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22589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KFDM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732,665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732,588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65370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KFDX-TV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381,703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381,318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49264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KFFV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3,783,380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3,717,323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$29,133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12729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KFFX-TV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409,952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403,692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$3,164</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83992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KFJX</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515,708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505,647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42122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KFMB-TV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3,947,735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3,699,981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$28,997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53321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KFME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393,045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392,472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$3,076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74256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KFNB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80,382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79,842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21613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KFNE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54,988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21612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KFNR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66222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KFOR-TV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1,616,459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1,615,614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$12,662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33716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KFOX-TV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1,023,999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1,018,549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41517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KFPH-DT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347,579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282,838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81509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963,969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963,846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$7,554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31597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KFQX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186,473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163,637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59013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KFRE-TV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1,721,275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1,705,484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$13,366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51429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KFSF-DT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7,348,828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6,528,430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$51,163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66469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KFSM-TV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906,728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884,919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KFSN-TV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1,836,607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1,819,585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$14,260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29560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KFTA-TV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818,859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809,173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$6,341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83714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KFTC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61,990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61,953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KFTH-DT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6,080,688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6,080,373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$47,652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KFTR-DT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17,560,679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16,305,726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$127,788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61335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KFTS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74,936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65,126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81441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KFTU-DT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113,876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109,731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34439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KFTV-DT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1,807,731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1,793,418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$14,055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36917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KFVE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953,895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851,585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KFVS-TV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810,574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782,713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$6,134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29015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KFWD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6,610,836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6,598,496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$51,712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35336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KFXA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875,538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874,070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$6,850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17625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KFXB-TV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373,280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368,466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70917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KFXK-TV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934,043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931,791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$7,302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84453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KFXL-TV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361,632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361,097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KFYR-TV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130,881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128,301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25685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KGAN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1,083,213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1,057,597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34457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KGBT-TV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1,230,798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1,230,791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$9,646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52593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KGBY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270,089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218,544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$1,713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7841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888,054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886,499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24485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KGEB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1,186,225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1,150,201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34459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KGET-TV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917,927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874,332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$6,852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53320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KGFE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114,564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114,564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$898</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7894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KGIN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230,535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228,338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83945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KGLA-DT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1,645,641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1,645,641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34445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KGMB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953,398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851,088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23302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KGMC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1,824,786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1,803,796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$14,136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36914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KGMD-TV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94,323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93,879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36920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KGMV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193,564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162,230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10061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KGNS-TV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267,236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259,548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34470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8,283,429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7,623,657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$59,747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56034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KGPE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1,699,131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1,682,082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$13,182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81694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685,626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624,955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25511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KGTF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161,885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160,568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40876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3,960,667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3,682,219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$28,858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36918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KGUN-TV*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1,398,527</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1,212,484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$9,502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34874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3,058,216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2,881,387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$22,581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63177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KGWC-TV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80,475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80,009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63162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KGWL-TV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38,125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63166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KGWN-TV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469,467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440,388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$3,451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63170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KGWR-TV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51,315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50,957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KHAW-TV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95,204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94,851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34846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KHBC-TV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74,884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74,884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60353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KHBS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631,770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608,052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27300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KHCE-TV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2,353,883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2,348,391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$18,404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26431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KHET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959,060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944,568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21160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KHGI-TV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233,973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229,173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29085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KHIN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1,041,244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1,039,383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$8,146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17688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KHME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181,345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179,706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47670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KHMT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175,601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170,957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203,931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202,944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34867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KHNL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953,398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851,088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60354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KHOG-TV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765,360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702,984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KHON-TV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953,207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886,431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34529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KHOU*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6,083,336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6,081,785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$47,663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KHQA-TV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318,469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316,134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34537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KHQ-TV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822,371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774,821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$6,072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30601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KHRR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1,227,847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1,166,890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$9,145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34348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KHSD-TV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188,735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185,202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$1,451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24508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KHSL-TV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625,904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608,850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$4,772</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69677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KHSV*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2,059,794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2,020,045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$15,831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64544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KHVO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94,226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93,657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23394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KIAH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6,099,694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6,099,297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$47,800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34564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KICU-TV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8,233,041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7,174,316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$56,225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56028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KIDK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305,509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302,535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58560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KIDY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116,614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116,596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53382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KIEM-TV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174,390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160,801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66258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KIFI-TV*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324,422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320,118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10188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KIII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569,864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566,796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29095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KIIN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1,365,215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1,335,707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$10,468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34527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KIKU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953,896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850,963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63865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KILM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17,256,205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15,804,489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$123,860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56033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KIMA-TV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308,604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260,593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66402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KIMT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654,083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643,384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67089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KINC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2,002,066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1,920,903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$15,054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34847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KING-TV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4,063,674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4,018,832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$31,496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51708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KINT-TV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1,015,582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1,015,274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26249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KION-TV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2,400,317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855,808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62427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171,405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170,455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66781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KIRO-TV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4,058,846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4,027,262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$31,562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62430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KISU-TV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311,827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307,651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12896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KITU-TV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712,362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712,362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64548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953,207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839,906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$6,582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59255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KIVI-TV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710,819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702,619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47285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KIXE-TV*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467,518</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428,118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13792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KJJC-TV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82,749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81,865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14000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KJLA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17,929,100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16,794,896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$131,622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20015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KJNP-TV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98,403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98,097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53315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KJRE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16,187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59439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KJRH-TV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1,416,108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1,397,311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$10,951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55364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KJRR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45,515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44,098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42640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KJRW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137,375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126,743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7675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KJTL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379,594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379,263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55031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KJTV-TV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406,283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406,260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13814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KJUD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31,229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30,106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36607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KJZZ-TV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2,388,054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2,204,525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$17,277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83180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KKAI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955,203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941,214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$7,376</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58267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KKAP</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957,786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923,172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24766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KKCO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206,018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172,628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35097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KKJB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629,939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624,784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22644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KKPX-TV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7,902,064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6,849,907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$53,683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35037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2,795,275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2,293,502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$17,974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35042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KLAS-TV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2,094,297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1,940,030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$15,204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52907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KLAX-TV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367,212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366,839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KLBK-TV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387,783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387,743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65523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KLBY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34,288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34,279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38430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KLCS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16,875,019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15,402,588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$120,710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77719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KLCW-TV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381,889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381,816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51479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KLDO-TV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250,832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250,832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37105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KLEI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175,045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138,087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56032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KLEW-TV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164,908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148,256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35059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KLFY-TV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1,355,890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1,355,409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$10,622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54011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KLJB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960,055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947,716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11264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KLKN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932,757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895,101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$7,015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120,338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120,277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38590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KLPA-TV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414,699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414,447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38588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KLPB-TV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749,053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749,053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KLRN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2,374,472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2,353,440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$18,444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11951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KLRT-TV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1,171,678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1,152,541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$9,032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8564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KLRU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2,614,658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2,575,518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$20,184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KLSR-TV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564,415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508,157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31114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KLST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199,067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169,551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24436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KLTJ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6,034,131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6,033,867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$47,287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38587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KLTL-TV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423,574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423,574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38589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KLTM-TV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694,280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688,915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38591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KLTS-TV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883,661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882,589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68540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1,069,690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1,051,361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12913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KLUJ-TV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1,195,751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1,195,751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$9,371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57220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KLUZ-TV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1,079,718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1,019,302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11683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KLVX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2,044,150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1,936,083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$15,173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82476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KLWB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1,065,748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1,065,748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40250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KLWY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541,043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538,231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64551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KMAU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213,060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188,953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51499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KMAX-TV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10,644,556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6,974,200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$54,657</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65686</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KMBC-TV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2,507,895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2,506,661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$19,645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56079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KMBH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1,225,732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1,225,732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$9,606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35183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KMCB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69,357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66,203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41237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KMCC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2,064,592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2,010,262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$15,754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42636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KMCI-TV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2,429,392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2,428,626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$19,033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38584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KMCT-TV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267,004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266,880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22127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KMCY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71,797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71,793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162016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KMDE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35,409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35,401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26428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KMEB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221,810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203,470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39665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KMEG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708,748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704,130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35123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KMEX-DT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17,628,354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16,318,720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$127,890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40875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KMGH-TV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3,815,253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3,574,365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$28,012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35131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KMID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383,449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383,439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16749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KMIR-TV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2,760,914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730,764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63164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KMIZ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550,860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548,402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53541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KMLM-DT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293,290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293,290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52046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KMLU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711,951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708,107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$5,549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47,232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44,189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24753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KMOH-TV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199,885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184,283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KMOS-TV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804,745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803,129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KMOT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81,517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79,504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70034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KMOV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3,035,077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3,029,405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$23,741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51488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KMPH-TV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1,725,397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1,697,871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$13,306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73701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KMPX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6,678,829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6,674,706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$52,310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44052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KMSB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1,321,614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1,039,442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$8,146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68883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KMSP-TV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3,832,040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3,805,141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$29,821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12525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KMSS-TV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1,068,120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1,066,388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43095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KMTP-TV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5,097,701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4,378,276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$34,313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35189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KMTR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589,948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520,666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35190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KMTV-TV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1,346,549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1,344,796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77063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KMTW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761,521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761,516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$5,968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35200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KMVT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184,647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176,351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32958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KMVU-DT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308,150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231,506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86534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KMYA-DT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200,764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200,719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51518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KMYS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2,273,888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2,267,913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$17,774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54420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KMYT-TV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1,314,197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1,302,378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$10,207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KMYU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133,563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130,198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$1,020</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993</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KNAT-TV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1,157,630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1,124,619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24749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KNAZ-TV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332,321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227,658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KNBC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17,859,647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16,555,232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$129,743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81464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KNBN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145,493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136,995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9754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KNCT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2,247,724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2,233,513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$17,504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82611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KNDB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118,154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118,122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82615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KNDM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72,216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72,209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12395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KNDO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314,875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270,892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12427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KNDU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475,612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462,556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17683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KNEP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101,389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95,890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$751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48003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KNHL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277,777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277,308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125710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KNIC-DT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2,398,296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2,383,294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$18,678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59363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KNIN-TV*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708,289</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703,838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48525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KNLC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2,944,530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2,939,956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$23,040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48521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KNLJ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655,000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642,705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84215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KNMD-TV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1,120,286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1,100,869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55528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KNME-TV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1,149,036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1,103,695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47707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KNMT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2,887,142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2,794,995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$21,904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48975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KNOE-TV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733,097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729,703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49273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KNOP-TV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87,904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85,423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KNPB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604,614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462,732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55362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KNRR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25,957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25,931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35277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KNSD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3,861,660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3,618,321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$28,357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19191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KNSN-TV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611,981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459,485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58608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KNSO*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1,976,317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1,931,825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$15,140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35280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8,022,662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7,168,995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$56,183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KNVA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2,550,225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2,529,184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$19,821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33745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KNVN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495,403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464,031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69692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KNVO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1,241,165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1,241,165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$9,727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29557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KNWA-TV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815,678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796,488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16950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KNXT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2,166,688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2,116,003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$16,583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59440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KNXV-TV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4,183,943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4,173,022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$32,704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59014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KOAA-TV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1,391,946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1,087,809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$8,525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50588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KOAB-TV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207,070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203,371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50590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KOAC-TV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1,957,282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1,543,401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$12,096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58552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KOAM-TV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595,307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584,921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53928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KOAT-TV*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1,132,372</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1,105,116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$8,661</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35313</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KOB</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1,152,841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1,113,162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$8,724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35321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KOBF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201,911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166,177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KOBI*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562,463</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519,063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62272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KOBR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211,709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211,551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50170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KOCB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1,629,783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1,629,152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KOCE-TV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17,447,903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16,331,792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$127,992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84225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KOCM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1,434,325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1,433,605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$11,235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12508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KOCO-TV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1,716,569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1,708,085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$13,386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83181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83,807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83,789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18283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KODE-TV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740,156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731,512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66195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KOED-TV*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1,497,297</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1,459,833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$11,441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50198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KOET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658,606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637,640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51189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KOFY-TV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5,097,701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4,378,276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$34,313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34859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KOGG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190,829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161,310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166534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KOHD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201,310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197,662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$1,549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35380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KOIN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2,983,136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2,851,968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$22,351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35388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KOKH-TV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1,627,116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1,625,246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11910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KOKI-TV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1,366,220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1,352,227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48663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KOLD-TV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1,216,228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887,754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7890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KOLN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1,225,400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1,190,178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$9,327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63331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KOLO-TV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959,178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826,985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$6,481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28496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KOLR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1,076,144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1,038,613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$8,140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21656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KOMO-TV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4,123,984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4,078,485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$31,963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65583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KOMU-TV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551,658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542,544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35396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KONG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4,006,008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3,985,271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$31,233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60675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KOOD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113,416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113,285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50589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KOPB-TV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3,059,231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2,875,815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$22,538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1,501,110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1,500,883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$11,762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64877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KORO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560,983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560,983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KOSA-TV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340,978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338,070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$2,649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34347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KOTA-TV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174,876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152,861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KOTI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298,175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97,132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35434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KOTV-DT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1,417,675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1,403,021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56550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KOVR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10,759,811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7,100,710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$55,648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51101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KOZJ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429,982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427,991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51102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KOZK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836,532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825,077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$6,466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KOZL-TV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992,495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963,281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$7,549</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35455</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KPAX-TV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206,895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193,201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67868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KPAZ-TV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4,190,080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4,176,323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$32,730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KPBS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3,584,237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3,463,189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$27,141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50044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KPBT-TV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340,080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340,080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77452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KPCB-DT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30,861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30,835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35460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KPDX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2,970,703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2,848,423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$22,323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12524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KPEJ-TV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368,212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368,208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41223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KPHO-TV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4,195,073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4,175,139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$32,721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61551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KPIC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156,687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105,807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86205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KPIF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255,766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250,517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25452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KPIX-TV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8,340,753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7,480,594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$58,625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58912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KPJK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7,672,473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6,652,674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$52,137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166510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KPJR-TV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3,402,088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3,372,831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$26,433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KPLC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1,406,085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1,403,853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$11,002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41964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KPLO-TV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55,827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52,765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35417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KPLR-TV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2,968,619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2,965,673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$23,242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12144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KPMR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1,731,370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1,473,251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$11,546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47973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92,675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89,021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35486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KPNX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4,215,834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4,184,428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$32,793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77512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KPNZ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2,394,311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2,208,707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$17,310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73998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KPOB-TV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144,525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143,656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26655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4,186,998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4,171,450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$32,692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53117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KPRC-TV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6,099,422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6,099,076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$47,798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48660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KPRY-TV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42,521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42,426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KPSD-TV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19,886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53544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KPTB-DT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322,780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320,646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$2,513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81445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KPTF-DT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84,512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84,512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77451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KPTH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660,556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655,373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51491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KPTM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1,414,998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1,414,014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$11,082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33345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KPTS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832,000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827,866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$6,488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50633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2,998,460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2,847,263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$22,314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82575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KPTW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80,374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80,012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KPVI-DT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271,379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264,204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58835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KPXB-TV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6,062,472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6,062,271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$47,510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68695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KPXC-TV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3,362,518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3,341,951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$26,191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68834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KPXD-TV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6,555,157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6,553,373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$51,359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33337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KPXE-TV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2,437,178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2,436,024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$19,091</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5801</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KPXG-TV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3,026,219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2,882,598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$22,591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81507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KPXJ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1,138,632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1,135,626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$8,900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61173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KPXL-TV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2,257,007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2,243,520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$17,582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35907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KPXM-TV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3,507,312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3,506,503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$27,480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58978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KPXN-TV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17,256,205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15,804,489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$123,860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77483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KPXO-TV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953,329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913,341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$7,158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21156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KPXR-TV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828,915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821,250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$6,436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KQCA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9,931,378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5,931,341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$46,484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KQCD-TV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35,623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33,415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18287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KQCK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3,220,160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3,162,711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$24,786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78322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KQCW-DT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1,128,198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1,123,324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35525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KQDS-TV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305,747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302,246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35500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KQED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8,195,398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7,283,828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$57,083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KQEH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8,195,398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7,283,828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$57,083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KQET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2,981,040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2,076,157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$16,271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KQIN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596,371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596,277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17686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KQME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188,783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184,719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KQSD-TV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32,526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31,328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8378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KQSL*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196,316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133,564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20427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1,494,987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1,401,160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78921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KQUP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697,016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551,824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KRBC-TV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229,395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229,277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166319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KRBK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983,888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966,187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$7,572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22161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KRCA*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17,540,791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16,957,292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$132,894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57945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KRCB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5,320,127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4,552,911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$35,681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41110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KRCG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684,989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662,418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KRCR-TV*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423,000</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402,594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10192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KRCW-TV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2,966,577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2,842,523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$22,277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49134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KRDK-TV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349,941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349,915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52579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KRDO-TV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2,622,603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2,272,383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$17,809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70578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KREG-TV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149,306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95,141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34868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KREM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817,619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752,113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51493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KREN-TV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810,039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681,212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70596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KREX-TV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145,700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145,606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70579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KREY-TV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74,963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65,700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48589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KREZ-TV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148,079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105,121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43328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KRGV-TV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1,247,057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1,247,029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$9,773</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82698</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KRII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133,840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132,912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29114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KRIN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949,313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923,735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25559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KRIS-TV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561,825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561,718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22204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KRIV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6,078,936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6,078,846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$47,640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14040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KRMA-TV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3,722,512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3,564,949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$27,939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14042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KRMJ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174,094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159,511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20476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KRMT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2,956,144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2,864,236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$22,447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84224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KRMU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85,274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72,499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20373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KRMZ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36,293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33,620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47,473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60307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KRNV-DT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981,687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825,465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$6,469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65526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KRON-TV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8,050,508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7,087,419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$55,544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53539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KRPV-DT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65,943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65,943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48575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KRQE*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1,135,461</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1,105,093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57431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KRSU-TV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1,000,289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998,310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$7,824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82613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KRTN-TV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96,062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74,452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35567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92,687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90,846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84157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KRWB-TV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111,538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110,979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35585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KRWF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85,596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85,596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55516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KRWG-TV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894,492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661,703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48360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KRXI-TV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725,391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548,865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KSAN-TV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135,063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135,051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11911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KSAS-TV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752,513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752,504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53118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KSAT-TV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2,530,706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2,495,317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$19,556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35584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KSAX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365,209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365,209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35587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KSAZ-TV*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4,203,126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4,178,448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$32,746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38214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KSBI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1,577,231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1,575,865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$12,350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19653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KSBW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5,083,461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4,429,165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$34,711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19654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KSBY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535,029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495,562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$3,884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82910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KSCC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502,915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502,915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KSCE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1,015,148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1,010,581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KSCI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17,447,903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16,331,792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$127,992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KSCW-DT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915,691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910,511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$7,136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46981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KSDK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2,986,764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2,979,035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$23,347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35594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KSEE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1,749,448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1,732,516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$13,578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48658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KSFY-TV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670,536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607,844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17680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KSGW-TV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62,178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57,629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$452</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59444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KSHB-TV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2,432,205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2,431,273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$19,054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73706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KSHV-TV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943,947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942,978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$7,390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29096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KSIN-TV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340,143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338,811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KSIX-TV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82,902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73,553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KSKN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731,818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643,590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70482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KSLA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1,009,108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1,008,281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2,390,742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2,206,920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$17,296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71558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KSMN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320,813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320,808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33336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KSMO-TV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2,401,201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2,398,686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$18,799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28510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KSMQ-TV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524,391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507,983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KSMS-TV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1,589,263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882,948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21161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KSNB-TV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658,560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656,650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KSNC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174,135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173,744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67766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KSNF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621,919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617,868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KSNG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145,058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144,822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KSNK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48,715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45,414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67335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KSNT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622,818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594,604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10179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KSNV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1,967,781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1,919,296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$15,042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KSNW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789,136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788,882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$6,182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61956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KSPS-TV*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819,101</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769,852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$6,033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52953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6,745,180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4,966,590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$38,923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166546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KSQA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382,328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374,290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53313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KSRE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75,181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75,181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KSTC-TV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3,843,788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3,835,674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$30,060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63182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KSTF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51,317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51,122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28010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KSTP-TV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3,788,898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3,782,053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$29,640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KSTR-DT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6,617,736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6,615,573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$51,846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64987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KSTS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7,645,340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6,333,303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$49,634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22215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KSTU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2,384,996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2,201,716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$17,255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23428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KSTW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4,265,956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4,186,266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$32,808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KSVI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175,390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173,667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58827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KSWB-TV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3,677,190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3,488,655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$27,341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60683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KSWK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79,012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78,784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KSWO-TV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483,132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458,057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74449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KSWT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398,681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393,135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61350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KSYS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519,209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443,204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59988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KTAB-TV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270,967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268,579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$2,105</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999</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KTAJ-TV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2,343,843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2,343,227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$18,364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KTAL-TV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1,094,332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1,092,958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$8,566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12930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KTAS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471,882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464,149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81458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KTAZ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4,182,503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4,160,481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$32,606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KTBC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3,242,215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2,956,614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$23,171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67884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KTBN-TV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17,795,677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16,510,302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$129,391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67999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KTBO-TV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1,585,283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1,583,664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$12,411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KTBS-TV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1,163,228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1,159,665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28324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KTBU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6,035,927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6,035,725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$47,302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67950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KTBW-TV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4,202,104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4,113,420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$32,237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KTBY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348,080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346,562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68594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KTCA-TV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3,693,877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3,684,081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$28,872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68597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KTCI-TV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3,606,606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3,597,183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$28,191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35187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100,392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83,777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36916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KTDO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1,015,336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1,010,771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KTEJ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419,750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417,368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83707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KTEL-TV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53,423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53,414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KTEN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566,422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564,096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24514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KTFD-TV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3,210,669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3,172,543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$24,863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35512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KTFF-DT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2,225,169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2,203,398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$17,268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20871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KTFK-DT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6,969,307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5,211,719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$40,844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68753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KTFN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1,017,335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1,013,157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35084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KTFQ-TV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1,151,433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1,117,061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$8,754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29232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KTGM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159,358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159,091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KTHV*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1,275,062</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1,246,348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$9,768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29100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KTIN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281,096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279,385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66170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KTIV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751,089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746,274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$5,849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49397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KTKA-TV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567,958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566,406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KTLA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18,156,910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16,870,262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$132,212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62354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KTLM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1,014,202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1,014,186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49153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KTLN-TV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5,209,087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4,490,249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$35,190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64984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KTMD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6,095,741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6,095,606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$47,771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14675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KTMF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187,251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168,526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10177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KTMW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2,261,671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2,144,791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$16,809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21533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KTNC-TV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8,048,427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7,069,903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$55,407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100,341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95,324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KTNL-TV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$68</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74100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KTNV-TV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2,094,506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1,936,752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$15,178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71023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KTNW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450,926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432,398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KTOO-TV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31,269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31,176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7078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1,066,196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1,063,754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68541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KTRE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441,879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421,406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KTRK-TV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6,114,259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6,112,870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$47,907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28230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KTRV-TV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714,833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707,557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69170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KTSC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3,124,536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2,949,795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$23,118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KTSD-TV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83,645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82,828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$649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37511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KTSF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7,921,124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6,576,672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$51,541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67760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KTSM-TV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1,015,348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1,011,264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35678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KTTC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815,213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731,919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28501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KTTM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76,133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73,664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11908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KTTU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1,324,801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1,060,613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22208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17,380,551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16,693,085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$130,824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28521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KTTW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329,557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326,309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65355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KTTZ-TV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380,240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380,225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KTUL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1,416,959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1,388,183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$10,879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10173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KTUU-TV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380,240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379,047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77480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KTUZ-TV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1,668,531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1,666,026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$13,057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49632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342,517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342,300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34858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714,865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707,882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31437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137,239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100,204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68581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3,800,970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3,547,607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$27,803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641,139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640,201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49621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98,068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97,929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KTVH-DT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228,832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184,264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2,979,889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2,976,494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$23,327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40993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4,184,825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4,173,024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$32,704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22570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415,327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358,979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$2,813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18066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260,105</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217,694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59139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955,490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800,420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21251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148,780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148,647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35694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179,797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173,271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50592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147,808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23422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6,912,366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6,908,715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$54,144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35703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7,913,996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6,825,643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$53,493</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35705</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KTVW-DT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4,173,111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4,159,807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$32,600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68889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2,389,392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2,200,520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$17,245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55907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KTVZ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201,828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198,558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18286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KTWO-TV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80,426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79,905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70938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KTWU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1,703,798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1,562,305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$12,244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51517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KTXA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6,876,811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6,873,221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$53,865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42359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KTXD-TV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6,706,651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6,704,781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$52,545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51569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KTXH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6,092,710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6,092,525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$47,747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KTXL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7,355,088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5,411,484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$42,410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KTXS-TV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247,603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246,760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69315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KUAC-TV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98,717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98,189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51233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KUAM-TV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159,358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159,358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$1,249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KUAS-TV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994,802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977,391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KUAT-TV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1,485,024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1,253,342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$9,822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KUBD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14,817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13,363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70492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KUBE-TV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6,090,970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6,090,817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$47,734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2,388,889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2,199,787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$17,240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69396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KUED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2,388,995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2,203,093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$17,266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69582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KUEN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2,364,481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2,184,483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$17,120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82576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KUES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30,925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25,978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82585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KUEW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132,168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120,411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66611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KUFM-TV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187,680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166,697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169028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KUGF-TV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86,622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85,986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68717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KUHM-TV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154,836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145,241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69269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KUHT*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6,090,213</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6,089,665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$47,725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62382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KUID-TV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432,855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284,023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169027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KUKL-TV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124,505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115,844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35724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KULR-TV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177,242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170,142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KUMV-TV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41,607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41,224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81447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KUNP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130,559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43,472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KUNS-TV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4,023,436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4,002,433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$31,367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86532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KUOK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28,974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28,945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66589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KUON-TV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1,375,257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1,360,005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$10,658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86263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KUPB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318,914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318,914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65535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KUPK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149,642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148,180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27431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87,602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87,602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89714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KUPU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956,178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948,005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$7,430</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57884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KUPX-TV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2,374,672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2,191,229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$17,173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23074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KUSA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3,803,461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3,561,587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$27,912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61072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KUSD-TV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460,480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460,277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KUSI-TV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3,572,818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3,435,670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$26,925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43567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KUSM-TV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115,864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106,398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69694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KUTF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1,210,774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1,031,870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$8,087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81451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KUTH-DT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2,219,788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2,027,174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$15,887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68886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KUTP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4,191,015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4,176,014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$32,727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2,388,211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2,192,182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$17,180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63927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KUVE-DT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1,294,971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964,396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$7,558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KUVI-DT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1,204,490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1,009,943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KUVN-DT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6,680,126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6,678,157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$52,337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58609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KUVS-DT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4,043,413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4,005,657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$31,392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49766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KVAL-TV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1,016,673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866,173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32621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KVAW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76,153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76,153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58795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KVCR-DT*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18,215,524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17,467,140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$136,890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KVCT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288,221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287,446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10195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1,967,550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1,918,811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$15,038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64969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KVDA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2,400,582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2,391,810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$18,745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19783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KVEA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17,423,429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16,146,250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$126,538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12523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KVEO-TV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1,244,504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1,244,504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$9,753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KVEW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476,720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464,347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KVHP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747,917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747,837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49832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KVIA-TV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1,015,350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1,011,266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KVIE*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10,759,440</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7,467,369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$58,522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40450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KVIH-TV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91,912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91,564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40446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KVII-TV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379,042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378,218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61961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KVLY-TV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350,732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350,449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16729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KVMD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6,145,526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4,116,524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$32,261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83825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KVME-TV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26,711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22,802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25735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KVOA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1,317,956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1,030,404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$8,075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KVOS-TV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2,019,168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1,954,667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$15,319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69733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1,744,349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1,719,318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$13,474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55372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KVRR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356,645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356,645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166331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KVSN-DT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2,706,244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2,283,409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$17,895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KVTH-DT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303,755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299,230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KVTJ-DT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1,466,426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1,465,802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$11,487</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KVTN-DT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936,328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925,884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KVUE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2,661,290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2,611,314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$20,465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78910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KVUI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257,964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251,872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KVVU-TV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2,042,029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1,935,466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$15,168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36170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KVYE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396,495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392,498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$3,076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35095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KWBA-TV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1,129,524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1,073,029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$8,409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78314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KWBM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657,822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639,560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27425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KWBN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953,207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840,455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$6,587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76268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KWBQ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1,148,810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1,105,600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66413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KWCH-DT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883,647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881,674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71549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KWCM-TV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252,284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244,033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35419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KWDK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4,196,263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4,118,699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$32,278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42007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KWES-TV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424,862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423,544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50194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KWET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127,976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112,750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KWEX-DT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2,376,463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2,370,469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$18,577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35883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KWGN-TV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3,706,495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3,513,577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$27,536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37099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KWHB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979,393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978,719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37103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KWHD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97,959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94,560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36846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KWHE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952,966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834,341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$6,539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26231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KWHY-TV*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17,736,497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17,695,306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$138,678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35096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KWKB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1,121,676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1,111,629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$8,712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162115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KWKS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39,708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39,323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12522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KWKT-TV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1,010,550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1,010,236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21162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KWNB-TV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91,093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89,332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67347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KWOG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512,412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505,049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56852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4,220,008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4,148,577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$32,512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KWQC-TV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1,080,156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1,067,249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29121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KWSD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280,675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280,672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53318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KWSE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53,400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71024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KWSU-TV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725,554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468,295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25382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KWTV-DT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1,628,106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1,627,198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35903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KWTX-TV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2,071,023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1,972,365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$15,457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KWWL*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1,089,498</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1,078,458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$8,452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84410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KWWT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293,291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293,291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14674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KWYB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86,495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69,598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10032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KWYP-DT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128,874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126,992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35920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KXAN-TV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2,678,666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2,624,648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$20,569</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49330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KXAS-TV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6,774,295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6,771,827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$53,071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24287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KXGN-TV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14,217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35954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KXII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2,323,974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2,264,951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$17,750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55083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KXLA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17,929,100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16,794,896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$131,622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35959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KXLF-TV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258,100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217,808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53847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KXLN-DT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6,085,891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6,085,712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$47,694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35906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KXLT-TV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348,025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347,296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61978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KXLY-TV*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772,116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740,960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55684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KXMA-TV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32,005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31,909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55686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KXMB-TV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142,755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138,506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55685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KXMC-TV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97,569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89,483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55683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KXMD-TV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300,021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298,839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81593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KXNW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602,168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597,747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35991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KXRM-TV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1,843,363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1,500,689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$11,761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KXTF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121,558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121,383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$951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25048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10,759,864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7,477,140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$58,598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35994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KXTX-TV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6,721,578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6,718,616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$52,654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62293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KXVA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185,478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185,276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23277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KXVO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1,404,703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1,403,380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9781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KXXV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1,771,620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1,748,287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$13,701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31870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KYAZ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6,038,257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6,038,071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$47,320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21488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KYES-TV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381,413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380,355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29086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KYIN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581,748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574,691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60384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KYLE-TV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324,032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324,025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33639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KYMA-DT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396,278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391,619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929,406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929,242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53820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KYOU-TV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651,334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640,935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36003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1,095,904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1,083,524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$8,492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55644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KYTX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927,327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925,550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13815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KYUR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379,943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379,027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KYUS-TV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33752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KYVE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301,951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259,559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55762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KYVV-TV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67,201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67,201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25453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KYW-TV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11,061,941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10,876,511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$85,239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69531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KZJL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6,037,458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6,037,272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$47,314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69571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KZJO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4,179,154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4,124,424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$32,323</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61062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KZSD-TV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41,207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35,825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33079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KZTV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567,635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564,464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57292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WAAY-TV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1,498,006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1,428,197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$11,193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WABC-TV*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20,948,273</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20,560,001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$161,129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43203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WABG-TV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393,020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392,348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17005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WABI-TV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530,773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510,729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16820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WABM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1,703,202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1,675,700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$13,132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23917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WABW-TV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1,097,560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1,096,376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$8,592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19199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WACH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1,317,429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1,316,792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$10,320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189358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WACP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9,415,263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9,301,049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$72,892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23930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WACS-TV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621,686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616,443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60018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WACX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3,967,118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3,966,535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$31,086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WACY-TV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946,580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946,071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WADL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4,610,514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4,602,962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$36,073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WAFB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1,857,882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1,857,418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$14,557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WAFF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1,197,068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1,110,122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$8,700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70689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WAGA-TV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6,000,355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5,923,191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$46,420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48305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WAGM-TV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64,721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63,331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37809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WAGV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1,193,158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1,060,935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WAIQ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611,733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609,794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WAKA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799,637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793,645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WALA-TV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1,320,419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1,318,127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$10,330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70713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WALB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773,899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772,467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$6,054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WAMI-DT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5,449,193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5,449,193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$42,705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70852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WAND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1,400,271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1,398,521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39270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1,108,844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1,108,844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52280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WAOE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613,812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613,784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64546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WAOW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636,957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629,068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52073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WAPA-TV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3,764,742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3,363,102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$21,902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49712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793,621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791,620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67792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WAQP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1,992,340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1,983,143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$15,542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13206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WATC-DT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5,637,070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5,616,513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$44,017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71082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WATE-TV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1,874,433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1,638,059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22819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WATL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5,882,837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5,819,099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$45,604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20287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WATM-TV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937,438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785,510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$6,156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11907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WATN-TV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1,787,595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1,784,560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$13,986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WAVE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1,846,212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1,836,231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$14,391</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71127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WAVY-TV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2,039,358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2,039,341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$15,982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54938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WAWD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553,676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553,591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65247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WAWV-TV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705,549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699,377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12793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WAXN-TV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2,677,951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2,669,224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$20,919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65696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WBAL-TV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9,596,587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9,190,139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$72,023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74417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WBAY-TV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1,225,928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1,225,335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$9,603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71085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WBBH-TV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2,046,391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2,046,391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$16,038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65204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WBBJ-TV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662,148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658,016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9617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WBBM-TV*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9,914,233</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9,907,806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$77,647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9088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WBBZ-TV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1,269,256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1,260,686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$9,880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70138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3,660,544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3,646,874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$28,581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51349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WBEC-TV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5,421,355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5,421,355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$42,487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10758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WBFF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8,509,757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8,339,882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$65,360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12497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WBFS-TV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5,349,613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5,349,613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$41,925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WBGU-TV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1,343,816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1,343,816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81594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WBIF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309,707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309,707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84802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WBIH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736,501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724,345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WBIQ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1,563,080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1,532,266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$12,008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46984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WBIR-TV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1,978,347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1,701,857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$13,337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67048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WBKB-TV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136,823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130,625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34167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WBKI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1,983,992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1,968,048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$15,424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WBKO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963,413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862,651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76001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WBKP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55,655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55,305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68427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WBMM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562,284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562,123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73692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WBNA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1,699,683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1,666,248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$13,058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23337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WBNG-TV*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1,442,745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1,060,329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71217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WBNS-TV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2,847,721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2,784,795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$21,824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72958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WBNX-TV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3,642,304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3,629,347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$28,443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71218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WBOC-TV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813,888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813,888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$6,378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71220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WBOY-TV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711,302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621,367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60850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WBPH-TV*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10,613,847</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 xml:space="preserve">          9,474,797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$74,254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7692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6,833,712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6,761,949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$52,993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WBRA-TV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1,726,408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1,677,204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$13,144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71221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WBRC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1,884,007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1,849,135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$14,492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71225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WBRE-TV*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2,879,196</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2,244,735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$17,592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38616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WBRZ-TV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2,223,336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2,222,309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$17,416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82627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WBSF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1,836,543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1,832,446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$14,361</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30826</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4,433,020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4,295,962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$33,667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66407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WBTW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1,975,457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1,959,172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$15,354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16363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WBUI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981,884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981,868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59281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WBUP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126,472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112,603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60830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WBUY-TV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1,569,254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1,567,815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$12,287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72971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WBXX-TV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2,142,759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1,984,544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$15,553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25456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WBZ-TV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7,764,394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7,616,633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$59,692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63153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WCAU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11,269,831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11,098,540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$86,979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WCAV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949,729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727,455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46728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WCAX-TV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784,748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661,547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39659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WCBB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964,079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910,222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$7,133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10587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WCBD-TV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1,149,489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1,149,489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12477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WCBI-TV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680,511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678,424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9610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WCBS-TV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21,713,751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21,187,849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$166,049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49157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WCCB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3,542,464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3,489,260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$27,345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9629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WCCO-TV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3,837,442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3,829,714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$30,013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14050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WCCT-TV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5,818,471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5,307,612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$41,596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69544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WCCU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395,106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395,102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3001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WCCV-TV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3,391,703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2,482,544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$16,168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23937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WCES-TV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1,098,868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1,097,706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65666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WCET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3,122,924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3,108,328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$24,360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46755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WCFE-TV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445,131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411,198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71280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WCHS-TV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1,352,824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1,274,766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$9,990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42124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WCIA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796,609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795,428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WCIQ*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3,181,068</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3,033,573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$23,774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71428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WCIU-TV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9,891,328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9,888,390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$77,495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9015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WCIV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1,152,800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1,152,800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42116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WCIX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554,002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549,682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16993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WCJB-TV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977,492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977,492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11125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WCLF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4,097,389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4,096,624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$32,105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68007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WCLJ-TV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2,258,426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2,256,937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$17,688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50781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WCMH-TV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2,756,260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2,712,989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$21,262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WCML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233,439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224,255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WCMU-TV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707,702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699,551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WCMV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418,707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407,222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WCMW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106,975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104,859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32326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WCNC-TV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3,822,849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3,747,880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$29,372</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53734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WCNY-TV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1,358,685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1,290,632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$10,115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73642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WCOV-TV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862,899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859,333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40618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WCPB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560,426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560,426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59438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WCPO-TV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3,328,920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3,311,833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$25,955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10981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9,674,477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9,673,859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$75,814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71297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WCSC-TV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1,028,018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1,028,018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$8,057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39664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WCSH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1,682,955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1,457,618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$11,423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69479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WCTE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612,760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541,314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18334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WCTI-TV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1,680,664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1,678,237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$13,152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31590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1,049,825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1,049,779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33081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WCTX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7,844,936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7,332,431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$57,464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65684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WCVB-TV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7,741,540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7,606,326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$59,611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WCVE-TV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1,582,094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1,581,725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$12,396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83304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WCVI-TV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50,601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50,495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34204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WCVN-TV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2,108,475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2,100,226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$16,459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WCVW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1,461,748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1,461,643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$11,455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73042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WCWF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1,040,984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1,040,525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$8,155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35385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WCWG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3,630,551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3,299,114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$25,855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29712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WCWJ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1,582,959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1,582,959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$12,406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WCWN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1,698,469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1,512,848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$11,856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WCYB-TV*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2,363,002</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2,057,404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$16,124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11291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WDAF-TV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2,539,581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2,537,411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$19,886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21250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WDAM-TV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512,594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500,343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22129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WDAY-TV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339,239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338,856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22124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WDAZ-TV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151,720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151,659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71325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WDBB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1,669,214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1,646,336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$12,902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71326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WDBD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940,665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939,489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$7,363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71329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WDBJ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1,606,844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1,439,716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$11,283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51567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WDCA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8,070,491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8,015,328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$62,816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16530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WDCQ-TV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1,269,199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1,269,199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$9,947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30576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8,155,998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8,114,847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$63,596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54385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WDEF-TV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1,731,483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1,508,250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$11,820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32851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WDFX-TV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271,499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270,942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43846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WDHN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452,377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451,978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71338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WDIO-DT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341,506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327,469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WDIQ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663,062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620,124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53114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WDIV-TV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5,425,162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5,424,963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$42,515</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71427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WDJT-TV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3,085,540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3,081,475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$24,150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39561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WDKA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621,903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620,169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64017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WDKY-TV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1,204,817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1,173,579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$9,197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67893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WDLI-TV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4,147,298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4,114,920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$32,249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72335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WDPB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596,888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596,888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83740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WDPM-DT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1,365,977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1,364,744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$10,695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WDPN-TV*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11,594,463</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11,467,616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$89,872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6,833,712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6,761,949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$52,993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28476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WDRB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1,987,708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1,971,926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$15,454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12171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WDSC-TV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3,376,247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3,376,247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$26,460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17726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WDSE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330,994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316,643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71353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WDSI-TV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1,100,302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1,042,191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$8,168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71357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WDSU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1,613,076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1,613,076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$12,642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7908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WDTI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2,095,312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2,094,395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$16,414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65690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WDTN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3,660,544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3,646,874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$28,581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70592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962,532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850,394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25045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WDVM-TV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3,074,837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2,646,508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$20,741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WDWL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2,638,361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2,379,555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$15,497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49421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WEAO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3,919,602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3,892,146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$30,503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71363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WEAR-TV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1,524,131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1,523,479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$11,940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7893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WEAU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991,019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952,513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WEBA-TV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645,039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635,967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19561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WECN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2,886,669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2,596,015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$16,907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48666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WECT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1,134,918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1,134,918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13602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WEDH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5,328,800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4,724,167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$37,023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13607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WEDN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3,451,170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2,643,344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$20,716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69338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WEDQ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4,882,446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4,881,322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$38,255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21808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WEDU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5,379,887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5,365,612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$42,050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13594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WEDW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5,996,408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5,544,708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$43,454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13595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WEDY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5,328,800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4,724,167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$37,023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24801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WEEK-TV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698,238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698,220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WEFS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3,380,743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3,380,743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$26,495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24215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WEHT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847,299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835,128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$6,545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WEIQ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1,046,465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1,046,116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$8,198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18301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WEIU-TV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462,775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462,711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69271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WEKW-TV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1,072,240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546,881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60825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WELF-TV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1,491,382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1,414,528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$11,086</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26602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WELU</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2,248,146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2,020,075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$13,156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40761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WEMT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1,726,085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1,186,706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$9,300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69237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WENH-TV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4,500,498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4,328,222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$33,920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71508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WENY-TV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543,162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413,668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83946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WEPH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604,105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602,833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81508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859,535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859,535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25738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WESH*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4,059,180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4,048,459</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$31,728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65670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WETA-TV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7,607,834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7,576,217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$59,375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69944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WETK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670,087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558,842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60653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WETM-TV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721,800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620,074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18252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WETP-TV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2,087,588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1,791,130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$14,037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2709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WEUX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380,569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373,680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WEVV-TV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752,417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750,555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59441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WEWS-TV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4,112,984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4,078,299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$31,962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WEYI-TV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3,715,686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3,652,991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$28,628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WFAA*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6,927,782</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6,918,595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$54,221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81669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WFBD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814,185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813,564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$6,376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69532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WFDC-DT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8,155,998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8,114,847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$63,596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10132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WFFF-TV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592,012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506,744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25040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WFFT-TV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1,088,489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1,088,354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$8,529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11123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WFGC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2,759,457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2,759,457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$21,626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WFGX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1,440,245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1,437,744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$11,268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WFIE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731,856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729,985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WFIQ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546,563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544,258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64592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WFLA-TV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5,450,176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5,446,917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$42,687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22211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WFLD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9,957,301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9,954,828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$78,016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WFLI-TV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1,272,913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1,125,349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39736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WFLX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5,740,086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5,740,086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$44,985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WFMJ-TV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3,504,955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3,262,270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$25,566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WFMY-TV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4,772,783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4,740,684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$37,153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39884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WFMZ-TV*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10,613,847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9,474,797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$74,254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83943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WFNA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1,391,519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1,390,447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$10,897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WFOR-TV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5,398,266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5,398,266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$42,306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11909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WFOX-TV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1,602,888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1,602,888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$12,562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40626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5,829,226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5,442,352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$42,652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21245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2,637,949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2,634,141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$20,644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25396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WFQX-TV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537,340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534,314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$4,187</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9635</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WFRV-TV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1,201,204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1,200,502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$9,408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53115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WFSB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4,752,788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4,370,519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$34,252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WFSG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364,961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364,796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$2,859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21801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WFSU-TV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576,105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576,093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11913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WFTC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3,787,177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3,770,207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$29,547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64588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WFTS-TV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5,077,970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5,077,719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$39,794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16788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WFTT-TV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4,523,828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4,521,879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$35,438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3,849,576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3,849,576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$30,169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70649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WFTX-TV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1,775,097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1,775,097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$13,911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WFTY-DT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5,678,755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5,560,460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$43,577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25395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WFUP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217,655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216,861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WFUT-DT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19,992,096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19,643,518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$153,946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22108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WFWA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1,035,114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1,034,862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$8,110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9054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WFXB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1,393,865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1,393,510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3228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WFXG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1,070,032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1,057,760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70815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WFXL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793,637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785,106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$6,153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19707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WFXP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583,315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562,500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24813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WFXR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1,426,061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1,286,450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$10,082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WFXT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7,494,070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7,400,830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$58,000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22245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WFXU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211,721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211,721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$1,659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43424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WFXV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633,597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558,968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25236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WFXW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274,078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270,967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41397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WFYI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2,389,627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2,388,970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$18,722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53930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WGAL*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6,287,688</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5,610,833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$43,972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WGBA-TV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1,170,375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1,170,127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$9,170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24314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WGBC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249,415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249,235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72099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WGBH-TV*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7,711,842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7,601,732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$59,575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12498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WGBO-DT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9,771,815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9,769,552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$76,564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72098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WGBX-TV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7,476,751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7,378,958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$57,829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WGBY-TV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4,470,009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3,739,675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$29,308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72120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WGCL-TV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6,027,276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5,961,471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$46,720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62388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WGCU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1,403,602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1,403,602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$11,000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54275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WGEM-TV*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361,598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356,682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27387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WGEN-TV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43,037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43,037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WGFL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759,234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759,234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$5,950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25682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WGGB-TV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3,443,447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3,005,875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$23,557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11027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WGGN-TV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1,991,462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1,969,331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$15,434</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9064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WGGS-TV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2,759,326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2,705,067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$21,200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72106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WGHP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3,774,522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3,734,200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$29,265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WGIQ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363,849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363,806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$2,851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12520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WGMB-TV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1,739,804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1,739,640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$13,634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25683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WGME-TV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1,495,724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1,325,465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$10,388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24618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WGNM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742,533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741,501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72119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WGNO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1,641,765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1,641,765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9762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WGNT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1,875,612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1,875,578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$14,699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72115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9,942,959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9,941,552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$77,912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40619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578,294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344,300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65074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2,765,350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2,754,743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$21,589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64547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WGRZ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1,878,725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1,812,309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$14,203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63329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WGTA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1,061,654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1,030,538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$8,076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66285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WGTE-TV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2,210,496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2,208,927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$17,311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59279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WGTQ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95,618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92,019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59280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WGTU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358,543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353,477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23948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5,880,594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5,832,714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$45,711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7623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WGTW-TV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807,797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807,797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$6,331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24783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WGVK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2,439,225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2,437,526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$19,103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24784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WGVU-TV*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1,825,744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1,784,264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$13,983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21536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WGWG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986,963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986,963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$7,735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56642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WGWW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1,677,166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1,647,976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$12,915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58262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WGXA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779,955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779,087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$6,106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WHAM-TV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1,323,785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1,275,674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$9,997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32327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WHAS-TV*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1,955,983</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1,925,901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$15,093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1,636,473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1,629,171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WHBF-TV*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1,712,339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1,704,072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$13,355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12521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WHBQ-TV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1,736,335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1,708,345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$13,388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10894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WHBR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1,302,764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1,302,041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$10,204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65128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WHDF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1,553,469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1,502,852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$11,778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72145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WHDH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7,319,659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7,236,210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$56,710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83929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5,640,324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5,640,324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$44,203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70041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WHEC-TV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1,322,243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1,279,606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$10,028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67971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WHFT-TV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5,417,409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5,417,409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$42,456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WHIO-TV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3,896,757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3,879,363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$30,403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WHIQ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1,278,174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1,225,940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$9,608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61216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WHIZ-TV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910,864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831,894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$6,520</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65919</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WHKY-TV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3,038,732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2,974,919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$23,314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18780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WHLA-TV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467,264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443,002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48668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WHLT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484,432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483,532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$3,789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24582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WHLV-TV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3,825,468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3,825,468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$29,980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37102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WHMB-TV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2,847,719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2,828,250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$22,165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WHMC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943,543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942,807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$7,389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36117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WHME-TV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1,271,796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1,271,715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$9,966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37106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WHNO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1,499,653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1,499,653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$11,753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WHNS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2,549,397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2,266,911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$17,766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48693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WHNT-TV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1,569,885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1,487,578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$11,658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66221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WHO-DT*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1,120,480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1,099,818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6866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WHOI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679,446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679,434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4,030,693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3,538,096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$27,728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51980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5,579,464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5,114,336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$40,081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73036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WHRM-TV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495,398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495,174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$3,881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25932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WHRO-TV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2,149,481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2,149,410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$16,845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68058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WHSG-TV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5,870,314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5,808,605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$45,522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WHSV-TV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845,013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711,912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WHTJ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723,698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490,045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$3,840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WHTM-TV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2,829,585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2,367,000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$18,550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11117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WHTN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1,872,713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1,856,716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$14,551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27772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WHUT-TV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7,649,763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7,617,337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$59,697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18793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WHWC-TV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994,710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946,335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WHYY-TV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10,379,045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9,982,651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$78,234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WIAT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1,837,072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1,802,810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$14,129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63160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WIBW-TV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1,089,708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1,050,918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25684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WICD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1,238,332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1,237,046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$9,695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25686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WICS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1,011,833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1,007,132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$7,893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24970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WICU-TV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740,115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683,435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62210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WICZ-TV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976,771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780,174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$6,114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18410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WIDP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2,559,306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2,286,123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$14,888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26025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WIFS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1,400,358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1,397,144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$10,949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WIIQ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353,241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347,685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68939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WILL-TV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1,178,545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1,158,147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$9,076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WILX-TV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3,378,644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3,218,221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$25,221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22093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WINK-TV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1,851,105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1,851,105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$14,507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67787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WINM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1,001,485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971,031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$7,610</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41314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WINP-TV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2,804,646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2,748,454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$21,540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WIPB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1,962,078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1,961,899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$15,375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48408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WIPL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850,656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799,165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53863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WIPM-TV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2,196,157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1,870,057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53859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WIPR-TV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3,596,802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3,382,849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$22,031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2,258,426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2,256,937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$17,688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39887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WIRS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1,153,382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916,310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71336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WIRT-DT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127,001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126,300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2,644,715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2,600,887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$20,383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65143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WISC-TV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1,830,642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1,811,579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$14,197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WISE-TV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1,070,155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1,070,155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39269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WISH-TV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2,912,963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2,855,253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$22,377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65680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WISN-TV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2,938,180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2,926,133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$22,932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73083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WITF-TV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2,412,561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2,191,501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$17,175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WITI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3,117,342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3,107,791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$24,356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WITN-TV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1,768,040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1,754,388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$13,749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1,081,393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1,081,393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$8,475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WIVB-TV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1,538,108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1,502,969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$11,779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11260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WIVT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856,453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607,256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$4,759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WIWN*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3,338,845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3,323,941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$26,050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62207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WIYC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526,556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525,826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WJAC-TV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2,219,529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1,897,986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$14,875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WJAL*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8,750,706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8,446,074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$66,192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50780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WJAR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6,537,858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6,428,263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$50,378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35576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WJAX-TV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1,630,782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1,630,782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27140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WJBF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1,601,531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1,585,550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$12,426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WJBK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5,748,623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5,711,224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$44,759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37174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WJCL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938,086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938,086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$7,352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WJCT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1,624,624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1,624,033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29719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WJEB-TV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1,607,510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1,607,510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$12,598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65749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WJET-TV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747,431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717,721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7651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WJFB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1,744,291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1,736,932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$13,612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49699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WJFW-TV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277,530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268,295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WJHG-TV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864,121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859,823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57826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WJHL-TV*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2,037,793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1,428,213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$11,193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68519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WJKT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654,460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653,378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WJLA-TV*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8,750,706</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8,447,643</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$66,204</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86537</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WJLP</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21,384,863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21,119,366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$165,512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9630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WJMN-TV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160,991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154,424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WJPM-TV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623,965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623,813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58340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WJPX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3,254,481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3,008,658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$19,594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21735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WJRT-TV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2,788,684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2,543,446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$19,933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23918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WJSP-TV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4,225,860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4,188,428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$32,825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41210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WJTC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1,347,474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1,346,205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48667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987,206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980,717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3,977,148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3,905,325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$30,606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WJWJ-TV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1,008,890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1,008,890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58342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WJWN-TV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1,962,885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1,690,961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53116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WJXT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1,608,682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1,608,682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$12,607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11893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WJXX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1,618,191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1,617,272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$12,675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32334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WJYS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9,647,321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9,647,299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$75,606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25455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9,253,891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8,902,229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$69,767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WJZY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4,432,745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4,301,117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$33,708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64983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WKAQ-TV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3,697,088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3,287,110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$21,407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WKAR-TV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1,693,373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1,689,830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$13,243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34171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WKAS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503,790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476,158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$3,732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51570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WKBD-TV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5,065,617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5,065,350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$39,697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WKBN-TV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4,898,622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4,535,576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$35,545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WKBS-TV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831,411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682,182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74424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WKBT-DT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866,325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824,795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$6,464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54176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WKBW-TV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2,033,929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1,942,743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$15,225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53465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WKCF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4,032,154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4,031,823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$31,597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WKEF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3,623,762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3,619,081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$28,363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34177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WKGB-TV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384,474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382,825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34196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WKHA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511,281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400,721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34207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WKLE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837,269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825,691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$6,471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34212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WKMA-TV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454,447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453,482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71293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WKMG-TV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3,803,492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3,803,492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$29,808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34195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WKMJ-TV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1,426,739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1,417,865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$11,112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34202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WKMR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463,316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428,462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34174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WKMU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329,306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328,918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42061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WKNO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1,645,867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1,642,092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83931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WKNX-TV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1,684,178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1,459,493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$11,438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34205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WKOH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550,854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547,801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$4,293</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67869</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WKOI-TV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3,660,544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3,646,874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$28,581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34211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WKON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905,003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895,953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$7,022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18267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WKOP-TV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1,555,654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1,382,098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$10,832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64545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WKOW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1,918,224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1,899,746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$14,888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21432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WKPC-TV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1,489,989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1,481,948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$11,614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65758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WKPD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242,844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241,796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34200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WKPI-TV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469,081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408,968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27504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WKPT-TV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1,131,213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887,806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58341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WKPV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1,132,932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879,902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11289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WKRC-TV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3,281,914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3,229,223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$25,307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WKRG-TV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1,526,600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1,526,075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$11,960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WKRN-TV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2,410,573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2,388,802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$18,721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34222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WKSO-TV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586,871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573,741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40902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WKTC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1,386,422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1,385,850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$10,861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60654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1,573,503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1,342,387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WKYC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4,154,903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4,099,508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$32,128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24914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WKYT-TV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1,174,615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1,156,978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71861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WKYU-TV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411,448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409,310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34181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WKZT-TV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957,158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927,375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18819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WLAE-TV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1,397,967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1,397,967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36533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WLAJ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1,865,669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1,858,982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$14,569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WLAX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513,319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488,216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$3,826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68542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WLBT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948,671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947,857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39644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WLBZ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373,129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364,346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69328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WLED-TV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338,110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159,958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63046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WLEF-TV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192,283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191,149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WLEX-TV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969,543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964,107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$7,556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37806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WLFB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808,036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680,534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37808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WLFG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1,614,321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1,282,063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$10,048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WLFI-TV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2,243,009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2,221,313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$17,408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WLFL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3,640,360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3,636,542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$28,500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11113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WLGA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950,018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943,236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$7,392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19777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WLII-DT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2,801,102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2,591,533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$16,877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37503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WLIO*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1,067,232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1,050,170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38336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WLIW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14,117,756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13,993,724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$109,669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27696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WLJC-TV*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1,401,072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1,281,256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$10,041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71645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WLJT-DT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385,493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385,380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$3,020</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53939</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WLKY</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1,854,829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1,847,195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$14,476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11033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WLLA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2,041,934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2,041,852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$16,002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17076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WLMB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2,754,484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2,747,490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$21,532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68518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WLMT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1,736,552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1,733,496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$13,585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22591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5,705,441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5,630,394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$44,125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74420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WLNS-TV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1,865,669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1,858,982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$14,569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WLNY-TV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7,501,199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7,415,578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$58,116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84253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WLOO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913,960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912,674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$7,153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56537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WLOS*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3,086,751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2,544,360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$19,940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37732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WLOV-TV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609,526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607,780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WLOX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1,182,149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1,170,659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$9,174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38586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WLPB-TV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1,219,624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1,219,407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$9,556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1,021,171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921,974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66358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WLRN-TV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5,447,399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5,447,399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$42,691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10,174,464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10,170,757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$79,708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WLTV-DT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5,427,398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5,427,398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$42,535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37176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WLTX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1,580,677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1,578,645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$12,372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37179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WLTZ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689,521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685,358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21259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WLUC-TV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92,246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85,393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WLUK-TV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1,251,563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1,247,463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$9,776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WLVI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7,319,659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7,236,210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$56,710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36989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WLVT-TV*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10,613,847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9,474,797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$74,254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3978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WLWC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3,281,532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3,150,875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$24,693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46979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WLWT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3,319,556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3,302,292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$25,880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54452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WLXI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4,021,948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4,004,902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$31,386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55350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WLYH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2,829,585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2,367,000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$18,550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43192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WMAB-TV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407,794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401,487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43170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WMAE-TV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653,542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625,084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43197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WMAH-TV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1,257,393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1,256,995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$9,851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43176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WMAO-TV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369,696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369,343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WMAQ-TV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9,914,395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9,913,272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$77,690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59442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WMAR-TV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9,203,498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9,065,260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$71,044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43184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WMAU-TV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642,328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636,504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43193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WMAV-TV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1,008,339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1,008,208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43169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WMAW-TV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732,079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718,446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46991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WMAZ-TV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1,185,678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1,136,616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$8,908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66398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WMBB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935,027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914,607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$7,168</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43952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WMBC-TV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18,706,132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18,458,331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$144,658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42121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WMBD-TV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733,039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732,987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83969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WMBF-TV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445,363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445,363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$3,490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60829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WMCF-TV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593,205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589,513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9739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WMCN-TV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10,379,045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9,982,651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$78,234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19184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2,047,403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2,043,125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$16,012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189357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WMDE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6,384,827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6,257,910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$49,043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WMDN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278,227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278,018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16455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731,931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731,931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39656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WMEA-TV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774,785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746,033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39648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WMEB-TV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511,761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494,574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$3,876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70537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WMEC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217,940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217,671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39649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WMED-TV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30,488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29,577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39662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WMEM-TV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71,700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69,981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41893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WMFD-TV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1,561,367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1,324,244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$10,378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WMFP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5,792,048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5,564,295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$43,607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61111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WMGM-TV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807,797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807,797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$6,331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43847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WMGT-TV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601,894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601,309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WMHT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1,622,458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1,472,559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$11,540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68545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WMLW-TV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1,822,297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1,822,217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$14,281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53819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WMOR-TV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5,386,517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5,386,358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$42,213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81503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WMOW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121,150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106,115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65944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WMPB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6,489,215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6,375,063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$49,961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43168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WMPN-TV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856,237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854,089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65942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7,945,122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7,905,666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$61,957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60827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WMPV-TV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1,395,611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1,395,036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WMSN-TV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1,579,847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1,567,031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$12,281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WMTJ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3,143,148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2,846,339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$18,537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1,548,616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1,545,459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$12,112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WMTW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1,940,292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1,658,816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$13,000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23935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WMUM-TV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862,740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859,204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73292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WMUR-TV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5,192,179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5,003,980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$39,216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42663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WMVS*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3,172,534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3,112,231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$24,391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42665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WMVT*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3,172,534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3,112,231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$24,391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81946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WMWC-TV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946,858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916,989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$7,186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56548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WMYA-TV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1,577,439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1,516,026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$11,881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74211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WMYD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5,750,989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5,750,873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$45,070</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20624</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WMYT-TV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4,432,745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4,301,117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$33,708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25544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WMYV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3,808,852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3,786,057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$29,671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WNAB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2,072,197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2,059,474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$16,140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WNAC-TV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7,310,183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6,959,064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$54,538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47535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WNBC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20,072,714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19,699,252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$154,383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83965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WNBW-DT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633,243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631,197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WNCF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667,683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665,950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50782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WNCN*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3,795,494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3,783,131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$29,648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57838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WNCT-TV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1,933,527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1,879,655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$14,731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41674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WNDU-TV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1,807,909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1,783,617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$13,978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28462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WNDY-TV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2,912,963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2,855,253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$22,377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71928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WNED-TV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1,364,333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1,349,085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$10,573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60931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WNEH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1,261,482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1,255,218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$9,837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41221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WNEM-TV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1,617,082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1,612,561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$12,638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49439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WNEO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3,151,964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3,105,545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$24,338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WNEP-TV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3,131,848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2,484,949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$19,475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18795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WNET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20,826,756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20,387,649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$159,778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51864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WNEU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3,471,700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3,354,177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$26,287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23942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WNGH-TV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3,715,479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3,482,438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$27,292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67802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WNIN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883,322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865,128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41671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WNIT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1,298,159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1,298,159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$10,174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48457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WNJB*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20,787,272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20,036,393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$157,025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48477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WNJN*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20,787,272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20,036,393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$157,025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48481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WNJS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7,211,292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7,176,711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$56,244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48465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WNJT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7,211,292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7,176,711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$56,244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WNJU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21,952,082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21,399,204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$167,706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WNJX-TV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1,585,248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1,383,235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61217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WNKY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385,619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383,911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71905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WNLO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1,538,108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1,502,969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$11,779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WNMU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181,730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177,763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WNNE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792,551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676,539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54280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WNOL-TV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1,632,389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1,632,389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71676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WNPB-TV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1,578,317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1,446,630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$11,337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62137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WNPI-DT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167,931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161,748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41398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2,260,463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2,227,570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$17,457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28468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2,216,131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2,209,662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$17,317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61009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WNSC-TV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2,072,821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2,067,933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$16,206</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61010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2,419,841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2,211,019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$17,328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16539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WNTZ-TV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344,704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343,849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7933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WNUV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9,098,694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8,906,508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$69,800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9999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WNVC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723,698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490,045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$3,840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10019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WNVT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1,582,094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1,581,725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$12,396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WNWO-TV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2,232,660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2,232,660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$17,497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136751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WNYA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1,540,430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1,406,032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$11,019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30303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WNYB*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1,785,269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1,756,096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$13,763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WNYE-TV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19,185,983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19,015,910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$149,028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34329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WNYI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1,627,542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1,338,811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$10,492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67784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WNYO-TV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1,539,525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1,499,591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$11,752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58725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WNYS-TV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1,690,696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1,445,505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$11,328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WNYT*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1,679,494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1,516,775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$11,887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22206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WNYW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20,075,874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19,753,060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$154,805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69618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WOAI-TV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2,525,811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2,513,887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$19,701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66804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WOAY-TV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569,330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416,995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41225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WOFL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3,941,895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3,938,046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$30,862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70651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WOGX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1,112,408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1,112,408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$8,718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WOI-DT*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1,173,757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1,170,432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$9,173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39746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WOIO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3,821,233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3,745,335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$29,352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71725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vertAlign w:val="superscript"/>
              </w:rPr>
            </w:pPr>
            <w:r w:rsidRPr="007D15C3">
              <w:rPr>
                <w:rFonts w:cs="Calibri"/>
              </w:rPr>
              <w:t>WOLE-DT*</w:t>
            </w:r>
            <w:r w:rsidRPr="007D15C3">
              <w:rPr>
                <w:rFonts w:cs="Calibri"/>
                <w:vertAlign w:val="superscript"/>
              </w:rPr>
              <w:t>1</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2,503,603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947,174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WOLF-TV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3,006,606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2,425,396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$19,008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60963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WOLO-TV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2,635,115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2,590,158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$20,299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36838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WOOD-TV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2,507,053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2,501,084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$19,601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67602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3,826,498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3,826,259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$29,986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64865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WORA-TV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2,733,629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2,586,149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WORO-DT*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3,243,301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3,022,553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b/>
                <w:bCs/>
              </w:rPr>
            </w:pPr>
            <w:r w:rsidRPr="007D15C3">
              <w:rPr>
                <w:rFonts w:cs="Calibri"/>
                <w:b/>
                <w:bCs/>
              </w:rPr>
              <w:t>$20,711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60357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WOST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1,193,381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1,027,391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66185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WOSU-TV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2,649,515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2,617,817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$20,516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WOTF-TV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3,288,537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3,288,535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$25,772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2,277,566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2,277,258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$17,847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50147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WOUB-TV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756,762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734,988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50141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WOUC-TV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1,713,515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1,649,853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$12,930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23342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WOWK-TV*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1,159,175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1,082,354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$8,482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65528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WOWT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1,380,979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1,377,287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$10,794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31570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WPAN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637,347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637,347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WPBA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5,217,180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5,200,958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$40,760</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51988</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WPBF</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3,190,307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3,186,405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$24,972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21253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WPBN-TV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411,213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394,778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62136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WPBS-DT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338,448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301,692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13456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WPBT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5,416,604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5,416,604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$42,450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WPCB-TV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2,934,614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2,800,516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$21,948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64033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WPCH-TV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5,948,778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5,874,163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$46,036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WPCT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195,270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194,869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$1,527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69880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3,393,365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3,188,441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$24,988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17012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WPDE-TV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1,764,645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1,762,758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$13,815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52527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WPEC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5,788,448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5,788,448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$45,364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84088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WPFO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1,329,690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1,209,873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$9,482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54728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WPGA-TV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559,495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559,004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60820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WPGD-TV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2,355,629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2,343,715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$18,368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73875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WPGH-TV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3,132,507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3,007,511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$23,570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WPGX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425,098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422,872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73879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WPHL-TV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10,421,216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10,246,856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$80,305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73881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WPIX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20,638,932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20,213,158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$158,411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53113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WPLG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5,587,129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5,587,129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$43,786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11906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WPMI-TV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1,467,869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1,467,462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$11,500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WPMT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2,412,561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2,191,501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$17,175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18798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1,132,868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1,132,699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WPNT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3,130,920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3,010,828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$23,596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28480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10,613,847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 xml:space="preserve">          9,474,797</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$74,254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51984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8,206,117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7,995,941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$62,664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47404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WPRI-TV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7,254,721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6,990,606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$54,785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51991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WPSD-TV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883,812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878,287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$6,883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12499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WPSG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10,232,988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9,925,334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$77,785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66219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WPSU-TV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1,055,133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868,013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$6,803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WPTA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1,099,180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1,099,180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25067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WPTD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3,423,417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3,415,232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$26,765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25065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WPTO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2,912,159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2,893,581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$22,677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59443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WPTV-TV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5,840,102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5,840,102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$45,769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57476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WPTZ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792,551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676,539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$5,302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WPVI-TV*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11,491,587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11,302,701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$88,579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48772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WPWR-TV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9,957,301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9,954,828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$78,016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51969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6,587,205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6,458,510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$50,615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71236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1,561,014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1,561,014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$12,234</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5800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WPXD-TV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5,133,364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5,133,257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$40,229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37104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3,163,550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3,160,601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$24,770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48406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2,577,848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2,512,150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$19,688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1,495,968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1,423,805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$11,158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3,300,896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3,197,864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$25,062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2325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2,358,750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2,294,833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$17,985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52628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1,801,997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1,577,806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$12,365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21729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1,566,829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1,566,829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$12,279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48608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5,153,621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5,153,621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$40,389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20,465,198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20,092,448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$157,465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27290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5,565,072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5,565,072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$43,613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50063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WPXQ-TV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3,281,532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3,150,875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$24,693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70251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1,375,640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1,200,331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$9,407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40861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1,152,104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1,145,695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$8,979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53065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760,491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735,051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37971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690,613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690,613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67077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1,905,128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1,905,128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$14,930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74091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8,091,469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8,044,165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$63,042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21726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WPXX-TV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1,562,675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1,560,834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$12,232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WQAD-TV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1,079,594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1,066,743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$8,360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65130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1,319,392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1,249,533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$9,793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71561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WQEC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183,969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183,690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41315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WQED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3,529,305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3,426,684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$26,855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3255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WQHA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1,052,107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879,558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WQHS-DT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3,996,567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3,952,672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$30,977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53716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WQLN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602,212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571,790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52075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WQMY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410,269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254,586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64550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WQOW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369,066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358,576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WQPT-TV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595,685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595,437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64690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1,644,283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1,212,587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$9,503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52408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WQRF-TV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1,326,695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1,305,762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$10,233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WQTO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2,864,201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1,923,424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$12,526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WRAL-TV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3,643,511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3,639,448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$28,522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10133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WRAY-TV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4,021,948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4,004,902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$31,386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64611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WRAZ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3,605,228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3,601,029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$28,221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136749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WRBJ-TV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1,030,831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1,028,010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$8,057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3359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WRBL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1,493,140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1,461,459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$11,453</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57221</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WRBU</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2,737,188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2,734,806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$21,433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54940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WRBW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4,025,123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4,023,804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$31,535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59137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WRCB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1,587,742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1,363,582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$10,686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8,188,601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8,146,696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$63,846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54963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WRDC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3,624,288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3,620,526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$28,374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55454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WRDQ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3,931,023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3,931,023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$30,807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WRDW-TV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1,564,584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1,533,682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$12,019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66174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WREG-TV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1,642,307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1,638,585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WRET-TV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2,419,841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2,211,019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$17,328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WREX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2,303,027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2,047,951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$16,050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54443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WRFB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2,674,527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2,377,106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$15,481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WRGB*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1,757,575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1,645,483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$12,896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WRGT-TV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3,252,046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3,219,309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$25,230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74416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WRIC-TV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1,996,265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1,939,664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$15,201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WRJA-TV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1,127,088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1,119,936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$8,777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WRLH-TV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2,017,508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1,959,111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$15,354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WRLK-TV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1,229,094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1,228,616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$9,629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43870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WRLM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3,919,602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3,892,146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$30,503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WRNN-TV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19,853,836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19,615,370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$153,726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WROC-TV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1,203,412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1,185,203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$9,288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159007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110,009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109,937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20590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2,637,949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2,634,141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$20,644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62009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WRSP-TV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904,190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902,682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$7,074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40877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2,919,683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2,895,164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$22,689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15320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WRUA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2,905,193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2,552,782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$16,625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71580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WRXY-TV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1,633,655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1,633,655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48662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WSAV-TV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1,000,315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1,000,309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$7,839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WSAW-TV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652,442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646,386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$5,066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36912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WSAZ-TV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1,184,629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1,119,859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$8,776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56092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WSBE-TV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4,627,829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4,531,067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$35,510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WSBK-TV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7,161,406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7,095,363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$55,606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72053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WSBS-TV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42,952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42,952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WSBT-TV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1,691,194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1,682,136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$13,183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23960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5,893,810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5,818,626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$45,601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69446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WSCG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867,516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867,490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64971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WSCV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5,465,435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5,465,435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$42,833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70536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WSEC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522,349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521,730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$4,089</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49711</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WSEE-TV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613,176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595,476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21258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WSES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1,548,117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1,513,982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$11,865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73988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WSET-TV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1,569,722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1,323,180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$10,370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WSFA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1,168,636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1,133,724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11118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WSFJ-TV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1,675,987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1,667,150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$13,065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WSFL-TV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5,344,129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5,344,129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$41,882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72871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WSFX-TV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928,247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928,247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$7,275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73999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WSIL-TV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672,560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669,176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$5,244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4297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WSIU-TV*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1,019,939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 xml:space="preserve">            937,070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$7,344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74007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WSJV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1,522,499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1,522,499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$11,932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78908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WSKA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546,588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431,354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$3,381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74034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WSKG-TV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892,439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624,282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76324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WSKY-TV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1,934,585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1,934,519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$15,161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57840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WSLS-TV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1,447,286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1,277,753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$10,014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21737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WSMH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2,339,224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2,327,660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$18,242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41232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WSMV-TV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2,447,769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2,404,766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$18,846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70119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WSNS-TV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9,914,395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9,913,272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$77,690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74070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WSOC-TV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3,706,808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3,638,832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$28,518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66391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WSPA-TV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3,393,072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3,237,713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$25,374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64352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1,298,295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1,174,763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$9,207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17611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WSRE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1,355,168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1,354,307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$10,614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63867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WSST-TV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331,907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331,601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60341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WSTE-DT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3,723,967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3,631,985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$23,653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21252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WSTM-TV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1,458,931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1,382,417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$10,834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11204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WSTR-TV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3,252,460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3,243,267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$25,417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19776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vertAlign w:val="superscript"/>
              </w:rPr>
            </w:pPr>
            <w:r w:rsidRPr="007D15C3">
              <w:rPr>
                <w:rFonts w:cs="Calibri"/>
              </w:rPr>
              <w:t>WSUR-DT*</w:t>
            </w:r>
            <w:r w:rsidRPr="007D15C3">
              <w:rPr>
                <w:rFonts w:cs="Calibri"/>
                <w:vertAlign w:val="superscript"/>
              </w:rPr>
              <w:t>2</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3,714,790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947,174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WSVI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50,601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50,601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63840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WSVN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5,588,748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5,588,748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$43,799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73374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WSWB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1,530,002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1,102,316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28155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WSWG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381,004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380,910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71680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WSWP-TV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858,726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659,416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$5,168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74094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WSYM-TV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1,516,677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1,516,390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$11,884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73113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WSYR-TV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1,329,933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1,243,035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$9,742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40758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WSYT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1,878,638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1,640,666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56549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WSYX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2,635,937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2,584,043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$20,251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65681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WTAE-TV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2,995,755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2,860,979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$22,421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23341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WTAJ-TV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1,187,718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948,598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$7,434</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4685</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WTAP-TV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472,761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451,414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WTAT-TV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1,153,279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1,153,279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67993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WTBY-TV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15,858,470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15,766,438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$123,562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29715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WTCE-TV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2,620,599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2,620,599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$20,538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65667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WTCI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1,204,613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1,099,395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67786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WTCT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584,661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584,006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28954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WTCV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3,254,481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3,008,658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$19,594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74422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WTEN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1,902,431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1,613,747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$12,647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9881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WTGL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3,772,425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3,772,425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$29,564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27245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WTGS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967,792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967,630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$7,583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70655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WTHI-TV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928,934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886,846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$6,950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70162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WTHR*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2,949,339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2,901,633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$22,740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WTIC-TV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5,318,753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4,707,697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$36,894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26681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WTIN-TV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3,714,547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3,487,634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66536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WTIU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1,131,685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1,131,161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$8,865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WTJP-TV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1,947,743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1,907,300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$14,948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4593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WTJR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334,527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334,221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70287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WTJX-TV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135,017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121,498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47401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WTKR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2,142,272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2,142,084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$16,788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82735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WTLF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349,696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349,691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23486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WTLH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1,038,086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1,038,086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$8,135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67781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WTLJ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1,622,365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1,621,227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65046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WTLV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1,757,600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1,739,021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$13,629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WTLW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1,646,714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1,644,206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74098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WTMJ-TV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3,010,678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2,995,959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$23,479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74109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WTNH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7,845,782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7,332,431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$57,464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19200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WTNZ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1,699,427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1,513,754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$11,863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WTOC-TV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993,098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992,658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$7,779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WTOG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4,796,964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4,796,188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$37,588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4686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WTOK-TV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410,134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404,555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WTOL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4,184,020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4,174,198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$32,713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21254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WTOM-TV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83,379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81,092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WTOV-TV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3,892,886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3,619,899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$28,369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82574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WTPC-TV*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2,049,246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2,042,851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$16,010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86496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255,972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255,791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WTRF-TV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2,941,511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2,565,375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$20,105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67798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WTSF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593,934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552,040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$4,326</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11290</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WTSP*</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5,511,840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5,494,925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$43,064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WTTA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5,450,070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5,446,811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$42,687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WTTE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2,636,341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2,591,715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$20,311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22207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WTTG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8,070,491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8,015,328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$62,816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56526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WTTK</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2,817,698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2,794,018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$21,897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WTTO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1,817,151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1,786,516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$14,001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56523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2,362,145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2,359,408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$18,491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10802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WTTW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9,729,982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9,729,634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$76,251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717,035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709,726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22590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1,579,628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1,366,976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$10,713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8617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WTVD*</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3,793,909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3,778,802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$29,614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55305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5,156,905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5,152,997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$40,384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36504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2,416,110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2,397,634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$18,790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WTVG</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4,274,274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4,263,894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$33,416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WTVH</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1,350,223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1,275,171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$9,994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10645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2,853,540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2,824,869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$22,138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63154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5,458,451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5,458,451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$42,778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1,498,667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1,405,957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$11,018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72945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1,409,708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1,398,825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$10,963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28311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679,017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678,672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$5,319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51597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WTVQ-DT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989,180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982,298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$7,698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57832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1,808,516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1,802,164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$14,124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16817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WTVS</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5,511,639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5,511,255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$43,192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68569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5,475,385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5,462,416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$42,809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3661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791,430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789,720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$6,189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35575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3,157,609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3,157,609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$24,746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974,532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971,173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$7,611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40759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WTVZ-TV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2,156,534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2,156,346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$16,899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66908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WTWC-TV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1,032,942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1,032,942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$8,095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20426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WTWO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737,757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731,769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81692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WTWV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1,527,511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1,526,625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$11,964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51568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WTXF-TV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10,784,256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10,492,549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$82,230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41065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WTXL-TV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1,054,514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1,054,322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$8,263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8532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WUAB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3,821,233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3,745,335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$29,352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12855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WUCF-TV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3,772,425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3,772,425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$29,564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36395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3,664,480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3,657,236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$28,662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69440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WUFT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1,372,142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1,372,142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$10,753</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413</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WUHF</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1,152,580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1,147,972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$8,997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8156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WUJA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2,638,361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2,379,555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$15,497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69080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WUNC-TV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4,021,948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4,004,902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$31,386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69292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WUND-TV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1,506,640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1,506,640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$11,808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69114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WUNE-TV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1,931,274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1,527,025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$11,967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69300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2,447,306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2,066,422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$16,195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69124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WUNG-TV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3,267,425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3,253,352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$25,497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7,209,571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7,084,349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$55,520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69332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1,081,274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1,081,274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$8,474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69149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WUNK-TV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2,018,916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2,013,516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$15,780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69360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2,614,031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2,545,330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$19,948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69444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1,029,109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1,029,109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$8,065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69397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1,018,414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1,009,833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69416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1,120,792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1,117,140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$8,755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83822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WUNW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1,109,237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570,072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$4,468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WUPA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5,946,477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5,865,122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$45,965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WUPL</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1,632,100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1,632,100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$12,791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10897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WUPV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1,933,664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1,914,643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$15,005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19190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WUPW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2,074,890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2,073,548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$16,250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23128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1,102,435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1,089,118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$8,535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65593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WUSA*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8,750,706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8,446,074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$66,192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WUSI-TV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304,747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304,747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60552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WUTB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8,509,757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8,339,882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$65,360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30577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WUTF-TV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8,557,497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8,242,833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$64,599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57837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WUTR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526,114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481,957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$3,777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1,405,230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1,380,902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$10,822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16517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WUVC-DT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3,768,817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3,748,841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$29,380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48813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WUVG-DT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6,029,495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5,965,975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$46,755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3072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WUVN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1,233,568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1,157,140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$9,069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60560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WUVP-DT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10,421,216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10,246,856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$80,305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WUXP-TV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2,316,872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2,305,293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$18,067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WVAH-TV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1,373,707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1,300,402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$10,191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23947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WVAN-TV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979,764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978,920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65387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WVBT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1,848,277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1,848,277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$14,485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72342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WVCY-TV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2,543,642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2,542,235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$19,923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WVEA-TV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4,283,915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4,283,854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$33,573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WVEC*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2,096,709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2,090,875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$16,386</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5802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WVEN-TV</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3,607,540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3,607,540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$28,272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61573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WVEO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1,153,382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916,310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69946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WVER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760,072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579,703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10976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WVFX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731,193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609,763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47929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WVIA-TV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3,131,848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2,484,949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$19,475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3667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WVII-TV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368,022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346,874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70309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WVIR-TV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1,944,353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1,801,429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$14,118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WVIT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5,846,093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5,357,639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$41,988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18753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WVIZ</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3,695,223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3,689,173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$28,912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70021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WVLA-TV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1,897,179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1,897,007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$14,867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81750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WVLR</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1,412,728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1,292,471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$10,129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35908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WVLT-TV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1,888,607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1,633,633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$12,803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74169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WVNS-TV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911,630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606,820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$4,756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11259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WVNY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721,176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620,257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$4,861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29000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WVOZ-TV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1,132,932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879,902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$4,706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71657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WVPB-TV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780,268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752,747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$5,899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60111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WVPT*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756,714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632,580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70491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4,147,298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4,114,920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$32,249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66378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WVPY*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756,202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632,155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$4,954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67190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WVSN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2,948,832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2,572,001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$16,750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69943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WVTA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760,072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579,703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$4,543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69940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WVTB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454,244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258,422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74173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WVTM-TV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1,876,825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1,790,198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$14,030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2,999,694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2,990,991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$23,440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77496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WVUA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2,209,921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2,160,101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$16,929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WVUE-DT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1,658,125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1,658,125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$12,995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4329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WVUT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273,293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273,219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$2,141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74176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WVVA</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1,035,752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693,707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$5,437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3113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WVXF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85,191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78,556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12033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WWAY</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1,206,281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1,206,281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$9,454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30833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WWBT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1,911,854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1,872,305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$14,673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20295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WWCP-TV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2,811,278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2,548,691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$19,974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24812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1,390,985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1,212,308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$9,501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23671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WWDP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5,792,048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5,564,295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$43,607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21158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WWHO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2,879,726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2,805,564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$21,987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14682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WWJE-DT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7,209,571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7,084,349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$55,520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72123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WWJ-TV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5,374,064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5,373,712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$42,114</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166512</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WWJX</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518,866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518,846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$4,066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6868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WWLP</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3,838,272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3,077,800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$24,121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74192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1,756,442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1,756,442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$13,765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3133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WWMB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1,460,406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1,458,374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$11,429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74195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WWMT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2,460,942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2,455,432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$19,243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68851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WWNY-TV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365,677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341,029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$2,673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74197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WWOR-TV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19,853,836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19,615,370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$153,726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65943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WWPB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2,015,352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1,691,003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$13,252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23264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3,892,904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3,196,922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$25,054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68547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WWRS-TV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2,235,958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2,212,123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$17,336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61251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WWSB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3,340,133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3,340,133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$26,177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23142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WWSI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11,269,831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11,098,540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$86,979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16747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WWTI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196,531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190,097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$1,490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998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WWTO-TV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5,541,816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5,541,816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$43,431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26994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1,034,174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1,022,322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$8,012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84214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WWTW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1,527,511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1,526,625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$11,964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26993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WWUP-TV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116,638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110,592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23338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WXBU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4,030,693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3,538,096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$27,728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61504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1,749,847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1,749,847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$13,714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61084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WXEL-TV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5,416,604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5,416,604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$42,450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60539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WXFT-DT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10,174,464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10,170,757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$79,708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23929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WXGA-TV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608,494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606,801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51163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WXIA-TV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6,179,680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6,035,828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$47,303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53921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WXII-TV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3,630,551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3,299,114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$25,855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146</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WXIN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2,721,639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2,699,366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$21,155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39738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WXIX-TV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2,825,570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2,797,385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$21,923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WXLV-TV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4,362,761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4,333,737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$33,963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68433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WXMI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1,988,970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1,988,589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$15,585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64549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WXOW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425,378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413,264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$3,239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6601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4,566,037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4,564,088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$35,769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74215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WXTV-DT</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19,992,096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19,643,518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$153,946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12472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WXTX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699,095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694,837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11970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WXXA-TV*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1,680,670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1,546,103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$12,117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57274</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WXXI-TV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1,178,402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1,163,073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$9,115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53517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WXXV-TV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1,201,440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1,199,901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$9,404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10267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WXYZ-TV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5,591,434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5,590,748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$43,815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12279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WYCC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9,729,982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9,729,634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$76,251</w:t>
            </w:r>
          </w:p>
        </w:tc>
      </w:tr>
      <w:tr w:rsidTr="00274E20">
        <w:tblPrEx>
          <w:tblW w:w="8820" w:type="dxa"/>
          <w:tblInd w:w="-5" w:type="dxa"/>
          <w:tblLook w:val="04A0"/>
        </w:tblPrEx>
        <w:trPr>
          <w:trHeight w:val="315"/>
        </w:trPr>
        <w:tc>
          <w:tcPr>
            <w:tcW w:w="135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77515</w:t>
            </w:r>
          </w:p>
        </w:tc>
        <w:tc>
          <w:tcPr>
            <w:tcW w:w="1800" w:type="dxa"/>
            <w:tcBorders>
              <w:top w:val="single" w:sz="4" w:space="0" w:color="auto"/>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WYCI</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35,873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26,508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70149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WYCW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3,393,072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3,237,713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$25,374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62219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WYDC</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393,843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262,013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$2,053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18783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WYDN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2,577,848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2,512,150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$19,688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35582</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WYDO</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1,097,745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1,097,745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$8,603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25090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WYES-TV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1,872,245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1,872,059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$14,671</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53905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WYFF</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2,626,363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2,416,551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$18,939</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49803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WYIN</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6,956,141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6,956,141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$54,515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24915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WYMT-TV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1,180,276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863,881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$6,770</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17010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WYOU*</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2,879,196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2,221,179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$17,407</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77789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WYOW</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91,233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90,799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$712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13933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1,529,500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1,413,583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$11,078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4693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4,898,622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4,535,576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$35,545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5875</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WYZZ-TV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1,042,140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1,036,721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$8,125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15507</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WZBJ</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1,606,844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1,439,716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$11,283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28119</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WZDX</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1,557,490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1,452,851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$11,386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70493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WZME</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5,996,408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5,544,708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$43,454</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81448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WZMQ</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73,423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72,945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$572</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71871</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WZPX-TV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2,094,029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2,093,653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$16,408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136750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WZRB</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952,279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951,693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$7,458</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418</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WZTV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2,311,143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2,299,730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$18,023</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83270</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WZVI</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76,992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75,863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$595</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19183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WZVN-TV</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1,916,098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1,916,098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$15,016</w:t>
            </w:r>
          </w:p>
        </w:tc>
      </w:tr>
      <w:tr w:rsidTr="00274E20">
        <w:tblPrEx>
          <w:tblW w:w="8820" w:type="dxa"/>
          <w:tblInd w:w="-5" w:type="dxa"/>
          <w:tblLook w:val="04A0"/>
        </w:tblPrEx>
        <w:trPr>
          <w:trHeight w:val="315"/>
        </w:trPr>
        <w:tc>
          <w:tcPr>
            <w:tcW w:w="1350" w:type="dxa"/>
            <w:tcBorders>
              <w:top w:val="nil"/>
              <w:left w:val="single" w:sz="4" w:space="0" w:color="auto"/>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49713</w:t>
            </w:r>
          </w:p>
        </w:tc>
        <w:tc>
          <w:tcPr>
            <w:tcW w:w="1800" w:type="dxa"/>
            <w:tcBorders>
              <w:top w:val="nil"/>
              <w:left w:val="nil"/>
              <w:bottom w:val="single" w:sz="4" w:space="0" w:color="auto"/>
              <w:right w:val="single" w:sz="4" w:space="0" w:color="auto"/>
            </w:tcBorders>
            <w:shd w:val="clear" w:color="FFFFFF" w:fill="FFFFFF"/>
            <w:noWrap/>
            <w:vAlign w:val="bottom"/>
            <w:hideMark/>
          </w:tcPr>
          <w:p w:rsidR="007D15C3" w:rsidRPr="007D15C3" w:rsidP="00274E20">
            <w:pPr>
              <w:jc w:val="center"/>
              <w:rPr>
                <w:rFonts w:cs="Calibri"/>
              </w:rPr>
            </w:pPr>
            <w:r w:rsidRPr="007D15C3">
              <w:rPr>
                <w:rFonts w:cs="Calibri"/>
              </w:rPr>
              <w:t>WZZM</w:t>
            </w:r>
          </w:p>
        </w:tc>
        <w:tc>
          <w:tcPr>
            <w:tcW w:w="198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1,574,546 </w:t>
            </w:r>
          </w:p>
        </w:tc>
        <w:tc>
          <w:tcPr>
            <w:tcW w:w="180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rPr>
                <w:rFonts w:cs="Calibri"/>
              </w:rPr>
            </w:pPr>
            <w:r w:rsidRPr="007D15C3">
              <w:rPr>
                <w:rFonts w:cs="Calibri"/>
              </w:rPr>
              <w:t xml:space="preserve">            1,548,835 </w:t>
            </w:r>
          </w:p>
        </w:tc>
        <w:tc>
          <w:tcPr>
            <w:tcW w:w="1890" w:type="dxa"/>
            <w:tcBorders>
              <w:top w:val="nil"/>
              <w:left w:val="nil"/>
              <w:bottom w:val="single" w:sz="4" w:space="0" w:color="auto"/>
              <w:right w:val="single" w:sz="4" w:space="0" w:color="auto"/>
            </w:tcBorders>
            <w:shd w:val="clear" w:color="auto" w:fill="auto"/>
            <w:noWrap/>
            <w:vAlign w:val="bottom"/>
            <w:hideMark/>
          </w:tcPr>
          <w:p w:rsidR="007D15C3" w:rsidRPr="007D15C3" w:rsidP="00274E20">
            <w:pPr>
              <w:jc w:val="right"/>
              <w:rPr>
                <w:rFonts w:cs="Calibri"/>
              </w:rPr>
            </w:pPr>
            <w:r w:rsidRPr="007D15C3">
              <w:rPr>
                <w:rFonts w:cs="Calibri"/>
              </w:rPr>
              <w:t>$12,138</w:t>
            </w:r>
          </w:p>
        </w:tc>
      </w:tr>
    </w:tbl>
    <w:p w:rsidR="007D15C3" w:rsidRPr="007D15C3" w:rsidP="007D15C3">
      <w:pPr>
        <w:rPr>
          <w:rFonts w:cs="Calibri"/>
        </w:rPr>
      </w:pPr>
    </w:p>
    <w:p w:rsidR="007D15C3" w:rsidRPr="007D15C3" w:rsidP="007D15C3">
      <w:pPr>
        <w:rPr>
          <w:rFonts w:cs="Calibri"/>
        </w:rPr>
      </w:pPr>
      <w:r w:rsidRPr="007D15C3">
        <w:rPr>
          <w:rFonts w:cs="Calibri"/>
        </w:rPr>
        <w:t xml:space="preserve">Note:  The list of call signs above include all feeable and exempt entities.  It is the responsibility of licensees to inform the Commission of any status changes.  As stated in the </w:t>
      </w:r>
      <w:r w:rsidRPr="007D15C3">
        <w:rPr>
          <w:rFonts w:cs="Calibri"/>
          <w:i/>
          <w:iCs/>
        </w:rPr>
        <w:t>FY 2020</w:t>
      </w:r>
      <w:r w:rsidRPr="007D15C3">
        <w:rPr>
          <w:rFonts w:cs="Calibri"/>
        </w:rPr>
        <w:t xml:space="preserve"> </w:t>
      </w:r>
      <w:r w:rsidRPr="007D15C3">
        <w:rPr>
          <w:rFonts w:cs="Calibri"/>
          <w:i/>
          <w:iCs/>
        </w:rPr>
        <w:t>Report and Order and Notice of Proposed Rulemaking</w:t>
      </w:r>
      <w:r w:rsidRPr="007D15C3">
        <w:rPr>
          <w:rFonts w:cs="Calibri"/>
        </w:rPr>
        <w:t xml:space="preserve">, the fee of full-power television stations in Puerto Rico have been adjusted to reflect losses in population on the island since the 2010 U.S. Census. </w:t>
      </w:r>
    </w:p>
    <w:p w:rsidR="007D15C3" w:rsidP="007D15C3">
      <w:r w:rsidRPr="007D15C3">
        <w:rPr>
          <w:rFonts w:cs="Calibri"/>
        </w:rPr>
        <w:t xml:space="preserve">* The call signs with an (*) denote VHF stations </w:t>
      </w:r>
      <w:r>
        <w:t>licensed with a power level that exceeds the maximum based on the maximum power level specified for channels 2-6 in 73.622(f)(6) and for channels 7-13 in 73.622(f)(7).  The population counts have been adjusted accordingly.</w:t>
      </w:r>
    </w:p>
    <w:p w:rsidR="007D15C3" w:rsidP="007D15C3"/>
    <w:p w:rsidR="007D15C3" w:rsidRPr="001C4125" w:rsidP="007D15C3">
      <w:r>
        <w:rPr>
          <w:vertAlign w:val="superscript"/>
        </w:rPr>
        <w:t>1</w:t>
      </w:r>
      <w:r>
        <w:t xml:space="preserve"> Call signs WOLE and WLII are stations in Puerto Rico that are linked together with a total fee of $24,300. </w:t>
      </w:r>
    </w:p>
    <w:p w:rsidR="007D15C3" w:rsidRPr="007D15C3" w:rsidP="007D15C3">
      <w:pPr>
        <w:rPr>
          <w:rFonts w:cs="Calibri"/>
        </w:rPr>
      </w:pPr>
      <w:r w:rsidRPr="007D15C3">
        <w:rPr>
          <w:rFonts w:cs="Calibri"/>
          <w:vertAlign w:val="superscript"/>
        </w:rPr>
        <w:t>2</w:t>
      </w:r>
      <w:r w:rsidRPr="007D15C3">
        <w:rPr>
          <w:rFonts w:cs="Calibri"/>
        </w:rPr>
        <w:t xml:space="preserve"> </w:t>
      </w:r>
      <w:r>
        <w:t>Call signs WSUR and WLII are stations in Puerto Rico that are linked together</w:t>
      </w:r>
      <w:r w:rsidRPr="00004A61">
        <w:t xml:space="preserve"> </w:t>
      </w:r>
      <w:r>
        <w:t>with a total fee of $24,300.</w:t>
      </w:r>
    </w:p>
    <w:p w:rsidR="007D15C3" w:rsidRPr="003F6DAA" w:rsidP="007D15C3"/>
    <w:p w:rsidR="007D15C3" w:rsidP="007D15C3">
      <w:pPr>
        <w:widowControl/>
        <w:jc w:val="center"/>
      </w:pPr>
    </w:p>
    <w:p w:rsidR="007D15C3" w:rsidP="007D15C3">
      <w:pPr>
        <w:widowControl/>
        <w:spacing w:after="160" w:line="259" w:lineRule="auto"/>
      </w:pPr>
    </w:p>
    <w:p w:rsidR="007D15C3" w:rsidP="007D15C3">
      <w:pPr>
        <w:widowControl/>
        <w:rPr>
          <w:b/>
          <w:szCs w:val="22"/>
        </w:rPr>
        <w:sectPr w:rsidSect="006D498C">
          <w:footnotePr>
            <w:numRestart w:val="eachSect"/>
          </w:footnotePr>
          <w:endnotePr>
            <w:numFmt w:val="decimal"/>
          </w:endnotePr>
          <w:pgSz w:w="12240" w:h="15840"/>
          <w:pgMar w:top="1440" w:right="1440" w:bottom="720" w:left="1440" w:header="720" w:footer="720" w:gutter="0"/>
          <w:cols w:space="720"/>
          <w:noEndnote/>
          <w:titlePg/>
        </w:sectPr>
      </w:pPr>
    </w:p>
    <w:p w:rsidR="007D15C3" w:rsidRPr="005F6BC2" w:rsidP="007D15C3">
      <w:pPr>
        <w:tabs>
          <w:tab w:val="left" w:pos="3629"/>
        </w:tabs>
        <w:jc w:val="center"/>
        <w:rPr>
          <w:b/>
          <w:szCs w:val="22"/>
        </w:rPr>
      </w:pPr>
      <w:r w:rsidRPr="005F6BC2">
        <w:rPr>
          <w:b/>
          <w:szCs w:val="22"/>
        </w:rPr>
        <w:t xml:space="preserve">APPENDIX </w:t>
      </w:r>
      <w:r>
        <w:rPr>
          <w:b/>
          <w:szCs w:val="22"/>
        </w:rPr>
        <w:t>H</w:t>
      </w:r>
    </w:p>
    <w:p w:rsidR="007D15C3" w:rsidRPr="005F6BC2" w:rsidP="007D15C3">
      <w:pPr>
        <w:tabs>
          <w:tab w:val="left" w:pos="3629"/>
        </w:tabs>
        <w:jc w:val="center"/>
        <w:rPr>
          <w:b/>
          <w:szCs w:val="22"/>
        </w:rPr>
      </w:pPr>
    </w:p>
    <w:p w:rsidR="007D15C3" w:rsidRPr="005F6BC2" w:rsidP="007D15C3">
      <w:pPr>
        <w:tabs>
          <w:tab w:val="left" w:pos="3629"/>
        </w:tabs>
        <w:jc w:val="center"/>
        <w:rPr>
          <w:b/>
          <w:szCs w:val="22"/>
        </w:rPr>
      </w:pPr>
      <w:r>
        <w:rPr>
          <w:b/>
          <w:szCs w:val="22"/>
        </w:rPr>
        <w:t xml:space="preserve">FY 2019 </w:t>
      </w:r>
      <w:r w:rsidRPr="005F6BC2">
        <w:rPr>
          <w:b/>
          <w:szCs w:val="22"/>
        </w:rPr>
        <w:t>Regulatory Fees</w:t>
      </w:r>
    </w:p>
    <w:p w:rsidR="007D15C3" w:rsidRPr="005F6BC2" w:rsidP="007D15C3">
      <w:pPr>
        <w:tabs>
          <w:tab w:val="left" w:pos="3629"/>
        </w:tabs>
        <w:jc w:val="center"/>
        <w:rPr>
          <w:b/>
          <w:szCs w:val="22"/>
        </w:rPr>
      </w:pPr>
    </w:p>
    <w:p w:rsidR="007D15C3" w:rsidRPr="005F6BC2" w:rsidP="007D15C3">
      <w:pPr>
        <w:tabs>
          <w:tab w:val="center" w:pos="5040"/>
        </w:tabs>
        <w:suppressAutoHyphens/>
        <w:outlineLvl w:val="0"/>
        <w:rPr>
          <w:szCs w:val="22"/>
        </w:rPr>
      </w:pPr>
      <w:r w:rsidRPr="005F6BC2">
        <w:rPr>
          <w:szCs w:val="22"/>
        </w:rPr>
        <w:t>Regulatory fees for the categories shaded in gray are collected by the Commission in advance to cover the term of the license and are submitted at the time the application is filed.</w:t>
      </w: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5F6BC2">
        <w:rPr>
          <w:szCs w:val="22"/>
        </w:rPr>
        <w:tab/>
      </w:r>
      <w:r w:rsidRPr="005F6BC2">
        <w:rPr>
          <w:szCs w:val="22"/>
        </w:rPr>
        <w:tab/>
      </w:r>
      <w:r w:rsidRPr="005F6BC2">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47"/>
      </w:tblGrid>
      <w:tr w:rsidTr="00274E20">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5F6BC2">
              <w:rPr>
                <w:szCs w:val="22"/>
              </w:rPr>
              <w:instrText xml:space="preserve">PRIVATE </w:instrText>
            </w:r>
            <w:r>
              <w:rPr>
                <w:szCs w:val="22"/>
              </w:rPr>
              <w:fldChar w:fldCharType="end"/>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5F6BC2">
              <w:rPr>
                <w:b/>
                <w:szCs w:val="22"/>
              </w:rPr>
              <w:t>Fee Category</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47" w:type="dxa"/>
            <w:tcBorders>
              <w:top w:val="double" w:sz="4" w:space="0" w:color="auto"/>
              <w:bottom w:val="single" w:sz="6"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5F6BC2">
              <w:rPr>
                <w:b/>
                <w:szCs w:val="22"/>
              </w:rPr>
              <w:t>Annual Regulatory Fee</w:t>
            </w:r>
          </w:p>
          <w:p w:rsidR="007D15C3" w:rsidRPr="005F6BC2" w:rsidP="00274E20">
            <w:pPr>
              <w:tabs>
                <w:tab w:val="center" w:pos="850"/>
              </w:tabs>
              <w:suppressAutoHyphens/>
              <w:spacing w:after="54"/>
              <w:jc w:val="center"/>
              <w:rPr>
                <w:b/>
                <w:szCs w:val="22"/>
              </w:rPr>
            </w:pPr>
            <w:r w:rsidRPr="005F6BC2">
              <w:rPr>
                <w:b/>
                <w:szCs w:val="22"/>
              </w:rPr>
              <w:t>(U.S. $s)</w:t>
            </w:r>
          </w:p>
        </w:tc>
      </w:tr>
      <w:tr w:rsidTr="00274E20">
        <w:tblPrEx>
          <w:tblW w:w="8587"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5F6BC2">
              <w:rPr>
                <w:szCs w:val="22"/>
              </w:rPr>
              <w:t>PLMRS (per license) (Exclusive Use) (47 CFR part 90)</w:t>
            </w:r>
          </w:p>
        </w:tc>
        <w:tc>
          <w:tcPr>
            <w:tcW w:w="1747" w:type="dxa"/>
            <w:tcBorders>
              <w:top w:val="single" w:sz="6" w:space="0" w:color="auto"/>
            </w:tcBorders>
            <w:shd w:val="clear" w:color="auto" w:fill="C0C0C0"/>
          </w:tcPr>
          <w:p w:rsidR="007D15C3" w:rsidRPr="005F6BC2" w:rsidP="00274E20">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5F6BC2">
              <w:rPr>
                <w:szCs w:val="22"/>
              </w:rPr>
              <w:t>Microwave (per license) (47 CFR part 101)</w:t>
            </w:r>
            <w:r w:rsidRPr="005F6BC2">
              <w:rPr>
                <w:szCs w:val="22"/>
              </w:rPr>
              <w:tab/>
            </w:r>
          </w:p>
        </w:tc>
        <w:tc>
          <w:tcPr>
            <w:tcW w:w="1747" w:type="dxa"/>
            <w:shd w:val="clear" w:color="auto" w:fill="C0C0C0"/>
          </w:tcPr>
          <w:p w:rsidR="007D15C3" w:rsidRPr="005F6BC2" w:rsidP="00274E20">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5F6BC2">
              <w:rPr>
                <w:szCs w:val="22"/>
              </w:rPr>
              <w:t>25</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s>
              <w:suppressAutoHyphens/>
              <w:spacing w:before="90" w:after="54"/>
              <w:rPr>
                <w:szCs w:val="22"/>
              </w:rPr>
            </w:pPr>
            <w:r w:rsidRPr="005F6BC2">
              <w:rPr>
                <w:szCs w:val="22"/>
              </w:rPr>
              <w:t>Marine (Ship) (per station) (47 CFR part 80)</w:t>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15</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s>
              <w:suppressAutoHyphens/>
              <w:spacing w:before="90" w:after="54"/>
              <w:rPr>
                <w:szCs w:val="22"/>
              </w:rPr>
            </w:pPr>
            <w:r w:rsidRPr="005F6BC2">
              <w:rPr>
                <w:szCs w:val="22"/>
              </w:rPr>
              <w:t>Marine (Coast) (per license) (47 CFR part 80)</w:t>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40</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s>
              <w:suppressAutoHyphens/>
              <w:spacing w:before="90" w:after="54"/>
              <w:rPr>
                <w:szCs w:val="22"/>
              </w:rPr>
            </w:pPr>
            <w:r w:rsidRPr="005F6BC2">
              <w:rPr>
                <w:szCs w:val="22"/>
              </w:rPr>
              <w:t>Rural Radio (47 CFR part 22) (previously listed under the Land Mobile category)</w:t>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10</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s>
              <w:suppressAutoHyphens/>
              <w:spacing w:before="90" w:after="54"/>
              <w:rPr>
                <w:szCs w:val="22"/>
              </w:rPr>
            </w:pPr>
            <w:r w:rsidRPr="005F6BC2">
              <w:rPr>
                <w:szCs w:val="22"/>
              </w:rPr>
              <w:t>PLMRS (Shared Use) (per license) (47 CFR part 90)</w:t>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10</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Aviation (Aircraft) (per station) (47 CFR part 87)</w:t>
            </w:r>
            <w:r w:rsidRPr="005F6BC2">
              <w:rPr>
                <w:szCs w:val="22"/>
              </w:rPr>
              <w:tab/>
            </w:r>
            <w:r w:rsidRPr="005F6BC2">
              <w:rPr>
                <w:szCs w:val="22"/>
              </w:rPr>
              <w:tab/>
            </w:r>
            <w:r w:rsidRPr="005F6BC2">
              <w:rPr>
                <w:szCs w:val="22"/>
              </w:rPr>
              <w:tab/>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10</w:t>
            </w:r>
          </w:p>
        </w:tc>
      </w:tr>
      <w:tr w:rsidTr="00274E20">
        <w:tblPrEx>
          <w:tblW w:w="8587" w:type="dxa"/>
          <w:tblInd w:w="210" w:type="dxa"/>
          <w:tblLayout w:type="fixed"/>
          <w:tblCellMar>
            <w:left w:w="120" w:type="dxa"/>
            <w:right w:w="120" w:type="dxa"/>
          </w:tblCellMar>
          <w:tblLook w:val="0000"/>
        </w:tblPrEx>
        <w:tc>
          <w:tcPr>
            <w:tcW w:w="6840" w:type="dxa"/>
            <w:shd w:val="clear" w:color="auto" w:fill="C0C0C0"/>
          </w:tcPr>
          <w:p w:rsidR="007D15C3" w:rsidRPr="005F6BC2" w:rsidP="00274E20">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Aviation (Ground) (per license) (47 CFR part 87)</w:t>
            </w:r>
            <w:r w:rsidRPr="005F6BC2">
              <w:rPr>
                <w:szCs w:val="22"/>
              </w:rPr>
              <w:tab/>
            </w:r>
          </w:p>
        </w:tc>
        <w:tc>
          <w:tcPr>
            <w:tcW w:w="1747" w:type="dxa"/>
            <w:shd w:val="clear" w:color="auto" w:fill="C0C0C0"/>
          </w:tcPr>
          <w:p w:rsidR="007D15C3" w:rsidRPr="005F6BC2" w:rsidP="00274E20">
            <w:pPr>
              <w:tabs>
                <w:tab w:val="left" w:pos="-1440"/>
                <w:tab w:val="left" w:pos="-720"/>
              </w:tabs>
              <w:suppressAutoHyphens/>
              <w:spacing w:before="90" w:after="54"/>
              <w:jc w:val="center"/>
              <w:rPr>
                <w:szCs w:val="22"/>
              </w:rPr>
            </w:pPr>
            <w:r w:rsidRPr="005F6BC2">
              <w:rPr>
                <w:szCs w:val="22"/>
              </w:rPr>
              <w:t>20</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CMRS Mobile/Cellular Services (per unit) (47 CFR parts 20, 22, 24, 27, 80 and 90)</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.19</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CMRS Messaging Services (per unit) (47 CFR parts 20, 22, 24 and 90)</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.08</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Broadband Radio Service (formerly MMDS/ MDS) (per license) (47 CFR part 27)</w:t>
            </w:r>
          </w:p>
          <w:p w:rsidR="007D15C3" w:rsidRPr="005F6BC2" w:rsidP="00274E20">
            <w:pPr>
              <w:tabs>
                <w:tab w:val="left" w:pos="-1440"/>
                <w:tab w:val="left" w:pos="-720"/>
              </w:tabs>
              <w:suppressAutoHyphens/>
              <w:spacing w:before="90" w:after="54"/>
              <w:rPr>
                <w:szCs w:val="22"/>
              </w:rPr>
            </w:pPr>
            <w:r w:rsidRPr="005F6BC2">
              <w:rPr>
                <w:szCs w:val="22"/>
              </w:rPr>
              <w:t>Local Multipoint Distribution Service (per call sign) (47 CFR, part 101)</w:t>
            </w:r>
          </w:p>
          <w:p w:rsidR="007D15C3" w:rsidRPr="005F6BC2" w:rsidP="00274E20">
            <w:pPr>
              <w:tabs>
                <w:tab w:val="left" w:pos="-1440"/>
                <w:tab w:val="left" w:pos="-720"/>
              </w:tabs>
              <w:suppressAutoHyphens/>
              <w:spacing w:before="90" w:after="54"/>
              <w:rPr>
                <w:szCs w:val="22"/>
              </w:rPr>
            </w:pP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690</w:t>
            </w:r>
          </w:p>
          <w:p w:rsidR="007D15C3" w:rsidRPr="005F6BC2" w:rsidP="00274E20">
            <w:pPr>
              <w:tabs>
                <w:tab w:val="left" w:pos="-1440"/>
                <w:tab w:val="left" w:pos="-720"/>
              </w:tabs>
              <w:suppressAutoHyphens/>
              <w:spacing w:before="90" w:after="54"/>
              <w:jc w:val="center"/>
              <w:rPr>
                <w:szCs w:val="22"/>
              </w:rPr>
            </w:pPr>
          </w:p>
          <w:p w:rsidR="007D15C3" w:rsidRPr="005F6BC2" w:rsidP="00274E20">
            <w:pPr>
              <w:tabs>
                <w:tab w:val="left" w:pos="-1440"/>
                <w:tab w:val="left" w:pos="-720"/>
              </w:tabs>
              <w:suppressAutoHyphens/>
              <w:spacing w:before="90" w:after="54"/>
              <w:jc w:val="center"/>
              <w:rPr>
                <w:szCs w:val="22"/>
              </w:rPr>
            </w:pPr>
            <w:r w:rsidRPr="005F6BC2">
              <w:rPr>
                <w:szCs w:val="22"/>
              </w:rPr>
              <w:t>690</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AM Radio Construction Permits</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595</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FM Radio Construction Permits</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1,000</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AM and FM Broadcast Radio Station Fees</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See Table Below</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Digital TV (47 CFR part 73) VHF and UHF Commercial</w:t>
            </w:r>
            <w:r>
              <w:rPr>
                <w:szCs w:val="22"/>
              </w:rPr>
              <w:t xml:space="preserve"> Fee Factor</w:t>
            </w:r>
          </w:p>
        </w:tc>
        <w:tc>
          <w:tcPr>
            <w:tcW w:w="1747" w:type="dxa"/>
          </w:tcPr>
          <w:p w:rsidR="007D15C3" w:rsidRPr="00546C27" w:rsidP="00274E20">
            <w:pPr>
              <w:tabs>
                <w:tab w:val="left" w:pos="-1440"/>
                <w:tab w:val="left" w:pos="-720"/>
              </w:tabs>
              <w:suppressAutoHyphens/>
              <w:spacing w:before="90" w:after="54"/>
              <w:rPr>
                <w:szCs w:val="22"/>
              </w:rPr>
            </w:pPr>
            <w:r>
              <w:rPr>
                <w:szCs w:val="22"/>
              </w:rPr>
              <w:t>$.007224</w:t>
            </w:r>
          </w:p>
          <w:p w:rsidR="007D15C3" w:rsidRPr="00ED4FB1" w:rsidP="00274E20">
            <w:pPr>
              <w:tabs>
                <w:tab w:val="left" w:pos="-1440"/>
                <w:tab w:val="left" w:pos="-720"/>
              </w:tabs>
              <w:suppressAutoHyphens/>
              <w:spacing w:before="90" w:after="54"/>
              <w:rPr>
                <w:szCs w:val="22"/>
              </w:rPr>
            </w:pPr>
            <w:r w:rsidRPr="00ED4FB1">
              <w:rPr>
                <w:szCs w:val="22"/>
              </w:rPr>
              <w:t>See Appendix. J for fee amounts due, also available at</w:t>
            </w:r>
          </w:p>
          <w:p w:rsidR="007D15C3" w:rsidRPr="005F6BC2" w:rsidP="00274E20">
            <w:pPr>
              <w:rPr>
                <w:szCs w:val="22"/>
              </w:rPr>
            </w:pPr>
            <w:r w:rsidRPr="005F6BC2">
              <w:t>https://www.fcc.gov/licensing-databases/fees/regulatory-fees</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 w:val="left" w:pos="0"/>
              </w:tabs>
              <w:suppressAutoHyphens/>
              <w:spacing w:before="90" w:after="54"/>
              <w:ind w:left="720" w:hanging="720"/>
              <w:rPr>
                <w:szCs w:val="22"/>
              </w:rPr>
            </w:pPr>
            <w:r w:rsidRPr="005F6BC2">
              <w:rPr>
                <w:szCs w:val="22"/>
              </w:rPr>
              <w:tab/>
              <w:t>Construction Permits</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4,450</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 xml:space="preserve">Low Power TV, Class A TV, TV/FM Translators &amp; Boosters (47 CFR </w:t>
            </w:r>
            <w:r w:rsidRPr="005F6BC2">
              <w:rPr>
                <w:szCs w:val="22"/>
              </w:rPr>
              <w:t>part 74)</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345</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5F6BC2">
              <w:rPr>
                <w:szCs w:val="22"/>
              </w:rPr>
              <w:t>CARS (47 CFR part 78)</w:t>
            </w:r>
            <w:r w:rsidRPr="005F6BC2">
              <w:rPr>
                <w:szCs w:val="22"/>
              </w:rPr>
              <w:tab/>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1,225</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Cable Television Systems (per subscriber) (47 CFR part 76), Including IPTV</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.86</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Direct Broadcast Service (DBS) (per subscriber) (as defined by section 602(13) of the Act)</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.60</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Interstate Telecommunication Service Providers (per revenue dollar)</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.00317</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Toll Free (per toll free subscriber) (47 CFR section 52.101 (f) of the rules)</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.12</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Earth Stations (47 CFR part 25)</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425</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Space Stations (per operational station in geostationary orbit) (47 CFR part 25) also includes DBS Service (per operational station) (47 CFR part 100)</w:t>
            </w:r>
          </w:p>
        </w:tc>
        <w:tc>
          <w:tcPr>
            <w:tcW w:w="1747" w:type="dxa"/>
          </w:tcPr>
          <w:p w:rsidR="007D15C3" w:rsidRPr="005F6BC2" w:rsidP="00274E20">
            <w:pPr>
              <w:tabs>
                <w:tab w:val="left" w:pos="-1440"/>
                <w:tab w:val="left" w:pos="-720"/>
              </w:tabs>
              <w:suppressAutoHyphens/>
              <w:spacing w:before="90"/>
              <w:jc w:val="center"/>
              <w:rPr>
                <w:szCs w:val="22"/>
              </w:rPr>
            </w:pPr>
          </w:p>
          <w:p w:rsidR="007D15C3" w:rsidRPr="005F6BC2" w:rsidP="00274E20">
            <w:pPr>
              <w:tabs>
                <w:tab w:val="left" w:pos="-1440"/>
                <w:tab w:val="left" w:pos="-720"/>
              </w:tabs>
              <w:suppressAutoHyphens/>
              <w:spacing w:after="54"/>
              <w:jc w:val="center"/>
              <w:rPr>
                <w:szCs w:val="22"/>
              </w:rPr>
            </w:pPr>
            <w:r w:rsidRPr="005F6BC2">
              <w:rPr>
                <w:szCs w:val="22"/>
              </w:rPr>
              <w:t>159,625</w:t>
            </w:r>
          </w:p>
        </w:tc>
      </w:tr>
      <w:tr w:rsidTr="00274E20">
        <w:tblPrEx>
          <w:tblW w:w="8587" w:type="dxa"/>
          <w:tblInd w:w="210" w:type="dxa"/>
          <w:tblLayout w:type="fixed"/>
          <w:tblCellMar>
            <w:left w:w="120" w:type="dxa"/>
            <w:right w:w="120" w:type="dxa"/>
          </w:tblCellMar>
          <w:tblLook w:val="0000"/>
        </w:tblPrEx>
        <w:tc>
          <w:tcPr>
            <w:tcW w:w="6840" w:type="dxa"/>
          </w:tcPr>
          <w:p w:rsidR="007D15C3" w:rsidRPr="005F6BC2" w:rsidP="00274E20">
            <w:pPr>
              <w:tabs>
                <w:tab w:val="left" w:pos="-1440"/>
                <w:tab w:val="left" w:pos="-720"/>
              </w:tabs>
              <w:suppressAutoHyphens/>
              <w:spacing w:before="90" w:after="54"/>
              <w:rPr>
                <w:szCs w:val="22"/>
              </w:rPr>
            </w:pPr>
            <w:r w:rsidRPr="005F6BC2">
              <w:rPr>
                <w:szCs w:val="22"/>
              </w:rPr>
              <w:t>Space Stations (per operational system in non-geostationary orbit) (47 CFR part 25)</w:t>
            </w:r>
          </w:p>
        </w:tc>
        <w:tc>
          <w:tcPr>
            <w:tcW w:w="1747" w:type="dxa"/>
          </w:tcPr>
          <w:p w:rsidR="007D15C3" w:rsidRPr="005F6BC2" w:rsidP="00274E20">
            <w:pPr>
              <w:tabs>
                <w:tab w:val="left" w:pos="-1440"/>
                <w:tab w:val="left" w:pos="-720"/>
              </w:tabs>
              <w:suppressAutoHyphens/>
              <w:spacing w:before="90" w:after="54"/>
              <w:jc w:val="center"/>
              <w:rPr>
                <w:szCs w:val="22"/>
              </w:rPr>
            </w:pPr>
            <w:r w:rsidRPr="005F6BC2">
              <w:rPr>
                <w:szCs w:val="22"/>
              </w:rPr>
              <w:t>154,875</w:t>
            </w:r>
          </w:p>
        </w:tc>
      </w:tr>
      <w:tr w:rsidTr="00274E20">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7D15C3" w:rsidRPr="005F6BC2" w:rsidP="00274E20">
            <w:pPr>
              <w:tabs>
                <w:tab w:val="left" w:pos="-1440"/>
                <w:tab w:val="left" w:pos="-720"/>
              </w:tabs>
              <w:suppressAutoHyphens/>
              <w:spacing w:before="90" w:after="54"/>
            </w:pPr>
            <w:r w:rsidRPr="005F6BC2">
              <w:t>International Bearer Circuits - Terrestrial/Satellites (per Gbps circuit)</w:t>
            </w:r>
          </w:p>
        </w:tc>
        <w:tc>
          <w:tcPr>
            <w:tcW w:w="1747" w:type="dxa"/>
            <w:tcBorders>
              <w:bottom w:val="single" w:sz="6" w:space="0" w:color="auto"/>
            </w:tcBorders>
          </w:tcPr>
          <w:p w:rsidR="007D15C3" w:rsidRPr="005F6BC2" w:rsidP="00274E20">
            <w:pPr>
              <w:tabs>
                <w:tab w:val="left" w:pos="-1440"/>
                <w:tab w:val="left" w:pos="-720"/>
              </w:tabs>
              <w:suppressAutoHyphens/>
              <w:spacing w:before="90" w:after="54"/>
              <w:jc w:val="center"/>
              <w:rPr>
                <w:szCs w:val="22"/>
              </w:rPr>
            </w:pPr>
            <w:r w:rsidRPr="005F6BC2">
              <w:rPr>
                <w:szCs w:val="22"/>
              </w:rPr>
              <w:t>121</w:t>
            </w:r>
          </w:p>
        </w:tc>
      </w:tr>
      <w:tr w:rsidTr="00274E20">
        <w:tblPrEx>
          <w:tblW w:w="8587" w:type="dxa"/>
          <w:tblInd w:w="210" w:type="dxa"/>
          <w:tblLayout w:type="fixed"/>
          <w:tblCellMar>
            <w:left w:w="120" w:type="dxa"/>
            <w:right w:w="120" w:type="dxa"/>
          </w:tblCellMar>
          <w:tblLook w:val="0000"/>
        </w:tblPrEx>
        <w:tc>
          <w:tcPr>
            <w:tcW w:w="6840" w:type="dxa"/>
            <w:tcBorders>
              <w:bottom w:val="double" w:sz="4" w:space="0" w:color="auto"/>
            </w:tcBorders>
          </w:tcPr>
          <w:p w:rsidR="007D15C3" w:rsidRPr="005F6BC2" w:rsidP="00274E2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5F6BC2">
              <w:rPr>
                <w:szCs w:val="22"/>
              </w:rPr>
              <w:t xml:space="preserve">Submarine Cable Landing Licenses Fee (per cable system) </w:t>
            </w:r>
          </w:p>
        </w:tc>
        <w:tc>
          <w:tcPr>
            <w:tcW w:w="1747" w:type="dxa"/>
            <w:tcBorders>
              <w:bottom w:val="double" w:sz="4" w:space="0" w:color="auto"/>
            </w:tcBorders>
          </w:tcPr>
          <w:p w:rsidR="007D15C3" w:rsidRPr="005F6BC2" w:rsidP="00274E20">
            <w:pPr>
              <w:tabs>
                <w:tab w:val="left" w:pos="-1440"/>
                <w:tab w:val="left" w:pos="-720"/>
              </w:tabs>
              <w:suppressAutoHyphens/>
              <w:spacing w:before="90" w:after="54"/>
              <w:jc w:val="center"/>
              <w:rPr>
                <w:szCs w:val="22"/>
              </w:rPr>
            </w:pPr>
            <w:r w:rsidRPr="005F6BC2">
              <w:rPr>
                <w:szCs w:val="22"/>
              </w:rPr>
              <w:t>See Table Below</w:t>
            </w:r>
          </w:p>
        </w:tc>
      </w:tr>
    </w:tbl>
    <w:p w:rsidR="007D15C3" w:rsidRPr="005F6BC2" w:rsidP="007D15C3">
      <w:pPr>
        <w:widowControl/>
        <w:rPr>
          <w:b/>
          <w:szCs w:val="22"/>
        </w:rPr>
      </w:pPr>
      <w:r w:rsidRPr="005F6BC2">
        <w:rPr>
          <w:b/>
          <w:szCs w:val="22"/>
        </w:rPr>
        <w:br w:type="page"/>
      </w: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rsidTr="00274E20">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7D15C3" w:rsidRPr="005F6BC2" w:rsidP="00274E20">
            <w:pPr>
              <w:spacing w:before="42" w:after="104"/>
              <w:jc w:val="center"/>
              <w:rPr>
                <w:b/>
                <w:bCs/>
                <w:sz w:val="20"/>
              </w:rPr>
            </w:pPr>
            <w:r w:rsidRPr="005F6BC2">
              <w:rPr>
                <w:b/>
                <w:bCs/>
                <w:sz w:val="20"/>
              </w:rPr>
              <w:t>FY 2019 RADIO STATION REGULATORY FEES</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jc w:val="center"/>
              <w:rPr>
                <w:b/>
                <w:bCs/>
                <w:sz w:val="20"/>
              </w:rPr>
            </w:pPr>
            <w:r w:rsidRPr="005F6BC2">
              <w:rPr>
                <w:b/>
                <w:bCs/>
                <w:sz w:val="20"/>
              </w:rPr>
              <w:t xml:space="preserve">Population </w:t>
            </w:r>
          </w:p>
          <w:p w:rsidR="007D15C3" w:rsidRPr="005F6BC2" w:rsidP="00274E20">
            <w:pPr>
              <w:spacing w:after="104"/>
              <w:jc w:val="center"/>
              <w:rPr>
                <w:b/>
                <w:bCs/>
                <w:sz w:val="20"/>
              </w:rPr>
            </w:pPr>
            <w:r w:rsidRPr="005F6BC2">
              <w:rPr>
                <w:b/>
                <w:bCs/>
                <w:sz w:val="20"/>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7D15C3" w:rsidRPr="005F6BC2" w:rsidP="00274E20">
            <w:pPr>
              <w:spacing w:before="42" w:after="104"/>
              <w:jc w:val="center"/>
              <w:rPr>
                <w:b/>
                <w:bCs/>
                <w:sz w:val="20"/>
              </w:rPr>
            </w:pPr>
            <w:r w:rsidRPr="005F6BC2">
              <w:rPr>
                <w:b/>
                <w:bCs/>
                <w:sz w:val="20"/>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7D15C3" w:rsidRPr="005F6BC2" w:rsidP="00274E20">
            <w:pPr>
              <w:spacing w:before="42" w:after="104"/>
              <w:jc w:val="center"/>
              <w:rPr>
                <w:b/>
                <w:bCs/>
                <w:sz w:val="20"/>
              </w:rPr>
            </w:pPr>
            <w:r w:rsidRPr="005F6BC2">
              <w:rPr>
                <w:b/>
                <w:bCs/>
                <w:sz w:val="20"/>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7D15C3" w:rsidRPr="005F6BC2" w:rsidP="00274E20">
            <w:pPr>
              <w:spacing w:before="42" w:after="104"/>
              <w:jc w:val="center"/>
              <w:rPr>
                <w:b/>
                <w:bCs/>
                <w:sz w:val="20"/>
              </w:rPr>
            </w:pPr>
            <w:r w:rsidRPr="005F6BC2">
              <w:rPr>
                <w:b/>
                <w:bCs/>
                <w:sz w:val="20"/>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7D15C3" w:rsidRPr="005F6BC2" w:rsidP="00274E20">
            <w:pPr>
              <w:spacing w:before="42" w:after="104"/>
              <w:jc w:val="center"/>
              <w:rPr>
                <w:b/>
                <w:bCs/>
                <w:sz w:val="20"/>
              </w:rPr>
            </w:pPr>
            <w:r w:rsidRPr="005F6BC2">
              <w:rPr>
                <w:b/>
                <w:bCs/>
                <w:sz w:val="20"/>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7D15C3" w:rsidRPr="005F6BC2" w:rsidP="00274E20">
            <w:pPr>
              <w:spacing w:before="42"/>
              <w:jc w:val="center"/>
              <w:rPr>
                <w:b/>
                <w:bCs/>
                <w:sz w:val="20"/>
                <w:lang w:val="pt-BR"/>
              </w:rPr>
            </w:pPr>
            <w:r w:rsidRPr="005F6BC2">
              <w:rPr>
                <w:b/>
                <w:bCs/>
                <w:sz w:val="20"/>
                <w:lang w:val="pt-BR"/>
              </w:rPr>
              <w:t>FM Classes</w:t>
            </w:r>
          </w:p>
          <w:p w:rsidR="007D15C3" w:rsidRPr="005F6BC2" w:rsidP="00274E20">
            <w:pPr>
              <w:spacing w:after="104"/>
              <w:jc w:val="center"/>
              <w:rPr>
                <w:b/>
                <w:bCs/>
                <w:sz w:val="20"/>
                <w:lang w:val="pt-BR"/>
              </w:rPr>
            </w:pPr>
            <w:r w:rsidRPr="005F6BC2">
              <w:rPr>
                <w:b/>
                <w:bCs/>
                <w:sz w:val="20"/>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7D15C3" w:rsidRPr="005F6BC2" w:rsidP="00274E20">
            <w:pPr>
              <w:spacing w:before="42"/>
              <w:jc w:val="center"/>
              <w:rPr>
                <w:b/>
                <w:bCs/>
                <w:sz w:val="20"/>
                <w:lang w:val="pt-BR"/>
              </w:rPr>
            </w:pPr>
            <w:r w:rsidRPr="005F6BC2">
              <w:rPr>
                <w:b/>
                <w:bCs/>
                <w:sz w:val="20"/>
                <w:lang w:val="pt-BR"/>
              </w:rPr>
              <w:t>FM Classes</w:t>
            </w:r>
          </w:p>
          <w:p w:rsidR="007D15C3" w:rsidRPr="005F6BC2" w:rsidP="00274E20">
            <w:pPr>
              <w:spacing w:after="104"/>
              <w:jc w:val="center"/>
              <w:rPr>
                <w:b/>
                <w:bCs/>
                <w:sz w:val="20"/>
                <w:lang w:val="pt-BR"/>
              </w:rPr>
            </w:pPr>
            <w:r w:rsidRPr="005F6BC2">
              <w:rPr>
                <w:b/>
                <w:bCs/>
                <w:sz w:val="20"/>
                <w:lang w:val="pt-BR"/>
              </w:rPr>
              <w:t>B, C, C0, C1 &amp; C2</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$950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$685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$595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$655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$1,000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$1,200</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$1,425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$895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$985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$1,575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$1,800</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$2,150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$1,550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$1,350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$1,475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$2,375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$2,700</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$3,200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$2,325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$2,225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$3,550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$4,050</w:t>
            </w:r>
          </w:p>
        </w:tc>
      </w:tr>
      <w:tr w:rsidTr="00274E20">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$4,800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$3,475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$3,000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$3,325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$5,325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$6,075</w:t>
            </w:r>
          </w:p>
        </w:tc>
      </w:tr>
      <w:tr w:rsidTr="00274E20">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1,200,001 – 3,000,00</w:t>
            </w:r>
            <w:r>
              <w:rPr>
                <w:b/>
                <w:bCs/>
                <w:sz w:val="20"/>
              </w:rPr>
              <w:t>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$7,225</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$5,200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$4,525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$4,975</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$7,975</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$9,125</w:t>
            </w:r>
          </w:p>
        </w:tc>
      </w:tr>
      <w:tr w:rsidTr="00274E20">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3,000,001 – 6,000,00</w:t>
            </w:r>
            <w:r>
              <w:rPr>
                <w:b/>
                <w:bCs/>
                <w:sz w:val="20"/>
              </w:rPr>
              <w:t>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$10,825</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$7,800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$6,775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$7,450</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$11,950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$13,675</w:t>
            </w:r>
          </w:p>
        </w:tc>
      </w:tr>
      <w:tr w:rsidTr="00274E20">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7D15C3" w:rsidRPr="005F6BC2" w:rsidP="00274E20">
            <w:pPr>
              <w:spacing w:before="42" w:after="104"/>
              <w:rPr>
                <w:b/>
                <w:bCs/>
                <w:sz w:val="20"/>
              </w:rPr>
            </w:pPr>
            <w:r w:rsidRPr="005F6BC2">
              <w:rPr>
                <w:b/>
                <w:bCs/>
                <w:sz w:val="20"/>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$16,225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$11,700</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$10,175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$11,200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$17,950</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7D15C3" w:rsidRPr="005F6BC2" w:rsidP="00274E20">
            <w:pPr>
              <w:spacing w:before="42" w:after="104"/>
              <w:jc w:val="right"/>
              <w:rPr>
                <w:sz w:val="20"/>
              </w:rPr>
            </w:pPr>
            <w:r w:rsidRPr="005F6BC2">
              <w:rPr>
                <w:szCs w:val="22"/>
              </w:rPr>
              <w:t>$20,500</w:t>
            </w:r>
          </w:p>
        </w:tc>
      </w:tr>
    </w:tbl>
    <w:p w:rsidR="007D15C3" w:rsidRPr="005F6BC2" w:rsidP="007D15C3">
      <w:pPr>
        <w:pStyle w:val="ParaNum"/>
        <w:numPr>
          <w:ilvl w:val="0"/>
          <w:numId w:val="0"/>
        </w:numPr>
        <w:ind w:left="720"/>
      </w:pPr>
    </w:p>
    <w:p w:rsidR="007D15C3" w:rsidRPr="005F6BC2" w:rsidP="007D15C3">
      <w:pPr>
        <w:tabs>
          <w:tab w:val="right" w:pos="10080"/>
        </w:tabs>
        <w:suppressAutoHyphens/>
        <w:ind w:left="450"/>
        <w:jc w:val="center"/>
        <w:outlineLvl w:val="0"/>
        <w:rPr>
          <w:b/>
          <w:szCs w:val="22"/>
        </w:rPr>
      </w:pPr>
      <w:r w:rsidRPr="005F6BC2">
        <w:rPr>
          <w:b/>
          <w:szCs w:val="22"/>
        </w:rPr>
        <w:t>FY 2019 International Bearer Circuits - Submarine Cable Systems</w:t>
      </w:r>
    </w:p>
    <w:p w:rsidR="007D15C3" w:rsidRPr="005F6BC2" w:rsidP="007D15C3">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780"/>
      </w:tblGrid>
      <w:tr w:rsidTr="00274E20">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60" w:type="dxa"/>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(capacity as of December 31, 2018)</w:t>
            </w:r>
          </w:p>
        </w:tc>
        <w:tc>
          <w:tcPr>
            <w:tcW w:w="3780" w:type="dxa"/>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2019</w:t>
            </w:r>
            <w:r>
              <w:rPr>
                <w:b/>
                <w:spacing w:val="-3"/>
                <w:szCs w:val="22"/>
              </w:rPr>
              <w:t xml:space="preserve"> Regulatory Fees</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5F6BC2">
              <w:rPr>
                <w:szCs w:val="22"/>
              </w:rPr>
              <w:t>Less than 50 Gbps</w:t>
            </w:r>
          </w:p>
        </w:tc>
        <w:tc>
          <w:tcPr>
            <w:tcW w:w="378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$12,575</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5F6BC2">
              <w:rPr>
                <w:szCs w:val="22"/>
              </w:rPr>
              <w:t>50 Gbps or greater, but less than 250 Gbps</w:t>
            </w:r>
          </w:p>
        </w:tc>
        <w:tc>
          <w:tcPr>
            <w:tcW w:w="3780" w:type="dxa"/>
            <w:vAlign w:val="center"/>
          </w:tcPr>
          <w:p w:rsidR="007D15C3" w:rsidRPr="005F6BC2" w:rsidP="00274E20">
            <w:pPr>
              <w:jc w:val="center"/>
              <w:rPr>
                <w:spacing w:val="-3"/>
                <w:szCs w:val="22"/>
              </w:rPr>
            </w:pPr>
            <w:r w:rsidRPr="005F6BC2">
              <w:rPr>
                <w:bCs/>
                <w:szCs w:val="22"/>
              </w:rPr>
              <w:t>$25,150</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5F6BC2">
              <w:rPr>
                <w:szCs w:val="22"/>
              </w:rPr>
              <w:t>250 Gbps or greater, but less than 1,000 Gbps</w:t>
            </w:r>
          </w:p>
        </w:tc>
        <w:tc>
          <w:tcPr>
            <w:tcW w:w="3780" w:type="dxa"/>
            <w:vAlign w:val="center"/>
          </w:tcPr>
          <w:p w:rsidR="007D15C3" w:rsidRPr="005F6BC2" w:rsidP="00274E20">
            <w:pPr>
              <w:jc w:val="center"/>
              <w:rPr>
                <w:spacing w:val="-3"/>
                <w:szCs w:val="22"/>
              </w:rPr>
            </w:pPr>
            <w:r w:rsidRPr="005F6BC2">
              <w:rPr>
                <w:bCs/>
                <w:szCs w:val="22"/>
              </w:rPr>
              <w:t>$50,300</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5F6BC2">
              <w:rPr>
                <w:szCs w:val="22"/>
              </w:rPr>
              <w:t>1,000 Gbps or greater, but less than 4,000 Gbps</w:t>
            </w:r>
          </w:p>
        </w:tc>
        <w:tc>
          <w:tcPr>
            <w:tcW w:w="3780" w:type="dxa"/>
            <w:vAlign w:val="center"/>
          </w:tcPr>
          <w:p w:rsidR="007D15C3" w:rsidRPr="005F6BC2" w:rsidP="00274E20">
            <w:pPr>
              <w:jc w:val="center"/>
              <w:rPr>
                <w:spacing w:val="-3"/>
                <w:szCs w:val="22"/>
              </w:rPr>
            </w:pPr>
            <w:r w:rsidRPr="005F6BC2">
              <w:rPr>
                <w:bCs/>
                <w:szCs w:val="22"/>
              </w:rPr>
              <w:t>$100,600</w:t>
            </w:r>
          </w:p>
        </w:tc>
      </w:tr>
      <w:tr w:rsidTr="00274E20">
        <w:tblPrEx>
          <w:tblW w:w="0" w:type="auto"/>
          <w:tblInd w:w="175" w:type="dxa"/>
          <w:tblLook w:val="01E0"/>
        </w:tblPrEx>
        <w:trPr>
          <w:trHeight w:val="576"/>
        </w:trPr>
        <w:tc>
          <w:tcPr>
            <w:tcW w:w="4860" w:type="dxa"/>
            <w:vAlign w:val="center"/>
          </w:tcPr>
          <w:p w:rsidR="007D15C3" w:rsidRPr="005F6BC2" w:rsidP="00274E20">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5F6BC2">
              <w:rPr>
                <w:szCs w:val="22"/>
              </w:rPr>
              <w:t>4,000 Gbps or greater</w:t>
            </w:r>
          </w:p>
        </w:tc>
        <w:tc>
          <w:tcPr>
            <w:tcW w:w="3780" w:type="dxa"/>
            <w:vAlign w:val="center"/>
          </w:tcPr>
          <w:p w:rsidR="007D15C3" w:rsidRPr="005F6BC2" w:rsidP="00274E20">
            <w:pPr>
              <w:jc w:val="center"/>
              <w:rPr>
                <w:szCs w:val="22"/>
              </w:rPr>
            </w:pPr>
            <w:r w:rsidRPr="005F6BC2">
              <w:rPr>
                <w:bCs/>
                <w:szCs w:val="22"/>
              </w:rPr>
              <w:t>$201,225</w:t>
            </w:r>
          </w:p>
        </w:tc>
      </w:tr>
    </w:tbl>
    <w:p w:rsidR="007D15C3" w:rsidRPr="005F6BC2" w:rsidP="007D15C3">
      <w:pPr>
        <w:tabs>
          <w:tab w:val="left" w:pos="3629"/>
        </w:tabs>
        <w:jc w:val="center"/>
        <w:rPr>
          <w:b/>
          <w:szCs w:val="22"/>
        </w:rPr>
      </w:pPr>
    </w:p>
    <w:p w:rsidR="007D15C3" w:rsidP="007D15C3">
      <w:pPr>
        <w:widowControl/>
        <w:rPr>
          <w:b/>
          <w:szCs w:val="22"/>
        </w:rPr>
        <w:sectPr w:rsidSect="006D498C">
          <w:footnotePr>
            <w:numRestart w:val="eachSect"/>
          </w:footnotePr>
          <w:endnotePr>
            <w:numFmt w:val="decimal"/>
          </w:endnotePr>
          <w:pgSz w:w="12240" w:h="15840"/>
          <w:pgMar w:top="1440" w:right="1440" w:bottom="720" w:left="1440" w:header="720" w:footer="720" w:gutter="0"/>
          <w:cols w:space="720"/>
          <w:noEndnote/>
          <w:titlePg/>
        </w:sectPr>
      </w:pPr>
    </w:p>
    <w:p w:rsidR="007D15C3" w:rsidRPr="006D498C" w:rsidP="00AC19D6">
      <w:pPr>
        <w:pStyle w:val="ParaNum"/>
        <w:numPr>
          <w:ilvl w:val="0"/>
          <w:numId w:val="0"/>
        </w:numPr>
        <w:jc w:val="center"/>
        <w:rPr>
          <w:b/>
          <w:bCs/>
        </w:rPr>
      </w:pPr>
      <w:r w:rsidRPr="006D498C">
        <w:rPr>
          <w:b/>
          <w:bCs/>
        </w:rPr>
        <w:t>APPENDIX I</w:t>
      </w:r>
    </w:p>
    <w:p w:rsidR="007D15C3" w:rsidRPr="006D498C" w:rsidP="007D15C3">
      <w:pPr>
        <w:pStyle w:val="ParaNum"/>
        <w:numPr>
          <w:ilvl w:val="0"/>
          <w:numId w:val="0"/>
        </w:numPr>
        <w:jc w:val="center"/>
        <w:rPr>
          <w:b/>
          <w:bCs/>
        </w:rPr>
      </w:pPr>
      <w:r w:rsidRPr="006D498C">
        <w:rPr>
          <w:b/>
          <w:bCs/>
        </w:rPr>
        <w:t>Final Regulatory Flexibility Analysis</w:t>
      </w:r>
    </w:p>
    <w:p w:rsidR="007D15C3" w:rsidP="00AC19D6">
      <w:pPr>
        <w:pStyle w:val="ParaNum"/>
        <w:numPr>
          <w:ilvl w:val="0"/>
          <w:numId w:val="12"/>
        </w:numPr>
        <w:tabs>
          <w:tab w:val="clear" w:pos="1080"/>
          <w:tab w:val="num" w:pos="1440"/>
        </w:tabs>
      </w:pPr>
      <w:r w:rsidRPr="007521D5">
        <w:t xml:space="preserve">As required by the Regulatory Flexibility Act </w:t>
      </w:r>
      <w:r>
        <w:t xml:space="preserve">of 1980, as amended </w:t>
      </w:r>
      <w:r w:rsidRPr="007521D5">
        <w:t>(RFA)</w:t>
      </w:r>
      <w:r>
        <w:t>,</w:t>
      </w:r>
      <w:r>
        <w:rPr>
          <w:rStyle w:val="FootnoteReference"/>
          <w:spacing w:val="-2"/>
          <w:szCs w:val="22"/>
        </w:rPr>
        <w:footnoteReference w:id="207"/>
      </w:r>
      <w:r>
        <w:t xml:space="preserve"> an Initial Regulatory Flexibility Analysis (IRFA) was included in the Further </w:t>
      </w:r>
      <w:r w:rsidRPr="00894D7A">
        <w:rPr>
          <w:iCs/>
        </w:rPr>
        <w:t>Notice of Proposed Rulemaking</w:t>
      </w:r>
      <w:r>
        <w:t>.</w:t>
      </w:r>
      <w:r>
        <w:rPr>
          <w:rStyle w:val="FootnoteReference"/>
          <w:szCs w:val="22"/>
        </w:rPr>
        <w:footnoteReference w:id="208"/>
      </w:r>
      <w:r w:rsidRPr="00894D7A">
        <w:rPr>
          <w:i/>
        </w:rPr>
        <w:t xml:space="preserve">  </w:t>
      </w:r>
      <w:r>
        <w:t>T</w:t>
      </w:r>
      <w:r w:rsidRPr="007521D5">
        <w:t xml:space="preserve">he Commission </w:t>
      </w:r>
      <w:r>
        <w:t>sought written public comment on these proposals including comment on the IRFA.  T</w:t>
      </w:r>
      <w:r w:rsidRPr="007521D5">
        <w:t xml:space="preserve">his </w:t>
      </w:r>
      <w:r>
        <w:t xml:space="preserve">Final </w:t>
      </w:r>
      <w:r w:rsidRPr="007521D5">
        <w:t>Regulatory Flexibility Analysis (</w:t>
      </w:r>
      <w:r>
        <w:t>F</w:t>
      </w:r>
      <w:r w:rsidRPr="007521D5">
        <w:t xml:space="preserve">RFA) </w:t>
      </w:r>
      <w:r>
        <w:t>conforms to the IRFA.</w:t>
      </w:r>
      <w:r>
        <w:rPr>
          <w:rStyle w:val="FootnoteReference"/>
          <w:spacing w:val="-2"/>
          <w:szCs w:val="22"/>
        </w:rPr>
        <w:footnoteReference w:id="209"/>
      </w:r>
      <w:r w:rsidRPr="007521D5">
        <w:t xml:space="preserve"> </w:t>
      </w:r>
    </w:p>
    <w:p w:rsidR="007D15C3" w:rsidRPr="00F95B79" w:rsidP="007D15C3">
      <w:pPr>
        <w:pStyle w:val="Heading2"/>
      </w:pPr>
      <w:bookmarkStart w:id="124" w:name="_Toc353870731"/>
      <w:bookmarkStart w:id="125" w:name="_Toc353987758"/>
      <w:bookmarkStart w:id="126" w:name="_Toc353988079"/>
      <w:bookmarkStart w:id="127" w:name="_Toc390878817"/>
      <w:bookmarkStart w:id="128" w:name="_Toc403117508"/>
      <w:bookmarkStart w:id="129" w:name="_Toc404352144"/>
      <w:bookmarkStart w:id="130" w:name="_Toc406064038"/>
      <w:bookmarkStart w:id="131" w:name="_Toc406754918"/>
      <w:bookmarkStart w:id="132" w:name="_Toc407006736"/>
      <w:bookmarkStart w:id="133" w:name="_Toc407018471"/>
      <w:bookmarkStart w:id="134" w:name="_Toc408483453"/>
      <w:bookmarkStart w:id="135" w:name="_Toc410723693"/>
      <w:bookmarkStart w:id="136" w:name="_Toc411434902"/>
      <w:bookmarkStart w:id="137" w:name="_Toc413083244"/>
      <w:bookmarkStart w:id="138" w:name="_Toc413672134"/>
      <w:bookmarkStart w:id="139" w:name="_Toc38017903"/>
      <w:bookmarkStart w:id="140" w:name="_Toc391364450"/>
      <w:bookmarkStart w:id="141" w:name="_Toc394672338"/>
      <w:bookmarkStart w:id="142" w:name="_Toc397078346"/>
      <w:bookmarkStart w:id="143" w:name="_Toc40091678"/>
      <w:r w:rsidRPr="00F95B79">
        <w:t xml:space="preserve">Need for, and Objectives of, the </w:t>
      </w:r>
      <w:bookmarkEnd w:id="124"/>
      <w:bookmarkEnd w:id="125"/>
      <w:bookmarkEnd w:id="126"/>
      <w:r w:rsidRPr="00F95B79">
        <w:t>Report and Order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95B79">
        <w:t xml:space="preserve">  </w:t>
      </w:r>
    </w:p>
    <w:p w:rsidR="007D15C3" w:rsidP="007D15C3">
      <w:pPr>
        <w:pStyle w:val="ParaNum"/>
      </w:pPr>
      <w:r>
        <w:t>In this Report and Order, the Commission assesses for the first time a regulatory fee on non-U.S. licensed space stations with United States market access, by including those non-U.S. licensed space stations in the current regulatory fee categories for GSO and NGSO space stations. This fee is assessed regardless of whether the foreign satellite operator obtains the market access through a declaratory ruling or through an earth station applicant as a point of communication.  In either case, the Commission’s review of the space station market access request is the same.  The earth station application may be filed by the foreign operator, one of its subsidiaries, or an independent third party.  Currently, the regulatory fee paid by an earth station licensee that has secured market access for a foreign satellite operator is the same as the fee paid by any other earth station licensee in its class, despite the additional Commission resources consumed by such market access requests.  For these reasons, and because it is inequitable and anticompetitive for U.S. licensed space stations to pay regulatory fees while non-U.S. licensed space stations with U.S. market access do not, the Commission assesses its existing GSO and NGSO regulatory fee categories on non-U.S. licensed</w:t>
      </w:r>
      <w:r>
        <w:t xml:space="preserve"> </w:t>
      </w:r>
      <w:r>
        <w:t>space stations that have access to the United States market, either through a petition for market access or through an earth station.</w:t>
      </w:r>
    </w:p>
    <w:p w:rsidR="007D15C3" w:rsidRPr="00F95B79" w:rsidP="007D15C3">
      <w:pPr>
        <w:pStyle w:val="Heading2"/>
      </w:pPr>
      <w:bookmarkStart w:id="144" w:name="_Toc390878818"/>
      <w:bookmarkStart w:id="145" w:name="_Toc391364451"/>
      <w:bookmarkStart w:id="146" w:name="_Toc394672339"/>
      <w:bookmarkStart w:id="147" w:name="_Toc397078347"/>
      <w:bookmarkStart w:id="148" w:name="_Toc403117509"/>
      <w:bookmarkStart w:id="149" w:name="_Toc404352145"/>
      <w:bookmarkStart w:id="150" w:name="_Toc406064039"/>
      <w:bookmarkStart w:id="151" w:name="_Toc406754919"/>
      <w:bookmarkStart w:id="152" w:name="_Toc407006737"/>
      <w:bookmarkStart w:id="153" w:name="_Toc407018472"/>
      <w:bookmarkStart w:id="154" w:name="_Toc408483454"/>
      <w:bookmarkStart w:id="155" w:name="_Toc410723694"/>
      <w:bookmarkStart w:id="156" w:name="_Toc411434903"/>
      <w:bookmarkStart w:id="157" w:name="_Toc413083245"/>
      <w:bookmarkStart w:id="158" w:name="_Toc413672135"/>
      <w:bookmarkStart w:id="159" w:name="_Toc38017904"/>
      <w:bookmarkStart w:id="160" w:name="_Toc40091679"/>
      <w:r w:rsidRPr="00F95B79">
        <w:t>Summary of the Significant Issues Raised by the Public Comments in Response to the IRFA</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7D15C3" w:rsidP="007D15C3">
      <w:pPr>
        <w:pStyle w:val="ParaNum"/>
      </w:pPr>
      <w:bookmarkStart w:id="161" w:name="_Toc390878819"/>
      <w:r>
        <w:t>None.</w:t>
      </w:r>
    </w:p>
    <w:p w:rsidR="007D15C3" w:rsidRPr="000C76CC" w:rsidP="007D15C3">
      <w:pPr>
        <w:pStyle w:val="Heading2"/>
      </w:pPr>
      <w:bookmarkStart w:id="162" w:name="_Toc40091680"/>
      <w:r w:rsidRPr="000C76CC">
        <w:t>Response to comments by the Chief Counsel for Advocacy of the Small</w:t>
      </w:r>
      <w:r w:rsidRPr="000C76CC">
        <w:rPr>
          <w:snapToGrid/>
          <w:kern w:val="0"/>
        </w:rPr>
        <w:t xml:space="preserve"> </w:t>
      </w:r>
      <w:r w:rsidRPr="000C76CC">
        <w:t>Business Administration</w:t>
      </w:r>
      <w:bookmarkEnd w:id="162"/>
    </w:p>
    <w:p w:rsidR="007D15C3" w:rsidP="007D15C3">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comments.29 In this section respond specifically to any comment filed by Chief Counsel of SBA.  The Chief Counsel did not file any comments in response to the proposed rules in the Further Notice of Proposed Rulemaking in this proceeding</w:t>
      </w:r>
    </w:p>
    <w:p w:rsidR="007D15C3" w:rsidRPr="004C189F" w:rsidP="007D15C3">
      <w:pPr>
        <w:pStyle w:val="Heading2"/>
      </w:pPr>
      <w:bookmarkStart w:id="163" w:name="_Toc391364452"/>
      <w:bookmarkStart w:id="164" w:name="_Toc394672340"/>
      <w:bookmarkStart w:id="165" w:name="_Toc397078348"/>
      <w:bookmarkStart w:id="166" w:name="_Toc403117510"/>
      <w:bookmarkStart w:id="167" w:name="_Toc404352146"/>
      <w:bookmarkStart w:id="168" w:name="_Toc406064040"/>
      <w:bookmarkStart w:id="169" w:name="_Toc406754920"/>
      <w:bookmarkStart w:id="170" w:name="_Toc407006738"/>
      <w:bookmarkStart w:id="171" w:name="_Toc407018473"/>
      <w:bookmarkStart w:id="172" w:name="_Toc408483455"/>
      <w:bookmarkStart w:id="173" w:name="_Toc410723695"/>
      <w:bookmarkStart w:id="174" w:name="_Toc411434904"/>
      <w:bookmarkStart w:id="175" w:name="_Toc413083246"/>
      <w:bookmarkStart w:id="176" w:name="_Toc413672136"/>
      <w:bookmarkStart w:id="177" w:name="_Toc38017905"/>
      <w:bookmarkStart w:id="178" w:name="_Toc40091681"/>
      <w:r w:rsidRPr="00F95B79">
        <w:t>Description and Estimate of the Number of Small Entities to Which the Rules Will Apply</w:t>
      </w:r>
      <w:r w:rsidRPr="00100F78">
        <w:t>:</w:t>
      </w:r>
      <w:bookmarkEnd w:id="16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7D15C3" w:rsidP="007D15C3">
      <w:pPr>
        <w:pStyle w:val="ParaNum"/>
      </w:pPr>
      <w:r w:rsidRPr="007521D5">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210"/>
      </w:r>
      <w:r>
        <w:t xml:space="preserve">  </w:t>
      </w:r>
      <w:r w:rsidRPr="007521D5">
        <w:t>The RFA generally defines the term “small entity” as having the same meaning as the terms “small business,” “small organization,” and “small governmental jurisdiction.”</w:t>
      </w:r>
      <w:r>
        <w:rPr>
          <w:rStyle w:val="FootnoteReference"/>
          <w:spacing w:val="-2"/>
          <w:szCs w:val="22"/>
        </w:rPr>
        <w:footnoteReference w:id="211"/>
      </w:r>
      <w:r>
        <w:t xml:space="preserve"> </w:t>
      </w:r>
      <w:r w:rsidRPr="007521D5">
        <w:t xml:space="preserve"> In addition, the term “small business” has </w:t>
      </w:r>
      <w:r w:rsidRPr="007521D5">
        <w:t>the same meaning as the term “small business concern” under the Small Business Act.</w:t>
      </w:r>
      <w:r>
        <w:rPr>
          <w:rStyle w:val="FootnoteReference"/>
          <w:spacing w:val="-2"/>
          <w:szCs w:val="22"/>
        </w:rPr>
        <w:footnoteReference w:id="212"/>
      </w:r>
      <w:r w:rsidRPr="007521D5">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213"/>
      </w:r>
      <w:r w:rsidRPr="007521D5">
        <w:t xml:space="preserve"> </w:t>
      </w:r>
      <w:r>
        <w:t xml:space="preserve"> </w:t>
      </w:r>
      <w:r w:rsidRPr="007521D5">
        <w:t>Nationwide, there are a total of approximately 2</w:t>
      </w:r>
      <w:r>
        <w:t>7.9</w:t>
      </w:r>
      <w:r w:rsidRPr="007521D5">
        <w:t xml:space="preserve"> million small businesses, according to the SBA.</w:t>
      </w:r>
      <w:r>
        <w:rPr>
          <w:rStyle w:val="FootnoteReference"/>
          <w:spacing w:val="-2"/>
          <w:szCs w:val="22"/>
        </w:rPr>
        <w:footnoteReference w:id="214"/>
      </w:r>
      <w:r w:rsidRPr="007521D5">
        <w:t xml:space="preserve">   </w:t>
      </w:r>
    </w:p>
    <w:p w:rsidR="007D15C3" w:rsidRPr="001F4993" w:rsidP="007D15C3">
      <w:pPr>
        <w:pStyle w:val="ParaNum"/>
        <w:rPr>
          <w:bCs/>
        </w:rPr>
      </w:pPr>
      <w:r w:rsidRPr="001F4993">
        <w:rPr>
          <w:b/>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215"/>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216"/>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217"/>
      </w:r>
      <w:r w:rsidRPr="001F4993">
        <w:rPr>
          <w:bCs/>
        </w:rPr>
        <w:t xml:space="preserve">  </w:t>
      </w:r>
    </w:p>
    <w:p w:rsidR="007D15C3" w:rsidRPr="00835723" w:rsidP="007D15C3">
      <w:pPr>
        <w:pStyle w:val="ParaNum"/>
      </w:pPr>
      <w:r w:rsidRPr="00613B22">
        <w:t>Next</w:t>
      </w:r>
      <w:r w:rsidRPr="001F4993">
        <w:rPr>
          <w:bCs/>
        </w:rPr>
        <w:t xml:space="preserve">,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218"/>
      </w:r>
      <w:r>
        <w:t xml:space="preserve">  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219"/>
      </w:r>
      <w:r w:rsidRPr="00835723">
        <w:t xml:space="preserve">  </w:t>
      </w:r>
    </w:p>
    <w:p w:rsidR="007D15C3" w:rsidRPr="001F4993" w:rsidP="007D15C3">
      <w:pPr>
        <w:pStyle w:val="ParaNum"/>
        <w:rPr>
          <w:szCs w:val="22"/>
        </w:rPr>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20"/>
      </w:r>
      <w:r w:rsidRPr="00835723">
        <w:t xml:space="preserve">  U.S. Census Bureau data from the 2012 Census of Governments</w:t>
      </w:r>
      <w:r>
        <w:rPr>
          <w:rStyle w:val="FootnoteReference"/>
        </w:rPr>
        <w:footnoteReference w:id="221"/>
      </w:r>
      <w:r w:rsidRPr="00835723">
        <w:t xml:space="preserve"> indicate that there were </w:t>
      </w:r>
      <w:r w:rsidRPr="001F4993">
        <w:rPr>
          <w:color w:val="000000"/>
        </w:rPr>
        <w:t xml:space="preserve">90,056 </w:t>
      </w:r>
      <w:r w:rsidRPr="00835723">
        <w:t xml:space="preserve">local governmental jurisdictions consisting of general </w:t>
      </w:r>
      <w:r w:rsidRPr="00835723">
        <w:t>purpose governments and special purpose governments in the</w:t>
      </w:r>
      <w:r w:rsidRPr="00D8403F">
        <w:t xml:space="preserve"> United States.</w:t>
      </w:r>
      <w:r>
        <w:rPr>
          <w:rStyle w:val="FootnoteReference"/>
        </w:rPr>
        <w:footnoteReference w:id="222"/>
      </w:r>
      <w:r w:rsidRPr="0066448F">
        <w:t xml:space="preserve">  </w:t>
      </w:r>
      <w:r>
        <w:t>Of this number there wer</w:t>
      </w:r>
      <w:r w:rsidRPr="00835723">
        <w:t>e 37, 132 General purpose governments (county</w:t>
      </w:r>
      <w:r>
        <w:rPr>
          <w:rStyle w:val="FootnoteReference"/>
        </w:rPr>
        <w:footnoteReference w:id="223"/>
      </w:r>
      <w:r w:rsidRPr="00835723">
        <w:t>, municipal and town or township</w:t>
      </w:r>
      <w:r>
        <w:rPr>
          <w:rStyle w:val="FootnoteReference"/>
        </w:rPr>
        <w:footnoteReference w:id="224"/>
      </w:r>
      <w:r w:rsidRPr="00835723">
        <w:t>) with populations of less than 50,000 and 12,184 Special purpose governments (independent school districts</w:t>
      </w:r>
      <w:r>
        <w:rPr>
          <w:rStyle w:val="FootnoteReference"/>
        </w:rPr>
        <w:footnoteReference w:id="225"/>
      </w:r>
      <w:r w:rsidRPr="00835723">
        <w:t xml:space="preserve"> and special districts</w:t>
      </w:r>
      <w:r>
        <w:rPr>
          <w:rStyle w:val="FootnoteReference"/>
        </w:rPr>
        <w:footnoteReference w:id="226"/>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227"/>
      </w:r>
      <w:r w:rsidRPr="00835723">
        <w:t xml:space="preserve"> </w:t>
      </w:r>
      <w:r>
        <w:t xml:space="preserve"> </w:t>
      </w:r>
      <w:r w:rsidRPr="00835723">
        <w:t>Based on this data we estimate that at least 49,316 local government jurisdictions fall in the category of “small governmental jurisdictions.”</w:t>
      </w:r>
      <w:r>
        <w:rPr>
          <w:rStyle w:val="FootnoteReference"/>
        </w:rPr>
        <w:footnoteReference w:id="228"/>
      </w:r>
      <w:r>
        <w:t xml:space="preserve">  </w:t>
      </w:r>
      <w:r w:rsidRPr="001F4993">
        <w:rPr>
          <w:szCs w:val="22"/>
        </w:rPr>
        <w:t>Governmental entities are, however, exempt from application fees.</w:t>
      </w:r>
      <w:r>
        <w:rPr>
          <w:rStyle w:val="FootnoteReference"/>
          <w:szCs w:val="22"/>
        </w:rPr>
        <w:footnoteReference w:id="229"/>
      </w:r>
      <w:r w:rsidRPr="001F4993">
        <w:rPr>
          <w:szCs w:val="22"/>
        </w:rPr>
        <w:t xml:space="preserve">  </w:t>
      </w:r>
    </w:p>
    <w:p w:rsidR="007D15C3" w:rsidRPr="001F4993" w:rsidP="007D15C3">
      <w:pPr>
        <w:pStyle w:val="ParaNum"/>
        <w:rPr>
          <w:szCs w:val="22"/>
        </w:rPr>
      </w:pPr>
      <w:r w:rsidRPr="001F4993">
        <w:rPr>
          <w:b/>
          <w:szCs w:val="22"/>
        </w:rPr>
        <w:t>All Other Telecommunications</w:t>
      </w:r>
      <w:r w:rsidRPr="001F4993">
        <w:rPr>
          <w:szCs w:val="22"/>
        </w:rPr>
        <w:t xml:space="preserve">.  </w:t>
      </w:r>
      <w:r w:rsidRPr="003B1F31">
        <w:t xml:space="preserve">The </w:t>
      </w:r>
      <w:r w:rsidRPr="001F4993">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230"/>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31"/>
      </w:r>
      <w:r w:rsidRPr="003B1F31">
        <w:t xml:space="preserve">  Establishments providing Internet services or voice over Internet protocol (VoIP) services via client-supplied telecommunications connections are also </w:t>
      </w:r>
      <w:r w:rsidRPr="003B1F31">
        <w:t>included in this industry.</w:t>
      </w:r>
      <w:r>
        <w:rPr>
          <w:sz w:val="20"/>
          <w:vertAlign w:val="superscript"/>
        </w:rPr>
        <w:footnoteReference w:id="232"/>
      </w:r>
      <w:r w:rsidRPr="003B1F31">
        <w:t xml:space="preserve">  The SBA has developed a small business size standard for All Other Telecommunications, which consists of all such firms with annual receipts of $3</w:t>
      </w:r>
      <w:r>
        <w:t>5</w:t>
      </w:r>
      <w:r w:rsidRPr="003B1F31">
        <w:t xml:space="preserve"> million or less.</w:t>
      </w:r>
      <w:r>
        <w:rPr>
          <w:sz w:val="20"/>
          <w:vertAlign w:val="superscript"/>
        </w:rPr>
        <w:footnoteReference w:id="233"/>
      </w:r>
      <w:r w:rsidRPr="003B1F31">
        <w:t xml:space="preserve">  For this category, U.S. Census Bureau data for 2012 show</w:t>
      </w:r>
      <w:r>
        <w:t>s</w:t>
      </w:r>
      <w:r w:rsidRPr="003B1F31">
        <w:t xml:space="preserve"> that there were 1,442 firms that operated for the entire year.</w:t>
      </w:r>
      <w:r>
        <w:rPr>
          <w:rStyle w:val="FootnoteReference"/>
        </w:rPr>
        <w:footnoteReference w:id="234"/>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szCs w:val="22"/>
          <w:vertAlign w:val="superscript"/>
        </w:rPr>
        <w:footnoteReference w:id="235"/>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bookmarkStart w:id="179" w:name="_Toc390878820"/>
      <w:bookmarkStart w:id="180" w:name="_Toc391364453"/>
      <w:bookmarkStart w:id="181" w:name="_Toc394672341"/>
      <w:bookmarkStart w:id="182" w:name="_Toc397078349"/>
      <w:bookmarkStart w:id="183" w:name="_Toc403117511"/>
      <w:bookmarkStart w:id="184" w:name="_Toc404352147"/>
      <w:bookmarkStart w:id="185" w:name="_Toc406064041"/>
      <w:bookmarkStart w:id="186" w:name="_Toc406754921"/>
      <w:bookmarkStart w:id="187" w:name="_Toc407006739"/>
      <w:bookmarkStart w:id="188" w:name="_Toc407018474"/>
      <w:bookmarkStart w:id="189" w:name="_Toc408483456"/>
      <w:bookmarkStart w:id="190" w:name="_Toc410723696"/>
      <w:bookmarkStart w:id="191" w:name="_Toc411434905"/>
      <w:bookmarkStart w:id="192" w:name="_Toc413083247"/>
      <w:bookmarkStart w:id="193" w:name="_Toc413672137"/>
    </w:p>
    <w:p w:rsidR="007D15C3" w:rsidRPr="00F95B79" w:rsidP="007D15C3">
      <w:pPr>
        <w:pStyle w:val="Heading2"/>
      </w:pPr>
      <w:bookmarkStart w:id="194" w:name="_Toc38017906"/>
      <w:bookmarkStart w:id="195" w:name="_Toc40091682"/>
      <w:r w:rsidRPr="00F95B79">
        <w:t>Description of Projected Reporting, Recordkeeping and Other Compliance Requirements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7D15C3" w:rsidP="007D15C3">
      <w:pPr>
        <w:pStyle w:val="ParaNum"/>
      </w:pPr>
      <w:r w:rsidRPr="007521D5">
        <w:t xml:space="preserve">This </w:t>
      </w:r>
      <w:r>
        <w:t>Report and Order does not adopt any new reporting, recordkeeping, or other compliance requirements.</w:t>
      </w:r>
      <w:bookmarkStart w:id="196" w:name="_Toc390878821"/>
    </w:p>
    <w:p w:rsidR="007D15C3" w:rsidRPr="00F95B79" w:rsidP="007D15C3">
      <w:pPr>
        <w:pStyle w:val="Heading2"/>
      </w:pPr>
      <w:bookmarkStart w:id="197" w:name="_Toc391364454"/>
      <w:bookmarkStart w:id="198" w:name="_Toc394672342"/>
      <w:bookmarkStart w:id="199" w:name="_Toc397078350"/>
      <w:bookmarkStart w:id="200" w:name="_Toc403117512"/>
      <w:bookmarkStart w:id="201" w:name="_Toc404352148"/>
      <w:bookmarkStart w:id="202" w:name="_Toc406064042"/>
      <w:bookmarkStart w:id="203" w:name="_Toc406754922"/>
      <w:bookmarkStart w:id="204" w:name="_Toc407006740"/>
      <w:bookmarkStart w:id="205" w:name="_Toc407018475"/>
      <w:bookmarkStart w:id="206" w:name="_Toc408483457"/>
      <w:bookmarkStart w:id="207" w:name="_Toc410723697"/>
      <w:bookmarkStart w:id="208" w:name="_Toc411434906"/>
      <w:bookmarkStart w:id="209" w:name="_Toc413083248"/>
      <w:bookmarkStart w:id="210" w:name="_Toc413672138"/>
      <w:bookmarkStart w:id="211" w:name="_Toc38017907"/>
      <w:bookmarkStart w:id="212" w:name="_Toc40091683"/>
      <w:r w:rsidRPr="00F95B79">
        <w:t>Steps Taken to Minimize Significant Economic Impact on Small Entities, and Significant Alternatives Considered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7D15C3" w:rsidP="007D15C3">
      <w:pPr>
        <w:pStyle w:val="ParaNum"/>
      </w:pPr>
      <w:r w:rsidRPr="007521D5">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236"/>
      </w:r>
      <w:r w:rsidRPr="007521D5">
        <w:t xml:space="preserve">   </w:t>
      </w:r>
    </w:p>
    <w:p w:rsidR="007D15C3" w:rsidRPr="00517E3C" w:rsidP="007D15C3">
      <w:pPr>
        <w:pStyle w:val="ParaNum"/>
      </w:pPr>
      <w:r>
        <w:t xml:space="preserve">This Report and Order does not adopt any new reporting requirements.  Therefore, no adverse economic impact on small entities will be sustained based on reporting requirements.  </w:t>
      </w:r>
      <w:r w:rsidRPr="00A41ABA">
        <w:t xml:space="preserve">In keeping with the requirements of the Regulatory Flexibility Act, we have considered certain alternative means of mitigating the effects of fee increases to a particular industry segment.  </w:t>
      </w:r>
      <w:r>
        <w:t xml:space="preserve">For example, </w:t>
      </w:r>
      <w:r w:rsidRPr="001F4993">
        <w:rPr>
          <w:szCs w:val="22"/>
        </w:rPr>
        <w:t xml:space="preserve">The Commission’s </w:t>
      </w:r>
      <w:r>
        <w:t>annual de minimis threshold of $1,000, replaced last year with a new section 9(e)(2) annual regulatory fee exemption of $1,000, will reduce burdens on small entities with annual regulatory fees that total $1,000 or less.</w:t>
      </w:r>
      <w:r w:rsidRPr="001F4993">
        <w:rPr>
          <w:szCs w:val="22"/>
        </w:rPr>
        <w:t xml:space="preserve">  </w:t>
      </w:r>
      <w:r>
        <w:t xml:space="preserve">Also, regulatees may also seek waivers or other relief </w:t>
      </w:r>
      <w:r w:rsidRPr="00A41ABA">
        <w:t xml:space="preserve">on the basis of financial hardship.  </w:t>
      </w:r>
      <w:r w:rsidRPr="001F4993">
        <w:rPr>
          <w:i/>
        </w:rPr>
        <w:t xml:space="preserve">See </w:t>
      </w:r>
      <w:r w:rsidRPr="00A41ABA">
        <w:t>47 CFR §1.1166</w:t>
      </w:r>
      <w:r>
        <w:t>.</w:t>
      </w:r>
      <w:r w:rsidRPr="00EC2B2C">
        <w:t xml:space="preserve"> </w:t>
      </w:r>
    </w:p>
    <w:p w:rsidR="007D15C3" w:rsidRPr="00F95B79" w:rsidP="007D15C3">
      <w:pPr>
        <w:pStyle w:val="Heading2"/>
      </w:pPr>
      <w:bookmarkStart w:id="213" w:name="_Toc391364455"/>
      <w:bookmarkStart w:id="214" w:name="_Toc394672343"/>
      <w:bookmarkStart w:id="215" w:name="_Toc397078351"/>
      <w:bookmarkStart w:id="216" w:name="_Toc403117513"/>
      <w:bookmarkStart w:id="217" w:name="_Toc404352149"/>
      <w:bookmarkStart w:id="218" w:name="_Toc406064043"/>
      <w:bookmarkStart w:id="219" w:name="_Toc406754923"/>
      <w:bookmarkStart w:id="220" w:name="_Toc407006741"/>
      <w:bookmarkStart w:id="221" w:name="_Toc407018476"/>
      <w:bookmarkStart w:id="222" w:name="_Toc408483458"/>
      <w:bookmarkStart w:id="223" w:name="_Toc410723698"/>
      <w:bookmarkStart w:id="224" w:name="_Toc411434907"/>
      <w:bookmarkStart w:id="225" w:name="_Toc413083249"/>
      <w:bookmarkStart w:id="226" w:name="_Toc413672139"/>
      <w:bookmarkStart w:id="227" w:name="_Toc38017908"/>
      <w:bookmarkStart w:id="228" w:name="_Toc40091684"/>
      <w:bookmarkStart w:id="229" w:name="_Toc390878822"/>
      <w:r w:rsidRPr="00F95B79">
        <w:t>Federal Rules that May Duplicate, Overlap, or Conflict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F95B79">
        <w:t xml:space="preserve"> </w:t>
      </w:r>
      <w:bookmarkEnd w:id="229"/>
    </w:p>
    <w:p w:rsidR="007D15C3" w:rsidP="007D15C3">
      <w:pPr>
        <w:pStyle w:val="ParaNum"/>
      </w:pPr>
      <w:r w:rsidRPr="007521D5">
        <w:t>None.</w:t>
      </w:r>
    </w:p>
    <w:p w:rsidR="007D15C3" w:rsidP="007D15C3">
      <w:pPr>
        <w:widowControl/>
        <w:rPr>
          <w:b/>
          <w:szCs w:val="22"/>
        </w:rPr>
        <w:sectPr w:rsidSect="006D498C">
          <w:footerReference w:type="first" r:id="rId23"/>
          <w:footnotePr>
            <w:numRestart w:val="eachSect"/>
          </w:footnotePr>
          <w:endnotePr>
            <w:numFmt w:val="decimal"/>
          </w:endnotePr>
          <w:pgSz w:w="12240" w:h="15840"/>
          <w:pgMar w:top="1440" w:right="1440" w:bottom="720" w:left="1440" w:header="720" w:footer="720" w:gutter="0"/>
          <w:cols w:space="720"/>
          <w:noEndnote/>
          <w:titlePg/>
        </w:sectPr>
      </w:pPr>
    </w:p>
    <w:p w:rsidR="007D15C3" w:rsidP="00316D71">
      <w:pPr>
        <w:tabs>
          <w:tab w:val="left" w:pos="3629"/>
        </w:tabs>
        <w:jc w:val="center"/>
        <w:rPr>
          <w:b/>
        </w:rPr>
      </w:pPr>
      <w:r>
        <w:rPr>
          <w:b/>
        </w:rPr>
        <w:t>APPENDIX J</w:t>
      </w:r>
    </w:p>
    <w:p w:rsidR="007D15C3" w:rsidP="007D15C3">
      <w:pPr>
        <w:tabs>
          <w:tab w:val="left" w:pos="3629"/>
        </w:tabs>
        <w:jc w:val="center"/>
        <w:rPr>
          <w:b/>
        </w:rPr>
      </w:pPr>
    </w:p>
    <w:p w:rsidR="007D15C3" w:rsidRPr="00B06F8A" w:rsidP="00316D71">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r w:rsidRPr="00B06F8A">
        <w:rPr>
          <w:b/>
          <w:szCs w:val="22"/>
        </w:rPr>
        <w:t>Initial Regulatory Flexibility Analysis</w:t>
      </w:r>
    </w:p>
    <w:p w:rsidR="007D15C3" w:rsidRPr="00B06F8A" w:rsidP="007D15C3">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szCs w:val="22"/>
        </w:rPr>
      </w:pPr>
    </w:p>
    <w:p w:rsidR="007D15C3" w:rsidRPr="00B06F8A" w:rsidP="00AC19D6">
      <w:pPr>
        <w:pStyle w:val="ParaNum"/>
        <w:numPr>
          <w:ilvl w:val="0"/>
          <w:numId w:val="28"/>
        </w:numPr>
        <w:tabs>
          <w:tab w:val="clear" w:pos="1080"/>
          <w:tab w:val="num" w:pos="1440"/>
        </w:tabs>
      </w:pPr>
      <w:r w:rsidRPr="00B06F8A">
        <w:t>As required by the Regulatory Flexibility Act of 1980, as amended (RFA),</w:t>
      </w:r>
      <w:r>
        <w:rPr>
          <w:rStyle w:val="FootnoteReference"/>
          <w:spacing w:val="-2"/>
          <w:szCs w:val="22"/>
        </w:rPr>
        <w:footnoteReference w:id="237"/>
      </w:r>
      <w:r w:rsidRPr="00B06F8A">
        <w:t xml:space="preserve"> the Commission prepared this Initial Regulatory Flexibility Analysis (IRFA) of the possible significant economic impact on small entities by the policies and rules proposed in the Notice of Proposed Rulemaking (</w:t>
      </w:r>
      <w:r w:rsidRPr="00AC19D6">
        <w:rPr>
          <w:i/>
        </w:rPr>
        <w:t>Notice</w:t>
      </w:r>
      <w:r w:rsidRPr="00B06F8A">
        <w:t xml:space="preserve">).  Written comments are requested on this IRFA.  Comments must be identified as responses to the IRFA and must be filed by the deadline for comments on this </w:t>
      </w:r>
      <w:r w:rsidRPr="00AC19D6">
        <w:rPr>
          <w:i/>
        </w:rPr>
        <w:t>Notice</w:t>
      </w:r>
      <w:r w:rsidRPr="00B06F8A">
        <w:t xml:space="preserve">.  The Commission will send a copy of the </w:t>
      </w:r>
      <w:r w:rsidRPr="00AC19D6">
        <w:rPr>
          <w:i/>
        </w:rPr>
        <w:t>Notice</w:t>
      </w:r>
      <w:r w:rsidRPr="00B06F8A">
        <w:t>, including the IRFA, to the Chief Counsel for Advocacy of the Small Business Administration (SBA).</w:t>
      </w:r>
      <w:r>
        <w:rPr>
          <w:rStyle w:val="FootnoteReference"/>
          <w:spacing w:val="-2"/>
          <w:szCs w:val="22"/>
        </w:rPr>
        <w:footnoteReference w:id="238"/>
      </w:r>
      <w:r w:rsidRPr="00B06F8A">
        <w:t xml:space="preserve">  In addition, the</w:t>
      </w:r>
      <w:r w:rsidRPr="00AC19D6">
        <w:rPr>
          <w:i/>
        </w:rPr>
        <w:t xml:space="preserve"> Notice</w:t>
      </w:r>
      <w:r w:rsidRPr="00B06F8A">
        <w:t xml:space="preserve"> and IRFA (or summaries thereof) will be published in the Federal Register.</w:t>
      </w:r>
      <w:r>
        <w:rPr>
          <w:rStyle w:val="FootnoteReference"/>
          <w:spacing w:val="-2"/>
          <w:szCs w:val="22"/>
        </w:rPr>
        <w:footnoteReference w:id="239"/>
      </w:r>
      <w:r w:rsidRPr="00B06F8A">
        <w:t xml:space="preserve"> </w:t>
      </w:r>
    </w:p>
    <w:p w:rsidR="007D15C3" w:rsidRPr="00B06F8A" w:rsidP="007D15C3">
      <w:pPr>
        <w:pStyle w:val="Heading2"/>
        <w:numPr>
          <w:ilvl w:val="1"/>
          <w:numId w:val="20"/>
        </w:numPr>
      </w:pPr>
      <w:bookmarkStart w:id="230" w:name="_Toc6326156"/>
      <w:bookmarkStart w:id="231" w:name="_Toc28005134"/>
      <w:bookmarkStart w:id="232" w:name="_Toc38017909"/>
      <w:bookmarkStart w:id="233" w:name="_Toc40091685"/>
      <w:r w:rsidRPr="00B06F8A">
        <w:t xml:space="preserve">Need for, and Objectives of, the </w:t>
      </w:r>
      <w:r>
        <w:t>Proposed Rules</w:t>
      </w:r>
      <w:bookmarkEnd w:id="230"/>
      <w:bookmarkEnd w:id="231"/>
      <w:bookmarkEnd w:id="232"/>
      <w:bookmarkEnd w:id="233"/>
      <w:r w:rsidRPr="00B06F8A">
        <w:t xml:space="preserve">  </w:t>
      </w:r>
    </w:p>
    <w:p w:rsidR="007D15C3" w:rsidRPr="00B06F8A" w:rsidP="007D15C3">
      <w:pPr>
        <w:pStyle w:val="ParaNum"/>
      </w:pPr>
      <w:r>
        <w:t xml:space="preserve">The </w:t>
      </w:r>
      <w:r w:rsidRPr="001F4993">
        <w:rPr>
          <w:i/>
          <w:iCs/>
        </w:rPr>
        <w:t>Notice</w:t>
      </w:r>
      <w:r>
        <w:t xml:space="preserve"> seeks comment on regulatory fees for fiscal year (FY) 2020, as required by section 9 of the Communications Act of 1934, as amended (Communications Act or Act).</w:t>
      </w:r>
      <w:r>
        <w:rPr>
          <w:rStyle w:val="FootnoteReference"/>
          <w:szCs w:val="22"/>
        </w:rPr>
        <w:footnoteReference w:id="240"/>
      </w:r>
      <w:r>
        <w:t xml:space="preserve">  The </w:t>
      </w:r>
      <w:r w:rsidRPr="001F4993">
        <w:rPr>
          <w:i/>
          <w:iCs/>
        </w:rPr>
        <w:t>Notice</w:t>
      </w:r>
      <w:r>
        <w:t xml:space="preserve"> sets forth the proposed regulatory fees for FY 2020 for regulatees in the Wireless Telecommunications Bureau, Media Bureau, Wireline Competition Bureau, and International Bureau. The proposed regulatory fees are attached to the </w:t>
      </w:r>
      <w:r w:rsidRPr="001F4993">
        <w:rPr>
          <w:i/>
          <w:iCs/>
        </w:rPr>
        <w:t>Notice</w:t>
      </w:r>
      <w:r>
        <w:t xml:space="preserve"> in Appendices B and C.  This regulatory fee </w:t>
      </w:r>
      <w:r w:rsidRPr="001F4993">
        <w:rPr>
          <w:i/>
          <w:iCs/>
        </w:rPr>
        <w:t>Notice</w:t>
      </w:r>
      <w:r>
        <w:t xml:space="preserve"> is needed each year because the Commission is required by Congress to adopt regulatory fees each year “to recover the costs of carrying out the activities described in section 6(a) only to the extent, and in the total amounts, provided for in Appropriation Acts.”</w:t>
      </w:r>
      <w:r>
        <w:rPr>
          <w:rStyle w:val="FootnoteReference"/>
          <w:szCs w:val="22"/>
        </w:rPr>
        <w:footnoteReference w:id="241"/>
      </w:r>
      <w:r>
        <w:t xml:space="preserve">  The objective of the </w:t>
      </w:r>
      <w:r w:rsidRPr="001F4993">
        <w:rPr>
          <w:i/>
          <w:iCs/>
        </w:rPr>
        <w:t>Notice</w:t>
      </w:r>
      <w:r>
        <w:t xml:space="preserve"> is to propose regulatory fees for FY 2020 and adopt regulatory fee reform to improve the regulatory fee process.  The </w:t>
      </w:r>
      <w:r w:rsidRPr="001F4993">
        <w:rPr>
          <w:i/>
          <w:iCs/>
        </w:rPr>
        <w:t>Notice</w:t>
      </w:r>
      <w:r>
        <w:t xml:space="preserve"> seeks comment on the Commission’s proposed regulatory fees for FY 2020.  The </w:t>
      </w:r>
      <w:r w:rsidRPr="001F4993">
        <w:rPr>
          <w:i/>
          <w:iCs/>
        </w:rPr>
        <w:t>Notice</w:t>
      </w:r>
      <w:r>
        <w:t xml:space="preserve"> proposes to collect $339,000,000 in regulatory fees for FY 2020, as detailed in the proposed fee schedules in Appendix --, including a proposed increase in the DBS fee rate to 72 cents per subscriber and proposed fees for full-power broadcast televisions using the actual population covered by the station’s contour, as set forth in Appendix --.  Historically, under our old methodology, the regulatory fee for full-power broadcast television stations was based on the DMA groupings 1-10, 11-25, 26-50, 51-100, and the remaining markets (101-210), as well as satellite stations that traditionally pay a much lower fee.</w:t>
      </w:r>
    </w:p>
    <w:p w:rsidR="007D15C3" w:rsidRPr="00B06F8A" w:rsidP="007D15C3">
      <w:pPr>
        <w:pStyle w:val="Heading2"/>
      </w:pPr>
      <w:bookmarkStart w:id="234" w:name="_Toc6326157"/>
      <w:bookmarkStart w:id="235" w:name="_Toc28005135"/>
      <w:bookmarkStart w:id="236" w:name="_Toc38017910"/>
      <w:bookmarkStart w:id="237" w:name="_Toc40091686"/>
      <w:r w:rsidRPr="00B06F8A">
        <w:t>Legal Basis</w:t>
      </w:r>
      <w:bookmarkEnd w:id="234"/>
      <w:bookmarkEnd w:id="235"/>
      <w:bookmarkEnd w:id="236"/>
      <w:bookmarkEnd w:id="237"/>
    </w:p>
    <w:p w:rsidR="007D15C3" w:rsidRPr="00B06F8A" w:rsidP="007D15C3">
      <w:pPr>
        <w:pStyle w:val="ParaNum"/>
      </w:pPr>
      <w:r>
        <w:t>This action, including publication of proposed rules, is authorized under sections (4)(</w:t>
      </w:r>
      <w:r>
        <w:t>i</w:t>
      </w:r>
      <w:r>
        <w:t>) and (j), 159, and 303(r) of the Communications Act of 1934, as amended.</w:t>
      </w:r>
      <w:r>
        <w:rPr>
          <w:rStyle w:val="FootnoteReference"/>
          <w:spacing w:val="-2"/>
          <w:szCs w:val="22"/>
        </w:rPr>
        <w:footnoteReference w:id="242"/>
      </w:r>
      <w:r>
        <w:t xml:space="preserve"> </w:t>
      </w:r>
    </w:p>
    <w:p w:rsidR="007D15C3" w:rsidRPr="00B06F8A" w:rsidP="007D15C3">
      <w:pPr>
        <w:pStyle w:val="Heading2"/>
      </w:pPr>
      <w:bookmarkStart w:id="238" w:name="_Toc6326158"/>
      <w:bookmarkStart w:id="239" w:name="_Toc28005136"/>
      <w:bookmarkStart w:id="240" w:name="_Toc38017911"/>
      <w:bookmarkStart w:id="241" w:name="_Toc40091687"/>
      <w:r w:rsidRPr="00B06F8A">
        <w:t xml:space="preserve">Description and Estimate of the Number of Small Entities to Which the </w:t>
      </w:r>
      <w:r>
        <w:t xml:space="preserve">Proposed </w:t>
      </w:r>
      <w:r w:rsidRPr="00B06F8A">
        <w:t>Rules Will Apply</w:t>
      </w:r>
      <w:bookmarkEnd w:id="238"/>
      <w:bookmarkEnd w:id="239"/>
      <w:bookmarkEnd w:id="240"/>
      <w:bookmarkEnd w:id="241"/>
    </w:p>
    <w:p w:rsidR="007D15C3" w:rsidP="007D15C3">
      <w:pPr>
        <w:pStyle w:val="ParaNum"/>
      </w:pPr>
      <w:r>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243"/>
      </w:r>
      <w:r>
        <w:t xml:space="preserve">  The RFA generally defines the term “small entity” as having the same meaning as the terms “small business,” </w:t>
      </w:r>
      <w:r>
        <w:t>“small organization,” and “small governmental jurisdiction.”</w:t>
      </w:r>
      <w:r>
        <w:rPr>
          <w:rStyle w:val="FootnoteReference"/>
          <w:spacing w:val="-2"/>
          <w:szCs w:val="22"/>
        </w:rPr>
        <w:footnoteReference w:id="244"/>
      </w:r>
      <w:r>
        <w:t xml:space="preserve">  In addition, the term “small business” has the same meaning as the term “small business concern” under the Small Business Act.</w:t>
      </w:r>
      <w:r>
        <w:rPr>
          <w:rStyle w:val="FootnoteReference"/>
          <w:spacing w:val="-2"/>
          <w:szCs w:val="22"/>
        </w:rPr>
        <w:footnoteReference w:id="245"/>
      </w:r>
      <w:r>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246"/>
      </w:r>
      <w:r>
        <w:t xml:space="preserve"> </w:t>
      </w:r>
    </w:p>
    <w:p w:rsidR="007D15C3" w:rsidP="007D15C3">
      <w:pPr>
        <w:pStyle w:val="ParaNum"/>
      </w:pPr>
      <w:r w:rsidRPr="001F4993">
        <w:rPr>
          <w:b/>
          <w:bCs/>
        </w:rPr>
        <w:t>Small Businesses, Small Organizations, Small Governmental Jurisdictions.</w:t>
      </w:r>
      <w:r>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247"/>
      </w:r>
      <w: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248"/>
      </w:r>
      <w:r>
        <w:t xml:space="preserve">  These types of small businesses represent 99.9% of all businesses in the United States which translates to 28.8 million businesses.</w:t>
      </w:r>
      <w:r>
        <w:rPr>
          <w:rStyle w:val="FootnoteReference"/>
        </w:rPr>
        <w:footnoteReference w:id="249"/>
      </w:r>
      <w:r>
        <w:t xml:space="preserve">  </w:t>
      </w:r>
    </w:p>
    <w:p w:rsidR="007D15C3" w:rsidRPr="00835723" w:rsidP="007D15C3">
      <w:pPr>
        <w:pStyle w:val="ParaNum"/>
      </w:pPr>
      <w:r>
        <w:t>Next, the type of small entity described as a “small organization” is generally “any not-for-profit enterprise which is independently owned and operated and is not dominant in its field.”</w:t>
      </w:r>
      <w:r>
        <w:rPr>
          <w:rStyle w:val="FootnoteReference"/>
        </w:rPr>
        <w:footnoteReference w:id="250"/>
      </w:r>
      <w:r>
        <w:t xml:space="preserve">  Nationwide, as of August 2016, there were approximately 356,494 small organizations based on registration and tax data filed by nonprofits with the Internal Revenue Service (IRS).</w:t>
      </w:r>
      <w:r>
        <w:rPr>
          <w:rStyle w:val="FootnoteReference"/>
        </w:rPr>
        <w:footnoteReference w:id="251"/>
      </w:r>
      <w:r>
        <w:t xml:space="preserve">  </w:t>
      </w:r>
    </w:p>
    <w:p w:rsidR="007D15C3" w:rsidRPr="00B06F8A" w:rsidP="007D15C3">
      <w:pPr>
        <w:pStyle w:val="ParaNum"/>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52"/>
      </w:r>
      <w:r>
        <w:t xml:space="preserve">  U.S. Census Bureau data from the 2012 Census of Governments</w:t>
      </w:r>
      <w:r>
        <w:rPr>
          <w:rStyle w:val="FootnoteReference"/>
        </w:rPr>
        <w:footnoteReference w:id="253"/>
      </w:r>
      <w:r>
        <w:t xml:space="preserve"> indicate that there were </w:t>
      </w:r>
      <w:r w:rsidRPr="001F4993">
        <w:rPr>
          <w:color w:val="000000"/>
        </w:rPr>
        <w:t xml:space="preserve">90,056 </w:t>
      </w:r>
      <w:r>
        <w:t xml:space="preserve">local governmental jurisdictions consisting of general </w:t>
      </w:r>
      <w:r>
        <w:t>purpose governments and special purpose governments in the United States.</w:t>
      </w:r>
      <w:r>
        <w:rPr>
          <w:rStyle w:val="FootnoteReference"/>
        </w:rPr>
        <w:footnoteReference w:id="254"/>
      </w:r>
      <w:r>
        <w:t xml:space="preserve">  Of this number there were 37, 132 General purpose governments (county</w:t>
      </w:r>
      <w:r>
        <w:rPr>
          <w:rStyle w:val="FootnoteReference"/>
        </w:rPr>
        <w:footnoteReference w:id="255"/>
      </w:r>
      <w:r>
        <w:t>, municipal and town or township</w:t>
      </w:r>
      <w:r>
        <w:rPr>
          <w:rStyle w:val="FootnoteReference"/>
        </w:rPr>
        <w:footnoteReference w:id="256"/>
      </w:r>
      <w:r>
        <w:t>) with populations of less than 50,000 and 12,184 Special purpose governments (independent school districts</w:t>
      </w:r>
      <w:r>
        <w:rPr>
          <w:rStyle w:val="FootnoteReference"/>
        </w:rPr>
        <w:footnoteReference w:id="257"/>
      </w:r>
      <w:r>
        <w:t xml:space="preserve"> and special districts</w:t>
      </w:r>
      <w:r>
        <w:rPr>
          <w:rStyle w:val="FootnoteReference"/>
        </w:rPr>
        <w:footnoteReference w:id="258"/>
      </w:r>
      <w:r>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259"/>
      </w:r>
      <w:r>
        <w:t xml:space="preserve">  Based on this data we estimate that at least 49,316 local government jurisdictions fall in the category of “small governmental jurisdictions.”</w:t>
      </w:r>
      <w:r>
        <w:rPr>
          <w:rStyle w:val="FootnoteReference"/>
        </w:rPr>
        <w:footnoteReference w:id="260"/>
      </w:r>
      <w:r>
        <w:t xml:space="preserve">  Governmental entities are, however, exempt from application fees.</w:t>
      </w:r>
      <w:r>
        <w:rPr>
          <w:rStyle w:val="FootnoteReference"/>
          <w:szCs w:val="22"/>
        </w:rPr>
        <w:footnoteReference w:id="261"/>
      </w:r>
      <w:r>
        <w:t xml:space="preserve">  </w:t>
      </w:r>
    </w:p>
    <w:p w:rsidR="007D15C3" w:rsidRPr="00B06F8A" w:rsidP="007D15C3">
      <w:pPr>
        <w:pStyle w:val="ParaNum"/>
      </w:pPr>
      <w:r w:rsidRPr="001F4993">
        <w:rPr>
          <w:b/>
          <w:bCs/>
        </w:rPr>
        <w:t>Wired Telecommunications Carriers</w:t>
      </w:r>
      <w: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and IPTV)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262"/>
      </w:r>
      <w:r>
        <w:t xml:space="preserve">  The SBA has developed a </w:t>
      </w:r>
      <w:r>
        <w:t>small business size standard for Wired Telecommunications Carriers, which consists of all such companies having 1,500 or fewer employees.</w:t>
      </w:r>
      <w:r>
        <w:rPr>
          <w:rStyle w:val="FootnoteReference"/>
        </w:rPr>
        <w:footnoteReference w:id="263"/>
      </w:r>
      <w:r>
        <w:t xml:space="preserve">  U.S. Census Bureau data for 2012 show that there were 3,117 firms that operated that year.</w:t>
      </w:r>
      <w:r>
        <w:rPr>
          <w:rStyle w:val="FootnoteReference"/>
        </w:rPr>
        <w:footnoteReference w:id="264"/>
      </w:r>
      <w:r>
        <w:t xml:space="preserve">  Of this total, 3,083 operated with fewer than 1,000 employees.</w:t>
      </w:r>
      <w:r>
        <w:rPr>
          <w:rStyle w:val="FootnoteReference"/>
        </w:rPr>
        <w:footnoteReference w:id="265"/>
      </w:r>
      <w:r>
        <w:t xml:space="preserve"> Thus, under this size standard, the majority of firms in this industry can be considered small.</w:t>
      </w:r>
    </w:p>
    <w:p w:rsidR="007D15C3" w:rsidRPr="00B06F8A" w:rsidP="007D15C3">
      <w:pPr>
        <w:pStyle w:val="ParaNum"/>
      </w:pPr>
      <w:r w:rsidRPr="001F4993">
        <w:rPr>
          <w:b/>
          <w:bCs/>
        </w:rPr>
        <w:t>Local Exchange Carriers (LECs)</w:t>
      </w:r>
      <w:r>
        <w:t>.  Neither the Commission nor the SBA has developed a size standard for small businesses specifically applicable to local exchange services.  The closest applicable NAICS Code category is Wired Telecommunications Carriers.</w:t>
      </w:r>
      <w:r>
        <w:rPr>
          <w:rStyle w:val="FootnoteReference"/>
        </w:rPr>
        <w:footnoteReference w:id="266"/>
      </w:r>
      <w:r>
        <w:t xml:space="preserve">  Under the applicable SBA size standard, such a business is small if it has 1,500 or fewer employees.</w:t>
      </w:r>
      <w:r>
        <w:rPr>
          <w:rStyle w:val="FootnoteReference"/>
        </w:rPr>
        <w:footnoteReference w:id="267"/>
      </w:r>
      <w:r>
        <w:t xml:space="preserve">  U.S. Census Bureau data for 2012 show that there were 3,117 firms that operated for the entire year.</w:t>
      </w:r>
      <w:r>
        <w:rPr>
          <w:rStyle w:val="FootnoteReference"/>
        </w:rPr>
        <w:footnoteReference w:id="268"/>
      </w:r>
      <w:r>
        <w:t xml:space="preserve">  Of that total, 3,083 operated with fewer than 1,000 employees.</w:t>
      </w:r>
      <w:r>
        <w:rPr>
          <w:sz w:val="20"/>
          <w:vertAlign w:val="superscript"/>
        </w:rPr>
        <w:footnoteReference w:id="269"/>
      </w:r>
      <w:r>
        <w:t xml:space="preserve">  Thus under this category and the associated size standard, the Commission estimates that the majority of local exchange carriers are small entities.</w:t>
      </w:r>
    </w:p>
    <w:p w:rsidR="007D15C3" w:rsidRPr="00B06F8A" w:rsidP="007D15C3">
      <w:pPr>
        <w:pStyle w:val="ParaNum"/>
      </w:pPr>
      <w:r w:rsidRPr="001F4993">
        <w:rPr>
          <w:b/>
          <w:bCs/>
        </w:rPr>
        <w:t>Incumbent LECs</w:t>
      </w:r>
      <w:r>
        <w:t>.  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270"/>
      </w:r>
      <w:r>
        <w:t xml:space="preserve">  Under the applicable SBA size standard, such a business is small if it has 1,500 or fewer employees.</w:t>
      </w:r>
      <w:r>
        <w:rPr>
          <w:rStyle w:val="FootnoteReference"/>
        </w:rPr>
        <w:footnoteReference w:id="271"/>
      </w:r>
      <w:r>
        <w:t xml:space="preserve">  U.S. Census Bureau data for 2012 indicate that 3,117 firms operated the entire year.</w:t>
      </w:r>
      <w:r>
        <w:rPr>
          <w:rStyle w:val="FootnoteReference"/>
        </w:rPr>
        <w:footnoteReference w:id="272"/>
      </w:r>
      <w:r>
        <w:t xml:space="preserve">  Of this total, 3,083 operated with fewer than 1,000 employees.</w:t>
      </w:r>
      <w:r>
        <w:rPr>
          <w:rStyle w:val="FootnoteReference"/>
        </w:rPr>
        <w:footnoteReference w:id="273"/>
      </w:r>
      <w:r>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w:t>
      </w:r>
      <w:r>
        <w:t>exchange service providers.</w:t>
      </w:r>
      <w:r>
        <w:rPr>
          <w:spacing w:val="-2"/>
          <w:vertAlign w:val="superscript"/>
        </w:rPr>
        <w:footnoteReference w:id="274"/>
      </w:r>
      <w:r>
        <w:t xml:space="preserve">  Of this total, an estimated 1,006 have 1,500 or fewer employees.</w:t>
      </w:r>
      <w:r>
        <w:rPr>
          <w:spacing w:val="-2"/>
          <w:vertAlign w:val="superscript"/>
        </w:rPr>
        <w:footnoteReference w:id="275"/>
      </w:r>
      <w:r>
        <w:t xml:space="preserve">  Thus, using the SBA’s size standard the majority of incumbent LECs can be considered small entities.  </w:t>
      </w:r>
    </w:p>
    <w:p w:rsidR="007D15C3" w:rsidRPr="00B06F8A" w:rsidP="007D15C3">
      <w:pPr>
        <w:pStyle w:val="ParaNum"/>
      </w:pPr>
      <w:r w:rsidRPr="00187CF9">
        <w:rPr>
          <w:b/>
          <w:bCs/>
        </w:rPr>
        <w:t>Competitive Local Exchange Carriers (Competitive LECs), Competitive Access Providers (CAPs), Shared-Tenant Service Providers, and Other Local Service Providers</w:t>
      </w:r>
      <w:r>
        <w:t>.  Neither the Commission nor the SBA has developed a small business size standard specifically for these service providers.  The appropriate NAICS Code category is Wired Telecommunications Carriers and under that size standard, such a business is small if it has 1,500 or fewer employees.</w:t>
      </w:r>
      <w:r>
        <w:rPr>
          <w:spacing w:val="-2"/>
          <w:vertAlign w:val="superscript"/>
        </w:rPr>
        <w:footnoteReference w:id="276"/>
      </w:r>
      <w:r w:rsidRPr="001F4993">
        <w:rPr>
          <w:vertAlign w:val="superscript"/>
        </w:rPr>
        <w:t xml:space="preserve"> </w:t>
      </w:r>
      <w:r>
        <w:t xml:space="preserve">  U.S. Census Bureau data for 2012 indicate that 3,117 firms operated during that year.</w:t>
      </w:r>
      <w:r>
        <w:rPr>
          <w:rStyle w:val="FootnoteReference"/>
        </w:rPr>
        <w:footnoteReference w:id="277"/>
      </w:r>
      <w:r>
        <w:t xml:space="preserve">  Of that number, 3,083 operated with fewer than 1,000 employees.</w:t>
      </w:r>
      <w:r>
        <w:rPr>
          <w:vertAlign w:val="superscript"/>
        </w:rPr>
        <w:footnoteReference w:id="278"/>
      </w:r>
      <w:r>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279"/>
      </w:r>
      <w:r>
        <w:t xml:space="preserve">  Of these 1,442 carriers, an estimated 1,256 have 1,500 or fewer employees.</w:t>
      </w:r>
      <w:r>
        <w:rPr>
          <w:spacing w:val="-2"/>
          <w:vertAlign w:val="superscript"/>
        </w:rPr>
        <w:footnoteReference w:id="280"/>
      </w:r>
      <w:r>
        <w:t xml:space="preserve">  In addition, 17 carriers have reported that they are Shared-Tenant Service Providers, and all 17 are estimated to have 1,500 or fewer employees.</w:t>
      </w:r>
      <w:r>
        <w:rPr>
          <w:spacing w:val="-2"/>
          <w:vertAlign w:val="superscript"/>
        </w:rPr>
        <w:footnoteReference w:id="281"/>
      </w:r>
      <w:r>
        <w:t xml:space="preserve">  Also, 72 carriers have reported that they are Other Local Service Providers.</w:t>
      </w:r>
      <w:r>
        <w:rPr>
          <w:spacing w:val="-2"/>
          <w:vertAlign w:val="superscript"/>
        </w:rPr>
        <w:footnoteReference w:id="282"/>
      </w:r>
      <w:r w:rsidRPr="001F4993">
        <w:rPr>
          <w:vertAlign w:val="superscript"/>
        </w:rPr>
        <w:t xml:space="preserve"> </w:t>
      </w:r>
      <w:r>
        <w:t xml:space="preserve">  Of this total, 70 have 1,500 or fewer employees.</w:t>
      </w:r>
      <w:r>
        <w:rPr>
          <w:spacing w:val="-2"/>
          <w:vertAlign w:val="superscript"/>
        </w:rPr>
        <w:footnoteReference w:id="283"/>
      </w:r>
      <w:r>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7D15C3" w:rsidRPr="00B06F8A" w:rsidP="007D15C3">
      <w:pPr>
        <w:pStyle w:val="ParaNum"/>
      </w:pPr>
      <w:r w:rsidRPr="001F4993">
        <w:rPr>
          <w:b/>
          <w:bCs/>
        </w:rPr>
        <w:t>Interexchange Carriers (IXCs)</w:t>
      </w:r>
      <w:r>
        <w:t>.  Neither the Commission nor the SBA has developed a small business size standard specifically for Interexchange Carriers.  The closest applicable NAICS Code category is Wired Telecommunications Carriers.</w:t>
      </w:r>
      <w:r>
        <w:rPr>
          <w:rStyle w:val="FootnoteReference"/>
        </w:rPr>
        <w:footnoteReference w:id="284"/>
      </w:r>
      <w:r>
        <w:t xml:space="preserve"> The applicable size standard under SBA rules </w:t>
      </w:r>
      <w:bookmarkStart w:id="248" w:name="_Hlk23924288"/>
      <w:r>
        <w:t>is that such a business is small if it has 1,500 or fewer employees.</w:t>
      </w:r>
      <w:r>
        <w:rPr>
          <w:spacing w:val="-2"/>
          <w:vertAlign w:val="superscript"/>
        </w:rPr>
        <w:footnoteReference w:id="285"/>
      </w:r>
      <w:r>
        <w:t xml:space="preserve">  </w:t>
      </w:r>
      <w:bookmarkStart w:id="249" w:name="_Hlk23924389"/>
      <w:bookmarkStart w:id="250" w:name="_Hlk23924351"/>
      <w:bookmarkEnd w:id="248"/>
      <w:r>
        <w:t xml:space="preserve">U.S. Census Bureau data for 2012 indicate </w:t>
      </w:r>
      <w:r>
        <w:t>that 3,117 firms operated for the entire year.</w:t>
      </w:r>
      <w:r>
        <w:rPr>
          <w:rStyle w:val="FootnoteReference"/>
        </w:rPr>
        <w:footnoteReference w:id="286"/>
      </w:r>
      <w:r>
        <w:t xml:space="preserve">  Of that number, 3,083 operated with fewer than 1,000 employees.</w:t>
      </w:r>
      <w:r>
        <w:rPr>
          <w:sz w:val="20"/>
          <w:vertAlign w:val="superscript"/>
        </w:rPr>
        <w:footnoteReference w:id="287"/>
      </w:r>
      <w:r>
        <w:t xml:space="preserve">  According to internally developed Commission data, 359 companies reported that their primary telecommunications service activity was the provision of interexchange services.</w:t>
      </w:r>
      <w:r>
        <w:rPr>
          <w:spacing w:val="-2"/>
          <w:sz w:val="20"/>
          <w:vertAlign w:val="superscript"/>
        </w:rPr>
        <w:footnoteReference w:id="288"/>
      </w:r>
      <w:r>
        <w:t xml:space="preserve">  Of this total, an estimated 317 have 1,500 or fewer employees.</w:t>
      </w:r>
      <w:r>
        <w:rPr>
          <w:spacing w:val="-2"/>
          <w:sz w:val="20"/>
          <w:vertAlign w:val="superscript"/>
        </w:rPr>
        <w:footnoteReference w:id="289"/>
      </w:r>
      <w:r>
        <w:t xml:space="preserve">  Consequently, the Commission estimates that the majority of interexchange service providers are small entities</w:t>
      </w:r>
      <w:bookmarkEnd w:id="249"/>
      <w:r>
        <w:t>.</w:t>
      </w:r>
      <w:bookmarkEnd w:id="250"/>
      <w:r>
        <w:t xml:space="preserve"> </w:t>
      </w:r>
    </w:p>
    <w:p w:rsidR="007D15C3" w:rsidRPr="00B06F8A" w:rsidP="007D15C3">
      <w:pPr>
        <w:pStyle w:val="ParaNum"/>
      </w:pPr>
      <w:r w:rsidRPr="001F4993">
        <w:rPr>
          <w:b/>
          <w:bCs/>
        </w:rPr>
        <w:t>Prepaid Calling Card Providers.</w:t>
      </w:r>
      <w:r>
        <w:t xml:space="preserve">  Neither the Commission nor the SBA has developed a small business size standard specifically for prepaid calling card providers.  The appropriate NAICS code category for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w:t>
      </w:r>
      <w:r w:rsidRPr="001F4993">
        <w:rPr>
          <w:rFonts w:eastAsia="Calibri"/>
        </w:rPr>
        <w:t>Establishments in this industry resell telecommunications; they do not operate transmission facilities and infrastructure.  Mobile virtual network operators (MVNOs) are included in this industry.</w:t>
      </w:r>
      <w:r>
        <w:rPr>
          <w:rStyle w:val="FootnoteReference"/>
          <w:rFonts w:eastAsia="Calibri"/>
          <w:szCs w:val="22"/>
        </w:rPr>
        <w:footnoteReference w:id="290"/>
      </w:r>
      <w:r w:rsidRPr="001F4993">
        <w:rPr>
          <w:rFonts w:eastAsia="Calibri"/>
        </w:rPr>
        <w:t xml:space="preserve">  The SBA has developed a small business size standard for the category of Telecommunications Resellers.</w:t>
      </w:r>
      <w:r>
        <w:rPr>
          <w:rStyle w:val="FootnoteReference"/>
          <w:rFonts w:eastAsia="Calibri"/>
          <w:szCs w:val="22"/>
        </w:rPr>
        <w:footnoteReference w:id="291"/>
      </w:r>
      <w:r w:rsidRPr="001F4993">
        <w:rPr>
          <w:rFonts w:eastAsia="Calibri"/>
        </w:rPr>
        <w:t xml:space="preserve">  Under that size standard, such a business is small if it has 1,500 or fewer employees.</w:t>
      </w:r>
      <w:r>
        <w:rPr>
          <w:rStyle w:val="FootnoteReference"/>
          <w:rFonts w:eastAsia="Calibri"/>
          <w:szCs w:val="22"/>
        </w:rPr>
        <w:footnoteReference w:id="292"/>
      </w:r>
      <w:r w:rsidRPr="001F4993">
        <w:rPr>
          <w:rFonts w:eastAsia="Calibri"/>
        </w:rPr>
        <w:t xml:space="preserve">  U.S. Census Bureau data for 2012 show that 1,341 firms provided resale services during that year.</w:t>
      </w:r>
      <w:r>
        <w:rPr>
          <w:rStyle w:val="FootnoteReference"/>
          <w:rFonts w:eastAsia="Calibri"/>
          <w:szCs w:val="22"/>
        </w:rPr>
        <w:footnoteReference w:id="293"/>
      </w:r>
      <w:r w:rsidRPr="001F4993">
        <w:rPr>
          <w:rFonts w:eastAsia="Calibri"/>
        </w:rPr>
        <w:t xml:space="preserve">  Of that number, 1,341 operated with fewer than 1,000 employees.</w:t>
      </w:r>
      <w:r>
        <w:rPr>
          <w:rStyle w:val="FootnoteReference"/>
          <w:rFonts w:eastAsia="Calibri"/>
          <w:szCs w:val="22"/>
        </w:rPr>
        <w:footnoteReference w:id="294"/>
      </w:r>
      <w:r w:rsidRPr="001F4993">
        <w:rPr>
          <w:rFonts w:eastAsia="Calibri"/>
        </w:rPr>
        <w:t xml:space="preserve">  Thus, under this category and the associated small business size standard, the majority of these resellers can be considered small entities.</w:t>
      </w:r>
      <w:r>
        <w:t xml:space="preserve">  According to Commission data, 193 carriers have reported that they are engaged in the provision of prepaid calling cards.</w:t>
      </w:r>
      <w:r>
        <w:rPr>
          <w:rStyle w:val="FootnoteReference"/>
          <w:spacing w:val="-2"/>
          <w:szCs w:val="22"/>
        </w:rPr>
        <w:footnoteReference w:id="295"/>
      </w:r>
      <w:r>
        <w:t xml:space="preserve">  All 193 carriers have 1,500 or fewer employees.</w:t>
      </w:r>
      <w:r>
        <w:rPr>
          <w:rStyle w:val="FootnoteReference"/>
          <w:spacing w:val="-2"/>
          <w:szCs w:val="22"/>
        </w:rPr>
        <w:footnoteReference w:id="296"/>
      </w:r>
      <w:r>
        <w:t xml:space="preserve">  Consequently, the Commission estimates that the majority of prepaid calling card providers are small.</w:t>
      </w:r>
    </w:p>
    <w:p w:rsidR="007D15C3" w:rsidRPr="00B06F8A" w:rsidP="007D15C3">
      <w:pPr>
        <w:pStyle w:val="ParaNum"/>
      </w:pPr>
      <w:r w:rsidRPr="001F4993">
        <w:rPr>
          <w:b/>
          <w:bCs/>
        </w:rPr>
        <w:t>Local Resellers</w:t>
      </w:r>
      <w:r>
        <w:t xml:space="preserve">.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w:t>
      </w:r>
      <w:r>
        <w:t>industry.</w:t>
      </w:r>
      <w:r>
        <w:rPr>
          <w:vertAlign w:val="superscript"/>
        </w:rPr>
        <w:footnoteReference w:id="297"/>
      </w:r>
      <w:r>
        <w:t xml:space="preserve">  Under the SBA’s size standard, such a business is small if it has 1,500 or fewer employees.</w:t>
      </w:r>
      <w:r>
        <w:rPr>
          <w:vertAlign w:val="superscript"/>
        </w:rPr>
        <w:footnoteReference w:id="298"/>
      </w:r>
      <w:r>
        <w:t xml:space="preserve">  U.S. Census Bureau data from 2012 show that 1,341 firms provided resale services during that year.</w:t>
      </w:r>
      <w:r>
        <w:rPr>
          <w:rStyle w:val="FootnoteReference"/>
        </w:rPr>
        <w:footnoteReference w:id="299"/>
      </w:r>
      <w:r>
        <w:t xml:space="preserve">  Of that number, all operated with fewer than 1,000 employees.</w:t>
      </w:r>
      <w:r>
        <w:rPr>
          <w:vertAlign w:val="superscript"/>
        </w:rPr>
        <w:footnoteReference w:id="300"/>
      </w:r>
      <w:r>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301"/>
      </w:r>
      <w:r>
        <w:t xml:space="preserve">  Of these, an estimated 211 have 1,500 or fewer employees and two have more than 1,500 employees.</w:t>
      </w:r>
      <w:r>
        <w:rPr>
          <w:vertAlign w:val="superscript"/>
        </w:rPr>
        <w:footnoteReference w:id="302"/>
      </w:r>
      <w:r>
        <w:t xml:space="preserve">  Consequently, the Commission estimates that the majority of local resellers are small entities. </w:t>
      </w:r>
    </w:p>
    <w:p w:rsidR="007D15C3" w:rsidRPr="00B06F8A" w:rsidP="007D15C3">
      <w:pPr>
        <w:pStyle w:val="ParaNum"/>
      </w:pPr>
      <w:r w:rsidRPr="001F4993">
        <w:rPr>
          <w:b/>
          <w:bCs/>
        </w:rPr>
        <w:t>Toll Resellers</w:t>
      </w:r>
      <w:r>
        <w:t>.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303"/>
      </w:r>
      <w:r>
        <w:t xml:space="preserve">  The SBA has developed a small business size standard for the category of Telecommunications Resellers.</w:t>
      </w:r>
      <w:r>
        <w:rPr>
          <w:vertAlign w:val="superscript"/>
        </w:rPr>
        <w:footnoteReference w:id="304"/>
      </w:r>
      <w:r>
        <w:t xml:space="preserve">  Under that size standard, such a business is small if it has 1,500 or fewer employees.</w:t>
      </w:r>
      <w:r>
        <w:rPr>
          <w:vertAlign w:val="superscript"/>
        </w:rPr>
        <w:footnoteReference w:id="305"/>
      </w:r>
      <w:r>
        <w:t xml:space="preserve">  2012 Census Bureau data show that 1,341 firms provided resale services during that year.</w:t>
      </w:r>
      <w:r>
        <w:rPr>
          <w:rStyle w:val="FootnoteReference"/>
        </w:rPr>
        <w:footnoteReference w:id="306"/>
      </w:r>
      <w:r>
        <w:t xml:space="preserve">  Of that number, 1,341 operated with fewer than 1,000 employees.</w:t>
      </w:r>
      <w:r>
        <w:rPr>
          <w:vertAlign w:val="superscript"/>
        </w:rPr>
        <w:footnoteReference w:id="307"/>
      </w:r>
      <w: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308"/>
      </w:r>
      <w:r>
        <w:t xml:space="preserve">  Of this total, an estimated 857 have 1,500 or fewer employees.</w:t>
      </w:r>
      <w:r>
        <w:rPr>
          <w:vertAlign w:val="superscript"/>
        </w:rPr>
        <w:footnoteReference w:id="309"/>
      </w:r>
      <w:r>
        <w:t xml:space="preserve">  Consequently, the Commission estimates that the majority of toll resellers are small entities. The closest NAICS Code Category is Telecommunications Resellers.  The Telecommunications Resellers industry comprises </w:t>
      </w:r>
      <w:r>
        <w:t>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310"/>
      </w:r>
      <w:r>
        <w:t xml:space="preserve">  The SBA has developed a small business size standard for the category of Telecommunications Resellers.</w:t>
      </w:r>
      <w:r>
        <w:rPr>
          <w:vertAlign w:val="superscript"/>
        </w:rPr>
        <w:footnoteReference w:id="311"/>
      </w:r>
      <w:r>
        <w:t xml:space="preserve">  Under that size standard, such a business is small if it has 1,500 or fewer employees.</w:t>
      </w:r>
      <w:r>
        <w:rPr>
          <w:vertAlign w:val="superscript"/>
        </w:rPr>
        <w:footnoteReference w:id="312"/>
      </w:r>
      <w:r>
        <w:t xml:space="preserve">  2012 Census Bureau data show that 1,341 firms provided resale services during that year.</w:t>
      </w:r>
      <w:r>
        <w:rPr>
          <w:rStyle w:val="FootnoteReference"/>
        </w:rPr>
        <w:footnoteReference w:id="313"/>
      </w:r>
      <w:r>
        <w:t xml:space="preserve">  Of that number, 1,341 operated with fewer than 1,000 employees.</w:t>
      </w:r>
      <w:r>
        <w:rPr>
          <w:vertAlign w:val="superscript"/>
        </w:rPr>
        <w:footnoteReference w:id="314"/>
      </w:r>
      <w: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315"/>
      </w:r>
      <w:r>
        <w:t xml:space="preserve">  Of this total, an estimated 857 have 1,500 or fewer employees.</w:t>
      </w:r>
      <w:r>
        <w:rPr>
          <w:vertAlign w:val="superscript"/>
        </w:rPr>
        <w:footnoteReference w:id="316"/>
      </w:r>
      <w:r>
        <w:t xml:space="preserve">  Consequently, the Commission estimates that the majority of toll resellers are small entities.</w:t>
      </w:r>
    </w:p>
    <w:p w:rsidR="007D15C3" w:rsidRPr="00B06F8A" w:rsidP="007D15C3">
      <w:pPr>
        <w:pStyle w:val="ParaNum"/>
      </w:pPr>
      <w:r w:rsidRPr="001F4993">
        <w:rPr>
          <w:b/>
          <w:bCs/>
        </w:rPr>
        <w:t>Other Toll Carriers</w:t>
      </w:r>
      <w: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6 of this IRFA.  Under that size standard, such a business is small if it has 1,500 or fewer employees.</w:t>
      </w:r>
      <w:r>
        <w:rPr>
          <w:rStyle w:val="FootnoteReference"/>
        </w:rPr>
        <w:footnoteReference w:id="317"/>
      </w:r>
      <w:r>
        <w:t xml:space="preserve">  U.S. Census Bureau data for 2012 show that there were 3,117 firms that operated that year.</w:t>
      </w:r>
      <w:r>
        <w:rPr>
          <w:rStyle w:val="FootnoteReference"/>
        </w:rPr>
        <w:footnoteReference w:id="318"/>
      </w:r>
      <w:r>
        <w:t xml:space="preserve">  Of this total, 3,083 operated with fewer than 1,000 employees.</w:t>
      </w:r>
      <w:r>
        <w:rPr>
          <w:rStyle w:val="FootnoteReference"/>
        </w:rPr>
        <w:footnoteReference w:id="319"/>
      </w:r>
      <w:r>
        <w:t xml:space="preserve">  Thus, under this size standard, the majority of firms in this industry can be considered small.  According to Commission data, 284 companies reported that their primary telecommunications service activity was the provision of other toll carriage.</w:t>
      </w:r>
      <w:r>
        <w:rPr>
          <w:rStyle w:val="FootnoteReference"/>
          <w:spacing w:val="-2"/>
          <w:szCs w:val="22"/>
        </w:rPr>
        <w:footnoteReference w:id="320"/>
      </w:r>
      <w:r>
        <w:t xml:space="preserve">  Of these, an estimated 279 have 1,500 or fewer employees.</w:t>
      </w:r>
      <w:r>
        <w:rPr>
          <w:rStyle w:val="FootnoteReference"/>
          <w:spacing w:val="-2"/>
          <w:szCs w:val="22"/>
        </w:rPr>
        <w:footnoteReference w:id="321"/>
      </w:r>
      <w:r>
        <w:t xml:space="preserve">  Consequently, the Commission estimates that most Other Toll Carriers are small entities.</w:t>
      </w:r>
    </w:p>
    <w:p w:rsidR="007D15C3" w:rsidRPr="00B06F8A" w:rsidP="007D15C3">
      <w:pPr>
        <w:pStyle w:val="ParaNum"/>
      </w:pPr>
      <w:r w:rsidRPr="001F4993">
        <w:rPr>
          <w:b/>
          <w:bCs/>
        </w:rPr>
        <w:t>Wireless Telecommunications Carriers (except Satellite)</w:t>
      </w:r>
      <w:r>
        <w:t xml:space="preserve">.  This industry comprises establishments engaged in operating and maintaining switching and transmission facilities to provide communications via the airwaves.  Establishments in this industry have spectrum licenses and provide </w:t>
      </w:r>
      <w:r>
        <w:t>services using that spectrum, such as cellular services, paging services, wireless internet access, and wireless video services.</w:t>
      </w:r>
      <w:r>
        <w:rPr>
          <w:rStyle w:val="FootnoteReference"/>
        </w:rPr>
        <w:footnoteReference w:id="322"/>
      </w:r>
      <w:r>
        <w:t xml:space="preserve">  The appropriate size standard under SBA rules is that such a business is small if it has 1,500 or fewer employees.</w:t>
      </w:r>
      <w:r>
        <w:rPr>
          <w:rStyle w:val="FootnoteReference"/>
          <w:szCs w:val="22"/>
        </w:rPr>
        <w:footnoteReference w:id="323"/>
      </w:r>
      <w:r>
        <w:t xml:space="preserve">  For this industry, U.S. Census Bureau data for 2012 show that there were 967 firms that operated for the entire year.</w:t>
      </w:r>
      <w:r>
        <w:rPr>
          <w:rStyle w:val="FootnoteReference"/>
          <w:szCs w:val="22"/>
        </w:rPr>
        <w:footnoteReference w:id="324"/>
      </w:r>
      <w:r>
        <w:t xml:space="preserve">  Of this total, 955 firms had employment of 999 or fewer employees and 12 had employment of 1000 employees or more.</w:t>
      </w:r>
      <w:r>
        <w:rPr>
          <w:rStyle w:val="FootnoteReference"/>
          <w:szCs w:val="22"/>
        </w:rPr>
        <w:footnoteReference w:id="325"/>
      </w:r>
      <w:r>
        <w:t xml:space="preserve">  Thus under this category and the associated size standard, the Commission estimates that the majority of wireless telecommunications carriers (except satellite) are small entities.</w:t>
      </w:r>
    </w:p>
    <w:p w:rsidR="007D15C3" w:rsidP="007D15C3">
      <w:pPr>
        <w:pStyle w:val="ParaNum"/>
      </w:pPr>
      <w:r w:rsidRPr="001F4993">
        <w:rPr>
          <w:b/>
          <w:bCs/>
        </w:rPr>
        <w:t>Television Broadcasting</w:t>
      </w:r>
      <w:r>
        <w:t>.  This Economic Census category “comprises establishments primarily engaged in broadcasting images together with sound.”</w:t>
      </w:r>
      <w:r>
        <w:rPr>
          <w:rStyle w:val="FootnoteReference"/>
        </w:rPr>
        <w:footnoteReference w:id="326"/>
      </w:r>
      <w:r>
        <w:t xml:space="preserve">  These establishments operate television broadcast studios and facilities for the programming and transmission of programs to the public.</w:t>
      </w:r>
      <w:r>
        <w:rPr>
          <w:rStyle w:val="FootnoteReference"/>
        </w:rPr>
        <w:footnoteReference w:id="327"/>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rStyle w:val="FootnoteReference"/>
        </w:rPr>
        <w:footnoteReference w:id="328"/>
      </w:r>
      <w:r>
        <w:t xml:space="preserve">  The 2012 Economic Census reports that 751 firms in this category operated in that year.</w:t>
      </w:r>
      <w:r>
        <w:rPr>
          <w:rStyle w:val="FootnoteReference"/>
        </w:rPr>
        <w:footnoteReference w:id="329"/>
      </w:r>
      <w:r>
        <w:t xml:space="preserve">  Of that number, 656 had annual receipts of $25,000,000 or less.</w:t>
      </w:r>
      <w:r>
        <w:rPr>
          <w:rStyle w:val="FootnoteReference"/>
        </w:rPr>
        <w:footnoteReference w:id="330"/>
      </w:r>
      <w:r>
        <w:t xml:space="preserve">  Based on this data we therefore estimate that the majority of commercial television broadcasters are small entities under the applicable SBA size standard. </w:t>
      </w:r>
    </w:p>
    <w:p w:rsidR="007D15C3" w:rsidP="007D15C3">
      <w:pPr>
        <w:pStyle w:val="ParaNum"/>
      </w:pPr>
      <w:r>
        <w:t>The Commission has estimated the number of licensed commercial television stations to be 1,377.</w:t>
      </w:r>
      <w:r>
        <w:rPr>
          <w:rStyle w:val="FootnoteReference"/>
          <w:szCs w:val="22"/>
        </w:rPr>
        <w:footnoteReference w:id="331"/>
      </w:r>
      <w:r>
        <w:t xml:space="preserve">  Of this total, 1,258 stations (or about 91 percent) had revenues of $41.5 million or less, according to Commission staff review of the BIA Kelsey Inc. Media Access Pro Television Database (BIA) on November 16, 2017, and therefore these licensees qualify as small entities under the SBA definition.  In addition, the Commission has estimated the number of licensed noncommercial educational television stations to be 384.</w:t>
      </w:r>
      <w:r>
        <w:rPr>
          <w:rStyle w:val="FootnoteReference"/>
        </w:rPr>
        <w:footnoteReference w:id="332"/>
      </w:r>
      <w:r>
        <w:t xml:space="preserve">  Notwithstanding, the Commission does not compile and otherwise does not have access to information on the revenue of NCE stations that would permit it to determine how many such stations would qualify as small entities.  There are also 2,300 low power television stations, </w:t>
      </w:r>
      <w:r>
        <w:t>including Class A stations (LPTV) and 3,681 TV translator stations.</w:t>
      </w:r>
      <w:r>
        <w:rPr>
          <w:sz w:val="20"/>
          <w:vertAlign w:val="superscript"/>
        </w:rPr>
        <w:footnoteReference w:id="333"/>
      </w:r>
      <w:r>
        <w:t xml:space="preserve">  Given the nature of these services, we will presume that all of these entities qualify as small entities under the above SBA small business size standard.  </w:t>
      </w:r>
    </w:p>
    <w:p w:rsidR="007D15C3" w:rsidRPr="00BE3712" w:rsidP="007D15C3">
      <w:pPr>
        <w:pStyle w:val="ParaNum"/>
      </w:pPr>
      <w:r>
        <w:t>We note, however, that in assessing whether a business concern qualifies as “small” under the above definition, business (control) affiliations</w:t>
      </w:r>
      <w:r>
        <w:rPr>
          <w:rStyle w:val="FootnoteReference"/>
          <w:szCs w:val="22"/>
        </w:rPr>
        <w:footnoteReference w:id="334"/>
      </w:r>
      <w: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7D15C3" w:rsidRPr="00883000" w:rsidP="007D15C3">
      <w:pPr>
        <w:pStyle w:val="ParaNum"/>
      </w:pPr>
      <w:r w:rsidRPr="001F4993">
        <w:rPr>
          <w:b/>
        </w:rPr>
        <w:t>Radio Stations</w:t>
      </w:r>
      <w:r w:rsidRPr="00B06F8A">
        <w:t xml:space="preserve">.  </w:t>
      </w:r>
      <w:r>
        <w:t>This Economic</w:t>
      </w:r>
      <w:r w:rsidRPr="001F4993">
        <w:rPr>
          <w:snapToGrid/>
          <w:kern w:val="0"/>
        </w:rPr>
        <w:t xml:space="preserve"> Census category “comprises establishments primarily engaged in broadcasting aural programs by radio to the public.  </w:t>
      </w:r>
      <w:r w:rsidRPr="006023CB">
        <w:t>Programming may originate in their own studio, from an affiliated network, or from external sources.”</w:t>
      </w:r>
      <w:r>
        <w:rPr>
          <w:sz w:val="20"/>
          <w:vertAlign w:val="superscript"/>
        </w:rPr>
        <w:footnoteReference w:id="335"/>
      </w:r>
      <w:r w:rsidRPr="006023CB">
        <w:t xml:space="preserve"> </w:t>
      </w:r>
      <w:r w:rsidRPr="001F4993">
        <w:rPr>
          <w:snapToGrid/>
          <w:kern w:val="0"/>
        </w:rPr>
        <w:t xml:space="preserve">  The SBA has established a small business size standard for this category as firms having $</w:t>
      </w:r>
      <w:r>
        <w:rPr>
          <w:snapToGrid/>
          <w:kern w:val="0"/>
        </w:rPr>
        <w:t>41</w:t>
      </w:r>
      <w:r w:rsidRPr="001F4993">
        <w:rPr>
          <w:snapToGrid/>
          <w:kern w:val="0"/>
        </w:rPr>
        <w:t>.5 million or less in annual receipts.</w:t>
      </w:r>
      <w:r>
        <w:rPr>
          <w:snapToGrid/>
          <w:kern w:val="0"/>
          <w:vertAlign w:val="superscript"/>
        </w:rPr>
        <w:footnoteReference w:id="336"/>
      </w:r>
      <w:r w:rsidRPr="001F4993">
        <w:rPr>
          <w:snapToGrid/>
          <w:kern w:val="0"/>
        </w:rPr>
        <w:t xml:space="preserve">  Economic Census data for 2012 show that 2,849 radio station firms operated during that year.</w:t>
      </w:r>
      <w:r>
        <w:rPr>
          <w:snapToGrid/>
          <w:kern w:val="0"/>
          <w:vertAlign w:val="superscript"/>
        </w:rPr>
        <w:footnoteReference w:id="337"/>
      </w:r>
      <w:r w:rsidRPr="001F4993">
        <w:rPr>
          <w:snapToGrid/>
          <w:kern w:val="0"/>
        </w:rPr>
        <w:t xml:space="preserve">  Of that number, 2,806 firms operated with annual receipts of less than $25 million per year, </w:t>
      </w:r>
      <w:r>
        <w:t>17 with annual receipts between $25 million and $49,999,999 million and 26 with annual receipts of $50 million or more</w:t>
      </w:r>
      <w:r w:rsidRPr="006023CB">
        <w:t>.</w:t>
      </w:r>
      <w:r>
        <w:rPr>
          <w:sz w:val="20"/>
          <w:vertAlign w:val="superscript"/>
        </w:rPr>
        <w:footnoteReference w:id="338"/>
      </w:r>
      <w:r w:rsidRPr="006023CB">
        <w:t xml:space="preserve"> </w:t>
      </w:r>
      <w:r w:rsidRPr="001F4993">
        <w:rPr>
          <w:snapToGrid/>
          <w:kern w:val="0"/>
        </w:rPr>
        <w:t xml:space="preserve">  Therefore, based on the SBA’s size standard the majority of such entities are small entities. </w:t>
      </w:r>
    </w:p>
    <w:p w:rsidR="007D15C3" w:rsidRPr="006D06D6" w:rsidP="007D15C3">
      <w:pPr>
        <w:pStyle w:val="ParaNum"/>
        <w:rPr>
          <w:rStyle w:val="documentbody1"/>
        </w:rPr>
      </w:pPr>
      <w:r>
        <w:t>A</w:t>
      </w:r>
      <w:r w:rsidRPr="00AA4FA8">
        <w:t>ccording to Commission staff review of the BIA/Kelsey, LLC’s Me</w:t>
      </w:r>
      <w:r>
        <w:t xml:space="preserve">dia Access Pro Radio Database as of January 2018, </w:t>
      </w:r>
      <w:r w:rsidRPr="001F4993">
        <w:rPr>
          <w:snapToGrid/>
          <w:kern w:val="0"/>
          <w:szCs w:val="22"/>
        </w:rPr>
        <w:t>about 11,261 (or about 99.9 percent) of 11,383 commercial radio stations had revenues of $</w:t>
      </w:r>
      <w:r>
        <w:rPr>
          <w:snapToGrid/>
          <w:kern w:val="0"/>
          <w:szCs w:val="22"/>
        </w:rPr>
        <w:t>41</w:t>
      </w:r>
      <w:r w:rsidRPr="001F4993">
        <w:rPr>
          <w:snapToGrid/>
          <w:kern w:val="0"/>
          <w:szCs w:val="22"/>
        </w:rPr>
        <w:t xml:space="preserve">.5 million or less </w:t>
      </w:r>
      <w:r>
        <w:t>and thus qualify as small entities under the SBA definition.</w:t>
      </w:r>
      <w:r>
        <w:rPr>
          <w:rStyle w:val="FootnoteReference"/>
        </w:rPr>
        <w:footnoteReference w:id="339"/>
      </w:r>
      <w:r>
        <w:t xml:space="preserve"> </w:t>
      </w:r>
      <w:r w:rsidRPr="001F4993">
        <w:rPr>
          <w:snapToGrid/>
          <w:kern w:val="0"/>
          <w:szCs w:val="22"/>
        </w:rPr>
        <w:t xml:space="preserve">The Commission has estimated the number of licensed commercial AM radio stations to be 4,633 stations and the number of commercial FM radio stations to be 6,738, for a total </w:t>
      </w:r>
      <w:r w:rsidRPr="001F4993">
        <w:rPr>
          <w:snapToGrid/>
        </w:rPr>
        <w:t>number</w:t>
      </w:r>
      <w:r w:rsidRPr="001F4993">
        <w:rPr>
          <w:snapToGrid/>
          <w:kern w:val="0"/>
          <w:szCs w:val="22"/>
        </w:rPr>
        <w:t xml:space="preserve"> of 11,371.</w:t>
      </w:r>
      <w:r>
        <w:rPr>
          <w:snapToGrid/>
          <w:kern w:val="0"/>
          <w:szCs w:val="22"/>
          <w:vertAlign w:val="superscript"/>
        </w:rPr>
        <w:footnoteReference w:id="340"/>
      </w:r>
      <w:r w:rsidRPr="001F4993">
        <w:rPr>
          <w:snapToGrid/>
          <w:kern w:val="0"/>
          <w:szCs w:val="22"/>
        </w:rPr>
        <w:t xml:space="preserve">  We note the Commission has also estimated the number of </w:t>
      </w:r>
      <w:r w:rsidRPr="00AA4FA8">
        <w:t xml:space="preserve">licensed noncommercial </w:t>
      </w:r>
      <w:r>
        <w:t>(</w:t>
      </w:r>
      <w:r w:rsidRPr="001F4993">
        <w:rPr>
          <w:snapToGrid/>
          <w:kern w:val="0"/>
          <w:szCs w:val="22"/>
        </w:rPr>
        <w:t>NCE) FM radio stations to be 4,128.</w:t>
      </w:r>
      <w:r>
        <w:rPr>
          <w:snapToGrid/>
          <w:kern w:val="0"/>
          <w:szCs w:val="22"/>
          <w:vertAlign w:val="superscript"/>
        </w:rPr>
        <w:footnoteReference w:id="341"/>
      </w:r>
      <w:r w:rsidRPr="001F4993">
        <w:rPr>
          <w:snapToGrid/>
          <w:kern w:val="0"/>
          <w:szCs w:val="22"/>
        </w:rPr>
        <w:t xml:space="preserve">  Nevertheless, t</w:t>
      </w:r>
      <w:r>
        <w:t>he Commission does not compile and otherwise does not have access to information on the revenue of NCE stations that would permit it to determine how many such stations would qualify as small entities.</w:t>
      </w:r>
      <w:r w:rsidRPr="001F4993">
        <w:rPr>
          <w:snapToGrid/>
          <w:kern w:val="0"/>
          <w:szCs w:val="22"/>
        </w:rPr>
        <w:t xml:space="preserve"> </w:t>
      </w:r>
      <w:r>
        <w:t xml:space="preserve">We also note, that in assessing whether a business entity </w:t>
      </w:r>
      <w:r>
        <w:t>qualifies as small under the above definition, business control affiliations must be included.</w:t>
      </w:r>
      <w:r>
        <w:rPr>
          <w:rStyle w:val="FootnoteReference"/>
        </w:rPr>
        <w:footnoteReference w:id="342"/>
      </w:r>
      <w:r>
        <w:t xml:space="preserve">  The Commission’s estimate therefore likely overstates the number of small entities that might be affected by its action, because the revenue figure on which it is based does not include or aggregate revenues from affiliated companies.  </w:t>
      </w:r>
      <w:r w:rsidRPr="001B5E20">
        <w:t>In addition, to be determined a “small business,” an entity may not be dominant in its field of operation.</w:t>
      </w:r>
      <w:r>
        <w:rPr>
          <w:vertAlign w:val="superscript"/>
        </w:rPr>
        <w:footnoteReference w:id="343"/>
      </w:r>
      <w:r w:rsidRPr="001B5E20">
        <w:t xml:space="preserve"> We </w:t>
      </w:r>
      <w:r>
        <w:t xml:space="preserve">further note, </w:t>
      </w:r>
      <w:r w:rsidRPr="001B5E20">
        <w:t xml:space="preserve">that it is difficult at times to assess these criteria in the context of media entities, and the estimate of small businesses to which </w:t>
      </w:r>
      <w:r>
        <w:t xml:space="preserve">these </w:t>
      </w:r>
      <w:r w:rsidRPr="001B5E20">
        <w:t>rules may apply does not exclude any radio station from the definition of a small business on these basis</w:t>
      </w:r>
      <w:r>
        <w:t>,</w:t>
      </w:r>
      <w:r w:rsidRPr="001B5E20">
        <w:t xml:space="preserve"> thus our estimate of small businesses may therefore be over-inclusive</w:t>
      </w:r>
      <w:r>
        <w:t>.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r w:rsidRPr="001F4993">
        <w:rPr>
          <w:rStyle w:val="documentbody1"/>
          <w:color w:val="000000"/>
          <w:szCs w:val="22"/>
        </w:rPr>
        <w:t xml:space="preserve"> </w:t>
      </w:r>
    </w:p>
    <w:p w:rsidR="007D15C3" w:rsidRPr="00AF00EE" w:rsidP="007D15C3">
      <w:pPr>
        <w:pStyle w:val="ParaNum"/>
      </w:pPr>
      <w:r w:rsidRPr="001F4993">
        <w:rPr>
          <w:b/>
          <w:szCs w:val="22"/>
        </w:rPr>
        <w:t>Cable Companies and Systems (Rate Regulation)</w:t>
      </w:r>
      <w:r w:rsidRPr="001F4993">
        <w:rPr>
          <w:szCs w:val="22"/>
        </w:rPr>
        <w:t xml:space="preserve">.  </w:t>
      </w:r>
      <w:r w:rsidRPr="00AF00EE">
        <w:t>The Commission has developed its own small business size standards for the purpose of cable rate regulation.  Under the Commission’s rules, a “small cable company” is one serving 400,000 or fewer subscribers nationwide.</w:t>
      </w:r>
      <w:r>
        <w:rPr>
          <w:sz w:val="20"/>
          <w:vertAlign w:val="superscript"/>
        </w:rPr>
        <w:footnoteReference w:id="344"/>
      </w:r>
      <w:r w:rsidRPr="00AF00EE">
        <w:t xml:space="preserve">  Industry data indicate that there are 4,600 active cable systems in the United States.</w:t>
      </w:r>
      <w:bookmarkStart w:id="253" w:name="_Ref24452997"/>
      <w:r>
        <w:rPr>
          <w:sz w:val="20"/>
          <w:vertAlign w:val="superscript"/>
        </w:rPr>
        <w:footnoteReference w:id="345"/>
      </w:r>
      <w:bookmarkEnd w:id="253"/>
      <w:r w:rsidRPr="00AF00EE">
        <w:t xml:space="preserve">  Of this total, all but </w:t>
      </w:r>
      <w:r>
        <w:t xml:space="preserve">seven </w:t>
      </w:r>
      <w:r w:rsidRPr="00AF00EE">
        <w:t>cable operators nationwide are small under the 400,000-subscriber size standard.</w:t>
      </w:r>
      <w:r>
        <w:rPr>
          <w:sz w:val="20"/>
          <w:vertAlign w:val="superscript"/>
        </w:rPr>
        <w:footnoteReference w:id="346"/>
      </w:r>
      <w:r w:rsidRPr="00AF00EE">
        <w:t xml:space="preserve">  In addition, under the Commission’s rate regulation rules, a “small system” is a cable system serving 15,000 or fewer subscribers.</w:t>
      </w:r>
      <w:r>
        <w:rPr>
          <w:sz w:val="20"/>
          <w:vertAlign w:val="superscript"/>
        </w:rPr>
        <w:footnoteReference w:id="347"/>
      </w:r>
      <w:r w:rsidRPr="00AF00EE">
        <w:t xml:space="preserve">  </w:t>
      </w:r>
      <w:bookmarkStart w:id="254" w:name="_Hlk24059287"/>
      <w:r w:rsidRPr="00AF00EE">
        <w:t>Commission records show 4,600 cable systems nationwide.</w:t>
      </w:r>
      <w:r>
        <w:rPr>
          <w:sz w:val="20"/>
          <w:vertAlign w:val="superscript"/>
        </w:rPr>
        <w:footnoteReference w:id="348"/>
      </w:r>
      <w:r w:rsidRPr="00AF00EE">
        <w:t xml:space="preserve">  Of this total, 3,900 cable systems have fewer than 15,000 subscribers, and 700 systems have 15,000 or more subscribers, based on the same records.</w:t>
      </w:r>
      <w:r>
        <w:rPr>
          <w:sz w:val="20"/>
          <w:vertAlign w:val="superscript"/>
        </w:rPr>
        <w:footnoteReference w:id="349"/>
      </w:r>
      <w:r w:rsidRPr="00AF00EE">
        <w:t xml:space="preserve">  Thus, under this standard as well, we estimate that most cable systems are small entities.</w:t>
      </w:r>
    </w:p>
    <w:bookmarkEnd w:id="254"/>
    <w:p w:rsidR="007D15C3" w:rsidRPr="009A4C0D" w:rsidP="007D15C3">
      <w:pPr>
        <w:pStyle w:val="ParaNum"/>
      </w:pPr>
      <w:r w:rsidRPr="001F4993">
        <w:rPr>
          <w:b/>
          <w:szCs w:val="22"/>
        </w:rPr>
        <w:t>Cable System Operators (Telecom Act Standard)</w:t>
      </w:r>
      <w:r w:rsidRPr="001F4993">
        <w:rPr>
          <w:szCs w:val="22"/>
        </w:rPr>
        <w:t xml:space="preserve">.  </w:t>
      </w:r>
      <w:r w:rsidRPr="00B05AF4">
        <w:t>The Communications Act</w:t>
      </w:r>
      <w:r w:rsidRPr="009A4C0D">
        <w:t xml:space="preserve"> of 1934, as amended also contains a size standard for small cable system operators, which is “a cable operator that, directly or through an affiliate, serv</w:t>
      </w:r>
      <w:r>
        <w:t>es in the aggregate fewer than one</w:t>
      </w:r>
      <w:r w:rsidRPr="009A4C0D">
        <w:t xml:space="preserve"> percent of all subscribers in the United States and is not affiliated with any entity or entities whose gross annual revenues in the aggregate exceed $250,000,000.”</w:t>
      </w:r>
      <w:r>
        <w:rPr>
          <w:vertAlign w:val="superscript"/>
        </w:rPr>
        <w:footnoteReference w:id="350"/>
      </w:r>
      <w:r w:rsidRPr="00B05AF4">
        <w:t xml:space="preserve">  </w:t>
      </w:r>
      <w:r>
        <w:t>As of 2018, there were</w:t>
      </w:r>
      <w:r w:rsidRPr="00B05AF4">
        <w:t xml:space="preserve"> approximately 5</w:t>
      </w:r>
      <w:r>
        <w:t xml:space="preserve">0,504,624 </w:t>
      </w:r>
      <w:r w:rsidRPr="00B05AF4">
        <w:t>cable video subscribers in the United States.</w:t>
      </w:r>
      <w:r>
        <w:rPr>
          <w:sz w:val="20"/>
          <w:vertAlign w:val="superscript"/>
        </w:rPr>
        <w:footnoteReference w:id="351"/>
      </w:r>
      <w:r w:rsidRPr="00B05AF4">
        <w:t xml:space="preserve">  Accordingly, an operator serving fewer than 5</w:t>
      </w:r>
      <w:r>
        <w:t>05</w:t>
      </w:r>
      <w:r w:rsidRPr="00B05AF4">
        <w:t>,</w:t>
      </w:r>
      <w:r>
        <w:t>046</w:t>
      </w:r>
      <w:r w:rsidRPr="00B05AF4">
        <w:t xml:space="preserve"> subscribers shall be deemed a small operator if its annual revenues, when combined with the t</w:t>
      </w:r>
      <w:r w:rsidRPr="009A4C0D">
        <w:t>otal annual revenues of all its affiliates, do not exceed $250 million in the aggregate.</w:t>
      </w:r>
      <w:r>
        <w:rPr>
          <w:vertAlign w:val="superscript"/>
        </w:rPr>
        <w:footnoteReference w:id="352"/>
      </w:r>
      <w:r w:rsidRPr="00B05AF4">
        <w:t xml:space="preserve">  Based on available data, we find that all but </w:t>
      </w:r>
      <w:r>
        <w:t xml:space="preserve">six </w:t>
      </w:r>
      <w:r w:rsidRPr="00B05AF4">
        <w:t xml:space="preserve">incumbent </w:t>
      </w:r>
      <w:r w:rsidRPr="00B05AF4">
        <w:t>cable operators are small entities under this size standard.</w:t>
      </w:r>
      <w:r>
        <w:rPr>
          <w:vertAlign w:val="superscript"/>
        </w:rPr>
        <w:footnoteReference w:id="353"/>
      </w:r>
      <w:r w:rsidRPr="00B05AF4">
        <w:t xml:space="preserve">  We note that the Commission neither requests nor collects information on whether cable system operators are affiliated with entities whose gross annual revenues exceed $250 million.</w:t>
      </w:r>
      <w:r>
        <w:rPr>
          <w:sz w:val="20"/>
          <w:vertAlign w:val="superscript"/>
        </w:rPr>
        <w:footnoteReference w:id="354"/>
      </w:r>
      <w:r w:rsidRPr="009A4C0D">
        <w:t xml:space="preserve">  </w:t>
      </w:r>
      <w:r>
        <w:t xml:space="preserve">Therefore </w:t>
      </w:r>
      <w:r w:rsidRPr="009A4C0D">
        <w:t xml:space="preserve">we are unable at this time to estimate with greater precision the number of cable system operators that would qualify as small </w:t>
      </w:r>
      <w:bookmarkStart w:id="255" w:name="_Hlk24057491"/>
      <w:r w:rsidRPr="009A4C0D">
        <w:t>cable operators under the definition in the Communications Act</w:t>
      </w:r>
      <w:bookmarkEnd w:id="255"/>
      <w:r w:rsidRPr="009A4C0D">
        <w:t>.</w:t>
      </w:r>
    </w:p>
    <w:p w:rsidR="007D15C3" w:rsidRPr="00B06F8A" w:rsidP="007D15C3">
      <w:pPr>
        <w:pStyle w:val="ParaNum"/>
      </w:pPr>
      <w:r w:rsidRPr="001F4993">
        <w:rPr>
          <w:b/>
          <w:bCs/>
        </w:rPr>
        <w:t>Direct Broadcast Satellite (DBS) Service</w:t>
      </w:r>
      <w:r>
        <w:t>.  DBS service is a nationally distributed subscription service that delivers video and audio programming via satellite to a small parabolic “dish” antenna at the subscriber’s location.  DBS is included in SBA’s economic census category “Wired Telecommunications Carriers.”</w:t>
      </w:r>
      <w:r>
        <w:rPr>
          <w:rStyle w:val="FootnoteReference"/>
        </w:rPr>
        <w:footnoteReference w:id="355"/>
      </w:r>
      <w:r>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356"/>
      </w:r>
      <w:r>
        <w:t xml:space="preserve">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357"/>
      </w:r>
      <w:r>
        <w:t xml:space="preserve">  By exception, establishments providing satellite television distribution services using facilities and infrastructure that they operate are included in this industry.</w:t>
      </w:r>
      <w:r>
        <w:rPr>
          <w:sz w:val="20"/>
          <w:vertAlign w:val="superscript"/>
        </w:rPr>
        <w:footnoteReference w:id="358"/>
      </w:r>
      <w:r>
        <w:t xml:space="preserve">  The SBA determines that a wireline business is small if it has fewer than 1,500 employees.</w:t>
      </w:r>
      <w:r>
        <w:rPr>
          <w:sz w:val="20"/>
          <w:vertAlign w:val="superscript"/>
        </w:rPr>
        <w:footnoteReference w:id="359"/>
      </w:r>
      <w:r>
        <w:t xml:space="preserve">  U.S.  Census Bureau data for 2012 indicates that 3,117 wireline companies were operational during that year.</w:t>
      </w:r>
      <w:r>
        <w:rPr>
          <w:rStyle w:val="FootnoteReference"/>
        </w:rPr>
        <w:footnoteReference w:id="360"/>
      </w:r>
      <w:r>
        <w:t xml:space="preserve">  Of that number, 3,083 operated with fewer than 1,000 employees.</w:t>
      </w:r>
      <w:r>
        <w:rPr>
          <w:sz w:val="20"/>
          <w:vertAlign w:val="superscript"/>
        </w:rPr>
        <w:footnoteReference w:id="361"/>
      </w:r>
      <w:r>
        <w:t xml:space="preserve">  Based on that data, we conclude that the majority of wireline firms are small under the applicable SBA standard.  Currently, however, only two entities provide DBS service, which requires a great deal of capital for operation: DIRECTV (owned by AT&amp;T) and DISH Network.</w:t>
      </w:r>
      <w:r>
        <w:rPr>
          <w:sz w:val="20"/>
          <w:vertAlign w:val="superscript"/>
        </w:rPr>
        <w:footnoteReference w:id="362"/>
      </w:r>
      <w:r>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7D15C3" w:rsidRPr="00B06F8A" w:rsidP="007D15C3">
      <w:pPr>
        <w:pStyle w:val="ParaNum"/>
      </w:pPr>
      <w:r w:rsidRPr="001F4993">
        <w:rPr>
          <w:b/>
          <w:bCs/>
        </w:rPr>
        <w:t>All Other Telecommunications</w:t>
      </w:r>
      <w:r>
        <w:t xml:space="preserve">.  The </w:t>
      </w:r>
      <w:r w:rsidRPr="001F4993">
        <w:rPr>
          <w:b/>
          <w:bCs/>
        </w:rPr>
        <w:t>“</w:t>
      </w:r>
      <w:r>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363"/>
      </w:r>
      <w: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64"/>
      </w:r>
      <w:r>
        <w:t xml:space="preserve">  Establishments providing Internet services or voice over Internet protocol (VoIP) services via client-supplied telecommunications connections are also included in this industry.</w:t>
      </w:r>
      <w:r>
        <w:rPr>
          <w:sz w:val="20"/>
          <w:vertAlign w:val="superscript"/>
        </w:rPr>
        <w:footnoteReference w:id="365"/>
      </w:r>
      <w:r>
        <w:t xml:space="preserve">  The SBA has developed a small business size standard for All Other Telecommunications, which consists of all such firms with annual receipts of $35 million or less.</w:t>
      </w:r>
      <w:r>
        <w:rPr>
          <w:sz w:val="20"/>
          <w:vertAlign w:val="superscript"/>
        </w:rPr>
        <w:footnoteReference w:id="366"/>
      </w:r>
      <w:r>
        <w:t xml:space="preserve">  For this category, U.S. Census Bureau data for 2012 shows that there were 1,442 firms that operated for the entire year.</w:t>
      </w:r>
      <w:r>
        <w:rPr>
          <w:rStyle w:val="FootnoteReference"/>
        </w:rPr>
        <w:footnoteReference w:id="367"/>
      </w:r>
      <w:r>
        <w:t xml:space="preserve">  Of those firms, a total of 1,400 had annual receipts less than $25 million and 15 firms had annual receipts of $25 million to $49, 999,999.</w:t>
      </w:r>
      <w:r>
        <w:rPr>
          <w:sz w:val="20"/>
          <w:szCs w:val="22"/>
          <w:vertAlign w:val="superscript"/>
        </w:rPr>
        <w:footnoteReference w:id="368"/>
      </w:r>
      <w:r>
        <w:t xml:space="preserve">  Thus, the Commission estimates that the majority of “All Other Telecommunications” firms potentially affected by our action can be considered small. </w:t>
      </w:r>
    </w:p>
    <w:p w:rsidR="007D15C3" w:rsidRPr="00B06F8A" w:rsidP="007D15C3">
      <w:pPr>
        <w:pStyle w:val="ParaNum"/>
      </w:pPr>
      <w:r w:rsidRPr="001F4993">
        <w:rPr>
          <w:b/>
          <w:bCs/>
        </w:rPr>
        <w:t>RespOrgs</w:t>
      </w:r>
      <w:r>
        <w:t>.</w:t>
      </w:r>
      <w:r w:rsidRPr="001F4993">
        <w:rPr>
          <w:b/>
          <w:bCs/>
        </w:rPr>
        <w:t xml:space="preserve">  </w:t>
      </w:r>
      <w:r>
        <w:t xml:space="preserve">Responsible Organizations, or </w:t>
      </w:r>
      <w:r>
        <w:t>RespOrgs</w:t>
      </w:r>
      <w:r>
        <w:t>, are entities chosen by toll free subscribers to manage and administer the appropriate records in the toll free Service Management System for the toll free subscriber.</w:t>
      </w:r>
      <w:r>
        <w:rPr>
          <w:rStyle w:val="FootnoteReference"/>
          <w:szCs w:val="22"/>
        </w:rPr>
        <w:footnoteReference w:id="369"/>
      </w:r>
      <w:r>
        <w:t xml:space="preserve">  Although </w:t>
      </w:r>
      <w:r>
        <w:t>RespOrgs</w:t>
      </w:r>
      <w:r>
        <w:t xml:space="preserve"> are often wireline carriers, they can also include non-carrier entities.  Therefore, in the definition herein of </w:t>
      </w:r>
      <w:r>
        <w:t>RespOrgs</w:t>
      </w:r>
      <w:r>
        <w:t xml:space="preserve">, two categories are presented, i.e., Carrier </w:t>
      </w:r>
      <w:r>
        <w:t>RespOrgs</w:t>
      </w:r>
      <w:r>
        <w:t xml:space="preserve"> and Non-Carrier </w:t>
      </w:r>
      <w:r>
        <w:t>RespOrgs</w:t>
      </w:r>
      <w:r>
        <w:t>.</w:t>
      </w:r>
    </w:p>
    <w:p w:rsidR="007D15C3" w:rsidRPr="00B06F8A" w:rsidP="007D15C3">
      <w:pPr>
        <w:pStyle w:val="ParaNum"/>
      </w:pPr>
      <w:r w:rsidRPr="001F4993">
        <w:rPr>
          <w:b/>
          <w:bCs/>
        </w:rPr>
        <w:t xml:space="preserve">Carrier </w:t>
      </w:r>
      <w:r w:rsidRPr="001F4993">
        <w:rPr>
          <w:b/>
          <w:bCs/>
        </w:rPr>
        <w:t>RespOrgs</w:t>
      </w:r>
      <w:r>
        <w:t xml:space="preserve">. Neither the Commission, the U.S. Census, nor the SBA have developed a definition for Carrier </w:t>
      </w:r>
      <w:r>
        <w:t>RespOrgs</w:t>
      </w:r>
      <w:r>
        <w:t xml:space="preserve">.  Accordingly, the Commission believes that the closest NAICS code-based definitional categories for Carrier </w:t>
      </w:r>
      <w:r>
        <w:t>RespOrgs</w:t>
      </w:r>
      <w:r>
        <w:t xml:space="preserve"> are Wired Telecommunications Carriers,</w:t>
      </w:r>
      <w:r>
        <w:rPr>
          <w:rStyle w:val="FootnoteReference"/>
          <w:szCs w:val="22"/>
        </w:rPr>
        <w:footnoteReference w:id="370"/>
      </w:r>
      <w:r>
        <w:t xml:space="preserve"> and Wireless Telecommunications Carriers (except satellite).</w:t>
      </w:r>
      <w:r>
        <w:rPr>
          <w:rStyle w:val="FootnoteReference"/>
          <w:szCs w:val="22"/>
        </w:rPr>
        <w:footnoteReference w:id="371"/>
      </w:r>
      <w:r>
        <w:t xml:space="preserve"> </w:t>
      </w:r>
    </w:p>
    <w:p w:rsidR="007D15C3" w:rsidRPr="00B06F8A" w:rsidP="007D15C3">
      <w:pPr>
        <w:pStyle w:val="ParaNum"/>
      </w:pPr>
      <w:r>
        <w:t xml:space="preserve">The U.S. Census Bureau defines </w:t>
      </w:r>
      <w:r w:rsidRPr="001F4993">
        <w:rPr>
          <w:b/>
          <w:bCs/>
        </w:rPr>
        <w:t>Wired Telecommunications Carriers</w:t>
      </w:r>
      <w:r>
        <w:t xml:space="preserve">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372"/>
      </w:r>
      <w:r>
        <w:t xml:space="preserve">  The SBA has developed a small </w:t>
      </w:r>
      <w:r>
        <w:t>business size standard for Wired Telecommunications Carriers, which consists of all such companies having 1,500 or fewer employees.</w:t>
      </w:r>
      <w:r>
        <w:rPr>
          <w:rStyle w:val="FootnoteReference"/>
        </w:rPr>
        <w:footnoteReference w:id="373"/>
      </w:r>
      <w:r>
        <w:t xml:space="preserve">  U.S. Census Bureau data for 2012 show that there were 3,117 firms that operated that year.</w:t>
      </w:r>
      <w:r>
        <w:rPr>
          <w:rStyle w:val="FootnoteReference"/>
        </w:rPr>
        <w:footnoteReference w:id="374"/>
      </w:r>
      <w:r>
        <w:t xml:space="preserve">  Of this total, 3,083 operated with fewer than 1,000 employees.</w:t>
      </w:r>
      <w:r>
        <w:rPr>
          <w:rStyle w:val="FootnoteReference"/>
        </w:rPr>
        <w:footnoteReference w:id="375"/>
      </w:r>
      <w:r>
        <w:t xml:space="preserve"> Based on that data, we conclude that the majority of Carrier </w:t>
      </w:r>
      <w:r>
        <w:t>RespOrgs</w:t>
      </w:r>
      <w:r>
        <w:t xml:space="preserve"> that operated with wireline-based technology are small.</w:t>
      </w:r>
    </w:p>
    <w:p w:rsidR="007D15C3" w:rsidRPr="00B06F8A" w:rsidP="007D15C3">
      <w:pPr>
        <w:pStyle w:val="ParaNum"/>
      </w:pPr>
      <w:r>
        <w:t xml:space="preserve">The U.S. Census Bureau defines </w:t>
      </w:r>
      <w:r w:rsidRPr="001F4993">
        <w:rPr>
          <w:b/>
          <w:bCs/>
        </w:rPr>
        <w:t>Wireless Telecommunications Carriers (except satellite</w:t>
      </w:r>
      <w:r>
        <w:t>) as establishments engaged in operating and maintaining switching and transmission facilities to provide communications via the airwaves, such as cellular services, paging services, wireless internet access, and wireless video services.</w:t>
      </w:r>
      <w:r>
        <w:rPr>
          <w:rStyle w:val="FootnoteReference"/>
          <w:szCs w:val="22"/>
        </w:rPr>
        <w:footnoteReference w:id="376"/>
      </w:r>
      <w:r>
        <w:t xml:space="preserve">  The appropriate size standard under SBA rules is that such a business is small if it has 1,500 or fewer employees.</w:t>
      </w:r>
      <w:r>
        <w:rPr>
          <w:rStyle w:val="FootnoteReference"/>
          <w:szCs w:val="22"/>
        </w:rPr>
        <w:footnoteReference w:id="377"/>
      </w:r>
      <w:r>
        <w:t xml:space="preserve">  Census data for 2012 show that 967 Wireless Telecommunications Carriers operated in that year.  Of that number, 955 operated with less than 1,000 employees.</w:t>
      </w:r>
      <w:r>
        <w:rPr>
          <w:rStyle w:val="FootnoteReference"/>
          <w:szCs w:val="22"/>
        </w:rPr>
        <w:footnoteReference w:id="378"/>
      </w:r>
      <w:r>
        <w:t xml:space="preserve">  Based on that data, we conclude that the majority of Carrier </w:t>
      </w:r>
      <w:r>
        <w:t>RespOrgs</w:t>
      </w:r>
      <w:r>
        <w:t xml:space="preserve"> that operated with wireless-based technology are small.</w:t>
      </w:r>
    </w:p>
    <w:p w:rsidR="007D15C3" w:rsidRPr="00B06F8A" w:rsidP="007D15C3">
      <w:pPr>
        <w:pStyle w:val="ParaNum"/>
      </w:pPr>
      <w:r w:rsidRPr="001F4993">
        <w:rPr>
          <w:b/>
          <w:bCs/>
        </w:rPr>
        <w:t xml:space="preserve">Non-Carrier </w:t>
      </w:r>
      <w:r w:rsidRPr="001F4993">
        <w:rPr>
          <w:b/>
          <w:bCs/>
        </w:rPr>
        <w:t>RespOrgs</w:t>
      </w:r>
      <w:r>
        <w:t xml:space="preserve">. </w:t>
      </w:r>
      <w:r w:rsidRPr="001F4993">
        <w:rPr>
          <w:b/>
          <w:bCs/>
        </w:rPr>
        <w:t xml:space="preserve"> </w:t>
      </w:r>
      <w:r>
        <w:t xml:space="preserve">Neither the Commission, the U.S. Census, nor the SBA have developed a definition of Non-Carrier </w:t>
      </w:r>
      <w:r>
        <w:t>RespOrgs</w:t>
      </w:r>
      <w:r>
        <w:t xml:space="preserve">.  Accordingly, the Commission believes that the closest NAICS code-based definitional categories for Non-Carrier </w:t>
      </w:r>
      <w:r>
        <w:t>RespOrgs</w:t>
      </w:r>
      <w:r>
        <w:t xml:space="preserve"> are “Other Services Related to Advertising”</w:t>
      </w:r>
      <w:r>
        <w:rPr>
          <w:rStyle w:val="FootnoteReference"/>
          <w:szCs w:val="22"/>
        </w:rPr>
        <w:footnoteReference w:id="379"/>
      </w:r>
      <w:r>
        <w:t xml:space="preserve"> and “Other Management Consulting Services.”</w:t>
      </w:r>
      <w:r>
        <w:rPr>
          <w:rStyle w:val="FootnoteReference"/>
          <w:szCs w:val="22"/>
        </w:rPr>
        <w:footnoteReference w:id="380"/>
      </w:r>
    </w:p>
    <w:p w:rsidR="007D15C3" w:rsidRPr="00B06F8A" w:rsidP="007D15C3">
      <w:pPr>
        <w:pStyle w:val="ParaNum"/>
        <w:widowControl/>
      </w:pPr>
      <w:r>
        <w:t xml:space="preserve">The U.S. Census defines </w:t>
      </w:r>
      <w:r w:rsidRPr="001F4993">
        <w:rPr>
          <w:b/>
          <w:bCs/>
        </w:rPr>
        <w:t xml:space="preserve">Other Services Related to Advertising </w:t>
      </w:r>
      <w:r>
        <w:t>as comprising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rStyle w:val="FootnoteReference"/>
          <w:szCs w:val="22"/>
        </w:rPr>
        <w:footnoteReference w:id="381"/>
      </w:r>
      <w:r>
        <w:t xml:space="preserve">  The SBA has established a size standard for this industry as annual receipts of $16.5 million dollars or less.</w:t>
      </w:r>
      <w:r>
        <w:rPr>
          <w:rStyle w:val="FootnoteReference"/>
          <w:szCs w:val="22"/>
        </w:rPr>
        <w:footnoteReference w:id="382"/>
      </w:r>
      <w:r>
        <w:t xml:space="preserve">  Census data for 2012 show that 5,804 firms operated in this industry for the entire year.  Of that number, 5,612 operated with annual receipts of less than $10 </w:t>
      </w:r>
      <w:r>
        <w:t>million.</w:t>
      </w:r>
      <w:r>
        <w:rPr>
          <w:rStyle w:val="FootnoteReference"/>
          <w:szCs w:val="22"/>
        </w:rPr>
        <w:footnoteReference w:id="383"/>
      </w:r>
      <w:r>
        <w:t xml:space="preserve">  Based on that data we conclude that the majority of Non-Carrier </w:t>
      </w:r>
      <w:r>
        <w:t>RespOrgs</w:t>
      </w:r>
      <w:r>
        <w:t xml:space="preserve"> who provide toll-free number (TFN)-related advertising services are small.</w:t>
      </w:r>
    </w:p>
    <w:p w:rsidR="007D15C3" w:rsidRPr="00B06F8A" w:rsidP="007D15C3">
      <w:pPr>
        <w:pStyle w:val="ParaNum"/>
      </w:pPr>
      <w:r>
        <w:t xml:space="preserve">The U.S. Census defines </w:t>
      </w:r>
      <w:r w:rsidRPr="001F4993">
        <w:rPr>
          <w:b/>
          <w:bCs/>
        </w:rPr>
        <w:t xml:space="preserve">Other Management Consulting Services </w:t>
      </w:r>
      <w:r>
        <w:t>as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Pr>
          <w:rStyle w:val="FootnoteReference"/>
          <w:szCs w:val="22"/>
        </w:rPr>
        <w:footnoteReference w:id="384"/>
      </w:r>
      <w:r>
        <w:t xml:space="preserve">  The SBA has established a size standard for this industry of $16.5 million dollars or less.</w:t>
      </w:r>
      <w:r>
        <w:rPr>
          <w:rStyle w:val="FootnoteReference"/>
          <w:szCs w:val="22"/>
        </w:rPr>
        <w:footnoteReference w:id="385"/>
      </w:r>
      <w:r>
        <w:t xml:space="preserve">  Census data for 2012 show that 3,683 firms operated in this industry for that entire year.  Of that number, 3,632 operated with less than $10 million in annual receipts.</w:t>
      </w:r>
      <w:r>
        <w:rPr>
          <w:rStyle w:val="FootnoteReference"/>
          <w:szCs w:val="22"/>
        </w:rPr>
        <w:footnoteReference w:id="386"/>
      </w:r>
      <w:r>
        <w:t xml:space="preserve">  Based on this data, we conclude that a majority of non-carrier </w:t>
      </w:r>
      <w:r>
        <w:t>RespOrgs</w:t>
      </w:r>
      <w:r>
        <w:t xml:space="preserve"> who provide TFN-related management consulting services are small.</w:t>
      </w:r>
      <w:r>
        <w:rPr>
          <w:rStyle w:val="FootnoteReference"/>
          <w:szCs w:val="22"/>
        </w:rPr>
        <w:footnoteReference w:id="387"/>
      </w:r>
    </w:p>
    <w:p w:rsidR="007D15C3" w:rsidRPr="00B06F8A" w:rsidP="007D15C3">
      <w:pPr>
        <w:pStyle w:val="ParaNum"/>
      </w:pPr>
      <w:r>
        <w:t xml:space="preserve">In addition to the data contained in the four (see above) U.S. Census NAICS code categories that provide definitions of what services and functions the Carrier and Non-Carrier </w:t>
      </w:r>
      <w:r>
        <w:t>RespOrgs</w:t>
      </w:r>
      <w:r>
        <w:t xml:space="preserve"> provide, </w:t>
      </w:r>
      <w:r>
        <w:t>Somos</w:t>
      </w:r>
      <w:r>
        <w:t xml:space="preserve">, the trade association that monitors </w:t>
      </w:r>
      <w:r>
        <w:t>RespOrg</w:t>
      </w:r>
      <w:r>
        <w:t xml:space="preserve"> activities, compiled data showing that as of July 1, 2016 there were 23 </w:t>
      </w:r>
      <w:r>
        <w:t>RespOrgs</w:t>
      </w:r>
      <w:r>
        <w:t xml:space="preserve"> operational in Canada and 436 </w:t>
      </w:r>
      <w:r>
        <w:t>RespOrgs</w:t>
      </w:r>
      <w:r>
        <w:t xml:space="preserve"> operational in the United States, for a total of 459 </w:t>
      </w:r>
      <w:r>
        <w:t>RespOrgs</w:t>
      </w:r>
      <w:r>
        <w:t xml:space="preserve"> currently registered with </w:t>
      </w:r>
      <w:r>
        <w:t>Somos</w:t>
      </w:r>
      <w:r>
        <w:t>.</w:t>
      </w:r>
    </w:p>
    <w:p w:rsidR="007D15C3" w:rsidRPr="00B06F8A" w:rsidP="007D15C3">
      <w:pPr>
        <w:pStyle w:val="Heading2"/>
      </w:pPr>
      <w:bookmarkStart w:id="256" w:name="_Toc6326159"/>
      <w:bookmarkStart w:id="257" w:name="_Toc28005137"/>
      <w:bookmarkStart w:id="258" w:name="_Toc38017912"/>
      <w:bookmarkStart w:id="259" w:name="_Toc40091688"/>
      <w:r w:rsidRPr="00B06F8A">
        <w:t>Description of Projected Reporting, Recordkeeping and Other Compliance Requirements</w:t>
      </w:r>
      <w:bookmarkEnd w:id="256"/>
      <w:r>
        <w:t xml:space="preserve"> for Small Entities</w:t>
      </w:r>
      <w:bookmarkEnd w:id="257"/>
      <w:bookmarkEnd w:id="258"/>
      <w:bookmarkEnd w:id="259"/>
    </w:p>
    <w:p w:rsidR="007D15C3" w:rsidRPr="00B06F8A" w:rsidP="007D15C3">
      <w:pPr>
        <w:pStyle w:val="ParaNum"/>
      </w:pPr>
      <w:r>
        <w:t>This</w:t>
      </w:r>
      <w:r w:rsidRPr="001F4993">
        <w:rPr>
          <w:i/>
          <w:iCs/>
        </w:rPr>
        <w:t xml:space="preserve"> Notice</w:t>
      </w:r>
      <w:r>
        <w:t xml:space="preserve"> does not propose any changes to the Commission’s current information collection, reporting, recordkeeping, or compliance requirements.   Licensees, including small entities, will be required to pay application fees after such fees are adopted.</w:t>
      </w:r>
    </w:p>
    <w:p w:rsidR="007D15C3" w:rsidRPr="00B06F8A" w:rsidP="007D15C3">
      <w:pPr>
        <w:pStyle w:val="Heading2"/>
      </w:pPr>
      <w:bookmarkStart w:id="260" w:name="_Toc6326160"/>
      <w:bookmarkStart w:id="261" w:name="_Toc28005138"/>
      <w:bookmarkStart w:id="262" w:name="_Toc38017913"/>
      <w:bookmarkStart w:id="263" w:name="_Toc40091689"/>
      <w:r w:rsidRPr="00B06F8A">
        <w:t>Steps Taken to Minimize Significant Economic Impact on Small Entities, and Significant Alternatives Considered</w:t>
      </w:r>
      <w:bookmarkEnd w:id="260"/>
      <w:bookmarkEnd w:id="261"/>
      <w:bookmarkEnd w:id="262"/>
      <w:bookmarkEnd w:id="263"/>
    </w:p>
    <w:p w:rsidR="007D15C3" w:rsidRPr="00B06F8A" w:rsidP="007D15C3">
      <w:pPr>
        <w:pStyle w:val="ParaNum"/>
      </w:pPr>
      <w: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388"/>
      </w:r>
      <w:r>
        <w:t xml:space="preserve">  </w:t>
      </w:r>
    </w:p>
    <w:p w:rsidR="007D15C3" w:rsidRPr="00AB1D3A" w:rsidP="007D15C3">
      <w:pPr>
        <w:pStyle w:val="ParaNum"/>
      </w:pPr>
      <w:r>
        <w:t xml:space="preserve">The </w:t>
      </w:r>
      <w:r w:rsidRPr="3C85307C">
        <w:rPr>
          <w:i/>
          <w:iCs/>
        </w:rPr>
        <w:t>Notice</w:t>
      </w:r>
      <w:r>
        <w:t xml:space="preserve"> seeks comment on the Commission’s proposed regulatory fees for FY 2020.  The </w:t>
      </w:r>
      <w:r w:rsidRPr="3C85307C">
        <w:rPr>
          <w:i/>
          <w:iCs/>
        </w:rPr>
        <w:t>Notice</w:t>
      </w:r>
      <w:r>
        <w:t xml:space="preserve"> proposes to collect $339,000,000 in regulatory fees for FY 2020, as detailed in the proposed fee schedules in Appendix --, including an increase in the DBS fee rate to 72 cents per subscriber.  DBS providers are not small entities.  The </w:t>
      </w:r>
      <w:r w:rsidRPr="3C85307C">
        <w:rPr>
          <w:i/>
          <w:iCs/>
        </w:rPr>
        <w:t>Notice</w:t>
      </w:r>
      <w:r>
        <w:t xml:space="preserve"> seeks comment on changing the methodology for assessing regulatory fees for full-power broadcast television stations to use the actual population to determine the regulatory fee.  In addition, the </w:t>
      </w:r>
      <w:r w:rsidRPr="3C85307C">
        <w:rPr>
          <w:i/>
          <w:iCs/>
        </w:rPr>
        <w:t>Notice</w:t>
      </w:r>
      <w:r>
        <w:t xml:space="preserve"> seeks comment on the schedule of regulatory fees for all Commission regulatees for FY 2020.  The Commission’s annual de minimis threshold of $1,000 was </w:t>
      </w:r>
      <w:r>
        <w:t>replaced last year with a new section 9(e)(2) annual regulatory fee exemption of $1,000; this regulatory fee exemption will reduce burdens on small entities with annual regulatory fees that total $1,000 or less.</w:t>
      </w:r>
    </w:p>
    <w:p w:rsidR="007D15C3" w:rsidRPr="00B06F8A" w:rsidP="007D15C3">
      <w:pPr>
        <w:pStyle w:val="Heading2"/>
      </w:pPr>
      <w:bookmarkStart w:id="264" w:name="_Toc6326161"/>
      <w:bookmarkStart w:id="265" w:name="_Toc28005139"/>
      <w:bookmarkStart w:id="266" w:name="_Toc38017914"/>
      <w:bookmarkStart w:id="267" w:name="_Toc40091690"/>
      <w:r w:rsidRPr="00B06F8A">
        <w:t>Federal Rules that May Duplicate, Overlap, or Conflict with the Proposed Rules</w:t>
      </w:r>
      <w:bookmarkEnd w:id="264"/>
      <w:bookmarkEnd w:id="265"/>
      <w:bookmarkEnd w:id="266"/>
      <w:bookmarkEnd w:id="267"/>
    </w:p>
    <w:p w:rsidR="007D15C3" w:rsidP="007D15C3">
      <w:pPr>
        <w:pStyle w:val="ParaNum"/>
      </w:pPr>
      <w:r w:rsidRPr="00C6100F">
        <w:t>None</w:t>
      </w:r>
      <w:r w:rsidRPr="00B06F8A">
        <w:t>.</w:t>
      </w:r>
    </w:p>
    <w:p w:rsidR="007D15C3" w:rsidRPr="0067355D" w:rsidP="007D15C3">
      <w:pPr>
        <w:rPr>
          <w:b/>
          <w:szCs w:val="22"/>
        </w:rPr>
      </w:pPr>
    </w:p>
    <w:p w:rsidR="007D15C3" w:rsidRPr="001F4993" w:rsidP="007D15C3"/>
    <w:p w:rsidR="007D15C3" w:rsidRPr="00894D7A" w:rsidP="007D15C3"/>
    <w:p w:rsidR="00710D83" w:rsidP="007D15C3">
      <w:pPr>
        <w:sectPr w:rsidSect="006331E5">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2240" w:h="15840"/>
          <w:pgMar w:top="1440" w:right="1440" w:bottom="720" w:left="1440" w:header="720" w:footer="720" w:gutter="0"/>
          <w:cols w:space="720"/>
          <w:noEndnote/>
          <w:titlePg/>
        </w:sectPr>
      </w:pPr>
    </w:p>
    <w:p w:rsidR="00710D83" w:rsidRPr="005577AD" w:rsidP="00710D83">
      <w:pPr>
        <w:jc w:val="center"/>
        <w:rPr>
          <w:b/>
          <w:bCs/>
          <w:caps/>
          <w:szCs w:val="22"/>
        </w:rPr>
      </w:pPr>
      <w:r w:rsidRPr="005577AD">
        <w:rPr>
          <w:b/>
          <w:bCs/>
          <w:caps/>
          <w:szCs w:val="22"/>
        </w:rPr>
        <w:t>Statement of</w:t>
      </w:r>
    </w:p>
    <w:p w:rsidR="00710D83" w:rsidRPr="00260D3B" w:rsidP="00710D83">
      <w:pPr>
        <w:jc w:val="center"/>
        <w:rPr>
          <w:b/>
          <w:caps/>
          <w:color w:val="262626"/>
        </w:rPr>
      </w:pPr>
      <w:r w:rsidRPr="001A164F">
        <w:rPr>
          <w:b/>
          <w:caps/>
          <w:color w:val="262626"/>
        </w:rPr>
        <w:t>Commissioner Michael O’Rielly</w:t>
      </w:r>
    </w:p>
    <w:p w:rsidR="00710D83" w:rsidRPr="005577AD" w:rsidP="00710D83">
      <w:pPr>
        <w:jc w:val="center"/>
        <w:rPr>
          <w:b/>
          <w:bCs/>
          <w:caps/>
          <w:szCs w:val="22"/>
        </w:rPr>
      </w:pPr>
    </w:p>
    <w:p w:rsidR="00710D83" w:rsidRPr="005577AD" w:rsidP="00710D83">
      <w:pPr>
        <w:ind w:left="1440" w:hanging="720"/>
        <w:rPr>
          <w:i/>
          <w:iCs/>
          <w:szCs w:val="22"/>
        </w:rPr>
      </w:pPr>
      <w:r w:rsidRPr="005577AD">
        <w:rPr>
          <w:iCs/>
          <w:szCs w:val="22"/>
        </w:rPr>
        <w:t>Re:</w:t>
      </w:r>
      <w:r w:rsidRPr="005577AD">
        <w:rPr>
          <w:szCs w:val="22"/>
        </w:rPr>
        <w:t xml:space="preserve"> </w:t>
      </w:r>
      <w:r w:rsidRPr="005577AD">
        <w:rPr>
          <w:szCs w:val="22"/>
        </w:rPr>
        <w:tab/>
      </w:r>
      <w:r>
        <w:rPr>
          <w:i/>
          <w:color w:val="262626"/>
        </w:rPr>
        <w:t>Assessment and Collection of Regulatory Fees for Fiscal Year 2020</w:t>
      </w:r>
      <w:r w:rsidRPr="001A164F">
        <w:rPr>
          <w:i/>
          <w:color w:val="262626"/>
        </w:rPr>
        <w:t>, M</w:t>
      </w:r>
      <w:r>
        <w:rPr>
          <w:i/>
          <w:color w:val="262626"/>
        </w:rPr>
        <w:t>D</w:t>
      </w:r>
      <w:r w:rsidRPr="001A164F">
        <w:rPr>
          <w:i/>
          <w:color w:val="262626"/>
        </w:rPr>
        <w:t xml:space="preserve"> Docket No. </w:t>
      </w:r>
      <w:r>
        <w:rPr>
          <w:i/>
          <w:color w:val="262626"/>
        </w:rPr>
        <w:t>20-105; Assessment and Collection of Regulatory Fees for Fiscal Year 2019, MD Docket No. 19-105</w:t>
      </w:r>
      <w:r w:rsidRPr="005577AD">
        <w:rPr>
          <w:iCs/>
          <w:szCs w:val="22"/>
        </w:rPr>
        <w:t>.</w:t>
      </w:r>
    </w:p>
    <w:p w:rsidR="00710D83" w:rsidRPr="005577AD" w:rsidP="00710D83">
      <w:pPr>
        <w:ind w:firstLine="720"/>
        <w:rPr>
          <w:szCs w:val="22"/>
        </w:rPr>
      </w:pPr>
    </w:p>
    <w:p w:rsidR="00710D83" w:rsidRPr="00260D3B" w:rsidP="00710D83">
      <w:pPr>
        <w:spacing w:after="120"/>
        <w:ind w:firstLine="720"/>
        <w:rPr>
          <w:noProof/>
        </w:rPr>
      </w:pPr>
      <w:r>
        <w:t>Determining regulatory fees is</w:t>
      </w:r>
      <w:r w:rsidRPr="00260D3B">
        <w:rPr>
          <w:noProof/>
        </w:rPr>
        <w:t xml:space="preserve"> a somewhat delicate matter, with the need to balance statutory requirements and constraints with the realities of the marketplace, where increasingly higher fees continue to squeeze licensees.  At the same time, we need to do our part to meet the requirements set in place by Congress, while being mindful of how federal spending affects our licensees and seeking ways to keep costs down within our own operations.</w:t>
      </w:r>
      <w:r>
        <w:rPr>
          <w:rStyle w:val="FootnoteReference"/>
          <w:noProof/>
        </w:rPr>
        <w:footnoteReference w:id="389"/>
      </w:r>
      <w:r w:rsidRPr="00260D3B">
        <w:rPr>
          <w:noProof/>
        </w:rPr>
        <w:t xml:space="preserve">  This year in particular we are facing truly unprecedented times, and I thank the Chairman for including questions in the FY2020 fee proposal to allow commenters to offer suggestions for mitigating the burden of regulatory fees during the pandemic, as many industries grapple with how to continue providing services while facing dramatically decreased revenue.  </w:t>
      </w:r>
    </w:p>
    <w:p w:rsidR="00710D83" w:rsidRPr="00260D3B" w:rsidP="00710D83">
      <w:pPr>
        <w:spacing w:after="120"/>
        <w:ind w:firstLine="720"/>
        <w:rPr>
          <w:noProof/>
        </w:rPr>
      </w:pPr>
      <w:r w:rsidRPr="00260D3B">
        <w:rPr>
          <w:noProof/>
        </w:rPr>
        <w:t xml:space="preserve">To those who have filed comments opposing increased fees, I remain sympathetic.  The fee setting exercise is largely a zero-sum game, and absent congressional action, it is difficult to imagine broadening the base of payors.  Nonetheless, I am pleased that we were able to include a very small modification sought by certain VHF broadcasters, a welcome adjustment during the pandemic, even if it is not a wholesale reconfiguration.  </w:t>
      </w:r>
    </w:p>
    <w:p w:rsidR="00710D83" w:rsidRPr="00260D3B" w:rsidP="00710D83">
      <w:pPr>
        <w:spacing w:after="120"/>
        <w:ind w:firstLine="720"/>
        <w:rPr>
          <w:noProof/>
        </w:rPr>
      </w:pPr>
      <w:r w:rsidRPr="00260D3B">
        <w:rPr>
          <w:noProof/>
        </w:rPr>
        <w:t xml:space="preserve">While I support the overall item, there are two areas related to the satellite industry that give me pause.  First, I continue to view our increases for DBS providers to be symptomatic of a broken approach, which is well-documented elsewhere.  Further, I have some concerns regarding the effects of shifting the balance of fees within the satellite industry to pull in foreign operators.  We note in this item the potential policy implications of other countries feeling compelled to follow our example and raise fees on American operators.  This is a real concern for those of us who have worked on satellite policy for many years and have seen firsthand, over and over, the proverbial arms race as countries compete for licensees through regulatory arbitrage.  While we do include a slight reform to the draft to avoid capturing within our fee structure certain foreign satellites communicating with U.S. aircrafts only outside the United States and also those that communicate with U.S.-licensed earth stations solely for tracking, telemetry and command (TT&amp;C) purposes, we will need to closely monitor the ultimate effects of todayʼs action on the broader satellite market.  </w:t>
      </w:r>
    </w:p>
    <w:p w:rsidR="00710D83" w:rsidRPr="005577AD" w:rsidP="00710D83">
      <w:pPr>
        <w:spacing w:after="120"/>
        <w:ind w:firstLine="720"/>
        <w:rPr>
          <w:szCs w:val="22"/>
        </w:rPr>
      </w:pPr>
      <w:r w:rsidRPr="00260D3B">
        <w:rPr>
          <w:noProof/>
        </w:rPr>
        <w:t>I approve</w:t>
      </w:r>
      <w:r>
        <w:rPr>
          <w:szCs w:val="22"/>
        </w:rPr>
        <w:t>.</w:t>
      </w:r>
    </w:p>
    <w:p w:rsidR="00710D83" w:rsidRPr="005577AD" w:rsidP="00710D83">
      <w:pPr>
        <w:widowControl/>
        <w:ind w:firstLine="720"/>
        <w:rPr>
          <w:szCs w:val="22"/>
        </w:rPr>
      </w:pPr>
    </w:p>
    <w:p w:rsidR="00710D83" w:rsidRPr="00DE72D3" w:rsidP="00710D83"/>
    <w:p w:rsidR="00710D83" w:rsidRPr="00934012" w:rsidP="00710D83"/>
    <w:p w:rsidR="00412FC5" w:rsidRPr="007D15C3" w:rsidP="007D15C3"/>
    <w:sectPr w:rsidSect="00710D83">
      <w:headerReference w:type="default" r:id="rId29"/>
      <w:footerReference w:type="even" r:id="rId30"/>
      <w:footerReference w:type="default" r:id="rId31"/>
      <w:headerReference w:type="first" r:id="rId32"/>
      <w:footerReference w:type="first" r:id="rId33"/>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C3" w:rsidP="007672E3">
    <w:pPr>
      <w:pStyle w:val="Footer"/>
      <w:framePr w:wrap="around" w:vAnchor="text" w:hAnchor="margin" w:xAlign="center" w:y="1"/>
    </w:pPr>
    <w:r>
      <w:fldChar w:fldCharType="begin"/>
    </w:r>
    <w:r>
      <w:instrText xml:space="preserve">PAGE  </w:instrText>
    </w:r>
    <w:r>
      <w:fldChar w:fldCharType="separate"/>
    </w:r>
    <w:r>
      <w:fldChar w:fldCharType="end"/>
    </w:r>
  </w:p>
  <w:p w:rsidR="007D15C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331E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331E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10D8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C3" w:rsidP="007672E3">
    <w:pPr>
      <w:pStyle w:val="Footer"/>
      <w:jc w:val="center"/>
    </w:pP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C3" w:rsidP="007672E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4A2A" w:rsidP="00B27AE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C3" w:rsidP="0055614C">
    <w:pPr>
      <w:pStyle w:val="Footer"/>
      <w:framePr w:wrap="around" w:vAnchor="text" w:hAnchor="margin" w:xAlign="center" w:y="1"/>
    </w:pPr>
    <w:r>
      <w:fldChar w:fldCharType="begin"/>
    </w:r>
    <w:r>
      <w:instrText xml:space="preserve">PAGE  </w:instrText>
    </w:r>
    <w:r>
      <w:fldChar w:fldCharType="separate"/>
    </w:r>
    <w:r>
      <w:fldChar w:fldCharType="end"/>
    </w:r>
  </w:p>
  <w:p w:rsidR="007D15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C3" w:rsidP="006D498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C3" w:rsidP="006D498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C3" w:rsidP="006D498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0347">
      <w:r>
        <w:separator/>
      </w:r>
    </w:p>
  </w:footnote>
  <w:footnote w:type="continuationSeparator" w:id="1">
    <w:p w:rsidR="007C0347" w:rsidP="00C721AC">
      <w:pPr>
        <w:spacing w:before="120"/>
        <w:rPr>
          <w:sz w:val="20"/>
        </w:rPr>
      </w:pPr>
      <w:r>
        <w:rPr>
          <w:sz w:val="20"/>
        </w:rPr>
        <w:t xml:space="preserve">(Continued from previous page)  </w:t>
      </w:r>
      <w:r>
        <w:rPr>
          <w:sz w:val="20"/>
        </w:rPr>
        <w:separator/>
      </w:r>
    </w:p>
  </w:footnote>
  <w:footnote w:type="continuationNotice" w:id="2">
    <w:p w:rsidR="007C0347" w:rsidP="00C721AC">
      <w:pPr>
        <w:jc w:val="right"/>
        <w:rPr>
          <w:sz w:val="20"/>
        </w:rPr>
      </w:pPr>
      <w:r>
        <w:rPr>
          <w:sz w:val="20"/>
        </w:rPr>
        <w:t>(continued….)</w:t>
      </w:r>
    </w:p>
  </w:footnote>
  <w:footnote w:id="3">
    <w:p w:rsidR="007D15C3" w:rsidRPr="00764180" w:rsidP="007D15C3">
      <w:pPr>
        <w:pStyle w:val="FootnoteText"/>
        <w:rPr>
          <w:iCs/>
        </w:rPr>
      </w:pPr>
      <w:r>
        <w:rPr>
          <w:rStyle w:val="FootnoteReference"/>
        </w:rPr>
        <w:footnoteRef/>
      </w:r>
      <w:r>
        <w:t xml:space="preserve"> </w:t>
      </w:r>
      <w:r w:rsidRPr="00A1156D">
        <w:rPr>
          <w:i/>
        </w:rPr>
        <w:t>Assessment and Collection of Regulatory Fees for Fiscal Year 2019</w:t>
      </w:r>
      <w:r>
        <w:t>, Report and Order and Further Notice of Proposed Rulemaking, 34 FCC Rcd 8199 (2019) (</w:t>
      </w:r>
      <w:r w:rsidRPr="00A1156D">
        <w:rPr>
          <w:i/>
        </w:rPr>
        <w:t>FY 2019 Report and Order</w:t>
      </w:r>
      <w:r>
        <w:rPr>
          <w:iCs/>
        </w:rPr>
        <w:t>).</w:t>
      </w:r>
    </w:p>
  </w:footnote>
  <w:footnote w:id="4">
    <w:p w:rsidR="007D15C3" w:rsidP="007D15C3">
      <w:pPr>
        <w:pStyle w:val="FootnoteText"/>
      </w:pPr>
      <w:r>
        <w:rPr>
          <w:rStyle w:val="FootnoteReference"/>
        </w:rPr>
        <w:footnoteRef/>
      </w:r>
      <w:r>
        <w:t xml:space="preserve"> Fiscal year 2020 started on October 1, 2019.</w:t>
      </w:r>
    </w:p>
  </w:footnote>
  <w:footnote w:id="5">
    <w:p w:rsidR="007D15C3" w:rsidRPr="006358BC" w:rsidP="007D15C3">
      <w:pPr>
        <w:pStyle w:val="FootnoteText"/>
      </w:pPr>
      <w:r>
        <w:rPr>
          <w:rStyle w:val="FootnoteReference"/>
        </w:rPr>
        <w:footnoteRef/>
      </w:r>
      <w:r>
        <w:t xml:space="preserve"> </w:t>
      </w:r>
      <w:r w:rsidRPr="007F3A7B">
        <w:t>47 U.S.C. § 159.  Consolidated Appropriations Act, 2020, Public Law 116-93 (appropriating $339,000,000.00 to the FCC for salaries and expenses and directing the FCC to assess and collect the same amount in offsetting collections) (FY 2020 Appropriation). Congress supplemented the FY 2020 salaries and expenses appropriation in the Coronavirus Aid, Relief, and Economic Security Act (CARES</w:t>
      </w:r>
      <w:r>
        <w:t xml:space="preserve"> Act</w:t>
      </w:r>
      <w:r w:rsidRPr="007F3A7B">
        <w:t xml:space="preserve">), Public Law 116-136 (March 27, 2020), Division B, entitled “Emergency Appropriations for Coronavirus Health Response and Agency Operations,” Title V.  Congress, however, did not direct the Commission </w:t>
      </w:r>
      <w:r>
        <w:t xml:space="preserve">to </w:t>
      </w:r>
      <w:r w:rsidRPr="007F3A7B">
        <w:t>include the CARES supplemental funding in the offsetting collection of regulatory fees</w:t>
      </w:r>
      <w:r w:rsidRPr="006358BC">
        <w:t>.</w:t>
      </w:r>
    </w:p>
  </w:footnote>
  <w:footnote w:id="6">
    <w:p w:rsidR="007D15C3" w:rsidP="007D15C3">
      <w:pPr>
        <w:pStyle w:val="FootnoteText"/>
      </w:pPr>
      <w:r>
        <w:rPr>
          <w:rStyle w:val="FootnoteReference"/>
        </w:rPr>
        <w:footnoteRef/>
      </w:r>
      <w:r>
        <w:t xml:space="preserve"> </w:t>
      </w:r>
      <w:r w:rsidRPr="007F3A7B">
        <w:t>47 U.S.C. §§ 159(a)</w:t>
      </w:r>
      <w:r>
        <w:t xml:space="preserve"> </w:t>
      </w:r>
      <w:r w:rsidRPr="007F3A7B">
        <w:t>(“shall assess and collect regulatory fees”), 159(b)</w:t>
      </w:r>
      <w:r>
        <w:t xml:space="preserve"> </w:t>
      </w:r>
      <w:r w:rsidRPr="007F3A7B">
        <w:t>(“Commission shall assess and collect regulatory fees at such rates as the Commission shall establish in a schedule of regulatory fees that will result in the collection, in each fiscal year, of an amount that can reasonably be expected to equal the amounts described in subsection (a) with respect to such fiscal year.”)</w:t>
      </w:r>
      <w:r>
        <w:t>;</w:t>
      </w:r>
      <w:r w:rsidRPr="007F3A7B">
        <w:t xml:space="preserve"> </w:t>
      </w:r>
      <w:r>
        <w:rPr>
          <w:i/>
          <w:iCs/>
        </w:rPr>
        <w:t>s</w:t>
      </w:r>
      <w:r w:rsidRPr="007F3A7B">
        <w:rPr>
          <w:i/>
          <w:iCs/>
        </w:rPr>
        <w:t>ee also</w:t>
      </w:r>
      <w:r w:rsidRPr="007F3A7B">
        <w:t xml:space="preserve"> 47 U.S.C. § 156(b).</w:t>
      </w:r>
      <w:r>
        <w:t xml:space="preserve"> </w:t>
      </w:r>
    </w:p>
  </w:footnote>
  <w:footnote w:id="7">
    <w:p w:rsidR="007D15C3" w:rsidRPr="00A1103B" w:rsidP="007D15C3">
      <w:pPr>
        <w:pStyle w:val="FootnoteText"/>
      </w:pPr>
      <w:r w:rsidRPr="00A1103B">
        <w:rPr>
          <w:rStyle w:val="FootnoteReference"/>
        </w:rPr>
        <w:footnoteRef/>
      </w:r>
      <w:r w:rsidRPr="00A1103B">
        <w:t xml:space="preserve"> </w:t>
      </w:r>
      <w:r w:rsidRPr="00A1103B">
        <w:rPr>
          <w:i/>
        </w:rPr>
        <w:t>Assessment and Collection of Regulatory Fees for Fiscal Year 2004</w:t>
      </w:r>
      <w:r w:rsidRPr="00A1103B">
        <w:t>, Report and Order, 19 FCC Rcd 11662, 11666, para. 11 (2004) (</w:t>
      </w:r>
      <w:r w:rsidRPr="00A1103B">
        <w:rPr>
          <w:i/>
        </w:rPr>
        <w:t>FY 2004 Report and Order</w:t>
      </w:r>
      <w:r w:rsidRPr="00A1103B">
        <w:t xml:space="preserve">).  </w:t>
      </w:r>
    </w:p>
  </w:footnote>
  <w:footnote w:id="8">
    <w:p w:rsidR="007D15C3" w:rsidP="007D15C3">
      <w:pPr>
        <w:pStyle w:val="FootnoteText"/>
      </w:pPr>
      <w:r>
        <w:rPr>
          <w:rStyle w:val="FootnoteReference"/>
        </w:rPr>
        <w:footnoteRef/>
      </w:r>
      <w:r>
        <w:t xml:space="preserve"> 47 U.S.C. </w:t>
      </w:r>
      <w:r w:rsidRPr="00A1103B">
        <w:t>§</w:t>
      </w:r>
      <w:r>
        <w:t xml:space="preserve"> 159(e).</w:t>
      </w:r>
    </w:p>
  </w:footnote>
  <w:footnote w:id="9">
    <w:p w:rsidR="007D15C3" w:rsidP="007D15C3">
      <w:pPr>
        <w:pStyle w:val="FootnoteText"/>
      </w:pPr>
      <w:r>
        <w:rPr>
          <w:rStyle w:val="FootnoteReference"/>
        </w:rPr>
        <w:footnoteRef/>
      </w:r>
      <w:r>
        <w:t xml:space="preserve"> 47 CFR</w:t>
      </w:r>
      <w:r w:rsidRPr="00410E02">
        <w:t xml:space="preserve"> </w:t>
      </w:r>
      <w:r w:rsidRPr="00A1103B">
        <w:t>§</w:t>
      </w:r>
      <w:r>
        <w:t xml:space="preserve"> 1.1166.</w:t>
      </w:r>
    </w:p>
  </w:footnote>
  <w:footnote w:id="10">
    <w:p w:rsidR="007D15C3" w:rsidP="007D15C3">
      <w:pPr>
        <w:pStyle w:val="FootnoteText"/>
      </w:pPr>
      <w:r>
        <w:rPr>
          <w:rStyle w:val="FootnoteReference"/>
        </w:rPr>
        <w:footnoteRef/>
      </w:r>
      <w:r>
        <w:t xml:space="preserve"> 47 U.S.C. </w:t>
      </w:r>
      <w:r w:rsidRPr="00A1103B">
        <w:t>§</w:t>
      </w:r>
      <w:r>
        <w:t xml:space="preserve"> 159(d).</w:t>
      </w:r>
    </w:p>
  </w:footnote>
  <w:footnote w:id="11">
    <w:p w:rsidR="007D15C3" w:rsidP="007D15C3">
      <w:pPr>
        <w:pStyle w:val="FootnoteText"/>
      </w:pPr>
      <w:r>
        <w:rPr>
          <w:rStyle w:val="FootnoteReference"/>
        </w:rPr>
        <w:footnoteRef/>
      </w:r>
      <w:r>
        <w:t xml:space="preserve"> One FTE, a “Full Time Equivalent” or “Full Time Employee,” is a unit of measure equal to the work performed annually by a full time person (working a 40-hour workweek for a full year) assigned to the particular job, and subject to agency personnel staffing limitations established by the U.S. Office of Management and Budget.</w:t>
      </w:r>
    </w:p>
  </w:footnote>
  <w:footnote w:id="12">
    <w:p w:rsidR="007D15C3" w:rsidP="007D15C3">
      <w:pPr>
        <w:pStyle w:val="FootnoteText"/>
      </w:pPr>
      <w:r>
        <w:rPr>
          <w:rStyle w:val="FootnoteReference"/>
        </w:rPr>
        <w:footnoteRef/>
      </w:r>
      <w:r>
        <w:t xml:space="preserve"> </w:t>
      </w:r>
      <w:r>
        <w:rPr>
          <w:i/>
        </w:rPr>
        <w:t xml:space="preserve">Procedures for Assessment and Collection of Regulatory </w:t>
      </w:r>
      <w:r w:rsidRPr="00D97D01">
        <w:rPr>
          <w:i/>
        </w:rPr>
        <w:t>Fees</w:t>
      </w:r>
      <w:r>
        <w:t>, Notice of Proposed Rulemaking, 27 FCC Rcd 8458, 8460, para. 5 &amp; n.5 (2012) (</w:t>
      </w:r>
      <w:r w:rsidRPr="00E93795">
        <w:rPr>
          <w:i/>
        </w:rPr>
        <w:t>FY</w:t>
      </w:r>
      <w:r w:rsidRPr="00A1103B">
        <w:rPr>
          <w:i/>
        </w:rPr>
        <w:t xml:space="preserve"> 2012 NPRM</w:t>
      </w:r>
      <w:r>
        <w:t>).</w:t>
      </w:r>
    </w:p>
  </w:footnote>
  <w:footnote w:id="13">
    <w:p w:rsidR="007D15C3" w:rsidRPr="007364C3" w:rsidP="007D15C3">
      <w:pPr>
        <w:pStyle w:val="FootnoteText"/>
        <w:rPr>
          <w:iCs/>
        </w:rPr>
      </w:pPr>
      <w:r>
        <w:rPr>
          <w:rStyle w:val="FootnoteReference"/>
        </w:rPr>
        <w:footnoteRef/>
      </w:r>
      <w:r>
        <w:t xml:space="preserve"> For a summary of some of the Commission’s regulatory fee reforms, </w:t>
      </w:r>
      <w:r w:rsidRPr="007364C3">
        <w:rPr>
          <w:i/>
          <w:iCs/>
        </w:rPr>
        <w:t>see</w:t>
      </w:r>
      <w:r>
        <w:t xml:space="preserve"> </w:t>
      </w:r>
      <w:r>
        <w:rPr>
          <w:i/>
        </w:rPr>
        <w:t xml:space="preserve">FY </w:t>
      </w:r>
      <w:r w:rsidRPr="00A1156D">
        <w:rPr>
          <w:i/>
        </w:rPr>
        <w:t>2019</w:t>
      </w:r>
      <w:r>
        <w:t xml:space="preserve"> </w:t>
      </w:r>
      <w:r w:rsidRPr="00C6100F">
        <w:rPr>
          <w:i/>
        </w:rPr>
        <w:t>Report and Order</w:t>
      </w:r>
      <w:r>
        <w:t>, 34 FCC Rcd at 8191, para. 4 (2019)</w:t>
      </w:r>
      <w:r>
        <w:rPr>
          <w:iCs/>
        </w:rPr>
        <w:t>.</w:t>
      </w:r>
    </w:p>
  </w:footnote>
  <w:footnote w:id="14">
    <w:p w:rsidR="007D15C3" w:rsidP="007D15C3">
      <w:pPr>
        <w:pStyle w:val="FootnoteText"/>
      </w:pPr>
      <w:r>
        <w:rPr>
          <w:rStyle w:val="FootnoteReference"/>
        </w:rPr>
        <w:footnoteRef/>
      </w:r>
      <w:r>
        <w:t xml:space="preserve"> </w:t>
      </w:r>
      <w:r w:rsidRPr="0045526F">
        <w:rPr>
          <w:i/>
          <w:iCs/>
        </w:rPr>
        <w:t>Id</w:t>
      </w:r>
      <w:r>
        <w:t>.at 8209-12, paras. 56-60.</w:t>
      </w:r>
    </w:p>
  </w:footnote>
  <w:footnote w:id="15">
    <w:p w:rsidR="007D15C3" w:rsidP="007D15C3">
      <w:pPr>
        <w:pStyle w:val="FootnoteText"/>
      </w:pPr>
      <w:r>
        <w:rPr>
          <w:rStyle w:val="FootnoteReference"/>
        </w:rPr>
        <w:footnoteRef/>
      </w:r>
      <w:r>
        <w:t xml:space="preserve"> T</w:t>
      </w:r>
      <w:r w:rsidRPr="000A4ED6">
        <w:t>he Repack Airwaves Yielding Better Access for Users of Modern Services Act of 2018, or the RAY BAUM’</w:t>
      </w:r>
      <w:r>
        <w:t>S</w:t>
      </w:r>
      <w:r w:rsidRPr="000A4ED6">
        <w:t xml:space="preserve"> Act of 2018, amended section</w:t>
      </w:r>
      <w:r>
        <w:t>s</w:t>
      </w:r>
      <w:r w:rsidRPr="000A4ED6">
        <w:t xml:space="preserve"> </w:t>
      </w:r>
      <w:r>
        <w:t xml:space="preserve">8 and </w:t>
      </w:r>
      <w:r w:rsidRPr="000A4ED6">
        <w:t xml:space="preserve">9 and added section 9A to the Communications Act, effective October 1, 2018.  </w:t>
      </w:r>
      <w:r w:rsidRPr="00F65722">
        <w:rPr>
          <w:i/>
        </w:rPr>
        <w:t>See</w:t>
      </w:r>
      <w:r>
        <w:t xml:space="preserve"> </w:t>
      </w:r>
      <w:r w:rsidRPr="000A4ED6">
        <w:t>Consolidated Appropriations Act, 2018, Pub</w:t>
      </w:r>
      <w:r>
        <w:t>.</w:t>
      </w:r>
      <w:r w:rsidRPr="000A4ED6">
        <w:t xml:space="preserve"> L</w:t>
      </w:r>
      <w:r>
        <w:t>.</w:t>
      </w:r>
      <w:r w:rsidRPr="000A4ED6">
        <w:t xml:space="preserve"> No. 115-141, </w:t>
      </w:r>
      <w:r>
        <w:t xml:space="preserve">132 Stat. 1084, </w:t>
      </w:r>
      <w:r w:rsidRPr="000A4ED6">
        <w:t>Division P – RAY BAUM’</w:t>
      </w:r>
      <w:r>
        <w:t xml:space="preserve">S </w:t>
      </w:r>
      <w:r w:rsidRPr="000A4ED6">
        <w:t>Act of 2018, Title I, § 103 (2018)</w:t>
      </w:r>
      <w:r>
        <w:t xml:space="preserve">; </w:t>
      </w:r>
      <w:r w:rsidRPr="000A4ED6">
        <w:t>47 U.S.C. §§ 159</w:t>
      </w:r>
      <w:r>
        <w:t>, 159A</w:t>
      </w:r>
      <w:r w:rsidRPr="000A4ED6">
        <w:t xml:space="preserve">.  </w:t>
      </w:r>
    </w:p>
  </w:footnote>
  <w:footnote w:id="16">
    <w:p w:rsidR="007D15C3" w:rsidP="007D15C3">
      <w:pPr>
        <w:pStyle w:val="FootnoteText"/>
      </w:pPr>
      <w:r>
        <w:rPr>
          <w:rStyle w:val="FootnoteReference"/>
        </w:rPr>
        <w:footnoteRef/>
      </w:r>
      <w:r>
        <w:t xml:space="preserve"> </w:t>
      </w:r>
      <w:r w:rsidRPr="0083281D">
        <w:rPr>
          <w:i/>
        </w:rPr>
        <w:t>FY 2019 Report and Order</w:t>
      </w:r>
      <w:r>
        <w:t>, 34 FCC Rcd at 8193, para. 7.</w:t>
      </w:r>
    </w:p>
  </w:footnote>
  <w:footnote w:id="17">
    <w:p w:rsidR="007D15C3" w:rsidP="007D15C3">
      <w:pPr>
        <w:pStyle w:val="FootnoteText"/>
      </w:pPr>
      <w:r>
        <w:rPr>
          <w:rStyle w:val="FootnoteReference"/>
        </w:rPr>
        <w:footnoteRef/>
      </w:r>
      <w:r>
        <w:t xml:space="preserve"> </w:t>
      </w:r>
      <w:r w:rsidRPr="006F130E">
        <w:rPr>
          <w:i/>
          <w:iCs/>
        </w:rPr>
        <w:t>Id</w:t>
      </w:r>
      <w:r>
        <w:t>. at 8212-14, paras. 63-66.</w:t>
      </w:r>
    </w:p>
  </w:footnote>
  <w:footnote w:id="18">
    <w:p w:rsidR="007D15C3" w:rsidP="007D15C3">
      <w:pPr>
        <w:pStyle w:val="FootnoteText"/>
      </w:pPr>
      <w:r>
        <w:rPr>
          <w:rStyle w:val="FootnoteReference"/>
        </w:rPr>
        <w:footnoteRef/>
      </w:r>
      <w:r>
        <w:t xml:space="preserve"> </w:t>
      </w:r>
      <w:r w:rsidRPr="0083281D">
        <w:rPr>
          <w:i/>
        </w:rPr>
        <w:t>Id</w:t>
      </w:r>
      <w:r>
        <w:t>. at 8214, para. 67.</w:t>
      </w:r>
    </w:p>
  </w:footnote>
  <w:footnote w:id="19">
    <w:p w:rsidR="007D15C3" w:rsidP="007D15C3">
      <w:pPr>
        <w:pStyle w:val="FootnoteText"/>
      </w:pPr>
      <w:r>
        <w:rPr>
          <w:rStyle w:val="FootnoteReference"/>
        </w:rPr>
        <w:footnoteRef/>
      </w:r>
      <w:r>
        <w:t xml:space="preserve"> </w:t>
      </w:r>
      <w:r w:rsidRPr="0083281D">
        <w:rPr>
          <w:i/>
        </w:rPr>
        <w:t>Id</w:t>
      </w:r>
      <w:r>
        <w:t>. at 8214-15, para. 68.</w:t>
      </w:r>
      <w:bookmarkStart w:id="20" w:name="_Hlk26449266"/>
      <w:r w:rsidRPr="00AA6EC9">
        <w:t xml:space="preserve"> </w:t>
      </w:r>
      <w:r>
        <w:t xml:space="preserve"> In addition, the Commission sought comment on exempting licensees in the incubator program from regulatory fees for the term of the license</w:t>
      </w:r>
      <w:bookmarkEnd w:id="20"/>
      <w:r>
        <w:t xml:space="preserve">.  However, after the </w:t>
      </w:r>
      <w:r w:rsidRPr="001950ED">
        <w:rPr>
          <w:i/>
          <w:iCs/>
        </w:rPr>
        <w:t>FY 2019 Report and Order</w:t>
      </w:r>
      <w:r>
        <w:t xml:space="preserve"> was released, the Commission’s order adopting the incubator program was vacated and remanded by the United States Court of Appeals for the Third Circuit. </w:t>
      </w:r>
      <w:r w:rsidRPr="00AA6EC9">
        <w:rPr>
          <w:i/>
          <w:iCs/>
        </w:rPr>
        <w:t xml:space="preserve"> </w:t>
      </w:r>
      <w:r w:rsidRPr="001950ED">
        <w:rPr>
          <w:i/>
          <w:iCs/>
        </w:rPr>
        <w:t>Prometheus Radio Project v. FCC</w:t>
      </w:r>
      <w:r>
        <w:t xml:space="preserve">, 939 F.3d 567 (3d Cir. 2019), </w:t>
      </w:r>
      <w:r w:rsidRPr="00AB00AF">
        <w:rPr>
          <w:i/>
          <w:iCs/>
        </w:rPr>
        <w:t>petition for</w:t>
      </w:r>
      <w:r>
        <w:t xml:space="preserve"> </w:t>
      </w:r>
      <w:r w:rsidRPr="00AB00AF">
        <w:rPr>
          <w:i/>
          <w:iCs/>
        </w:rPr>
        <w:t xml:space="preserve">rehearing </w:t>
      </w:r>
      <w:r w:rsidRPr="00AB00AF">
        <w:rPr>
          <w:i/>
          <w:iCs/>
        </w:rPr>
        <w:t>en</w:t>
      </w:r>
      <w:r w:rsidRPr="00AB00AF">
        <w:rPr>
          <w:i/>
          <w:iCs/>
        </w:rPr>
        <w:t xml:space="preserve"> banc denied</w:t>
      </w:r>
      <w:r>
        <w:t xml:space="preserve">, 3d Cir. Nov. 20, 2019, </w:t>
      </w:r>
      <w:r>
        <w:rPr>
          <w:i/>
          <w:iCs/>
        </w:rPr>
        <w:t>petition for cert. filed</w:t>
      </w:r>
      <w:r>
        <w:t xml:space="preserve"> Apr. 17, 2020. </w:t>
      </w:r>
      <w:r w:rsidRPr="003251FB">
        <w:t xml:space="preserve"> </w:t>
      </w:r>
      <w:r>
        <w:t>For that reason, we do not consider the issue of whether incubator program licensees should be exempt from regulatory fees at this time.</w:t>
      </w:r>
    </w:p>
  </w:footnote>
  <w:footnote w:id="20">
    <w:p w:rsidR="007D15C3" w:rsidP="007D15C3">
      <w:pPr>
        <w:pStyle w:val="FootnoteText"/>
      </w:pPr>
      <w:r>
        <w:rPr>
          <w:rStyle w:val="FootnoteReference"/>
        </w:rPr>
        <w:footnoteRef/>
      </w:r>
      <w:r>
        <w:t xml:space="preserve"> </w:t>
      </w:r>
      <w:r w:rsidRPr="007E2815">
        <w:t xml:space="preserve">Under the Commission’s rules, a satellite licensed by an administration other than the United States may seek to communicate with satellite earth stations in the United States through a process called market access. </w:t>
      </w:r>
      <w:r>
        <w:t xml:space="preserve"> </w:t>
      </w:r>
      <w:r w:rsidRPr="007E2815">
        <w:t>47 CFR §</w:t>
      </w:r>
      <w:r>
        <w:t> </w:t>
      </w:r>
      <w:r w:rsidRPr="007E2815">
        <w:t xml:space="preserve">25.137. </w:t>
      </w:r>
      <w:r>
        <w:t xml:space="preserve"> </w:t>
      </w:r>
      <w:r w:rsidRPr="007E2815">
        <w:t>Market access is either requested by the space station operator through a petition for declaratory ruling from the Commission that market access by the non-U.S. licensed space station is in the public interest, or through an application by a U.S.</w:t>
      </w:r>
      <w:r w:rsidRPr="007E2815">
        <w:t xml:space="preserve"> </w:t>
      </w:r>
      <w:r w:rsidRPr="007E2815">
        <w:t>licensed earth station to communicate with the non-U.S. licensed space station. 47 CFR §</w:t>
      </w:r>
      <w:r>
        <w:t> </w:t>
      </w:r>
      <w:r w:rsidRPr="007E2815">
        <w:t>25.137(a).  In either case, the Commission does not license the space station, but the request for U.S. market access requires the submission and review of the same legal and technical information for the non-U.S. licensed space station as would be required in a license application for that space station. 47 CFR § 25.137(b).</w:t>
      </w:r>
    </w:p>
  </w:footnote>
  <w:footnote w:id="21">
    <w:p w:rsidR="007D15C3" w:rsidP="007D15C3">
      <w:pPr>
        <w:pStyle w:val="FootnoteText"/>
      </w:pPr>
      <w:r>
        <w:rPr>
          <w:rStyle w:val="FootnoteReference"/>
        </w:rPr>
        <w:footnoteRef/>
      </w:r>
      <w:r>
        <w:t xml:space="preserve"> </w:t>
      </w:r>
      <w:r w:rsidRPr="00C46234">
        <w:rPr>
          <w:i/>
          <w:iCs/>
        </w:rPr>
        <w:t>Assessment and Collection of Regulatory Fees for Fiscal Year 1999</w:t>
      </w:r>
      <w:r>
        <w:t>, Report and Order, 14 FCC Rcd 9868, 9883, para. 39 (1999) (</w:t>
      </w:r>
      <w:r w:rsidRPr="00C46234">
        <w:rPr>
          <w:i/>
          <w:iCs/>
        </w:rPr>
        <w:t>FY 1999 Report and Order</w:t>
      </w:r>
      <w:r>
        <w:t xml:space="preserve">).  </w:t>
      </w:r>
    </w:p>
  </w:footnote>
  <w:footnote w:id="22">
    <w:p w:rsidR="007D15C3" w:rsidP="007D15C3">
      <w:pPr>
        <w:pStyle w:val="FootnoteText"/>
      </w:pPr>
      <w:r>
        <w:rPr>
          <w:rStyle w:val="FootnoteReference"/>
        </w:rPr>
        <w:footnoteRef/>
      </w:r>
      <w:r>
        <w:t xml:space="preserve"> </w:t>
      </w:r>
      <w:r>
        <w:rPr>
          <w:i/>
        </w:rPr>
        <w:t>Assessment and Collection of Regulatory Fees for Fiscal Year 2014</w:t>
      </w:r>
      <w:r>
        <w:t>, Notice of Proposed Rulemaking, Second Further Notice of Proposed Rulemaking, and Order, 29 FCC Rcd 6417, 6433-34, paras. 47-50 (2014) (</w:t>
      </w:r>
      <w:r>
        <w:rPr>
          <w:i/>
        </w:rPr>
        <w:t>FY 2014 NPRM</w:t>
      </w:r>
      <w:r>
        <w:t>);</w:t>
      </w:r>
      <w:r>
        <w:rPr>
          <w:i/>
        </w:rPr>
        <w:t xml:space="preserve"> Assessment and Collection of Regulatory Fees for Fiscal Year 2013</w:t>
      </w:r>
      <w:r>
        <w:t>, Notice of Proposed Rulemaking</w:t>
      </w:r>
      <w:r>
        <w:rPr>
          <w:i/>
        </w:rPr>
        <w:t xml:space="preserve"> </w:t>
      </w:r>
      <w:r>
        <w:t>and Further Notice of Proposed Rulemaking,</w:t>
      </w:r>
      <w:r>
        <w:rPr>
          <w:i/>
        </w:rPr>
        <w:t xml:space="preserve"> </w:t>
      </w:r>
      <w:r>
        <w:t>28 FCC Rcd 7790, 7809-810, paras. 47-49 (2013) (</w:t>
      </w:r>
      <w:r>
        <w:rPr>
          <w:i/>
        </w:rPr>
        <w:t>FY 2013 NPRM</w:t>
      </w:r>
      <w:r>
        <w:t>).</w:t>
      </w:r>
    </w:p>
  </w:footnote>
  <w:footnote w:id="23">
    <w:p w:rsidR="007D15C3" w:rsidRPr="00805558" w:rsidP="007D15C3">
      <w:pPr>
        <w:pStyle w:val="FootnoteText"/>
      </w:pPr>
      <w:r>
        <w:rPr>
          <w:rStyle w:val="FootnoteReference"/>
        </w:rPr>
        <w:footnoteRef/>
      </w:r>
      <w:r>
        <w:t xml:space="preserve"> </w:t>
      </w:r>
      <w:r w:rsidRPr="006F130E">
        <w:rPr>
          <w:i/>
          <w:iCs/>
        </w:rPr>
        <w:t>Assessment and Collection for Regulatory Fees for Fiscal Year 2014</w:t>
      </w:r>
      <w:r>
        <w:t xml:space="preserve">, </w:t>
      </w:r>
      <w:r w:rsidRPr="006F130E">
        <w:rPr>
          <w:i/>
          <w:iCs/>
        </w:rPr>
        <w:t>Report and Order and Further Notice of Proposed Rulemaking</w:t>
      </w:r>
      <w:r>
        <w:t xml:space="preserve"> , 29 FCC Rcd at 10781, para. 34 (</w:t>
      </w:r>
      <w:r w:rsidRPr="00805558">
        <w:rPr>
          <w:i/>
        </w:rPr>
        <w:t>FY 2014 Report and Order</w:t>
      </w:r>
      <w:r>
        <w:rPr>
          <w:iCs/>
        </w:rPr>
        <w:t>)</w:t>
      </w:r>
      <w:r>
        <w:t>.</w:t>
      </w:r>
    </w:p>
  </w:footnote>
  <w:footnote w:id="24">
    <w:p w:rsidR="007D15C3" w:rsidP="007D15C3">
      <w:pPr>
        <w:pStyle w:val="FootnoteText"/>
      </w:pPr>
      <w:r>
        <w:rPr>
          <w:rStyle w:val="FootnoteReference"/>
        </w:rPr>
        <w:footnoteRef/>
      </w:r>
      <w:r>
        <w:t xml:space="preserve"> </w:t>
      </w:r>
      <w:r>
        <w:rPr>
          <w:i/>
          <w:iCs/>
        </w:rPr>
        <w:t>Assessment and Collection of Regulatory Fees for Fiscal Year</w:t>
      </w:r>
      <w:r w:rsidRPr="00805558">
        <w:rPr>
          <w:i/>
        </w:rPr>
        <w:t xml:space="preserve"> 2015</w:t>
      </w:r>
      <w:r>
        <w:rPr>
          <w:iCs/>
        </w:rPr>
        <w:t>,</w:t>
      </w:r>
      <w:r w:rsidRPr="00805558">
        <w:rPr>
          <w:i/>
        </w:rPr>
        <w:t xml:space="preserve"> </w:t>
      </w:r>
      <w:r w:rsidRPr="00C6100F">
        <w:t>Report and Order</w:t>
      </w:r>
      <w:r>
        <w:rPr>
          <w:iCs/>
        </w:rPr>
        <w:t xml:space="preserve"> and Further Notice of Proposed Rulemaking</w:t>
      </w:r>
      <w:r w:rsidRPr="002D1750">
        <w:rPr>
          <w:iCs/>
        </w:rPr>
        <w:t>,</w:t>
      </w:r>
      <w:r>
        <w:t xml:space="preserve"> 30 FCC Rcd at 10278, para. 24 (2015) (</w:t>
      </w:r>
      <w:r>
        <w:rPr>
          <w:i/>
          <w:iCs/>
        </w:rPr>
        <w:t>FY 2015 Report and Order</w:t>
      </w:r>
      <w:r>
        <w:t>).</w:t>
      </w:r>
    </w:p>
  </w:footnote>
  <w:footnote w:id="25">
    <w:p w:rsidR="007D15C3" w:rsidP="007D15C3">
      <w:pPr>
        <w:pStyle w:val="FootnoteText"/>
      </w:pPr>
      <w:r>
        <w:rPr>
          <w:rStyle w:val="FootnoteReference"/>
        </w:rPr>
        <w:footnoteRef/>
      </w:r>
      <w:r>
        <w:t xml:space="preserve"> </w:t>
      </w:r>
      <w:r w:rsidRPr="00805558">
        <w:rPr>
          <w:i/>
        </w:rPr>
        <w:t>FY 2015 Report and Order</w:t>
      </w:r>
      <w:r>
        <w:t>, 30 FCC Rcd at 10278, para. 24.</w:t>
      </w:r>
    </w:p>
  </w:footnote>
  <w:footnote w:id="26">
    <w:p w:rsidR="007D15C3" w:rsidRPr="00D05439" w:rsidP="007D15C3">
      <w:pPr>
        <w:pStyle w:val="FootnoteText"/>
      </w:pPr>
      <w:r>
        <w:rPr>
          <w:rStyle w:val="FootnoteReference"/>
        </w:rPr>
        <w:footnoteRef/>
      </w:r>
      <w:r>
        <w:t xml:space="preserve"> </w:t>
      </w:r>
      <w:r w:rsidRPr="00A94765">
        <w:t>Section 6002(a) of the Omnibus Budget Reconciliation Act of 1993 (hereinafter</w:t>
      </w:r>
      <w:r>
        <w:t>,</w:t>
      </w:r>
      <w:r w:rsidRPr="00A94765">
        <w:t xml:space="preserve"> “1993 Budget Act”).  </w:t>
      </w:r>
      <w:r w:rsidRPr="009950C8">
        <w:rPr>
          <w:i/>
        </w:rPr>
        <w:t>See</w:t>
      </w:r>
      <w:r w:rsidRPr="00A94765">
        <w:t xml:space="preserve"> </w:t>
      </w:r>
      <w:r w:rsidRPr="00A94765">
        <w:t>Pub.L</w:t>
      </w:r>
      <w:r w:rsidRPr="00A94765">
        <w:t xml:space="preserve">. No. 103–66, Title VI, § 6002(a), 107 Stat. 397 (approved August 10, 1993).  </w:t>
      </w:r>
      <w:r>
        <w:t>Congress made subsequent minor amendments to the schedule.</w:t>
      </w:r>
    </w:p>
  </w:footnote>
  <w:footnote w:id="27">
    <w:p w:rsidR="007D15C3" w:rsidP="007D15C3">
      <w:pPr>
        <w:pStyle w:val="FootnoteText"/>
      </w:pPr>
      <w:r>
        <w:rPr>
          <w:rStyle w:val="FootnoteReference"/>
        </w:rPr>
        <w:footnoteRef/>
      </w:r>
      <w:r>
        <w:t xml:space="preserve"> </w:t>
      </w:r>
      <w:r w:rsidRPr="000A1AED">
        <w:rPr>
          <w:i/>
          <w:iCs/>
        </w:rPr>
        <w:t>See</w:t>
      </w:r>
      <w:r w:rsidRPr="00D12DC9">
        <w:t xml:space="preserve"> </w:t>
      </w:r>
      <w:r w:rsidRPr="00E93795">
        <w:rPr>
          <w:i/>
        </w:rPr>
        <w:t>FY</w:t>
      </w:r>
      <w:r w:rsidRPr="00A1103B">
        <w:rPr>
          <w:i/>
        </w:rPr>
        <w:t xml:space="preserve"> 2012 NPRM</w:t>
      </w:r>
      <w:r w:rsidRPr="002C7C70">
        <w:rPr>
          <w:i/>
          <w:iCs/>
        </w:rPr>
        <w:t xml:space="preserve"> </w:t>
      </w:r>
      <w:r>
        <w:rPr>
          <w:i/>
          <w:iCs/>
        </w:rPr>
        <w:t>at</w:t>
      </w:r>
      <w:r w:rsidRPr="0045526F">
        <w:rPr>
          <w:i/>
        </w:rPr>
        <w:t xml:space="preserve"> </w:t>
      </w:r>
      <w:r w:rsidRPr="00D12DC9">
        <w:t xml:space="preserve">8464-65, paras. 14-16. </w:t>
      </w:r>
      <w:r>
        <w:t xml:space="preserve"> </w:t>
      </w:r>
      <w:r w:rsidRPr="00D12DC9">
        <w:t>The concept of administrability include</w:t>
      </w:r>
      <w:r>
        <w:t>s</w:t>
      </w:r>
      <w:r w:rsidRPr="00D12DC9">
        <w:t xml:space="preserve"> the difficulty in collecting regulatory fees under a system that could have unpredictable dramatic shifts in assessed fees in certain categories from year to year.</w:t>
      </w:r>
    </w:p>
  </w:footnote>
  <w:footnote w:id="28">
    <w:p w:rsidR="007D15C3" w:rsidP="007D15C3">
      <w:pPr>
        <w:pStyle w:val="FootnoteText"/>
      </w:pPr>
      <w:r>
        <w:rPr>
          <w:rStyle w:val="FootnoteReference"/>
        </w:rPr>
        <w:footnoteRef/>
      </w:r>
      <w:r>
        <w:t xml:space="preserve"> </w:t>
      </w:r>
      <w:r w:rsidRPr="006E3781">
        <w:rPr>
          <w:i/>
        </w:rPr>
        <w:t>FY 2019 Report and Order</w:t>
      </w:r>
      <w:r w:rsidRPr="006E3781">
        <w:t>, 34 FCC Rcd at 8212, para. 63.</w:t>
      </w:r>
    </w:p>
  </w:footnote>
  <w:footnote w:id="29">
    <w:p w:rsidR="007D15C3" w:rsidP="007D15C3">
      <w:pPr>
        <w:pStyle w:val="FootnoteText"/>
      </w:pPr>
      <w:r>
        <w:rPr>
          <w:rStyle w:val="FootnoteReference"/>
        </w:rPr>
        <w:footnoteRef/>
      </w:r>
      <w:r>
        <w:t xml:space="preserve"> </w:t>
      </w:r>
      <w:r w:rsidRPr="006F130E">
        <w:rPr>
          <w:i/>
          <w:iCs/>
        </w:rPr>
        <w:t>Id</w:t>
      </w:r>
      <w:r w:rsidRPr="006E3781">
        <w:t>.</w:t>
      </w:r>
    </w:p>
  </w:footnote>
  <w:footnote w:id="30">
    <w:p w:rsidR="007D15C3" w:rsidP="007D15C3">
      <w:pPr>
        <w:pStyle w:val="FootnoteText"/>
      </w:pPr>
      <w:r>
        <w:rPr>
          <w:rStyle w:val="FootnoteReference"/>
        </w:rPr>
        <w:footnoteRef/>
      </w:r>
      <w:r>
        <w:t xml:space="preserve"> </w:t>
      </w:r>
      <w:r w:rsidRPr="006F130E">
        <w:rPr>
          <w:i/>
          <w:iCs/>
        </w:rPr>
        <w:t>Id.</w:t>
      </w:r>
      <w:r w:rsidRPr="006E3781">
        <w:t xml:space="preserve"> at 821</w:t>
      </w:r>
      <w:r>
        <w:t>3</w:t>
      </w:r>
      <w:r w:rsidRPr="006E3781">
        <w:t>,</w:t>
      </w:r>
      <w:r>
        <w:t xml:space="preserve"> para. 64.</w:t>
      </w:r>
    </w:p>
  </w:footnote>
  <w:footnote w:id="31">
    <w:p w:rsidR="007D15C3" w:rsidP="007D15C3">
      <w:pPr>
        <w:pStyle w:val="FootnoteText"/>
      </w:pPr>
      <w:r>
        <w:rPr>
          <w:rStyle w:val="FootnoteReference"/>
        </w:rPr>
        <w:footnoteRef/>
      </w:r>
      <w:r>
        <w:t xml:space="preserve"> </w:t>
      </w:r>
      <w:r w:rsidRPr="006F130E">
        <w:rPr>
          <w:i/>
          <w:iCs/>
        </w:rPr>
        <w:t>Id</w:t>
      </w:r>
      <w:r>
        <w:t>.</w:t>
      </w:r>
      <w:r w:rsidRPr="008D193F">
        <w:t xml:space="preserve"> </w:t>
      </w:r>
    </w:p>
  </w:footnote>
  <w:footnote w:id="32">
    <w:p w:rsidR="007D15C3" w:rsidP="007D15C3">
      <w:pPr>
        <w:pStyle w:val="FootnoteText"/>
      </w:pPr>
      <w:r>
        <w:rPr>
          <w:rStyle w:val="FootnoteReference"/>
        </w:rPr>
        <w:footnoteRef/>
      </w:r>
      <w:r>
        <w:t xml:space="preserve"> </w:t>
      </w:r>
      <w:r w:rsidRPr="006F130E">
        <w:rPr>
          <w:i/>
          <w:iCs/>
        </w:rPr>
        <w:t>Id.</w:t>
      </w:r>
      <w:r w:rsidRPr="006E3781">
        <w:t xml:space="preserve"> at 821</w:t>
      </w:r>
      <w:r>
        <w:t>4</w:t>
      </w:r>
      <w:r w:rsidRPr="006E3781">
        <w:t>, para. 6</w:t>
      </w:r>
      <w:r>
        <w:t>6.</w:t>
      </w:r>
    </w:p>
  </w:footnote>
  <w:footnote w:id="33">
    <w:p w:rsidR="007D15C3" w:rsidP="007D15C3">
      <w:pPr>
        <w:pStyle w:val="FootnoteText"/>
      </w:pPr>
      <w:r>
        <w:rPr>
          <w:rStyle w:val="FootnoteReference"/>
        </w:rPr>
        <w:footnoteRef/>
      </w:r>
      <w:r>
        <w:t xml:space="preserve"> </w:t>
      </w:r>
      <w:r w:rsidRPr="00565E15">
        <w:t>47 U.S.C. § 159(</w:t>
      </w:r>
      <w:r>
        <w:t>d).</w:t>
      </w:r>
    </w:p>
  </w:footnote>
  <w:footnote w:id="34">
    <w:p w:rsidR="007D15C3" w:rsidRPr="00A44D0A" w:rsidP="007D15C3">
      <w:pPr>
        <w:pStyle w:val="FootnoteText"/>
      </w:pPr>
      <w:r w:rsidRPr="00A44D0A">
        <w:rPr>
          <w:rStyle w:val="FootnoteReference"/>
        </w:rPr>
        <w:footnoteRef/>
      </w:r>
      <w:r w:rsidRPr="00A44D0A">
        <w:t xml:space="preserve">  The statute exempts governmental and nonprofit entities, amateur radio operators, and noncommercial radio and television stations are exempt from regulatory fees under section 9(e)(1).  47 U.S.C. § 159</w:t>
      </w:r>
      <w:r w:rsidRPr="007E129D">
        <w:t>(e)(1); 47 CFR § 1.1162.</w:t>
      </w:r>
      <w:r w:rsidRPr="00A44D0A">
        <w:t xml:space="preserve">  Moreover, </w:t>
      </w:r>
      <w:r>
        <w:t xml:space="preserve">we note that the exemption for noncommercial radio </w:t>
      </w:r>
      <w:r>
        <w:t>ad</w:t>
      </w:r>
      <w:r>
        <w:t xml:space="preserve"> television stations, which Congress added to the statute </w:t>
      </w:r>
      <w:r w:rsidRPr="00A44D0A">
        <w:t>in the RAY BAUM’s Act,</w:t>
      </w:r>
      <w:r>
        <w:t xml:space="preserve"> was a codification of an exemption that the Commission had previously established in its rules.</w:t>
      </w:r>
      <w:r w:rsidRPr="00A44D0A">
        <w:t xml:space="preserve">  </w:t>
      </w:r>
      <w:r w:rsidRPr="0043478A">
        <w:t xml:space="preserve">  </w:t>
      </w:r>
      <w:r w:rsidRPr="006F130E">
        <w:rPr>
          <w:i/>
          <w:iCs/>
          <w:color w:val="000000"/>
        </w:rPr>
        <w:t xml:space="preserve">See </w:t>
      </w:r>
      <w:r w:rsidRPr="006F130E">
        <w:rPr>
          <w:snapToGrid w:val="0"/>
          <w:color w:val="000000"/>
        </w:rPr>
        <w:t xml:space="preserve">47 CFR § 1.1162(e) </w:t>
      </w:r>
      <w:r w:rsidRPr="006F130E">
        <w:rPr>
          <w:color w:val="000000"/>
        </w:rPr>
        <w:t>(1994); also compare current section 9(e) with the now-deleted section 9(h</w:t>
      </w:r>
      <w:r w:rsidRPr="0043478A">
        <w:rPr>
          <w:color w:val="000000"/>
        </w:rPr>
        <w:t xml:space="preserve">). </w:t>
      </w:r>
      <w:r w:rsidRPr="006F130E">
        <w:rPr>
          <w:color w:val="000000"/>
        </w:rPr>
        <w:t xml:space="preserve"> The </w:t>
      </w:r>
      <w:r w:rsidRPr="006F130E">
        <w:rPr>
          <w:color w:val="3D3D3D"/>
          <w:bdr w:val="none" w:sz="0" w:space="0" w:color="auto" w:frame="1"/>
        </w:rPr>
        <w:t xml:space="preserve">Commission adopted the exemption based on its interpretation of the legislative history and Congressional direction.  </w:t>
      </w:r>
      <w:r w:rsidRPr="006F130E">
        <w:rPr>
          <w:i/>
          <w:iCs/>
          <w:color w:val="3D3D3D"/>
          <w:bdr w:val="none" w:sz="0" w:space="0" w:color="auto" w:frame="1"/>
        </w:rPr>
        <w:t>See</w:t>
      </w:r>
      <w:r w:rsidRPr="006F130E">
        <w:rPr>
          <w:color w:val="3D3D3D"/>
          <w:bdr w:val="none" w:sz="0" w:space="0" w:color="auto" w:frame="1"/>
        </w:rPr>
        <w:t xml:space="preserve"> </w:t>
      </w:r>
      <w:r w:rsidRPr="006F130E">
        <w:rPr>
          <w:i/>
          <w:iCs/>
          <w:color w:val="3D3D3D"/>
          <w:bdr w:val="none" w:sz="0" w:space="0" w:color="auto" w:frame="1"/>
        </w:rPr>
        <w:t>Implementation of Section 9 of the Communications Act</w:t>
      </w:r>
      <w:r w:rsidRPr="006F130E">
        <w:rPr>
          <w:color w:val="3D3D3D"/>
          <w:bdr w:val="none" w:sz="0" w:space="0" w:color="auto" w:frame="1"/>
        </w:rPr>
        <w:t xml:space="preserve">, Notice of Proposed Rulemaking, 9 FCC Rcd 6957 at paras. 18-22 (explaining noncommercial broadcast exemption based on legislative history and wording of the statute) (1994); </w:t>
      </w:r>
      <w:r w:rsidRPr="006F130E">
        <w:rPr>
          <w:i/>
          <w:iCs/>
          <w:color w:val="3D3D3D"/>
          <w:bdr w:val="none" w:sz="0" w:space="0" w:color="auto" w:frame="1"/>
        </w:rPr>
        <w:t>Implementation of Section 9 of the Communications Act</w:t>
      </w:r>
      <w:r w:rsidRPr="006F130E">
        <w:rPr>
          <w:color w:val="3D3D3D"/>
          <w:bdr w:val="none" w:sz="0" w:space="0" w:color="auto" w:frame="1"/>
        </w:rPr>
        <w:t>, Report and Order, 9 FCC Rcd. 533 at paras 13, 20-21 (1994)</w:t>
      </w:r>
      <w:r w:rsidRPr="006F130E">
        <w:rPr>
          <w:color w:val="000000"/>
        </w:rPr>
        <w:t>.</w:t>
      </w:r>
      <w:r w:rsidRPr="0043478A">
        <w:rPr>
          <w:color w:val="000000"/>
        </w:rPr>
        <w:t xml:space="preserve"> </w:t>
      </w:r>
      <w:r w:rsidRPr="00A44D0A">
        <w:t xml:space="preserve">In addition, Congress also codified in the RAY BAUM’s Act the Commission’s </w:t>
      </w:r>
      <w:r w:rsidRPr="00A44D0A">
        <w:rPr>
          <w:i/>
          <w:iCs/>
        </w:rPr>
        <w:t>de minimis</w:t>
      </w:r>
      <w:r w:rsidRPr="00A44D0A">
        <w:t xml:space="preserve"> rule through the adoption of new </w:t>
      </w:r>
      <w:r>
        <w:t>s</w:t>
      </w:r>
      <w:r w:rsidRPr="00A44D0A">
        <w:t>ection 9(e)</w:t>
      </w:r>
      <w:r>
        <w:t>(2)</w:t>
      </w:r>
      <w:r w:rsidRPr="00A44D0A">
        <w:t xml:space="preserve">.  </w:t>
      </w:r>
      <w:r w:rsidRPr="006F130E">
        <w:rPr>
          <w:i/>
          <w:iCs/>
        </w:rPr>
        <w:t>See</w:t>
      </w:r>
      <w:r>
        <w:t xml:space="preserve"> </w:t>
      </w:r>
      <w:r w:rsidRPr="00A44D0A">
        <w:rPr>
          <w:i/>
          <w:iCs/>
        </w:rPr>
        <w:t>FY 2019 Report and Order</w:t>
      </w:r>
      <w:r w:rsidRPr="00A44D0A">
        <w:t>, 34 FCC Rcd at 8206-07,</w:t>
      </w:r>
      <w:r w:rsidRPr="005C06DA">
        <w:t xml:space="preserve"> paras</w:t>
      </w:r>
      <w:r w:rsidRPr="007E129D">
        <w:t xml:space="preserve">. </w:t>
      </w:r>
      <w:r w:rsidRPr="00A44D0A">
        <w:t xml:space="preserve">46-47. </w:t>
      </w:r>
    </w:p>
  </w:footnote>
  <w:footnote w:id="35">
    <w:p w:rsidR="007D15C3" w:rsidP="007D15C3">
      <w:pPr>
        <w:pStyle w:val="FootnoteText"/>
      </w:pPr>
      <w:r w:rsidRPr="00A44D0A">
        <w:rPr>
          <w:rStyle w:val="FootnoteReference"/>
        </w:rPr>
        <w:footnoteRef/>
      </w:r>
      <w:r w:rsidRPr="00A44D0A">
        <w:t xml:space="preserve"> 47 CFR §</w:t>
      </w:r>
      <w:r w:rsidRPr="005C06DA">
        <w:t xml:space="preserve"> 1</w:t>
      </w:r>
      <w:r w:rsidRPr="002C7C70">
        <w:t>.</w:t>
      </w:r>
      <w:r w:rsidRPr="00A44D0A">
        <w:t>1166</w:t>
      </w:r>
      <w:r>
        <w:t>.</w:t>
      </w:r>
    </w:p>
  </w:footnote>
  <w:footnote w:id="36">
    <w:p w:rsidR="007D15C3" w:rsidP="007D15C3">
      <w:pPr>
        <w:pStyle w:val="FootnoteText"/>
      </w:pPr>
      <w:r>
        <w:rPr>
          <w:rStyle w:val="FootnoteReference"/>
        </w:rPr>
        <w:footnoteRef/>
      </w:r>
      <w:r>
        <w:t xml:space="preserve"> U.S. Satellite Licensees Comments at 8 (quoting </w:t>
      </w:r>
      <w:r w:rsidRPr="00565E15">
        <w:t>47 U.S.C. § 159(</w:t>
      </w:r>
      <w:r>
        <w:t>d)).  These joint commenters are EchoStar Satellite Services, LLC (EchoStar), Hughes Network Systems, LLC (Hughes), Intelsat License LLC (Intelsat), and Space Exploration Technologies Corp. (SpaceX).</w:t>
      </w:r>
    </w:p>
  </w:footnote>
  <w:footnote w:id="37">
    <w:p w:rsidR="007D15C3" w:rsidP="007D15C3">
      <w:pPr>
        <w:pStyle w:val="FootnoteText"/>
      </w:pPr>
      <w:r>
        <w:rPr>
          <w:rStyle w:val="FootnoteReference"/>
        </w:rPr>
        <w:footnoteRef/>
      </w:r>
      <w:r>
        <w:t xml:space="preserve"> U.S. Satellite Licensees Comments at 8-9; SpaceX Comments at 4-7; SpaceX Reply Comments at 6.  </w:t>
      </w:r>
    </w:p>
  </w:footnote>
  <w:footnote w:id="38">
    <w:p w:rsidR="007D15C3" w:rsidP="007D15C3">
      <w:pPr>
        <w:pStyle w:val="FootnoteText"/>
      </w:pPr>
      <w:r>
        <w:rPr>
          <w:rStyle w:val="FootnoteReference"/>
        </w:rPr>
        <w:footnoteRef/>
      </w:r>
      <w:r>
        <w:t xml:space="preserve"> SpaceX Comments at 5.</w:t>
      </w:r>
    </w:p>
  </w:footnote>
  <w:footnote w:id="39">
    <w:p w:rsidR="007D15C3" w:rsidP="007D15C3">
      <w:pPr>
        <w:pStyle w:val="FootnoteText"/>
      </w:pPr>
      <w:r>
        <w:rPr>
          <w:rStyle w:val="FootnoteReference"/>
        </w:rPr>
        <w:footnoteRef/>
      </w:r>
      <w:r>
        <w:t xml:space="preserve"> </w:t>
      </w:r>
      <w:r>
        <w:t>OneWeb</w:t>
      </w:r>
      <w:r>
        <w:t xml:space="preserve"> Comments at 4-7; </w:t>
      </w:r>
      <w:r>
        <w:t>Telesat</w:t>
      </w:r>
      <w:r>
        <w:t xml:space="preserve"> Canada (</w:t>
      </w:r>
      <w:r>
        <w:t>Telesat</w:t>
      </w:r>
      <w:r>
        <w:t xml:space="preserve">) Comments at 3-4 &amp; Reply Comments at 9-10; </w:t>
      </w:r>
      <w:r>
        <w:t>Myriota</w:t>
      </w:r>
      <w:r>
        <w:t xml:space="preserve"> Comments at 5-6; Eutelsat Comments at 5; Kepler Communications (Kepler) Reply Comments at 2-3; Inmarsat Reply Comments at 2-3.</w:t>
      </w:r>
    </w:p>
  </w:footnote>
  <w:footnote w:id="40">
    <w:p w:rsidR="007D15C3" w:rsidP="007D15C3">
      <w:pPr>
        <w:pStyle w:val="FootnoteText"/>
      </w:pPr>
      <w:r>
        <w:rPr>
          <w:rStyle w:val="FootnoteReference"/>
        </w:rPr>
        <w:footnoteRef/>
      </w:r>
      <w:r>
        <w:t xml:space="preserve"> </w:t>
      </w:r>
      <w:r>
        <w:t>Telesat</w:t>
      </w:r>
      <w:r>
        <w:t xml:space="preserve"> Comments at 10.</w:t>
      </w:r>
    </w:p>
  </w:footnote>
  <w:footnote w:id="41">
    <w:p w:rsidR="007D15C3" w:rsidP="007D15C3">
      <w:pPr>
        <w:pStyle w:val="FootnoteText"/>
      </w:pPr>
      <w:r>
        <w:rPr>
          <w:rStyle w:val="FootnoteReference"/>
        </w:rPr>
        <w:footnoteRef/>
      </w:r>
      <w:r>
        <w:t xml:space="preserve"> Inmarsat Reply Comments at 3.</w:t>
      </w:r>
    </w:p>
  </w:footnote>
  <w:footnote w:id="42">
    <w:p w:rsidR="007D15C3" w:rsidP="007D15C3">
      <w:pPr>
        <w:pStyle w:val="FootnoteText"/>
      </w:pPr>
      <w:r>
        <w:rPr>
          <w:rStyle w:val="FootnoteReference"/>
        </w:rPr>
        <w:footnoteRef/>
      </w:r>
      <w:r>
        <w:t xml:space="preserve"> </w:t>
      </w:r>
      <w:r>
        <w:t>Telesat</w:t>
      </w:r>
      <w:r>
        <w:t xml:space="preserve"> Comments at 2; Eutelsat Comments at 4-5; Inmarsat Reply Comments at 2-3.</w:t>
      </w:r>
    </w:p>
  </w:footnote>
  <w:footnote w:id="43">
    <w:p w:rsidR="007D15C3" w:rsidP="007D15C3">
      <w:pPr>
        <w:pStyle w:val="FootnoteText"/>
      </w:pPr>
      <w:r>
        <w:rPr>
          <w:rStyle w:val="FootnoteReference"/>
        </w:rPr>
        <w:footnoteRef/>
      </w:r>
      <w:r>
        <w:t xml:space="preserve"> </w:t>
      </w:r>
      <w:r w:rsidRPr="00C45F52">
        <w:rPr>
          <w:i/>
        </w:rPr>
        <w:t>FY 1999 Report and Order</w:t>
      </w:r>
      <w:r>
        <w:t xml:space="preserve">, 14 FCC Rcd at 9883, para. 39; </w:t>
      </w:r>
      <w:r w:rsidRPr="005070E1">
        <w:rPr>
          <w:i/>
          <w:iCs/>
        </w:rPr>
        <w:t>Assessment and Collection of Regulatory Fees for Fiscal Year 1995</w:t>
      </w:r>
      <w:r>
        <w:t>, Report and Order, 10 FCC Rcd 13512, 13550, para. 110 (1995) (</w:t>
      </w:r>
      <w:r w:rsidRPr="005070E1">
        <w:rPr>
          <w:i/>
          <w:iCs/>
        </w:rPr>
        <w:t>FY 1995 Report and Order</w:t>
      </w:r>
      <w:r>
        <w:t>).</w:t>
      </w:r>
    </w:p>
  </w:footnote>
  <w:footnote w:id="44">
    <w:p w:rsidR="007D15C3" w:rsidP="007D15C3">
      <w:pPr>
        <w:pStyle w:val="FootnoteText"/>
      </w:pPr>
      <w:r>
        <w:rPr>
          <w:rStyle w:val="FootnoteReference"/>
        </w:rPr>
        <w:footnoteRef/>
      </w:r>
      <w:r>
        <w:t xml:space="preserve"> </w:t>
      </w:r>
      <w:r w:rsidRPr="00C45F52">
        <w:rPr>
          <w:i/>
        </w:rPr>
        <w:t>FY 1999 Report and Order</w:t>
      </w:r>
      <w:r>
        <w:t xml:space="preserve">, 14 FCC Rcd at 9883, para. 39; </w:t>
      </w:r>
      <w:r w:rsidRPr="005070E1">
        <w:rPr>
          <w:i/>
          <w:iCs/>
        </w:rPr>
        <w:t>FY 1995 Report and Order</w:t>
      </w:r>
      <w:r>
        <w:t>, 10 FCC Rcd at 13550, para. 110.</w:t>
      </w:r>
    </w:p>
  </w:footnote>
  <w:footnote w:id="45">
    <w:p w:rsidR="007D15C3" w:rsidP="007D15C3">
      <w:pPr>
        <w:pStyle w:val="FootnoteText"/>
      </w:pPr>
      <w:r>
        <w:rPr>
          <w:rStyle w:val="FootnoteReference"/>
        </w:rPr>
        <w:footnoteRef/>
      </w:r>
      <w:r>
        <w:t xml:space="preserve"> </w:t>
      </w:r>
      <w:r>
        <w:rPr>
          <w:snapToGrid w:val="0"/>
          <w:color w:val="000000"/>
        </w:rPr>
        <w:t xml:space="preserve">House and Senate Reports, Committee on Energy and Commerce, 102 H. Rpt. 207, at 33 (Sept. 17, 1991).  </w:t>
      </w:r>
      <w:r>
        <w:rPr>
          <w:snapToGrid w:val="0"/>
        </w:rPr>
        <w:t xml:space="preserve">The language of the 1991 House and Senate Report was incorporated by reference in the Conference Report accompanying the 1993 Budget </w:t>
      </w:r>
      <w:r w:rsidRPr="006F130E">
        <w:rPr>
          <w:snapToGrid w:val="0"/>
        </w:rPr>
        <w:t>Reconciliation</w:t>
      </w:r>
      <w:r w:rsidRPr="006308EE">
        <w:rPr>
          <w:snapToGrid w:val="0"/>
        </w:rPr>
        <w:t xml:space="preserve"> </w:t>
      </w:r>
      <w:r>
        <w:rPr>
          <w:snapToGrid w:val="0"/>
        </w:rPr>
        <w:t xml:space="preserve">Act, which included the regulatory fee program. </w:t>
      </w:r>
      <w:r>
        <w:rPr>
          <w:i/>
          <w:iCs/>
          <w:snapToGrid w:val="0"/>
        </w:rPr>
        <w:t>See</w:t>
      </w:r>
      <w:r>
        <w:rPr>
          <w:snapToGrid w:val="0"/>
        </w:rPr>
        <w:t xml:space="preserve"> Conference Report H. Rept. No. 213, 103d Cong., 1st Sess. 499 (1993); </w:t>
      </w:r>
      <w:r>
        <w:rPr>
          <w:i/>
          <w:iCs/>
          <w:snapToGrid w:val="0"/>
        </w:rPr>
        <w:t>see also</w:t>
      </w:r>
      <w:r>
        <w:rPr>
          <w:snapToGrid w:val="0"/>
        </w:rPr>
        <w:t xml:space="preserve"> </w:t>
      </w:r>
      <w:r w:rsidRPr="005070E1">
        <w:rPr>
          <w:i/>
          <w:iCs/>
        </w:rPr>
        <w:t>FY 1995 Report and Order</w:t>
      </w:r>
      <w:r>
        <w:rPr>
          <w:i/>
          <w:iCs/>
          <w:snapToGrid w:val="0"/>
        </w:rPr>
        <w:t xml:space="preserve"> at</w:t>
      </w:r>
      <w:r w:rsidRPr="0045526F">
        <w:rPr>
          <w:i/>
        </w:rPr>
        <w:t xml:space="preserve"> </w:t>
      </w:r>
      <w:r>
        <w:rPr>
          <w:snapToGrid w:val="0"/>
        </w:rPr>
        <w:t xml:space="preserve">13550.  The 1991 language related to a comparable </w:t>
      </w:r>
      <w:r>
        <w:rPr>
          <w:snapToGrid w:val="0"/>
          <w:color w:val="000000"/>
          <w:shd w:val="clear" w:color="auto" w:fill="FFFFFF"/>
        </w:rPr>
        <w:t xml:space="preserve">bill that passed the House in 1991 but was not passed into law.  </w:t>
      </w:r>
      <w:r>
        <w:rPr>
          <w:i/>
          <w:iCs/>
          <w:snapToGrid w:val="0"/>
          <w:color w:val="000000"/>
          <w:shd w:val="clear" w:color="auto" w:fill="FFFFFF"/>
        </w:rPr>
        <w:t xml:space="preserve">See </w:t>
      </w:r>
      <w:r>
        <w:rPr>
          <w:i/>
          <w:iCs/>
          <w:snapToGrid w:val="0"/>
          <w:color w:val="000000"/>
          <w:bdr w:val="none" w:sz="0" w:space="0" w:color="auto" w:frame="1"/>
        </w:rPr>
        <w:t>PanAmSat</w:t>
      </w:r>
      <w:r>
        <w:rPr>
          <w:i/>
          <w:iCs/>
          <w:snapToGrid w:val="0"/>
          <w:color w:val="000000"/>
          <w:bdr w:val="none" w:sz="0" w:space="0" w:color="auto" w:frame="1"/>
        </w:rPr>
        <w:t xml:space="preserve"> Corp. v. FCC</w:t>
      </w:r>
      <w:r>
        <w:rPr>
          <w:snapToGrid w:val="0"/>
          <w:color w:val="000000"/>
        </w:rPr>
        <w:t xml:space="preserve">, 198 F.3d 890, 895 (D.C. Cir. 1999).  The Conference Report accompanying the </w:t>
      </w:r>
      <w:r w:rsidRPr="006F130E">
        <w:rPr>
          <w:snapToGrid w:val="0"/>
        </w:rPr>
        <w:t xml:space="preserve">1993 </w:t>
      </w:r>
      <w:r>
        <w:rPr>
          <w:snapToGrid w:val="0"/>
          <w:color w:val="000000"/>
        </w:rPr>
        <w:t>Budget Reconciliation Act did not provide any statement on space station regulatory fees beyond incorporating by reference the language from 1991.</w:t>
      </w:r>
    </w:p>
  </w:footnote>
  <w:footnote w:id="46">
    <w:p w:rsidR="007D15C3" w:rsidRPr="00141C3B" w:rsidP="007D15C3">
      <w:pPr>
        <w:pStyle w:val="FootnoteText"/>
      </w:pPr>
      <w:r w:rsidRPr="00141C3B">
        <w:rPr>
          <w:rStyle w:val="FootnoteReference"/>
        </w:rPr>
        <w:footnoteRef/>
      </w:r>
      <w:r w:rsidRPr="00141C3B">
        <w:t xml:space="preserve"> </w:t>
      </w:r>
      <w:r w:rsidRPr="008D17E8">
        <w:rPr>
          <w:i/>
          <w:iCs/>
        </w:rPr>
        <w:t>Domestic Communications Satellite Facilities</w:t>
      </w:r>
      <w:r>
        <w:t xml:space="preserve">, 22 FCC 2d 86 (1970).  </w:t>
      </w:r>
      <w:r w:rsidRPr="00141C3B">
        <w:t xml:space="preserve">The Commission’s </w:t>
      </w:r>
      <w:r>
        <w:t>T</w:t>
      </w:r>
      <w:r w:rsidRPr="00141C3B">
        <w:rPr>
          <w:color w:val="3D3D3D"/>
          <w:shd w:val="clear" w:color="auto" w:fill="FFFFFF"/>
        </w:rPr>
        <w:t xml:space="preserve">ransborder </w:t>
      </w:r>
      <w:r>
        <w:rPr>
          <w:color w:val="3D3D3D"/>
          <w:shd w:val="clear" w:color="auto" w:fill="FFFFFF"/>
        </w:rPr>
        <w:t>P</w:t>
      </w:r>
      <w:r w:rsidRPr="00141C3B">
        <w:rPr>
          <w:color w:val="3D3D3D"/>
          <w:shd w:val="clear" w:color="auto" w:fill="FFFFFF"/>
        </w:rPr>
        <w:t xml:space="preserve">olicy did permit the use of </w:t>
      </w:r>
      <w:r>
        <w:rPr>
          <w:color w:val="3D3D3D"/>
          <w:shd w:val="clear" w:color="auto" w:fill="FFFFFF"/>
        </w:rPr>
        <w:t>domsats</w:t>
      </w:r>
      <w:r w:rsidRPr="00141C3B">
        <w:rPr>
          <w:color w:val="3D3D3D"/>
          <w:shd w:val="clear" w:color="auto" w:fill="FFFFFF"/>
        </w:rPr>
        <w:t xml:space="preserve"> for certain international services based on criteria set forth in a letter dated July 23, 1981 from then Under Secretary of State James L. Buckley to then FCC Chairman Mark Fowler (Buckley </w:t>
      </w:r>
      <w:r>
        <w:rPr>
          <w:color w:val="3D3D3D"/>
          <w:shd w:val="clear" w:color="auto" w:fill="FFFFFF"/>
        </w:rPr>
        <w:t>L</w:t>
      </w:r>
      <w:r w:rsidRPr="00141C3B">
        <w:rPr>
          <w:color w:val="3D3D3D"/>
          <w:shd w:val="clear" w:color="auto" w:fill="FFFFFF"/>
        </w:rPr>
        <w:t xml:space="preserve">etter). </w:t>
      </w:r>
      <w:r>
        <w:rPr>
          <w:color w:val="3D3D3D"/>
          <w:shd w:val="clear" w:color="auto" w:fill="FFFFFF"/>
        </w:rPr>
        <w:t xml:space="preserve"> </w:t>
      </w:r>
      <w:r w:rsidRPr="00141C3B">
        <w:rPr>
          <w:color w:val="3D3D3D"/>
          <w:shd w:val="clear" w:color="auto" w:fill="FFFFFF"/>
        </w:rPr>
        <w:t xml:space="preserve">The Buckley </w:t>
      </w:r>
      <w:r>
        <w:rPr>
          <w:color w:val="3D3D3D"/>
          <w:shd w:val="clear" w:color="auto" w:fill="FFFFFF"/>
        </w:rPr>
        <w:t>L</w:t>
      </w:r>
      <w:r w:rsidRPr="00141C3B">
        <w:rPr>
          <w:color w:val="3D3D3D"/>
          <w:shd w:val="clear" w:color="auto" w:fill="FFFFFF"/>
        </w:rPr>
        <w:t xml:space="preserve">etter stated that </w:t>
      </w:r>
      <w:r w:rsidRPr="00141C3B">
        <w:rPr>
          <w:color w:val="3D3D3D"/>
          <w:shd w:val="clear" w:color="auto" w:fill="FFFFFF"/>
        </w:rPr>
        <w:t>domsats</w:t>
      </w:r>
      <w:r w:rsidRPr="00141C3B">
        <w:rPr>
          <w:color w:val="3D3D3D"/>
          <w:shd w:val="clear" w:color="auto" w:fill="FFFFFF"/>
        </w:rPr>
        <w:t xml:space="preserve"> could be used for public international telecommunications with nearby countries where: </w:t>
      </w:r>
      <w:r>
        <w:rPr>
          <w:color w:val="3D3D3D"/>
          <w:shd w:val="clear" w:color="auto" w:fill="FFFFFF"/>
        </w:rPr>
        <w:t>(</w:t>
      </w:r>
      <w:r w:rsidRPr="00141C3B">
        <w:rPr>
          <w:color w:val="3D3D3D"/>
          <w:shd w:val="clear" w:color="auto" w:fill="FFFFFF"/>
        </w:rPr>
        <w:t xml:space="preserve">1) INTELSAT could not provide the service; or </w:t>
      </w:r>
      <w:r>
        <w:rPr>
          <w:color w:val="3D3D3D"/>
          <w:shd w:val="clear" w:color="auto" w:fill="FFFFFF"/>
        </w:rPr>
        <w:t>(</w:t>
      </w:r>
      <w:r w:rsidRPr="00141C3B">
        <w:rPr>
          <w:color w:val="3D3D3D"/>
          <w:shd w:val="clear" w:color="auto" w:fill="FFFFFF"/>
        </w:rPr>
        <w:t xml:space="preserve">2) it would be clearly uneconomical or impractical to provide the planned service over the INTELSAT system. </w:t>
      </w:r>
      <w:r>
        <w:rPr>
          <w:color w:val="3D3D3D"/>
          <w:shd w:val="clear" w:color="auto" w:fill="FFFFFF"/>
        </w:rPr>
        <w:t xml:space="preserve"> </w:t>
      </w:r>
      <w:r w:rsidRPr="00A30130">
        <w:rPr>
          <w:i/>
          <w:iCs/>
          <w:color w:val="3D3D3D"/>
          <w:shd w:val="clear" w:color="auto" w:fill="FFFFFF"/>
        </w:rPr>
        <w:t>See Transborder Satellite Video Services</w:t>
      </w:r>
      <w:r w:rsidRPr="00141C3B">
        <w:rPr>
          <w:color w:val="3D3D3D"/>
          <w:shd w:val="clear" w:color="auto" w:fill="FFFFFF"/>
        </w:rPr>
        <w:t xml:space="preserve">, 88 FCC2d 258 (1981); </w:t>
      </w:r>
      <w:r w:rsidRPr="00A30130">
        <w:rPr>
          <w:i/>
          <w:iCs/>
          <w:color w:val="3D3D3D"/>
          <w:shd w:val="clear" w:color="auto" w:fill="FFFFFF"/>
        </w:rPr>
        <w:t>Satellite Business Systems,</w:t>
      </w:r>
      <w:r w:rsidRPr="00141C3B">
        <w:rPr>
          <w:color w:val="3D3D3D"/>
          <w:shd w:val="clear" w:color="auto" w:fill="FFFFFF"/>
        </w:rPr>
        <w:t xml:space="preserve"> 88 FCC2d 195 (1981).</w:t>
      </w:r>
    </w:p>
  </w:footnote>
  <w:footnote w:id="47">
    <w:p w:rsidR="007D15C3" w:rsidP="007D15C3">
      <w:pPr>
        <w:pStyle w:val="FootnoteText"/>
      </w:pPr>
      <w:r>
        <w:rPr>
          <w:rStyle w:val="FootnoteReference"/>
        </w:rPr>
        <w:footnoteRef/>
      </w:r>
      <w:r>
        <w:t xml:space="preserve"> </w:t>
      </w:r>
      <w:r w:rsidRPr="00A30130">
        <w:rPr>
          <w:i/>
          <w:iCs/>
        </w:rPr>
        <w:t>Establishment of Satellite Systems Providing International Communications</w:t>
      </w:r>
      <w:r w:rsidRPr="00256BBD">
        <w:t>,</w:t>
      </w:r>
      <w:r w:rsidRPr="007D2A65">
        <w:t xml:space="preserve"> 101 FCC2d 1046 (1985), </w:t>
      </w:r>
      <w:r w:rsidRPr="00842057">
        <w:rPr>
          <w:i/>
          <w:iCs/>
        </w:rPr>
        <w:t xml:space="preserve">recon. </w:t>
      </w:r>
      <w:r w:rsidRPr="00842057">
        <w:rPr>
          <w:i/>
          <w:iCs/>
        </w:rPr>
        <w:t>grtd</w:t>
      </w:r>
      <w:r w:rsidRPr="007D2A65">
        <w:t xml:space="preserve">, 61 R.R. 2d 649 (1986), </w:t>
      </w:r>
      <w:r w:rsidRPr="00842057">
        <w:rPr>
          <w:i/>
          <w:iCs/>
        </w:rPr>
        <w:t xml:space="preserve">further recon. </w:t>
      </w:r>
      <w:r w:rsidRPr="00842057">
        <w:rPr>
          <w:i/>
          <w:iCs/>
        </w:rPr>
        <w:t>grtd</w:t>
      </w:r>
      <w:r w:rsidRPr="007D2A65">
        <w:t xml:space="preserve"> 1 FCC Rcd 439 (1986). </w:t>
      </w:r>
      <w:r>
        <w:t xml:space="preserve"> </w:t>
      </w:r>
      <w:r w:rsidRPr="007D2A65">
        <w:t>The term “separate satellite system” refers to U.S.</w:t>
      </w:r>
      <w:r>
        <w:t xml:space="preserve"> </w:t>
      </w:r>
      <w:r w:rsidRPr="007D2A65">
        <w:t>licensed international systems that are owned and operated separately from the INTELSAT global satellite system.</w:t>
      </w:r>
    </w:p>
  </w:footnote>
  <w:footnote w:id="48">
    <w:p w:rsidR="007D15C3" w:rsidP="007D15C3">
      <w:pPr>
        <w:pStyle w:val="FootnoteText"/>
      </w:pPr>
      <w:r>
        <w:rPr>
          <w:rStyle w:val="FootnoteReference"/>
        </w:rPr>
        <w:footnoteRef/>
      </w:r>
      <w:r>
        <w:t xml:space="preserve"> </w:t>
      </w:r>
      <w:r w:rsidRPr="00141C3B">
        <w:t>The Communications Satellite Act of 1962</w:t>
      </w:r>
      <w:r>
        <w:t xml:space="preserve"> </w:t>
      </w:r>
      <w:r w:rsidRPr="009B57AC">
        <w:t>declared it U.S. policy to join with other countries to create a commercial, global communications satellite system</w:t>
      </w:r>
      <w:r w:rsidRPr="000646AD">
        <w:t>.</w:t>
      </w:r>
      <w:r>
        <w:t xml:space="preserve">  </w:t>
      </w:r>
      <w:r w:rsidRPr="00EC14F9">
        <w:t>Pub. L. No. 87-624, 87th Cong., 2d Sess. (Aug. 31, 1962), 76 Stat. 419.</w:t>
      </w:r>
      <w:r>
        <w:t xml:space="preserve"> </w:t>
      </w:r>
      <w:r w:rsidRPr="008D17E8">
        <w:t xml:space="preserve"> </w:t>
      </w:r>
      <w:r>
        <w:t xml:space="preserve">Similarly, the </w:t>
      </w:r>
      <w:r w:rsidRPr="00A93662">
        <w:t>International Maritime Satellite Telecommunications Act of 1978</w:t>
      </w:r>
      <w:r w:rsidRPr="009749DB">
        <w:t xml:space="preserve"> </w:t>
      </w:r>
      <w:r>
        <w:t xml:space="preserve">declared it U.S. policy to provide for U.S. participation in INMARSAT in order to develop a global maritime satellite system that will meet the maritime commercial and safety needs of the United States and foreign countries.  </w:t>
      </w:r>
      <w:r w:rsidRPr="00690DD1">
        <w:t>Pub. L. No. 95-564, 92 Stat. 2392 (1978)</w:t>
      </w:r>
      <w:r>
        <w:t>.</w:t>
      </w:r>
      <w:r w:rsidRPr="00690DD1">
        <w:t xml:space="preserve"> </w:t>
      </w:r>
      <w:r>
        <w:t xml:space="preserve"> </w:t>
      </w:r>
      <w:r w:rsidRPr="000646AD">
        <w:t>The</w:t>
      </w:r>
      <w:r>
        <w:t xml:space="preserve"> statutes provided that COMSAT would be the U.S. signatory to both INTELSAT and INMARSAT.  COMSAT, itself, had its own unique status under treaties.  All three entities were privatized by 2000/2001 in accordance with the requirements of the ORBIT Act.  For a review of the privatization process for these entities, refer to the FCC’s multiple ORBIT Act reports.  </w:t>
      </w:r>
      <w:r w:rsidRPr="008D17E8">
        <w:rPr>
          <w:i/>
          <w:iCs/>
        </w:rPr>
        <w:t>See, e.g.</w:t>
      </w:r>
      <w:r w:rsidRPr="008172E0">
        <w:t>,</w:t>
      </w:r>
      <w:r w:rsidRPr="008D17E8">
        <w:rPr>
          <w:i/>
          <w:iCs/>
        </w:rPr>
        <w:t xml:space="preserve"> FCC Report to Congress as Required by the ORBIT Act</w:t>
      </w:r>
      <w:r w:rsidRPr="00690DD1">
        <w:t>, 15 FCC Rcd 11288 (2000)</w:t>
      </w:r>
      <w:r>
        <w:t xml:space="preserve">; </w:t>
      </w:r>
      <w:r w:rsidRPr="008D17E8">
        <w:rPr>
          <w:i/>
          <w:iCs/>
        </w:rPr>
        <w:t>FCC Report to Congress as Required by the ORBIT Act</w:t>
      </w:r>
      <w:r w:rsidRPr="00690DD1">
        <w:t>, 16 FCC Rcd 12810 (2001).</w:t>
      </w:r>
    </w:p>
  </w:footnote>
  <w:footnote w:id="49">
    <w:p w:rsidR="007D15C3" w:rsidP="007D15C3">
      <w:pPr>
        <w:pStyle w:val="FootnoteText"/>
      </w:pPr>
      <w:r>
        <w:rPr>
          <w:rStyle w:val="FootnoteReference"/>
        </w:rPr>
        <w:footnoteRef/>
      </w:r>
      <w:r>
        <w:t xml:space="preserve"> </w:t>
      </w:r>
      <w:r w:rsidRPr="00606392">
        <w:rPr>
          <w:i/>
          <w:iCs/>
        </w:rPr>
        <w:t>Communications Satellite Corp. v. FCC</w:t>
      </w:r>
      <w:r>
        <w:t xml:space="preserve">, </w:t>
      </w:r>
      <w:r w:rsidRPr="004E1D86">
        <w:t>836 F.2d 623</w:t>
      </w:r>
      <w:r>
        <w:t xml:space="preserve"> (1988) (providing a helpful description of the statutory and treaty-based genesis of INTELSAT, and the complicated regulatory framework whereby it provided international services to the U.S. domestic market); </w:t>
      </w:r>
      <w:r w:rsidRPr="00A30130">
        <w:rPr>
          <w:i/>
          <w:iCs/>
        </w:rPr>
        <w:t>Satellites that Form a Global Communications System in Geostationary Orbit</w:t>
      </w:r>
      <w:r w:rsidRPr="008172E0">
        <w:t>,</w:t>
      </w:r>
      <w:r w:rsidRPr="00A30130">
        <w:rPr>
          <w:i/>
          <w:iCs/>
        </w:rPr>
        <w:t xml:space="preserve"> </w:t>
      </w:r>
      <w:r w:rsidRPr="00606392">
        <w:t xml:space="preserve">Memorandum Opinion, Order and Authorization, 15 FCC Rcd 15460, </w:t>
      </w:r>
      <w:r w:rsidRPr="00A30130">
        <w:rPr>
          <w:i/>
          <w:iCs/>
        </w:rPr>
        <w:t>recon. denied</w:t>
      </w:r>
      <w:r w:rsidRPr="00256BBD">
        <w:t xml:space="preserve">, </w:t>
      </w:r>
      <w:r w:rsidRPr="00606392">
        <w:t xml:space="preserve">15 FCC Rcd 25234 (2000), </w:t>
      </w:r>
      <w:r w:rsidRPr="00A30130">
        <w:rPr>
          <w:i/>
          <w:iCs/>
        </w:rPr>
        <w:t>further proceedings</w:t>
      </w:r>
      <w:r w:rsidRPr="008172E0">
        <w:t>,</w:t>
      </w:r>
      <w:r w:rsidRPr="00606392">
        <w:t xml:space="preserve"> 16 FCC Rcd 12280 (2001).</w:t>
      </w:r>
      <w:r w:rsidRPr="00A30130">
        <w:rPr>
          <w:i/>
          <w:iCs/>
          <w:snapToGrid w:val="0"/>
          <w:color w:val="252525"/>
          <w:kern w:val="28"/>
          <w:shd w:val="clear" w:color="auto" w:fill="FFFFFF"/>
        </w:rPr>
        <w:t xml:space="preserve"> </w:t>
      </w:r>
      <w:r>
        <w:t xml:space="preserve"> </w:t>
      </w:r>
      <w:r w:rsidRPr="008B3CBA">
        <w:t>As such, they had the unique circumstance that their global satellite system</w:t>
      </w:r>
      <w:r>
        <w:t>s</w:t>
      </w:r>
      <w:r w:rsidRPr="008B3CBA">
        <w:t xml:space="preserve"> were not licensed by any national licensing </w:t>
      </w:r>
      <w:r w:rsidRPr="00DD0CC5">
        <w:t>authority</w:t>
      </w:r>
      <w:r>
        <w:t>.</w:t>
      </w:r>
    </w:p>
  </w:footnote>
  <w:footnote w:id="50">
    <w:p w:rsidR="007D15C3" w:rsidRPr="009530A5" w:rsidP="007D15C3">
      <w:pPr>
        <w:pStyle w:val="FootnoteText"/>
      </w:pPr>
      <w:r w:rsidRPr="009530A5">
        <w:rPr>
          <w:rStyle w:val="FootnoteReference"/>
        </w:rPr>
        <w:footnoteRef/>
      </w:r>
      <w:r w:rsidRPr="009530A5">
        <w:t xml:space="preserve"> 22 U.S.C. § 288a (Privileges, exemptions, and immunities of international organizations).</w:t>
      </w:r>
    </w:p>
  </w:footnote>
  <w:footnote w:id="51">
    <w:p w:rsidR="007D15C3" w:rsidRPr="009530A5" w:rsidP="007D15C3">
      <w:pPr>
        <w:pStyle w:val="FootnoteText"/>
      </w:pPr>
      <w:r w:rsidRPr="009530A5">
        <w:rPr>
          <w:rStyle w:val="FootnoteReference"/>
        </w:rPr>
        <w:footnoteRef/>
      </w:r>
      <w:r w:rsidRPr="009530A5">
        <w:t xml:space="preserve"> </w:t>
      </w:r>
      <w:r w:rsidRPr="00AE7EA1">
        <w:t xml:space="preserve">The adoption by the United States in 1997 of the WTO Agreement on Basic Telecommunications Services obligated the United States to open its satellite markets to foreign systems licensed by other WTO member countries. </w:t>
      </w:r>
      <w:r>
        <w:t xml:space="preserve"> </w:t>
      </w:r>
      <w:r w:rsidRPr="00AE7EA1">
        <w:rPr>
          <w:i/>
          <w:iCs/>
        </w:rPr>
        <w:t>Fourth Protocol to the General Agreement on Trade in Services (GATS)</w:t>
      </w:r>
      <w:r w:rsidRPr="00AE7EA1">
        <w:t xml:space="preserve"> (April 30, 1996), 36 I.L.M. 336 (1997) (entered into force Jan. 1, 1998).</w:t>
      </w:r>
      <w:r>
        <w:t xml:space="preserve"> </w:t>
      </w:r>
      <w:r w:rsidRPr="00AE7EA1">
        <w:t xml:space="preserve"> The Commission therefore adopted procedures to give satellite systems licensed by other countries access to the U.S. market. </w:t>
      </w:r>
      <w:r>
        <w:t xml:space="preserve"> </w:t>
      </w:r>
      <w:r w:rsidRPr="00AE7EA1">
        <w:rPr>
          <w:i/>
          <w:iCs/>
        </w:rPr>
        <w:t xml:space="preserve">Amendment of the Commission's Regulatory Policies to Allow Non–U.S. Licensed Space Stations to Provide Domestic </w:t>
      </w:r>
      <w:r w:rsidRPr="008B3CBA">
        <w:rPr>
          <w:i/>
          <w:iCs/>
        </w:rPr>
        <w:t>and International Satellite Service in the United States</w:t>
      </w:r>
      <w:r w:rsidRPr="008B3CBA">
        <w:t>, Report and Order, 12 FCC Rcd 24094 (1997) (</w:t>
      </w:r>
      <w:r w:rsidRPr="008B3CBA">
        <w:rPr>
          <w:i/>
          <w:iCs/>
        </w:rPr>
        <w:t>DISCO II</w:t>
      </w:r>
      <w:r w:rsidRPr="008B3CBA">
        <w:t>).</w:t>
      </w:r>
      <w:r w:rsidRPr="00A30130">
        <w:rPr>
          <w:shd w:val="clear" w:color="auto" w:fill="FFFFFF"/>
        </w:rPr>
        <w:t xml:space="preserve">  Prior to the adoption </w:t>
      </w:r>
      <w:r w:rsidRPr="00A30130">
        <w:rPr>
          <w:i/>
          <w:iCs/>
          <w:shd w:val="clear" w:color="auto" w:fill="FFFFFF"/>
        </w:rPr>
        <w:t>of DISCO II</w:t>
      </w:r>
      <w:r w:rsidRPr="00A30130">
        <w:rPr>
          <w:shd w:val="clear" w:color="auto" w:fill="FFFFFF"/>
        </w:rPr>
        <w:t xml:space="preserve">, the Commission allowed very limited provision of service in the U.S. through </w:t>
      </w:r>
      <w:r w:rsidRPr="00690DD1">
        <w:rPr>
          <w:shd w:val="clear" w:color="auto" w:fill="FFFFFF"/>
        </w:rPr>
        <w:t>non-U.S.</w:t>
      </w:r>
      <w:r>
        <w:rPr>
          <w:shd w:val="clear" w:color="auto" w:fill="FFFFFF"/>
        </w:rPr>
        <w:t xml:space="preserve"> </w:t>
      </w:r>
      <w:r w:rsidRPr="00690DD1">
        <w:rPr>
          <w:shd w:val="clear" w:color="auto" w:fill="FFFFFF"/>
        </w:rPr>
        <w:t>licensed</w:t>
      </w:r>
      <w:r w:rsidRPr="00A30130">
        <w:rPr>
          <w:shd w:val="clear" w:color="auto" w:fill="FFFFFF"/>
        </w:rPr>
        <w:t xml:space="preserve"> </w:t>
      </w:r>
      <w:r>
        <w:rPr>
          <w:shd w:val="clear" w:color="auto" w:fill="FFFFFF"/>
        </w:rPr>
        <w:t>space stations</w:t>
      </w:r>
      <w:r w:rsidRPr="00A30130">
        <w:rPr>
          <w:shd w:val="clear" w:color="auto" w:fill="FFFFFF"/>
        </w:rPr>
        <w:t xml:space="preserve"> only upon a showing that existing U.S. domestic satellite capacity was inadequate to satisfy specific service requirements.  Letter from Bertram Rein, Deputy Assistant Secretary of Bureau of Economic and Business Affairs, U.S. Department of State, to Kenneth Williamson, Minister of Embassy of Canada (Nov</w:t>
      </w:r>
      <w:r>
        <w:rPr>
          <w:shd w:val="clear" w:color="auto" w:fill="FFFFFF"/>
        </w:rPr>
        <w:t>.</w:t>
      </w:r>
      <w:r w:rsidRPr="00A30130">
        <w:rPr>
          <w:shd w:val="clear" w:color="auto" w:fill="FFFFFF"/>
        </w:rPr>
        <w:t xml:space="preserve"> 7, 1972).</w:t>
      </w:r>
      <w:r>
        <w:rPr>
          <w:shd w:val="clear" w:color="auto" w:fill="FFFFFF"/>
        </w:rPr>
        <w:t xml:space="preserve"> </w:t>
      </w:r>
      <w:r w:rsidRPr="00A30130">
        <w:rPr>
          <w:shd w:val="clear" w:color="auto" w:fill="FFFFFF"/>
        </w:rPr>
        <w:t xml:space="preserve"> </w:t>
      </w:r>
      <w:r w:rsidRPr="008D17E8">
        <w:rPr>
          <w:i/>
          <w:iCs/>
          <w:shd w:val="clear" w:color="auto" w:fill="FFFFFF"/>
        </w:rPr>
        <w:t>See also</w:t>
      </w:r>
      <w:r w:rsidRPr="00A30130">
        <w:rPr>
          <w:shd w:val="clear" w:color="auto" w:fill="FFFFFF"/>
        </w:rPr>
        <w:t xml:space="preserve"> Letter from Thomas </w:t>
      </w:r>
      <w:r w:rsidRPr="00A30130">
        <w:rPr>
          <w:shd w:val="clear" w:color="auto" w:fill="FFFFFF"/>
        </w:rPr>
        <w:t>Tycz</w:t>
      </w:r>
      <w:r w:rsidRPr="00A30130">
        <w:rPr>
          <w:shd w:val="clear" w:color="auto" w:fill="FFFFFF"/>
        </w:rPr>
        <w:t>, Chief, Satellite and Radiocommunication Division, F.C.C. International Bureau, to Teresa Baer, Attorney, Latham &amp; Watkins (Feb</w:t>
      </w:r>
      <w:r>
        <w:rPr>
          <w:shd w:val="clear" w:color="auto" w:fill="FFFFFF"/>
        </w:rPr>
        <w:t>.</w:t>
      </w:r>
      <w:r w:rsidRPr="00A30130">
        <w:rPr>
          <w:shd w:val="clear" w:color="auto" w:fill="FFFFFF"/>
        </w:rPr>
        <w:t xml:space="preserve"> 13, 1996) (confirming verbal grant of special temporary authority for Hughes Communications Galaxy, Inc. to lease capacity from a Brazilian satellite to provide domestic U.S. service).</w:t>
      </w:r>
    </w:p>
  </w:footnote>
  <w:footnote w:id="52">
    <w:p w:rsidR="007D15C3" w:rsidP="007D15C3">
      <w:pPr>
        <w:pStyle w:val="FootnoteText"/>
      </w:pPr>
      <w:r>
        <w:rPr>
          <w:rStyle w:val="FootnoteReference"/>
        </w:rPr>
        <w:footnoteRef/>
      </w:r>
      <w:r>
        <w:t xml:space="preserve"> </w:t>
      </w:r>
      <w:r w:rsidRPr="007D5FE6">
        <w:rPr>
          <w:i/>
          <w:iCs/>
        </w:rPr>
        <w:t>See</w:t>
      </w:r>
      <w:r>
        <w:t xml:space="preserve"> </w:t>
      </w:r>
      <w:hyperlink r:id="rId1" w:history="1">
        <w:r>
          <w:rPr>
            <w:rStyle w:val="Hyperlink"/>
          </w:rPr>
          <w:t>http://www.intelsat.com/about-us/history/</w:t>
        </w:r>
      </w:hyperlink>
      <w:r>
        <w:t>.</w:t>
      </w:r>
    </w:p>
  </w:footnote>
  <w:footnote w:id="53">
    <w:p w:rsidR="007D15C3" w:rsidP="007D15C3">
      <w:pPr>
        <w:pStyle w:val="FootnoteText"/>
      </w:pPr>
      <w:r>
        <w:rPr>
          <w:rStyle w:val="FootnoteReference"/>
        </w:rPr>
        <w:footnoteRef/>
      </w:r>
      <w:r>
        <w:t xml:space="preserve"> </w:t>
      </w:r>
      <w:r w:rsidRPr="007D5FE6">
        <w:rPr>
          <w:i/>
          <w:iCs/>
        </w:rPr>
        <w:t>See</w:t>
      </w:r>
      <w:r>
        <w:t xml:space="preserve"> </w:t>
      </w:r>
      <w:hyperlink r:id="rId2" w:history="1">
        <w:r>
          <w:rPr>
            <w:rStyle w:val="Hyperlink"/>
          </w:rPr>
          <w:t>http://www.intelsat.com/global-network/satellites/overview/</w:t>
        </w:r>
      </w:hyperlink>
      <w:r>
        <w:t>.</w:t>
      </w:r>
    </w:p>
  </w:footnote>
  <w:footnote w:id="54">
    <w:p w:rsidR="007D15C3" w:rsidP="007D15C3">
      <w:pPr>
        <w:pStyle w:val="FootnoteText"/>
      </w:pPr>
      <w:r>
        <w:rPr>
          <w:rStyle w:val="FootnoteReference"/>
        </w:rPr>
        <w:footnoteRef/>
      </w:r>
      <w:r>
        <w:t xml:space="preserve"> </w:t>
      </w:r>
      <w:r w:rsidRPr="00D75466">
        <w:rPr>
          <w:i/>
          <w:iCs/>
        </w:rPr>
        <w:t>See</w:t>
      </w:r>
      <w:r>
        <w:t xml:space="preserve"> </w:t>
      </w:r>
      <w:hyperlink r:id="rId3" w:history="1">
        <w:r>
          <w:rPr>
            <w:rStyle w:val="Hyperlink"/>
          </w:rPr>
          <w:t>https://www.inmarsat.com/about-us/our-technology/our-satellites/</w:t>
        </w:r>
      </w:hyperlink>
      <w:r>
        <w:t>.</w:t>
      </w:r>
    </w:p>
  </w:footnote>
  <w:footnote w:id="55">
    <w:p w:rsidR="007D15C3" w:rsidP="007D15C3">
      <w:pPr>
        <w:pStyle w:val="FootnoteText"/>
      </w:pPr>
      <w:r>
        <w:rPr>
          <w:rStyle w:val="FootnoteReference"/>
        </w:rPr>
        <w:footnoteRef/>
      </w:r>
      <w:r>
        <w:t xml:space="preserve"> </w:t>
      </w:r>
      <w:r w:rsidRPr="00D122EC">
        <w:rPr>
          <w:i/>
          <w:iCs/>
        </w:rPr>
        <w:t>See</w:t>
      </w:r>
      <w:r>
        <w:t xml:space="preserve"> </w:t>
      </w:r>
      <w:hyperlink r:id="rId4" w:history="1">
        <w:r>
          <w:rPr>
            <w:rStyle w:val="Hyperlink"/>
          </w:rPr>
          <w:t>https://www.eutelsat.com/en/group/our-history.html</w:t>
        </w:r>
      </w:hyperlink>
      <w:r>
        <w:t>.</w:t>
      </w:r>
    </w:p>
  </w:footnote>
  <w:footnote w:id="56">
    <w:p w:rsidR="007D15C3" w:rsidP="007D15C3">
      <w:pPr>
        <w:pStyle w:val="FootnoteText"/>
      </w:pPr>
      <w:r>
        <w:rPr>
          <w:rStyle w:val="FootnoteReference"/>
        </w:rPr>
        <w:footnoteRef/>
      </w:r>
      <w:r>
        <w:t xml:space="preserve"> Eutelsat Comments at 1.</w:t>
      </w:r>
    </w:p>
  </w:footnote>
  <w:footnote w:id="57">
    <w:p w:rsidR="007D15C3" w:rsidP="007D15C3">
      <w:pPr>
        <w:pStyle w:val="FootnoteText"/>
      </w:pPr>
      <w:r>
        <w:rPr>
          <w:rStyle w:val="FootnoteReference"/>
        </w:rPr>
        <w:footnoteRef/>
      </w:r>
      <w:r>
        <w:t xml:space="preserve"> </w:t>
      </w:r>
      <w:r w:rsidRPr="0073764B">
        <w:rPr>
          <w:i/>
          <w:iCs/>
        </w:rPr>
        <w:t>See</w:t>
      </w:r>
      <w:r>
        <w:t xml:space="preserve"> </w:t>
      </w:r>
      <w:hyperlink r:id="rId5" w:history="1">
        <w:r>
          <w:rPr>
            <w:rStyle w:val="Hyperlink"/>
          </w:rPr>
          <w:t>https://www.telesat.com/services</w:t>
        </w:r>
      </w:hyperlink>
      <w:r>
        <w:t>.</w:t>
      </w:r>
    </w:p>
  </w:footnote>
  <w:footnote w:id="58">
    <w:p w:rsidR="007D15C3" w:rsidP="007D15C3">
      <w:pPr>
        <w:pStyle w:val="FootnoteText"/>
      </w:pPr>
      <w:r>
        <w:rPr>
          <w:rStyle w:val="FootnoteReference"/>
        </w:rPr>
        <w:footnoteRef/>
      </w:r>
      <w:r>
        <w:t xml:space="preserve"> SpaceX observes that this legislative history is nearly 30 years old and “extremely dated.”  SpaceX Reply Comments at 6-7.</w:t>
      </w:r>
    </w:p>
  </w:footnote>
  <w:footnote w:id="59">
    <w:p w:rsidR="007D15C3" w:rsidRPr="00E53142" w:rsidP="007D15C3">
      <w:pPr>
        <w:pStyle w:val="FootnoteText"/>
      </w:pPr>
      <w:r>
        <w:rPr>
          <w:rStyle w:val="FootnoteReference"/>
        </w:rPr>
        <w:footnoteRef/>
      </w:r>
      <w:r>
        <w:t xml:space="preserve"> </w:t>
      </w:r>
      <w:r w:rsidRPr="009D62F5">
        <w:t xml:space="preserve">Letter from Joseph A. </w:t>
      </w:r>
      <w:r w:rsidRPr="009D62F5">
        <w:t>Godles</w:t>
      </w:r>
      <w:r w:rsidRPr="009D62F5">
        <w:t>,</w:t>
      </w:r>
      <w:r>
        <w:t xml:space="preserve"> Attorney for </w:t>
      </w:r>
      <w:r>
        <w:t>Telesat</w:t>
      </w:r>
      <w:r>
        <w:t xml:space="preserve"> Canada, </w:t>
      </w:r>
      <w:r w:rsidRPr="009D62F5">
        <w:rPr>
          <w:i/>
          <w:iCs/>
        </w:rPr>
        <w:t>et al.</w:t>
      </w:r>
      <w:r w:rsidRPr="009D62F5">
        <w:t>, to Marlene H. Dortch, Secretary, FCC (filed Apr. 22, 2020)</w:t>
      </w:r>
      <w:r>
        <w:t xml:space="preserve"> (</w:t>
      </w:r>
      <w:r w:rsidRPr="009D62F5">
        <w:rPr>
          <w:i/>
          <w:iCs/>
        </w:rPr>
        <w:t>Godles</w:t>
      </w:r>
      <w:r w:rsidRPr="009D62F5">
        <w:rPr>
          <w:i/>
          <w:iCs/>
        </w:rPr>
        <w:t xml:space="preserve"> Apr</w:t>
      </w:r>
      <w:r>
        <w:rPr>
          <w:i/>
          <w:iCs/>
        </w:rPr>
        <w:t>il</w:t>
      </w:r>
      <w:r w:rsidRPr="009D62F5">
        <w:rPr>
          <w:i/>
          <w:iCs/>
        </w:rPr>
        <w:t xml:space="preserve"> 22 Ex Parte</w:t>
      </w:r>
      <w:r>
        <w:t>).</w:t>
      </w:r>
    </w:p>
  </w:footnote>
  <w:footnote w:id="60">
    <w:p w:rsidR="007D15C3" w:rsidP="007D15C3">
      <w:pPr>
        <w:pStyle w:val="FootnoteText"/>
      </w:pPr>
      <w:r>
        <w:rPr>
          <w:rStyle w:val="FootnoteReference"/>
        </w:rPr>
        <w:footnoteRef/>
      </w:r>
      <w:r>
        <w:t xml:space="preserve"> </w:t>
      </w:r>
      <w:r>
        <w:rPr>
          <w:i/>
          <w:iCs/>
        </w:rPr>
        <w:t>See</w:t>
      </w:r>
      <w:r>
        <w:t xml:space="preserve"> </w:t>
      </w:r>
      <w:r w:rsidRPr="0045526F">
        <w:rPr>
          <w:i/>
        </w:rPr>
        <w:t>DISCO II</w:t>
      </w:r>
      <w:r>
        <w:t xml:space="preserve">, 12 FCC Rcd at 24098, para. 7 (stating that “[a]s required by Title III of the Communications Act of 1934, as amended (Communications Act), we will examine all requests to determine whether grant of authority is consistent with the public interest, convenience and necessity.” </w:t>
      </w:r>
      <w:r>
        <w:rPr>
          <w:i/>
          <w:iCs/>
        </w:rPr>
        <w:t xml:space="preserve">See also </w:t>
      </w:r>
      <w:r>
        <w:t xml:space="preserve">DISCO II, 12 FCC Rcd at 24098, para. 7, n.7 </w:t>
      </w:r>
      <w:r>
        <w:rPr>
          <w:i/>
          <w:iCs/>
        </w:rPr>
        <w:t>(</w:t>
      </w:r>
      <w:r>
        <w:t>citing 47 U.S.C. § 301</w:t>
      </w:r>
      <w:r>
        <w:rPr>
          <w:i/>
          <w:iCs/>
        </w:rPr>
        <w:t>, et. seq</w:t>
      </w:r>
      <w:r>
        <w:t>.).</w:t>
      </w:r>
    </w:p>
  </w:footnote>
  <w:footnote w:id="61">
    <w:p w:rsidR="007D15C3" w:rsidRPr="00E53142" w:rsidP="007D15C3">
      <w:pPr>
        <w:pStyle w:val="FootnoteText"/>
      </w:pPr>
      <w:r w:rsidRPr="00E53142">
        <w:rPr>
          <w:rStyle w:val="FootnoteReference"/>
        </w:rPr>
        <w:footnoteRef/>
      </w:r>
      <w:r w:rsidRPr="00E53142">
        <w:t xml:space="preserve"> </w:t>
      </w:r>
      <w:r w:rsidRPr="00E53142">
        <w:rPr>
          <w:i/>
          <w:iCs/>
        </w:rPr>
        <w:t>See</w:t>
      </w:r>
      <w:r w:rsidRPr="00E53142">
        <w:t xml:space="preserve"> footnote </w:t>
      </w:r>
      <w:r>
        <w:t>[</w:t>
      </w:r>
      <w:r w:rsidRPr="00E53142">
        <w:t>49</w:t>
      </w:r>
      <w:r>
        <w:t>]</w:t>
      </w:r>
      <w:r w:rsidRPr="00E53142">
        <w:t xml:space="preserve">, </w:t>
      </w:r>
      <w:r w:rsidRPr="00E53142">
        <w:rPr>
          <w:i/>
          <w:iCs/>
        </w:rPr>
        <w:t>supra</w:t>
      </w:r>
      <w:r w:rsidRPr="00E53142">
        <w:t>.</w:t>
      </w:r>
    </w:p>
  </w:footnote>
  <w:footnote w:id="62">
    <w:p w:rsidR="007D15C3" w:rsidRPr="000F5C56" w:rsidP="007D15C3">
      <w:pPr>
        <w:pStyle w:val="FootnoteText"/>
        <w:rPr>
          <w:sz w:val="22"/>
          <w:szCs w:val="22"/>
        </w:rPr>
      </w:pPr>
      <w:r w:rsidRPr="00E53142">
        <w:rPr>
          <w:rStyle w:val="FootnoteReference"/>
        </w:rPr>
        <w:footnoteRef/>
      </w:r>
      <w:r w:rsidRPr="00E53142">
        <w:t xml:space="preserve"> </w:t>
      </w:r>
      <w:r>
        <w:t>I</w:t>
      </w:r>
      <w:r w:rsidRPr="00E53142">
        <w:t xml:space="preserve">n 1993, the Commission considered and rejected the </w:t>
      </w:r>
      <w:r w:rsidRPr="000B0FE4">
        <w:t>adoption of the type of market access provisions that the Commission would adopt several years later</w:t>
      </w:r>
      <w:r w:rsidRPr="00E53142">
        <w:t xml:space="preserve">.  </w:t>
      </w:r>
      <w:r w:rsidRPr="00E53142">
        <w:rPr>
          <w:i/>
          <w:iCs/>
        </w:rPr>
        <w:t>Amendment of the Commission's Rules to Establish Rules &amp; Policies Pertaining to A Non-Voice, Non-Geostationary Mobile-Satellite Serv.</w:t>
      </w:r>
      <w:r w:rsidRPr="00E53142">
        <w:t xml:space="preserve">, Report and Order, 8 FCC Rcd. 8450, 8454 </w:t>
      </w:r>
      <w:r w:rsidRPr="00E53142">
        <w:t>para</w:t>
      </w:r>
      <w:r w:rsidRPr="00E53142">
        <w:t xml:space="preserve">. 13 (1993) (adopting rules clarifying “the basic tenets that [non-voice, non-geostationary orbit satellite service] transceivers operating in the United States </w:t>
      </w:r>
      <w:r w:rsidRPr="00E53142">
        <w:rPr>
          <w:i/>
          <w:iCs/>
        </w:rPr>
        <w:t>must communicate with or through U.S. authorized space stations only</w:t>
      </w:r>
      <w:r w:rsidRPr="00E53142">
        <w:t xml:space="preserve">, and that </w:t>
      </w:r>
      <w:r w:rsidRPr="00E53142">
        <w:rPr>
          <w:i/>
          <w:iCs/>
        </w:rPr>
        <w:t>such communications must be authorized as well by the space station licensee</w:t>
      </w:r>
      <w:r w:rsidRPr="00E53142">
        <w:t xml:space="preserve"> or an authorized vendor” and explicitly rejecting a proposal that the FCC “devise a rule that will allow domestically authorized user transceivers to access </w:t>
      </w:r>
      <w:r w:rsidRPr="00EB4254">
        <w:t>foreign-licensed [non-voice, non-geostationary orbit satellite service] space station systems” stating that “[w]e do not believe that this type of arrangement should be dealt with by regulation.”)(emphasis added).</w:t>
      </w:r>
    </w:p>
  </w:footnote>
  <w:footnote w:id="63">
    <w:p w:rsidR="007D15C3" w:rsidRPr="00AF318B" w:rsidP="007D15C3">
      <w:pPr>
        <w:pStyle w:val="FootnoteText"/>
      </w:pPr>
      <w:r>
        <w:rPr>
          <w:rStyle w:val="FootnoteReference"/>
        </w:rPr>
        <w:footnoteRef/>
      </w:r>
      <w:r>
        <w:rPr>
          <w:sz w:val="22"/>
          <w:szCs w:val="22"/>
        </w:rPr>
        <w:t xml:space="preserve"> </w:t>
      </w:r>
      <w:r w:rsidRPr="00840BF5">
        <w:rPr>
          <w:i/>
          <w:iCs/>
        </w:rPr>
        <w:t xml:space="preserve">See </w:t>
      </w:r>
      <w:r w:rsidRPr="009D62F5">
        <w:rPr>
          <w:i/>
          <w:iCs/>
        </w:rPr>
        <w:t>Godles</w:t>
      </w:r>
      <w:r w:rsidRPr="009D62F5">
        <w:rPr>
          <w:i/>
          <w:iCs/>
        </w:rPr>
        <w:t xml:space="preserve"> Ap</w:t>
      </w:r>
      <w:r>
        <w:rPr>
          <w:i/>
          <w:iCs/>
        </w:rPr>
        <w:t>ril</w:t>
      </w:r>
      <w:r w:rsidRPr="009D62F5">
        <w:rPr>
          <w:i/>
          <w:iCs/>
        </w:rPr>
        <w:t>. 22 Ex Parte</w:t>
      </w:r>
      <w:r w:rsidRPr="00840BF5">
        <w:t xml:space="preserve"> at 3</w:t>
      </w:r>
      <w:r>
        <w:t>.</w:t>
      </w:r>
    </w:p>
  </w:footnote>
  <w:footnote w:id="64">
    <w:p w:rsidR="007D15C3" w:rsidP="007D15C3">
      <w:pPr>
        <w:pStyle w:val="FootnoteText"/>
      </w:pPr>
      <w:r w:rsidRPr="00AF318B">
        <w:rPr>
          <w:rStyle w:val="FootnoteReference"/>
        </w:rPr>
        <w:footnoteRef/>
      </w:r>
      <w:r w:rsidRPr="00AF318B">
        <w:t xml:space="preserve"> C</w:t>
      </w:r>
      <w:r w:rsidRPr="00AF318B">
        <w:rPr>
          <w:color w:val="000000"/>
          <w:shd w:val="clear" w:color="auto" w:fill="FFFFFF"/>
        </w:rPr>
        <w:t xml:space="preserve">ourts do not uniformly embrace the proposition that Congressional silence denotes acquiescence.  </w:t>
      </w:r>
      <w:r w:rsidRPr="00AF318B">
        <w:rPr>
          <w:i/>
          <w:iCs/>
          <w:color w:val="000000"/>
          <w:shd w:val="clear" w:color="auto" w:fill="FFFFFF"/>
        </w:rPr>
        <w:t>See Chisholm</w:t>
      </w:r>
      <w:r w:rsidRPr="00D34E23">
        <w:rPr>
          <w:i/>
          <w:iCs/>
          <w:color w:val="000000"/>
          <w:shd w:val="clear" w:color="auto" w:fill="FFFFFF"/>
        </w:rPr>
        <w:t xml:space="preserve"> v. FCC</w:t>
      </w:r>
      <w:r w:rsidRPr="00D34E23">
        <w:rPr>
          <w:color w:val="000000"/>
          <w:shd w:val="clear" w:color="auto" w:fill="FFFFFF"/>
        </w:rPr>
        <w:t>, 538 F.2d 349, 361 (D.C. Cir. 1976)</w:t>
      </w:r>
      <w:r>
        <w:rPr>
          <w:color w:val="000000"/>
          <w:shd w:val="clear" w:color="auto" w:fill="FFFFFF"/>
        </w:rPr>
        <w:t xml:space="preserve"> (“</w:t>
      </w:r>
      <w:r w:rsidRPr="00D34E23">
        <w:rPr>
          <w:color w:val="000000"/>
          <w:shd w:val="clear" w:color="auto" w:fill="FFFFFF"/>
        </w:rPr>
        <w:t xml:space="preserve">We begin by noting that attributing legal significance to Congressional inaction is </w:t>
      </w:r>
      <w:r>
        <w:rPr>
          <w:color w:val="000000"/>
          <w:shd w:val="clear" w:color="auto" w:fill="FFFFFF"/>
        </w:rPr>
        <w:t xml:space="preserve">a </w:t>
      </w:r>
      <w:r w:rsidRPr="00D34E23">
        <w:rPr>
          <w:color w:val="000000"/>
          <w:bdr w:val="none" w:sz="0" w:space="0" w:color="auto" w:frame="1"/>
          <w:shd w:val="clear" w:color="auto" w:fill="FFFFFF"/>
        </w:rPr>
        <w:t>dangerous</w:t>
      </w:r>
      <w:r w:rsidRPr="00D34E23">
        <w:rPr>
          <w:color w:val="000000"/>
          <w:shd w:val="clear" w:color="auto" w:fill="FFFFFF"/>
        </w:rPr>
        <w:t> business</w:t>
      </w:r>
      <w:r>
        <w:rPr>
          <w:color w:val="000000"/>
          <w:shd w:val="clear" w:color="auto" w:fill="FFFFFF"/>
        </w:rPr>
        <w:t xml:space="preserve">”), </w:t>
      </w:r>
      <w:r w:rsidRPr="000E7A40">
        <w:rPr>
          <w:i/>
          <w:iCs/>
          <w:color w:val="000000"/>
          <w:shd w:val="clear" w:color="auto" w:fill="FFFFFF"/>
        </w:rPr>
        <w:t>citing</w:t>
      </w:r>
      <w:r w:rsidRPr="00D34E23">
        <w:rPr>
          <w:color w:val="000000"/>
          <w:shd w:val="clear" w:color="auto" w:fill="FFFFFF"/>
        </w:rPr>
        <w:t> </w:t>
      </w:r>
      <w:r w:rsidRPr="00996F50">
        <w:rPr>
          <w:i/>
          <w:iCs/>
          <w:color w:val="000000"/>
          <w:shd w:val="clear" w:color="auto" w:fill="FFFFFF"/>
        </w:rPr>
        <w:t>Power Reactor Development Co. v. International Union of Electrical, Radio and Machine Workers, AFL-CIO</w:t>
      </w:r>
      <w:r w:rsidRPr="00D34E23">
        <w:rPr>
          <w:color w:val="000000"/>
          <w:shd w:val="clear" w:color="auto" w:fill="FFFFFF"/>
        </w:rPr>
        <w:t>, 367 U.S. 396, 408-10 (1961). The Supreme Court has said that Congressional failure to repudiate particular decisions “frequently betokens unawareness, preoccupation, or paralysis” rather than conscious choice</w:t>
      </w:r>
      <w:r>
        <w:rPr>
          <w:color w:val="000000"/>
          <w:shd w:val="clear" w:color="auto" w:fill="FFFFFF"/>
        </w:rPr>
        <w:t>,</w:t>
      </w:r>
      <w:r w:rsidRPr="00F720B4">
        <w:rPr>
          <w:color w:val="000000"/>
          <w:shd w:val="clear" w:color="auto" w:fill="FFFFFF"/>
        </w:rPr>
        <w:t xml:space="preserve"> </w:t>
      </w:r>
      <w:r w:rsidRPr="00F720B4">
        <w:rPr>
          <w:i/>
          <w:iCs/>
          <w:color w:val="000000"/>
          <w:shd w:val="clear" w:color="auto" w:fill="FFFFFF"/>
        </w:rPr>
        <w:t>Zuber v. Allen</w:t>
      </w:r>
      <w:r w:rsidRPr="00F720B4">
        <w:rPr>
          <w:color w:val="000000"/>
          <w:shd w:val="clear" w:color="auto" w:fill="FFFFFF"/>
        </w:rPr>
        <w:t>, 396 U.S. 168, 185-86 n.21</w:t>
      </w:r>
      <w:r>
        <w:rPr>
          <w:color w:val="000000"/>
          <w:shd w:val="clear" w:color="auto" w:fill="FFFFFF"/>
        </w:rPr>
        <w:t xml:space="preserve"> </w:t>
      </w:r>
      <w:r w:rsidRPr="00F720B4">
        <w:rPr>
          <w:color w:val="000000"/>
          <w:shd w:val="clear" w:color="auto" w:fill="FFFFFF"/>
        </w:rPr>
        <w:t>(1969)</w:t>
      </w:r>
      <w:r w:rsidRPr="00D34E23">
        <w:rPr>
          <w:color w:val="000000"/>
          <w:shd w:val="clear" w:color="auto" w:fill="FFFFFF"/>
        </w:rPr>
        <w:t xml:space="preserve"> and “affords the most dubious foundation for drawing positive inferences,” </w:t>
      </w:r>
      <w:r w:rsidRPr="00F720B4">
        <w:rPr>
          <w:i/>
          <w:iCs/>
          <w:color w:val="000000"/>
          <w:shd w:val="clear" w:color="auto" w:fill="FFFFFF"/>
        </w:rPr>
        <w:t>United States v. Price</w:t>
      </w:r>
      <w:r w:rsidRPr="00F720B4">
        <w:rPr>
          <w:color w:val="000000"/>
          <w:shd w:val="clear" w:color="auto" w:fill="FFFFFF"/>
        </w:rPr>
        <w:t>, 361 U.S. 304, 310-11</w:t>
      </w:r>
      <w:r>
        <w:rPr>
          <w:color w:val="000000"/>
          <w:shd w:val="clear" w:color="auto" w:fill="FFFFFF"/>
        </w:rPr>
        <w:t xml:space="preserve"> </w:t>
      </w:r>
      <w:r w:rsidRPr="00F720B4">
        <w:rPr>
          <w:color w:val="000000"/>
          <w:shd w:val="clear" w:color="auto" w:fill="FFFFFF"/>
        </w:rPr>
        <w:t>(1960) (Harlan, J.)</w:t>
      </w:r>
      <w:r>
        <w:rPr>
          <w:color w:val="000000"/>
          <w:shd w:val="clear" w:color="auto" w:fill="FFFFFF"/>
        </w:rPr>
        <w:t xml:space="preserve">.  </w:t>
      </w:r>
      <w:r w:rsidRPr="00996F50">
        <w:rPr>
          <w:i/>
          <w:iCs/>
          <w:color w:val="000000"/>
          <w:shd w:val="clear" w:color="auto" w:fill="FFFFFF"/>
        </w:rPr>
        <w:t>See also Jones v. Liberty Glass Co.</w:t>
      </w:r>
      <w:r w:rsidRPr="00D34E23">
        <w:rPr>
          <w:color w:val="000000"/>
          <w:shd w:val="clear" w:color="auto" w:fill="FFFFFF"/>
        </w:rPr>
        <w:t>, 332 U.S. 524, 533</w:t>
      </w:r>
      <w:r>
        <w:rPr>
          <w:color w:val="000000"/>
          <w:shd w:val="clear" w:color="auto" w:fill="FFFFFF"/>
        </w:rPr>
        <w:t xml:space="preserve"> </w:t>
      </w:r>
      <w:r w:rsidRPr="00D34E23">
        <w:rPr>
          <w:color w:val="000000"/>
          <w:shd w:val="clear" w:color="auto" w:fill="FFFFFF"/>
        </w:rPr>
        <w:t>(1947) (“The doctrine of legislative acquiescence is at best only an auxiliary tool for use in interpreting ambiguous statutory provisions”).</w:t>
      </w:r>
      <w:r>
        <w:t xml:space="preserve"> </w:t>
      </w:r>
    </w:p>
  </w:footnote>
  <w:footnote w:id="65">
    <w:p w:rsidR="007D15C3" w:rsidRPr="00B50487" w:rsidP="007D15C3">
      <w:pPr>
        <w:pStyle w:val="FootnoteText"/>
      </w:pPr>
      <w:r>
        <w:rPr>
          <w:rStyle w:val="FootnoteReference"/>
        </w:rPr>
        <w:footnoteRef/>
      </w:r>
      <w:r>
        <w:t xml:space="preserve"> </w:t>
      </w:r>
      <w:r w:rsidRPr="00D34E23">
        <w:rPr>
          <w:i/>
          <w:iCs/>
        </w:rPr>
        <w:t>Chisholm v. FCC</w:t>
      </w:r>
      <w:r w:rsidRPr="00D34E23">
        <w:t>, 538 F.2d 349, 364 (D.C. Cir. 1976) (“We note initially that an administrative agency is permitted to change its interpretation of a statute, especially where the prior interpretation is based on error, no matter how longstanding.”)</w:t>
      </w:r>
      <w:r>
        <w:t xml:space="preserve"> (internal citations omitted).  Similarly, an agency may change its policies and standards, s</w:t>
      </w:r>
      <w:r w:rsidRPr="005E5756">
        <w:t>o long as it provides a reasoned explanation for</w:t>
      </w:r>
      <w:r>
        <w:t xml:space="preserve"> change.  </w:t>
      </w:r>
      <w:r>
        <w:rPr>
          <w:i/>
          <w:iCs/>
        </w:rPr>
        <w:t>See, e.g.</w:t>
      </w:r>
      <w:r>
        <w:t xml:space="preserve">, </w:t>
      </w:r>
      <w:r w:rsidRPr="00B50487">
        <w:rPr>
          <w:i/>
          <w:iCs/>
        </w:rPr>
        <w:t>FCC vs. Fox Television Stations, Inc.</w:t>
      </w:r>
      <w:r w:rsidRPr="00B50487">
        <w:t xml:space="preserve">, 556 U.S. 502, 514-15 (2009); </w:t>
      </w:r>
      <w:r w:rsidRPr="00B50487">
        <w:rPr>
          <w:i/>
          <w:iCs/>
        </w:rPr>
        <w:t>National Labor Relations Board v. CNN America, Inc.</w:t>
      </w:r>
      <w:r w:rsidRPr="00B50487">
        <w:t>, 865 F.3d 740, 751 (D.C. Cir. 2017)</w:t>
      </w:r>
      <w:r>
        <w:t>.</w:t>
      </w:r>
    </w:p>
  </w:footnote>
  <w:footnote w:id="66">
    <w:p w:rsidR="007D15C3" w:rsidP="007D15C3">
      <w:pPr>
        <w:pStyle w:val="FootnoteText"/>
      </w:pPr>
      <w:r>
        <w:rPr>
          <w:rStyle w:val="FootnoteReference"/>
        </w:rPr>
        <w:footnoteRef/>
      </w:r>
      <w:r>
        <w:t xml:space="preserve"> We also note that when Congress recently re-visited section 9 as part of the RAY BAUM’S Act, it did not elect to amend the list of entities exempted from assessment of regulatory fees to include non-U.S. licensed space stations.  Although non-U.S. licensed space station operators state that “[n]</w:t>
      </w:r>
      <w:r w:rsidRPr="002F5E79">
        <w:t>othing</w:t>
      </w:r>
      <w:r w:rsidRPr="002F5E79">
        <w:t xml:space="preserve"> in Ray Baum’s Act, or in the associated legislative history, evidences any intent to alter the FCC’s understanding that its authority to impose regulatory fees on space stations is limited to those licensed pursuant to Title III</w:t>
      </w:r>
      <w:r>
        <w:t>,”</w:t>
      </w:r>
      <w:r w:rsidRPr="002F5E79">
        <w:rPr>
          <w:i/>
          <w:iCs/>
        </w:rPr>
        <w:t xml:space="preserve"> </w:t>
      </w:r>
      <w:r>
        <w:rPr>
          <w:i/>
          <w:iCs/>
          <w:snapToGrid w:val="0"/>
        </w:rPr>
        <w:t>Godles</w:t>
      </w:r>
      <w:r>
        <w:rPr>
          <w:i/>
          <w:iCs/>
          <w:snapToGrid w:val="0"/>
        </w:rPr>
        <w:t xml:space="preserve"> April 22 Ex Parte </w:t>
      </w:r>
      <w:r>
        <w:rPr>
          <w:snapToGrid w:val="0"/>
        </w:rPr>
        <w:t>at 4</w:t>
      </w:r>
      <w:r>
        <w:t>, it could equally be said that Congress demonstrated no intent to endorse our prior interpretation or reiterate some intent to exempt non-U.S. licensed space stations in the legislative history of the RAY BAUM’S Act</w:t>
      </w:r>
      <w:r w:rsidRPr="002F5E79">
        <w:t>.</w:t>
      </w:r>
      <w:r>
        <w:t xml:space="preserve"> </w:t>
      </w:r>
    </w:p>
  </w:footnote>
  <w:footnote w:id="67">
    <w:p w:rsidR="007D15C3" w:rsidP="007D15C3">
      <w:pPr>
        <w:pStyle w:val="FootnoteText"/>
      </w:pPr>
      <w:r>
        <w:rPr>
          <w:rStyle w:val="FootnoteReference"/>
        </w:rPr>
        <w:footnoteRef/>
      </w:r>
      <w:r>
        <w:t xml:space="preserve"> </w:t>
      </w:r>
      <w:bookmarkStart w:id="31" w:name="_Hlk37250270"/>
      <w:r w:rsidRPr="003456FB">
        <w:rPr>
          <w:i/>
        </w:rPr>
        <w:t>FY 2019 Report and Order</w:t>
      </w:r>
      <w:r>
        <w:t>, 34 FCC Rcd at 8213, para. 64.</w:t>
      </w:r>
      <w:bookmarkEnd w:id="31"/>
    </w:p>
  </w:footnote>
  <w:footnote w:id="68">
    <w:p w:rsidR="007D15C3" w:rsidP="007D15C3">
      <w:pPr>
        <w:pStyle w:val="FootnoteText"/>
      </w:pPr>
      <w:r>
        <w:rPr>
          <w:rStyle w:val="FootnoteReference"/>
        </w:rPr>
        <w:footnoteRef/>
      </w:r>
      <w:r>
        <w:t xml:space="preserve"> </w:t>
      </w:r>
      <w:r w:rsidRPr="008D17E8">
        <w:rPr>
          <w:i/>
          <w:iCs/>
        </w:rPr>
        <w:t>See, e.g.</w:t>
      </w:r>
      <w:r>
        <w:t>, U.S. Satellite Licensees Comments at 1-2.</w:t>
      </w:r>
    </w:p>
  </w:footnote>
  <w:footnote w:id="69">
    <w:p w:rsidR="007D15C3" w:rsidP="007D15C3">
      <w:pPr>
        <w:pStyle w:val="FootnoteText"/>
      </w:pPr>
      <w:r>
        <w:rPr>
          <w:rStyle w:val="FootnoteReference"/>
        </w:rPr>
        <w:footnoteRef/>
      </w:r>
      <w:r>
        <w:t xml:space="preserve"> In addition, they note that there are more market access requests than new satellite applications; in 2019 there were nine new market access requests, but only six new U.S. satellite license applications.  U.S. Satellite Licensees Reply Comments at 2-3.</w:t>
      </w:r>
    </w:p>
  </w:footnote>
  <w:footnote w:id="70">
    <w:p w:rsidR="007D15C3" w:rsidP="007D15C3">
      <w:pPr>
        <w:pStyle w:val="FootnoteText"/>
      </w:pPr>
      <w:r>
        <w:rPr>
          <w:rStyle w:val="FootnoteReference"/>
        </w:rPr>
        <w:footnoteRef/>
      </w:r>
      <w:r>
        <w:t xml:space="preserve"> U.S. Satellite Licensees Reply Comments at 2.</w:t>
      </w:r>
      <w:r w:rsidRPr="00252FBB">
        <w:t xml:space="preserve"> </w:t>
      </w:r>
      <w:r>
        <w:t xml:space="preserve"> Furthermore, SpaceX highlights that Eutelsat and </w:t>
      </w:r>
      <w:r>
        <w:t>Telesat</w:t>
      </w:r>
      <w:r>
        <w:t xml:space="preserve"> are also involved in a proceeding to repurpose C-band satellite spectrum in which these non-U.S. operators and others have argued that they may not be denied access to portions of the 3700-4200 GHz band in the United States without significant compensation.  SpaceX Reply Comments at 2-3.</w:t>
      </w:r>
    </w:p>
  </w:footnote>
  <w:footnote w:id="71">
    <w:p w:rsidR="007D15C3" w:rsidP="007D15C3">
      <w:pPr>
        <w:pStyle w:val="FootnoteText"/>
      </w:pPr>
      <w:r>
        <w:rPr>
          <w:rStyle w:val="FootnoteReference"/>
        </w:rPr>
        <w:footnoteRef/>
      </w:r>
      <w:r>
        <w:t xml:space="preserve"> Eutelsat Comments at 2-3 (“Foreign-licensed satellite operators do not receive a Commission license or the benefits that come with it.”); </w:t>
      </w:r>
      <w:r>
        <w:t>Myriota</w:t>
      </w:r>
      <w:r>
        <w:t xml:space="preserve"> Comments at 3 (“Foreign-licensed satellite system operators do not receive an FCC space station license or the significant benefits associated with it. . . .”); Eutelsat Comments at 3 (“While [compliance] oversight is ongoing, the administrative burden is both minimal and conducted for the benefit of United States space and earth station licensees.”); </w:t>
      </w:r>
      <w:r>
        <w:t>Myriota</w:t>
      </w:r>
      <w:r>
        <w:t xml:space="preserve"> Comments at 3 (“Although [compliance] oversight is ongoing, however, the actual administrative cost of such monitoring is minimal and imposing a recurring regulatory fee to recover these </w:t>
      </w:r>
      <w:r w:rsidRPr="0075357D">
        <w:rPr>
          <w:i/>
          <w:iCs/>
        </w:rPr>
        <w:t>de minimis</w:t>
      </w:r>
      <w:r>
        <w:t xml:space="preserve"> costs would not be appropriate.”); Inmarsat Reply Comments at 4 (“[Non-U.S. licensed space stations] do not receive the benefit of United States-led coordination negotiations, relying instead on the country of licensure.”).</w:t>
      </w:r>
      <w:r>
        <w:t xml:space="preserve"> </w:t>
      </w:r>
    </w:p>
  </w:footnote>
  <w:footnote w:id="72">
    <w:p w:rsidR="007D15C3" w:rsidP="007D15C3">
      <w:pPr>
        <w:pStyle w:val="FootnoteText"/>
      </w:pPr>
      <w:r>
        <w:rPr>
          <w:rStyle w:val="FootnoteReference"/>
        </w:rPr>
        <w:footnoteRef/>
      </w:r>
      <w:r>
        <w:t xml:space="preserve"> Inmarsat Reply Comments at 4 (“Spacecraft maintenance, end-of-life, and orbital debris mitigation are supervised not by the United States, but by the administration issuing the license.”)</w:t>
      </w:r>
    </w:p>
  </w:footnote>
  <w:footnote w:id="73">
    <w:p w:rsidR="007D15C3" w:rsidP="007D15C3">
      <w:pPr>
        <w:pStyle w:val="FootnoteText"/>
      </w:pPr>
      <w:r>
        <w:rPr>
          <w:rStyle w:val="FootnoteReference"/>
        </w:rPr>
        <w:footnoteRef/>
      </w:r>
      <w:r>
        <w:t xml:space="preserve"> </w:t>
      </w:r>
      <w:r w:rsidRPr="00F62B51">
        <w:rPr>
          <w:i/>
          <w:iCs/>
        </w:rPr>
        <w:t>FY 2019 Report and Order</w:t>
      </w:r>
      <w:r w:rsidRPr="006B0F19">
        <w:t>, 34 FCC Rcd at 82</w:t>
      </w:r>
      <w:r>
        <w:t>12-13</w:t>
      </w:r>
      <w:r w:rsidRPr="006B0F19">
        <w:t>, para. 6</w:t>
      </w:r>
      <w:r>
        <w:t>3 (citing</w:t>
      </w:r>
      <w:r w:rsidRPr="00A1103B">
        <w:rPr>
          <w:i/>
        </w:rPr>
        <w:t xml:space="preserve"> </w:t>
      </w:r>
      <w:r w:rsidRPr="00CE0BF8">
        <w:rPr>
          <w:i/>
        </w:rPr>
        <w:t>Mitigation of Orbital Debris in the New Space Age</w:t>
      </w:r>
      <w:r>
        <w:t>, IB Docket No. 18-313, Notice of Proposed Rulemaking and Order on Reconsideration, 33 FCC Rcd 11352 (2018) (</w:t>
      </w:r>
      <w:r w:rsidRPr="00A17ED9">
        <w:rPr>
          <w:i/>
          <w:iCs/>
        </w:rPr>
        <w:t>Orbital Debris NPRM</w:t>
      </w:r>
      <w:r>
        <w:t xml:space="preserve">); </w:t>
      </w:r>
      <w:r w:rsidRPr="00CE0BF8">
        <w:rPr>
          <w:i/>
        </w:rPr>
        <w:t>Amendment of Parts 2 and 25 of the Commission’s Rules to Facilitate the Use of Earth Stations in Motion Communicating with Non-Geostationary Orbit Space Stations in Frequency Bands Allocated to the Fixed-Satellite Service</w:t>
      </w:r>
      <w:r>
        <w:t>, IB Docket No. 18-315, Notice of Proposed Rulemaking, 33 FCC Rcd 11416 (2018) (</w:t>
      </w:r>
      <w:r w:rsidRPr="00A17ED9">
        <w:rPr>
          <w:i/>
          <w:iCs/>
        </w:rPr>
        <w:t>ESIM NPRM</w:t>
      </w:r>
      <w:r>
        <w:t xml:space="preserve">); </w:t>
      </w:r>
      <w:r w:rsidRPr="00CE0BF8">
        <w:rPr>
          <w:i/>
        </w:rPr>
        <w:t>Amendment of the Commission’s Policies and Rules for Processing Applications in the Direct Broadcast Satellite Service</w:t>
      </w:r>
      <w:r>
        <w:t xml:space="preserve">, IB Docket No. 06-160, Second Notice of Proposed Rulemaking, 33 FCC Rcd 11303 (2018); </w:t>
      </w:r>
      <w:r w:rsidRPr="00CE0BF8">
        <w:rPr>
          <w:i/>
        </w:rPr>
        <w:t>Amendment of Parts 2 and 25 of the Commission’s Rules to Facilitate the Use of Earth Stations in Motion Communicating with Geostationary Orbit Space Stations in Frequency Bands Allocated to the Fixed Satellite Service</w:t>
      </w:r>
      <w:r>
        <w:t xml:space="preserve">, IB Docket No 17-95, Report and Order and Further Notice of Proposed Rulemaking, 32 FCC Rcd 9327 (2018); </w:t>
      </w:r>
      <w:r w:rsidRPr="00CE0BF8">
        <w:rPr>
          <w:i/>
        </w:rPr>
        <w:t>Further Streamlining Part 25 Rules Governing Satellite Services</w:t>
      </w:r>
      <w:r>
        <w:t>, IB Docket No. 18-314, Notice of Proposed Rulemaking, 33 FCC Rcd 11502 (2018) (</w:t>
      </w:r>
      <w:r w:rsidRPr="00A17ED9">
        <w:rPr>
          <w:i/>
          <w:iCs/>
        </w:rPr>
        <w:t>Part 25 Further Streamlining NPRM</w:t>
      </w:r>
      <w:r>
        <w:t xml:space="preserve">); </w:t>
      </w:r>
      <w:r w:rsidRPr="00CE0BF8">
        <w:rPr>
          <w:i/>
        </w:rPr>
        <w:t>Streamlining Licensing Procedures for Small Satellites</w:t>
      </w:r>
      <w:r>
        <w:t xml:space="preserve">, IB Docket No. 18-86, Notice of Proposed Rulemaking 33 FCC Rcd 4152 (2018); </w:t>
      </w:r>
      <w:r w:rsidRPr="00CE0BF8">
        <w:rPr>
          <w:i/>
        </w:rPr>
        <w:t>Update to Parts 2 and 25 Concerning Non-Geostationary, Fixed-Satellite Service Systems and Relat</w:t>
      </w:r>
      <w:r>
        <w:rPr>
          <w:i/>
        </w:rPr>
        <w:t>e</w:t>
      </w:r>
      <w:r w:rsidRPr="00CE0BF8">
        <w:rPr>
          <w:i/>
        </w:rPr>
        <w:t>d Matters</w:t>
      </w:r>
      <w:r>
        <w:t xml:space="preserve">, IB Docket No. 16-408, Report and Order and Further Notice of Proposed Rulemaking, 32 FCC Rcd 7809 (2017); </w:t>
      </w:r>
      <w:r w:rsidRPr="00CE0BF8">
        <w:rPr>
          <w:i/>
        </w:rPr>
        <w:t>Amendment of Parts 2 and 25 of the Commission’s Rules to Facilitate the Use of Earth Stations in Motion Communicating with Geostationary Orbit Space Stations in Frequency Bands Allocated to the Fixed-Satellite Service</w:t>
      </w:r>
      <w:r>
        <w:t>, IB Docket No. 17-95, Notice of Proposed Rulemaking, 32 FCC Rcd 4239 (2017).</w:t>
      </w:r>
    </w:p>
  </w:footnote>
  <w:footnote w:id="74">
    <w:p w:rsidR="007D15C3" w:rsidP="007D15C3">
      <w:pPr>
        <w:pStyle w:val="FootnoteText"/>
      </w:pPr>
      <w:r>
        <w:rPr>
          <w:rStyle w:val="FootnoteReference"/>
        </w:rPr>
        <w:footnoteRef/>
      </w:r>
      <w:r>
        <w:t xml:space="preserve"> Market access recipients filed comments in nearly all of the Commission’s recent satellite rulemaking proceedings.  </w:t>
      </w:r>
      <w:r w:rsidRPr="00737095">
        <w:rPr>
          <w:i/>
          <w:iCs/>
        </w:rPr>
        <w:t>See, e.g</w:t>
      </w:r>
      <w:r>
        <w:t xml:space="preserve">., Comments of </w:t>
      </w:r>
      <w:r>
        <w:t>WorldVu</w:t>
      </w:r>
      <w:r>
        <w:t xml:space="preserve"> Satellites Limited d/b/a </w:t>
      </w:r>
      <w:r>
        <w:t>OneWeb</w:t>
      </w:r>
      <w:r>
        <w:t xml:space="preserve">, SES </w:t>
      </w:r>
      <w:r>
        <w:t>Americom</w:t>
      </w:r>
      <w:r>
        <w:t xml:space="preserve"> and Eutelsat in </w:t>
      </w:r>
      <w:r w:rsidRPr="00730BA3">
        <w:rPr>
          <w:i/>
          <w:iCs/>
        </w:rPr>
        <w:t>Orbital Debris NPRM</w:t>
      </w:r>
      <w:r>
        <w:t xml:space="preserve">, (filings made Apr. 5, 2019); </w:t>
      </w:r>
      <w:r w:rsidRPr="00730BA3">
        <w:rPr>
          <w:i/>
          <w:iCs/>
        </w:rPr>
        <w:t>ESIM NPRM</w:t>
      </w:r>
      <w:r>
        <w:t xml:space="preserve"> (filings made Feb. 11, 2019) and </w:t>
      </w:r>
      <w:r w:rsidRPr="00730BA3">
        <w:rPr>
          <w:i/>
          <w:iCs/>
        </w:rPr>
        <w:t>Part 25 Further Streamlining NPRM</w:t>
      </w:r>
      <w:r>
        <w:t xml:space="preserve"> (filings made Mar. 18, 2019).</w:t>
      </w:r>
    </w:p>
  </w:footnote>
  <w:footnote w:id="75">
    <w:p w:rsidR="007D15C3" w:rsidP="007D15C3">
      <w:pPr>
        <w:pStyle w:val="FootnoteText"/>
      </w:pPr>
      <w:r>
        <w:rPr>
          <w:rStyle w:val="FootnoteReference"/>
        </w:rPr>
        <w:footnoteRef/>
      </w:r>
      <w:r>
        <w:t xml:space="preserve"> </w:t>
      </w:r>
      <w:r w:rsidRPr="00BA3F1E">
        <w:rPr>
          <w:i/>
          <w:iCs/>
        </w:rPr>
        <w:t>FY 2019 Report and Order</w:t>
      </w:r>
      <w:r w:rsidRPr="006B0F19">
        <w:t>, 34 FCC Rcd at 82</w:t>
      </w:r>
      <w:r>
        <w:t>12-13</w:t>
      </w:r>
      <w:r w:rsidRPr="006B0F19">
        <w:t>, para. 6</w:t>
      </w:r>
      <w:r>
        <w:t>3</w:t>
      </w:r>
    </w:p>
  </w:footnote>
  <w:footnote w:id="76">
    <w:p w:rsidR="007D15C3" w:rsidP="007D15C3">
      <w:pPr>
        <w:pStyle w:val="FootnoteText"/>
      </w:pPr>
      <w:r>
        <w:rPr>
          <w:rStyle w:val="FootnoteReference"/>
        </w:rPr>
        <w:footnoteRef/>
      </w:r>
      <w:r>
        <w:t xml:space="preserve"> U.S. Satellite Licensees Comments at 2.</w:t>
      </w:r>
    </w:p>
  </w:footnote>
  <w:footnote w:id="77">
    <w:p w:rsidR="007D15C3" w:rsidP="007D15C3">
      <w:pPr>
        <w:pStyle w:val="FootnoteText"/>
      </w:pPr>
      <w:r>
        <w:rPr>
          <w:rStyle w:val="FootnoteReference"/>
        </w:rPr>
        <w:footnoteRef/>
      </w:r>
      <w:r>
        <w:t xml:space="preserve"> </w:t>
      </w:r>
      <w:r>
        <w:t>WorldVu</w:t>
      </w:r>
      <w:r>
        <w:t xml:space="preserve"> Satellites Limited d/b/a </w:t>
      </w:r>
      <w:r>
        <w:t>OneWeb</w:t>
      </w:r>
      <w:r>
        <w:t xml:space="preserve"> (</w:t>
      </w:r>
      <w:r>
        <w:t>OneWeb</w:t>
      </w:r>
      <w:r>
        <w:t>) Comments at 1-4; Kepler Reply Comments at 4.</w:t>
      </w:r>
    </w:p>
  </w:footnote>
  <w:footnote w:id="78">
    <w:p w:rsidR="007D15C3" w:rsidP="007D15C3">
      <w:pPr>
        <w:pStyle w:val="FootnoteText"/>
      </w:pPr>
      <w:r>
        <w:rPr>
          <w:rStyle w:val="FootnoteReference"/>
        </w:rPr>
        <w:footnoteRef/>
      </w:r>
      <w:r>
        <w:t xml:space="preserve"> Eutelsat Comments at 2, 7; </w:t>
      </w:r>
      <w:r>
        <w:t>Telesat</w:t>
      </w:r>
      <w:r>
        <w:t xml:space="preserve"> Reply Comments at 3-4.</w:t>
      </w:r>
    </w:p>
  </w:footnote>
  <w:footnote w:id="79">
    <w:p w:rsidR="007D15C3" w:rsidP="007D15C3">
      <w:pPr>
        <w:pStyle w:val="FootnoteText"/>
      </w:pPr>
      <w:r>
        <w:rPr>
          <w:rStyle w:val="FootnoteReference"/>
        </w:rPr>
        <w:footnoteRef/>
      </w:r>
      <w:r>
        <w:t xml:space="preserve"> </w:t>
      </w:r>
      <w:r>
        <w:t>OneWeb</w:t>
      </w:r>
      <w:r>
        <w:t xml:space="preserve"> Comments at 7-8 &amp; Reply Comments at 6; </w:t>
      </w:r>
      <w:r>
        <w:t>Myriota</w:t>
      </w:r>
      <w:r>
        <w:t xml:space="preserve"> Comments at 3-4; Kepler Reply Comments at 4-5; </w:t>
      </w:r>
      <w:r>
        <w:t>Telesat</w:t>
      </w:r>
      <w:r>
        <w:t xml:space="preserve"> Reply Comments at 4; </w:t>
      </w:r>
    </w:p>
  </w:footnote>
  <w:footnote w:id="80">
    <w:p w:rsidR="007D15C3" w:rsidP="007D15C3">
      <w:pPr>
        <w:pStyle w:val="FootnoteText"/>
      </w:pPr>
      <w:r>
        <w:rPr>
          <w:rStyle w:val="FootnoteReference"/>
        </w:rPr>
        <w:footnoteRef/>
      </w:r>
      <w:r>
        <w:t xml:space="preserve"> </w:t>
      </w:r>
      <w:r>
        <w:t>OneWeb</w:t>
      </w:r>
      <w:r>
        <w:t xml:space="preserve"> Comments at 7-8 &amp; Reply Comments at 4-5;</w:t>
      </w:r>
      <w:r w:rsidRPr="00C272D9">
        <w:t xml:space="preserve"> </w:t>
      </w:r>
      <w:r>
        <w:t>Myriota</w:t>
      </w:r>
      <w:r>
        <w:t xml:space="preserve"> Comments at 3-4; Eutelsat Comments at 6-8; </w:t>
      </w:r>
      <w:r>
        <w:t>Telesat</w:t>
      </w:r>
      <w:r>
        <w:t xml:space="preserve"> Reply Comments at 5; Inmarsat Reply Comments at 4; Kepler Reply Comments at 4.</w:t>
      </w:r>
    </w:p>
  </w:footnote>
  <w:footnote w:id="81">
    <w:p w:rsidR="007D15C3" w:rsidP="007D15C3">
      <w:pPr>
        <w:pStyle w:val="FootnoteText"/>
      </w:pPr>
      <w:r>
        <w:rPr>
          <w:rStyle w:val="FootnoteReference"/>
        </w:rPr>
        <w:footnoteRef/>
      </w:r>
      <w:r>
        <w:t xml:space="preserve"> U.S. Satellite Licensees Comments at 6-7.  SpaceX proposes that earth station operators that received U.S. market access prior to August 27, 2019, the release date of the </w:t>
      </w:r>
      <w:r w:rsidRPr="006F130E">
        <w:rPr>
          <w:i/>
          <w:iCs/>
        </w:rPr>
        <w:t xml:space="preserve">FY 2019 Report and Order </w:t>
      </w:r>
      <w:r>
        <w:t xml:space="preserve">, would be exempt from such regulatory fees under this proposal. SpaceX Comments at 2-3.    </w:t>
      </w:r>
    </w:p>
  </w:footnote>
  <w:footnote w:id="82">
    <w:p w:rsidR="007D15C3" w:rsidP="007D15C3">
      <w:pPr>
        <w:pStyle w:val="FootnoteText"/>
      </w:pPr>
      <w:r>
        <w:rPr>
          <w:rStyle w:val="FootnoteReference"/>
        </w:rPr>
        <w:footnoteRef/>
      </w:r>
      <w:r>
        <w:t xml:space="preserve"> </w:t>
      </w:r>
      <w:r>
        <w:t>Telesat</w:t>
      </w:r>
      <w:r>
        <w:t xml:space="preserve"> Comments at 12 &amp; Reply Comments at 5; Kepler Reply Comments at 3; Inmarsat Reply Comments at 4-5.  AT&amp;T disagrees that this assessment of fees would be precluded by international agreements.  AT&amp;T Reply Comments at 5-6; </w:t>
      </w:r>
      <w:r>
        <w:t>OneWeb</w:t>
      </w:r>
      <w:r>
        <w:t xml:space="preserve"> Reply Comments at 7-8.</w:t>
      </w:r>
    </w:p>
  </w:footnote>
  <w:footnote w:id="83">
    <w:p w:rsidR="007D15C3" w:rsidP="007D15C3">
      <w:pPr>
        <w:pStyle w:val="FootnoteText"/>
      </w:pPr>
      <w:r>
        <w:rPr>
          <w:rStyle w:val="FootnoteReference"/>
        </w:rPr>
        <w:footnoteRef/>
      </w:r>
      <w:r>
        <w:t xml:space="preserve"> Eutelsat Comments at 2, 7, citing </w:t>
      </w:r>
      <w:r w:rsidRPr="008B3CBA">
        <w:rPr>
          <w:i/>
          <w:iCs/>
        </w:rPr>
        <w:t>DISCO II</w:t>
      </w:r>
      <w:r w:rsidRPr="00427E96">
        <w:rPr>
          <w:i/>
          <w:iCs/>
        </w:rPr>
        <w:t xml:space="preserve"> </w:t>
      </w:r>
      <w:r>
        <w:t xml:space="preserve">at 24174, para. 188; </w:t>
      </w:r>
      <w:r>
        <w:t>Telesat</w:t>
      </w:r>
      <w:r>
        <w:t xml:space="preserve"> Reply Comments at 6.  </w:t>
      </w:r>
      <w:r>
        <w:t>OneWeb</w:t>
      </w:r>
      <w:r>
        <w:t xml:space="preserve"> also argues that our proposal would violate </w:t>
      </w:r>
      <w:r w:rsidRPr="00811D93">
        <w:rPr>
          <w:i/>
          <w:iCs/>
        </w:rPr>
        <w:t>DISCO II</w:t>
      </w:r>
      <w:r>
        <w:t xml:space="preserve"> because it would put non-U.S. licensed satellite operators at a disadvantage.  </w:t>
      </w:r>
      <w:r>
        <w:t>OneWeb</w:t>
      </w:r>
      <w:r>
        <w:t xml:space="preserve"> Comments at 2.  We disagree, as discussed above, because the U.S. licensed satellite operators competing against non-U.S. licensed operators, are disadvantaged due to the imposition of regulatory fees on the U.S.</w:t>
      </w:r>
      <w:r>
        <w:t xml:space="preserve"> </w:t>
      </w:r>
      <w:r>
        <w:t>licensed operators.</w:t>
      </w:r>
    </w:p>
  </w:footnote>
  <w:footnote w:id="84">
    <w:p w:rsidR="007D15C3" w:rsidP="007D15C3">
      <w:pPr>
        <w:pStyle w:val="FootnoteText"/>
      </w:pPr>
      <w:r>
        <w:rPr>
          <w:rStyle w:val="FootnoteReference"/>
        </w:rPr>
        <w:footnoteRef/>
      </w:r>
      <w:r>
        <w:t xml:space="preserve"> SpaceX Reply Comments at 8-9.</w:t>
      </w:r>
    </w:p>
  </w:footnote>
  <w:footnote w:id="85">
    <w:p w:rsidR="007D15C3" w:rsidP="007D15C3">
      <w:pPr>
        <w:pStyle w:val="FootnoteText"/>
      </w:pPr>
      <w:r>
        <w:rPr>
          <w:rStyle w:val="FootnoteReference"/>
        </w:rPr>
        <w:footnoteRef/>
      </w:r>
      <w:r>
        <w:t xml:space="preserve"> </w:t>
      </w:r>
      <w:r>
        <w:rPr>
          <w:i/>
          <w:iCs/>
          <w:snapToGrid w:val="0"/>
        </w:rPr>
        <w:t>Godles</w:t>
      </w:r>
      <w:r>
        <w:rPr>
          <w:i/>
          <w:iCs/>
          <w:snapToGrid w:val="0"/>
        </w:rPr>
        <w:t xml:space="preserve"> April 22 Ex Parte</w:t>
      </w:r>
      <w:r>
        <w:rPr>
          <w:snapToGrid w:val="0"/>
        </w:rPr>
        <w:t xml:space="preserve"> at 3.</w:t>
      </w:r>
    </w:p>
  </w:footnote>
  <w:footnote w:id="86">
    <w:p w:rsidR="007D15C3" w:rsidP="007D15C3">
      <w:pPr>
        <w:pStyle w:val="FootnoteText"/>
      </w:pPr>
      <w:r>
        <w:rPr>
          <w:rStyle w:val="FootnoteReference"/>
        </w:rPr>
        <w:footnoteRef/>
      </w:r>
      <w:r w:rsidRPr="0045526F">
        <w:t xml:space="preserve"> </w:t>
      </w:r>
      <w:r w:rsidRPr="00422601">
        <w:rPr>
          <w:i/>
          <w:iCs/>
        </w:rPr>
        <w:t>Improving Pub</w:t>
      </w:r>
      <w:r>
        <w:rPr>
          <w:i/>
          <w:iCs/>
        </w:rPr>
        <w:t>lic</w:t>
      </w:r>
      <w:r w:rsidRPr="00422601">
        <w:rPr>
          <w:i/>
          <w:iCs/>
        </w:rPr>
        <w:t xml:space="preserve"> Safety Comm</w:t>
      </w:r>
      <w:r>
        <w:rPr>
          <w:i/>
          <w:iCs/>
        </w:rPr>
        <w:t>uni</w:t>
      </w:r>
      <w:r w:rsidRPr="00422601">
        <w:rPr>
          <w:i/>
          <w:iCs/>
        </w:rPr>
        <w:t>c</w:t>
      </w:r>
      <w:r>
        <w:rPr>
          <w:i/>
          <w:iCs/>
        </w:rPr>
        <w:t>atio</w:t>
      </w:r>
      <w:r w:rsidRPr="00422601">
        <w:rPr>
          <w:i/>
          <w:iCs/>
        </w:rPr>
        <w:t xml:space="preserve">ns in the 800 </w:t>
      </w:r>
      <w:r w:rsidRPr="00422601">
        <w:rPr>
          <w:i/>
          <w:iCs/>
        </w:rPr>
        <w:t>Mhz</w:t>
      </w:r>
      <w:r w:rsidRPr="00422601">
        <w:rPr>
          <w:i/>
          <w:iCs/>
        </w:rPr>
        <w:t xml:space="preserve"> Band</w:t>
      </w:r>
      <w:r w:rsidRPr="00422601">
        <w:t>, 21 FC</w:t>
      </w:r>
      <w:r>
        <w:t>C</w:t>
      </w:r>
      <w:r w:rsidRPr="00422601">
        <w:t xml:space="preserve"> Rcd 678, 682 (2006)</w:t>
      </w:r>
      <w:r>
        <w:t xml:space="preserve">; </w:t>
      </w:r>
      <w:r w:rsidRPr="00422601">
        <w:rPr>
          <w:i/>
          <w:iCs/>
        </w:rPr>
        <w:t>Motient</w:t>
      </w:r>
      <w:r w:rsidRPr="00422601">
        <w:rPr>
          <w:i/>
          <w:iCs/>
        </w:rPr>
        <w:t xml:space="preserve"> Commun</w:t>
      </w:r>
      <w:r>
        <w:rPr>
          <w:i/>
          <w:iCs/>
        </w:rPr>
        <w:t>i</w:t>
      </w:r>
      <w:r w:rsidRPr="00422601">
        <w:rPr>
          <w:i/>
          <w:iCs/>
        </w:rPr>
        <w:t>cations Inc.</w:t>
      </w:r>
      <w:r w:rsidRPr="00422601">
        <w:t xml:space="preserve">, 19 FCC Rcd 13086, 13093 (2004), </w:t>
      </w:r>
      <w:r w:rsidRPr="00422601">
        <w:rPr>
          <w:i/>
          <w:iCs/>
        </w:rPr>
        <w:t>citing Amendment of Part 1 of Commission's Rules - Competitive Bidding Procedures</w:t>
      </w:r>
      <w:r w:rsidRPr="00422601">
        <w:t xml:space="preserve">, Order on Reconsideration of the Third Report and Order, Fifth Report and Order, and Fourth Further Notice of Proposed Rule Making, 15 FCC Rcd 15293, 15306 </w:t>
      </w:r>
      <w:r>
        <w:t>para.</w:t>
      </w:r>
      <w:r w:rsidRPr="00422601">
        <w:t xml:space="preserve"> 22 (2000).</w:t>
      </w:r>
    </w:p>
  </w:footnote>
  <w:footnote w:id="87">
    <w:p w:rsidR="007D15C3" w:rsidP="007D15C3">
      <w:pPr>
        <w:pStyle w:val="FootnoteText"/>
      </w:pPr>
      <w:r>
        <w:rPr>
          <w:rStyle w:val="FootnoteReference"/>
        </w:rPr>
        <w:footnoteRef/>
      </w:r>
      <w:r>
        <w:t xml:space="preserve"> Congress mandates that the Commission recover as an offsetting collection its fiscal year appropriation and prescribes the mechanism to do so. Congress has prescribed that regulatees bear the FTE burden associated with the Commission’s work in respect to a given set of regulatees.</w:t>
      </w:r>
    </w:p>
  </w:footnote>
  <w:footnote w:id="88">
    <w:p w:rsidR="007D15C3" w:rsidP="007D15C3">
      <w:pPr>
        <w:pStyle w:val="FootnoteText"/>
      </w:pPr>
      <w:r>
        <w:rPr>
          <w:rStyle w:val="FootnoteReference"/>
        </w:rPr>
        <w:footnoteRef/>
      </w:r>
      <w:r>
        <w:t xml:space="preserve"> T</w:t>
      </w:r>
      <w:r w:rsidRPr="00A13BE3">
        <w:t xml:space="preserve">he Commission’s prior solution </w:t>
      </w:r>
      <w:r>
        <w:t xml:space="preserve">in 2015 </w:t>
      </w:r>
      <w:r w:rsidRPr="00A13BE3">
        <w:t>of recategorizing four International Bureau FTEs as indirect to avoid assessing U.S.</w:t>
      </w:r>
      <w:r>
        <w:t xml:space="preserve"> </w:t>
      </w:r>
      <w:r w:rsidRPr="00A13BE3">
        <w:t xml:space="preserve">licensed space stations for work that directly benefited non-U.S. licensed space stations that did not pay regulatory fees still required U.S. licensees to bear the costs of the non-U.S. licensed space station operators participation in the regulatory environment; it simply broadened the base of U.S. licensees bearing those costs, since the costs were labeled as indirect, and therefore </w:t>
      </w:r>
      <w:r>
        <w:t>borne by</w:t>
      </w:r>
      <w:r w:rsidRPr="00A13BE3">
        <w:t xml:space="preserve"> all FCC entities that were assessed regulatory fees</w:t>
      </w:r>
      <w:r>
        <w:t xml:space="preserve">.  </w:t>
      </w:r>
      <w:r w:rsidRPr="00A13BE3">
        <w:rPr>
          <w:i/>
          <w:iCs/>
        </w:rPr>
        <w:t>See FY 2015 Report and Order</w:t>
      </w:r>
      <w:r w:rsidRPr="00A13BE3">
        <w:t>, 30 FCC Rcd at 10278, para.24.</w:t>
      </w:r>
    </w:p>
  </w:footnote>
  <w:footnote w:id="89">
    <w:p w:rsidR="007D15C3" w:rsidP="007D15C3">
      <w:pPr>
        <w:pStyle w:val="FootnoteText"/>
      </w:pPr>
      <w:r>
        <w:rPr>
          <w:rStyle w:val="FootnoteReference"/>
        </w:rPr>
        <w:footnoteRef/>
      </w:r>
      <w:r>
        <w:t xml:space="preserve"> SpaceX Comments at 8.  Kepler argues that it would be inequitable to assess the same regulatory fee on a foreign satellite operator with a single earth station.  Kepler Reply Comments at 5.  We note the same argument can be made regardless of whether the foreign operator communicating with only one earth station does so through a petition for declaratory ruling and an earth station license or solely through an earth station license.</w:t>
      </w:r>
    </w:p>
  </w:footnote>
  <w:footnote w:id="90">
    <w:p w:rsidR="007D15C3" w:rsidP="007D15C3">
      <w:pPr>
        <w:pStyle w:val="FootnoteText"/>
      </w:pPr>
      <w:r>
        <w:rPr>
          <w:rStyle w:val="FootnoteReference"/>
        </w:rPr>
        <w:footnoteRef/>
      </w:r>
      <w:r>
        <w:t xml:space="preserve"> SpaceX Comments at 8.</w:t>
      </w:r>
    </w:p>
  </w:footnote>
  <w:footnote w:id="91">
    <w:p w:rsidR="007D15C3" w:rsidP="007D15C3">
      <w:pPr>
        <w:rPr>
          <w:rFonts w:eastAsia="Calibri"/>
          <w:sz w:val="20"/>
        </w:rPr>
      </w:pPr>
      <w:r>
        <w:rPr>
          <w:rStyle w:val="FootnoteReference"/>
        </w:rPr>
        <w:footnoteRef/>
      </w:r>
      <w:r>
        <w:t xml:space="preserve"> </w:t>
      </w:r>
      <w:r w:rsidRPr="00524328">
        <w:rPr>
          <w:sz w:val="20"/>
        </w:rPr>
        <w:t xml:space="preserve">As a general matter, </w:t>
      </w:r>
      <w:r>
        <w:rPr>
          <w:sz w:val="20"/>
        </w:rPr>
        <w:t xml:space="preserve">a single </w:t>
      </w:r>
      <w:r w:rsidRPr="007F2815">
        <w:rPr>
          <w:sz w:val="20"/>
        </w:rPr>
        <w:t>NGSO constellation</w:t>
      </w:r>
      <w:r>
        <w:rPr>
          <w:sz w:val="20"/>
        </w:rPr>
        <w:t xml:space="preserve"> that</w:t>
      </w:r>
      <w:r w:rsidRPr="00524328">
        <w:rPr>
          <w:rFonts w:eastAsia="Calibri"/>
          <w:sz w:val="20"/>
        </w:rPr>
        <w:t xml:space="preserve"> </w:t>
      </w:r>
      <w:r>
        <w:rPr>
          <w:rFonts w:eastAsia="Calibri"/>
          <w:sz w:val="20"/>
        </w:rPr>
        <w:t>includes both</w:t>
      </w:r>
      <w:r w:rsidRPr="00524328">
        <w:rPr>
          <w:rFonts w:eastAsia="Calibri"/>
          <w:sz w:val="20"/>
        </w:rPr>
        <w:t xml:space="preserve"> U</w:t>
      </w:r>
      <w:r>
        <w:rPr>
          <w:rFonts w:eastAsia="Calibri"/>
          <w:sz w:val="20"/>
        </w:rPr>
        <w:t>.</w:t>
      </w:r>
      <w:r w:rsidRPr="00524328">
        <w:rPr>
          <w:rFonts w:eastAsia="Calibri"/>
          <w:sz w:val="20"/>
        </w:rPr>
        <w:t>S</w:t>
      </w:r>
      <w:r>
        <w:rPr>
          <w:rFonts w:eastAsia="Calibri"/>
          <w:sz w:val="20"/>
        </w:rPr>
        <w:t>.</w:t>
      </w:r>
      <w:r w:rsidRPr="00524328">
        <w:rPr>
          <w:rFonts w:eastAsia="Calibri"/>
          <w:sz w:val="20"/>
        </w:rPr>
        <w:t xml:space="preserve"> and foreign-licensed </w:t>
      </w:r>
      <w:r>
        <w:rPr>
          <w:rFonts w:eastAsia="Calibri"/>
          <w:sz w:val="20"/>
        </w:rPr>
        <w:t>satellites</w:t>
      </w:r>
      <w:r w:rsidRPr="00524328">
        <w:rPr>
          <w:rFonts w:eastAsia="Calibri"/>
          <w:sz w:val="20"/>
        </w:rPr>
        <w:t xml:space="preserve"> </w:t>
      </w:r>
      <w:r>
        <w:rPr>
          <w:rFonts w:eastAsia="Calibri"/>
          <w:sz w:val="20"/>
        </w:rPr>
        <w:t xml:space="preserve">will be </w:t>
      </w:r>
      <w:r w:rsidRPr="00524328">
        <w:rPr>
          <w:rFonts w:eastAsia="Calibri"/>
          <w:sz w:val="20"/>
        </w:rPr>
        <w:t xml:space="preserve">treated </w:t>
      </w:r>
      <w:r>
        <w:rPr>
          <w:rFonts w:eastAsia="Calibri"/>
          <w:sz w:val="20"/>
        </w:rPr>
        <w:t>the same as any wholly</w:t>
      </w:r>
      <w:r w:rsidRPr="00524328">
        <w:rPr>
          <w:rFonts w:eastAsia="Calibri"/>
          <w:sz w:val="20"/>
        </w:rPr>
        <w:t xml:space="preserve"> U</w:t>
      </w:r>
      <w:r>
        <w:rPr>
          <w:rFonts w:eastAsia="Calibri"/>
          <w:sz w:val="20"/>
        </w:rPr>
        <w:t>.</w:t>
      </w:r>
      <w:r w:rsidRPr="00524328">
        <w:rPr>
          <w:rFonts w:eastAsia="Calibri"/>
          <w:sz w:val="20"/>
        </w:rPr>
        <w:t>S</w:t>
      </w:r>
      <w:r>
        <w:rPr>
          <w:rFonts w:eastAsia="Calibri"/>
          <w:sz w:val="20"/>
        </w:rPr>
        <w:t>.</w:t>
      </w:r>
      <w:r w:rsidRPr="00524328">
        <w:rPr>
          <w:rFonts w:eastAsia="Calibri"/>
          <w:sz w:val="20"/>
        </w:rPr>
        <w:t xml:space="preserve"> or foreign-licensed</w:t>
      </w:r>
      <w:r>
        <w:rPr>
          <w:rFonts w:eastAsia="Calibri"/>
          <w:sz w:val="20"/>
        </w:rPr>
        <w:t xml:space="preserve"> constellation for regulatory fee purposes</w:t>
      </w:r>
      <w:r w:rsidRPr="00524328">
        <w:rPr>
          <w:rFonts w:eastAsia="Calibri"/>
          <w:sz w:val="20"/>
        </w:rPr>
        <w:t>.</w:t>
      </w:r>
    </w:p>
    <w:p w:rsidR="007D15C3" w:rsidRPr="006F130E" w:rsidP="007D15C3">
      <w:pPr>
        <w:rPr>
          <w:rFonts w:eastAsia="Calibri"/>
        </w:rPr>
      </w:pPr>
    </w:p>
  </w:footnote>
  <w:footnote w:id="92">
    <w:p w:rsidR="007D15C3" w:rsidP="007D15C3">
      <w:pPr>
        <w:pStyle w:val="FootnoteText"/>
      </w:pPr>
      <w:r>
        <w:rPr>
          <w:rStyle w:val="FootnoteReference"/>
        </w:rPr>
        <w:footnoteRef/>
      </w:r>
      <w:r>
        <w:t xml:space="preserve"> </w:t>
      </w:r>
      <w:r w:rsidRPr="009A2366">
        <w:t xml:space="preserve"> Under sections 9A(c)(1) &amp; (2) of the Act, the Commission is required to impose a late payment penalty of 25 percent of the unpaid regulatory fee debt and to assess interest on the unpaid regulatory fee (including the 25 percent penalty) until the debt is paid in full.  The Commission is also required to pursue collection of all past due regulatory fees (including penalty and interest) using all collection remedies available to it under the Debt Collection Improvement Act of 1996. </w:t>
      </w:r>
      <w:r>
        <w:t xml:space="preserve"> </w:t>
      </w:r>
      <w:r w:rsidRPr="009A2366">
        <w:t xml:space="preserve">These remedies include offsetting regulatory fee debt against monies owed to the debtor by the Commission, and referral of the debt to the United States Treasury for further collection efforts, including centralized offset against monies other federal agencies may owe the debtor. 31 U.S.C. §§ 3701 </w:t>
      </w:r>
      <w:r w:rsidRPr="008D17E8">
        <w:rPr>
          <w:i/>
          <w:iCs/>
        </w:rPr>
        <w:t>et seq.</w:t>
      </w:r>
      <w:r w:rsidRPr="009A2366">
        <w:t xml:space="preserve">; 31 CFR §§ 901 </w:t>
      </w:r>
      <w:r w:rsidRPr="008D17E8">
        <w:rPr>
          <w:i/>
          <w:iCs/>
        </w:rPr>
        <w:t>et seq</w:t>
      </w:r>
      <w:r w:rsidRPr="009A2366">
        <w:t xml:space="preserve">.; 47 CFR §§ 1.1901 </w:t>
      </w:r>
      <w:r w:rsidRPr="008D17E8">
        <w:rPr>
          <w:i/>
          <w:iCs/>
        </w:rPr>
        <w:t>et seq</w:t>
      </w:r>
      <w:r w:rsidRPr="009A2366">
        <w:t xml:space="preserve">.  The failure to timely pay regulatory fees also subjects regulatees to the Commission’s “red light” rule and revocation of authorizations. 47 CFR §§ 1.1910 and 1.1164(f). </w:t>
      </w:r>
    </w:p>
  </w:footnote>
  <w:footnote w:id="93">
    <w:p w:rsidR="007D15C3" w:rsidRPr="00AB00AF" w:rsidP="007D15C3">
      <w:pPr>
        <w:pStyle w:val="FootnoteText"/>
        <w:rPr>
          <w:i/>
          <w:iCs/>
        </w:rPr>
      </w:pPr>
      <w:r>
        <w:rPr>
          <w:rStyle w:val="FootnoteReference"/>
        </w:rPr>
        <w:footnoteRef/>
      </w:r>
      <w:r>
        <w:t xml:space="preserve"> </w:t>
      </w:r>
      <w:r w:rsidRPr="00AB00AF">
        <w:rPr>
          <w:i/>
          <w:iCs/>
        </w:rPr>
        <w:t xml:space="preserve">See </w:t>
      </w:r>
      <w:r w:rsidRPr="00BE4EB2">
        <w:t xml:space="preserve">47 U.S.C. </w:t>
      </w:r>
      <w:bookmarkStart w:id="35" w:name="_Hlk38039697"/>
      <w:r w:rsidRPr="00BE4EB2">
        <w:t xml:space="preserve">§ </w:t>
      </w:r>
      <w:bookmarkEnd w:id="35"/>
      <w:r w:rsidRPr="00BE4EB2">
        <w:t>159</w:t>
      </w:r>
      <w:r>
        <w:t>A</w:t>
      </w:r>
      <w:r w:rsidRPr="00AB00AF">
        <w:t>(c)</w:t>
      </w:r>
      <w:r>
        <w:t xml:space="preserve">(3) (dismissal of applications or filings); </w:t>
      </w:r>
      <w:r>
        <w:rPr>
          <w:i/>
          <w:iCs/>
        </w:rPr>
        <w:t>id.</w:t>
      </w:r>
      <w:r>
        <w:t xml:space="preserve"> at </w:t>
      </w:r>
      <w:r w:rsidRPr="00BE4EB2">
        <w:t>§ 159</w:t>
      </w:r>
      <w:r>
        <w:t>A</w:t>
      </w:r>
      <w:r w:rsidRPr="00AB00AF">
        <w:t>(c)(</w:t>
      </w:r>
      <w:r>
        <w:t>4</w:t>
      </w:r>
      <w:r w:rsidRPr="00AB00AF">
        <w:t>)</w:t>
      </w:r>
      <w:r>
        <w:t xml:space="preserve"> (revocations);</w:t>
      </w:r>
      <w:r w:rsidRPr="00AB00AF">
        <w:t xml:space="preserve"> </w:t>
      </w:r>
      <w:r>
        <w:t xml:space="preserve">47 CFR </w:t>
      </w:r>
      <w:r w:rsidRPr="00BE4EB2">
        <w:t xml:space="preserve">§ </w:t>
      </w:r>
      <w:r w:rsidRPr="00AB00AF">
        <w:t>1.1164(f)</w:t>
      </w:r>
      <w:r>
        <w:t xml:space="preserve"> (same).</w:t>
      </w:r>
    </w:p>
  </w:footnote>
  <w:footnote w:id="94">
    <w:p w:rsidR="007D15C3" w:rsidP="007D15C3">
      <w:pPr>
        <w:pStyle w:val="FootnoteText"/>
      </w:pPr>
      <w:r>
        <w:rPr>
          <w:rStyle w:val="FootnoteReference"/>
        </w:rPr>
        <w:footnoteRef/>
      </w:r>
      <w:r>
        <w:t xml:space="preserve"> </w:t>
      </w:r>
      <w:r w:rsidRPr="006740E6">
        <w:rPr>
          <w:i/>
          <w:iCs/>
        </w:rPr>
        <w:t>See</w:t>
      </w:r>
      <w:r>
        <w:t xml:space="preserve"> Letter from Karis Hastings, Counsel to SES, to Marlene H. Dortch, Secretary, Federal Communications Commission, at 2 (May 5, 2020).</w:t>
      </w:r>
    </w:p>
  </w:footnote>
  <w:footnote w:id="95">
    <w:p w:rsidR="007D15C3" w:rsidP="007D15C3">
      <w:pPr>
        <w:pStyle w:val="FootnoteText"/>
      </w:pPr>
      <w:r>
        <w:rPr>
          <w:rStyle w:val="FootnoteReference"/>
        </w:rPr>
        <w:footnoteRef/>
      </w:r>
      <w:r>
        <w:t xml:space="preserve"> </w:t>
      </w:r>
      <w:r w:rsidRPr="009E5812">
        <w:rPr>
          <w:i/>
          <w:iCs/>
        </w:rPr>
        <w:t>See</w:t>
      </w:r>
      <w:r>
        <w:t xml:space="preserve"> Letter from Pamela L. Meredith, Counsel to Kongsberg Satellite Services AS, to Marlene H. Dortch, Secretary, Federal Communications Commission, at 1-2 (May 5, 2020).</w:t>
      </w:r>
    </w:p>
  </w:footnote>
  <w:footnote w:id="96">
    <w:p w:rsidR="007D15C3" w:rsidP="007D15C3">
      <w:pPr>
        <w:pStyle w:val="FootnoteText"/>
      </w:pPr>
      <w:r>
        <w:rPr>
          <w:rStyle w:val="FootnoteReference"/>
        </w:rPr>
        <w:footnoteRef/>
      </w:r>
      <w:r>
        <w:t xml:space="preserve"> We note that an earth station authorization allowing any other kind of data acquisition by a non- U.S. licensed space station will be considered to have access to the U.S. market and will be subject to the regulatory fees.</w:t>
      </w:r>
    </w:p>
  </w:footnote>
  <w:footnote w:id="97">
    <w:p w:rsidR="007D15C3" w:rsidP="007D15C3">
      <w:pPr>
        <w:pStyle w:val="FootnoteText"/>
      </w:pPr>
      <w:r>
        <w:rPr>
          <w:rStyle w:val="FootnoteReference"/>
        </w:rPr>
        <w:footnoteRef/>
      </w:r>
      <w:r>
        <w:t xml:space="preserve"> Such a voluntary surrender of market access can be made through existing procedures for surrender of grants of market access or removal of a non-U.S. licensed space station as a point of communications in an earth station license.</w:t>
      </w:r>
    </w:p>
  </w:footnote>
  <w:footnote w:id="98">
    <w:p w:rsidR="007D15C3" w:rsidP="007D15C3">
      <w:pPr>
        <w:pStyle w:val="FootnoteText"/>
      </w:pPr>
      <w:r>
        <w:rPr>
          <w:rStyle w:val="FootnoteReference"/>
        </w:rPr>
        <w:footnoteRef/>
      </w:r>
      <w:r>
        <w:t xml:space="preserve"> We note that</w:t>
      </w:r>
      <w:r w:rsidRPr="006F130E">
        <w:t xml:space="preserve"> after FY 2020 it is the responsibility of </w:t>
      </w:r>
      <w:r>
        <w:t>a</w:t>
      </w:r>
      <w:r w:rsidRPr="006F130E">
        <w:t xml:space="preserve"> </w:t>
      </w:r>
      <w:r>
        <w:t xml:space="preserve">non-U.S. licensed space station with U.S. </w:t>
      </w:r>
      <w:r w:rsidRPr="006F130E">
        <w:t>market access to inform the Commission (International Bureau) by September 30</w:t>
      </w:r>
      <w:r w:rsidRPr="006F130E">
        <w:rPr>
          <w:vertAlign w:val="superscript"/>
        </w:rPr>
        <w:t>th</w:t>
      </w:r>
      <w:r w:rsidRPr="006F130E">
        <w:t xml:space="preserve"> before the new fiscal year </w:t>
      </w:r>
      <w:r>
        <w:t xml:space="preserve">begins </w:t>
      </w:r>
      <w:r w:rsidRPr="006F130E">
        <w:t xml:space="preserve">that </w:t>
      </w:r>
      <w:r>
        <w:t>it is</w:t>
      </w:r>
      <w:r w:rsidRPr="006F130E">
        <w:t xml:space="preserve"> relinquishing </w:t>
      </w:r>
      <w:r>
        <w:t>its</w:t>
      </w:r>
      <w:r w:rsidRPr="006F130E">
        <w:t xml:space="preserve"> </w:t>
      </w:r>
      <w:r>
        <w:t xml:space="preserve">U.S. </w:t>
      </w:r>
      <w:r w:rsidRPr="006F130E">
        <w:t>market access</w:t>
      </w:r>
      <w:r>
        <w:t xml:space="preserve">; </w:t>
      </w:r>
      <w:r>
        <w:rPr>
          <w:snapToGrid w:val="0"/>
        </w:rPr>
        <w:t>failing timely notification, the non-U.S. licensed station will be assessed regulatory fees for the ensuing</w:t>
      </w:r>
      <w:r>
        <w:t xml:space="preserve"> fiscal year</w:t>
      </w:r>
      <w:r w:rsidRPr="006F130E">
        <w:t xml:space="preserve">.  For example, in FY 2021, </w:t>
      </w:r>
      <w:r>
        <w:t xml:space="preserve">a non-U.S. licensed space station with U.S. </w:t>
      </w:r>
      <w:r w:rsidRPr="00FF7619">
        <w:t xml:space="preserve">market access </w:t>
      </w:r>
      <w:r w:rsidRPr="006F130E">
        <w:t xml:space="preserve">must inform the Commission (International Bureau) by September 30, 2020 that </w:t>
      </w:r>
      <w:r>
        <w:t>it</w:t>
      </w:r>
      <w:r w:rsidRPr="006F130E">
        <w:t xml:space="preserve"> wish</w:t>
      </w:r>
      <w:r>
        <w:t>es</w:t>
      </w:r>
      <w:r w:rsidRPr="006F130E">
        <w:t xml:space="preserve"> to relinquish </w:t>
      </w:r>
      <w:r>
        <w:t>its</w:t>
      </w:r>
      <w:r w:rsidRPr="006F130E">
        <w:t xml:space="preserve"> market </w:t>
      </w:r>
      <w:r w:rsidRPr="006F130E">
        <w:t>access</w:t>
      </w:r>
      <w:r>
        <w:t xml:space="preserve"> or it will be charged the FY 2021 regulatory fee in September 2021</w:t>
      </w:r>
      <w:r w:rsidRPr="006F130E">
        <w:t>. </w:t>
      </w:r>
      <w:r>
        <w:t xml:space="preserve">  </w:t>
      </w:r>
    </w:p>
  </w:footnote>
  <w:footnote w:id="99">
    <w:p w:rsidR="007D15C3" w:rsidP="007D15C3">
      <w:pPr>
        <w:pStyle w:val="FootnoteText"/>
      </w:pPr>
      <w:r>
        <w:rPr>
          <w:rStyle w:val="FootnoteReference"/>
        </w:rPr>
        <w:footnoteRef/>
      </w:r>
      <w:r>
        <w:t xml:space="preserve"> The International Bureau will include notice of such surrenders in its routine weekly Public Notices of Actions Taken for satellite space and earth stations.</w:t>
      </w:r>
    </w:p>
  </w:footnote>
  <w:footnote w:id="100">
    <w:p w:rsidR="007D15C3" w:rsidP="007D15C3">
      <w:pPr>
        <w:pStyle w:val="FootnoteText"/>
      </w:pPr>
      <w:r>
        <w:rPr>
          <w:rStyle w:val="FootnoteReference"/>
        </w:rPr>
        <w:footnoteRef/>
      </w:r>
      <w:r>
        <w:t xml:space="preserve"> In some cases, a single GSO satellite with access to the U.S. market may be operated by more than one entity, as reflected in the terms of the license or market access grant.  In such cases, the satellite operators should</w:t>
      </w:r>
      <w:r w:rsidRPr="00C53477">
        <w:rPr>
          <w:rFonts w:eastAsia="Calibri"/>
        </w:rPr>
        <w:t xml:space="preserve"> notify OMD which operator/FRN </w:t>
      </w:r>
      <w:r>
        <w:rPr>
          <w:rFonts w:eastAsia="Calibri"/>
        </w:rPr>
        <w:t xml:space="preserve">is the contact </w:t>
      </w:r>
      <w:r w:rsidRPr="00C53477">
        <w:rPr>
          <w:rFonts w:eastAsia="Calibri"/>
        </w:rPr>
        <w:t xml:space="preserve">for the space station </w:t>
      </w:r>
      <w:r>
        <w:rPr>
          <w:rFonts w:eastAsia="Calibri"/>
        </w:rPr>
        <w:t>regulatory fee</w:t>
      </w:r>
      <w:r w:rsidRPr="00C53477">
        <w:rPr>
          <w:rFonts w:eastAsia="Calibri"/>
        </w:rPr>
        <w:t xml:space="preserve"> purposes and </w:t>
      </w:r>
      <w:r>
        <w:rPr>
          <w:rFonts w:eastAsia="Calibri"/>
        </w:rPr>
        <w:t>that operator/FRN will</w:t>
      </w:r>
      <w:r w:rsidRPr="00C53477">
        <w:rPr>
          <w:rFonts w:eastAsia="Calibri"/>
        </w:rPr>
        <w:t xml:space="preserve"> be billed.  If no notification</w:t>
      </w:r>
      <w:r>
        <w:rPr>
          <w:rFonts w:eastAsia="Calibri"/>
        </w:rPr>
        <w:t xml:space="preserve"> is</w:t>
      </w:r>
      <w:r w:rsidRPr="00C53477">
        <w:rPr>
          <w:rFonts w:eastAsia="Calibri"/>
        </w:rPr>
        <w:t xml:space="preserve"> received, OMD will assign one party as the FRN contact</w:t>
      </w:r>
      <w:r>
        <w:rPr>
          <w:rFonts w:eastAsia="Calibri"/>
        </w:rPr>
        <w:t xml:space="preserve"> for billing purposes</w:t>
      </w:r>
      <w:r w:rsidRPr="00C53477">
        <w:rPr>
          <w:rFonts w:eastAsia="Calibri"/>
        </w:rPr>
        <w:t>.</w:t>
      </w:r>
      <w:r>
        <w:rPr>
          <w:rFonts w:eastAsia="Calibri"/>
        </w:rPr>
        <w:t xml:space="preserve">  </w:t>
      </w:r>
    </w:p>
  </w:footnote>
  <w:footnote w:id="101">
    <w:p w:rsidR="007D15C3" w:rsidP="007D15C3">
      <w:pPr>
        <w:pStyle w:val="FootnoteText"/>
      </w:pPr>
      <w:r>
        <w:rPr>
          <w:rStyle w:val="FootnoteReference"/>
        </w:rPr>
        <w:footnoteRef/>
      </w:r>
      <w:r>
        <w:t xml:space="preserve"> </w:t>
      </w:r>
      <w:r w:rsidRPr="00F00FC7">
        <w:t>https://apps.fcc.gov/coresWeb/publicHome.do</w:t>
      </w:r>
      <w:r>
        <w:t>.</w:t>
      </w:r>
    </w:p>
  </w:footnote>
  <w:footnote w:id="102">
    <w:p w:rsidR="007D15C3" w:rsidP="007D15C3">
      <w:pPr>
        <w:pStyle w:val="FootnoteText"/>
      </w:pPr>
      <w:r>
        <w:rPr>
          <w:rStyle w:val="FootnoteReference"/>
        </w:rPr>
        <w:footnoteRef/>
      </w:r>
      <w:r>
        <w:t xml:space="preserve"> </w:t>
      </w:r>
      <w:r w:rsidRPr="00872FF5">
        <w:rPr>
          <w:i/>
          <w:iCs/>
        </w:rPr>
        <w:t>See</w:t>
      </w:r>
      <w:r w:rsidRPr="00031F88">
        <w:t xml:space="preserve"> 47 U.S.C. § 159(a).</w:t>
      </w:r>
    </w:p>
  </w:footnote>
  <w:footnote w:id="103">
    <w:p w:rsidR="007D15C3" w:rsidP="007D15C3">
      <w:pPr>
        <w:pStyle w:val="FootnoteText"/>
      </w:pPr>
      <w:r>
        <w:rPr>
          <w:rStyle w:val="FootnoteReference"/>
        </w:rPr>
        <w:footnoteRef/>
      </w:r>
      <w:r>
        <w:t xml:space="preserve"> For FY 2021 and subsequent years, the date of assessment will be October 1, which is the standard date of assessment for space and earth stations.</w:t>
      </w:r>
    </w:p>
  </w:footnote>
  <w:footnote w:id="104">
    <w:p w:rsidR="007D15C3" w:rsidP="007D15C3">
      <w:pPr>
        <w:pStyle w:val="FootnoteText"/>
      </w:pPr>
      <w:r>
        <w:rPr>
          <w:rStyle w:val="FootnoteReference"/>
        </w:rPr>
        <w:footnoteRef/>
      </w:r>
      <w:r>
        <w:t xml:space="preserve"> </w:t>
      </w:r>
      <w:r w:rsidRPr="00AB00AF">
        <w:rPr>
          <w:i/>
          <w:iCs/>
        </w:rPr>
        <w:t>FY 2015 Report and Order</w:t>
      </w:r>
      <w:r>
        <w:t xml:space="preserve">, 30 FCC Rcd at 10278, para.24.  </w:t>
      </w:r>
      <w:r w:rsidRPr="00243770">
        <w:t>At the time, the Commission stated that the number of market access requests by these entities can vary</w:t>
      </w:r>
      <w:r>
        <w:t>;</w:t>
      </w:r>
      <w:r w:rsidRPr="00243770">
        <w:t xml:space="preserve"> however, four FTEs </w:t>
      </w:r>
      <w:r>
        <w:t>was</w:t>
      </w:r>
      <w:r w:rsidRPr="00243770">
        <w:t xml:space="preserve"> appropriate to be reallocated as indirect in calculating benefit to International Bureau fee payors at the time.  </w:t>
      </w:r>
      <w:r w:rsidRPr="009A5F2D">
        <w:rPr>
          <w:i/>
          <w:iCs/>
        </w:rPr>
        <w:t>See id</w:t>
      </w:r>
      <w:r w:rsidRPr="00243770">
        <w:t>. para.</w:t>
      </w:r>
      <w:r>
        <w:t xml:space="preserve"> </w:t>
      </w:r>
      <w:r w:rsidRPr="00243770">
        <w:t>24, and n. 94.</w:t>
      </w:r>
    </w:p>
  </w:footnote>
  <w:footnote w:id="105">
    <w:p w:rsidR="007D15C3" w:rsidP="007D15C3">
      <w:pPr>
        <w:pStyle w:val="FootnoteText"/>
      </w:pPr>
      <w:r>
        <w:rPr>
          <w:rStyle w:val="FootnoteReference"/>
        </w:rPr>
        <w:footnoteRef/>
      </w:r>
      <w:r>
        <w:t xml:space="preserve"> </w:t>
      </w:r>
      <w:r w:rsidRPr="006358BC">
        <w:t>47 U.S.C. § 159</w:t>
      </w:r>
      <w:r>
        <w:t>(d).</w:t>
      </w:r>
    </w:p>
  </w:footnote>
  <w:footnote w:id="106">
    <w:p w:rsidR="007D15C3" w:rsidRPr="00565E15" w:rsidP="007D15C3">
      <w:pPr>
        <w:pStyle w:val="FootnoteText"/>
      </w:pPr>
      <w:r w:rsidRPr="00565E15">
        <w:rPr>
          <w:rStyle w:val="FootnoteReference"/>
        </w:rPr>
        <w:footnoteRef/>
      </w:r>
      <w:r w:rsidRPr="00565E15">
        <w:t xml:space="preserve"> </w:t>
      </w:r>
      <w:r>
        <w:rPr>
          <w:i/>
          <w:iCs/>
        </w:rPr>
        <w:t>Id.</w:t>
      </w:r>
    </w:p>
  </w:footnote>
  <w:footnote w:id="107">
    <w:p w:rsidR="007D15C3" w:rsidRPr="00565E15" w:rsidP="007D15C3">
      <w:pPr>
        <w:pStyle w:val="FootnoteText"/>
      </w:pPr>
      <w:r w:rsidRPr="00565E15">
        <w:rPr>
          <w:rStyle w:val="FootnoteReference"/>
        </w:rPr>
        <w:footnoteRef/>
      </w:r>
      <w:r w:rsidRPr="00565E15">
        <w:t xml:space="preserve"> 47 U.S.C. § 159</w:t>
      </w:r>
      <w:r>
        <w:t>A(b)(2)</w:t>
      </w:r>
      <w:r w:rsidRPr="00565E15">
        <w:t>.</w:t>
      </w:r>
    </w:p>
  </w:footnote>
  <w:footnote w:id="108">
    <w:p w:rsidR="007D15C3" w:rsidP="007D15C3">
      <w:pPr>
        <w:pStyle w:val="FootnoteText"/>
      </w:pPr>
      <w:r>
        <w:rPr>
          <w:rStyle w:val="FootnoteReference"/>
        </w:rPr>
        <w:footnoteRef/>
      </w:r>
      <w:r>
        <w:t xml:space="preserve"> In FY 2013, the Commission proposed that all Satellite Division FTEs working on issues involving regulatees, 25 FTEs, be considered direct FTEs for determining the regulatory fees for space stations and earth stations.  </w:t>
      </w:r>
      <w:r w:rsidRPr="0057171A">
        <w:rPr>
          <w:i/>
        </w:rPr>
        <w:t xml:space="preserve">FY 2013 </w:t>
      </w:r>
      <w:r w:rsidRPr="00F44823">
        <w:rPr>
          <w:i/>
        </w:rPr>
        <w:t>NPRM</w:t>
      </w:r>
      <w:r>
        <w:t xml:space="preserve">, </w:t>
      </w:r>
      <w:r w:rsidRPr="00F44823">
        <w:t>28</w:t>
      </w:r>
      <w:r>
        <w:t xml:space="preserve"> FCC Rcd at 7800, paras. 22-23.  The Commission further proposed that two FTEs from the Telecommunications and Analysis Division be allocated as direct FTEs for regulatory fee purposes.  </w:t>
      </w:r>
      <w:r w:rsidRPr="006F130E">
        <w:rPr>
          <w:i/>
          <w:iCs/>
        </w:rPr>
        <w:t>Id</w:t>
      </w:r>
      <w:r>
        <w:t xml:space="preserve">. at 7802, para. 27.  The Commission also proposed that the Global Strategy and Negotiation Division would be considered indirect because their activities benefit the Commission as a whole and are not specifically focused on International Bureau regulatees.  </w:t>
      </w:r>
      <w:r w:rsidRPr="006F130E">
        <w:rPr>
          <w:i/>
          <w:iCs/>
        </w:rPr>
        <w:t>Id</w:t>
      </w:r>
      <w:r>
        <w:t xml:space="preserve">. at 7802-803, para. 28.  The Commission adopted the proposal, but revised the number of direct International Bureau FTEs to 28.  </w:t>
      </w:r>
      <w:r w:rsidRPr="006F130E">
        <w:rPr>
          <w:i/>
          <w:iCs/>
        </w:rPr>
        <w:t>Assessment and Collection of FY 2013 Regulatory Fees</w:t>
      </w:r>
      <w:r>
        <w:t>, Report and Order, 28 FCC Rcd 12351, 12355-56, para. 14 (</w:t>
      </w:r>
      <w:r w:rsidRPr="00AB24B3">
        <w:rPr>
          <w:i/>
        </w:rPr>
        <w:t>FY 2013 Report and Order</w:t>
      </w:r>
      <w:r>
        <w:t xml:space="preserve">,).  Then, in 2015, the Commission further reduced the number of direct FTEs in the International Bureau to 24 </w:t>
      </w:r>
      <w:r>
        <w:t>due</w:t>
      </w:r>
      <w:r>
        <w:t xml:space="preserve"> to the number of International Bureau FTEs in the Satellite Division working on non-U.S. licensed space station market access requests.  </w:t>
      </w:r>
      <w:r w:rsidRPr="00A404EB">
        <w:rPr>
          <w:i/>
        </w:rPr>
        <w:t>FY 2015 Report and Order</w:t>
      </w:r>
      <w:r>
        <w:t>, 30 FCC Rcd at 10278, para. 24.</w:t>
      </w:r>
    </w:p>
  </w:footnote>
  <w:footnote w:id="109">
    <w:p w:rsidR="007D15C3" w:rsidRPr="00E9344A" w:rsidP="007D15C3">
      <w:pPr>
        <w:pStyle w:val="FootnoteText"/>
      </w:pPr>
      <w:r>
        <w:rPr>
          <w:rStyle w:val="FootnoteReference"/>
        </w:rPr>
        <w:footnoteRef/>
      </w:r>
      <w:r>
        <w:t xml:space="preserve"> </w:t>
      </w:r>
      <w:r>
        <w:rPr>
          <w:i/>
          <w:iCs/>
        </w:rPr>
        <w:t>FY 2019 Report and Order</w:t>
      </w:r>
      <w:r>
        <w:t>, 34 FCC Rcd at 8197, para. 20.</w:t>
      </w:r>
    </w:p>
  </w:footnote>
  <w:footnote w:id="110">
    <w:p w:rsidR="007D15C3" w:rsidP="007D15C3">
      <w:pPr>
        <w:pStyle w:val="FootnoteText"/>
      </w:pPr>
      <w:r>
        <w:rPr>
          <w:rStyle w:val="FootnoteReference"/>
        </w:rPr>
        <w:footnoteRef/>
      </w:r>
      <w:r>
        <w:t xml:space="preserve"> </w:t>
      </w:r>
      <w:r w:rsidRPr="006F130E">
        <w:rPr>
          <w:i/>
          <w:iCs/>
        </w:rPr>
        <w:t>Id.</w:t>
      </w:r>
      <w:r>
        <w:t xml:space="preserve"> at 8214, para. 67.</w:t>
      </w:r>
    </w:p>
  </w:footnote>
  <w:footnote w:id="111">
    <w:p w:rsidR="007D15C3" w:rsidP="007D15C3">
      <w:pPr>
        <w:pStyle w:val="FootnoteText"/>
      </w:pPr>
      <w:r>
        <w:rPr>
          <w:rStyle w:val="FootnoteReference"/>
        </w:rPr>
        <w:footnoteRef/>
      </w:r>
      <w:r>
        <w:t xml:space="preserve"> Submarine Cable Coalition Comments at 3-4.  T</w:t>
      </w:r>
      <w:r w:rsidRPr="0064502B">
        <w:t xml:space="preserve">he Commission initially </w:t>
      </w:r>
      <w:r>
        <w:t xml:space="preserve">indicated the number of FTEs was two in </w:t>
      </w:r>
      <w:r w:rsidRPr="0064502B">
        <w:t>2013</w:t>
      </w:r>
      <w:r>
        <w:t xml:space="preserve">. </w:t>
      </w:r>
      <w:r w:rsidRPr="0064502B">
        <w:rPr>
          <w:i/>
          <w:iCs/>
        </w:rPr>
        <w:t xml:space="preserve"> </w:t>
      </w:r>
      <w:r w:rsidRPr="00194618">
        <w:rPr>
          <w:i/>
          <w:iCs/>
        </w:rPr>
        <w:t>FY 2013 NPRM</w:t>
      </w:r>
      <w:r>
        <w:t>, 28 FCC Rcd at 7802, para. 27.</w:t>
      </w:r>
    </w:p>
  </w:footnote>
  <w:footnote w:id="112">
    <w:p w:rsidR="007D15C3" w:rsidP="007D15C3">
      <w:pPr>
        <w:pStyle w:val="FootnoteText"/>
      </w:pPr>
      <w:r>
        <w:rPr>
          <w:rStyle w:val="FootnoteReference"/>
        </w:rPr>
        <w:footnoteRef/>
      </w:r>
      <w:r>
        <w:t xml:space="preserve"> </w:t>
      </w:r>
      <w:r w:rsidRPr="009D63B2">
        <w:rPr>
          <w:i/>
        </w:rPr>
        <w:t>FY 2015 Report and Order</w:t>
      </w:r>
      <w:r>
        <w:t>, 30 FCC Rcd 10273, para. 12.</w:t>
      </w:r>
    </w:p>
  </w:footnote>
  <w:footnote w:id="113">
    <w:p w:rsidR="007D15C3" w:rsidP="007D15C3">
      <w:pPr>
        <w:pStyle w:val="FootnoteText"/>
      </w:pPr>
      <w:r>
        <w:rPr>
          <w:rStyle w:val="FootnoteReference"/>
        </w:rPr>
        <w:footnoteRef/>
      </w:r>
      <w:r>
        <w:t xml:space="preserve"> One exception is the work in the Telecommunications and Analysis Division on foreign ownership issues under section 310 of the Communications Act, 47 U.S.C. § 310, which benefits domestic common carrier wireless providers by facilitating foreign investment in wireless carriers. </w:t>
      </w:r>
    </w:p>
  </w:footnote>
  <w:footnote w:id="114">
    <w:p w:rsidR="007D15C3" w:rsidP="007D15C3">
      <w:pPr>
        <w:pStyle w:val="FootnoteText"/>
      </w:pPr>
      <w:r>
        <w:rPr>
          <w:rStyle w:val="FootnoteReference"/>
        </w:rPr>
        <w:footnoteRef/>
      </w:r>
      <w:r>
        <w:t xml:space="preserve"> Submarine Cable Coalition Comments at 4-5.</w:t>
      </w:r>
    </w:p>
  </w:footnote>
  <w:footnote w:id="115">
    <w:p w:rsidR="007D15C3" w:rsidRPr="0035422C" w:rsidP="007D15C3">
      <w:pPr>
        <w:pStyle w:val="FootnoteText"/>
      </w:pPr>
      <w:r>
        <w:rPr>
          <w:rStyle w:val="FootnoteReference"/>
        </w:rPr>
        <w:footnoteRef/>
      </w:r>
      <w:r>
        <w:t xml:space="preserve"> </w:t>
      </w:r>
      <w:r>
        <w:rPr>
          <w:i/>
          <w:iCs/>
        </w:rPr>
        <w:t>FY 2019 Report and Order</w:t>
      </w:r>
      <w:r w:rsidRPr="00FC3992">
        <w:t>,</w:t>
      </w:r>
      <w:r>
        <w:rPr>
          <w:i/>
          <w:iCs/>
        </w:rPr>
        <w:t xml:space="preserve"> </w:t>
      </w:r>
      <w:r w:rsidRPr="00194618">
        <w:t>34 FCC Rcd at 81</w:t>
      </w:r>
      <w:r>
        <w:t>95</w:t>
      </w:r>
      <w:r w:rsidRPr="00194618">
        <w:t>, para</w:t>
      </w:r>
      <w:r>
        <w:t>s</w:t>
      </w:r>
      <w:r w:rsidRPr="00194618">
        <w:t>.</w:t>
      </w:r>
      <w:r>
        <w:rPr>
          <w:i/>
          <w:iCs/>
        </w:rPr>
        <w:t xml:space="preserve"> </w:t>
      </w:r>
      <w:r>
        <w:t>15-18.</w:t>
      </w:r>
    </w:p>
  </w:footnote>
  <w:footnote w:id="116">
    <w:p w:rsidR="007D15C3" w:rsidP="007D15C3">
      <w:pPr>
        <w:pStyle w:val="FootnoteText"/>
      </w:pPr>
      <w:r>
        <w:rPr>
          <w:rStyle w:val="FootnoteReference"/>
        </w:rPr>
        <w:footnoteRef/>
      </w:r>
      <w:r>
        <w:t xml:space="preserve"> </w:t>
      </w:r>
      <w:r w:rsidRPr="006F130E">
        <w:rPr>
          <w:i/>
          <w:iCs/>
        </w:rPr>
        <w:t>Id.</w:t>
      </w:r>
      <w:r>
        <w:t xml:space="preserve"> at 8214, para. 67 (citing Letter from Jennifer A. Manner, Senior Vice President, EchoStar Satellite Operating Corporation and Hughes Network Systems, LLC, to Marlene H. Dortch, Secretary, FCC, MD Docket No. 19-105, Attachment at 1 (filed Aug. 8, 2019) (EchoStar August 8 </w:t>
      </w:r>
      <w:r w:rsidRPr="002F2D5A">
        <w:rPr>
          <w:i/>
        </w:rPr>
        <w:t>Ex Parte</w:t>
      </w:r>
      <w:r>
        <w:rPr>
          <w:i/>
        </w:rPr>
        <w:t xml:space="preserve"> </w:t>
      </w:r>
      <w:r w:rsidRPr="002F2D5A">
        <w:t>Letter</w:t>
      </w:r>
      <w:r>
        <w:t>)).</w:t>
      </w:r>
    </w:p>
  </w:footnote>
  <w:footnote w:id="117">
    <w:p w:rsidR="007D15C3" w:rsidP="007D15C3">
      <w:pPr>
        <w:pStyle w:val="FootnoteText"/>
      </w:pPr>
      <w:r>
        <w:rPr>
          <w:rStyle w:val="FootnoteReference"/>
        </w:rPr>
        <w:footnoteRef/>
      </w:r>
      <w:r>
        <w:t xml:space="preserve"> 47 CFR § 1.1156(a).</w:t>
      </w:r>
    </w:p>
  </w:footnote>
  <w:footnote w:id="118">
    <w:p w:rsidR="007D15C3" w:rsidP="007D15C3">
      <w:pPr>
        <w:pStyle w:val="FootnoteText"/>
      </w:pPr>
      <w:r>
        <w:rPr>
          <w:rStyle w:val="FootnoteReference"/>
        </w:rPr>
        <w:footnoteRef/>
      </w:r>
      <w:r>
        <w:t xml:space="preserve"> GSO Satellite Operators Comments at 1-2.  </w:t>
      </w:r>
    </w:p>
  </w:footnote>
  <w:footnote w:id="119">
    <w:p w:rsidR="007D15C3" w:rsidP="007D15C3">
      <w:pPr>
        <w:pStyle w:val="FootnoteText"/>
      </w:pPr>
      <w:r>
        <w:rPr>
          <w:rStyle w:val="FootnoteReference"/>
        </w:rPr>
        <w:footnoteRef/>
      </w:r>
      <w:r>
        <w:t xml:space="preserve"> </w:t>
      </w:r>
      <w:r w:rsidRPr="006F130E">
        <w:rPr>
          <w:i/>
          <w:iCs/>
        </w:rPr>
        <w:t>Id</w:t>
      </w:r>
      <w:r>
        <w:t xml:space="preserve">. at 2 (citing </w:t>
      </w:r>
      <w:r w:rsidRPr="00514B8F">
        <w:rPr>
          <w:i/>
          <w:iCs/>
        </w:rPr>
        <w:t>FY 2019 Report and Order</w:t>
      </w:r>
      <w:r>
        <w:t>, 34 FCC Rcd at 8223-24, Appendix B).</w:t>
      </w:r>
    </w:p>
  </w:footnote>
  <w:footnote w:id="120">
    <w:p w:rsidR="007D15C3" w:rsidP="007D15C3">
      <w:pPr>
        <w:pStyle w:val="FootnoteText"/>
      </w:pPr>
      <w:r>
        <w:rPr>
          <w:rStyle w:val="FootnoteReference"/>
        </w:rPr>
        <w:footnoteRef/>
      </w:r>
      <w:r>
        <w:t xml:space="preserve"> It may also arise from the fact that the Commission does not assess regulatory fees on licenses that do not have operational satellites associated with them.  Thus, even though there may be an increase in NGSO licensing in recent years, there would not be an increase in regulatory fees if those licensed systems had not yet launched and operated satellites.</w:t>
      </w:r>
    </w:p>
  </w:footnote>
  <w:footnote w:id="121">
    <w:p w:rsidR="007D15C3" w:rsidP="007D15C3">
      <w:pPr>
        <w:pStyle w:val="FootnoteText"/>
      </w:pPr>
      <w:r>
        <w:rPr>
          <w:rStyle w:val="FootnoteReference"/>
        </w:rPr>
        <w:footnoteRef/>
      </w:r>
      <w:r>
        <w:t xml:space="preserve"> </w:t>
      </w:r>
      <w:r w:rsidRPr="0076206B">
        <w:rPr>
          <w:i/>
          <w:iCs/>
        </w:rPr>
        <w:t>See, e.g.,</w:t>
      </w:r>
      <w:r>
        <w:t xml:space="preserve"> </w:t>
      </w:r>
      <w:bookmarkStart w:id="40" w:name="_Hlk1749141"/>
      <w:bookmarkStart w:id="41" w:name="_Hlk4423759"/>
      <w:r w:rsidRPr="00EE71D9">
        <w:rPr>
          <w:i/>
        </w:rPr>
        <w:t>Space Exploration Holdings, LLC,</w:t>
      </w:r>
      <w:bookmarkEnd w:id="40"/>
      <w:r w:rsidRPr="00EE71D9">
        <w:rPr>
          <w:i/>
        </w:rPr>
        <w:t xml:space="preserve"> Application for Approval for Orbital Deployment and Operating Authority for the SpaceX NGSO Satellite System</w:t>
      </w:r>
      <w:r>
        <w:t xml:space="preserve">, </w:t>
      </w:r>
      <w:r w:rsidRPr="00EE71D9">
        <w:t>IBFS File No</w:t>
      </w:r>
      <w:r>
        <w:t>s.</w:t>
      </w:r>
      <w:r w:rsidRPr="00EE71D9">
        <w:rPr>
          <w:sz w:val="22"/>
          <w:szCs w:val="22"/>
        </w:rPr>
        <w:t xml:space="preserve"> </w:t>
      </w:r>
      <w:r w:rsidRPr="00EE71D9">
        <w:t>SAT-LOA-20161115-00118</w:t>
      </w:r>
      <w:r>
        <w:t>,</w:t>
      </w:r>
      <w:r w:rsidRPr="00EE71D9">
        <w:t xml:space="preserve"> </w:t>
      </w:r>
      <w:r w:rsidRPr="001E1544">
        <w:t>SAT−LOA−20170726−00110</w:t>
      </w:r>
      <w:r>
        <w:t xml:space="preserve">, </w:t>
      </w:r>
      <w:r w:rsidRPr="00916C1C">
        <w:t>33 FCC Rcd 3391</w:t>
      </w:r>
      <w:r>
        <w:t xml:space="preserve"> (2018).</w:t>
      </w:r>
      <w:bookmarkEnd w:id="41"/>
    </w:p>
  </w:footnote>
  <w:footnote w:id="122">
    <w:p w:rsidR="007D15C3" w:rsidP="007D15C3">
      <w:pPr>
        <w:pStyle w:val="FootnoteText"/>
      </w:pPr>
      <w:r>
        <w:rPr>
          <w:rStyle w:val="FootnoteReference"/>
        </w:rPr>
        <w:footnoteRef/>
      </w:r>
      <w:r>
        <w:t xml:space="preserve"> The application counts include applications from U.S. and non-U.S. space station operators for new systems, requests for modification or amendment, and requests for special temporary authority.  By reporting the data as part of this proceeding, we address the request of the Satellite Industry Association to provide additional factual detail on fee decisions.  Satellite Industry Association Comments at 17.  </w:t>
      </w:r>
    </w:p>
  </w:footnote>
  <w:footnote w:id="123">
    <w:p w:rsidR="007D15C3" w:rsidP="007D15C3">
      <w:pPr>
        <w:pStyle w:val="FootnoteText"/>
      </w:pPr>
      <w:r>
        <w:rPr>
          <w:rStyle w:val="FootnoteReference"/>
        </w:rPr>
        <w:footnoteRef/>
      </w:r>
      <w:r>
        <w:t xml:space="preserve"> We limited our review to Commission-level items because of their greater precedential value and because they include rulemaking proceedings that affect the industry as a whole, rather than a particular entity.   </w:t>
      </w:r>
    </w:p>
  </w:footnote>
  <w:footnote w:id="124">
    <w:p w:rsidR="007D15C3" w:rsidP="007D15C3">
      <w:pPr>
        <w:pStyle w:val="FootnoteText"/>
      </w:pPr>
      <w:r>
        <w:rPr>
          <w:rStyle w:val="FootnoteReference"/>
        </w:rPr>
        <w:footnoteRef/>
      </w:r>
      <w:r>
        <w:t xml:space="preserve"> Notices of Proposed Rulemakings that resulted in the adoption of an Order within the same three-year period were not included since inclusion could result in double-counting of an eventual benefit.</w:t>
      </w:r>
    </w:p>
  </w:footnote>
  <w:footnote w:id="125">
    <w:p w:rsidR="007D15C3" w:rsidRPr="00C97EB0" w:rsidP="007D15C3">
      <w:pPr>
        <w:tabs>
          <w:tab w:val="center" w:pos="4680"/>
        </w:tabs>
        <w:suppressAutoHyphens/>
        <w:rPr>
          <w:i/>
          <w:iCs/>
          <w:spacing w:val="-2"/>
          <w:sz w:val="20"/>
        </w:rPr>
      </w:pPr>
      <w:r>
        <w:rPr>
          <w:rStyle w:val="FootnoteReference"/>
        </w:rPr>
        <w:footnoteRef/>
      </w:r>
      <w:r>
        <w:t xml:space="preserve"> </w:t>
      </w:r>
      <w:r w:rsidRPr="00770ED1">
        <w:rPr>
          <w:sz w:val="20"/>
        </w:rPr>
        <w:t xml:space="preserve">The following proceedings primarily benefit GSO systems:  (1) </w:t>
      </w:r>
      <w:r w:rsidRPr="00C97EB0">
        <w:rPr>
          <w:i/>
          <w:iCs/>
          <w:spacing w:val="-2"/>
          <w:sz w:val="20"/>
        </w:rPr>
        <w:t>Amendment of the Commission’s Policies and</w:t>
      </w:r>
    </w:p>
    <w:p w:rsidR="007D15C3" w:rsidP="007D15C3">
      <w:r w:rsidRPr="00C97EB0">
        <w:rPr>
          <w:i/>
          <w:iCs/>
          <w:spacing w:val="-2"/>
          <w:sz w:val="20"/>
        </w:rPr>
        <w:t>Rules for Processing Applications in the</w:t>
      </w:r>
      <w:r>
        <w:rPr>
          <w:i/>
          <w:iCs/>
          <w:spacing w:val="-2"/>
          <w:sz w:val="20"/>
        </w:rPr>
        <w:t xml:space="preserve"> </w:t>
      </w:r>
      <w:r w:rsidRPr="00C97EB0">
        <w:rPr>
          <w:i/>
          <w:iCs/>
          <w:spacing w:val="-2"/>
          <w:sz w:val="20"/>
        </w:rPr>
        <w:t>Direct Broadcast Satellite Service</w:t>
      </w:r>
      <w:r>
        <w:rPr>
          <w:spacing w:val="-2"/>
        </w:rPr>
        <w:t xml:space="preserve">, </w:t>
      </w:r>
      <w:r w:rsidRPr="00C97EB0">
        <w:rPr>
          <w:sz w:val="20"/>
        </w:rPr>
        <w:t>Second Report &amp; Order, IB Docket No. 06-160</w:t>
      </w:r>
      <w:r>
        <w:rPr>
          <w:i/>
          <w:iCs/>
          <w:sz w:val="20"/>
        </w:rPr>
        <w:t xml:space="preserve"> </w:t>
      </w:r>
      <w:r w:rsidRPr="00770ED1">
        <w:rPr>
          <w:sz w:val="20"/>
        </w:rPr>
        <w:t xml:space="preserve"> (rel. Sep. 27, 2019); (2) </w:t>
      </w:r>
      <w:r w:rsidRPr="00770ED1">
        <w:rPr>
          <w:i/>
          <w:iCs/>
          <w:sz w:val="20"/>
        </w:rPr>
        <w:t>Further Streamlining</w:t>
      </w:r>
      <w:r>
        <w:rPr>
          <w:i/>
          <w:iCs/>
          <w:sz w:val="20"/>
        </w:rPr>
        <w:t xml:space="preserve"> Part 25 Rules Governing Satellite Services,</w:t>
      </w:r>
      <w:r w:rsidRPr="00770ED1">
        <w:rPr>
          <w:i/>
          <w:iCs/>
          <w:sz w:val="20"/>
        </w:rPr>
        <w:t xml:space="preserve"> </w:t>
      </w:r>
      <w:r w:rsidRPr="00D90006">
        <w:rPr>
          <w:sz w:val="20"/>
        </w:rPr>
        <w:t>Notice of Proposed Rulemaking</w:t>
      </w:r>
      <w:r>
        <w:rPr>
          <w:sz w:val="20"/>
        </w:rPr>
        <w:t>, 33 FCC Rcd 11502</w:t>
      </w:r>
      <w:r w:rsidRPr="00D90006">
        <w:rPr>
          <w:sz w:val="20"/>
        </w:rPr>
        <w:t xml:space="preserve"> </w:t>
      </w:r>
      <w:r w:rsidRPr="00770ED1">
        <w:rPr>
          <w:sz w:val="20"/>
        </w:rPr>
        <w:t xml:space="preserve">(2018); and (3) </w:t>
      </w:r>
      <w:r w:rsidRPr="001949EE">
        <w:rPr>
          <w:i/>
          <w:iCs/>
          <w:sz w:val="20"/>
        </w:rPr>
        <w:t>Facilitating the Communications of Earth Stations in Motion with Non-Geostationary Orbit Space Stations,</w:t>
      </w:r>
      <w:r>
        <w:rPr>
          <w:sz w:val="20"/>
        </w:rPr>
        <w:t xml:space="preserve"> R</w:t>
      </w:r>
      <w:r w:rsidRPr="002F63AD">
        <w:rPr>
          <w:sz w:val="20"/>
        </w:rPr>
        <w:t>eport and Order and Further Notice of Proposed Rulemaking</w:t>
      </w:r>
      <w:r>
        <w:rPr>
          <w:sz w:val="20"/>
        </w:rPr>
        <w:t xml:space="preserve">, 33 FCC Rcd 9327 </w:t>
      </w:r>
      <w:r w:rsidRPr="00770ED1">
        <w:rPr>
          <w:sz w:val="20"/>
        </w:rPr>
        <w:t xml:space="preserve">(2018).  The following rulemaking proceedings primarily benefit NGSO systems: (1) </w:t>
      </w:r>
      <w:r w:rsidRPr="00770ED1">
        <w:rPr>
          <w:i/>
          <w:iCs/>
          <w:sz w:val="20"/>
        </w:rPr>
        <w:t>Mitigation of Orbital Debris</w:t>
      </w:r>
      <w:r>
        <w:rPr>
          <w:i/>
          <w:iCs/>
          <w:sz w:val="20"/>
        </w:rPr>
        <w:t xml:space="preserve"> in the New Space Age</w:t>
      </w:r>
      <w:r>
        <w:rPr>
          <w:sz w:val="20"/>
        </w:rPr>
        <w:t xml:space="preserve">, Notice of Proposed Rulemaking, 33 FCC Rcd 11352 </w:t>
      </w:r>
      <w:r w:rsidRPr="00770ED1">
        <w:rPr>
          <w:sz w:val="20"/>
        </w:rPr>
        <w:t>(</w:t>
      </w:r>
      <w:r>
        <w:rPr>
          <w:sz w:val="20"/>
        </w:rPr>
        <w:t>2019</w:t>
      </w:r>
      <w:r w:rsidRPr="00770ED1">
        <w:rPr>
          <w:sz w:val="20"/>
        </w:rPr>
        <w:t xml:space="preserve">); (2) </w:t>
      </w:r>
      <w:r w:rsidRPr="00770ED1">
        <w:rPr>
          <w:i/>
          <w:iCs/>
          <w:sz w:val="20"/>
        </w:rPr>
        <w:t xml:space="preserve">Streamlining Licensing Procedures for Small Satellites, </w:t>
      </w:r>
      <w:r w:rsidRPr="00572961">
        <w:rPr>
          <w:sz w:val="20"/>
        </w:rPr>
        <w:t>Report and Order,</w:t>
      </w:r>
      <w:r w:rsidRPr="00770ED1">
        <w:rPr>
          <w:sz w:val="20"/>
        </w:rPr>
        <w:t xml:space="preserve"> 34 FCC Rcd 13077</w:t>
      </w:r>
      <w:r>
        <w:rPr>
          <w:sz w:val="20"/>
        </w:rPr>
        <w:t xml:space="preserve"> </w:t>
      </w:r>
      <w:r w:rsidRPr="00770ED1">
        <w:rPr>
          <w:sz w:val="20"/>
        </w:rPr>
        <w:t>(2019); (3</w:t>
      </w:r>
      <w:r w:rsidRPr="006F130E">
        <w:rPr>
          <w:sz w:val="20"/>
        </w:rPr>
        <w:t xml:space="preserve">) </w:t>
      </w:r>
      <w:r w:rsidRPr="005E3CAC">
        <w:rPr>
          <w:i/>
          <w:iCs/>
          <w:color w:val="1D2B3E"/>
          <w:sz w:val="20"/>
        </w:rPr>
        <w:t>Facilitating the Communications of Earth Stations in Motion with Non-Geostationary Orbit Space Stations</w:t>
      </w:r>
      <w:r>
        <w:rPr>
          <w:i/>
          <w:iCs/>
          <w:sz w:val="20"/>
        </w:rPr>
        <w:t xml:space="preserve">, </w:t>
      </w:r>
      <w:r w:rsidRPr="005E3CAC">
        <w:rPr>
          <w:sz w:val="20"/>
        </w:rPr>
        <w:t>Notice of Proposed Rulemaking</w:t>
      </w:r>
      <w:r>
        <w:rPr>
          <w:sz w:val="20"/>
        </w:rPr>
        <w:t>, 33 FCC Rcd 11416</w:t>
      </w:r>
      <w:r w:rsidRPr="00770ED1">
        <w:rPr>
          <w:sz w:val="20"/>
        </w:rPr>
        <w:t xml:space="preserve"> (2018).  One of the six items, </w:t>
      </w:r>
      <w:r w:rsidRPr="00770ED1">
        <w:rPr>
          <w:i/>
          <w:iCs/>
          <w:sz w:val="20"/>
        </w:rPr>
        <w:t>Mitigation of Orbital Debris in the New Space Age</w:t>
      </w:r>
      <w:r w:rsidRPr="00770ED1">
        <w:rPr>
          <w:sz w:val="20"/>
        </w:rPr>
        <w:t>, could be seen as benefitting both GSOs and NGSOs, but since the item largely addresses mitigation of debris resulting from new space operations in NGSOs, it was counted as benefitting NGSO more.</w:t>
      </w:r>
    </w:p>
    <w:p w:rsidR="007D15C3" w:rsidP="007D15C3"/>
  </w:footnote>
  <w:footnote w:id="126">
    <w:p w:rsidR="007D15C3" w:rsidP="007D15C3">
      <w:pPr>
        <w:pStyle w:val="FootnoteText"/>
      </w:pPr>
      <w:r>
        <w:rPr>
          <w:rStyle w:val="FootnoteReference"/>
        </w:rPr>
        <w:footnoteRef/>
      </w:r>
      <w:r>
        <w:t xml:space="preserve"> </w:t>
      </w:r>
      <w:r w:rsidRPr="00E0369D">
        <w:t>Similarly. the International Bureau also does not separate FTEs by work done on U.S</w:t>
      </w:r>
      <w:r>
        <w:t xml:space="preserve"> </w:t>
      </w:r>
      <w:r w:rsidRPr="00E0369D">
        <w:t>licensed versus non-U.S. licensed space stations.  Most</w:t>
      </w:r>
      <w:r>
        <w:t xml:space="preserve"> regulatory activities</w:t>
      </w:r>
      <w:r w:rsidRPr="00E0369D">
        <w:t xml:space="preserve"> benefit all space stations</w:t>
      </w:r>
      <w:r>
        <w:t>,</w:t>
      </w:r>
      <w:r w:rsidRPr="00E0369D">
        <w:t xml:space="preserve"> whether U.S licensed or not</w:t>
      </w:r>
      <w:r>
        <w:t xml:space="preserve">. </w:t>
      </w:r>
      <w:r w:rsidRPr="00E0369D">
        <w:t xml:space="preserve"> </w:t>
      </w:r>
    </w:p>
  </w:footnote>
  <w:footnote w:id="127">
    <w:p w:rsidR="007D15C3" w:rsidP="007D15C3">
      <w:pPr>
        <w:pStyle w:val="FootnoteText"/>
      </w:pPr>
      <w:r>
        <w:rPr>
          <w:rStyle w:val="FootnoteReference"/>
        </w:rPr>
        <w:footnoteRef/>
      </w:r>
      <w:r>
        <w:t xml:space="preserve"> GSO Satellite Operators Comments, at 4; SIA Comments at 9.  </w:t>
      </w:r>
    </w:p>
  </w:footnote>
  <w:footnote w:id="128">
    <w:p w:rsidR="007D15C3" w:rsidP="007D15C3">
      <w:pPr>
        <w:pStyle w:val="FootnoteText"/>
      </w:pPr>
      <w:r>
        <w:rPr>
          <w:rStyle w:val="FootnoteReference"/>
        </w:rPr>
        <w:footnoteRef/>
      </w:r>
      <w:r>
        <w:t xml:space="preserve"> GSO Satellite Operators Comments at 4.</w:t>
      </w:r>
    </w:p>
  </w:footnote>
  <w:footnote w:id="129">
    <w:p w:rsidR="007D15C3" w:rsidP="007D15C3">
      <w:pPr>
        <w:pStyle w:val="FootnoteText"/>
      </w:pPr>
      <w:r>
        <w:rPr>
          <w:rStyle w:val="FootnoteReference"/>
        </w:rPr>
        <w:footnoteRef/>
      </w:r>
      <w:r>
        <w:t xml:space="preserve"> </w:t>
      </w:r>
      <w:r w:rsidRPr="006F130E">
        <w:rPr>
          <w:i/>
          <w:iCs/>
        </w:rPr>
        <w:t>Id</w:t>
      </w:r>
      <w:r>
        <w:t>.</w:t>
      </w:r>
    </w:p>
  </w:footnote>
  <w:footnote w:id="130">
    <w:p w:rsidR="007D15C3" w:rsidP="007D15C3">
      <w:pPr>
        <w:pStyle w:val="FootnoteText"/>
      </w:pPr>
      <w:r>
        <w:rPr>
          <w:rStyle w:val="FootnoteReference"/>
        </w:rPr>
        <w:footnoteRef/>
      </w:r>
      <w:r>
        <w:t xml:space="preserve"> </w:t>
      </w:r>
      <w:r w:rsidRPr="006F130E">
        <w:rPr>
          <w:i/>
          <w:iCs/>
        </w:rPr>
        <w:t>Id</w:t>
      </w:r>
      <w:r>
        <w:t>.</w:t>
      </w:r>
    </w:p>
  </w:footnote>
  <w:footnote w:id="131">
    <w:p w:rsidR="007D15C3" w:rsidP="007D15C3">
      <w:pPr>
        <w:pStyle w:val="FootnoteText"/>
      </w:pPr>
      <w:r>
        <w:rPr>
          <w:rStyle w:val="FootnoteReference"/>
        </w:rPr>
        <w:footnoteRef/>
      </w:r>
      <w:r>
        <w:t xml:space="preserve"> </w:t>
      </w:r>
      <w:r w:rsidRPr="006F130E">
        <w:rPr>
          <w:i/>
          <w:iCs/>
        </w:rPr>
        <w:t>Id.</w:t>
      </w:r>
      <w:r>
        <w:t xml:space="preserve"> (citing </w:t>
      </w:r>
      <w:r w:rsidRPr="00FA3F44">
        <w:rPr>
          <w:i/>
          <w:iCs/>
        </w:rPr>
        <w:t>Amendment of Parts 2 and 25 of the Commission’s Rules to Facilitate the Use of Earth Stations in Motion Communicating with Geostationary Orbit Space Stations in Frequency Bands Allocated to the Fixed-Satellite Service</w:t>
      </w:r>
      <w:r>
        <w:t xml:space="preserve">, Notice of Proposed Rulemaking, 32 FCC Rcd 4239 (2017); </w:t>
      </w:r>
      <w:r w:rsidRPr="00FA3F44">
        <w:rPr>
          <w:i/>
          <w:iCs/>
        </w:rPr>
        <w:t>Facilitating the Communications of Earth Stations in Motion with Non-Geostationary Orbit Space Stations</w:t>
      </w:r>
      <w:r>
        <w:t xml:space="preserve">, Notice of Proposed Rulemaking, </w:t>
      </w:r>
      <w:r w:rsidRPr="0057751A">
        <w:t xml:space="preserve">33 FCC Rcd 11416 </w:t>
      </w:r>
      <w:r>
        <w:t>(2018).</w:t>
      </w:r>
    </w:p>
  </w:footnote>
  <w:footnote w:id="132">
    <w:p w:rsidR="007D15C3" w:rsidP="007D15C3">
      <w:pPr>
        <w:pStyle w:val="FootnoteText"/>
      </w:pPr>
      <w:r>
        <w:rPr>
          <w:rStyle w:val="FootnoteReference"/>
        </w:rPr>
        <w:footnoteRef/>
      </w:r>
      <w:r>
        <w:t xml:space="preserve"> GSO Satellite Operators Comments at 4.</w:t>
      </w:r>
    </w:p>
  </w:footnote>
  <w:footnote w:id="133">
    <w:p w:rsidR="007D15C3" w:rsidP="007D15C3">
      <w:pPr>
        <w:pStyle w:val="FootnoteText"/>
      </w:pPr>
      <w:r>
        <w:rPr>
          <w:rStyle w:val="FootnoteReference"/>
        </w:rPr>
        <w:footnoteRef/>
      </w:r>
      <w:r>
        <w:t xml:space="preserve"> </w:t>
      </w:r>
      <w:r w:rsidRPr="006F130E">
        <w:rPr>
          <w:i/>
          <w:iCs/>
        </w:rPr>
        <w:t>Id.</w:t>
      </w:r>
      <w:r>
        <w:t xml:space="preserve"> at 4-5.</w:t>
      </w:r>
    </w:p>
  </w:footnote>
  <w:footnote w:id="134">
    <w:p w:rsidR="007D15C3" w:rsidP="007D15C3">
      <w:pPr>
        <w:pStyle w:val="FootnoteText"/>
      </w:pPr>
      <w:r>
        <w:rPr>
          <w:rStyle w:val="FootnoteReference"/>
        </w:rPr>
        <w:footnoteRef/>
      </w:r>
      <w:r>
        <w:t xml:space="preserve"> The GSO Satellite Operators cite section 159(g) of Title 47 of the United States Code in support, which was repealed in 2018.  GSO Satellite Operators Comments at 5 n.12.  Section 159(g) was entitled “Application of Application Fees” and addressed the separate issue of FCC filing fees, not regulatory fees.</w:t>
      </w:r>
    </w:p>
  </w:footnote>
  <w:footnote w:id="135">
    <w:p w:rsidR="007D15C3" w:rsidP="007D15C3">
      <w:pPr>
        <w:pStyle w:val="FootnoteText"/>
      </w:pPr>
      <w:r>
        <w:rPr>
          <w:rStyle w:val="FootnoteReference"/>
        </w:rPr>
        <w:footnoteRef/>
      </w:r>
      <w:r>
        <w:t xml:space="preserve"> </w:t>
      </w:r>
      <w:r w:rsidRPr="00317656">
        <w:rPr>
          <w:i/>
        </w:rPr>
        <w:t xml:space="preserve">Assessment and Collection of Regulatory Fees for Fiscal Year </w:t>
      </w:r>
      <w:r w:rsidRPr="00A64500">
        <w:rPr>
          <w:i/>
        </w:rPr>
        <w:t>2018</w:t>
      </w:r>
      <w:r>
        <w:rPr>
          <w:i/>
        </w:rPr>
        <w:t xml:space="preserve">, </w:t>
      </w:r>
      <w:r w:rsidRPr="002C7C70">
        <w:rPr>
          <w:iCs/>
        </w:rPr>
        <w:t>Report and Order and Order</w:t>
      </w:r>
      <w:r>
        <w:t>, 33 FCC Rcd 8497, 8501-8502, paras. 13-15 (2018) (</w:t>
      </w:r>
      <w:r>
        <w:rPr>
          <w:i/>
        </w:rPr>
        <w:t>FY 2018 Report and Order</w:t>
      </w:r>
      <w:r>
        <w:t>).</w:t>
      </w:r>
    </w:p>
  </w:footnote>
  <w:footnote w:id="136">
    <w:p w:rsidR="007D15C3" w:rsidP="007D15C3">
      <w:pPr>
        <w:pStyle w:val="FootnoteText"/>
      </w:pPr>
      <w:r>
        <w:rPr>
          <w:rStyle w:val="FootnoteReference"/>
        </w:rPr>
        <w:footnoteRef/>
      </w:r>
      <w:r>
        <w:t xml:space="preserve"> </w:t>
      </w:r>
      <w:r w:rsidRPr="00083FB4">
        <w:rPr>
          <w:i/>
          <w:iCs/>
        </w:rPr>
        <w:t>Id</w:t>
      </w:r>
      <w:r>
        <w:t xml:space="preserve">. </w:t>
      </w:r>
    </w:p>
  </w:footnote>
  <w:footnote w:id="137">
    <w:p w:rsidR="007D15C3" w:rsidP="007D15C3">
      <w:pPr>
        <w:pStyle w:val="FootnoteText"/>
      </w:pPr>
      <w:r>
        <w:rPr>
          <w:rStyle w:val="FootnoteReference"/>
        </w:rPr>
        <w:footnoteRef/>
      </w:r>
      <w:r>
        <w:t xml:space="preserve"> </w:t>
      </w:r>
      <w:r>
        <w:rPr>
          <w:i/>
          <w:iCs/>
        </w:rPr>
        <w:t>FY 2019 Report and Order</w:t>
      </w:r>
      <w:r>
        <w:t>, 34 FCC Rcd at 8214-15, para. 68.</w:t>
      </w:r>
    </w:p>
  </w:footnote>
  <w:footnote w:id="138">
    <w:p w:rsidR="007D15C3" w:rsidP="007D15C3">
      <w:pPr>
        <w:pStyle w:val="FootnoteText"/>
      </w:pPr>
      <w:r>
        <w:rPr>
          <w:rStyle w:val="FootnoteReference"/>
        </w:rPr>
        <w:footnoteRef/>
      </w:r>
      <w:r>
        <w:t xml:space="preserve"> </w:t>
      </w:r>
      <w:r w:rsidRPr="00083FB4">
        <w:rPr>
          <w:i/>
          <w:iCs/>
        </w:rPr>
        <w:t>Id.</w:t>
      </w:r>
    </w:p>
  </w:footnote>
  <w:footnote w:id="139">
    <w:p w:rsidR="007D15C3" w:rsidP="007D15C3">
      <w:pPr>
        <w:pStyle w:val="FootnoteText"/>
      </w:pPr>
      <w:r>
        <w:rPr>
          <w:rStyle w:val="FootnoteReference"/>
        </w:rPr>
        <w:footnoteRef/>
      </w:r>
      <w:r>
        <w:t xml:space="preserve"> NAB Comments at 2.</w:t>
      </w:r>
    </w:p>
  </w:footnote>
  <w:footnote w:id="140">
    <w:p w:rsidR="007D15C3" w:rsidP="007D15C3">
      <w:pPr>
        <w:pStyle w:val="FootnoteText"/>
      </w:pPr>
      <w:r>
        <w:rPr>
          <w:rStyle w:val="FootnoteReference"/>
        </w:rPr>
        <w:footnoteRef/>
      </w:r>
      <w:r>
        <w:t xml:space="preserve"> NAB Comments at 3-4; </w:t>
      </w:r>
      <w:r w:rsidRPr="006900A4">
        <w:t xml:space="preserve">NAB suggests </w:t>
      </w:r>
      <w:r w:rsidRPr="0058703B">
        <w:t>a station’s original DTV contour is a more accurate reflection of a VHF station’s actual coverage and population reach.</w:t>
      </w:r>
      <w:r>
        <w:rPr>
          <w:sz w:val="23"/>
          <w:szCs w:val="23"/>
        </w:rPr>
        <w:t xml:space="preserve"> </w:t>
      </w:r>
      <w:r w:rsidRPr="007A58BF">
        <w:t xml:space="preserve"> </w:t>
      </w:r>
      <w:r>
        <w:rPr>
          <w:i/>
          <w:iCs/>
        </w:rPr>
        <w:t>S</w:t>
      </w:r>
      <w:r w:rsidRPr="00CB51D2">
        <w:rPr>
          <w:i/>
          <w:iCs/>
        </w:rPr>
        <w:t>ee also</w:t>
      </w:r>
      <w:r>
        <w:t xml:space="preserve"> Maranatha Broadcasting Comments at 1-4.</w:t>
      </w:r>
    </w:p>
  </w:footnote>
  <w:footnote w:id="141">
    <w:p w:rsidR="007D15C3" w:rsidP="007D15C3">
      <w:pPr>
        <w:pStyle w:val="FootnoteText"/>
      </w:pPr>
      <w:r>
        <w:rPr>
          <w:rStyle w:val="FootnoteReference"/>
        </w:rPr>
        <w:footnoteRef/>
      </w:r>
      <w:r>
        <w:t xml:space="preserve"> PMCM Comments at 4.  PMCM TV and Maranatha Broadcasting observe that the advertising revenues for TV are based on the DMA where the station is located, because that is where most of the audience is, and not on the population outside the DMA that may also be able to reach the station.  PMCM TV Comments at 4; Maranatha Broadcasting Comments at 5.</w:t>
      </w:r>
    </w:p>
  </w:footnote>
  <w:footnote w:id="142">
    <w:p w:rsidR="007D15C3" w:rsidP="007D15C3">
      <w:pPr>
        <w:pStyle w:val="FootnoteText"/>
      </w:pPr>
      <w:r>
        <w:rPr>
          <w:rStyle w:val="FootnoteReference"/>
        </w:rPr>
        <w:footnoteRef/>
      </w:r>
      <w:r>
        <w:t xml:space="preserve"> Maranatha Broadcasting Comments at 6-7.  </w:t>
      </w:r>
      <w:r w:rsidRPr="006F130E">
        <w:rPr>
          <w:i/>
          <w:iCs/>
        </w:rPr>
        <w:t>See also</w:t>
      </w:r>
      <w:r>
        <w:t xml:space="preserve"> Letter from Barry Fisher, President, Maranatha Broadcasting Company, Inc., to Marlene H. Dortch, Secretary, FCC, MD Docket No. 19-105, (filed May 1,2020).</w:t>
      </w:r>
    </w:p>
  </w:footnote>
  <w:footnote w:id="143">
    <w:p w:rsidR="007D15C3" w:rsidP="007D15C3">
      <w:pPr>
        <w:pStyle w:val="FootnoteText"/>
      </w:pPr>
      <w:r>
        <w:rPr>
          <w:rStyle w:val="FootnoteReference"/>
        </w:rPr>
        <w:footnoteRef/>
      </w:r>
      <w:r>
        <w:t xml:space="preserve"> </w:t>
      </w:r>
      <w:r w:rsidRPr="00557C98">
        <w:t>Maran</w:t>
      </w:r>
      <w:r>
        <w:t>a</w:t>
      </w:r>
      <w:r w:rsidRPr="00557C98">
        <w:t>tha Broadcasting Comment</w:t>
      </w:r>
      <w:r>
        <w:t>s at 7.</w:t>
      </w:r>
    </w:p>
  </w:footnote>
  <w:footnote w:id="144">
    <w:p w:rsidR="007D15C3" w:rsidP="007D15C3">
      <w:pPr>
        <w:pStyle w:val="FootnoteText"/>
      </w:pPr>
      <w:r>
        <w:rPr>
          <w:rStyle w:val="FootnoteReference"/>
        </w:rPr>
        <w:footnoteRef/>
      </w:r>
      <w:r>
        <w:t xml:space="preserve"> </w:t>
      </w:r>
      <w:r w:rsidRPr="006358BC">
        <w:t>47 U.S.C. § 159</w:t>
      </w:r>
      <w:r>
        <w:t>(d).</w:t>
      </w:r>
    </w:p>
  </w:footnote>
  <w:footnote w:id="145">
    <w:p w:rsidR="007D15C3" w:rsidP="007D15C3">
      <w:pPr>
        <w:pStyle w:val="FootnoteText"/>
      </w:pPr>
      <w:r>
        <w:rPr>
          <w:rStyle w:val="FootnoteReference"/>
        </w:rPr>
        <w:footnoteRef/>
      </w:r>
      <w:r>
        <w:t xml:space="preserve"> Regulatory fees under section 9 of the Act recover the total amount provided for in the Commission’s appropriation.  47 U.S.C. </w:t>
      </w:r>
      <w:r w:rsidRPr="006358BC">
        <w:t>§ 159</w:t>
      </w:r>
      <w:r>
        <w:t>(a), (b).  Auctions expenses are not included in the appropriation.</w:t>
      </w:r>
    </w:p>
  </w:footnote>
  <w:footnote w:id="146">
    <w:p w:rsidR="007D15C3" w:rsidP="007D15C3">
      <w:pPr>
        <w:pStyle w:val="FootnoteText"/>
      </w:pPr>
      <w:r>
        <w:rPr>
          <w:rStyle w:val="FootnoteReference"/>
        </w:rPr>
        <w:footnoteRef/>
      </w:r>
      <w:r>
        <w:t xml:space="preserve"> </w:t>
      </w:r>
      <w:r w:rsidRPr="000A78D5">
        <w:rPr>
          <w:i/>
          <w:iCs/>
        </w:rPr>
        <w:t>See</w:t>
      </w:r>
      <w:r>
        <w:t xml:space="preserve"> Appendix G.</w:t>
      </w:r>
    </w:p>
  </w:footnote>
  <w:footnote w:id="147">
    <w:p w:rsidR="007D15C3" w:rsidP="007D15C3">
      <w:pPr>
        <w:pStyle w:val="FootnoteText"/>
      </w:pPr>
      <w:r>
        <w:rPr>
          <w:rStyle w:val="FootnoteReference"/>
        </w:rPr>
        <w:footnoteRef/>
      </w:r>
      <w:r>
        <w:t xml:space="preserve"> </w:t>
      </w:r>
      <w:r w:rsidRPr="000A78D5">
        <w:rPr>
          <w:i/>
          <w:iCs/>
        </w:rPr>
        <w:t>See</w:t>
      </w:r>
      <w:r>
        <w:t xml:space="preserve"> Appendix D.</w:t>
      </w:r>
    </w:p>
  </w:footnote>
  <w:footnote w:id="148">
    <w:p w:rsidR="007D15C3" w:rsidP="007D15C3">
      <w:pPr>
        <w:pStyle w:val="FootnoteText"/>
      </w:pPr>
      <w:r>
        <w:rPr>
          <w:rStyle w:val="FootnoteReference"/>
        </w:rPr>
        <w:footnoteRef/>
      </w:r>
      <w:r>
        <w:t xml:space="preserve"> </w:t>
      </w:r>
      <w:r w:rsidRPr="00AD169D">
        <w:rPr>
          <w:i/>
          <w:iCs/>
        </w:rPr>
        <w:t>See</w:t>
      </w:r>
      <w:r w:rsidRPr="00AD169D">
        <w:t xml:space="preserve"> </w:t>
      </w:r>
      <w:r w:rsidRPr="002C7C70">
        <w:t>Appendix C.</w:t>
      </w:r>
    </w:p>
  </w:footnote>
  <w:footnote w:id="149">
    <w:p w:rsidR="007D15C3" w:rsidP="007D15C3">
      <w:pPr>
        <w:pStyle w:val="FootnoteText"/>
      </w:pPr>
      <w:r>
        <w:rPr>
          <w:rStyle w:val="FootnoteReference"/>
        </w:rPr>
        <w:footnoteRef/>
      </w:r>
      <w:r>
        <w:t xml:space="preserve"> The phrase core bureaus was first adopted in the </w:t>
      </w:r>
      <w:r w:rsidRPr="00A1340D">
        <w:rPr>
          <w:i/>
        </w:rPr>
        <w:t>FY 2012 NPRM</w:t>
      </w:r>
      <w:r>
        <w:t xml:space="preserve"> where the Commission explained that under (prior) section 9(b)(1)(A), the Commission was instructed to calculate the regulatory fees by determining the FTEs performing the activities enumerated in section 9(a)(1) within the Private Radio Bureau, Mass Media Bureau, and Common Carrier Bureau, and other offices of the Commission, and those bureaus had subsequently been renamed as the Wireless Telecommunications Bureau, Media Bureau, and Wireline Competition Bureau, and a new International Bureau had been formed.  </w:t>
      </w:r>
      <w:r w:rsidRPr="00A1340D">
        <w:rPr>
          <w:i/>
        </w:rPr>
        <w:t>FY 2012 NPRM</w:t>
      </w:r>
      <w:r w:rsidRPr="00A1103B">
        <w:t xml:space="preserve">, </w:t>
      </w:r>
      <w:r>
        <w:t>27</w:t>
      </w:r>
      <w:r w:rsidRPr="00A1103B">
        <w:t xml:space="preserve"> FCC Rcd </w:t>
      </w:r>
      <w:r>
        <w:t xml:space="preserve">at 8460, para. 5 &amp; n.5.  The Commission explained that “[f]or simplicity and ease of reference, in this Notice we will refer to these four bureaus as the ‘core’ bureaus or the ‘core licensing’ bureaus.”  </w:t>
      </w:r>
      <w:r w:rsidRPr="004A56AB">
        <w:rPr>
          <w:i/>
        </w:rPr>
        <w:t>Id.</w:t>
      </w:r>
      <w:r>
        <w:rPr>
          <w:i/>
        </w:rPr>
        <w:t xml:space="preserve">    </w:t>
      </w:r>
    </w:p>
  </w:footnote>
  <w:footnote w:id="150">
    <w:p w:rsidR="007D15C3" w:rsidRPr="00CF6908" w:rsidP="007D15C3">
      <w:pPr>
        <w:pStyle w:val="FootnoteText"/>
      </w:pPr>
      <w:r>
        <w:rPr>
          <w:rStyle w:val="FootnoteReference"/>
        </w:rPr>
        <w:footnoteRef/>
      </w:r>
      <w:r>
        <w:t xml:space="preserve"> The indirect FTEs are the non-auctions-funded employees from the following bureaus and offices:  Enforcement Bureau, Consumer and Governmental Affairs Bureau, Public Safety and Homeland Security Bureau, part of the International Bureau, part of the Wireline Competition Bureau, Chairman and Commissioners’ offices, Office of the Managing Director, Office of General Counsel, Office of the Inspector General, Office of Communications Business Opportunities, Office of Engineering and Technology, Office of Legislative Affairs, Office of Workplace Diversity, </w:t>
      </w:r>
      <w:r w:rsidRPr="00CF6908">
        <w:t xml:space="preserve">Office of Media Relations, Office of Economics and Analytics, and Office of Administrative Law Judges.  </w:t>
      </w:r>
    </w:p>
  </w:footnote>
  <w:footnote w:id="151">
    <w:p w:rsidR="007D15C3" w:rsidP="007D15C3">
      <w:pPr>
        <w:pStyle w:val="FootnoteText"/>
      </w:pPr>
      <w:r>
        <w:rPr>
          <w:rStyle w:val="FootnoteReference"/>
        </w:rPr>
        <w:footnoteRef/>
      </w:r>
      <w:r>
        <w:t xml:space="preserve"> The Commission observed in the </w:t>
      </w:r>
      <w:r w:rsidRPr="00D23917">
        <w:rPr>
          <w:i/>
        </w:rPr>
        <w:t>FY 2013 Report and Order</w:t>
      </w:r>
      <w:r>
        <w:t xml:space="preserve"> that “the high percentage of the indirect FTEs is indicative of the fact that many Commission activities and costs are not limited to a particular fee category and instead benefit the Commission as a whole.”  </w:t>
      </w:r>
      <w:r w:rsidRPr="00D23917">
        <w:rPr>
          <w:i/>
        </w:rPr>
        <w:t xml:space="preserve">See </w:t>
      </w:r>
      <w:r>
        <w:rPr>
          <w:i/>
        </w:rPr>
        <w:t>FY 2013</w:t>
      </w:r>
      <w:r w:rsidRPr="008A4B2E">
        <w:rPr>
          <w:i/>
        </w:rPr>
        <w:t xml:space="preserve"> Report and Order</w:t>
      </w:r>
      <w:r>
        <w:t>, 28</w:t>
      </w:r>
      <w:r w:rsidRPr="00A1103B">
        <w:t xml:space="preserve"> FCC Rcd</w:t>
      </w:r>
      <w:r>
        <w:t xml:space="preserve"> at 12357, para. 17</w:t>
      </w:r>
      <w:r w:rsidRPr="00A1103B">
        <w:t>.</w:t>
      </w:r>
      <w:r w:rsidRPr="003216AF">
        <w:rPr>
          <w:szCs w:val="22"/>
        </w:rPr>
        <w:t xml:space="preserve"> </w:t>
      </w:r>
      <w:r>
        <w:rPr>
          <w:szCs w:val="22"/>
        </w:rPr>
        <w:t xml:space="preserve"> The new Office of Economics and Analytics consists of indirect FTEs.</w:t>
      </w:r>
    </w:p>
  </w:footnote>
  <w:footnote w:id="152">
    <w:p w:rsidR="007D15C3" w:rsidRPr="00A1103B" w:rsidP="007D15C3">
      <w:pPr>
        <w:pStyle w:val="FootnoteText"/>
      </w:pPr>
      <w:r w:rsidRPr="00A1103B">
        <w:rPr>
          <w:rStyle w:val="FootnoteReference"/>
        </w:rPr>
        <w:footnoteRef/>
      </w:r>
      <w:r w:rsidRPr="00A1103B">
        <w:t xml:space="preserve"> </w:t>
      </w:r>
      <w:r w:rsidRPr="00C82293">
        <w:rPr>
          <w:i/>
        </w:rPr>
        <w:t>S</w:t>
      </w:r>
      <w:r w:rsidRPr="0088462E">
        <w:rPr>
          <w:i/>
        </w:rPr>
        <w:t xml:space="preserve">ee </w:t>
      </w:r>
      <w:r w:rsidRPr="00A1103B">
        <w:rPr>
          <w:i/>
        </w:rPr>
        <w:t>FY 2012 NPRM</w:t>
      </w:r>
      <w:r w:rsidRPr="00A1103B">
        <w:t xml:space="preserve">, 27 FCC Rcd </w:t>
      </w:r>
      <w:r>
        <w:t xml:space="preserve">at 8461-62, paras. 8-11.  </w:t>
      </w:r>
    </w:p>
  </w:footnote>
  <w:footnote w:id="153">
    <w:p w:rsidR="007D15C3" w:rsidP="007D15C3">
      <w:pPr>
        <w:pStyle w:val="FootnoteText"/>
      </w:pPr>
      <w:r>
        <w:rPr>
          <w:rStyle w:val="FootnoteReference"/>
        </w:rPr>
        <w:footnoteRef/>
      </w:r>
      <w:r>
        <w:t xml:space="preserve"> </w:t>
      </w:r>
      <w:r>
        <w:rPr>
          <w:szCs w:val="22"/>
        </w:rPr>
        <w:t>R</w:t>
      </w:r>
      <w:r w:rsidRPr="0000664D">
        <w:rPr>
          <w:szCs w:val="22"/>
        </w:rPr>
        <w:t>egulatory fees for terrestrial and satellite IBCs are paid based on active (used or leased) international bearer circuits as of December 31</w:t>
      </w:r>
      <w:r>
        <w:rPr>
          <w:szCs w:val="22"/>
        </w:rPr>
        <w:t xml:space="preserve"> of the previous year</w:t>
      </w:r>
      <w:r w:rsidRPr="0000664D">
        <w:rPr>
          <w:szCs w:val="22"/>
        </w:rPr>
        <w:t xml:space="preserve"> in any terrestrial or satellite transmission facility for the provision of service to an end user or resale carrier.  </w:t>
      </w:r>
      <w:r>
        <w:rPr>
          <w:szCs w:val="22"/>
        </w:rPr>
        <w:t>A</w:t>
      </w:r>
      <w:r w:rsidRPr="0000664D">
        <w:rPr>
          <w:szCs w:val="22"/>
        </w:rPr>
        <w:t>ctive circuits include backup and redundant circuits as of December 31.  Whether circuits are used specifically for voice or data is not relevant for purposes of determining that they are active circuits.</w:t>
      </w:r>
    </w:p>
  </w:footnote>
  <w:footnote w:id="154">
    <w:p w:rsidR="007D15C3" w:rsidRPr="001E46EC" w:rsidP="007D15C3">
      <w:pPr>
        <w:pStyle w:val="FootnoteText"/>
      </w:pPr>
      <w:r>
        <w:rPr>
          <w:rStyle w:val="FootnoteReference"/>
        </w:rPr>
        <w:footnoteRef/>
      </w:r>
      <w:r>
        <w:t xml:space="preserve"> </w:t>
      </w:r>
      <w:r>
        <w:rPr>
          <w:i/>
        </w:rPr>
        <w:t>Assessment and Collection of Regulatory Fees for Fiscal Year 2008</w:t>
      </w:r>
      <w:r>
        <w:t>, Second Report and Order, 24 FCC Rcd 4208, 4214-17, paras. 13-22 (2009) (</w:t>
      </w:r>
      <w:r>
        <w:rPr>
          <w:i/>
        </w:rPr>
        <w:t>Submarine Cable Order</w:t>
      </w:r>
      <w:r>
        <w:t xml:space="preserve">).  The Commission did not change the methodology of assessing regulatory fees for terrestrial and satellite facilities on a per bearer circuit basis.  </w:t>
      </w:r>
      <w:r>
        <w:rPr>
          <w:i/>
          <w:iCs/>
        </w:rPr>
        <w:t>Id.</w:t>
      </w:r>
      <w:r>
        <w:t xml:space="preserve"> at 4223, para. 20.</w:t>
      </w:r>
    </w:p>
  </w:footnote>
  <w:footnote w:id="155">
    <w:p w:rsidR="007D15C3" w:rsidP="007D15C3">
      <w:pPr>
        <w:pStyle w:val="FootnoteText"/>
      </w:pPr>
      <w:r>
        <w:rPr>
          <w:rStyle w:val="FootnoteReference"/>
        </w:rPr>
        <w:footnoteRef/>
      </w:r>
      <w:r>
        <w:t xml:space="preserve"> </w:t>
      </w:r>
      <w:r w:rsidRPr="006F130E">
        <w:rPr>
          <w:i/>
          <w:iCs/>
        </w:rPr>
        <w:t>Id.</w:t>
      </w:r>
      <w:r>
        <w:t xml:space="preserve"> at 4212-13, paras. 8-9.</w:t>
      </w:r>
    </w:p>
  </w:footnote>
  <w:footnote w:id="156">
    <w:p w:rsidR="007D15C3" w:rsidP="007D15C3">
      <w:pPr>
        <w:pStyle w:val="FootnoteText"/>
      </w:pPr>
      <w:r>
        <w:rPr>
          <w:rStyle w:val="FootnoteReference"/>
        </w:rPr>
        <w:footnoteRef/>
      </w:r>
      <w:r>
        <w:t xml:space="preserve"> Initially, this fee category was for common carrier IBCs.  The Commission added non-common carrier satellite IBCs to this regulatory fee category in 1997.  </w:t>
      </w:r>
      <w:r w:rsidRPr="00EE58D5">
        <w:rPr>
          <w:i/>
        </w:rPr>
        <w:t>See</w:t>
      </w:r>
      <w:r w:rsidRPr="004264F2">
        <w:rPr>
          <w:i/>
          <w:szCs w:val="22"/>
        </w:rPr>
        <w:t xml:space="preserve"> </w:t>
      </w:r>
      <w:r>
        <w:rPr>
          <w:i/>
          <w:szCs w:val="22"/>
        </w:rPr>
        <w:t xml:space="preserve">FY 1997 Report and </w:t>
      </w:r>
      <w:r w:rsidRPr="00FB428B">
        <w:rPr>
          <w:i/>
          <w:szCs w:val="22"/>
        </w:rPr>
        <w:t>Order</w:t>
      </w:r>
      <w:r>
        <w:rPr>
          <w:szCs w:val="22"/>
        </w:rPr>
        <w:t xml:space="preserve">, 12 FCC Rcd at 17189, para. 71.  More recently, the Commission added non-common carrier terrestrial IBCs to this regulatory fee category in 2017.  </w:t>
      </w:r>
      <w:r w:rsidRPr="00B400CE">
        <w:rPr>
          <w:i/>
          <w:szCs w:val="22"/>
        </w:rPr>
        <w:t>See</w:t>
      </w:r>
      <w:r w:rsidRPr="00B400CE">
        <w:rPr>
          <w:i/>
        </w:rPr>
        <w:t xml:space="preserve"> </w:t>
      </w:r>
      <w:r w:rsidRPr="00D92F25">
        <w:rPr>
          <w:i/>
          <w:iCs/>
        </w:rPr>
        <w:t xml:space="preserve">Assessment and Collection of Regulatory Fees </w:t>
      </w:r>
      <w:r>
        <w:rPr>
          <w:i/>
          <w:iCs/>
        </w:rPr>
        <w:t xml:space="preserve">for </w:t>
      </w:r>
      <w:r w:rsidRPr="00D92F25">
        <w:rPr>
          <w:i/>
          <w:iCs/>
        </w:rPr>
        <w:t xml:space="preserve">Fiscal Year </w:t>
      </w:r>
      <w:r w:rsidRPr="00912783">
        <w:rPr>
          <w:i/>
        </w:rPr>
        <w:t>2017</w:t>
      </w:r>
      <w:r>
        <w:rPr>
          <w:i/>
        </w:rPr>
        <w:t>,</w:t>
      </w:r>
      <w:r w:rsidRPr="00912783">
        <w:rPr>
          <w:i/>
        </w:rPr>
        <w:t xml:space="preserve"> </w:t>
      </w:r>
      <w:r w:rsidRPr="00D92F25">
        <w:rPr>
          <w:iCs/>
        </w:rPr>
        <w:t>Report and Order</w:t>
      </w:r>
      <w:r>
        <w:t xml:space="preserve"> and Further Notice of Proposed Rulemaking, 32 FCC Rcd 7057, 7071-72, paras. 34-35 (2017) (</w:t>
      </w:r>
      <w:r w:rsidRPr="00D92F25">
        <w:rPr>
          <w:i/>
          <w:iCs/>
        </w:rPr>
        <w:t xml:space="preserve">FY </w:t>
      </w:r>
      <w:r>
        <w:rPr>
          <w:i/>
          <w:iCs/>
        </w:rPr>
        <w:t xml:space="preserve">2017 </w:t>
      </w:r>
      <w:r w:rsidRPr="00D92F25">
        <w:rPr>
          <w:i/>
          <w:iCs/>
        </w:rPr>
        <w:t>Report and Order</w:t>
      </w:r>
      <w:r>
        <w:t>).</w:t>
      </w:r>
    </w:p>
  </w:footnote>
  <w:footnote w:id="157">
    <w:p w:rsidR="007D15C3" w:rsidRPr="007E1E68" w:rsidP="007D15C3">
      <w:pPr>
        <w:pStyle w:val="FootnoteText"/>
        <w:rPr>
          <w:i/>
          <w:iCs/>
        </w:rPr>
      </w:pPr>
      <w:r>
        <w:rPr>
          <w:rStyle w:val="FootnoteReference"/>
        </w:rPr>
        <w:footnoteRef/>
      </w:r>
      <w:r>
        <w:t xml:space="preserve"> </w:t>
      </w:r>
      <w:r>
        <w:rPr>
          <w:i/>
          <w:iCs/>
        </w:rPr>
        <w:t xml:space="preserve">See </w:t>
      </w:r>
      <w:r w:rsidRPr="003456FB">
        <w:rPr>
          <w:i/>
        </w:rPr>
        <w:t>FY 2019 Report and Order</w:t>
      </w:r>
      <w:r>
        <w:t>, 34 FCC Rcd at 8203-04, paras. 37, 40.</w:t>
      </w:r>
    </w:p>
  </w:footnote>
  <w:footnote w:id="158">
    <w:p w:rsidR="00BC400D" w:rsidP="00BC400D">
      <w:pPr>
        <w:pStyle w:val="FootnoteText"/>
      </w:pPr>
      <w:r>
        <w:rPr>
          <w:rStyle w:val="FootnoteReference"/>
        </w:rPr>
        <w:footnoteRef/>
      </w:r>
      <w:r>
        <w:t xml:space="preserve"> </w:t>
      </w:r>
      <w:r w:rsidRPr="00842058">
        <w:rPr>
          <w:i/>
        </w:rPr>
        <w:t xml:space="preserve"> </w:t>
      </w:r>
      <w:r w:rsidRPr="006F130E">
        <w:rPr>
          <w:i/>
          <w:iCs/>
        </w:rPr>
        <w:t>Id.</w:t>
      </w:r>
      <w:r>
        <w:t xml:space="preserve"> at 8214, para. 67.</w:t>
      </w:r>
    </w:p>
  </w:footnote>
  <w:footnote w:id="159">
    <w:p w:rsidR="00BC400D" w:rsidP="00BC400D">
      <w:pPr>
        <w:pStyle w:val="FootnoteText"/>
      </w:pPr>
      <w:r>
        <w:rPr>
          <w:rStyle w:val="FootnoteReference"/>
        </w:rPr>
        <w:footnoteRef/>
      </w:r>
      <w:r>
        <w:t xml:space="preserve"> The International Bureau reviews, processes, analyzes, and grants applications for international section 214 authorizations and submarine cable landing licenses, as well as applications for modifications, transfers, and assignments.  The International Bureau also</w:t>
      </w:r>
      <w:r w:rsidRPr="000E2106">
        <w:t xml:space="preserve"> </w:t>
      </w:r>
      <w:r>
        <w:t>coordinates processing of the applications with the relevant Executive Branch agencies.</w:t>
      </w:r>
    </w:p>
  </w:footnote>
  <w:footnote w:id="160">
    <w:p w:rsidR="00BC400D" w:rsidP="00BC400D">
      <w:pPr>
        <w:pStyle w:val="FootnoteText"/>
      </w:pPr>
      <w:r>
        <w:rPr>
          <w:rStyle w:val="FootnoteReference"/>
        </w:rPr>
        <w:footnoteRef/>
      </w:r>
      <w:r>
        <w:t xml:space="preserve"> </w:t>
      </w:r>
      <w:r w:rsidRPr="00E202EB">
        <w:rPr>
          <w:i/>
        </w:rPr>
        <w:t>See, e.g.</w:t>
      </w:r>
      <w:r>
        <w:t xml:space="preserve">, </w:t>
      </w:r>
      <w:r w:rsidRPr="00A7303C">
        <w:rPr>
          <w:i/>
        </w:rPr>
        <w:t>International Settlement Rates</w:t>
      </w:r>
      <w:r w:rsidRPr="00A7303C">
        <w:t>, IB Docket No. 96-261, Report and Order, 12 FCC Rcd 19806 (1997) (</w:t>
      </w:r>
      <w:r w:rsidRPr="00A7303C">
        <w:rPr>
          <w:i/>
        </w:rPr>
        <w:t>Benchmarks Order</w:t>
      </w:r>
      <w:r w:rsidRPr="00A7303C">
        <w:t>); Report and Order on Reconsideration and Order Lifting Stay, 14 FCC Rcd 9256 (1999) (</w:t>
      </w:r>
      <w:r w:rsidRPr="00A7303C">
        <w:rPr>
          <w:i/>
        </w:rPr>
        <w:t>Benchmarks Reconsideration Order</w:t>
      </w:r>
      <w:r w:rsidRPr="00A7303C">
        <w:t xml:space="preserve">); </w:t>
      </w:r>
      <w:r w:rsidRPr="00A7303C">
        <w:rPr>
          <w:i/>
        </w:rPr>
        <w:t>aff’d sub nom. Cable &amp; Wireless</w:t>
      </w:r>
      <w:r w:rsidRPr="00A7303C">
        <w:t xml:space="preserve">, 166 F.3d 1224.  </w:t>
      </w:r>
    </w:p>
  </w:footnote>
  <w:footnote w:id="161">
    <w:p w:rsidR="00BC400D" w:rsidP="00BC400D">
      <w:pPr>
        <w:pStyle w:val="FootnoteText"/>
      </w:pPr>
      <w:r>
        <w:rPr>
          <w:rStyle w:val="FootnoteReference"/>
        </w:rPr>
        <w:footnoteRef/>
      </w:r>
      <w:r>
        <w:t xml:space="preserve"> For example, the International Bureau coordinates with the Executive Branch agencies regarding national security, law enforcement, foreign policy and trade policy issues related to international services.  </w:t>
      </w:r>
      <w:r>
        <w:rPr>
          <w:i/>
        </w:rPr>
        <w:t>See</w:t>
      </w:r>
      <w:r>
        <w:t xml:space="preserve"> </w:t>
      </w:r>
      <w:r w:rsidRPr="0029103F">
        <w:rPr>
          <w:i/>
          <w:iCs/>
        </w:rPr>
        <w:t>Rules and Policies on Foreign Participation in the U.S. Telecommunications Market</w:t>
      </w:r>
      <w:r>
        <w:rPr>
          <w:i/>
          <w:iCs/>
        </w:rPr>
        <w:t xml:space="preserve">; </w:t>
      </w:r>
      <w:r w:rsidRPr="0029103F">
        <w:rPr>
          <w:i/>
          <w:iCs/>
        </w:rPr>
        <w:t>Market Entry and Regulation of Foreign-Affiliated Entities</w:t>
      </w:r>
      <w:r w:rsidRPr="0029103F">
        <w:t>, IB Docket Nos. 97-142 and 95-22, Report and Order and Order on Reconsideration, 12 FCC Rcd 23891 (1997) (</w:t>
      </w:r>
      <w:r w:rsidRPr="0029103F">
        <w:rPr>
          <w:i/>
        </w:rPr>
        <w:t>Foreign Participation Order</w:t>
      </w:r>
      <w:r w:rsidRPr="0029103F">
        <w:t xml:space="preserve">), </w:t>
      </w:r>
      <w:r w:rsidRPr="006F130E">
        <w:rPr>
          <w:i/>
          <w:iCs/>
        </w:rPr>
        <w:t>recon. denied</w:t>
      </w:r>
      <w:r w:rsidRPr="0029103F">
        <w:t xml:space="preserve">, 15 FCC Rcd 18158 (2000).  </w:t>
      </w:r>
      <w:r>
        <w:t xml:space="preserve"> </w:t>
      </w:r>
    </w:p>
  </w:footnote>
  <w:footnote w:id="162">
    <w:p w:rsidR="00BC400D" w:rsidP="00BC400D">
      <w:pPr>
        <w:pStyle w:val="FootnoteText"/>
      </w:pPr>
      <w:r>
        <w:rPr>
          <w:rStyle w:val="FootnoteReference"/>
        </w:rPr>
        <w:footnoteRef/>
      </w:r>
      <w:r>
        <w:t xml:space="preserve"> </w:t>
      </w:r>
      <w:r w:rsidRPr="00912783">
        <w:rPr>
          <w:i/>
        </w:rPr>
        <w:t>FY 2017 Report and Order</w:t>
      </w:r>
      <w:r>
        <w:t>, 32 FCC Rcd at 7070-71, para. 31.</w:t>
      </w:r>
    </w:p>
  </w:footnote>
  <w:footnote w:id="163">
    <w:p w:rsidR="00BC400D" w:rsidP="00BC400D">
      <w:pPr>
        <w:pStyle w:val="FootnoteText"/>
      </w:pPr>
      <w:r>
        <w:rPr>
          <w:rStyle w:val="FootnoteReference"/>
        </w:rPr>
        <w:footnoteRef/>
      </w:r>
      <w:r>
        <w:t xml:space="preserve"> </w:t>
      </w:r>
      <w:r>
        <w:rPr>
          <w:i/>
          <w:iCs/>
        </w:rPr>
        <w:t xml:space="preserve">See </w:t>
      </w:r>
      <w:r w:rsidRPr="003456FB">
        <w:rPr>
          <w:i/>
        </w:rPr>
        <w:t>FY 2019 Report and Order</w:t>
      </w:r>
      <w:r>
        <w:t>, 34 FCC Rcd at 8205, para. 43.</w:t>
      </w:r>
    </w:p>
  </w:footnote>
  <w:footnote w:id="164">
    <w:p w:rsidR="007D15C3" w:rsidP="007D15C3">
      <w:pPr>
        <w:pStyle w:val="FootnoteText"/>
      </w:pPr>
      <w:r>
        <w:rPr>
          <w:rStyle w:val="FootnoteReference"/>
        </w:rPr>
        <w:footnoteRef/>
      </w:r>
      <w:r>
        <w:t xml:space="preserve"> SIA Comments at 4.</w:t>
      </w:r>
    </w:p>
  </w:footnote>
  <w:footnote w:id="165">
    <w:p w:rsidR="007D15C3" w:rsidP="007D15C3">
      <w:pPr>
        <w:pStyle w:val="FootnoteText"/>
      </w:pPr>
      <w:r>
        <w:rPr>
          <w:rStyle w:val="FootnoteReference"/>
        </w:rPr>
        <w:footnoteRef/>
      </w:r>
      <w:r>
        <w:t xml:space="preserve"> CenturyLink Comments at 6-8 &amp; Reply Comments at 3-4.</w:t>
      </w:r>
    </w:p>
  </w:footnote>
  <w:footnote w:id="166">
    <w:p w:rsidR="007D15C3" w:rsidP="007D15C3">
      <w:pPr>
        <w:pStyle w:val="FootnoteText"/>
      </w:pPr>
      <w:r>
        <w:rPr>
          <w:rStyle w:val="FootnoteReference"/>
        </w:rPr>
        <w:footnoteRef/>
      </w:r>
      <w:r>
        <w:t xml:space="preserve"> NASCA argues that almost all of the Commission’s activities involving submarine cables arise from “sporadic and comparatively infrequent licensing and transaction reviews.”  NASCA Comments at 6-8.  Further, the Submarine Cable Coalition argues that the allocation of two FTEs to submarine cables “is consistent with the general lack of oversight required for submarine cables as a whole, beyond the initial licensing process.”  Submarine Cable Coalition Comments at 4.</w:t>
      </w:r>
    </w:p>
  </w:footnote>
  <w:footnote w:id="167">
    <w:p w:rsidR="007D15C3" w:rsidRPr="00CC3C3B" w:rsidP="007D15C3">
      <w:pPr>
        <w:pStyle w:val="FootnoteText"/>
      </w:pPr>
      <w:r>
        <w:rPr>
          <w:rStyle w:val="FootnoteReference"/>
        </w:rPr>
        <w:footnoteRef/>
      </w:r>
      <w:r>
        <w:t xml:space="preserve"> </w:t>
      </w:r>
      <w:r>
        <w:rPr>
          <w:i/>
          <w:iCs/>
        </w:rPr>
        <w:t xml:space="preserve">See </w:t>
      </w:r>
      <w:r w:rsidRPr="00194618">
        <w:rPr>
          <w:i/>
          <w:iCs/>
          <w:color w:val="000000"/>
          <w:spacing w:val="-2"/>
        </w:rPr>
        <w:t>Improving Outage Reporting for Submarine Cables and Enhanced Submarine Cable Outage Data</w:t>
      </w:r>
      <w:r>
        <w:rPr>
          <w:i/>
          <w:iCs/>
          <w:color w:val="000000"/>
          <w:spacing w:val="-2"/>
        </w:rPr>
        <w:t xml:space="preserve">, </w:t>
      </w:r>
      <w:r w:rsidRPr="00194618">
        <w:rPr>
          <w:color w:val="000000"/>
          <w:spacing w:val="-2"/>
        </w:rPr>
        <w:t>GN Do</w:t>
      </w:r>
      <w:r>
        <w:rPr>
          <w:color w:val="000000"/>
          <w:spacing w:val="-2"/>
        </w:rPr>
        <w:t>cket</w:t>
      </w:r>
      <w:r w:rsidRPr="00194618">
        <w:rPr>
          <w:color w:val="000000"/>
          <w:spacing w:val="-2"/>
        </w:rPr>
        <w:t xml:space="preserve"> No. 15-206</w:t>
      </w:r>
      <w:r>
        <w:rPr>
          <w:color w:val="000000"/>
          <w:spacing w:val="-2"/>
        </w:rPr>
        <w:t xml:space="preserve">, </w:t>
      </w:r>
      <w:r w:rsidRPr="005F0D13">
        <w:rPr>
          <w:color w:val="000000"/>
          <w:spacing w:val="-2"/>
        </w:rPr>
        <w:t>R</w:t>
      </w:r>
      <w:r>
        <w:rPr>
          <w:color w:val="000000"/>
          <w:spacing w:val="-2"/>
        </w:rPr>
        <w:t>eport and Order, 31 FCC Rcd 7947, 7976 (2016) (“</w:t>
      </w:r>
      <w:r>
        <w:t xml:space="preserve">[T]he International Bureau, in coordination with the Public Safety and Homeland Security Bureau, will continue to lead interagency coordination efforts to help increase transparency and information sharing among the government agencies, cable licensees, and other stakeholders and promote improved interagency coordination processes to mitigate threats to undersea cables and facilitate new projects to improve geographic diversity.”)  </w:t>
      </w:r>
    </w:p>
  </w:footnote>
  <w:footnote w:id="168">
    <w:p w:rsidR="007D15C3" w:rsidP="007D15C3">
      <w:pPr>
        <w:pStyle w:val="FootnoteText"/>
      </w:pPr>
      <w:r>
        <w:rPr>
          <w:rStyle w:val="FootnoteReference"/>
        </w:rPr>
        <w:footnoteRef/>
      </w:r>
      <w:r>
        <w:t xml:space="preserve"> SIA Reply Comments at 6; </w:t>
      </w:r>
      <w:r w:rsidRPr="002C7C70">
        <w:rPr>
          <w:i/>
          <w:iCs/>
        </w:rPr>
        <w:t>see also</w:t>
      </w:r>
      <w:r>
        <w:t xml:space="preserve"> AT&amp;T Reply Comments at 6-7. We disagree however with SIA’s contention that satellite operators should not be assessed IBC fees or that IBC fees should be substantially reduced to reflect current data on capacity used for international telecommunications.</w:t>
      </w:r>
      <w:r w:rsidRPr="009F0E5E">
        <w:t xml:space="preserve"> </w:t>
      </w:r>
      <w:r>
        <w:t xml:space="preserve">SIA Comments at 2-3 &amp; Reply Comments at 2-5.  We also disagree with SIA’s contention that the industry already pays regulatory fees for space stations and earth stations and that satellite IBCs are a very small portion of the IBCs.  SIA Comments at 3-4.  </w:t>
      </w:r>
    </w:p>
  </w:footnote>
  <w:footnote w:id="169">
    <w:p w:rsidR="007D15C3" w:rsidRPr="00AC51A7" w:rsidP="007D15C3">
      <w:pPr>
        <w:pStyle w:val="FootnoteText"/>
      </w:pPr>
      <w:r>
        <w:rPr>
          <w:rStyle w:val="FootnoteReference"/>
        </w:rPr>
        <w:footnoteRef/>
      </w:r>
      <w:r>
        <w:t xml:space="preserve"> </w:t>
      </w:r>
      <w:r>
        <w:rPr>
          <w:i/>
          <w:iCs/>
        </w:rPr>
        <w:t>FY 2019 Report and Order</w:t>
      </w:r>
      <w:r>
        <w:t>, 34 FCC Rcd at 88205, para. 43.</w:t>
      </w:r>
    </w:p>
  </w:footnote>
  <w:footnote w:id="170">
    <w:p w:rsidR="007D15C3" w:rsidP="007D15C3">
      <w:pPr>
        <w:pStyle w:val="FootnoteText"/>
      </w:pPr>
      <w:r>
        <w:rPr>
          <w:rStyle w:val="FootnoteReference"/>
        </w:rPr>
        <w:footnoteRef/>
      </w:r>
      <w:r>
        <w:t xml:space="preserve"> </w:t>
      </w:r>
      <w:r w:rsidRPr="00DD6522">
        <w:rPr>
          <w:i/>
        </w:rPr>
        <w:t>FY 2018 NPRM</w:t>
      </w:r>
      <w:r>
        <w:t>, 33 FCC Rcd at 5102, para. 28.</w:t>
      </w:r>
    </w:p>
  </w:footnote>
  <w:footnote w:id="171">
    <w:p w:rsidR="007D15C3" w:rsidP="007D15C3">
      <w:pPr>
        <w:pStyle w:val="FootnoteText"/>
      </w:pPr>
      <w:r>
        <w:rPr>
          <w:rStyle w:val="FootnoteReference"/>
        </w:rPr>
        <w:footnoteRef/>
      </w:r>
      <w:r>
        <w:t xml:space="preserve"> </w:t>
      </w:r>
      <w:r w:rsidRPr="00B90DD2">
        <w:rPr>
          <w:i/>
        </w:rPr>
        <w:t>FY 2018 Report and Order</w:t>
      </w:r>
      <w:r>
        <w:t>, 33 FCC Rcd at para.14.</w:t>
      </w:r>
    </w:p>
  </w:footnote>
  <w:footnote w:id="172">
    <w:p w:rsidR="007D15C3" w:rsidP="007D15C3">
      <w:pPr>
        <w:pStyle w:val="FootnoteText"/>
      </w:pPr>
      <w:r>
        <w:rPr>
          <w:rStyle w:val="FootnoteReference"/>
        </w:rPr>
        <w:footnoteRef/>
      </w:r>
      <w:r>
        <w:t xml:space="preserve"> </w:t>
      </w:r>
      <w:r w:rsidRPr="00BE4D74">
        <w:rPr>
          <w:snapToGrid w:val="0"/>
        </w:rPr>
        <w:t xml:space="preserve">The </w:t>
      </w:r>
      <w:r>
        <w:rPr>
          <w:snapToGrid w:val="0"/>
        </w:rPr>
        <w:t xml:space="preserve">factor </w:t>
      </w:r>
      <w:r w:rsidRPr="0082202C">
        <w:rPr>
          <w:snapToGrid w:val="0"/>
        </w:rPr>
        <w:t>of .</w:t>
      </w:r>
      <w:r>
        <w:rPr>
          <w:snapToGrid w:val="0"/>
        </w:rPr>
        <w:t>78</w:t>
      </w:r>
      <w:r w:rsidRPr="0082202C">
        <w:rPr>
          <w:snapToGrid w:val="0"/>
        </w:rPr>
        <w:t xml:space="preserve"> of</w:t>
      </w:r>
      <w:r w:rsidRPr="00BE4D74">
        <w:rPr>
          <w:snapToGrid w:val="0"/>
        </w:rPr>
        <w:t xml:space="preserve"> one cent </w:t>
      </w:r>
      <w:r>
        <w:rPr>
          <w:snapToGrid w:val="0"/>
        </w:rPr>
        <w:t xml:space="preserve">($.007837) </w:t>
      </w:r>
      <w:r w:rsidRPr="00BE4D74">
        <w:rPr>
          <w:snapToGrid w:val="0"/>
        </w:rPr>
        <w:t>was derived by taking the revenue amount required from all television fee categories and dividing it by the total population count of all “feeable” call signs.</w:t>
      </w:r>
    </w:p>
  </w:footnote>
  <w:footnote w:id="173">
    <w:p w:rsidR="007D15C3" w:rsidP="007D15C3">
      <w:pPr>
        <w:pStyle w:val="FootnoteText"/>
      </w:pPr>
      <w:r>
        <w:rPr>
          <w:rStyle w:val="FootnoteReference"/>
        </w:rPr>
        <w:footnoteRef/>
      </w:r>
      <w:r>
        <w:t xml:space="preserve"> </w:t>
      </w:r>
      <w:r w:rsidRPr="00584333">
        <w:t>47 CFR § 73.622(e)</w:t>
      </w:r>
      <w:r>
        <w:rPr>
          <w:color w:val="1F497D"/>
        </w:rPr>
        <w:t>.</w:t>
      </w:r>
    </w:p>
  </w:footnote>
  <w:footnote w:id="174">
    <w:p w:rsidR="007D15C3" w:rsidP="007D15C3">
      <w:pPr>
        <w:pStyle w:val="FootnoteText"/>
      </w:pPr>
      <w:r>
        <w:rPr>
          <w:rStyle w:val="FootnoteReference"/>
        </w:rPr>
        <w:footnoteRef/>
      </w:r>
      <w:r>
        <w:t xml:space="preserve"> </w:t>
      </w:r>
      <w:r w:rsidRPr="004C0F54">
        <w:rPr>
          <w:i/>
        </w:rPr>
        <w:t>See</w:t>
      </w:r>
      <w:r>
        <w:t xml:space="preserve"> 47 U.S.C. § 159(d) (“the Commission shall by rule amend the schedule of regulatory fees established under this section if the Commission determines that the schedule requires amendment so that such fees reflect the full-time equivalent number of employees within the bureaus and offices of the Commission, adjusted to take into account factors that are reasonably related to the benefits provided to the payor of the fee by the Commission’s activities.”).  </w:t>
      </w:r>
    </w:p>
  </w:footnote>
  <w:footnote w:id="175">
    <w:p w:rsidR="007D15C3" w:rsidRPr="00857FA7" w:rsidP="007D15C3">
      <w:pPr>
        <w:pStyle w:val="FootnoteText"/>
      </w:pPr>
      <w:r w:rsidRPr="00857FA7">
        <w:rPr>
          <w:rStyle w:val="FootnoteReference"/>
        </w:rPr>
        <w:footnoteRef/>
      </w:r>
      <w:r w:rsidRPr="00857FA7">
        <w:t xml:space="preserve"> Puerto Rico Broadcasters Comments at </w:t>
      </w:r>
      <w:r>
        <w:t>5-10.</w:t>
      </w:r>
    </w:p>
  </w:footnote>
  <w:footnote w:id="176">
    <w:p w:rsidR="007D15C3" w:rsidRPr="00857FA7" w:rsidP="007D15C3">
      <w:pPr>
        <w:pStyle w:val="FootnoteText"/>
      </w:pPr>
      <w:r w:rsidRPr="00857FA7">
        <w:rPr>
          <w:rStyle w:val="FootnoteReference"/>
        </w:rPr>
        <w:footnoteRef/>
      </w:r>
      <w:r w:rsidRPr="00857FA7">
        <w:t xml:space="preserve"> </w:t>
      </w:r>
      <w:r w:rsidRPr="0045526F">
        <w:rPr>
          <w:i/>
          <w:iCs/>
        </w:rPr>
        <w:t>Id</w:t>
      </w:r>
      <w:r>
        <w:t xml:space="preserve">. </w:t>
      </w:r>
      <w:r w:rsidRPr="00857FA7">
        <w:t>at 10.</w:t>
      </w:r>
    </w:p>
  </w:footnote>
  <w:footnote w:id="177">
    <w:p w:rsidR="007D15C3" w:rsidRPr="00857FA7" w:rsidP="007D15C3">
      <w:pPr>
        <w:spacing w:after="120"/>
        <w:rPr>
          <w:sz w:val="20"/>
        </w:rPr>
      </w:pPr>
      <w:r w:rsidRPr="00857FA7">
        <w:rPr>
          <w:rStyle w:val="FootnoteReference"/>
        </w:rPr>
        <w:footnoteRef/>
      </w:r>
      <w:r w:rsidRPr="00857FA7">
        <w:rPr>
          <w:sz w:val="20"/>
        </w:rPr>
        <w:t xml:space="preserve"> </w:t>
      </w:r>
      <w:r w:rsidRPr="00857FA7">
        <w:rPr>
          <w:i/>
          <w:iCs/>
          <w:sz w:val="20"/>
        </w:rPr>
        <w:t>See</w:t>
      </w:r>
      <w:r w:rsidRPr="00857FA7">
        <w:rPr>
          <w:sz w:val="20"/>
        </w:rPr>
        <w:t xml:space="preserve"> </w:t>
      </w:r>
      <w:hyperlink r:id="rId6" w:history="1">
        <w:r w:rsidRPr="00857FA7">
          <w:rPr>
            <w:rStyle w:val="Hyperlink"/>
            <w:sz w:val="20"/>
          </w:rPr>
          <w:t>https://www.census.gov/quickfacts/PR</w:t>
        </w:r>
      </w:hyperlink>
      <w:r>
        <w:rPr>
          <w:rStyle w:val="Hyperlink"/>
          <w:sz w:val="20"/>
        </w:rPr>
        <w:t>.</w:t>
      </w:r>
    </w:p>
  </w:footnote>
  <w:footnote w:id="178">
    <w:p w:rsidR="007D15C3" w:rsidRPr="00857FA7" w:rsidP="007D15C3">
      <w:pPr>
        <w:pStyle w:val="FootnoteText"/>
      </w:pPr>
      <w:r w:rsidRPr="00857FA7">
        <w:rPr>
          <w:rStyle w:val="FootnoteReference"/>
        </w:rPr>
        <w:footnoteRef/>
      </w:r>
      <w:r w:rsidRPr="00857FA7">
        <w:t xml:space="preserve"> </w:t>
      </w:r>
      <w:r w:rsidRPr="00857FA7">
        <w:rPr>
          <w:i/>
          <w:iCs/>
        </w:rPr>
        <w:t xml:space="preserve">See </w:t>
      </w:r>
      <w:r w:rsidRPr="00857FA7">
        <w:t>Puerto Rico Broadcasters Ex Parte, Attachment, at 7.</w:t>
      </w:r>
    </w:p>
  </w:footnote>
  <w:footnote w:id="179">
    <w:p w:rsidR="007D15C3" w:rsidRPr="00857FA7" w:rsidP="007D15C3">
      <w:pPr>
        <w:pStyle w:val="FootnoteText"/>
      </w:pPr>
      <w:r w:rsidRPr="00857FA7">
        <w:rPr>
          <w:rStyle w:val="FootnoteReference"/>
        </w:rPr>
        <w:footnoteRef/>
      </w:r>
      <w:r w:rsidRPr="00857FA7">
        <w:t xml:space="preserve"> Puerto Rico Broadcasters Comments at 3-13.</w:t>
      </w:r>
    </w:p>
  </w:footnote>
  <w:footnote w:id="180">
    <w:p w:rsidR="007D15C3" w:rsidRPr="00857FA7" w:rsidP="007D15C3">
      <w:pPr>
        <w:pStyle w:val="FootnoteText"/>
      </w:pPr>
      <w:r w:rsidRPr="00857FA7">
        <w:rPr>
          <w:rStyle w:val="FootnoteReference"/>
        </w:rPr>
        <w:footnoteRef/>
      </w:r>
      <w:r w:rsidRPr="00857FA7">
        <w:t xml:space="preserve"> </w:t>
      </w:r>
      <w:r w:rsidRPr="006F130E">
        <w:rPr>
          <w:i/>
          <w:iCs/>
        </w:rPr>
        <w:t>Id.</w:t>
      </w:r>
      <w:r w:rsidRPr="00857FA7">
        <w:t xml:space="preserve"> at 4.</w:t>
      </w:r>
    </w:p>
  </w:footnote>
  <w:footnote w:id="181">
    <w:p w:rsidR="007D15C3" w:rsidRPr="00857FA7" w:rsidP="007D15C3">
      <w:pPr>
        <w:pStyle w:val="FootnoteText"/>
      </w:pPr>
      <w:r w:rsidRPr="00857FA7">
        <w:rPr>
          <w:rStyle w:val="FootnoteReference"/>
        </w:rPr>
        <w:footnoteRef/>
      </w:r>
      <w:r w:rsidRPr="00857FA7">
        <w:t xml:space="preserve"> </w:t>
      </w:r>
      <w:r w:rsidRPr="006F130E">
        <w:rPr>
          <w:i/>
          <w:iCs/>
        </w:rPr>
        <w:t>Id</w:t>
      </w:r>
      <w:r w:rsidRPr="00857FA7">
        <w:t>.</w:t>
      </w:r>
    </w:p>
  </w:footnote>
  <w:footnote w:id="182">
    <w:p w:rsidR="007D15C3" w:rsidRPr="00857FA7" w:rsidP="007D15C3">
      <w:pPr>
        <w:pStyle w:val="FootnoteText"/>
      </w:pPr>
      <w:r w:rsidRPr="00857FA7">
        <w:rPr>
          <w:rStyle w:val="FootnoteReference"/>
        </w:rPr>
        <w:footnoteRef/>
      </w:r>
      <w:r w:rsidRPr="00857FA7">
        <w:t xml:space="preserve"> </w:t>
      </w:r>
      <w:r w:rsidRPr="006F130E">
        <w:rPr>
          <w:i/>
          <w:iCs/>
        </w:rPr>
        <w:t>Id</w:t>
      </w:r>
      <w:r>
        <w:t xml:space="preserve">. </w:t>
      </w:r>
      <w:r w:rsidRPr="00857FA7">
        <w:t>at 5-10.</w:t>
      </w:r>
    </w:p>
  </w:footnote>
  <w:footnote w:id="183">
    <w:p w:rsidR="007D15C3" w:rsidRPr="00857FA7" w:rsidP="007D15C3">
      <w:pPr>
        <w:spacing w:after="120"/>
        <w:rPr>
          <w:sz w:val="20"/>
        </w:rPr>
      </w:pPr>
      <w:r w:rsidRPr="00857FA7">
        <w:rPr>
          <w:rStyle w:val="FootnoteReference"/>
        </w:rPr>
        <w:footnoteRef/>
      </w:r>
      <w:r w:rsidRPr="00857FA7">
        <w:rPr>
          <w:sz w:val="20"/>
        </w:rPr>
        <w:t xml:space="preserve"> </w:t>
      </w:r>
      <w:r w:rsidRPr="00857FA7">
        <w:rPr>
          <w:i/>
          <w:iCs/>
          <w:sz w:val="20"/>
        </w:rPr>
        <w:t>See</w:t>
      </w:r>
      <w:r w:rsidRPr="00857FA7">
        <w:rPr>
          <w:sz w:val="20"/>
        </w:rPr>
        <w:t xml:space="preserve"> </w:t>
      </w:r>
      <w:hyperlink r:id="rId6" w:history="1">
        <w:r w:rsidRPr="00857FA7">
          <w:rPr>
            <w:rStyle w:val="Hyperlink"/>
            <w:sz w:val="20"/>
          </w:rPr>
          <w:t>https://www.census.gov/quickfacts/PR</w:t>
        </w:r>
      </w:hyperlink>
    </w:p>
  </w:footnote>
  <w:footnote w:id="184">
    <w:p w:rsidR="007D15C3" w:rsidRPr="00565E15" w:rsidP="007D15C3">
      <w:pPr>
        <w:pStyle w:val="FootnoteText"/>
      </w:pPr>
      <w:r w:rsidRPr="00565E15">
        <w:rPr>
          <w:rStyle w:val="FootnoteReference"/>
        </w:rPr>
        <w:footnoteRef/>
      </w:r>
      <w:r w:rsidRPr="00565E15">
        <w:t xml:space="preserve"> MVPD is defined in section 602(13) of the Act, 47 U.S.C. § 522(13).</w:t>
      </w:r>
    </w:p>
  </w:footnote>
  <w:footnote w:id="185">
    <w:p w:rsidR="007D15C3" w:rsidP="007D15C3">
      <w:pPr>
        <w:pStyle w:val="FootnoteText"/>
      </w:pPr>
      <w:r>
        <w:rPr>
          <w:rStyle w:val="FootnoteReference"/>
        </w:rPr>
        <w:footnoteRef/>
      </w:r>
      <w:r>
        <w:t xml:space="preserve"> </w:t>
      </w:r>
      <w:r>
        <w:rPr>
          <w:i/>
        </w:rPr>
        <w:t xml:space="preserve">FY </w:t>
      </w:r>
      <w:r w:rsidRPr="00A64500">
        <w:rPr>
          <w:i/>
        </w:rPr>
        <w:t>2018</w:t>
      </w:r>
      <w:r>
        <w:rPr>
          <w:i/>
        </w:rPr>
        <w:t xml:space="preserve"> </w:t>
      </w:r>
      <w:r w:rsidRPr="00A64500">
        <w:rPr>
          <w:i/>
        </w:rPr>
        <w:t xml:space="preserve"> Report and Order</w:t>
      </w:r>
      <w:r>
        <w:t>, 33 FCC Rcd at 8944, para. 8.</w:t>
      </w:r>
    </w:p>
  </w:footnote>
  <w:footnote w:id="186">
    <w:p w:rsidR="007D15C3" w:rsidP="007D15C3">
      <w:pPr>
        <w:pStyle w:val="FootnoteText"/>
      </w:pPr>
      <w:r>
        <w:rPr>
          <w:rStyle w:val="FootnoteReference"/>
        </w:rPr>
        <w:footnoteRef/>
      </w:r>
      <w:r>
        <w:t xml:space="preserve"> </w:t>
      </w:r>
      <w:r w:rsidRPr="006F130E">
        <w:rPr>
          <w:i/>
          <w:iCs/>
        </w:rPr>
        <w:t>Id.</w:t>
      </w:r>
      <w:r>
        <w:t xml:space="preserve"> at 8944-8500, para. 8.</w:t>
      </w:r>
    </w:p>
  </w:footnote>
  <w:footnote w:id="187">
    <w:p w:rsidR="007D15C3" w:rsidP="007D15C3">
      <w:pPr>
        <w:pStyle w:val="FootnoteText"/>
      </w:pPr>
      <w:r>
        <w:rPr>
          <w:rStyle w:val="FootnoteReference"/>
        </w:rPr>
        <w:footnoteRef/>
      </w:r>
      <w:r>
        <w:t xml:space="preserve"> When adopting the regulatory fee for IPTV, the Commission determined that IPTV providers should be subject to the same regulatory fees as cable providers.  </w:t>
      </w:r>
      <w:r w:rsidRPr="005C446C">
        <w:rPr>
          <w:i/>
        </w:rPr>
        <w:t>FY 2013 Report and Order</w:t>
      </w:r>
      <w:r>
        <w:t>, 28 FCC Rcd at 12362, para. 32.</w:t>
      </w:r>
    </w:p>
  </w:footnote>
  <w:footnote w:id="188">
    <w:p w:rsidR="007D15C3" w:rsidRPr="00614D13" w:rsidP="007D15C3">
      <w:pPr>
        <w:pStyle w:val="FootnoteText"/>
      </w:pPr>
      <w:r>
        <w:rPr>
          <w:rStyle w:val="FootnoteReference"/>
        </w:rPr>
        <w:footnoteRef/>
      </w:r>
      <w:r>
        <w:t xml:space="preserve"> </w:t>
      </w:r>
      <w:r w:rsidRPr="00901A0F">
        <w:rPr>
          <w:i/>
        </w:rPr>
        <w:t>FY 2015 Report and Order</w:t>
      </w:r>
      <w:r w:rsidRPr="00317656">
        <w:rPr>
          <w:i/>
        </w:rPr>
        <w:t xml:space="preserve"> </w:t>
      </w:r>
      <w:r>
        <w:t>at 10277, para. 20.</w:t>
      </w:r>
    </w:p>
  </w:footnote>
  <w:footnote w:id="189">
    <w:p w:rsidR="007D15C3" w:rsidRPr="00565E15" w:rsidP="007D15C3">
      <w:pPr>
        <w:pStyle w:val="FootnoteText"/>
      </w:pPr>
      <w:r w:rsidRPr="00565E15">
        <w:rPr>
          <w:rStyle w:val="FootnoteReference"/>
        </w:rPr>
        <w:footnoteRef/>
      </w:r>
      <w:r w:rsidRPr="00565E15">
        <w:t xml:space="preserve"> </w:t>
      </w:r>
      <w:r w:rsidRPr="00565E15">
        <w:rPr>
          <w:i/>
        </w:rPr>
        <w:t>FY 2015 Report and Order</w:t>
      </w:r>
      <w:r w:rsidRPr="00565E15">
        <w:t>, 30 FCC Rcd at 10277, para. 20.</w:t>
      </w:r>
    </w:p>
  </w:footnote>
  <w:footnote w:id="190">
    <w:p w:rsidR="007D15C3" w:rsidP="007D15C3">
      <w:pPr>
        <w:pStyle w:val="FootnoteText"/>
      </w:pPr>
      <w:r>
        <w:rPr>
          <w:rStyle w:val="FootnoteReference"/>
        </w:rPr>
        <w:footnoteRef/>
      </w:r>
      <w:r>
        <w:t xml:space="preserve"> From 2016 to 2019, the Commission increased the regulatory fee for DBS operators to 24 cents (plus a three cent moving fee), 36 cents (plus a two cent moving fee), 48 cents, and then 60 cents, per subscriber per year, with the regulatory fees paid by DBS operators reducing those paid by other MVPDs.</w:t>
      </w:r>
    </w:p>
  </w:footnote>
  <w:footnote w:id="191">
    <w:p w:rsidR="007D15C3" w:rsidP="007D15C3">
      <w:pPr>
        <w:pStyle w:val="FootnoteText"/>
      </w:pPr>
      <w:r>
        <w:rPr>
          <w:rStyle w:val="FootnoteReference"/>
        </w:rPr>
        <w:footnoteRef/>
      </w:r>
      <w:r>
        <w:t xml:space="preserve"> </w:t>
      </w:r>
      <w:r w:rsidRPr="00A64500">
        <w:rPr>
          <w:i/>
        </w:rPr>
        <w:t>FY 2018 Report and Order</w:t>
      </w:r>
      <w:r>
        <w:t xml:space="preserve">, 33 FCC Rcd at 8501, para. 11; </w:t>
      </w:r>
      <w:r w:rsidRPr="006D312C">
        <w:rPr>
          <w:i/>
        </w:rPr>
        <w:t>FY 2017 Report and Order</w:t>
      </w:r>
      <w:r>
        <w:t xml:space="preserve">, 32 FCC Rcd at 7067-68,  paras. 22-23; </w:t>
      </w:r>
      <w:r w:rsidRPr="003610E3">
        <w:rPr>
          <w:i/>
        </w:rPr>
        <w:t>see also</w:t>
      </w:r>
      <w:r>
        <w:t xml:space="preserve"> </w:t>
      </w:r>
      <w:r w:rsidRPr="003610E3">
        <w:rPr>
          <w:i/>
        </w:rPr>
        <w:t xml:space="preserve">FY 2015 </w:t>
      </w:r>
      <w:r>
        <w:rPr>
          <w:i/>
        </w:rPr>
        <w:t>NPRM</w:t>
      </w:r>
      <w:r>
        <w:t>, 30 FCC Rcd at 5369, para. 33</w:t>
      </w:r>
      <w:r w:rsidRPr="00D2430F">
        <w:rPr>
          <w:i/>
        </w:rPr>
        <w:t xml:space="preserve"> </w:t>
      </w:r>
      <w:r>
        <w:t>(“We also reject the argument raised by DIRECTV and DISH that section 9 of the Act requires us to ‘show that DBS and cable occupy a comparable number of FTEs.’”).</w:t>
      </w:r>
    </w:p>
  </w:footnote>
  <w:footnote w:id="192">
    <w:p w:rsidR="007D15C3" w:rsidP="007D15C3">
      <w:pPr>
        <w:pStyle w:val="FootnoteText"/>
      </w:pPr>
      <w:r>
        <w:rPr>
          <w:rStyle w:val="FootnoteReference"/>
        </w:rPr>
        <w:footnoteRef/>
      </w:r>
      <w:r>
        <w:t xml:space="preserve"> 47 U.S.C. §159; FY 2020 Appropriations.  </w:t>
      </w:r>
    </w:p>
  </w:footnote>
  <w:footnote w:id="193">
    <w:p w:rsidR="007D15C3" w:rsidP="007D15C3">
      <w:pPr>
        <w:pStyle w:val="FootnoteText"/>
        <w:rPr>
          <w:rFonts w:ascii="Calibri" w:hAnsi="Calibri" w:cs="Calibri"/>
        </w:rPr>
      </w:pPr>
      <w:r>
        <w:rPr>
          <w:rStyle w:val="FootnoteReference"/>
        </w:rPr>
        <w:footnoteRef/>
      </w:r>
      <w:r>
        <w:t xml:space="preserve"> </w:t>
      </w:r>
      <w:bookmarkStart w:id="89" w:name="_Hlk40086573"/>
      <w:r>
        <w:t>47 CFR § 1.1914; 31 CFR § 901.8.</w:t>
      </w:r>
      <w:bookmarkEnd w:id="89"/>
    </w:p>
  </w:footnote>
  <w:footnote w:id="194">
    <w:p w:rsidR="007D15C3" w:rsidP="007D15C3">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195">
    <w:p w:rsidR="007D15C3" w:rsidP="007D15C3">
      <w:pPr>
        <w:pStyle w:val="FootnoteText"/>
      </w:pPr>
      <w:r>
        <w:rPr>
          <w:rStyle w:val="FootnoteReference"/>
        </w:rPr>
        <w:footnoteRef/>
      </w:r>
      <w:r>
        <w:t xml:space="preserve"> Office of Management and Budget (OMB) Memorandum M-10-06, Open Government Directive, Dec. 8, 2009; </w:t>
      </w:r>
      <w:r>
        <w:rPr>
          <w:i/>
          <w:iCs/>
        </w:rPr>
        <w:t>see also</w:t>
      </w:r>
      <w:r>
        <w:t xml:space="preserve"> </w:t>
      </w:r>
      <w:hyperlink r:id="rId7" w:history="1">
        <w:r>
          <w:rPr>
            <w:rStyle w:val="Hyperlink"/>
          </w:rPr>
          <w:t>http://www.whitehouse.gov/the-press-office/2011/06/13/executive-order-13576-delivering-efficient-effective-and-accountable-gov</w:t>
        </w:r>
      </w:hyperlink>
      <w:r>
        <w:t>.</w:t>
      </w:r>
    </w:p>
  </w:footnote>
  <w:footnote w:id="196">
    <w:p w:rsidR="007D15C3" w:rsidP="007D15C3">
      <w:pPr>
        <w:pStyle w:val="FootnoteText"/>
      </w:pPr>
      <w:r>
        <w:rPr>
          <w:rStyle w:val="FootnoteReference"/>
        </w:rPr>
        <w:footnoteRef/>
      </w:r>
      <w:r>
        <w:t xml:space="preserve"> </w:t>
      </w:r>
      <w:r>
        <w:rPr>
          <w:i/>
          <w:iCs/>
        </w:rPr>
        <w:t>See</w:t>
      </w:r>
      <w:r>
        <w:t xml:space="preserve"> U.S. Department of the Treasury, Open Government Plan 2.1, Sept. 2012.</w:t>
      </w:r>
    </w:p>
  </w:footnote>
  <w:footnote w:id="197">
    <w:p w:rsidR="007D15C3" w:rsidP="007D15C3">
      <w:pPr>
        <w:pStyle w:val="FootnoteText"/>
      </w:pPr>
      <w:r>
        <w:rPr>
          <w:rStyle w:val="FootnoteReference"/>
        </w:rPr>
        <w:footnoteRef/>
      </w:r>
      <w:r>
        <w:t xml:space="preserve"> </w:t>
      </w:r>
      <w:r w:rsidRPr="00A242B0">
        <w:rPr>
          <w:i/>
        </w:rPr>
        <w:t>FY 2</w:t>
      </w:r>
      <w:r>
        <w:rPr>
          <w:i/>
        </w:rPr>
        <w:t>015 Report and Order</w:t>
      </w:r>
      <w:r>
        <w:t xml:space="preserve">, 30 FCC Rcd at 10282-83, para. 35.  </w:t>
      </w:r>
      <w:r w:rsidRPr="001E39E8">
        <w:rPr>
          <w:i/>
        </w:rPr>
        <w:t>See</w:t>
      </w:r>
      <w:r>
        <w:t xml:space="preserve"> 47 CFR § 1.1158.</w:t>
      </w:r>
    </w:p>
  </w:footnote>
  <w:footnote w:id="198">
    <w:p w:rsidR="007D15C3" w:rsidRPr="00B60211" w:rsidP="007D15C3">
      <w:pPr>
        <w:pStyle w:val="FootnoteText"/>
      </w:pPr>
      <w:r w:rsidRPr="00B60211">
        <w:rPr>
          <w:rStyle w:val="FootnoteReference"/>
        </w:rPr>
        <w:footnoteRef/>
      </w:r>
      <w:r w:rsidRPr="00B60211">
        <w:t xml:space="preserve"> In accordance with </w:t>
      </w:r>
      <w:r w:rsidRPr="0045000A">
        <w:t>Treasury Financial Manual, Volume I, Part 5, Chapter 7000, Section 7045—Limitations on Card Collection Transactions.</w:t>
      </w:r>
      <w:r w:rsidRPr="00B60211">
        <w:t xml:space="preserve">, the </w:t>
      </w:r>
      <w:r>
        <w:t>amount that may be charged on a credit card for transactions with federal agencies has been reduced to $24,999.99.</w:t>
      </w:r>
    </w:p>
  </w:footnote>
  <w:footnote w:id="199">
    <w:p w:rsidR="007D15C3" w:rsidRPr="00B60211" w:rsidP="007D15C3">
      <w:pPr>
        <w:pStyle w:val="FootnoteText"/>
      </w:pPr>
      <w:r w:rsidRPr="00B60211">
        <w:rPr>
          <w:rStyle w:val="FootnoteReference"/>
        </w:rPr>
        <w:footnoteRef/>
      </w:r>
      <w:r w:rsidRPr="00B60211">
        <w:t xml:space="preserve"> In accordance with U.S. Treasury Financial Manual Announcement No. A-2012-02, the maximum dollar-value limit for debit card transactions </w:t>
      </w:r>
      <w:r>
        <w:t>is eliminated. O</w:t>
      </w:r>
      <w:r w:rsidRPr="00B60211">
        <w:t>nly Visa and MasterCard branded debit cards are accepted by Pay.gov.</w:t>
      </w:r>
      <w:r>
        <w:t xml:space="preserve">  For a list of acceptable credit cards, debit cards, and digital wallets, </w:t>
      </w:r>
      <w:r w:rsidRPr="002C7C70">
        <w:rPr>
          <w:i/>
          <w:iCs/>
        </w:rPr>
        <w:t>see</w:t>
      </w:r>
      <w:r>
        <w:t xml:space="preserve">  </w:t>
      </w:r>
      <w:r w:rsidRPr="007E129D">
        <w:t>https://www.pay.gov/WebHelp/HTML/payments_what.html</w:t>
      </w:r>
      <w:r>
        <w:t>.</w:t>
      </w:r>
    </w:p>
  </w:footnote>
  <w:footnote w:id="200">
    <w:p w:rsidR="007D15C3" w:rsidRPr="00B60211" w:rsidP="007D15C3">
      <w:pPr>
        <w:pStyle w:val="FootnoteText"/>
      </w:pPr>
      <w:r w:rsidRPr="00B60211">
        <w:rPr>
          <w:rStyle w:val="FootnoteReference"/>
        </w:rPr>
        <w:footnoteRef/>
      </w:r>
      <w:r w:rsidRPr="00B60211">
        <w:t xml:space="preserve"> Audio bridging services are </w:t>
      </w:r>
      <w:r>
        <w:t>toll teleconferencing services</w:t>
      </w:r>
      <w:r w:rsidRPr="00B60211">
        <w:t xml:space="preserve">. </w:t>
      </w:r>
    </w:p>
  </w:footnote>
  <w:footnote w:id="201">
    <w:p w:rsidR="007D15C3" w:rsidP="007D15C3">
      <w:pPr>
        <w:pStyle w:val="FootnoteText"/>
      </w:pPr>
      <w:r>
        <w:rPr>
          <w:rStyle w:val="FootnoteReference"/>
        </w:rPr>
        <w:footnoteRef/>
      </w:r>
      <w:r>
        <w:t xml:space="preserve"> 47 CFR § 52.103.</w:t>
      </w:r>
    </w:p>
  </w:footnote>
  <w:footnote w:id="202">
    <w:p w:rsidR="007D15C3" w:rsidRPr="00B60211" w:rsidP="007D15C3">
      <w:pPr>
        <w:pStyle w:val="FootnoteText"/>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w:t>
      </w:r>
      <w:r>
        <w:rPr>
          <w:color w:val="000000"/>
        </w:rPr>
        <w:t>9</w:t>
      </w:r>
      <w:r w:rsidRPr="00B60211">
        <w:rPr>
          <w:color w:val="000000"/>
        </w:rPr>
        <w:t>, rather than on a count as of December 31, 201</w:t>
      </w:r>
      <w:r>
        <w:rPr>
          <w:color w:val="000000"/>
        </w:rPr>
        <w:t>9</w:t>
      </w:r>
      <w:r w:rsidRPr="00B60211">
        <w:rPr>
          <w:color w:val="000000"/>
        </w:rPr>
        <w:t xml:space="preserve">. </w:t>
      </w:r>
    </w:p>
  </w:footnote>
  <w:footnote w:id="203">
    <w:p w:rsidR="007D15C3" w:rsidP="007D15C3">
      <w:pPr>
        <w:pStyle w:val="FootnoteText"/>
      </w:pPr>
      <w:r>
        <w:rPr>
          <w:rStyle w:val="FootnoteReference"/>
        </w:rPr>
        <w:footnoteRef/>
      </w:r>
      <w:r>
        <w:t xml:space="preserve"> </w:t>
      </w:r>
      <w:r w:rsidRPr="0041294C">
        <w:t xml:space="preserve">We encourage terrestrial and satellite service providers to seek guidance from the International Bureau’s </w:t>
      </w:r>
      <w:r>
        <w:t xml:space="preserve">Telecommunications and Analysis </w:t>
      </w:r>
      <w:r w:rsidRPr="0041294C">
        <w:t>Division to verify their</w:t>
      </w:r>
      <w:r>
        <w:t xml:space="preserve"> particular</w:t>
      </w:r>
      <w:r w:rsidRPr="0041294C">
        <w:t xml:space="preserve"> IBC reporting processes to ensure that their </w:t>
      </w:r>
      <w:r>
        <w:t xml:space="preserve">calculation </w:t>
      </w:r>
      <w:r w:rsidRPr="0041294C">
        <w:t>methods comply with our rules.</w:t>
      </w:r>
    </w:p>
  </w:footnote>
  <w:footnote w:id="204">
    <w:p w:rsidR="007D15C3" w:rsidP="007D15C3">
      <w:pPr>
        <w:pStyle w:val="FootnoteText"/>
      </w:pPr>
      <w:r>
        <w:rPr>
          <w:rStyle w:val="FootnoteReference"/>
        </w:rPr>
        <w:footnoteRef/>
      </w:r>
      <w:r>
        <w:t xml:space="preserve"> </w:t>
      </w:r>
      <w:r w:rsidRPr="00D72D20">
        <w:rPr>
          <w:i/>
          <w:iCs/>
        </w:rPr>
        <w:t>See</w:t>
      </w:r>
      <w:r>
        <w:t xml:space="preserve"> </w:t>
      </w:r>
      <w:r w:rsidRPr="006F130E">
        <w:rPr>
          <w:i/>
          <w:iCs/>
        </w:rPr>
        <w:t>Assessment and Collection of Regulatory Fees for Fiscal Year 2005</w:t>
      </w:r>
      <w:r>
        <w:t xml:space="preserve">, </w:t>
      </w:r>
      <w:r w:rsidRPr="006F130E">
        <w:t>Report and Order</w:t>
      </w:r>
      <w:r>
        <w:t>, 20 FCC Rcd 12259, 12264, paras. 38-44 (2005).</w:t>
      </w:r>
    </w:p>
  </w:footnote>
  <w:footnote w:id="205">
    <w:p w:rsidR="007D15C3" w:rsidP="007D15C3">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206">
    <w:p w:rsidR="007D15C3" w:rsidP="007D15C3">
      <w:pPr>
        <w:pStyle w:val="FootnoteText"/>
      </w:pPr>
      <w:r>
        <w:rPr>
          <w:rStyle w:val="FootnoteReference"/>
          <w:szCs w:val="22"/>
        </w:rPr>
        <w:footnoteRef/>
      </w:r>
      <w:r>
        <w:rPr>
          <w:lang w:val="da-DK"/>
        </w:rPr>
        <w:t xml:space="preserve"> </w:t>
      </w:r>
      <w:r>
        <w:rPr>
          <w:lang w:val="da-DK"/>
        </w:rPr>
        <w:t xml:space="preserve">47 CFR §§ 1.1200 </w:t>
      </w:r>
      <w:r>
        <w:rPr>
          <w:i/>
          <w:iCs/>
          <w:lang w:val="da-DK"/>
        </w:rPr>
        <w:t>et seq.</w:t>
      </w:r>
    </w:p>
  </w:footnote>
  <w:footnote w:id="207">
    <w:p w:rsidR="007D15C3" w:rsidP="007D15C3">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208">
    <w:p w:rsidR="007D15C3" w:rsidP="007D15C3">
      <w:pPr>
        <w:pStyle w:val="FootnoteText"/>
      </w:pPr>
      <w:r>
        <w:rPr>
          <w:rStyle w:val="FootnoteReference"/>
        </w:rPr>
        <w:footnoteRef/>
      </w:r>
      <w:r>
        <w:t xml:space="preserve"> </w:t>
      </w:r>
      <w:r w:rsidRPr="006A75BE">
        <w:rPr>
          <w:i/>
        </w:rPr>
        <w:t>Assessment and Collection of Regulatory Fees for Fiscal Year 201</w:t>
      </w:r>
      <w:r>
        <w:rPr>
          <w:i/>
        </w:rPr>
        <w:t>9</w:t>
      </w:r>
      <w:r>
        <w:t>, Report and Order and Further Notice of Proposed Rulemaking, 34 FCC Rcd 8189 (2019) (</w:t>
      </w:r>
      <w:r>
        <w:rPr>
          <w:i/>
        </w:rPr>
        <w:t>FY 2019 FNPRM</w:t>
      </w:r>
      <w:r>
        <w:t>).</w:t>
      </w:r>
    </w:p>
  </w:footnote>
  <w:footnote w:id="209">
    <w:p w:rsidR="007D15C3" w:rsidP="007D15C3">
      <w:pPr>
        <w:pStyle w:val="FootnoteText"/>
      </w:pPr>
      <w:r>
        <w:rPr>
          <w:rStyle w:val="FootnoteReference"/>
        </w:rPr>
        <w:footnoteRef/>
      </w:r>
      <w:r>
        <w:t xml:space="preserve"> </w:t>
      </w:r>
      <w:r>
        <w:rPr>
          <w:spacing w:val="-2"/>
          <w:lang w:val="fr-FR"/>
        </w:rPr>
        <w:t>5 U.S.C. § 604.</w:t>
      </w:r>
    </w:p>
  </w:footnote>
  <w:footnote w:id="210">
    <w:p w:rsidR="007D15C3" w:rsidP="007D15C3">
      <w:pPr>
        <w:pStyle w:val="FootnoteText"/>
      </w:pPr>
      <w:r>
        <w:rPr>
          <w:rStyle w:val="FootnoteReference"/>
        </w:rPr>
        <w:footnoteRef/>
      </w:r>
      <w:r>
        <w:t xml:space="preserve"> </w:t>
      </w:r>
      <w:r>
        <w:rPr>
          <w:rStyle w:val="Footnote"/>
        </w:rPr>
        <w:t>5 U.S.C. § 603(b)(3).</w:t>
      </w:r>
    </w:p>
  </w:footnote>
  <w:footnote w:id="211">
    <w:p w:rsidR="007D15C3" w:rsidP="007D15C3">
      <w:pPr>
        <w:pStyle w:val="FootnoteText"/>
      </w:pPr>
      <w:r>
        <w:rPr>
          <w:rStyle w:val="FootnoteReference"/>
        </w:rPr>
        <w:footnoteRef/>
      </w:r>
      <w:r>
        <w:t xml:space="preserve"> </w:t>
      </w:r>
      <w:r>
        <w:rPr>
          <w:rStyle w:val="Footnote"/>
        </w:rPr>
        <w:t>5 U.S.C. § 601(6).</w:t>
      </w:r>
    </w:p>
  </w:footnote>
  <w:footnote w:id="212">
    <w:p w:rsidR="007D15C3" w:rsidP="007D15C3">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213">
    <w:p w:rsidR="007D15C3" w:rsidP="007D15C3">
      <w:pPr>
        <w:pStyle w:val="FootnoteText"/>
      </w:pPr>
      <w:r>
        <w:rPr>
          <w:rStyle w:val="FootnoteReference"/>
        </w:rPr>
        <w:footnoteRef/>
      </w:r>
      <w:r>
        <w:t xml:space="preserve"> </w:t>
      </w:r>
      <w:r>
        <w:rPr>
          <w:rStyle w:val="Footnote"/>
        </w:rPr>
        <w:t>15 U.S.C. § 632.</w:t>
      </w:r>
    </w:p>
  </w:footnote>
  <w:footnote w:id="214">
    <w:p w:rsidR="007D15C3" w:rsidP="007D15C3">
      <w:pPr>
        <w:pStyle w:val="FootnoteText"/>
      </w:pPr>
      <w:r>
        <w:rPr>
          <w:rStyle w:val="FootnoteReference"/>
        </w:rPr>
        <w:footnoteRef/>
      </w:r>
      <w:r>
        <w:t xml:space="preserve"> </w:t>
      </w:r>
      <w:r w:rsidRPr="005A3505">
        <w:rPr>
          <w:i/>
        </w:rPr>
        <w:t>See</w:t>
      </w:r>
      <w:r w:rsidRPr="005A3505">
        <w:t xml:space="preserve"> SBA, Office of Advocacy</w:t>
      </w:r>
      <w:r>
        <w:t xml:space="preserve">, “Frequently Asked Questions,” </w:t>
      </w:r>
      <w:hyperlink r:id="rId8" w:history="1">
        <w:r w:rsidRPr="00EE3A67">
          <w:rPr>
            <w:rStyle w:val="Hyperlink"/>
          </w:rPr>
          <w:t>https://www.sba.gov/sites/default/files/advocacy/SB-FAQ-2016_WEB.pdf</w:t>
        </w:r>
      </w:hyperlink>
      <w:r>
        <w:t>.</w:t>
      </w:r>
    </w:p>
  </w:footnote>
  <w:footnote w:id="215">
    <w:p w:rsidR="007D15C3" w:rsidP="007D15C3">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216">
    <w:p w:rsidR="007D15C3" w:rsidP="007D15C3">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8" w:history="1">
        <w:r w:rsidRPr="00CE6CB1">
          <w:rPr>
            <w:rStyle w:val="Hyperlink"/>
          </w:rPr>
          <w:t>https://www.sba.gov/sites/default/files/advocacy/SB-FAQ-2016_WEB.pdf</w:t>
        </w:r>
      </w:hyperlink>
      <w:r>
        <w:t xml:space="preserve"> (June 2016).</w:t>
      </w:r>
    </w:p>
  </w:footnote>
  <w:footnote w:id="217">
    <w:p w:rsidR="007D15C3" w:rsidP="007D15C3">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8" w:history="1">
        <w:r w:rsidRPr="00CE6CB1">
          <w:rPr>
            <w:rStyle w:val="Hyperlink"/>
          </w:rPr>
          <w:t>https://www.sba.gov/sites/default/files/advocacy/SB-FAQ-2016_WEB.pdf</w:t>
        </w:r>
      </w:hyperlink>
      <w:r>
        <w:t xml:space="preserve"> (June 2016).</w:t>
      </w:r>
    </w:p>
  </w:footnote>
  <w:footnote w:id="218">
    <w:p w:rsidR="007D15C3" w:rsidRPr="006B076E" w:rsidP="007D15C3">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219">
    <w:p w:rsidR="007D15C3" w:rsidRPr="006B076E" w:rsidP="007D15C3">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9"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220">
    <w:p w:rsidR="007D15C3" w:rsidRPr="006B076E" w:rsidP="007D15C3">
      <w:pPr>
        <w:pStyle w:val="FootnoteText"/>
      </w:pPr>
      <w:r w:rsidRPr="006B076E">
        <w:rPr>
          <w:rStyle w:val="FootnoteReference"/>
          <w:spacing w:val="-2"/>
        </w:rPr>
        <w:footnoteRef/>
      </w:r>
      <w:r w:rsidRPr="006B076E">
        <w:t xml:space="preserve"> 5 U.S.C. § 601(5).</w:t>
      </w:r>
    </w:p>
  </w:footnote>
  <w:footnote w:id="221">
    <w:p w:rsidR="007D15C3" w:rsidRPr="005E7451" w:rsidP="007D15C3">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10" w:history="1">
        <w:r w:rsidRPr="009A1F07">
          <w:rPr>
            <w:rStyle w:val="Hyperlink"/>
          </w:rPr>
          <w:t>https://factfinder.census.gov/faces/affhelp/jsf/pages/metadata.xhtml?lang=en&amp;type=program&amp;id=program.en.COG#</w:t>
        </w:r>
      </w:hyperlink>
    </w:p>
  </w:footnote>
  <w:footnote w:id="222">
    <w:p w:rsidR="007D15C3" w:rsidRPr="006B076E" w:rsidP="007D15C3">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t>,</w:t>
      </w:r>
      <w:r w:rsidRPr="00333EB9">
        <w:t xml:space="preserve"> </w:t>
      </w:r>
      <w:hyperlink r:id="rId11" w:history="1">
        <w:r w:rsidRPr="00333EB9">
          <w:rPr>
            <w:rStyle w:val="Hyperlink"/>
            <w:bCs/>
          </w:rPr>
          <w:t>https://factfinder.census.gov/bkmk/table/1.0/en/COG/2012/ORG02.US01</w:t>
        </w:r>
      </w:hyperlink>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   </w:t>
      </w:r>
    </w:p>
  </w:footnote>
  <w:footnote w:id="223">
    <w:p w:rsidR="007D15C3" w:rsidRPr="00835723" w:rsidP="007D15C3">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hyperlink r:id="rId12"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224">
    <w:p w:rsidR="007D15C3" w:rsidRPr="00835723" w:rsidP="007D15C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13"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225">
    <w:p w:rsidR="007D15C3" w:rsidRPr="00835723" w:rsidP="007D15C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14" w:history="1">
        <w:r w:rsidRPr="006B7181">
          <w:rPr>
            <w:rStyle w:val="Hyperlink"/>
            <w:bCs/>
          </w:rPr>
          <w:t>https://factfinder.census.gov/bkmk/table/1.0/en/COG/2012/ORG11.US01</w:t>
        </w:r>
      </w:hyperlink>
      <w:r w:rsidRPr="006B7181">
        <w:rPr>
          <w:bCs/>
          <w:color w:val="4E4B47"/>
        </w:rPr>
        <w:t xml:space="preserve">. </w:t>
      </w:r>
      <w:r>
        <w:rPr>
          <w:bCs/>
          <w:color w:val="4E4B47"/>
        </w:rPr>
        <w:t xml:space="preserve"> </w:t>
      </w:r>
      <w:r w:rsidRPr="006B7181">
        <w:t xml:space="preserve">There were </w:t>
      </w:r>
      <w:r w:rsidRPr="00835723">
        <w:t>12,184 independent school districts with enrollment populations less than 50,000.</w:t>
      </w:r>
    </w:p>
  </w:footnote>
  <w:footnote w:id="226">
    <w:p w:rsidR="007D15C3" w:rsidRPr="00835723" w:rsidP="007D15C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15" w:history="1">
        <w:r w:rsidRPr="00835723">
          <w:rPr>
            <w:rStyle w:val="Hyperlink"/>
            <w:bCs/>
          </w:rPr>
          <w:t>https://factfinder.census.gov/bkmk/table/1.0/en/COG/2012/ORG09.US01</w:t>
        </w:r>
      </w:hyperlink>
      <w:r w:rsidRPr="00DE6E25">
        <w:rPr>
          <w:rStyle w:val="Hyperlink"/>
          <w:bCs/>
        </w:rPr>
        <w:t xml:space="preserve">.  </w:t>
      </w:r>
      <w:r w:rsidRPr="00835723">
        <w:rPr>
          <w:rStyle w:val="Hyperlink"/>
          <w:bCs/>
        </w:rPr>
        <w:t>The U.S. Census Bureau data did not provide a population breakout for special district governments.</w:t>
      </w:r>
    </w:p>
  </w:footnote>
  <w:footnote w:id="227">
    <w:p w:rsidR="007D15C3" w:rsidRPr="00930D2A" w:rsidP="007D15C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w:t>
      </w:r>
      <w:hyperlink r:id="rId12"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13"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14" w:history="1">
        <w:r w:rsidRPr="007F3B6C">
          <w:rPr>
            <w:rStyle w:val="Hyperlink"/>
            <w:bCs/>
          </w:rPr>
          <w:t>https://factfinder.census.gov/bkmk/table/1.0/en/COG/2012/ORG11.US01</w:t>
        </w:r>
      </w:hyperlink>
      <w:r w:rsidRPr="007F3B6C">
        <w:rPr>
          <w:rStyle w:val="Hyperlink"/>
          <w:bCs/>
        </w:rPr>
        <w:t>.</w:t>
      </w:r>
      <w:r w:rsidRPr="00930D2A">
        <w:rPr>
          <w:rStyle w:val="Hyperlink"/>
          <w:bCs/>
        </w:rPr>
        <w:t xml:space="preserve">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28">
    <w:p w:rsidR="007D15C3" w:rsidP="007D15C3">
      <w:pPr>
        <w:pStyle w:val="FootnoteText"/>
      </w:pPr>
      <w:r>
        <w:rPr>
          <w:rStyle w:val="FootnoteReference"/>
        </w:rPr>
        <w:footnoteRef/>
      </w:r>
      <w:r>
        <w:t xml:space="preserve"> </w:t>
      </w:r>
      <w:r w:rsidRPr="00BE1BA4">
        <w:rPr>
          <w:i/>
        </w:rPr>
        <w:t>Id.</w:t>
      </w:r>
    </w:p>
  </w:footnote>
  <w:footnote w:id="229">
    <w:p w:rsidR="007D15C3" w:rsidP="007D15C3">
      <w:pPr>
        <w:pStyle w:val="FootnoteText"/>
      </w:pPr>
      <w:r>
        <w:rPr>
          <w:rStyle w:val="FootnoteReference"/>
        </w:rPr>
        <w:footnoteRef/>
      </w:r>
      <w:r>
        <w:t xml:space="preserve"> 47 U.S.C. </w:t>
      </w:r>
      <w:r>
        <w:rPr>
          <w:rStyle w:val="Footnote"/>
        </w:rPr>
        <w:t xml:space="preserve">§ </w:t>
      </w:r>
      <w:r>
        <w:t>158(d)(1)(A).</w:t>
      </w:r>
    </w:p>
  </w:footnote>
  <w:footnote w:id="230">
    <w:p w:rsidR="007D15C3" w:rsidP="007D15C3">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16" w:history="1">
        <w:r w:rsidRPr="007F5266">
          <w:rPr>
            <w:rStyle w:val="Hyperlink"/>
          </w:rPr>
          <w:t>https://www.census.gov/cgi-bin/sssd/naics/naicsrch?input=517919&amp;search=2017+NAICS+Search&amp;search=2017</w:t>
        </w:r>
      </w:hyperlink>
      <w:r>
        <w:rPr>
          <w:rStyle w:val="Hyperlink"/>
        </w:rPr>
        <w:t>.</w:t>
      </w:r>
    </w:p>
  </w:footnote>
  <w:footnote w:id="231">
    <w:p w:rsidR="007D15C3" w:rsidRPr="000E22EF" w:rsidP="007D15C3">
      <w:pPr>
        <w:pStyle w:val="FootnoteText"/>
        <w:rPr>
          <w:i/>
        </w:rPr>
      </w:pPr>
      <w:r>
        <w:rPr>
          <w:rStyle w:val="FootnoteReference"/>
        </w:rPr>
        <w:footnoteRef/>
      </w:r>
      <w:r>
        <w:t xml:space="preserve"> </w:t>
      </w:r>
      <w:r>
        <w:rPr>
          <w:i/>
        </w:rPr>
        <w:t>Id.</w:t>
      </w:r>
    </w:p>
  </w:footnote>
  <w:footnote w:id="232">
    <w:p w:rsidR="007D15C3" w:rsidRPr="003B1F31" w:rsidP="007D15C3">
      <w:pPr>
        <w:pStyle w:val="FootnoteText"/>
      </w:pPr>
      <w:r w:rsidRPr="003B1F31">
        <w:rPr>
          <w:rStyle w:val="FootnoteReference"/>
        </w:rPr>
        <w:footnoteRef/>
      </w:r>
      <w:r>
        <w:rPr>
          <w:i/>
        </w:rPr>
        <w:t xml:space="preserve"> Id</w:t>
      </w:r>
      <w:r w:rsidRPr="003B1F31">
        <w:t>.</w:t>
      </w:r>
    </w:p>
  </w:footnote>
  <w:footnote w:id="233">
    <w:p w:rsidR="007D15C3" w:rsidRPr="003B1F31" w:rsidP="007D15C3">
      <w:pPr>
        <w:pStyle w:val="FootnoteText"/>
      </w:pPr>
      <w:r w:rsidRPr="003B1F31">
        <w:rPr>
          <w:rStyle w:val="FootnoteReference"/>
        </w:rPr>
        <w:footnoteRef/>
      </w:r>
      <w:r w:rsidRPr="003B1F31">
        <w:t xml:space="preserve"> </w:t>
      </w:r>
      <w:r w:rsidRPr="003B1F31">
        <w:rPr>
          <w:i/>
        </w:rPr>
        <w:t>See</w:t>
      </w:r>
      <w:r w:rsidRPr="003B1F31">
        <w:t xml:space="preserve"> 13 CFR § 121.201, NAICS code 517919.</w:t>
      </w:r>
    </w:p>
  </w:footnote>
  <w:footnote w:id="234">
    <w:p w:rsidR="007D15C3" w:rsidP="007D15C3">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17" w:history="1">
        <w:r w:rsidRPr="00C57312">
          <w:rPr>
            <w:rStyle w:val="Hyperlink"/>
          </w:rPr>
          <w:t>https://factfinder.census.gov/bkmk/table/1.0/en/ECN/2012_US/51SSSZ4//naics~517919</w:t>
        </w:r>
      </w:hyperlink>
      <w:r>
        <w:rPr>
          <w:rStyle w:val="Hyperlink"/>
        </w:rPr>
        <w:t>.</w:t>
      </w:r>
    </w:p>
  </w:footnote>
  <w:footnote w:id="235">
    <w:p w:rsidR="007D15C3" w:rsidRPr="003B1F31" w:rsidP="007D15C3">
      <w:pPr>
        <w:pStyle w:val="FootnoteText"/>
      </w:pPr>
      <w:r w:rsidRPr="003B1F31">
        <w:rPr>
          <w:rStyle w:val="FootnoteReference"/>
        </w:rPr>
        <w:footnoteRef/>
      </w:r>
      <w:r w:rsidRPr="003B1F31">
        <w:t xml:space="preserve"> </w:t>
      </w:r>
      <w:r>
        <w:rPr>
          <w:i/>
        </w:rPr>
        <w:t>Id.</w:t>
      </w:r>
    </w:p>
  </w:footnote>
  <w:footnote w:id="236">
    <w:p w:rsidR="007D15C3" w:rsidP="007D15C3">
      <w:pPr>
        <w:pStyle w:val="FootnoteText"/>
      </w:pPr>
      <w:r>
        <w:rPr>
          <w:rStyle w:val="FootnoteReference"/>
        </w:rPr>
        <w:footnoteRef/>
      </w:r>
      <w:r>
        <w:t xml:space="preserve"> </w:t>
      </w:r>
      <w:r w:rsidRPr="00185ED3">
        <w:t>5 U.S.C. § 603(c)(1)–(c)(4).</w:t>
      </w:r>
    </w:p>
  </w:footnote>
  <w:footnote w:id="237">
    <w:p w:rsidR="007D15C3" w:rsidP="007D15C3">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238">
    <w:p w:rsidR="007D15C3" w:rsidP="007D15C3">
      <w:pPr>
        <w:pStyle w:val="FootnoteText"/>
      </w:pPr>
      <w:r>
        <w:rPr>
          <w:rStyle w:val="FootnoteReference"/>
        </w:rPr>
        <w:footnoteRef/>
      </w:r>
      <w:r>
        <w:t xml:space="preserve"> 5 U.S.C.</w:t>
      </w:r>
      <w:r>
        <w:rPr>
          <w:spacing w:val="-2"/>
        </w:rPr>
        <w:t xml:space="preserve"> §</w:t>
      </w:r>
      <w:r>
        <w:t xml:space="preserve"> 603(a).</w:t>
      </w:r>
    </w:p>
  </w:footnote>
  <w:footnote w:id="239">
    <w:p w:rsidR="007D15C3" w:rsidP="007D15C3">
      <w:pPr>
        <w:pStyle w:val="FootnoteText"/>
      </w:pPr>
      <w:r>
        <w:rPr>
          <w:rStyle w:val="FootnoteReference"/>
        </w:rPr>
        <w:footnoteRef/>
      </w:r>
      <w:r>
        <w:t xml:space="preserve"> </w:t>
      </w:r>
      <w:r w:rsidRPr="00820DF8">
        <w:rPr>
          <w:i/>
        </w:rPr>
        <w:t>Id.</w:t>
      </w:r>
    </w:p>
  </w:footnote>
  <w:footnote w:id="240">
    <w:p w:rsidR="007D15C3" w:rsidP="007D15C3">
      <w:pPr>
        <w:pStyle w:val="FootnoteText"/>
      </w:pPr>
      <w:r>
        <w:rPr>
          <w:rStyle w:val="FootnoteReference"/>
        </w:rPr>
        <w:footnoteRef/>
      </w:r>
      <w:r>
        <w:t xml:space="preserve"> 47 U.S.C. </w:t>
      </w:r>
      <w:r>
        <w:rPr>
          <w:rStyle w:val="Footnote"/>
        </w:rPr>
        <w:t xml:space="preserve">§ </w:t>
      </w:r>
      <w:r>
        <w:t>159.</w:t>
      </w:r>
    </w:p>
  </w:footnote>
  <w:footnote w:id="241">
    <w:p w:rsidR="007D15C3" w:rsidP="007D15C3">
      <w:pPr>
        <w:pStyle w:val="FootnoteText"/>
      </w:pPr>
      <w:r>
        <w:rPr>
          <w:rStyle w:val="FootnoteReference"/>
        </w:rPr>
        <w:footnoteRef/>
      </w:r>
      <w:r>
        <w:t xml:space="preserve"> 47 U.S.C. </w:t>
      </w:r>
      <w:r>
        <w:rPr>
          <w:spacing w:val="-2"/>
        </w:rPr>
        <w:t>§ 159(a).</w:t>
      </w:r>
    </w:p>
  </w:footnote>
  <w:footnote w:id="242">
    <w:p w:rsidR="007D15C3" w:rsidP="007D15C3">
      <w:pPr>
        <w:pStyle w:val="FootnoteText"/>
      </w:pPr>
      <w:r>
        <w:rPr>
          <w:rStyle w:val="FootnoteReference"/>
        </w:rPr>
        <w:footnoteRef/>
      </w:r>
      <w:r>
        <w:t xml:space="preserve"> 47 U.S.C. </w:t>
      </w:r>
      <w:r>
        <w:rPr>
          <w:rStyle w:val="Footnote"/>
        </w:rPr>
        <w:t xml:space="preserve">§§ </w:t>
      </w:r>
      <w:r>
        <w:t>154(</w:t>
      </w:r>
      <w:r>
        <w:t>i</w:t>
      </w:r>
      <w:r>
        <w:t>) and (j), 159, and 303(r).</w:t>
      </w:r>
    </w:p>
  </w:footnote>
  <w:footnote w:id="243">
    <w:p w:rsidR="007D15C3" w:rsidP="007D15C3">
      <w:pPr>
        <w:pStyle w:val="FootnoteText"/>
      </w:pPr>
      <w:r>
        <w:rPr>
          <w:rStyle w:val="FootnoteReference"/>
        </w:rPr>
        <w:footnoteRef/>
      </w:r>
      <w:r>
        <w:t xml:space="preserve"> </w:t>
      </w:r>
      <w:r>
        <w:rPr>
          <w:rStyle w:val="Footnote"/>
        </w:rPr>
        <w:t>5 U.S.C. § 603(b)(3).</w:t>
      </w:r>
    </w:p>
  </w:footnote>
  <w:footnote w:id="244">
    <w:p w:rsidR="007D15C3" w:rsidP="007D15C3">
      <w:pPr>
        <w:pStyle w:val="FootnoteText"/>
      </w:pPr>
      <w:r>
        <w:rPr>
          <w:rStyle w:val="FootnoteReference"/>
        </w:rPr>
        <w:footnoteRef/>
      </w:r>
      <w:r>
        <w:t xml:space="preserve"> </w:t>
      </w:r>
      <w:r>
        <w:rPr>
          <w:rStyle w:val="Footnote"/>
        </w:rPr>
        <w:t>5 U.S.C. § 601(6).</w:t>
      </w:r>
    </w:p>
  </w:footnote>
  <w:footnote w:id="245">
    <w:p w:rsidR="007D15C3" w:rsidP="007D15C3">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246">
    <w:p w:rsidR="007D15C3" w:rsidP="007D15C3">
      <w:pPr>
        <w:pStyle w:val="FootnoteText"/>
      </w:pPr>
      <w:r>
        <w:rPr>
          <w:rStyle w:val="FootnoteReference"/>
        </w:rPr>
        <w:footnoteRef/>
      </w:r>
      <w:r>
        <w:t xml:space="preserve"> </w:t>
      </w:r>
      <w:r>
        <w:rPr>
          <w:rStyle w:val="Footnote"/>
        </w:rPr>
        <w:t>15 U.S.C. § 632.</w:t>
      </w:r>
    </w:p>
  </w:footnote>
  <w:footnote w:id="247">
    <w:p w:rsidR="007D15C3" w:rsidP="007D15C3">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248">
    <w:p w:rsidR="007D15C3" w:rsidP="007D15C3">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8" w:history="1">
        <w:r w:rsidRPr="00CE6CB1">
          <w:rPr>
            <w:rStyle w:val="Hyperlink"/>
          </w:rPr>
          <w:t>https://www.sba.gov/sites/default/files/advocacy/SB-FAQ-2016_WEB.pdf</w:t>
        </w:r>
      </w:hyperlink>
      <w:r>
        <w:t xml:space="preserve"> (June 2016).</w:t>
      </w:r>
    </w:p>
  </w:footnote>
  <w:footnote w:id="249">
    <w:p w:rsidR="007D15C3" w:rsidP="007D15C3">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8" w:history="1">
        <w:r w:rsidRPr="00CE6CB1">
          <w:rPr>
            <w:rStyle w:val="Hyperlink"/>
          </w:rPr>
          <w:t>https://www.sba.gov/sites/default/files/advocacy/SB-FAQ-2016_WEB.pdf</w:t>
        </w:r>
      </w:hyperlink>
      <w:r>
        <w:t xml:space="preserve"> (June 2016).</w:t>
      </w:r>
    </w:p>
  </w:footnote>
  <w:footnote w:id="250">
    <w:p w:rsidR="007D15C3" w:rsidRPr="006B076E" w:rsidP="007D15C3">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251">
    <w:p w:rsidR="007D15C3" w:rsidRPr="006B076E" w:rsidP="007D15C3">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9"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252">
    <w:p w:rsidR="007D15C3" w:rsidRPr="006B076E" w:rsidP="007D15C3">
      <w:pPr>
        <w:pStyle w:val="FootnoteText"/>
      </w:pPr>
      <w:r w:rsidRPr="006B076E">
        <w:rPr>
          <w:rStyle w:val="FootnoteReference"/>
          <w:spacing w:val="-2"/>
        </w:rPr>
        <w:footnoteRef/>
      </w:r>
      <w:r w:rsidRPr="006B076E">
        <w:t xml:space="preserve"> 5 U.S.C. § 601(5).</w:t>
      </w:r>
    </w:p>
  </w:footnote>
  <w:footnote w:id="253">
    <w:p w:rsidR="007D15C3" w:rsidRPr="005E7451" w:rsidP="007D15C3">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10" w:history="1">
        <w:r w:rsidRPr="009A1F07">
          <w:rPr>
            <w:rStyle w:val="Hyperlink"/>
          </w:rPr>
          <w:t>https://factfinder.census.gov/faces/affhelp/jsf/pages/metadata.xhtml?lang=en&amp;type=program&amp;id=program.en.COG#</w:t>
        </w:r>
      </w:hyperlink>
    </w:p>
  </w:footnote>
  <w:footnote w:id="254">
    <w:p w:rsidR="007D15C3" w:rsidRPr="006B076E" w:rsidP="007D15C3">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t>,</w:t>
      </w:r>
      <w:r w:rsidRPr="00333EB9">
        <w:t xml:space="preserve"> </w:t>
      </w:r>
      <w:hyperlink r:id="rId11" w:history="1">
        <w:r w:rsidRPr="00333EB9">
          <w:rPr>
            <w:rStyle w:val="Hyperlink"/>
            <w:bCs/>
          </w:rPr>
          <w:t>https://factfinder.census.gov/bkmk/table/1.0/en/COG/2012/ORG02.US01</w:t>
        </w:r>
      </w:hyperlink>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   </w:t>
      </w:r>
    </w:p>
  </w:footnote>
  <w:footnote w:id="255">
    <w:p w:rsidR="007D15C3" w:rsidRPr="00835723" w:rsidP="007D15C3">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hyperlink r:id="rId12"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256">
    <w:p w:rsidR="007D15C3" w:rsidRPr="00835723" w:rsidP="007D15C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13"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257">
    <w:p w:rsidR="007D15C3" w:rsidRPr="00835723" w:rsidP="007D15C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14" w:history="1">
        <w:r w:rsidRPr="006B7181">
          <w:rPr>
            <w:rStyle w:val="Hyperlink"/>
            <w:bCs/>
          </w:rPr>
          <w:t>https://factfinder.census.gov/bkmk/table/1.0/en/COG/2012/ORG11.US01</w:t>
        </w:r>
      </w:hyperlink>
      <w:r w:rsidRPr="006B7181">
        <w:rPr>
          <w:bCs/>
          <w:color w:val="4E4B47"/>
        </w:rPr>
        <w:t xml:space="preserve">. </w:t>
      </w:r>
      <w:r>
        <w:rPr>
          <w:bCs/>
          <w:color w:val="4E4B47"/>
        </w:rPr>
        <w:t xml:space="preserve"> </w:t>
      </w:r>
      <w:r w:rsidRPr="006B7181">
        <w:t xml:space="preserve">There were </w:t>
      </w:r>
      <w:r w:rsidRPr="00835723">
        <w:t>12,184 independent school districts with enrollment populations less than 50,000.</w:t>
      </w:r>
    </w:p>
  </w:footnote>
  <w:footnote w:id="258">
    <w:p w:rsidR="007D15C3" w:rsidRPr="00835723" w:rsidP="007D15C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15" w:history="1">
        <w:r w:rsidRPr="00835723">
          <w:rPr>
            <w:rStyle w:val="Hyperlink"/>
            <w:bCs/>
          </w:rPr>
          <w:t>https://factfinder.census.gov/bkmk/table/1.0/en/COG/2012/ORG09.US01</w:t>
        </w:r>
      </w:hyperlink>
      <w:r w:rsidRPr="00DE6E25">
        <w:rPr>
          <w:rStyle w:val="Hyperlink"/>
          <w:bCs/>
        </w:rPr>
        <w:t xml:space="preserve">.  </w:t>
      </w:r>
      <w:r w:rsidRPr="00835723">
        <w:rPr>
          <w:rStyle w:val="Hyperlink"/>
          <w:bCs/>
        </w:rPr>
        <w:t>The U.S. Census Bureau data did not provide a population breakout for special district governments.</w:t>
      </w:r>
    </w:p>
  </w:footnote>
  <w:footnote w:id="259">
    <w:p w:rsidR="007D15C3" w:rsidRPr="00930D2A" w:rsidP="007D15C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w:t>
      </w:r>
      <w:hyperlink r:id="rId12"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13"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14" w:history="1">
        <w:r w:rsidRPr="007F3B6C">
          <w:rPr>
            <w:rStyle w:val="Hyperlink"/>
            <w:bCs/>
          </w:rPr>
          <w:t>https://factfinder.census.gov/bkmk/table/1.0/en/COG/2012/ORG11.US01</w:t>
        </w:r>
      </w:hyperlink>
      <w:r w:rsidRPr="007F3B6C">
        <w:rPr>
          <w:rStyle w:val="Hyperlink"/>
          <w:bCs/>
        </w:rPr>
        <w:t>.</w:t>
      </w:r>
      <w:r w:rsidRPr="00930D2A">
        <w:rPr>
          <w:rStyle w:val="Hyperlink"/>
          <w:bCs/>
        </w:rPr>
        <w:t xml:space="preserve">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60">
    <w:p w:rsidR="007D15C3" w:rsidP="007D15C3">
      <w:pPr>
        <w:pStyle w:val="FootnoteText"/>
      </w:pPr>
      <w:r>
        <w:rPr>
          <w:rStyle w:val="FootnoteReference"/>
        </w:rPr>
        <w:footnoteRef/>
      </w:r>
      <w:r>
        <w:t xml:space="preserve"> </w:t>
      </w:r>
      <w:r w:rsidRPr="00BE1BA4">
        <w:rPr>
          <w:i/>
        </w:rPr>
        <w:t>Id.</w:t>
      </w:r>
    </w:p>
  </w:footnote>
  <w:footnote w:id="261">
    <w:p w:rsidR="007D15C3" w:rsidP="007D15C3">
      <w:pPr>
        <w:pStyle w:val="FootnoteText"/>
      </w:pPr>
      <w:r>
        <w:rPr>
          <w:rStyle w:val="FootnoteReference"/>
        </w:rPr>
        <w:footnoteRef/>
      </w:r>
      <w:r>
        <w:t xml:space="preserve"> 47 U.S.C. </w:t>
      </w:r>
      <w:r>
        <w:rPr>
          <w:rStyle w:val="Footnote"/>
        </w:rPr>
        <w:t xml:space="preserve">§ </w:t>
      </w:r>
      <w:r>
        <w:t>158(d)(1)(A).</w:t>
      </w:r>
    </w:p>
  </w:footnote>
  <w:footnote w:id="262">
    <w:p w:rsidR="007D15C3" w:rsidRPr="001B5DD6" w:rsidP="007D15C3">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bookmarkStart w:id="242" w:name="_Hlk12516558"/>
      <w:r w:rsidRPr="0064095E">
        <w:rPr>
          <w:i/>
        </w:rPr>
        <w:t>See</w:t>
      </w:r>
      <w:r>
        <w:rPr>
          <w:i/>
        </w:rPr>
        <w:t xml:space="preserve"> </w:t>
      </w:r>
      <w:r>
        <w:t xml:space="preserve">U.S. Census Bureau, </w:t>
      </w:r>
      <w:r w:rsidRPr="000461CF">
        <w:rPr>
          <w:i/>
        </w:rPr>
        <w:t>2017 NAICS Definition</w:t>
      </w:r>
      <w:r>
        <w:t xml:space="preserve">, </w:t>
      </w:r>
      <w:hyperlink r:id="rId18" w:history="1">
        <w:r w:rsidRPr="004C4449">
          <w:rPr>
            <w:rStyle w:val="Hyperlink"/>
          </w:rPr>
          <w:t>https://www.census.gov/cgi-bin/sssd/naics/naicsrch?code=517311&amp;search=2017</w:t>
        </w:r>
      </w:hyperlink>
      <w:bookmarkEnd w:id="242"/>
      <w:r>
        <w:t xml:space="preserve">. </w:t>
      </w:r>
    </w:p>
  </w:footnote>
  <w:footnote w:id="263">
    <w:p w:rsidR="007D15C3" w:rsidP="007D15C3">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120.201, NAICS Code 517311 (previously 517110)</w:t>
      </w:r>
      <w:r w:rsidRPr="00C43F7F">
        <w:t>.</w:t>
      </w:r>
    </w:p>
  </w:footnote>
  <w:footnote w:id="264">
    <w:p w:rsidR="007D15C3" w:rsidP="007D15C3">
      <w:pPr>
        <w:pStyle w:val="FootnoteText"/>
      </w:pPr>
      <w:r>
        <w:rPr>
          <w:rStyle w:val="FootnoteReference"/>
        </w:rPr>
        <w:footnoteRef/>
      </w:r>
      <w:r>
        <w:t xml:space="preserve"> </w:t>
      </w:r>
      <w:bookmarkStart w:id="243" w:name="_Hlk12430771"/>
      <w:r w:rsidRPr="00AF368C">
        <w:rPr>
          <w:i/>
        </w:rPr>
        <w:t>See</w:t>
      </w:r>
      <w:r>
        <w:t xml:space="preserve"> </w:t>
      </w:r>
      <w:bookmarkStart w:id="244" w:name="_Hlk12516593"/>
      <w:r>
        <w:t xml:space="preserve">U.S. Census Bureau, </w:t>
      </w:r>
      <w:bookmarkStart w:id="245"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19" w:history="1">
        <w:r w:rsidRPr="00B032BC">
          <w:rPr>
            <w:rStyle w:val="Hyperlink"/>
          </w:rPr>
          <w:t>https://factfinder.census.gov/bkmk/table/1.0/en/ECN/2012_US/51SSSZ5//naics~517110</w:t>
        </w:r>
      </w:hyperlink>
      <w:bookmarkEnd w:id="244"/>
      <w:r>
        <w:t>.</w:t>
      </w:r>
      <w:bookmarkEnd w:id="245"/>
    </w:p>
    <w:bookmarkEnd w:id="243"/>
  </w:footnote>
  <w:footnote w:id="265">
    <w:p w:rsidR="007D15C3" w:rsidP="007D15C3">
      <w:pPr>
        <w:pStyle w:val="FootnoteText"/>
      </w:pPr>
      <w:r>
        <w:rPr>
          <w:rStyle w:val="FootnoteReference"/>
        </w:rPr>
        <w:footnoteRef/>
      </w:r>
      <w:r>
        <w:t xml:space="preserve"> </w:t>
      </w:r>
      <w:r w:rsidRPr="00AF368C">
        <w:rPr>
          <w:i/>
        </w:rPr>
        <w:t>Id.</w:t>
      </w:r>
    </w:p>
  </w:footnote>
  <w:footnote w:id="266">
    <w:p w:rsidR="007D15C3" w:rsidP="007D15C3">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8" w:history="1">
        <w:r w:rsidRPr="004C4449">
          <w:rPr>
            <w:rStyle w:val="Hyperlink"/>
          </w:rPr>
          <w:t>https://www.census.gov/cgi-bin/sssd/naics/naicsrch?code=517311&amp;search=2017</w:t>
        </w:r>
      </w:hyperlink>
      <w:r>
        <w:t>.</w:t>
      </w:r>
    </w:p>
  </w:footnote>
  <w:footnote w:id="267">
    <w:p w:rsidR="007D15C3" w:rsidRPr="0048189B" w:rsidP="007D15C3">
      <w:pPr>
        <w:pStyle w:val="FootnoteText"/>
        <w:rPr>
          <w:i/>
        </w:rPr>
      </w:pPr>
      <w:r>
        <w:rPr>
          <w:rStyle w:val="FootnoteReference"/>
        </w:rPr>
        <w:footnoteRef/>
      </w:r>
      <w:r>
        <w:t xml:space="preserve"> </w:t>
      </w:r>
      <w:r>
        <w:rPr>
          <w:i/>
        </w:rPr>
        <w:t>Id.</w:t>
      </w:r>
    </w:p>
  </w:footnote>
  <w:footnote w:id="268">
    <w:p w:rsidR="007D15C3" w:rsidP="007D15C3">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19" w:history="1">
        <w:r w:rsidRPr="00B032BC">
          <w:rPr>
            <w:rStyle w:val="Hyperlink"/>
          </w:rPr>
          <w:t>https://factfinder.census.gov/bkmk/table/1.0/en/ECN/2012_US/51SSSZ5//naics~517110</w:t>
        </w:r>
      </w:hyperlink>
      <w:r>
        <w:rPr>
          <w:rStyle w:val="Hyperlink"/>
        </w:rPr>
        <w:t>.</w:t>
      </w:r>
    </w:p>
  </w:footnote>
  <w:footnote w:id="269">
    <w:p w:rsidR="007D15C3" w:rsidRPr="001B5DD6" w:rsidP="007D15C3">
      <w:pPr>
        <w:pStyle w:val="FootnoteText"/>
      </w:pPr>
      <w:r w:rsidRPr="001B5DD6">
        <w:rPr>
          <w:rStyle w:val="FootnoteReference"/>
        </w:rPr>
        <w:footnoteRef/>
      </w:r>
      <w:r>
        <w:t xml:space="preserve"> </w:t>
      </w:r>
      <w:r>
        <w:rPr>
          <w:i/>
        </w:rPr>
        <w:t>Id.</w:t>
      </w:r>
    </w:p>
  </w:footnote>
  <w:footnote w:id="270">
    <w:p w:rsidR="007D15C3" w:rsidP="007D15C3">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8" w:history="1">
        <w:r w:rsidRPr="004C4449">
          <w:rPr>
            <w:rStyle w:val="Hyperlink"/>
          </w:rPr>
          <w:t>https://www.census.gov/cgi-bin/sssd/naics/naicsrch?code=517311&amp;search=2017</w:t>
        </w:r>
      </w:hyperlink>
      <w:r>
        <w:rPr>
          <w:rStyle w:val="Hyperlink"/>
        </w:rPr>
        <w:t>.</w:t>
      </w:r>
    </w:p>
  </w:footnote>
  <w:footnote w:id="271">
    <w:p w:rsidR="007D15C3" w:rsidP="007D15C3">
      <w:pPr>
        <w:pStyle w:val="FootnoteText"/>
      </w:pPr>
      <w:r w:rsidRPr="00656B5E">
        <w:rPr>
          <w:rStyle w:val="FootnoteReference"/>
        </w:rPr>
        <w:footnoteRef/>
      </w:r>
      <w:r w:rsidRPr="00656B5E">
        <w:rPr>
          <w:rStyle w:val="Hyperlink"/>
        </w:rPr>
        <w:t xml:space="preserve"> </w:t>
      </w:r>
      <w:r w:rsidRPr="00656B5E">
        <w:rPr>
          <w:rStyle w:val="Hyperlink"/>
          <w:i/>
        </w:rPr>
        <w:t>Id</w:t>
      </w:r>
      <w:r w:rsidRPr="00656B5E">
        <w:rPr>
          <w:rStyle w:val="Hyperlink"/>
        </w:rPr>
        <w:t>.</w:t>
      </w:r>
    </w:p>
  </w:footnote>
  <w:footnote w:id="272">
    <w:p w:rsidR="007D15C3" w:rsidP="007D15C3">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19" w:history="1">
        <w:r w:rsidRPr="00B032BC">
          <w:rPr>
            <w:rStyle w:val="Hyperlink"/>
          </w:rPr>
          <w:t>https://factfinder.census.gov/bkmk/table/1.0/en/ECN/2012_US/51SSSZ5//naics~517110</w:t>
        </w:r>
      </w:hyperlink>
      <w:r>
        <w:rPr>
          <w:rStyle w:val="Hyperlink"/>
        </w:rPr>
        <w:t>.</w:t>
      </w:r>
    </w:p>
  </w:footnote>
  <w:footnote w:id="273">
    <w:p w:rsidR="007D15C3" w:rsidRPr="00703968" w:rsidP="007D15C3">
      <w:pPr>
        <w:pStyle w:val="FootnoteText"/>
        <w:rPr>
          <w:i/>
        </w:rPr>
      </w:pPr>
      <w:r>
        <w:rPr>
          <w:rStyle w:val="FootnoteReference"/>
        </w:rPr>
        <w:footnoteRef/>
      </w:r>
      <w:r>
        <w:t xml:space="preserve"> </w:t>
      </w:r>
      <w:r>
        <w:rPr>
          <w:i/>
        </w:rPr>
        <w:t xml:space="preserve">Id. </w:t>
      </w:r>
    </w:p>
  </w:footnote>
  <w:footnote w:id="274">
    <w:p w:rsidR="007D15C3" w:rsidRPr="001B5DD6" w:rsidP="007D15C3">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275">
    <w:p w:rsidR="007D15C3" w:rsidRPr="001B5DD6" w:rsidP="007D15C3">
      <w:pPr>
        <w:pStyle w:val="FootnoteText"/>
      </w:pPr>
      <w:r w:rsidRPr="001B5DD6">
        <w:rPr>
          <w:rStyle w:val="FootnoteReference"/>
        </w:rPr>
        <w:footnoteRef/>
      </w:r>
      <w:r w:rsidRPr="001B5DD6">
        <w:t xml:space="preserve"> </w:t>
      </w:r>
      <w:r w:rsidRPr="001B5DD6">
        <w:rPr>
          <w:i/>
        </w:rPr>
        <w:t>Id</w:t>
      </w:r>
      <w:r w:rsidRPr="00384B16">
        <w:t>.</w:t>
      </w:r>
    </w:p>
  </w:footnote>
  <w:footnote w:id="276">
    <w:p w:rsidR="007D15C3" w:rsidRPr="00F55DAB" w:rsidP="007D15C3">
      <w:pPr>
        <w:pStyle w:val="FootnoteText"/>
      </w:pPr>
      <w:r w:rsidRPr="00F55DAB">
        <w:rPr>
          <w:rStyle w:val="FootnoteReference"/>
        </w:rPr>
        <w:footnoteRef/>
      </w:r>
      <w:r w:rsidRPr="00F55DAB">
        <w:t xml:space="preserve"> </w:t>
      </w:r>
      <w:bookmarkStart w:id="246" w:name="_Hlk516057508"/>
      <w:r w:rsidRPr="00F55DAB">
        <w:rPr>
          <w:i/>
        </w:rPr>
        <w:t>See</w:t>
      </w:r>
      <w:r w:rsidRPr="00F55DAB">
        <w:t xml:space="preserve"> </w:t>
      </w:r>
      <w:r w:rsidRPr="00F55DAB">
        <w:rPr>
          <w:color w:val="000000"/>
        </w:rPr>
        <w:t xml:space="preserve">13 CFR § 121.201. </w:t>
      </w:r>
      <w:r w:rsidRPr="00F55DAB">
        <w:t xml:space="preserve">The Wired Telecommunications Carrier category formerly used the NAICS code of 517110. As of 2017 the U.S. Census Bureau definition shows the NAICs code as 517311 for Wired Telecommunications Carriers.  </w:t>
      </w:r>
      <w:r w:rsidRPr="00F55DAB">
        <w:rPr>
          <w:i/>
        </w:rPr>
        <w:t>See</w:t>
      </w:r>
      <w:r w:rsidRPr="00F55DAB">
        <w:t xml:space="preserve">, </w:t>
      </w:r>
      <w:hyperlink r:id="rId18" w:history="1">
        <w:r w:rsidRPr="00F55DAB">
          <w:rPr>
            <w:rStyle w:val="Hyperlink"/>
          </w:rPr>
          <w:t>https://www.census.gov/cgi-bin/sssd/naics/naicsrch?code=517311&amp;search=2017</w:t>
        </w:r>
      </w:hyperlink>
      <w:r w:rsidRPr="00F55DAB">
        <w:t>.</w:t>
      </w:r>
      <w:bookmarkEnd w:id="246"/>
      <w:r w:rsidRPr="00F55DAB">
        <w:t xml:space="preserve"> </w:t>
      </w:r>
    </w:p>
  </w:footnote>
  <w:footnote w:id="277">
    <w:p w:rsidR="007D15C3" w:rsidRPr="00F55DAB" w:rsidP="007D15C3">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rsidRPr="00F55DAB">
        <w:t xml:space="preserve"> (517110 Wired Telecommunications Carriers). </w:t>
      </w:r>
      <w:hyperlink r:id="rId19" w:history="1">
        <w:r w:rsidRPr="00F55DAB">
          <w:rPr>
            <w:rStyle w:val="Hyperlink"/>
          </w:rPr>
          <w:t>https://factfinder.census.gov/bkmk/table/1.0/en/ECN/2012_US/51SSSZ5//naics~517110</w:t>
        </w:r>
      </w:hyperlink>
      <w:r>
        <w:rPr>
          <w:rStyle w:val="Hyperlink"/>
        </w:rPr>
        <w:t>.s</w:t>
      </w:r>
    </w:p>
  </w:footnote>
  <w:footnote w:id="278">
    <w:p w:rsidR="007D15C3" w:rsidRPr="00F55DAB" w:rsidP="007D15C3">
      <w:pPr>
        <w:pStyle w:val="FootnoteText"/>
        <w:rPr>
          <w:i/>
        </w:rPr>
      </w:pPr>
      <w:r w:rsidRPr="00F55DAB">
        <w:rPr>
          <w:rStyle w:val="FootnoteReference"/>
        </w:rPr>
        <w:footnoteRef/>
      </w:r>
      <w:r w:rsidRPr="00F55DAB">
        <w:t xml:space="preserve"> </w:t>
      </w:r>
      <w:r w:rsidRPr="00F55DAB">
        <w:rPr>
          <w:i/>
        </w:rPr>
        <w:t>Id.</w:t>
      </w:r>
    </w:p>
  </w:footnote>
  <w:footnote w:id="279">
    <w:p w:rsidR="007D15C3" w:rsidRPr="00F55DAB" w:rsidP="007D15C3">
      <w:pPr>
        <w:pStyle w:val="FootnoteText"/>
      </w:pPr>
      <w:r w:rsidRPr="00F55DAB">
        <w:rPr>
          <w:rStyle w:val="FootnoteReference"/>
        </w:rPr>
        <w:footnoteRef/>
      </w:r>
      <w:r w:rsidRPr="00F55DAB">
        <w:t xml:space="preserve"> </w:t>
      </w:r>
      <w:bookmarkStart w:id="247" w:name="_Hlk516057589"/>
      <w:r w:rsidRPr="00F55DAB">
        <w:rPr>
          <w:i/>
        </w:rPr>
        <w:t xml:space="preserve">See </w:t>
      </w:r>
      <w:r w:rsidRPr="00F55DAB">
        <w:t>Federal Communications Commission, Wireline Competition Bureau, Industry Analysis and Technology Division, Trends in Telephone Service at Table 5.3 (Sept. 2010) (</w:t>
      </w:r>
      <w:r w:rsidRPr="00F55DAB">
        <w:rPr>
          <w:i/>
        </w:rPr>
        <w:t>Trends in Telephone Service</w:t>
      </w:r>
      <w:r w:rsidRPr="00F55DAB">
        <w:t xml:space="preserve">), </w:t>
      </w:r>
      <w:hyperlink r:id="rId20" w:history="1">
        <w:r w:rsidRPr="00F55DAB">
          <w:rPr>
            <w:rStyle w:val="Hyperlink"/>
          </w:rPr>
          <w:t>https://apps.fcc.gov/edocs_public/attachmatch/DOC-301823A1.pdf</w:t>
        </w:r>
      </w:hyperlink>
      <w:bookmarkEnd w:id="247"/>
      <w:r w:rsidRPr="00F55DAB">
        <w:t>.</w:t>
      </w:r>
    </w:p>
  </w:footnote>
  <w:footnote w:id="280">
    <w:p w:rsidR="007D15C3" w:rsidRPr="00F55DAB" w:rsidP="007D15C3">
      <w:pPr>
        <w:pStyle w:val="FootnoteText"/>
      </w:pPr>
      <w:r w:rsidRPr="00F55DAB">
        <w:rPr>
          <w:rStyle w:val="FootnoteReference"/>
        </w:rPr>
        <w:footnoteRef/>
      </w:r>
      <w:r w:rsidRPr="00F55DAB">
        <w:t xml:space="preserve"> </w:t>
      </w:r>
      <w:r w:rsidRPr="00F55DAB">
        <w:rPr>
          <w:i/>
        </w:rPr>
        <w:t>Id</w:t>
      </w:r>
      <w:r w:rsidRPr="00F55DAB">
        <w:t>.</w:t>
      </w:r>
    </w:p>
  </w:footnote>
  <w:footnote w:id="281">
    <w:p w:rsidR="007D15C3" w:rsidRPr="00F55DAB" w:rsidP="007D15C3">
      <w:pPr>
        <w:pStyle w:val="FootnoteText"/>
      </w:pPr>
      <w:r w:rsidRPr="00F55DAB">
        <w:rPr>
          <w:rStyle w:val="FootnoteReference"/>
        </w:rPr>
        <w:footnoteRef/>
      </w:r>
      <w:r w:rsidRPr="00F55DAB">
        <w:t xml:space="preserve"> </w:t>
      </w:r>
      <w:r w:rsidRPr="00F55DAB">
        <w:rPr>
          <w:i/>
        </w:rPr>
        <w:t>Id</w:t>
      </w:r>
      <w:r w:rsidRPr="00F55DAB">
        <w:t>.</w:t>
      </w:r>
    </w:p>
  </w:footnote>
  <w:footnote w:id="282">
    <w:p w:rsidR="007D15C3" w:rsidRPr="00F55DAB" w:rsidP="007D15C3">
      <w:pPr>
        <w:pStyle w:val="FootnoteText"/>
      </w:pPr>
      <w:r w:rsidRPr="00F55DAB">
        <w:rPr>
          <w:rStyle w:val="FootnoteReference"/>
        </w:rPr>
        <w:footnoteRef/>
      </w:r>
      <w:r w:rsidRPr="00F55DAB">
        <w:t xml:space="preserve"> </w:t>
      </w:r>
      <w:r w:rsidRPr="00F55DAB">
        <w:rPr>
          <w:i/>
        </w:rPr>
        <w:t>Id</w:t>
      </w:r>
      <w:r w:rsidRPr="00F55DAB">
        <w:t>.</w:t>
      </w:r>
    </w:p>
  </w:footnote>
  <w:footnote w:id="283">
    <w:p w:rsidR="007D15C3" w:rsidRPr="00F55DAB" w:rsidP="007D15C3">
      <w:pPr>
        <w:pStyle w:val="FootnoteText"/>
      </w:pPr>
      <w:r w:rsidRPr="00F55DAB">
        <w:rPr>
          <w:rStyle w:val="FootnoteReference"/>
        </w:rPr>
        <w:footnoteRef/>
      </w:r>
      <w:r w:rsidRPr="00F55DAB">
        <w:t xml:space="preserve"> </w:t>
      </w:r>
      <w:r w:rsidRPr="00F55DAB">
        <w:rPr>
          <w:i/>
        </w:rPr>
        <w:t>Id</w:t>
      </w:r>
      <w:r w:rsidRPr="00F55DAB">
        <w:t>.</w:t>
      </w:r>
    </w:p>
  </w:footnote>
  <w:footnote w:id="284">
    <w:p w:rsidR="007D15C3" w:rsidP="007D15C3">
      <w:pPr>
        <w:pStyle w:val="FootnoteText"/>
      </w:pPr>
      <w:r>
        <w:rPr>
          <w:rStyle w:val="FootnoteReference"/>
        </w:rPr>
        <w:footnoteRef/>
      </w:r>
      <w:r>
        <w:rPr>
          <w:i/>
        </w:rPr>
        <w:t xml:space="preserve"> 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Pr>
          <w:i/>
        </w:rPr>
        <w:t>See</w:t>
      </w:r>
      <w:r>
        <w:t xml:space="preserve"> U.S. Census Bureau, </w:t>
      </w:r>
      <w:r>
        <w:rPr>
          <w:i/>
        </w:rPr>
        <w:t>2017 NAICS Definition</w:t>
      </w:r>
      <w:r>
        <w:t xml:space="preserve">, </w:t>
      </w:r>
      <w:hyperlink r:id="rId18" w:history="1">
        <w:r>
          <w:rPr>
            <w:rStyle w:val="Hyperlink"/>
          </w:rPr>
          <w:t>https://www.census.gov/cgi-bin/sssd/naics/naicsrch?code=517311&amp;search=2017</w:t>
        </w:r>
      </w:hyperlink>
      <w:r>
        <w:t xml:space="preserve">. </w:t>
      </w:r>
    </w:p>
  </w:footnote>
  <w:footnote w:id="285">
    <w:p w:rsidR="007D15C3" w:rsidRPr="00C43F7F" w:rsidP="007D15C3">
      <w:pPr>
        <w:pStyle w:val="FootnoteText"/>
      </w:pPr>
      <w:r w:rsidRPr="00C43F7F">
        <w:rPr>
          <w:rStyle w:val="FootnoteReference"/>
        </w:rPr>
        <w:footnoteRef/>
      </w:r>
      <w:r>
        <w:t xml:space="preserve"> </w:t>
      </w:r>
      <w:r w:rsidRPr="00742988">
        <w:rPr>
          <w:i/>
        </w:rPr>
        <w:t>Id</w:t>
      </w:r>
      <w:r>
        <w:t xml:space="preserve">. </w:t>
      </w:r>
    </w:p>
  </w:footnote>
  <w:footnote w:id="286">
    <w:p w:rsidR="007D15C3" w:rsidP="007D15C3">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rsidRPr="00F55DAB">
        <w:t xml:space="preserve"> (517110 Wired Telecommunications Carriers). </w:t>
      </w:r>
      <w:hyperlink r:id="rId19" w:history="1">
        <w:r w:rsidRPr="00F55DAB">
          <w:rPr>
            <w:rStyle w:val="Hyperlink"/>
          </w:rPr>
          <w:t>https://factfinder.census.gov/bkmk/table/1.0/en/ECN/2012_US/51SSSZ5//naics~517110</w:t>
        </w:r>
      </w:hyperlink>
      <w:r>
        <w:rPr>
          <w:rStyle w:val="Hyperlink"/>
        </w:rPr>
        <w:t>.</w:t>
      </w:r>
    </w:p>
  </w:footnote>
  <w:footnote w:id="287">
    <w:p w:rsidR="007D15C3" w:rsidRPr="001B5DD6" w:rsidP="007D15C3">
      <w:pPr>
        <w:pStyle w:val="FootnoteText"/>
      </w:pPr>
      <w:r w:rsidRPr="001B5DD6">
        <w:rPr>
          <w:rStyle w:val="FootnoteReference"/>
        </w:rPr>
        <w:footnoteRef/>
      </w:r>
      <w:r>
        <w:t xml:space="preserve"> </w:t>
      </w:r>
      <w:r>
        <w:rPr>
          <w:i/>
        </w:rPr>
        <w:t>Id</w:t>
      </w:r>
      <w:r w:rsidRPr="001B5DD6">
        <w:t>.</w:t>
      </w:r>
    </w:p>
  </w:footnote>
  <w:footnote w:id="288">
    <w:p w:rsidR="007D15C3" w:rsidRPr="001B5DD6" w:rsidP="007D15C3">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20" w:history="1">
        <w:r w:rsidRPr="00F55DAB">
          <w:rPr>
            <w:rStyle w:val="Hyperlink"/>
          </w:rPr>
          <w:t>https://apps.fcc.gov/edocs_public/attachmatch/DOC-301823A1.pdf</w:t>
        </w:r>
      </w:hyperlink>
      <w:r w:rsidRPr="00F55DAB">
        <w:t>.</w:t>
      </w:r>
    </w:p>
  </w:footnote>
  <w:footnote w:id="289">
    <w:p w:rsidR="007D15C3" w:rsidRPr="001B5DD6" w:rsidP="007D15C3">
      <w:pPr>
        <w:pStyle w:val="FootnoteText"/>
      </w:pPr>
      <w:r w:rsidRPr="001B5DD6">
        <w:rPr>
          <w:rStyle w:val="FootnoteReference"/>
        </w:rPr>
        <w:footnoteRef/>
      </w:r>
      <w:r w:rsidRPr="001B5DD6">
        <w:t xml:space="preserve"> </w:t>
      </w:r>
      <w:r w:rsidRPr="001B5DD6">
        <w:rPr>
          <w:i/>
        </w:rPr>
        <w:t>Id</w:t>
      </w:r>
      <w:r w:rsidRPr="00384B16">
        <w:t>.</w:t>
      </w:r>
    </w:p>
  </w:footnote>
  <w:footnote w:id="290">
    <w:p w:rsidR="007D15C3" w:rsidRPr="000A048A" w:rsidP="007D15C3">
      <w:pPr>
        <w:pStyle w:val="FootnoteText"/>
      </w:pPr>
      <w:r w:rsidRPr="000A048A">
        <w:rPr>
          <w:rStyle w:val="FootnoteReference"/>
        </w:rPr>
        <w:footnoteRef/>
      </w:r>
      <w:r w:rsidRPr="000A048A">
        <w:t xml:space="preserve"> U.S. Census Bureau, </w:t>
      </w:r>
      <w:r w:rsidRPr="000A048A">
        <w:rPr>
          <w:i/>
        </w:rPr>
        <w:t>201</w:t>
      </w:r>
      <w:r>
        <w:rPr>
          <w:i/>
        </w:rPr>
        <w:t>7</w:t>
      </w:r>
      <w:r w:rsidRPr="000A048A">
        <w:rPr>
          <w:i/>
        </w:rPr>
        <w:t xml:space="preserve"> NAICS Definition</w:t>
      </w:r>
      <w:r w:rsidRPr="000A048A">
        <w:t xml:space="preserve">, </w:t>
      </w:r>
      <w:r>
        <w:t>NAICS Code 517911”</w:t>
      </w:r>
      <w:r w:rsidRPr="00BC3A87">
        <w:t xml:space="preserve"> </w:t>
      </w:r>
      <w:r w:rsidRPr="000A048A">
        <w:t>Telecommunications Resellers</w:t>
      </w:r>
      <w:r>
        <w:t xml:space="preserve">”, </w:t>
      </w:r>
      <w:hyperlink r:id="rId21" w:history="1">
        <w:r w:rsidRPr="00066589">
          <w:rPr>
            <w:rStyle w:val="Hyperlink"/>
          </w:rPr>
          <w:t>https://www.census.gov/cgi-bin/sssd/naics/naicsrch?code=517911&amp;search=2017%20NAICS%20Search</w:t>
        </w:r>
      </w:hyperlink>
      <w:r w:rsidRPr="000A048A">
        <w:t>.</w:t>
      </w:r>
    </w:p>
  </w:footnote>
  <w:footnote w:id="291">
    <w:p w:rsidR="007D15C3" w:rsidRPr="000A048A" w:rsidP="007D15C3">
      <w:pPr>
        <w:pStyle w:val="FootnoteText"/>
      </w:pPr>
      <w:r w:rsidRPr="000A048A">
        <w:rPr>
          <w:rStyle w:val="FootnoteReference"/>
        </w:rPr>
        <w:footnoteRef/>
      </w:r>
      <w:r w:rsidRPr="000A048A">
        <w:t xml:space="preserve"> 13 CFR § 121.201 (NAICS code 517911).</w:t>
      </w:r>
    </w:p>
  </w:footnote>
  <w:footnote w:id="292">
    <w:p w:rsidR="007D15C3" w:rsidRPr="000A048A" w:rsidP="007D15C3">
      <w:pPr>
        <w:pStyle w:val="FootnoteText"/>
      </w:pPr>
      <w:r w:rsidRPr="000A048A">
        <w:rPr>
          <w:rStyle w:val="FootnoteReference"/>
        </w:rPr>
        <w:footnoteRef/>
      </w:r>
      <w:r>
        <w:t xml:space="preserve"> </w:t>
      </w:r>
      <w:r w:rsidRPr="00171DED">
        <w:rPr>
          <w:i/>
        </w:rPr>
        <w:t>Id</w:t>
      </w:r>
      <w:r w:rsidRPr="000A048A">
        <w:t>.</w:t>
      </w:r>
    </w:p>
  </w:footnote>
  <w:footnote w:id="293">
    <w:p w:rsidR="007D15C3" w:rsidP="007D15C3">
      <w:pPr>
        <w:pStyle w:val="FootnoteText"/>
      </w:pPr>
      <w:r>
        <w:rPr>
          <w:rStyle w:val="FootnoteReference"/>
        </w:rPr>
        <w:footnoteRef/>
      </w:r>
      <w:r>
        <w:t xml:space="preserve"> </w:t>
      </w:r>
      <w:bookmarkStart w:id="251" w:name="_Hlk22861329"/>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22" w:history="1">
        <w:r w:rsidRPr="003B31E9">
          <w:rPr>
            <w:rStyle w:val="Hyperlink"/>
          </w:rPr>
          <w:t>https://factfinder.census.gov/bkmk/table/1.0/en/ECN/2012_US/51SSSZ5//naics~517911</w:t>
        </w:r>
      </w:hyperlink>
      <w:r>
        <w:t xml:space="preserve">. </w:t>
      </w:r>
      <w:bookmarkEnd w:id="251"/>
    </w:p>
  </w:footnote>
  <w:footnote w:id="294">
    <w:p w:rsidR="007D15C3" w:rsidRPr="00C87686" w:rsidP="007D15C3">
      <w:pPr>
        <w:pStyle w:val="FootnoteText"/>
        <w:rPr>
          <w:i/>
        </w:rPr>
      </w:pPr>
      <w:r w:rsidRPr="000A048A">
        <w:rPr>
          <w:rStyle w:val="FootnoteReference"/>
        </w:rPr>
        <w:footnoteRef/>
      </w:r>
      <w:r>
        <w:t xml:space="preserve"> </w:t>
      </w:r>
      <w:r>
        <w:rPr>
          <w:i/>
        </w:rPr>
        <w:t xml:space="preserve">Id.  </w:t>
      </w:r>
      <w:bookmarkStart w:id="252" w:name="_Hlk22861398"/>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bookmarkEnd w:id="252"/>
    </w:p>
  </w:footnote>
  <w:footnote w:id="295">
    <w:p w:rsidR="007D15C3" w:rsidP="007D15C3">
      <w:pPr>
        <w:pStyle w:val="FootnoteText"/>
      </w:pPr>
      <w:r>
        <w:rPr>
          <w:rStyle w:val="FootnoteReference"/>
        </w:rPr>
        <w:footnoteRef/>
      </w:r>
      <w:r>
        <w:t xml:space="preserve"> </w:t>
      </w:r>
      <w:r>
        <w:rPr>
          <w:i/>
        </w:rPr>
        <w:t>See Trends in Telephone Service,</w:t>
      </w:r>
      <w:r>
        <w:t xml:space="preserve"> at </w:t>
      </w:r>
      <w:r>
        <w:t>tbl</w:t>
      </w:r>
      <w:r>
        <w:t>. 5.3.</w:t>
      </w:r>
    </w:p>
  </w:footnote>
  <w:footnote w:id="296">
    <w:p w:rsidR="007D15C3" w:rsidP="007D15C3">
      <w:pPr>
        <w:pStyle w:val="FootnoteText"/>
      </w:pPr>
      <w:r>
        <w:rPr>
          <w:rStyle w:val="FootnoteReference"/>
        </w:rPr>
        <w:footnoteRef/>
      </w:r>
      <w:r>
        <w:t xml:space="preserve"> </w:t>
      </w:r>
      <w:r w:rsidRPr="00860117">
        <w:rPr>
          <w:i/>
        </w:rPr>
        <w:t>Id.</w:t>
      </w:r>
    </w:p>
  </w:footnote>
  <w:footnote w:id="297">
    <w:p w:rsidR="007D15C3" w:rsidRPr="00DB0530" w:rsidP="007D15C3">
      <w:pPr>
        <w:pStyle w:val="FootnoteText"/>
      </w:pPr>
      <w:r w:rsidRPr="00DB0530">
        <w:rPr>
          <w:rStyle w:val="FootnoteReference"/>
        </w:rPr>
        <w:footnoteRef/>
      </w:r>
      <w:r w:rsidRPr="00DB0530">
        <w:t xml:space="preserve"> </w:t>
      </w:r>
      <w:r>
        <w:t xml:space="preserve">U.S. Census Bureau, 2017 NAICS Definition, 517911 Telecommunications Resellers, </w:t>
      </w:r>
      <w:hyperlink r:id="rId21" w:history="1">
        <w:r w:rsidRPr="00066589">
          <w:rPr>
            <w:rStyle w:val="Hyperlink"/>
          </w:rPr>
          <w:t>https://www.census.gov/cgi-bin/sssd/naics/naicsrch?code=517911&amp;search=2017%20NAICS%20Search</w:t>
        </w:r>
      </w:hyperlink>
      <w:r>
        <w:t xml:space="preserve">.  </w:t>
      </w:r>
    </w:p>
  </w:footnote>
  <w:footnote w:id="298">
    <w:p w:rsidR="007D15C3" w:rsidRPr="00DB0530" w:rsidP="007D15C3">
      <w:pPr>
        <w:pStyle w:val="FootnoteText"/>
      </w:pPr>
      <w:r w:rsidRPr="00DB0530">
        <w:rPr>
          <w:rStyle w:val="FootnoteReference"/>
        </w:rPr>
        <w:footnoteRef/>
      </w:r>
      <w:r w:rsidRPr="00DB0530">
        <w:t xml:space="preserve"> 13 CFR § 121.201, NAICS code 517911.</w:t>
      </w:r>
    </w:p>
  </w:footnote>
  <w:footnote w:id="299">
    <w:p w:rsidR="007D15C3" w:rsidP="007D15C3">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22" w:history="1">
        <w:r w:rsidRPr="003B31E9">
          <w:rPr>
            <w:rStyle w:val="Hyperlink"/>
          </w:rPr>
          <w:t>https://factfinder.census.gov/bkmk/table/1.0/en/ECN/2012_US/51SSSZ5//naics~517911</w:t>
        </w:r>
      </w:hyperlink>
      <w:r>
        <w:t>.</w:t>
      </w:r>
    </w:p>
  </w:footnote>
  <w:footnote w:id="300">
    <w:p w:rsidR="007D15C3" w:rsidRPr="00DB0530" w:rsidP="007D15C3">
      <w:pPr>
        <w:pStyle w:val="FootnoteText"/>
      </w:pPr>
      <w:r w:rsidRPr="00DB0530">
        <w:rPr>
          <w:rStyle w:val="FootnoteReference"/>
        </w:rPr>
        <w:footnoteRef/>
      </w:r>
      <w:r>
        <w:t xml:space="preserve"> </w:t>
      </w:r>
      <w:r>
        <w:rPr>
          <w:i/>
        </w:rPr>
        <w:t>Id</w:t>
      </w:r>
      <w:r w:rsidRPr="00DB0530">
        <w:t>.</w:t>
      </w:r>
      <w:r>
        <w:t xml:space="preserve">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301">
    <w:p w:rsidR="007D15C3" w:rsidRPr="00DB0530" w:rsidP="007D15C3">
      <w:pPr>
        <w:pStyle w:val="FootnoteText"/>
        <w:rPr>
          <w:color w:val="000000"/>
        </w:rPr>
      </w:pPr>
      <w:r w:rsidRPr="00DB0530">
        <w:rPr>
          <w:rStyle w:val="FootnoteReference"/>
          <w:color w:val="000000"/>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302">
    <w:p w:rsidR="007D15C3" w:rsidRPr="00DB0530" w:rsidP="007D15C3">
      <w:pPr>
        <w:pStyle w:val="FootnoteText"/>
      </w:pPr>
      <w:r w:rsidRPr="00DB0530">
        <w:rPr>
          <w:rStyle w:val="FootnoteReference"/>
        </w:rPr>
        <w:footnoteRef/>
      </w:r>
      <w:r w:rsidRPr="00DB0530">
        <w:t xml:space="preserve"> </w:t>
      </w:r>
      <w:r w:rsidRPr="00DB0530">
        <w:rPr>
          <w:i/>
        </w:rPr>
        <w:t>See id</w:t>
      </w:r>
      <w:r w:rsidRPr="00DB0530">
        <w:t>.</w:t>
      </w:r>
    </w:p>
  </w:footnote>
  <w:footnote w:id="303">
    <w:p w:rsidR="007D15C3" w:rsidRPr="00DB0530" w:rsidP="007D15C3">
      <w:pPr>
        <w:pStyle w:val="FootnoteText"/>
      </w:pPr>
      <w:r w:rsidRPr="00DB0530">
        <w:rPr>
          <w:rStyle w:val="FootnoteReference"/>
        </w:rPr>
        <w:footnoteRef/>
      </w:r>
      <w:r w:rsidRPr="00DB0530">
        <w:t xml:space="preserve"> </w:t>
      </w:r>
      <w:r>
        <w:t xml:space="preserve">U.S. Census Bureau, 2017 NAICS Definition, 517911 Telecommunications Resellers, </w:t>
      </w:r>
      <w:hyperlink r:id="rId21" w:history="1">
        <w:r w:rsidRPr="00066589">
          <w:rPr>
            <w:rStyle w:val="Hyperlink"/>
          </w:rPr>
          <w:t>https://www.census.gov/cgi-bin/sssd/naics/naicsrch?code=517911&amp;search=2017%20NAICS%20Search</w:t>
        </w:r>
      </w:hyperlink>
      <w:r>
        <w:t xml:space="preserve">.  </w:t>
      </w:r>
    </w:p>
  </w:footnote>
  <w:footnote w:id="304">
    <w:p w:rsidR="007D15C3" w:rsidRPr="00DB0530" w:rsidP="007D15C3">
      <w:pPr>
        <w:pStyle w:val="FootnoteText"/>
      </w:pPr>
      <w:r w:rsidRPr="00DB0530">
        <w:rPr>
          <w:rStyle w:val="FootnoteReference"/>
        </w:rPr>
        <w:footnoteRef/>
      </w:r>
      <w:r w:rsidRPr="00DB0530">
        <w:t xml:space="preserve"> </w:t>
      </w:r>
      <w:r w:rsidRPr="00DB0530">
        <w:rPr>
          <w:color w:val="000000"/>
        </w:rPr>
        <w:t>13 CFR § 121.201, NAICS code 517911.</w:t>
      </w:r>
    </w:p>
  </w:footnote>
  <w:footnote w:id="305">
    <w:p w:rsidR="007D15C3" w:rsidRPr="00DB0530" w:rsidP="007D15C3">
      <w:pPr>
        <w:pStyle w:val="FootnoteText"/>
        <w:rPr>
          <w:color w:val="0000FF"/>
          <w:u w:val="single"/>
        </w:rPr>
      </w:pPr>
      <w:r w:rsidRPr="00DB0530">
        <w:rPr>
          <w:rStyle w:val="FootnoteReference"/>
        </w:rPr>
        <w:footnoteRef/>
      </w:r>
      <w:r w:rsidRPr="00DB0530">
        <w:t xml:space="preserve"> </w:t>
      </w:r>
      <w:r w:rsidRPr="00876613">
        <w:rPr>
          <w:i/>
        </w:rPr>
        <w:t>Id.</w:t>
      </w:r>
    </w:p>
  </w:footnote>
  <w:footnote w:id="306">
    <w:p w:rsidR="007D15C3" w:rsidP="007D15C3">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22" w:history="1">
        <w:r w:rsidRPr="003B31E9">
          <w:rPr>
            <w:rStyle w:val="Hyperlink"/>
          </w:rPr>
          <w:t>https://factfinder.census.gov/bkmk/table/1.0/en/ECN/2012_US/51SSSZ5//naics~517911</w:t>
        </w:r>
      </w:hyperlink>
      <w:r>
        <w:t>.</w:t>
      </w:r>
    </w:p>
  </w:footnote>
  <w:footnote w:id="307">
    <w:p w:rsidR="007D15C3" w:rsidRPr="00DB0530" w:rsidP="007D15C3">
      <w:pPr>
        <w:pStyle w:val="FootnoteText"/>
      </w:pPr>
      <w:r w:rsidRPr="00DB0530">
        <w:rPr>
          <w:rStyle w:val="FootnoteReference"/>
        </w:rPr>
        <w:footnoteRef/>
      </w:r>
      <w:r>
        <w:t xml:space="preserve"> </w:t>
      </w:r>
      <w:r>
        <w:rPr>
          <w:i/>
        </w:rPr>
        <w:t xml:space="preserve">Id.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308">
    <w:p w:rsidR="007D15C3" w:rsidRPr="00DB0530" w:rsidP="007D15C3">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309">
    <w:p w:rsidR="007D15C3" w:rsidRPr="00DB0530" w:rsidP="007D15C3">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310">
    <w:p w:rsidR="007D15C3" w:rsidRPr="00DB0530" w:rsidP="007D15C3">
      <w:pPr>
        <w:pStyle w:val="FootnoteText"/>
      </w:pPr>
      <w:r w:rsidRPr="00DB0530">
        <w:rPr>
          <w:rStyle w:val="FootnoteReference"/>
        </w:rPr>
        <w:footnoteRef/>
      </w:r>
      <w:r w:rsidRPr="00DB0530">
        <w:t xml:space="preserve"> </w:t>
      </w:r>
      <w:r>
        <w:t xml:space="preserve">U.S. Census Bureau, 2017 NAICS Definition, 517911 Telecommunications Resellers, </w:t>
      </w:r>
      <w:hyperlink r:id="rId21" w:history="1">
        <w:r w:rsidRPr="00066589">
          <w:rPr>
            <w:rStyle w:val="Hyperlink"/>
          </w:rPr>
          <w:t>https://www.census.gov/cgi-bin/sssd/naics/naicsrch?code=517911&amp;search=2017%20NAICS%20Search</w:t>
        </w:r>
      </w:hyperlink>
      <w:r>
        <w:t xml:space="preserve">.  </w:t>
      </w:r>
    </w:p>
  </w:footnote>
  <w:footnote w:id="311">
    <w:p w:rsidR="007D15C3" w:rsidRPr="00DB0530" w:rsidP="007D15C3">
      <w:pPr>
        <w:pStyle w:val="FootnoteText"/>
      </w:pPr>
      <w:r w:rsidRPr="00DB0530">
        <w:rPr>
          <w:rStyle w:val="FootnoteReference"/>
        </w:rPr>
        <w:footnoteRef/>
      </w:r>
      <w:r w:rsidRPr="00DB0530">
        <w:t xml:space="preserve"> </w:t>
      </w:r>
      <w:r w:rsidRPr="00DB0530">
        <w:rPr>
          <w:color w:val="000000"/>
        </w:rPr>
        <w:t>13 CFR § 121.201, NAICS code 517911.</w:t>
      </w:r>
    </w:p>
  </w:footnote>
  <w:footnote w:id="312">
    <w:p w:rsidR="007D15C3" w:rsidRPr="00DB0530" w:rsidP="007D15C3">
      <w:pPr>
        <w:pStyle w:val="FootnoteText"/>
        <w:rPr>
          <w:color w:val="0000FF"/>
          <w:u w:val="single"/>
        </w:rPr>
      </w:pPr>
      <w:r w:rsidRPr="00DB0530">
        <w:rPr>
          <w:rStyle w:val="FootnoteReference"/>
        </w:rPr>
        <w:footnoteRef/>
      </w:r>
      <w:r w:rsidRPr="00DB0530">
        <w:t xml:space="preserve"> </w:t>
      </w:r>
      <w:r w:rsidRPr="00876613">
        <w:rPr>
          <w:i/>
        </w:rPr>
        <w:t>Id.</w:t>
      </w:r>
    </w:p>
  </w:footnote>
  <w:footnote w:id="313">
    <w:p w:rsidR="007D15C3" w:rsidP="007D15C3">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NAICS Code 517911, </w:t>
      </w:r>
      <w:hyperlink r:id="rId22" w:history="1">
        <w:r w:rsidRPr="003B31E9">
          <w:rPr>
            <w:rStyle w:val="Hyperlink"/>
          </w:rPr>
          <w:t>https://factfinder.census.gov/bkmk/table/1.0/en/ECN/2012_US/51SSSZ5//naics~517911</w:t>
        </w:r>
      </w:hyperlink>
      <w:r>
        <w:t>.</w:t>
      </w:r>
    </w:p>
  </w:footnote>
  <w:footnote w:id="314">
    <w:p w:rsidR="007D15C3" w:rsidRPr="00DB0530" w:rsidP="007D15C3">
      <w:pPr>
        <w:pStyle w:val="FootnoteText"/>
      </w:pPr>
      <w:r w:rsidRPr="00DB0530">
        <w:rPr>
          <w:rStyle w:val="FootnoteReference"/>
        </w:rPr>
        <w:footnoteRef/>
      </w:r>
      <w:r>
        <w:t xml:space="preserve"> </w:t>
      </w:r>
      <w:r>
        <w:rPr>
          <w:i/>
        </w:rPr>
        <w:t xml:space="preserve">Id.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315">
    <w:p w:rsidR="007D15C3" w:rsidRPr="00DB0530" w:rsidP="007D15C3">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316">
    <w:p w:rsidR="007D15C3" w:rsidRPr="00DB0530" w:rsidP="007D15C3">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317">
    <w:p w:rsidR="007D15C3" w:rsidP="007D15C3">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120.201, NAICS Code 517311 (previously 517110)</w:t>
      </w:r>
      <w:r w:rsidRPr="00C43F7F">
        <w:t>.</w:t>
      </w:r>
    </w:p>
  </w:footnote>
  <w:footnote w:id="318">
    <w:p w:rsidR="007D15C3" w:rsidP="007D15C3">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19" w:history="1">
        <w:r w:rsidRPr="00B032BC">
          <w:rPr>
            <w:rStyle w:val="Hyperlink"/>
          </w:rPr>
          <w:t>https://factfinder.census.gov/bkmk/table/1.0/en/ECN/2012_US/51SSSZ5//naics~517110</w:t>
        </w:r>
      </w:hyperlink>
      <w:r>
        <w:t>.</w:t>
      </w:r>
    </w:p>
  </w:footnote>
  <w:footnote w:id="319">
    <w:p w:rsidR="007D15C3" w:rsidP="007D15C3">
      <w:pPr>
        <w:pStyle w:val="FootnoteText"/>
      </w:pPr>
      <w:r>
        <w:rPr>
          <w:rStyle w:val="FootnoteReference"/>
        </w:rPr>
        <w:footnoteRef/>
      </w:r>
      <w:r>
        <w:t xml:space="preserve"> </w:t>
      </w:r>
      <w:r w:rsidRPr="00AF368C">
        <w:rPr>
          <w:i/>
        </w:rPr>
        <w:t>Id.</w:t>
      </w:r>
    </w:p>
  </w:footnote>
  <w:footnote w:id="320">
    <w:p w:rsidR="007D15C3" w:rsidP="007D15C3">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w:t>
      </w:r>
      <w:r>
        <w:t>tbl</w:t>
      </w:r>
      <w:r>
        <w:t>.</w:t>
      </w:r>
      <w:r>
        <w:rPr>
          <w:color w:val="000000"/>
        </w:rPr>
        <w:t xml:space="preserve"> 5.3.</w:t>
      </w:r>
    </w:p>
  </w:footnote>
  <w:footnote w:id="321">
    <w:p w:rsidR="007D15C3" w:rsidP="007D15C3">
      <w:pPr>
        <w:pStyle w:val="FootnoteText"/>
      </w:pPr>
      <w:r>
        <w:rPr>
          <w:rStyle w:val="FootnoteReference"/>
        </w:rPr>
        <w:footnoteRef/>
      </w:r>
      <w:r>
        <w:t xml:space="preserve"> </w:t>
      </w:r>
      <w:r w:rsidRPr="00B605CD">
        <w:rPr>
          <w:i/>
        </w:rPr>
        <w:t>Id.</w:t>
      </w:r>
    </w:p>
  </w:footnote>
  <w:footnote w:id="322">
    <w:p w:rsidR="007D15C3" w:rsidP="007D15C3">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sidRPr="00C114BE">
        <w:rPr>
          <w:i/>
        </w:rPr>
        <w:t>See</w:t>
      </w:r>
      <w:r>
        <w:t xml:space="preserve"> </w:t>
      </w:r>
      <w:hyperlink r:id="rId23" w:history="1">
        <w:r w:rsidRPr="00821FFF">
          <w:rPr>
            <w:rStyle w:val="Hyperlink"/>
          </w:rPr>
          <w:t>https://factfinder.census.gov/faces/affhelp/jsf/pages/metadata.xhtml?lang=en&amp;type=</w:t>
        </w:r>
        <w:r w:rsidRPr="00821FFF">
          <w:rPr>
            <w:rStyle w:val="Hyperlink"/>
          </w:rPr>
          <w:br/>
        </w:r>
        <w:r w:rsidRPr="00821FFF">
          <w:rPr>
            <w:rStyle w:val="Hyperlink"/>
          </w:rPr>
          <w:t>ib&amp;id</w:t>
        </w:r>
        <w:r w:rsidRPr="00821FFF">
          <w:rPr>
            <w:rStyle w:val="Hyperlink"/>
          </w:rPr>
          <w:t>=</w:t>
        </w:r>
        <w:r w:rsidRPr="00821FFF">
          <w:rPr>
            <w:rStyle w:val="Hyperlink"/>
          </w:rPr>
          <w:t>ib.en</w:t>
        </w:r>
        <w:r w:rsidRPr="00821FFF">
          <w:rPr>
            <w:rStyle w:val="Hyperlink"/>
          </w:rPr>
          <w:t>./ECN.NAICS2012.517210</w:t>
        </w:r>
      </w:hyperlink>
      <w:r>
        <w:rPr>
          <w:rStyle w:val="Hyperlink"/>
        </w:rPr>
        <w:t>.</w:t>
      </w:r>
    </w:p>
  </w:footnote>
  <w:footnote w:id="323">
    <w:p w:rsidR="007D15C3" w:rsidRPr="006B076E" w:rsidP="007D15C3">
      <w:pPr>
        <w:pStyle w:val="FootnoteText"/>
      </w:pPr>
      <w:r w:rsidRPr="006B076E">
        <w:rPr>
          <w:rStyle w:val="FootnoteReference"/>
        </w:rPr>
        <w:footnoteRef/>
      </w:r>
      <w:r w:rsidRPr="006B076E">
        <w:rPr>
          <w:lang w:val="fr-FR"/>
        </w:rPr>
        <w:t xml:space="preserve"> 13 CFR § 121.201, NAICS code 517210.  </w:t>
      </w:r>
    </w:p>
  </w:footnote>
  <w:footnote w:id="324">
    <w:p w:rsidR="007D15C3" w:rsidRPr="006B076E" w:rsidP="007D15C3">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w:t>
      </w:r>
      <w:hyperlink r:id="rId24" w:history="1">
        <w:r w:rsidRPr="00C57312">
          <w:rPr>
            <w:rStyle w:val="Hyperlink"/>
          </w:rPr>
          <w:t>https://factfinder.census.gov/bkmk/table/1.0/en/ECN/2012_US/51SSSZ5//naics~517210</w:t>
        </w:r>
      </w:hyperlink>
      <w:r>
        <w:t xml:space="preserve">. </w:t>
      </w:r>
    </w:p>
  </w:footnote>
  <w:footnote w:id="325">
    <w:p w:rsidR="007D15C3" w:rsidRPr="006B076E" w:rsidP="007D15C3">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326">
    <w:p w:rsidR="007D15C3" w:rsidRPr="005B69AD" w:rsidP="007D15C3">
      <w:pPr>
        <w:pStyle w:val="FootnoteText"/>
      </w:pPr>
      <w:r w:rsidRPr="005B69AD">
        <w:rPr>
          <w:rStyle w:val="FootnoteReference"/>
        </w:rPr>
        <w:footnoteRef/>
      </w:r>
      <w:r w:rsidRPr="005B69AD">
        <w:t xml:space="preserve"> U.S. Census Bureau, 2017 NAICS Definitions, “515120 Television Broadcasting,” </w:t>
      </w:r>
      <w:hyperlink r:id="rId25" w:history="1">
        <w:r w:rsidRPr="005B69AD">
          <w:rPr>
            <w:rStyle w:val="Hyperlink"/>
          </w:rPr>
          <w:t>https://www.census.gov/cgi-bin/sssd/naics/naicsrch?input=515120&amp;search=2017+NAICS+Search&amp;search=2017</w:t>
        </w:r>
      </w:hyperlink>
      <w:r w:rsidRPr="005B69AD">
        <w:t xml:space="preserve">. </w:t>
      </w:r>
    </w:p>
  </w:footnote>
  <w:footnote w:id="327">
    <w:p w:rsidR="007D15C3" w:rsidRPr="005B69AD" w:rsidP="007D15C3">
      <w:pPr>
        <w:pStyle w:val="FootnoteText"/>
      </w:pPr>
      <w:r w:rsidRPr="005B69AD">
        <w:rPr>
          <w:rStyle w:val="FootnoteReference"/>
        </w:rPr>
        <w:footnoteRef/>
      </w:r>
      <w:r w:rsidRPr="005B69AD">
        <w:t xml:space="preserve"> </w:t>
      </w:r>
      <w:r w:rsidRPr="005B69AD">
        <w:rPr>
          <w:i/>
        </w:rPr>
        <w:t>Id.</w:t>
      </w:r>
    </w:p>
  </w:footnote>
  <w:footnote w:id="328">
    <w:p w:rsidR="007D15C3" w:rsidRPr="005B69AD" w:rsidP="007D15C3">
      <w:pPr>
        <w:pStyle w:val="FootnoteText"/>
      </w:pPr>
      <w:r w:rsidRPr="005B69AD">
        <w:rPr>
          <w:rStyle w:val="FootnoteReference"/>
        </w:rPr>
        <w:footnoteRef/>
      </w:r>
      <w:r w:rsidRPr="005B69AD">
        <w:t xml:space="preserve"> 13 C.F.R. § 121.201;</w:t>
      </w:r>
      <w:r w:rsidRPr="005B69AD">
        <w:rPr>
          <w:snapToGrid w:val="0"/>
          <w:color w:val="212121"/>
          <w:kern w:val="28"/>
          <w:sz w:val="21"/>
          <w:szCs w:val="21"/>
        </w:rPr>
        <w:t xml:space="preserve"> </w:t>
      </w:r>
      <w:r w:rsidRPr="005B69AD">
        <w:t xml:space="preserve">2012 NAICS code 515120. </w:t>
      </w:r>
    </w:p>
  </w:footnote>
  <w:footnote w:id="329">
    <w:p w:rsidR="007D15C3" w:rsidP="007D15C3">
      <w:pPr>
        <w:pStyle w:val="FootnoteText"/>
      </w:pPr>
      <w:r>
        <w:rPr>
          <w:rStyle w:val="FootnoteReference"/>
        </w:rPr>
        <w:footnoteRef/>
      </w:r>
      <w:r>
        <w:t xml:space="preserve"> </w:t>
      </w:r>
      <w:r w:rsidRPr="005B69AD">
        <w:t xml:space="preserve">U.S. Census Bureau, Table No. EC1251SSSZ4, </w:t>
      </w:r>
      <w:r w:rsidRPr="005B69AD">
        <w:rPr>
          <w:i/>
          <w:iCs/>
        </w:rPr>
        <w:t>Information: Subject Series - Establishment and Firm Size: Receipts Size of Firms for the United States: 2012</w:t>
      </w:r>
      <w:r w:rsidRPr="005B69AD">
        <w:t xml:space="preserve"> (515120 Television Broadcasting). </w:t>
      </w:r>
      <w:hyperlink r:id="rId26" w:history="1">
        <w:r w:rsidRPr="005B69AD">
          <w:rPr>
            <w:rStyle w:val="Hyperlink"/>
          </w:rPr>
          <w:t>https://factfinder.census.gov/bkmk/table/1.0/en/ECN/2012_US/51SSSZ4//naics~515120</w:t>
        </w:r>
      </w:hyperlink>
      <w:r>
        <w:rPr>
          <w:rStyle w:val="Hyperlink"/>
        </w:rPr>
        <w:t>.</w:t>
      </w:r>
    </w:p>
  </w:footnote>
  <w:footnote w:id="330">
    <w:p w:rsidR="007D15C3" w:rsidRPr="005B69AD" w:rsidP="007D15C3">
      <w:pPr>
        <w:pStyle w:val="FootnoteText"/>
      </w:pPr>
      <w:r w:rsidRPr="005B69AD">
        <w:rPr>
          <w:rStyle w:val="FootnoteReference"/>
        </w:rPr>
        <w:footnoteRef/>
      </w:r>
      <w:r>
        <w:t xml:space="preserve"> </w:t>
      </w:r>
      <w:r>
        <w:rPr>
          <w:i/>
        </w:rPr>
        <w:t>Id</w:t>
      </w:r>
      <w:r w:rsidRPr="005B69AD">
        <w:t xml:space="preserve">. </w:t>
      </w:r>
    </w:p>
  </w:footnote>
  <w:footnote w:id="331">
    <w:p w:rsidR="007D15C3" w:rsidRPr="005B69AD" w:rsidP="007D15C3">
      <w:pPr>
        <w:pStyle w:val="FootnoteText"/>
      </w:pPr>
      <w:r w:rsidRPr="005B69AD">
        <w:rPr>
          <w:rStyle w:val="FootnoteReference"/>
        </w:rPr>
        <w:footnoteRef/>
      </w:r>
      <w:r w:rsidRPr="005B69AD">
        <w:t xml:space="preserve"> </w:t>
      </w:r>
      <w:r w:rsidRPr="00D923EF">
        <w:rPr>
          <w:i/>
        </w:rPr>
        <w:t>Broadcast Station Totals</w:t>
      </w:r>
      <w:r w:rsidRPr="005B69AD">
        <w:t xml:space="preserve"> as of </w:t>
      </w:r>
      <w:r>
        <w:t xml:space="preserve">June </w:t>
      </w:r>
      <w:r w:rsidRPr="005B69AD">
        <w:t>30,</w:t>
      </w:r>
      <w:r>
        <w:t xml:space="preserve"> 2018,</w:t>
      </w:r>
      <w:r w:rsidRPr="005B69AD">
        <w:t xml:space="preserve"> Press Release (MB</w:t>
      </w:r>
      <w:r>
        <w:t>, rel. Jul. 3</w:t>
      </w:r>
      <w:r w:rsidRPr="005B69AD">
        <w:t>, 201</w:t>
      </w:r>
      <w:r>
        <w:t>8</w:t>
      </w:r>
      <w:r w:rsidRPr="005B69AD">
        <w:t>) (</w:t>
      </w:r>
      <w:r>
        <w:t xml:space="preserve">June </w:t>
      </w:r>
      <w:r w:rsidRPr="005B69AD">
        <w:t>30</w:t>
      </w:r>
      <w:r>
        <w:t>, 2018</w:t>
      </w:r>
      <w:r w:rsidRPr="005B69AD">
        <w:t xml:space="preserve"> Broadcast Station Totals</w:t>
      </w:r>
      <w:r>
        <w:t xml:space="preserve"> Press Release</w:t>
      </w:r>
      <w:r w:rsidRPr="005B69AD">
        <w:t>),</w:t>
      </w:r>
      <w:r>
        <w:t xml:space="preserve"> </w:t>
      </w:r>
      <w:hyperlink r:id="rId27" w:history="1">
        <w:r w:rsidRPr="00ED3260">
          <w:rPr>
            <w:rStyle w:val="Hyperlink"/>
          </w:rPr>
          <w:t>https://docs.fcc.gov/public/attachments/DOC-352168A1.pdf</w:t>
        </w:r>
      </w:hyperlink>
      <w:r w:rsidRPr="005B69AD">
        <w:t xml:space="preserve">.     </w:t>
      </w:r>
    </w:p>
  </w:footnote>
  <w:footnote w:id="332">
    <w:p w:rsidR="007D15C3" w:rsidRPr="005B69AD" w:rsidP="007D15C3">
      <w:pPr>
        <w:pStyle w:val="FootnoteText"/>
      </w:pPr>
      <w:r w:rsidRPr="005B69AD">
        <w:rPr>
          <w:rStyle w:val="FootnoteReference"/>
        </w:rPr>
        <w:footnoteRef/>
      </w:r>
      <w:r w:rsidRPr="005B69AD">
        <w:t xml:space="preserve"> </w:t>
      </w:r>
      <w:r w:rsidRPr="005B69AD">
        <w:rPr>
          <w:i/>
        </w:rPr>
        <w:t>Id.</w:t>
      </w:r>
    </w:p>
  </w:footnote>
  <w:footnote w:id="333">
    <w:p w:rsidR="007D15C3" w:rsidRPr="005B69AD" w:rsidP="007D15C3">
      <w:pPr>
        <w:pStyle w:val="FootnoteText"/>
      </w:pPr>
      <w:r w:rsidRPr="005B69AD">
        <w:rPr>
          <w:rStyle w:val="FootnoteReference"/>
        </w:rPr>
        <w:footnoteRef/>
      </w:r>
      <w:r w:rsidRPr="005B69AD">
        <w:t xml:space="preserve"> </w:t>
      </w:r>
      <w:r w:rsidRPr="005B69AD">
        <w:rPr>
          <w:i/>
        </w:rPr>
        <w:t>Id.</w:t>
      </w:r>
    </w:p>
  </w:footnote>
  <w:footnote w:id="334">
    <w:p w:rsidR="007D15C3" w:rsidRPr="005B69AD" w:rsidP="007D15C3">
      <w:pPr>
        <w:pStyle w:val="FootnoteText"/>
      </w:pPr>
      <w:r w:rsidRPr="005B69AD">
        <w:rPr>
          <w:rStyle w:val="FootnoteReference"/>
        </w:rPr>
        <w:footnoteRef/>
      </w:r>
      <w:r w:rsidRPr="005B69AD">
        <w:t xml:space="preserve"> “[Business concerns] are affiliates of each other when one concern controls or has the power to control the other or a third party or </w:t>
      </w:r>
      <w:r w:rsidRPr="005B69AD">
        <w:t>parties</w:t>
      </w:r>
      <w:r w:rsidRPr="005B69AD">
        <w:t xml:space="preserve"> controls or has the power to control both.” 13 C.F.R. § 21.103(a)(1).</w:t>
      </w:r>
    </w:p>
  </w:footnote>
  <w:footnote w:id="335">
    <w:p w:rsidR="007D15C3" w:rsidP="007D15C3">
      <w:pPr>
        <w:pStyle w:val="FootnoteText"/>
      </w:pPr>
      <w:r>
        <w:rPr>
          <w:rStyle w:val="FootnoteReference"/>
        </w:rPr>
        <w:footnoteRef/>
      </w:r>
      <w:r>
        <w:t xml:space="preserve"> U.S. Census Bureau, 2017 NAICS Definitions, “515112 Radio Stations,” </w:t>
      </w:r>
      <w:hyperlink r:id="rId28" w:history="1">
        <w:hyperlink r:id="rId29" w:history="1">
          <w:r w:rsidRPr="00B02C9E">
            <w:rPr>
              <w:rStyle w:val="Hyperlink"/>
              <w:szCs w:val="22"/>
            </w:rPr>
            <w:t>https://www.census.gov/cgi-bin/sssd/naics/naicsrch?input=515112&amp;search=2017+NAICS+Search&amp;search=2017</w:t>
          </w:r>
        </w:hyperlink>
      </w:hyperlink>
      <w:r>
        <w:t xml:space="preserve">. </w:t>
      </w:r>
      <w:r>
        <w:rPr>
          <w:szCs w:val="22"/>
        </w:rPr>
        <w:t xml:space="preserve"> </w:t>
      </w:r>
    </w:p>
  </w:footnote>
  <w:footnote w:id="336">
    <w:p w:rsidR="007D15C3" w:rsidRPr="00AD538C" w:rsidP="007D15C3">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337">
    <w:p w:rsidR="007D15C3" w:rsidRPr="00550DD9" w:rsidP="007D15C3">
      <w:pPr>
        <w:pStyle w:val="FootnoteText"/>
      </w:pPr>
      <w:r w:rsidRPr="00550DD9">
        <w:rPr>
          <w:rStyle w:val="FootnoteReference"/>
        </w:rPr>
        <w:footnoteRef/>
      </w:r>
      <w:r w:rsidRPr="00550DD9">
        <w:t xml:space="preserve"> </w:t>
      </w:r>
      <w:r>
        <w:t xml:space="preserve">U.S. Census Bureau, Table No. EC1251SSSZ4, </w:t>
      </w:r>
      <w:r>
        <w:rPr>
          <w:i/>
        </w:rPr>
        <w:t>Information: Subject Series – Establishment and Firm Size: Receipts Size of Firms for the United States: 2012</w:t>
      </w:r>
      <w:r>
        <w:t xml:space="preserve"> </w:t>
      </w:r>
      <w:r w:rsidRPr="006B076E">
        <w:t xml:space="preserve">NAICS Code </w:t>
      </w:r>
      <w:r>
        <w:t>515112,</w:t>
      </w:r>
      <w:r w:rsidRPr="00CB34B5">
        <w:t xml:space="preserve"> </w:t>
      </w:r>
      <w:hyperlink r:id="rId30" w:history="1">
        <w:r w:rsidRPr="00DC61E2">
          <w:rPr>
            <w:rStyle w:val="Hyperlink"/>
          </w:rPr>
          <w:t>https://factfinder.census.gov/bkmk/table/1.0/en/ECN/2012_US/51SSSZ4//naics~515112</w:t>
        </w:r>
      </w:hyperlink>
      <w:r>
        <w:t xml:space="preserve">. </w:t>
      </w:r>
    </w:p>
  </w:footnote>
  <w:footnote w:id="338">
    <w:p w:rsidR="007D15C3" w:rsidRPr="000D4091" w:rsidP="007D15C3">
      <w:pPr>
        <w:pStyle w:val="FootnoteText"/>
      </w:pPr>
      <w:r>
        <w:rPr>
          <w:rStyle w:val="FootnoteReference"/>
        </w:rPr>
        <w:footnoteRef/>
      </w:r>
      <w:r>
        <w:t xml:space="preserve"> </w:t>
      </w:r>
      <w:r>
        <w:rPr>
          <w:i/>
        </w:rPr>
        <w:t>Id.</w:t>
      </w:r>
    </w:p>
  </w:footnote>
  <w:footnote w:id="339">
    <w:p w:rsidR="007D15C3" w:rsidP="007D15C3">
      <w:pPr>
        <w:pStyle w:val="FootnoteText"/>
      </w:pPr>
      <w:r>
        <w:rPr>
          <w:rStyle w:val="FootnoteReference"/>
        </w:rPr>
        <w:footnoteRef/>
      </w:r>
      <w:r>
        <w:t xml:space="preserve"> </w:t>
      </w:r>
      <w:r w:rsidRPr="00CF20B1">
        <w:t>BIA/Kelsey, MEDIA Access Pro Database (viewed Jan. 26, 2018).</w:t>
      </w:r>
    </w:p>
  </w:footnote>
  <w:footnote w:id="340">
    <w:p w:rsidR="007D15C3" w:rsidP="007D15C3">
      <w:pPr>
        <w:pStyle w:val="FootnoteText"/>
      </w:pPr>
      <w:r>
        <w:rPr>
          <w:rStyle w:val="FootnoteReference"/>
        </w:rPr>
        <w:footnoteRef/>
      </w:r>
      <w:r>
        <w:t xml:space="preserve"> Broadcast Station Totals as of June 30, 2018, Press Release (MB Jul. 3, 2018) (June 30, 2018 Broadcast Station Totals), </w:t>
      </w:r>
      <w:hyperlink r:id="rId27" w:history="1">
        <w:r w:rsidRPr="00ED3260">
          <w:rPr>
            <w:rStyle w:val="Hyperlink"/>
          </w:rPr>
          <w:t>https://docs.fcc.gov/public/attachments/DOC-352168A1.pdf</w:t>
        </w:r>
      </w:hyperlink>
      <w:r>
        <w:t xml:space="preserve">.  </w:t>
      </w:r>
    </w:p>
  </w:footnote>
  <w:footnote w:id="341">
    <w:p w:rsidR="007D15C3" w:rsidP="007D15C3">
      <w:pPr>
        <w:pStyle w:val="FootnoteText"/>
      </w:pPr>
      <w:r>
        <w:rPr>
          <w:rStyle w:val="FootnoteReference"/>
        </w:rPr>
        <w:footnoteRef/>
      </w:r>
      <w:r>
        <w:t xml:space="preserve"> </w:t>
      </w:r>
      <w:r>
        <w:rPr>
          <w:i/>
        </w:rPr>
        <w:t>Id.</w:t>
      </w:r>
    </w:p>
  </w:footnote>
  <w:footnote w:id="342">
    <w:p w:rsidR="007D15C3" w:rsidP="007D15C3">
      <w:pPr>
        <w:pStyle w:val="FootnoteText"/>
      </w:pPr>
      <w:r>
        <w:rPr>
          <w:rStyle w:val="FootnoteReference"/>
        </w:rPr>
        <w:footnoteRef/>
      </w:r>
      <w:r>
        <w:t xml:space="preserve"> “[Business concerns] are affiliates of each other when one concern controls or has the power to control the other, or a third party or </w:t>
      </w:r>
      <w:r>
        <w:t>parties</w:t>
      </w:r>
      <w:r>
        <w:t xml:space="preserve"> controls or has power to control both.”  13 C.F.R. § 121.103(a)(1).</w:t>
      </w:r>
    </w:p>
  </w:footnote>
  <w:footnote w:id="343">
    <w:p w:rsidR="007D15C3" w:rsidP="007D15C3">
      <w:pPr>
        <w:pStyle w:val="FootnoteText"/>
      </w:pPr>
      <w:r>
        <w:rPr>
          <w:rStyle w:val="FootnoteReference"/>
        </w:rPr>
        <w:footnoteRef/>
      </w:r>
      <w:r>
        <w:t xml:space="preserve"> 13 C.F.R. </w:t>
      </w:r>
      <w:r>
        <w:rPr>
          <w:szCs w:val="22"/>
        </w:rPr>
        <w:t>§ 121.102(b).</w:t>
      </w:r>
    </w:p>
  </w:footnote>
  <w:footnote w:id="344">
    <w:p w:rsidR="007D15C3" w:rsidRPr="00F470CB" w:rsidP="007D15C3">
      <w:pPr>
        <w:pStyle w:val="FootnoteText"/>
      </w:pPr>
      <w:r w:rsidRPr="00F470CB">
        <w:rPr>
          <w:rStyle w:val="FootnoteReference"/>
        </w:rPr>
        <w:footnoteRef/>
      </w:r>
      <w:r w:rsidRPr="00F470CB">
        <w:t xml:space="preserve"> 47 CFR § 76.901(e).</w:t>
      </w:r>
    </w:p>
  </w:footnote>
  <w:footnote w:id="345">
    <w:p w:rsidR="007D15C3" w:rsidRPr="00F470CB" w:rsidP="007D15C3">
      <w:pPr>
        <w:pStyle w:val="FootnoteText"/>
      </w:pPr>
      <w:r w:rsidRPr="00F470CB">
        <w:rPr>
          <w:rStyle w:val="FootnoteReference"/>
        </w:rPr>
        <w:footnoteRef/>
      </w:r>
      <w:r w:rsidRPr="00F470CB">
        <w:t xml:space="preserve"> The number of active, registered cable systems comes from the Commission’s Cable Operations and Licensing System (COALS) database on August 15, 2015.  </w:t>
      </w:r>
      <w:r w:rsidRPr="00F470CB">
        <w:rPr>
          <w:i/>
        </w:rPr>
        <w:t>See</w:t>
      </w:r>
      <w:r w:rsidRPr="00F470CB">
        <w:t xml:space="preserve"> FCC, </w:t>
      </w:r>
      <w:r w:rsidRPr="00F470CB">
        <w:rPr>
          <w:i/>
        </w:rPr>
        <w:t>Cable Operations and Licensing System (COALS)</w:t>
      </w:r>
      <w:r w:rsidRPr="00F470CB">
        <w:t>, www.fcc.gov/coals (last visited Oct. 25, 2016).</w:t>
      </w:r>
    </w:p>
  </w:footnote>
  <w:footnote w:id="346">
    <w:p w:rsidR="007D15C3" w:rsidRPr="00F470CB" w:rsidP="007D15C3">
      <w:pPr>
        <w:pStyle w:val="FootnoteText"/>
      </w:pPr>
      <w:r w:rsidRPr="00F470CB">
        <w:rPr>
          <w:rStyle w:val="FootnoteReference"/>
        </w:rPr>
        <w:footnoteRef/>
      </w:r>
      <w:r w:rsidRPr="00F470CB">
        <w:t xml:space="preserve"> </w:t>
      </w:r>
      <w:r>
        <w:t>S&amp;P Global Market Intelligence, Top Cable MSOs as of 12/2016</w:t>
      </w:r>
      <w:r w:rsidRPr="00F470CB">
        <w:t>.</w:t>
      </w:r>
    </w:p>
  </w:footnote>
  <w:footnote w:id="347">
    <w:p w:rsidR="007D15C3" w:rsidRPr="00F470CB" w:rsidP="007D15C3">
      <w:pPr>
        <w:pStyle w:val="FootnoteText"/>
      </w:pPr>
      <w:r w:rsidRPr="00F470CB">
        <w:rPr>
          <w:rStyle w:val="FootnoteReference"/>
        </w:rPr>
        <w:footnoteRef/>
      </w:r>
      <w:r w:rsidRPr="00F470CB">
        <w:t xml:space="preserve"> 47 CFR § 76.901(c).</w:t>
      </w:r>
    </w:p>
  </w:footnote>
  <w:footnote w:id="348">
    <w:p w:rsidR="007D15C3" w:rsidRPr="00F470CB" w:rsidP="007D15C3">
      <w:pPr>
        <w:pStyle w:val="FootnoteText"/>
      </w:pPr>
      <w:r w:rsidRPr="00F470CB">
        <w:rPr>
          <w:rStyle w:val="FootnoteReference"/>
        </w:rPr>
        <w:footnoteRef/>
      </w:r>
      <w:r w:rsidRPr="00F470CB">
        <w:t xml:space="preserve">  </w:t>
      </w:r>
      <w:r w:rsidRPr="00F470CB">
        <w:rPr>
          <w:i/>
        </w:rPr>
        <w:t>See</w:t>
      </w:r>
      <w:r>
        <w:rPr>
          <w:i/>
        </w:rPr>
        <w:t xml:space="preserve"> supra Note </w:t>
      </w:r>
      <w:r w:rsidRPr="00263690">
        <w:fldChar w:fldCharType="begin"/>
      </w:r>
      <w:r w:rsidRPr="00263690">
        <w:instrText xml:space="preserve"> NOTEREF _Ref24452997 \h </w:instrText>
      </w:r>
      <w:r>
        <w:instrText xml:space="preserve"> \* MERGEFORMAT </w:instrText>
      </w:r>
      <w:r w:rsidRPr="00263690">
        <w:fldChar w:fldCharType="separate"/>
      </w:r>
      <w:r>
        <w:t>108</w:t>
      </w:r>
      <w:r w:rsidRPr="00263690">
        <w:fldChar w:fldCharType="end"/>
      </w:r>
      <w:r>
        <w:rPr>
          <w:i/>
        </w:rPr>
        <w:t>.</w:t>
      </w:r>
    </w:p>
  </w:footnote>
  <w:footnote w:id="349">
    <w:p w:rsidR="007D15C3" w:rsidRPr="00F470CB" w:rsidP="007D15C3">
      <w:pPr>
        <w:pStyle w:val="FootnoteText"/>
      </w:pPr>
      <w:r w:rsidRPr="00F470CB">
        <w:rPr>
          <w:rStyle w:val="FootnoteReference"/>
        </w:rPr>
        <w:footnoteRef/>
      </w:r>
      <w:r w:rsidRPr="00F470CB">
        <w:t xml:space="preserve"> </w:t>
      </w:r>
      <w:r w:rsidRPr="00F470CB">
        <w:rPr>
          <w:i/>
        </w:rPr>
        <w:t>See</w:t>
      </w:r>
      <w:r w:rsidRPr="00F470CB">
        <w:t xml:space="preserve"> FCC, </w:t>
      </w:r>
      <w:r w:rsidRPr="00F470CB">
        <w:rPr>
          <w:i/>
        </w:rPr>
        <w:t>Cable Operations and Licensing System (COALS)</w:t>
      </w:r>
      <w:r w:rsidRPr="00F470CB">
        <w:t>, www.fcc.gov/coals (last visited Oct. 25, 2016).</w:t>
      </w:r>
    </w:p>
  </w:footnote>
  <w:footnote w:id="350">
    <w:p w:rsidR="007D15C3" w:rsidRPr="00C43F7F" w:rsidP="007D15C3">
      <w:pPr>
        <w:pStyle w:val="FootnoteText"/>
      </w:pPr>
      <w:r>
        <w:rPr>
          <w:rStyle w:val="FootnoteReference"/>
        </w:rPr>
        <w:footnoteRef/>
      </w:r>
      <w:r w:rsidRPr="00C43F7F">
        <w:t xml:space="preserve"> 47 CFR § 76.</w:t>
      </w:r>
      <w:r>
        <w:t>90</w:t>
      </w:r>
      <w:r w:rsidRPr="00C43F7F">
        <w:t xml:space="preserve">(f) </w:t>
      </w:r>
      <w:r>
        <w:t xml:space="preserve">and notes ff. </w:t>
      </w:r>
      <w:r w:rsidRPr="00C43F7F">
        <w:t>1</w:t>
      </w:r>
      <w:r>
        <w:t xml:space="preserve">, 2, and </w:t>
      </w:r>
      <w:r w:rsidRPr="00C43F7F">
        <w:t>3.</w:t>
      </w:r>
    </w:p>
  </w:footnote>
  <w:footnote w:id="351">
    <w:p w:rsidR="007D15C3" w:rsidRPr="00A07C7D" w:rsidP="007D15C3">
      <w:pPr>
        <w:pStyle w:val="FootnoteText"/>
      </w:pPr>
      <w:r>
        <w:rPr>
          <w:rStyle w:val="FootnoteReference"/>
        </w:rPr>
        <w:footnoteRef/>
      </w:r>
      <w:r>
        <w:t xml:space="preserve"> S&amp;P Global Market Intelligence, U.S. Cable Subscriber Highlights, Basic Subscribers(actual) 2018, U.S. Cable MSO Industry Total.</w:t>
      </w:r>
    </w:p>
  </w:footnote>
  <w:footnote w:id="352">
    <w:p w:rsidR="007D15C3" w:rsidRPr="00C43F7F" w:rsidP="007D15C3">
      <w:pPr>
        <w:pStyle w:val="FootnoteText"/>
      </w:pPr>
      <w:r w:rsidRPr="00A07C7D">
        <w:rPr>
          <w:rStyle w:val="FootnoteReference"/>
        </w:rPr>
        <w:footnoteRef/>
      </w:r>
      <w:r w:rsidRPr="00A07C7D">
        <w:t xml:space="preserve"> 47 CFR § 76.901(f) and notes ff. 1, 2, and 3.</w:t>
      </w:r>
    </w:p>
  </w:footnote>
  <w:footnote w:id="353">
    <w:p w:rsidR="007D15C3" w:rsidRPr="00C43F7F" w:rsidP="007D15C3">
      <w:pPr>
        <w:pStyle w:val="FootnoteText"/>
      </w:pPr>
      <w:r>
        <w:rPr>
          <w:rStyle w:val="FootnoteReference"/>
        </w:rPr>
        <w:footnoteRef/>
      </w:r>
      <w:r>
        <w:rPr>
          <w:rStyle w:val="Hyperlink"/>
        </w:rPr>
        <w:t xml:space="preserve"> </w:t>
      </w:r>
      <w:r>
        <w:t>S&amp;P Global Market Intelligence, Top Cable MSOs 12/18Q</w:t>
      </w:r>
      <w:r w:rsidRPr="00625A11">
        <w:rPr>
          <w:rStyle w:val="Hyperlink"/>
        </w:rPr>
        <w:t>.</w:t>
      </w:r>
      <w:r>
        <w:rPr>
          <w:rStyle w:val="Hyperlink"/>
        </w:rPr>
        <w:t xml:space="preserve">  The six cable operators all had more than </w:t>
      </w:r>
      <w:r w:rsidRPr="00B05AF4">
        <w:t>5</w:t>
      </w:r>
      <w:r>
        <w:t>05</w:t>
      </w:r>
      <w:r w:rsidRPr="00B05AF4">
        <w:t>,</w:t>
      </w:r>
      <w:r>
        <w:t>046</w:t>
      </w:r>
      <w:r w:rsidRPr="00B05AF4">
        <w:t xml:space="preserve"> </w:t>
      </w:r>
      <w:r>
        <w:rPr>
          <w:rStyle w:val="Hyperlink"/>
        </w:rPr>
        <w:t xml:space="preserve">basic cable subscribers. </w:t>
      </w:r>
    </w:p>
  </w:footnote>
  <w:footnote w:id="354">
    <w:p w:rsidR="007D15C3" w:rsidP="007D15C3">
      <w:pPr>
        <w:pStyle w:val="FootnoteText"/>
      </w:pPr>
      <w:r>
        <w:rPr>
          <w:rStyle w:val="FootnoteReference"/>
        </w:rPr>
        <w:footnoteRef/>
      </w:r>
      <w:r>
        <w:t xml:space="preserve"> </w:t>
      </w:r>
      <w:r w:rsidRPr="00133697">
        <w:t>The Commission receive</w:t>
      </w:r>
      <w:r>
        <w:t>s</w:t>
      </w:r>
      <w:r w:rsidRPr="00133697">
        <w:t xml:space="preser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355">
    <w:p w:rsidR="007D15C3" w:rsidP="007D15C3">
      <w:pPr>
        <w:pStyle w:val="FootnoteText"/>
      </w:pPr>
      <w:r>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18" w:history="1">
        <w:r w:rsidRPr="004C4449">
          <w:rPr>
            <w:rStyle w:val="Hyperlink"/>
          </w:rPr>
          <w:t>https://www.census.gov/cgi-bin/sssd/naics/naicsrch?code=517311&amp;search=2017</w:t>
        </w:r>
      </w:hyperlink>
      <w:r>
        <w:rPr>
          <w:rStyle w:val="Hyperlink"/>
        </w:rPr>
        <w:t>.</w:t>
      </w:r>
    </w:p>
  </w:footnote>
  <w:footnote w:id="356">
    <w:p w:rsidR="007D15C3" w:rsidRPr="00B36FD8" w:rsidP="007D15C3">
      <w:pPr>
        <w:pStyle w:val="FootnoteText"/>
        <w:rPr>
          <w:i/>
        </w:rPr>
      </w:pPr>
      <w:r>
        <w:rPr>
          <w:rStyle w:val="FootnoteReference"/>
        </w:rPr>
        <w:footnoteRef/>
      </w:r>
      <w:r>
        <w:t xml:space="preserve"> </w:t>
      </w:r>
      <w:r>
        <w:rPr>
          <w:i/>
        </w:rPr>
        <w:t>Id.</w:t>
      </w:r>
    </w:p>
  </w:footnote>
  <w:footnote w:id="357">
    <w:p w:rsidR="007D15C3" w:rsidP="007D15C3">
      <w:pPr>
        <w:pStyle w:val="FootnoteText"/>
      </w:pPr>
      <w:r>
        <w:rPr>
          <w:rStyle w:val="FootnoteReference"/>
        </w:rPr>
        <w:footnoteRef/>
      </w:r>
      <w:r>
        <w:t xml:space="preserve"> </w:t>
      </w:r>
      <w:r w:rsidRPr="0065596C">
        <w:rPr>
          <w:i/>
        </w:rPr>
        <w:t>See id</w:t>
      </w:r>
      <w:r w:rsidRPr="0065596C">
        <w:rPr>
          <w:bCs/>
        </w:rPr>
        <w:t xml:space="preserve">.  Examples of this category </w:t>
      </w:r>
      <w:r w:rsidRPr="0065596C">
        <w:rPr>
          <w:bCs/>
        </w:rPr>
        <w:t>are:</w:t>
      </w:r>
      <w:r w:rsidRPr="0065596C">
        <w:rPr>
          <w:bCs/>
        </w:rPr>
        <w:t xml:space="preserve"> broadband Internet service providers (</w:t>
      </w:r>
      <w:r w:rsidRPr="00A100BD">
        <w:rPr>
          <w:bCs/>
        </w:rPr>
        <w:t>e.g.,</w:t>
      </w:r>
      <w:r w:rsidRPr="0065596C">
        <w:rPr>
          <w:bCs/>
        </w:rPr>
        <w:t xml:space="preserve"> cable, DSL); local telephone carriers (wired); cable television distribution services; long-distance telephone carriers (wired); CCTV services; VoIP service providers, using own operated wired telecommunications infrastructure; DTH services; telecommunications carriers (wired); satellite television distribution systems; and MMDS.</w:t>
      </w:r>
    </w:p>
  </w:footnote>
  <w:footnote w:id="358">
    <w:p w:rsidR="007D15C3" w:rsidP="007D15C3">
      <w:pPr>
        <w:pStyle w:val="FootnoteText"/>
      </w:pPr>
      <w:r>
        <w:rPr>
          <w:rStyle w:val="FootnoteReference"/>
        </w:rPr>
        <w:footnoteRef/>
      </w:r>
      <w:r>
        <w:t xml:space="preserve"> </w:t>
      </w:r>
      <w:r>
        <w:rPr>
          <w:i/>
        </w:rPr>
        <w:t>Id</w:t>
      </w:r>
      <w:r>
        <w:t xml:space="preserve">. </w:t>
      </w:r>
    </w:p>
  </w:footnote>
  <w:footnote w:id="359">
    <w:p w:rsidR="007D15C3" w:rsidP="007D15C3">
      <w:pPr>
        <w:pStyle w:val="FootnoteText"/>
      </w:pPr>
      <w:r>
        <w:rPr>
          <w:rStyle w:val="FootnoteReference"/>
        </w:rPr>
        <w:footnoteRef/>
      </w:r>
      <w:r>
        <w:t xml:space="preserve"> 13 CFR</w:t>
      </w:r>
      <w:r w:rsidRPr="00A7270F">
        <w:t xml:space="preserve"> </w:t>
      </w:r>
      <w:r w:rsidRPr="00133697">
        <w:t>§</w:t>
      </w:r>
      <w:r>
        <w:t xml:space="preserve"> 121.201, NAICS CODE 517110.</w:t>
      </w:r>
    </w:p>
  </w:footnote>
  <w:footnote w:id="360">
    <w:p w:rsidR="007D15C3" w:rsidP="007D15C3">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19" w:history="1">
        <w:r w:rsidRPr="00B032BC">
          <w:rPr>
            <w:rStyle w:val="Hyperlink"/>
          </w:rPr>
          <w:t>https://factfinder.census.gov/bkmk/table/1.0/en/ECN/2012_US/51SSSZ5//naics~517110</w:t>
        </w:r>
      </w:hyperlink>
      <w:r>
        <w:rPr>
          <w:rStyle w:val="Hyperlink"/>
        </w:rPr>
        <w:t>.</w:t>
      </w:r>
    </w:p>
  </w:footnote>
  <w:footnote w:id="361">
    <w:p w:rsidR="007D15C3" w:rsidRPr="00D4482D" w:rsidP="007D15C3">
      <w:pPr>
        <w:pStyle w:val="FootnoteText"/>
        <w:rPr>
          <w:color w:val="0000FF"/>
          <w:u w:val="single"/>
        </w:rPr>
      </w:pPr>
      <w:r>
        <w:rPr>
          <w:rStyle w:val="FootnoteReference"/>
        </w:rPr>
        <w:footnoteRef/>
      </w:r>
      <w:r>
        <w:t xml:space="preserve"> </w:t>
      </w:r>
      <w:r>
        <w:rPr>
          <w:i/>
        </w:rPr>
        <w:t>Id.</w:t>
      </w:r>
    </w:p>
  </w:footnote>
  <w:footnote w:id="362">
    <w:p w:rsidR="007D15C3" w:rsidP="007D15C3">
      <w:pPr>
        <w:pStyle w:val="FootnoteText"/>
      </w:pPr>
      <w:r>
        <w:rPr>
          <w:rStyle w:val="FootnoteReference"/>
        </w:rPr>
        <w:footnoteRef/>
      </w:r>
      <w:r>
        <w:t xml:space="preserve"> </w:t>
      </w:r>
      <w:r w:rsidRPr="007B5DCE">
        <w:rPr>
          <w:i/>
        </w:rPr>
        <w:t>See</w:t>
      </w:r>
      <w:r>
        <w:rPr>
          <w:i/>
        </w:rPr>
        <w:t xml:space="preserve"> </w:t>
      </w:r>
      <w:r w:rsidRPr="0056087D">
        <w:rPr>
          <w:i/>
        </w:rPr>
        <w:t xml:space="preserve">Annual Assessment of the Status of Competition in the Market for the Delivery of Video Programming, Eighteenth Report, </w:t>
      </w:r>
      <w:r w:rsidRPr="0056087D">
        <w:t>Table III.A.5</w:t>
      </w:r>
      <w:r w:rsidRPr="0056087D">
        <w:rPr>
          <w:i/>
        </w:rPr>
        <w:t xml:space="preserve">, </w:t>
      </w:r>
      <w:r w:rsidRPr="0056087D">
        <w:t>32 FCC Rcd 568, 595 (Jan. 17, 2017)</w:t>
      </w:r>
      <w:r>
        <w:t xml:space="preserve">.  </w:t>
      </w:r>
    </w:p>
  </w:footnote>
  <w:footnote w:id="363">
    <w:p w:rsidR="007D15C3" w:rsidP="007D15C3">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16" w:history="1">
        <w:r w:rsidRPr="007F5266">
          <w:rPr>
            <w:rStyle w:val="Hyperlink"/>
          </w:rPr>
          <w:t>https://www.census.gov/cgi-bin/sssd/naics/naicsrch?input=517919&amp;search=2017+NAICS+Search&amp;search=2017</w:t>
        </w:r>
      </w:hyperlink>
      <w:r>
        <w:rPr>
          <w:rStyle w:val="Hyperlink"/>
        </w:rPr>
        <w:t>.</w:t>
      </w:r>
    </w:p>
  </w:footnote>
  <w:footnote w:id="364">
    <w:p w:rsidR="007D15C3" w:rsidRPr="000E22EF" w:rsidP="007D15C3">
      <w:pPr>
        <w:pStyle w:val="FootnoteText"/>
        <w:rPr>
          <w:i/>
        </w:rPr>
      </w:pPr>
      <w:r>
        <w:rPr>
          <w:rStyle w:val="FootnoteReference"/>
        </w:rPr>
        <w:footnoteRef/>
      </w:r>
      <w:r>
        <w:t xml:space="preserve"> </w:t>
      </w:r>
      <w:r>
        <w:rPr>
          <w:i/>
        </w:rPr>
        <w:t>Id.</w:t>
      </w:r>
    </w:p>
  </w:footnote>
  <w:footnote w:id="365">
    <w:p w:rsidR="007D15C3" w:rsidRPr="003B1F31" w:rsidP="007D15C3">
      <w:pPr>
        <w:pStyle w:val="FootnoteText"/>
      </w:pPr>
      <w:r w:rsidRPr="003B1F31">
        <w:rPr>
          <w:rStyle w:val="FootnoteReference"/>
        </w:rPr>
        <w:footnoteRef/>
      </w:r>
      <w:r>
        <w:rPr>
          <w:i/>
        </w:rPr>
        <w:t>Id</w:t>
      </w:r>
      <w:r w:rsidRPr="003B1F31">
        <w:t>.</w:t>
      </w:r>
    </w:p>
  </w:footnote>
  <w:footnote w:id="366">
    <w:p w:rsidR="007D15C3" w:rsidRPr="003B1F31" w:rsidP="007D15C3">
      <w:pPr>
        <w:pStyle w:val="FootnoteText"/>
      </w:pPr>
      <w:r w:rsidRPr="003B1F31">
        <w:rPr>
          <w:rStyle w:val="FootnoteReference"/>
        </w:rPr>
        <w:footnoteRef/>
      </w:r>
      <w:r w:rsidRPr="003B1F31">
        <w:t xml:space="preserve"> </w:t>
      </w:r>
      <w:r w:rsidRPr="003B1F31">
        <w:rPr>
          <w:i/>
        </w:rPr>
        <w:t>See</w:t>
      </w:r>
      <w:r w:rsidRPr="003B1F31">
        <w:t xml:space="preserve"> 13 CFR § 121.201, NAICS code 517919.</w:t>
      </w:r>
    </w:p>
  </w:footnote>
  <w:footnote w:id="367">
    <w:p w:rsidR="007D15C3" w:rsidP="007D15C3">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17" w:history="1">
        <w:r w:rsidRPr="00C57312">
          <w:rPr>
            <w:rStyle w:val="Hyperlink"/>
          </w:rPr>
          <w:t>https://factfinder.census.gov/bkmk/table/1.0/en/ECN/2012_US/51SSSZ4//naics~517919</w:t>
        </w:r>
      </w:hyperlink>
      <w:r>
        <w:rPr>
          <w:rStyle w:val="Hyperlink"/>
        </w:rPr>
        <w:t>.</w:t>
      </w:r>
    </w:p>
  </w:footnote>
  <w:footnote w:id="368">
    <w:p w:rsidR="007D15C3" w:rsidRPr="003B1F31" w:rsidP="007D15C3">
      <w:pPr>
        <w:pStyle w:val="FootnoteText"/>
      </w:pPr>
      <w:r w:rsidRPr="003B1F31">
        <w:rPr>
          <w:rStyle w:val="FootnoteReference"/>
        </w:rPr>
        <w:footnoteRef/>
      </w:r>
      <w:r w:rsidRPr="003B1F31">
        <w:t xml:space="preserve"> </w:t>
      </w:r>
      <w:r>
        <w:rPr>
          <w:i/>
        </w:rPr>
        <w:t>Id.</w:t>
      </w:r>
    </w:p>
  </w:footnote>
  <w:footnote w:id="369">
    <w:p w:rsidR="007D15C3" w:rsidP="007D15C3">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370">
    <w:p w:rsidR="007D15C3" w:rsidP="007D15C3">
      <w:pPr>
        <w:pStyle w:val="FootnoteText"/>
      </w:pPr>
      <w:r>
        <w:rPr>
          <w:rStyle w:val="FootnoteReference"/>
        </w:rPr>
        <w:footnoteRef/>
      </w:r>
      <w:r>
        <w:t xml:space="preserve"> 13 CFR </w:t>
      </w:r>
      <w:r w:rsidRPr="00133697">
        <w:t>§</w:t>
      </w:r>
      <w:r>
        <w:t xml:space="preserve"> 121.201, NAICS code 517110.</w:t>
      </w:r>
    </w:p>
  </w:footnote>
  <w:footnote w:id="371">
    <w:p w:rsidR="007D15C3" w:rsidP="007D15C3">
      <w:pPr>
        <w:pStyle w:val="FootnoteText"/>
      </w:pPr>
      <w:r>
        <w:rPr>
          <w:rStyle w:val="FootnoteReference"/>
        </w:rPr>
        <w:footnoteRef/>
      </w:r>
      <w:r>
        <w:t xml:space="preserve"> </w:t>
      </w:r>
      <w:r w:rsidRPr="007D381C">
        <w:rPr>
          <w:i/>
        </w:rPr>
        <w:t>Id</w:t>
      </w:r>
      <w:r>
        <w:t>.</w:t>
      </w:r>
    </w:p>
  </w:footnote>
  <w:footnote w:id="372">
    <w:p w:rsidR="007D15C3" w:rsidRPr="001B5DD6" w:rsidP="007D15C3">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rPr>
          <w:i/>
        </w:rPr>
        <w:t xml:space="preserve"> </w:t>
      </w:r>
      <w:r>
        <w:t xml:space="preserve">U.S. Census Bureau, </w:t>
      </w:r>
      <w:r w:rsidRPr="000461CF">
        <w:rPr>
          <w:i/>
        </w:rPr>
        <w:t>2017 NAICS Definition</w:t>
      </w:r>
      <w:r>
        <w:t xml:space="preserve">, </w:t>
      </w:r>
      <w:hyperlink r:id="rId18" w:history="1">
        <w:r w:rsidRPr="004C4449">
          <w:rPr>
            <w:rStyle w:val="Hyperlink"/>
          </w:rPr>
          <w:t>https://www.census.gov/cgi-bin/sssd/naics/naicsrch?code=517311&amp;search=2017</w:t>
        </w:r>
      </w:hyperlink>
      <w:r>
        <w:t xml:space="preserve">. </w:t>
      </w:r>
    </w:p>
  </w:footnote>
  <w:footnote w:id="373">
    <w:p w:rsidR="007D15C3" w:rsidP="007D15C3">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120.201, NAICS Code 517311 (previously 517110)</w:t>
      </w:r>
      <w:r w:rsidRPr="00C43F7F">
        <w:t>.</w:t>
      </w:r>
    </w:p>
  </w:footnote>
  <w:footnote w:id="374">
    <w:p w:rsidR="007D15C3" w:rsidP="007D15C3">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19" w:history="1">
        <w:r w:rsidRPr="00B032BC">
          <w:rPr>
            <w:rStyle w:val="Hyperlink"/>
          </w:rPr>
          <w:t>https://factfinder.census.gov/bkmk/table/1.0/en/ECN/2012_US/51SSSZ5//naics~517110</w:t>
        </w:r>
      </w:hyperlink>
      <w:r>
        <w:t>.</w:t>
      </w:r>
    </w:p>
  </w:footnote>
  <w:footnote w:id="375">
    <w:p w:rsidR="007D15C3" w:rsidP="007D15C3">
      <w:pPr>
        <w:pStyle w:val="FootnoteText"/>
      </w:pPr>
      <w:r>
        <w:rPr>
          <w:rStyle w:val="FootnoteReference"/>
        </w:rPr>
        <w:footnoteRef/>
      </w:r>
      <w:r>
        <w:t xml:space="preserve"> </w:t>
      </w:r>
      <w:r w:rsidRPr="00AF368C">
        <w:rPr>
          <w:i/>
        </w:rPr>
        <w:t>Id.</w:t>
      </w:r>
    </w:p>
  </w:footnote>
  <w:footnote w:id="376">
    <w:p w:rsidR="007D15C3" w:rsidP="007D15C3">
      <w:pPr>
        <w:pStyle w:val="FootnoteText"/>
      </w:pPr>
      <w:r>
        <w:rPr>
          <w:rStyle w:val="FootnoteReference"/>
        </w:rPr>
        <w:footnoteRef/>
      </w:r>
      <w:r>
        <w:t xml:space="preserve"> U.S. Census Bureau, 2012 NAICS Definitions, “</w:t>
      </w:r>
      <w:r>
        <w:rPr>
          <w:bCs/>
        </w:rPr>
        <w:t xml:space="preserve">517210 Wireless Telecommunications Carriers (Except Satellite).” </w:t>
      </w:r>
      <w:r>
        <w:t xml:space="preserve"> </w:t>
      </w:r>
      <w:r w:rsidRPr="00C114BE">
        <w:rPr>
          <w:i/>
        </w:rPr>
        <w:t>See</w:t>
      </w:r>
      <w:r>
        <w:t xml:space="preserve"> </w:t>
      </w:r>
      <w:hyperlink r:id="rId23" w:history="1">
        <w:r w:rsidRPr="00821FFF">
          <w:rPr>
            <w:rStyle w:val="Hyperlink"/>
          </w:rPr>
          <w:t>https://factfinder.census.gov/faces/affhelp/jsf/pages/metadata.xhtml?lang=en&amp;type=</w:t>
        </w:r>
        <w:r w:rsidRPr="00821FFF">
          <w:rPr>
            <w:rStyle w:val="Hyperlink"/>
          </w:rPr>
          <w:br/>
        </w:r>
        <w:r w:rsidRPr="00821FFF">
          <w:rPr>
            <w:rStyle w:val="Hyperlink"/>
          </w:rPr>
          <w:t>ib&amp;id</w:t>
        </w:r>
        <w:r w:rsidRPr="00821FFF">
          <w:rPr>
            <w:rStyle w:val="Hyperlink"/>
          </w:rPr>
          <w:t>=</w:t>
        </w:r>
        <w:r w:rsidRPr="00821FFF">
          <w:rPr>
            <w:rStyle w:val="Hyperlink"/>
          </w:rPr>
          <w:t>ib.en</w:t>
        </w:r>
        <w:r w:rsidRPr="00821FFF">
          <w:rPr>
            <w:rStyle w:val="Hyperlink"/>
          </w:rPr>
          <w:t>./ECN.NAICS2012.517210</w:t>
        </w:r>
      </w:hyperlink>
      <w:r>
        <w:t>.</w:t>
      </w:r>
    </w:p>
  </w:footnote>
  <w:footnote w:id="377">
    <w:p w:rsidR="007D15C3" w:rsidP="007D15C3">
      <w:pPr>
        <w:pStyle w:val="FootnoteText"/>
      </w:pPr>
      <w:r>
        <w:rPr>
          <w:rStyle w:val="FootnoteReference"/>
        </w:rPr>
        <w:footnoteRef/>
      </w:r>
      <w:r>
        <w:t xml:space="preserve"> 13 CFR </w:t>
      </w:r>
      <w:r w:rsidRPr="00133697">
        <w:t>§</w:t>
      </w:r>
      <w:r>
        <w:t xml:space="preserve"> 120.201, NAICS code 517120.</w:t>
      </w:r>
    </w:p>
  </w:footnote>
  <w:footnote w:id="378">
    <w:p w:rsidR="007D15C3" w:rsidRPr="004A4211" w:rsidP="007D15C3">
      <w:pPr>
        <w:pStyle w:val="FootnoteText"/>
        <w:spacing w:after="0"/>
        <w:rPr>
          <w:rStyle w:val="Hyperlink"/>
        </w:rPr>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w:t>
      </w:r>
      <w:hyperlink r:id="rId24" w:history="1">
        <w:r w:rsidRPr="00C57312">
          <w:rPr>
            <w:rStyle w:val="Hyperlink"/>
          </w:rPr>
          <w:t>https://factfinder.census.gov/bkmk/table/1.0/en/ECN/2012_US/51SSSZ5//naics~517210</w:t>
        </w:r>
      </w:hyperlink>
      <w:r>
        <w:fldChar w:fldCharType="begin"/>
      </w:r>
      <w:r>
        <w:instrText>HYPERLINK "D:\\Users\\Deena.Shetler\\AppData\\Local\\Microsoft\\Windows\\INetCache\\Content.Outlook\\MNWOJT2Q\\</w:instrText>
      </w:r>
      <w:r>
        <w:cr/>
        <w:instrText>pid=ECN_2012_US_51SSSZ4&amp;prodType=table"</w:instrText>
      </w:r>
      <w:r>
        <w:fldChar w:fldCharType="separate"/>
      </w:r>
    </w:p>
    <w:p w:rsidR="007D15C3" w:rsidRPr="00B013DC" w:rsidP="007D15C3">
      <w:pPr>
        <w:pStyle w:val="FootnoteText"/>
      </w:pPr>
      <w:r w:rsidRPr="004A4211">
        <w:rPr>
          <w:rStyle w:val="Hyperlink"/>
        </w:rPr>
        <w:t>pid</w:t>
      </w:r>
      <w:r w:rsidRPr="004A4211">
        <w:rPr>
          <w:rStyle w:val="Hyperlink"/>
        </w:rPr>
        <w:t>=ECN_2012_US_51SSSZ4&amp;prodType=table</w:t>
      </w:r>
      <w:r>
        <w:fldChar w:fldCharType="end"/>
      </w:r>
      <w:r w:rsidRPr="00B013DC">
        <w:t>.</w:t>
      </w:r>
    </w:p>
  </w:footnote>
  <w:footnote w:id="379">
    <w:p w:rsidR="007D15C3" w:rsidP="007D15C3">
      <w:pPr>
        <w:pStyle w:val="FootnoteText"/>
      </w:pPr>
      <w:r>
        <w:rPr>
          <w:rStyle w:val="FootnoteReference"/>
        </w:rPr>
        <w:footnoteRef/>
      </w:r>
      <w:r>
        <w:t xml:space="preserve"> 13 CFR </w:t>
      </w:r>
      <w:r w:rsidRPr="00133697">
        <w:t>§</w:t>
      </w:r>
      <w:r>
        <w:t xml:space="preserve"> 120.201, NAICS code 541890.</w:t>
      </w:r>
    </w:p>
  </w:footnote>
  <w:footnote w:id="380">
    <w:p w:rsidR="007D15C3" w:rsidP="007D15C3">
      <w:pPr>
        <w:pStyle w:val="FootnoteText"/>
      </w:pPr>
      <w:r>
        <w:rPr>
          <w:rStyle w:val="FootnoteReference"/>
        </w:rPr>
        <w:footnoteRef/>
      </w:r>
      <w:r>
        <w:t xml:space="preserve"> 13 CFR </w:t>
      </w:r>
      <w:r w:rsidRPr="00133697">
        <w:t>§</w:t>
      </w:r>
      <w:r>
        <w:t xml:space="preserve"> 120.201, NAICS code 541618.</w:t>
      </w:r>
    </w:p>
  </w:footnote>
  <w:footnote w:id="381">
    <w:p w:rsidR="007D15C3" w:rsidP="007D15C3">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382">
    <w:p w:rsidR="007D15C3" w:rsidP="007D15C3">
      <w:pPr>
        <w:pStyle w:val="FootnoteText"/>
      </w:pPr>
      <w:r>
        <w:rPr>
          <w:rStyle w:val="FootnoteReference"/>
        </w:rPr>
        <w:footnoteRef/>
      </w:r>
      <w:r>
        <w:t xml:space="preserve"> </w:t>
      </w:r>
      <w:r w:rsidRPr="00A017E4">
        <w:t xml:space="preserve">13 CFR </w:t>
      </w:r>
      <w:r w:rsidRPr="00133697">
        <w:t>§</w:t>
      </w:r>
      <w:r>
        <w:t xml:space="preserve"> 120.201, NAICS c</w:t>
      </w:r>
      <w:r w:rsidRPr="00A017E4">
        <w:t>ode 541890</w:t>
      </w:r>
      <w:r>
        <w:t>.</w:t>
      </w:r>
    </w:p>
  </w:footnote>
  <w:footnote w:id="383">
    <w:p w:rsidR="007D15C3" w:rsidRPr="00B141B0" w:rsidP="007D15C3">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7D15C3" w:rsidRPr="00A54FE6" w:rsidP="007D15C3">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7D15C3" w:rsidRPr="00B013DC" w:rsidP="007D15C3">
      <w:pPr>
        <w:pStyle w:val="FootnoteText"/>
      </w:pPr>
      <w:r w:rsidRPr="00A54FE6">
        <w:rPr>
          <w:rStyle w:val="Hyperlink"/>
        </w:rPr>
        <w:t>pid</w:t>
      </w:r>
      <w:r w:rsidRPr="00A54FE6">
        <w:rPr>
          <w:rStyle w:val="Hyperlink"/>
        </w:rPr>
        <w:t>=ECN_2012_US_51SSSZ4&amp;prodType=table</w:t>
      </w:r>
      <w:r>
        <w:fldChar w:fldCharType="end"/>
      </w:r>
      <w:r w:rsidRPr="00B013DC">
        <w:t>.</w:t>
      </w:r>
    </w:p>
  </w:footnote>
  <w:footnote w:id="384">
    <w:p w:rsidR="007D15C3" w:rsidP="007D15C3">
      <w:pPr>
        <w:pStyle w:val="FootnoteText"/>
      </w:pPr>
      <w:r>
        <w:rPr>
          <w:rStyle w:val="FootnoteReference"/>
        </w:rPr>
        <w:footnoteRef/>
      </w:r>
      <w:r w:rsidRPr="00470358">
        <w:t xml:space="preserve"> </w:t>
      </w:r>
      <w:r w:rsidRPr="00B974AD">
        <w:rPr>
          <w:rStyle w:val="Hyperlink"/>
        </w:rPr>
        <w:t>http://www.census,gov/cgi-bin/sssd/naics.naicsrch</w:t>
      </w:r>
      <w:r>
        <w:t>.</w:t>
      </w:r>
    </w:p>
  </w:footnote>
  <w:footnote w:id="385">
    <w:p w:rsidR="007D15C3" w:rsidP="007D15C3">
      <w:pPr>
        <w:pStyle w:val="FootnoteText"/>
      </w:pPr>
      <w:r>
        <w:rPr>
          <w:rStyle w:val="FootnoteReference"/>
        </w:rPr>
        <w:footnoteRef/>
      </w:r>
      <w:r>
        <w:t xml:space="preserve"> 13 CFR </w:t>
      </w:r>
      <w:r w:rsidRPr="00133697">
        <w:t>§</w:t>
      </w:r>
      <w:r>
        <w:t xml:space="preserve"> 120.201, NAICS code 514618.</w:t>
      </w:r>
    </w:p>
  </w:footnote>
  <w:footnote w:id="386">
    <w:p w:rsidR="007D15C3" w:rsidRPr="00B141B0" w:rsidP="007D15C3">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7D15C3" w:rsidRPr="00A54FE6" w:rsidP="007D15C3">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7D15C3" w:rsidRPr="00B013DC" w:rsidP="007D15C3">
      <w:pPr>
        <w:pStyle w:val="FootnoteText"/>
      </w:pPr>
      <w:r w:rsidRPr="00A54FE6">
        <w:rPr>
          <w:rStyle w:val="Hyperlink"/>
        </w:rPr>
        <w:t>pid</w:t>
      </w:r>
      <w:r w:rsidRPr="00A54FE6">
        <w:rPr>
          <w:rStyle w:val="Hyperlink"/>
        </w:rPr>
        <w:t>=ECN_2012_US_51SSSZ4&amp;prodType=table</w:t>
      </w:r>
      <w:r>
        <w:fldChar w:fldCharType="end"/>
      </w:r>
      <w:r w:rsidRPr="00B013DC">
        <w:t>.</w:t>
      </w:r>
    </w:p>
  </w:footnote>
  <w:footnote w:id="387">
    <w:p w:rsidR="007D15C3" w:rsidP="007D15C3">
      <w:pPr>
        <w:pStyle w:val="FootnoteText"/>
      </w:pPr>
      <w:r>
        <w:rPr>
          <w:rStyle w:val="FootnoteReference"/>
        </w:rPr>
        <w:footnoteRef/>
      </w:r>
      <w:r>
        <w:t xml:space="preserve"> The four NAICS code-based categories selected above to provide definitions for Carrier and Non-Carrier </w:t>
      </w:r>
      <w:r>
        <w:t>RespOrgs</w:t>
      </w:r>
      <w:r>
        <w:t xml:space="preserve"> were selected because as a group they refer generically and comprehensively to all </w:t>
      </w:r>
      <w:r>
        <w:t>RespOrgs</w:t>
      </w:r>
      <w:r>
        <w:t xml:space="preserve">.   </w:t>
      </w:r>
    </w:p>
  </w:footnote>
  <w:footnote w:id="388">
    <w:p w:rsidR="007D15C3" w:rsidP="007D15C3">
      <w:pPr>
        <w:pStyle w:val="FootnoteText"/>
      </w:pPr>
      <w:r>
        <w:rPr>
          <w:rStyle w:val="FootnoteReference"/>
        </w:rPr>
        <w:footnoteRef/>
      </w:r>
      <w:r>
        <w:t xml:space="preserve"> </w:t>
      </w:r>
      <w:r w:rsidRPr="00185ED3">
        <w:t>5 U.S.C. § 603(c)(1)–(c)(4).</w:t>
      </w:r>
    </w:p>
  </w:footnote>
  <w:footnote w:id="389">
    <w:p w:rsidR="00710D83" w:rsidRPr="00AE6171" w:rsidP="00710D83">
      <w:pPr>
        <w:pStyle w:val="FootnoteText"/>
      </w:pPr>
      <w:r>
        <w:rPr>
          <w:rStyle w:val="FootnoteReference"/>
        </w:rPr>
        <w:footnoteRef/>
      </w:r>
      <w:r>
        <w:t xml:space="preserve"> </w:t>
      </w:r>
      <w:r w:rsidRPr="00AE6171">
        <w:rPr>
          <w:i/>
          <w:iCs/>
        </w:rPr>
        <w:t xml:space="preserve">See </w:t>
      </w:r>
      <w:r w:rsidRPr="00AE6171">
        <w:t xml:space="preserve">Michael O’Rielly, </w:t>
      </w:r>
      <w:r w:rsidRPr="00483423">
        <w:rPr>
          <w:i/>
          <w:iCs/>
        </w:rPr>
        <w:t>Further Improving the FCC’s Procedures</w:t>
      </w:r>
      <w:r w:rsidRPr="00AE6171">
        <w:t>, FCC.GOV</w:t>
      </w:r>
      <w:r>
        <w:t>,</w:t>
      </w:r>
      <w:r w:rsidRPr="00AE6171">
        <w:t xml:space="preserve"> December 20, 2018, https://www.fcc.gov/news-events/blog/2018/12/20/further-improving-fccs-procedures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C3" w:rsidP="007672E3">
    <w:pPr>
      <w:pStyle w:val="Header"/>
      <w:rPr>
        <w:b w:val="0"/>
      </w:rPr>
    </w:pPr>
    <w:r>
      <w:tab/>
      <w:t>Federal Communications Commission</w:t>
    </w:r>
    <w:r>
      <w:tab/>
      <w:t>FCC 20-</w:t>
    </w:r>
    <w:r w:rsidR="00BC400D">
      <w:t>64</w:t>
    </w:r>
  </w:p>
  <w:p w:rsidR="007D15C3" w:rsidRPr="006D498C" w:rsidP="006D498C">
    <w:pPr>
      <w:tabs>
        <w:tab w:val="left" w:pos="-720"/>
      </w:tabs>
      <w:suppressAutoHyphens/>
      <w:spacing w:line="19" w:lineRule="exact"/>
      <w:rPr>
        <w:spacing w:val="-2"/>
      </w:rPr>
    </w:pPr>
    <w:r>
      <w:rPr>
        <w:noProof/>
      </w:rPr>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C3" w:rsidP="007672E3">
    <w:pPr>
      <w:pStyle w:val="Header"/>
      <w:rPr>
        <w:b w:val="0"/>
      </w:rPr>
    </w:pPr>
    <w:r>
      <w:rPr>
        <w:noProof/>
      </w:rPr>
      <w:pict>
        <v:rect id="Rectangle 1028"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tab/>
      <w:t>Federal Communications Commission</w:t>
    </w:r>
    <w:r>
      <w:tab/>
      <w:t>FCC 20-</w:t>
    </w:r>
    <w:r w:rsidR="00BC400D">
      <w:t>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C3" w:rsidP="00810B6F">
    <w:pPr>
      <w:pStyle w:val="Header"/>
      <w:rPr>
        <w:b w:val="0"/>
      </w:rPr>
    </w:pPr>
    <w:r>
      <w:tab/>
      <w:t>Federal Communications Commission</w:t>
    </w:r>
    <w:r>
      <w:tab/>
      <w:t>FCC 20-</w:t>
    </w:r>
    <w:r w:rsidR="003F4A2A">
      <w:t>64</w:t>
    </w:r>
  </w:p>
  <w:p w:rsidR="007D15C3" w:rsidRPr="003F4A2A" w:rsidP="003F4A2A">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o:lock v:ext="edit" aspectratio="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C3" w:rsidP="007672E3">
    <w:pPr>
      <w:pStyle w:val="Header"/>
      <w:tabs>
        <w:tab w:val="left" w:pos="1052"/>
      </w:tabs>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o:lock v:ext="edit" aspectratio="t"/>
          <w10:wrap anchorx="margin"/>
        </v:rect>
      </w:pict>
    </w:r>
    <w:r>
      <w:t xml:space="preserve"> </w:t>
    </w:r>
    <w:r>
      <w:tab/>
    </w:r>
    <w:r>
      <w:tab/>
      <w:t>Federal Communications Commission</w:t>
    </w:r>
    <w:r>
      <w:tab/>
    </w:r>
    <w:r>
      <w:rPr>
        <w:spacing w:val="-2"/>
      </w:rPr>
      <w:t>FCC 20-</w:t>
    </w:r>
    <w:r w:rsidR="003F4A2A">
      <w:rPr>
        <w:spacing w:val="-2"/>
      </w:rPr>
      <w:t>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31E5">
      <w:t>FCC 20-64</w:t>
    </w:r>
  </w:p>
  <w:p w:rsidR="00D25FB5" w:rsidRPr="006331E5" w:rsidP="006331E5">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C19D6">
      <w:rPr>
        <w:spacing w:val="-2"/>
      </w:rPr>
      <w:t>FCC 20-64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20-64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1379BC"/>
    <w:multiLevelType w:val="hybridMultilevel"/>
    <w:tmpl w:val="35242592"/>
    <w:lvl w:ilvl="0">
      <w:start w:val="21"/>
      <w:numFmt w:val="bullet"/>
      <w:lvlText w:val=""/>
      <w:lvlJc w:val="left"/>
      <w:pPr>
        <w:ind w:left="720" w:hanging="360"/>
      </w:pPr>
      <w:rPr>
        <w:rFonts w:ascii="Symbol" w:eastAsia="Calibri"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5B61DB"/>
    <w:multiLevelType w:val="hybridMultilevel"/>
    <w:tmpl w:val="301E77E8"/>
    <w:lvl w:ilvl="0">
      <w:start w:val="21"/>
      <w:numFmt w:val="bullet"/>
      <w:lvlText w:val=""/>
      <w:lvlJc w:val="left"/>
      <w:pPr>
        <w:ind w:left="720" w:hanging="360"/>
      </w:pPr>
      <w:rPr>
        <w:rFonts w:ascii="Symbol" w:eastAsia="Calibri"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ACB55F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CE85CA5"/>
    <w:multiLevelType w:val="hybridMultilevel"/>
    <w:tmpl w:val="DA34A902"/>
    <w:styleLink w:val="ImportedStyle2"/>
    <w:lvl w:ilvl="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3D07680E"/>
    <w:multiLevelType w:val="hybridMultilevel"/>
    <w:tmpl w:val="96DE426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0">
    <w:nsid w:val="45296813"/>
    <w:multiLevelType w:val="multilevel"/>
    <w:tmpl w:val="BD2825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22D42EA"/>
    <w:multiLevelType w:val="hybridMultilevel"/>
    <w:tmpl w:val="BD1A19E2"/>
    <w:lvl w:ilvl="0">
      <w:start w:val="21"/>
      <w:numFmt w:val="bullet"/>
      <w:lvlText w:val=""/>
      <w:lvlJc w:val="left"/>
      <w:pPr>
        <w:ind w:left="720" w:hanging="360"/>
      </w:pPr>
      <w:rPr>
        <w:rFonts w:ascii="Symbol" w:eastAsia="Calibri"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75C20A1"/>
    <w:multiLevelType w:val="hybridMultilevel"/>
    <w:tmpl w:val="3C342070"/>
    <w:lvl w:ilvl="0">
      <w:start w:val="21"/>
      <w:numFmt w:val="bullet"/>
      <w:lvlText w:val=""/>
      <w:lvlJc w:val="left"/>
      <w:pPr>
        <w:ind w:left="720" w:hanging="360"/>
      </w:pPr>
      <w:rPr>
        <w:rFonts w:ascii="Symbol" w:eastAsia="Calibri"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B81240C"/>
    <w:multiLevelType w:val="hybridMultilevel"/>
    <w:tmpl w:val="292E23E6"/>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D2B48D2"/>
    <w:multiLevelType w:val="singleLevel"/>
    <w:tmpl w:val="462A4EC8"/>
    <w:lvl w:ilvl="0">
      <w:start w:val="1"/>
      <w:numFmt w:val="decimal"/>
      <w:lvlText w:val="%1."/>
      <w:lvlJc w:val="left"/>
      <w:pPr>
        <w:tabs>
          <w:tab w:val="num" w:pos="1080"/>
        </w:tabs>
        <w:ind w:left="0" w:firstLine="720"/>
      </w:pPr>
      <w:rPr>
        <w:b w:val="0"/>
        <w:color w:val="auto"/>
      </w:rPr>
    </w:lvl>
  </w:abstractNum>
  <w:abstractNum w:abstractNumId="17">
    <w:nsid w:val="6D4829EC"/>
    <w:multiLevelType w:val="multilevel"/>
    <w:tmpl w:val="0409001D"/>
    <w:styleLink w:val="Style1"/>
    <w:lvl w:ilvl="0">
      <w:start w:val="1"/>
      <w:numFmt w:val="decimal"/>
      <w:pStyle w:val="Paranum0"/>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317484"/>
    <w:multiLevelType w:val="hybridMultilevel"/>
    <w:tmpl w:val="C7B890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E76589F"/>
    <w:multiLevelType w:val="hybridMultilevel"/>
    <w:tmpl w:val="CA4432BA"/>
    <w:lvl w:ilvl="0">
      <w:start w:val="21"/>
      <w:numFmt w:val="bullet"/>
      <w:lvlText w:val=""/>
      <w:lvlJc w:val="left"/>
      <w:pPr>
        <w:ind w:left="720" w:hanging="360"/>
      </w:pPr>
      <w:rPr>
        <w:rFonts w:ascii="Symbol" w:eastAsia="Calibri"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F0406EE"/>
    <w:multiLevelType w:val="hybridMultilevel"/>
    <w:tmpl w:val="749E4CE6"/>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0"/>
      <w:numFmt w:val="bullet"/>
      <w:lvlText w:val="-"/>
      <w:lvlJc w:val="left"/>
      <w:pPr>
        <w:tabs>
          <w:tab w:val="num" w:pos="1080"/>
        </w:tabs>
        <w:ind w:left="1080" w:hanging="360"/>
      </w:pPr>
      <w:rPr>
        <w:rFonts w:ascii="Times New Roman" w:eastAsia="Times New Roman" w:hAnsi="Times New Roman"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3"/>
  </w:num>
  <w:num w:numId="2">
    <w:abstractNumId w:val="15"/>
  </w:num>
  <w:num w:numId="3">
    <w:abstractNumId w:val="5"/>
  </w:num>
  <w:num w:numId="4">
    <w:abstractNumId w:val="11"/>
  </w:num>
  <w:num w:numId="5">
    <w:abstractNumId w:val="4"/>
  </w:num>
  <w:num w:numId="6">
    <w:abstractNumId w:val="2"/>
  </w:num>
  <w:num w:numId="7">
    <w:abstractNumId w:val="17"/>
  </w:num>
  <w:num w:numId="8">
    <w:abstractNumId w:val="14"/>
  </w:num>
  <w:num w:numId="9">
    <w:abstractNumId w:val="9"/>
  </w:num>
  <w:num w:numId="10">
    <w:abstractNumId w:val="8"/>
  </w:num>
  <w:num w:numId="11">
    <w:abstractNumId w:val="5"/>
    <w:lvlOverride w:ilvl="0">
      <w:startOverride w:val="1"/>
    </w:lvlOverride>
    <w:lvlOverride w:ilvl="1">
      <w:startOverride w:val="1"/>
    </w:lvlOverride>
  </w:num>
  <w:num w:numId="12">
    <w:abstractNumId w:val="15"/>
    <w:lvlOverride w:ilvl="0">
      <w:startOverride w:val="1"/>
    </w:lvlOverride>
  </w:num>
  <w:num w:numId="13">
    <w:abstractNumId w:val="15"/>
    <w:lvlOverride w:ilvl="0">
      <w:startOverride w:val="1"/>
    </w:lvlOverride>
  </w:num>
  <w:num w:numId="14">
    <w:abstractNumId w:val="16"/>
  </w:num>
  <w:num w:numId="15">
    <w:abstractNumId w:val="18"/>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1"/>
  </w:num>
  <w:num w:numId="24">
    <w:abstractNumId w:val="12"/>
  </w:num>
  <w:num w:numId="25">
    <w:abstractNumId w:val="6"/>
  </w:num>
  <w:num w:numId="26">
    <w:abstractNumId w:val="13"/>
  </w:num>
  <w:num w:numId="27">
    <w:abstractNumId w:val="19"/>
  </w:num>
  <w:num w:numId="2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C3"/>
    <w:rsid w:val="00004A61"/>
    <w:rsid w:val="0000664D"/>
    <w:rsid w:val="00031F88"/>
    <w:rsid w:val="00036039"/>
    <w:rsid w:val="00037F90"/>
    <w:rsid w:val="000461CF"/>
    <w:rsid w:val="000646AD"/>
    <w:rsid w:val="000654C8"/>
    <w:rsid w:val="00066589"/>
    <w:rsid w:val="0008303F"/>
    <w:rsid w:val="00083FB4"/>
    <w:rsid w:val="00087530"/>
    <w:rsid w:val="000875BF"/>
    <w:rsid w:val="00096D8C"/>
    <w:rsid w:val="000A048A"/>
    <w:rsid w:val="000A1AED"/>
    <w:rsid w:val="000A1C38"/>
    <w:rsid w:val="000A4ED6"/>
    <w:rsid w:val="000A61E4"/>
    <w:rsid w:val="000A78D5"/>
    <w:rsid w:val="000B0FE4"/>
    <w:rsid w:val="000B2FEC"/>
    <w:rsid w:val="000C0B65"/>
    <w:rsid w:val="000C76CC"/>
    <w:rsid w:val="000D03AE"/>
    <w:rsid w:val="000D4091"/>
    <w:rsid w:val="000E05FE"/>
    <w:rsid w:val="000E2106"/>
    <w:rsid w:val="000E22EF"/>
    <w:rsid w:val="000E3D42"/>
    <w:rsid w:val="000E5A84"/>
    <w:rsid w:val="000E7A40"/>
    <w:rsid w:val="000F189F"/>
    <w:rsid w:val="000F5C56"/>
    <w:rsid w:val="000F66AE"/>
    <w:rsid w:val="00100F78"/>
    <w:rsid w:val="0011764D"/>
    <w:rsid w:val="00122BD5"/>
    <w:rsid w:val="00133697"/>
    <w:rsid w:val="00133F79"/>
    <w:rsid w:val="00141C3B"/>
    <w:rsid w:val="00171DED"/>
    <w:rsid w:val="00172614"/>
    <w:rsid w:val="00185ED3"/>
    <w:rsid w:val="001877FA"/>
    <w:rsid w:val="00187CF9"/>
    <w:rsid w:val="001907DF"/>
    <w:rsid w:val="00194618"/>
    <w:rsid w:val="001949EE"/>
    <w:rsid w:val="00194A66"/>
    <w:rsid w:val="001950ED"/>
    <w:rsid w:val="001A0D82"/>
    <w:rsid w:val="001A164F"/>
    <w:rsid w:val="001B0532"/>
    <w:rsid w:val="001B5DD6"/>
    <w:rsid w:val="001B5E20"/>
    <w:rsid w:val="001B6E56"/>
    <w:rsid w:val="001C4125"/>
    <w:rsid w:val="001C5F4D"/>
    <w:rsid w:val="001D09A8"/>
    <w:rsid w:val="001D6BCF"/>
    <w:rsid w:val="001D7610"/>
    <w:rsid w:val="001E01CA"/>
    <w:rsid w:val="001E1544"/>
    <w:rsid w:val="001E39E8"/>
    <w:rsid w:val="001E46EC"/>
    <w:rsid w:val="001F4993"/>
    <w:rsid w:val="00242A03"/>
    <w:rsid w:val="00243770"/>
    <w:rsid w:val="002509CE"/>
    <w:rsid w:val="00252FBB"/>
    <w:rsid w:val="00256BBD"/>
    <w:rsid w:val="00260D3B"/>
    <w:rsid w:val="00263690"/>
    <w:rsid w:val="002652B6"/>
    <w:rsid w:val="00271039"/>
    <w:rsid w:val="00274E20"/>
    <w:rsid w:val="00275CF5"/>
    <w:rsid w:val="0028301F"/>
    <w:rsid w:val="002834A8"/>
    <w:rsid w:val="00285017"/>
    <w:rsid w:val="0029103F"/>
    <w:rsid w:val="002A2D2E"/>
    <w:rsid w:val="002B1B38"/>
    <w:rsid w:val="002B6141"/>
    <w:rsid w:val="002C00E8"/>
    <w:rsid w:val="002C5E1C"/>
    <w:rsid w:val="002C7C70"/>
    <w:rsid w:val="002D1750"/>
    <w:rsid w:val="002E14F4"/>
    <w:rsid w:val="002F2D5A"/>
    <w:rsid w:val="002F55BF"/>
    <w:rsid w:val="002F5E79"/>
    <w:rsid w:val="002F63AD"/>
    <w:rsid w:val="002F7529"/>
    <w:rsid w:val="00316D71"/>
    <w:rsid w:val="00317656"/>
    <w:rsid w:val="003202BE"/>
    <w:rsid w:val="003216AF"/>
    <w:rsid w:val="00323BFE"/>
    <w:rsid w:val="003251FB"/>
    <w:rsid w:val="00333EB9"/>
    <w:rsid w:val="00343749"/>
    <w:rsid w:val="003456FB"/>
    <w:rsid w:val="0035422C"/>
    <w:rsid w:val="00357400"/>
    <w:rsid w:val="003610E3"/>
    <w:rsid w:val="003660ED"/>
    <w:rsid w:val="00384B16"/>
    <w:rsid w:val="003B0550"/>
    <w:rsid w:val="003B1F31"/>
    <w:rsid w:val="003B31E9"/>
    <w:rsid w:val="003B694F"/>
    <w:rsid w:val="003C560E"/>
    <w:rsid w:val="003E784F"/>
    <w:rsid w:val="003F171C"/>
    <w:rsid w:val="003F4A2A"/>
    <w:rsid w:val="003F6DAA"/>
    <w:rsid w:val="00410E02"/>
    <w:rsid w:val="0041294C"/>
    <w:rsid w:val="00412FC5"/>
    <w:rsid w:val="004163A7"/>
    <w:rsid w:val="00422276"/>
    <w:rsid w:val="00422601"/>
    <w:rsid w:val="004242F1"/>
    <w:rsid w:val="00425DB9"/>
    <w:rsid w:val="004264F2"/>
    <w:rsid w:val="00427E96"/>
    <w:rsid w:val="0043478A"/>
    <w:rsid w:val="00445A00"/>
    <w:rsid w:val="0045000A"/>
    <w:rsid w:val="00451B0F"/>
    <w:rsid w:val="0045526F"/>
    <w:rsid w:val="00461FF4"/>
    <w:rsid w:val="00470358"/>
    <w:rsid w:val="0048189B"/>
    <w:rsid w:val="00483423"/>
    <w:rsid w:val="0049102A"/>
    <w:rsid w:val="004A4211"/>
    <w:rsid w:val="004A56AB"/>
    <w:rsid w:val="004B79DA"/>
    <w:rsid w:val="004C0F54"/>
    <w:rsid w:val="004C189F"/>
    <w:rsid w:val="004C2EE3"/>
    <w:rsid w:val="004C4449"/>
    <w:rsid w:val="004E1D86"/>
    <w:rsid w:val="004E4A22"/>
    <w:rsid w:val="004E636D"/>
    <w:rsid w:val="00500EA4"/>
    <w:rsid w:val="005070E1"/>
    <w:rsid w:val="00511968"/>
    <w:rsid w:val="00512CC6"/>
    <w:rsid w:val="00514B8F"/>
    <w:rsid w:val="00517E3C"/>
    <w:rsid w:val="00524328"/>
    <w:rsid w:val="005343F7"/>
    <w:rsid w:val="00545A68"/>
    <w:rsid w:val="00546C27"/>
    <w:rsid w:val="00550DD9"/>
    <w:rsid w:val="0055614C"/>
    <w:rsid w:val="005577AD"/>
    <w:rsid w:val="00557C98"/>
    <w:rsid w:val="0056087D"/>
    <w:rsid w:val="00565E15"/>
    <w:rsid w:val="00566D06"/>
    <w:rsid w:val="0057171A"/>
    <w:rsid w:val="00572961"/>
    <w:rsid w:val="0057751A"/>
    <w:rsid w:val="0058075D"/>
    <w:rsid w:val="00584333"/>
    <w:rsid w:val="0058703B"/>
    <w:rsid w:val="0059212C"/>
    <w:rsid w:val="005A3505"/>
    <w:rsid w:val="005A523D"/>
    <w:rsid w:val="005B36CB"/>
    <w:rsid w:val="005B4944"/>
    <w:rsid w:val="005B69AD"/>
    <w:rsid w:val="005C06DA"/>
    <w:rsid w:val="005C446C"/>
    <w:rsid w:val="005E14C2"/>
    <w:rsid w:val="005E3CAC"/>
    <w:rsid w:val="005E5756"/>
    <w:rsid w:val="005E7451"/>
    <w:rsid w:val="005F0D13"/>
    <w:rsid w:val="005F6BC2"/>
    <w:rsid w:val="005F6CF0"/>
    <w:rsid w:val="006023CB"/>
    <w:rsid w:val="00606392"/>
    <w:rsid w:val="00607BA5"/>
    <w:rsid w:val="0061180A"/>
    <w:rsid w:val="00613B22"/>
    <w:rsid w:val="00614D13"/>
    <w:rsid w:val="00620240"/>
    <w:rsid w:val="00625A11"/>
    <w:rsid w:val="00626EB6"/>
    <w:rsid w:val="006308EE"/>
    <w:rsid w:val="006331E5"/>
    <w:rsid w:val="006358BC"/>
    <w:rsid w:val="0064095E"/>
    <w:rsid w:val="00644BFC"/>
    <w:rsid w:val="0064502B"/>
    <w:rsid w:val="0065596C"/>
    <w:rsid w:val="00655D03"/>
    <w:rsid w:val="00656B5E"/>
    <w:rsid w:val="00656F48"/>
    <w:rsid w:val="0066448F"/>
    <w:rsid w:val="00670BBF"/>
    <w:rsid w:val="0067355D"/>
    <w:rsid w:val="006740E6"/>
    <w:rsid w:val="00683388"/>
    <w:rsid w:val="00683F84"/>
    <w:rsid w:val="006900A4"/>
    <w:rsid w:val="00690DD1"/>
    <w:rsid w:val="00696E7B"/>
    <w:rsid w:val="006A6A81"/>
    <w:rsid w:val="006A75BE"/>
    <w:rsid w:val="006B076E"/>
    <w:rsid w:val="006B0F19"/>
    <w:rsid w:val="006B3F19"/>
    <w:rsid w:val="006B7181"/>
    <w:rsid w:val="006D06D6"/>
    <w:rsid w:val="006D312C"/>
    <w:rsid w:val="006D498C"/>
    <w:rsid w:val="006E3781"/>
    <w:rsid w:val="006F130E"/>
    <w:rsid w:val="006F3A15"/>
    <w:rsid w:val="006F6C54"/>
    <w:rsid w:val="006F7393"/>
    <w:rsid w:val="0070224F"/>
    <w:rsid w:val="00703968"/>
    <w:rsid w:val="00710D83"/>
    <w:rsid w:val="007115F7"/>
    <w:rsid w:val="00725E0B"/>
    <w:rsid w:val="00730BA3"/>
    <w:rsid w:val="0073574D"/>
    <w:rsid w:val="007364C3"/>
    <w:rsid w:val="00737095"/>
    <w:rsid w:val="0073764B"/>
    <w:rsid w:val="00742988"/>
    <w:rsid w:val="007521D5"/>
    <w:rsid w:val="0075357D"/>
    <w:rsid w:val="0076206B"/>
    <w:rsid w:val="00764180"/>
    <w:rsid w:val="007672E3"/>
    <w:rsid w:val="00770ED1"/>
    <w:rsid w:val="00774793"/>
    <w:rsid w:val="00785689"/>
    <w:rsid w:val="007876B4"/>
    <w:rsid w:val="0079754B"/>
    <w:rsid w:val="007A1E6D"/>
    <w:rsid w:val="007A58BF"/>
    <w:rsid w:val="007A5DAA"/>
    <w:rsid w:val="007B0EB2"/>
    <w:rsid w:val="007B5DCE"/>
    <w:rsid w:val="007C0347"/>
    <w:rsid w:val="007C1CC0"/>
    <w:rsid w:val="007D15C3"/>
    <w:rsid w:val="007D2A65"/>
    <w:rsid w:val="007D381C"/>
    <w:rsid w:val="007D5FE6"/>
    <w:rsid w:val="007E129D"/>
    <w:rsid w:val="007E19B2"/>
    <w:rsid w:val="007E1E68"/>
    <w:rsid w:val="007E2815"/>
    <w:rsid w:val="007E7DF6"/>
    <w:rsid w:val="007F2769"/>
    <w:rsid w:val="007F2815"/>
    <w:rsid w:val="007F3A7B"/>
    <w:rsid w:val="007F3B6C"/>
    <w:rsid w:val="007F5266"/>
    <w:rsid w:val="00804676"/>
    <w:rsid w:val="00805558"/>
    <w:rsid w:val="00810B6F"/>
    <w:rsid w:val="00811D93"/>
    <w:rsid w:val="008172E0"/>
    <w:rsid w:val="00820DF8"/>
    <w:rsid w:val="00821FFF"/>
    <w:rsid w:val="0082202C"/>
    <w:rsid w:val="00822CE0"/>
    <w:rsid w:val="0083281D"/>
    <w:rsid w:val="0083551F"/>
    <w:rsid w:val="00835723"/>
    <w:rsid w:val="00840BF5"/>
    <w:rsid w:val="00841AB1"/>
    <w:rsid w:val="00842057"/>
    <w:rsid w:val="00842058"/>
    <w:rsid w:val="008443E5"/>
    <w:rsid w:val="00855298"/>
    <w:rsid w:val="00857FA7"/>
    <w:rsid w:val="00860117"/>
    <w:rsid w:val="008637B6"/>
    <w:rsid w:val="00872FF5"/>
    <w:rsid w:val="00876613"/>
    <w:rsid w:val="008772C8"/>
    <w:rsid w:val="00882C03"/>
    <w:rsid w:val="00883000"/>
    <w:rsid w:val="0088462E"/>
    <w:rsid w:val="0088753C"/>
    <w:rsid w:val="00894D7A"/>
    <w:rsid w:val="008979DD"/>
    <w:rsid w:val="008A4B2E"/>
    <w:rsid w:val="008B3CBA"/>
    <w:rsid w:val="008C68F1"/>
    <w:rsid w:val="008D17E8"/>
    <w:rsid w:val="008D193F"/>
    <w:rsid w:val="008E0123"/>
    <w:rsid w:val="008F6C69"/>
    <w:rsid w:val="00901A0F"/>
    <w:rsid w:val="00912783"/>
    <w:rsid w:val="00916C1C"/>
    <w:rsid w:val="00921803"/>
    <w:rsid w:val="00926503"/>
    <w:rsid w:val="00926B90"/>
    <w:rsid w:val="00930D2A"/>
    <w:rsid w:val="00934012"/>
    <w:rsid w:val="00940D48"/>
    <w:rsid w:val="009530A5"/>
    <w:rsid w:val="0096649D"/>
    <w:rsid w:val="009672DF"/>
    <w:rsid w:val="009726D8"/>
    <w:rsid w:val="00973E15"/>
    <w:rsid w:val="009749DB"/>
    <w:rsid w:val="00994172"/>
    <w:rsid w:val="009950C8"/>
    <w:rsid w:val="00996F50"/>
    <w:rsid w:val="009A1F07"/>
    <w:rsid w:val="009A2366"/>
    <w:rsid w:val="009A4C0D"/>
    <w:rsid w:val="009A5F2D"/>
    <w:rsid w:val="009B437C"/>
    <w:rsid w:val="009B57AC"/>
    <w:rsid w:val="009C1CDE"/>
    <w:rsid w:val="009C6C40"/>
    <w:rsid w:val="009D62F5"/>
    <w:rsid w:val="009D63B2"/>
    <w:rsid w:val="009D7308"/>
    <w:rsid w:val="009E5812"/>
    <w:rsid w:val="009F0E5E"/>
    <w:rsid w:val="009F76DB"/>
    <w:rsid w:val="00A017E4"/>
    <w:rsid w:val="00A07C7D"/>
    <w:rsid w:val="00A100BD"/>
    <w:rsid w:val="00A1103B"/>
    <w:rsid w:val="00A1156D"/>
    <w:rsid w:val="00A1340D"/>
    <w:rsid w:val="00A13BE3"/>
    <w:rsid w:val="00A17E23"/>
    <w:rsid w:val="00A17ED9"/>
    <w:rsid w:val="00A242B0"/>
    <w:rsid w:val="00A30130"/>
    <w:rsid w:val="00A32C3B"/>
    <w:rsid w:val="00A404EB"/>
    <w:rsid w:val="00A41ABA"/>
    <w:rsid w:val="00A44D0A"/>
    <w:rsid w:val="00A45F4F"/>
    <w:rsid w:val="00A5293E"/>
    <w:rsid w:val="00A54FE6"/>
    <w:rsid w:val="00A55495"/>
    <w:rsid w:val="00A600A9"/>
    <w:rsid w:val="00A64500"/>
    <w:rsid w:val="00A7270F"/>
    <w:rsid w:val="00A7303C"/>
    <w:rsid w:val="00A77182"/>
    <w:rsid w:val="00A80A6C"/>
    <w:rsid w:val="00A9054A"/>
    <w:rsid w:val="00A93662"/>
    <w:rsid w:val="00A94765"/>
    <w:rsid w:val="00AA1125"/>
    <w:rsid w:val="00AA4FA8"/>
    <w:rsid w:val="00AA55B7"/>
    <w:rsid w:val="00AA5B9E"/>
    <w:rsid w:val="00AA6EC9"/>
    <w:rsid w:val="00AB00AF"/>
    <w:rsid w:val="00AB1D3A"/>
    <w:rsid w:val="00AB2407"/>
    <w:rsid w:val="00AB24B3"/>
    <w:rsid w:val="00AB53DF"/>
    <w:rsid w:val="00AB5C78"/>
    <w:rsid w:val="00AC19D6"/>
    <w:rsid w:val="00AC47F5"/>
    <w:rsid w:val="00AC51A7"/>
    <w:rsid w:val="00AD169D"/>
    <w:rsid w:val="00AD538C"/>
    <w:rsid w:val="00AE3B62"/>
    <w:rsid w:val="00AE6171"/>
    <w:rsid w:val="00AE7EA1"/>
    <w:rsid w:val="00AF00EE"/>
    <w:rsid w:val="00AF2F23"/>
    <w:rsid w:val="00AF318B"/>
    <w:rsid w:val="00AF368C"/>
    <w:rsid w:val="00AF4BE8"/>
    <w:rsid w:val="00B0106B"/>
    <w:rsid w:val="00B013DC"/>
    <w:rsid w:val="00B02C9E"/>
    <w:rsid w:val="00B032BC"/>
    <w:rsid w:val="00B05AF4"/>
    <w:rsid w:val="00B06F8A"/>
    <w:rsid w:val="00B07E5C"/>
    <w:rsid w:val="00B141B0"/>
    <w:rsid w:val="00B231D7"/>
    <w:rsid w:val="00B27AE5"/>
    <w:rsid w:val="00B36FD8"/>
    <w:rsid w:val="00B400CE"/>
    <w:rsid w:val="00B50487"/>
    <w:rsid w:val="00B50F08"/>
    <w:rsid w:val="00B60211"/>
    <w:rsid w:val="00B605CD"/>
    <w:rsid w:val="00B80C6E"/>
    <w:rsid w:val="00B811F7"/>
    <w:rsid w:val="00B850A5"/>
    <w:rsid w:val="00B90DD2"/>
    <w:rsid w:val="00B974AD"/>
    <w:rsid w:val="00BA0557"/>
    <w:rsid w:val="00BA3F1E"/>
    <w:rsid w:val="00BA5DC6"/>
    <w:rsid w:val="00BA6196"/>
    <w:rsid w:val="00BB229F"/>
    <w:rsid w:val="00BB63D2"/>
    <w:rsid w:val="00BC3A87"/>
    <w:rsid w:val="00BC400D"/>
    <w:rsid w:val="00BC6D8C"/>
    <w:rsid w:val="00BE1BA4"/>
    <w:rsid w:val="00BE3712"/>
    <w:rsid w:val="00BE4D74"/>
    <w:rsid w:val="00BE4EB2"/>
    <w:rsid w:val="00BE7000"/>
    <w:rsid w:val="00C114BE"/>
    <w:rsid w:val="00C124A6"/>
    <w:rsid w:val="00C272D9"/>
    <w:rsid w:val="00C337F5"/>
    <w:rsid w:val="00C34006"/>
    <w:rsid w:val="00C36B4C"/>
    <w:rsid w:val="00C37F16"/>
    <w:rsid w:val="00C426B1"/>
    <w:rsid w:val="00C43F7F"/>
    <w:rsid w:val="00C45F52"/>
    <w:rsid w:val="00C46234"/>
    <w:rsid w:val="00C53477"/>
    <w:rsid w:val="00C57312"/>
    <w:rsid w:val="00C6100F"/>
    <w:rsid w:val="00C66160"/>
    <w:rsid w:val="00C715B0"/>
    <w:rsid w:val="00C721AC"/>
    <w:rsid w:val="00C82293"/>
    <w:rsid w:val="00C87686"/>
    <w:rsid w:val="00C90D6A"/>
    <w:rsid w:val="00C9656E"/>
    <w:rsid w:val="00C97EB0"/>
    <w:rsid w:val="00CA247E"/>
    <w:rsid w:val="00CA28D0"/>
    <w:rsid w:val="00CA6D21"/>
    <w:rsid w:val="00CB2DF4"/>
    <w:rsid w:val="00CB34B5"/>
    <w:rsid w:val="00CB51D2"/>
    <w:rsid w:val="00CC13C2"/>
    <w:rsid w:val="00CC3C3B"/>
    <w:rsid w:val="00CC72B6"/>
    <w:rsid w:val="00CD2452"/>
    <w:rsid w:val="00CD3CED"/>
    <w:rsid w:val="00CD463F"/>
    <w:rsid w:val="00CE0A78"/>
    <w:rsid w:val="00CE0BF8"/>
    <w:rsid w:val="00CE6CB1"/>
    <w:rsid w:val="00CF20B1"/>
    <w:rsid w:val="00CF3187"/>
    <w:rsid w:val="00CF6908"/>
    <w:rsid w:val="00D0218D"/>
    <w:rsid w:val="00D05439"/>
    <w:rsid w:val="00D122EC"/>
    <w:rsid w:val="00D12DC9"/>
    <w:rsid w:val="00D23917"/>
    <w:rsid w:val="00D2430F"/>
    <w:rsid w:val="00D25FB5"/>
    <w:rsid w:val="00D34E23"/>
    <w:rsid w:val="00D44223"/>
    <w:rsid w:val="00D4482D"/>
    <w:rsid w:val="00D507D3"/>
    <w:rsid w:val="00D72D20"/>
    <w:rsid w:val="00D75466"/>
    <w:rsid w:val="00D8403F"/>
    <w:rsid w:val="00D90006"/>
    <w:rsid w:val="00D923EF"/>
    <w:rsid w:val="00D92F25"/>
    <w:rsid w:val="00D97D01"/>
    <w:rsid w:val="00DA2529"/>
    <w:rsid w:val="00DB0530"/>
    <w:rsid w:val="00DB130A"/>
    <w:rsid w:val="00DB2EBB"/>
    <w:rsid w:val="00DC10A1"/>
    <w:rsid w:val="00DC2279"/>
    <w:rsid w:val="00DC4569"/>
    <w:rsid w:val="00DC61E2"/>
    <w:rsid w:val="00DC655F"/>
    <w:rsid w:val="00DD0B59"/>
    <w:rsid w:val="00DD0CC5"/>
    <w:rsid w:val="00DD6522"/>
    <w:rsid w:val="00DD7EBD"/>
    <w:rsid w:val="00DE6E25"/>
    <w:rsid w:val="00DE72D3"/>
    <w:rsid w:val="00DF4AE2"/>
    <w:rsid w:val="00DF62B6"/>
    <w:rsid w:val="00E0369D"/>
    <w:rsid w:val="00E07225"/>
    <w:rsid w:val="00E202EB"/>
    <w:rsid w:val="00E31C8D"/>
    <w:rsid w:val="00E53142"/>
    <w:rsid w:val="00E5409F"/>
    <w:rsid w:val="00E75FE8"/>
    <w:rsid w:val="00E832C4"/>
    <w:rsid w:val="00E869AC"/>
    <w:rsid w:val="00E9344A"/>
    <w:rsid w:val="00E93795"/>
    <w:rsid w:val="00E971AA"/>
    <w:rsid w:val="00EB4254"/>
    <w:rsid w:val="00EC14F9"/>
    <w:rsid w:val="00EC2B2C"/>
    <w:rsid w:val="00ED3260"/>
    <w:rsid w:val="00ED4FB1"/>
    <w:rsid w:val="00ED76B4"/>
    <w:rsid w:val="00EE3578"/>
    <w:rsid w:val="00EE3A67"/>
    <w:rsid w:val="00EE58D5"/>
    <w:rsid w:val="00EE6488"/>
    <w:rsid w:val="00EE71D9"/>
    <w:rsid w:val="00F00FC7"/>
    <w:rsid w:val="00F021FA"/>
    <w:rsid w:val="00F119E5"/>
    <w:rsid w:val="00F12B45"/>
    <w:rsid w:val="00F21E4E"/>
    <w:rsid w:val="00F333AF"/>
    <w:rsid w:val="00F35DB5"/>
    <w:rsid w:val="00F44823"/>
    <w:rsid w:val="00F470CB"/>
    <w:rsid w:val="00F51D2A"/>
    <w:rsid w:val="00F55DAB"/>
    <w:rsid w:val="00F607BF"/>
    <w:rsid w:val="00F62B51"/>
    <w:rsid w:val="00F62E97"/>
    <w:rsid w:val="00F64209"/>
    <w:rsid w:val="00F65722"/>
    <w:rsid w:val="00F67ED8"/>
    <w:rsid w:val="00F71063"/>
    <w:rsid w:val="00F720B4"/>
    <w:rsid w:val="00F85B57"/>
    <w:rsid w:val="00F93BF5"/>
    <w:rsid w:val="00F95B79"/>
    <w:rsid w:val="00FA3F44"/>
    <w:rsid w:val="00FB428B"/>
    <w:rsid w:val="00FC3992"/>
    <w:rsid w:val="00FE0680"/>
    <w:rsid w:val="00FF7619"/>
    <w:rsid w:val="0E6F4A2D"/>
    <w:rsid w:val="3C85307C"/>
    <w:rsid w:val="4BBD8B65"/>
    <w:rsid w:val="4E540434"/>
    <w:rsid w:val="59982C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AD6469-053A-4B82-9A97-4CC0F2A3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uiPriority="11" w:qFormat="1"/>
    <w:lsdException w:name="Followed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3"/>
    <w:pPr>
      <w:widowControl w:val="0"/>
    </w:pPr>
    <w:rPr>
      <w:snapToGrid w:val="0"/>
      <w:kern w:val="28"/>
      <w:sz w:val="22"/>
    </w:rPr>
  </w:style>
  <w:style w:type="paragraph" w:styleId="Heading1">
    <w:name w:val="heading 1"/>
    <w:basedOn w:val="Normal"/>
    <w:next w:val="ParaNum"/>
    <w:link w:val="Heading1Char"/>
    <w:qFormat/>
    <w:rsid w:val="007D15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7D15C3"/>
    <w:pPr>
      <w:keepNext/>
      <w:numPr>
        <w:ilvl w:val="1"/>
        <w:numId w:val="3"/>
      </w:numPr>
      <w:spacing w:after="120"/>
      <w:outlineLvl w:val="1"/>
    </w:pPr>
    <w:rPr>
      <w:b/>
    </w:rPr>
  </w:style>
  <w:style w:type="paragraph" w:styleId="Heading3">
    <w:name w:val="heading 3"/>
    <w:basedOn w:val="Normal"/>
    <w:next w:val="ParaNum"/>
    <w:link w:val="Heading3Char"/>
    <w:qFormat/>
    <w:rsid w:val="007D15C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D15C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D15C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7D15C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D15C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D15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D15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15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15C3"/>
  </w:style>
  <w:style w:type="paragraph" w:customStyle="1" w:styleId="ParaNum">
    <w:name w:val="ParaNum"/>
    <w:basedOn w:val="Normal"/>
    <w:link w:val="ParaNumChar1"/>
    <w:rsid w:val="007D15C3"/>
    <w:pPr>
      <w:numPr>
        <w:numId w:val="2"/>
      </w:numPr>
      <w:tabs>
        <w:tab w:val="clear" w:pos="1080"/>
        <w:tab w:val="num" w:pos="1440"/>
      </w:tabs>
      <w:spacing w:after="120"/>
    </w:pPr>
  </w:style>
  <w:style w:type="paragraph" w:styleId="EndnoteText">
    <w:name w:val="endnote text"/>
    <w:basedOn w:val="Normal"/>
    <w:link w:val="EndnoteTextChar"/>
    <w:semiHidden/>
    <w:rsid w:val="007D15C3"/>
    <w:rPr>
      <w:sz w:val="20"/>
    </w:rPr>
  </w:style>
  <w:style w:type="character" w:styleId="EndnoteReference">
    <w:name w:val="endnote reference"/>
    <w:semiHidden/>
    <w:rsid w:val="007D15C3"/>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uiPriority w:val="99"/>
    <w:rsid w:val="007D15C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7D15C3"/>
    <w:rPr>
      <w:rFonts w:ascii="Times New Roman" w:hAnsi="Times New Roman"/>
      <w:dstrike w:val="0"/>
      <w:color w:val="auto"/>
      <w:sz w:val="20"/>
      <w:vertAlign w:val="superscript"/>
    </w:rPr>
  </w:style>
  <w:style w:type="paragraph" w:styleId="TOC1">
    <w:name w:val="toc 1"/>
    <w:basedOn w:val="Normal"/>
    <w:next w:val="Normal"/>
    <w:rsid w:val="007D15C3"/>
    <w:pPr>
      <w:tabs>
        <w:tab w:val="left" w:pos="360"/>
        <w:tab w:val="right" w:leader="dot" w:pos="9360"/>
      </w:tabs>
      <w:suppressAutoHyphens/>
      <w:ind w:left="360" w:right="720" w:hanging="360"/>
    </w:pPr>
    <w:rPr>
      <w:caps/>
      <w:noProof/>
    </w:rPr>
  </w:style>
  <w:style w:type="paragraph" w:styleId="TOC2">
    <w:name w:val="toc 2"/>
    <w:basedOn w:val="Normal"/>
    <w:next w:val="Normal"/>
    <w:rsid w:val="007D15C3"/>
    <w:pPr>
      <w:tabs>
        <w:tab w:val="left" w:pos="720"/>
        <w:tab w:val="right" w:leader="dot" w:pos="9360"/>
      </w:tabs>
      <w:suppressAutoHyphens/>
      <w:ind w:left="720" w:right="720" w:hanging="360"/>
    </w:pPr>
    <w:rPr>
      <w:noProof/>
    </w:rPr>
  </w:style>
  <w:style w:type="paragraph" w:styleId="TOC3">
    <w:name w:val="toc 3"/>
    <w:basedOn w:val="Normal"/>
    <w:next w:val="Normal"/>
    <w:rsid w:val="007D15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15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15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15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15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15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15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15C3"/>
    <w:pPr>
      <w:tabs>
        <w:tab w:val="right" w:pos="9360"/>
      </w:tabs>
      <w:suppressAutoHyphens/>
    </w:pPr>
  </w:style>
  <w:style w:type="character" w:customStyle="1" w:styleId="EquationCaption">
    <w:name w:val="_Equation Caption"/>
    <w:rsid w:val="007D15C3"/>
  </w:style>
  <w:style w:type="paragraph" w:styleId="Header">
    <w:name w:val="header"/>
    <w:basedOn w:val="Normal"/>
    <w:link w:val="HeaderChar"/>
    <w:autoRedefine/>
    <w:rsid w:val="007D15C3"/>
    <w:pPr>
      <w:tabs>
        <w:tab w:val="center" w:pos="4680"/>
        <w:tab w:val="right" w:pos="9360"/>
      </w:tabs>
    </w:pPr>
    <w:rPr>
      <w:b/>
    </w:rPr>
  </w:style>
  <w:style w:type="paragraph" w:styleId="Footer">
    <w:name w:val="footer"/>
    <w:basedOn w:val="Normal"/>
    <w:link w:val="FooterChar"/>
    <w:uiPriority w:val="99"/>
    <w:rsid w:val="007D15C3"/>
    <w:pPr>
      <w:tabs>
        <w:tab w:val="center" w:pos="4320"/>
        <w:tab w:val="right" w:pos="8640"/>
      </w:tabs>
    </w:pPr>
  </w:style>
  <w:style w:type="character" w:styleId="PageNumber">
    <w:name w:val="page number"/>
    <w:rsid w:val="007D15C3"/>
  </w:style>
  <w:style w:type="paragraph" w:styleId="BlockText">
    <w:name w:val="Block Text"/>
    <w:basedOn w:val="Normal"/>
    <w:rsid w:val="007D15C3"/>
    <w:pPr>
      <w:spacing w:after="240"/>
      <w:ind w:left="1440" w:right="1440"/>
    </w:pPr>
  </w:style>
  <w:style w:type="paragraph" w:customStyle="1" w:styleId="Paratitle">
    <w:name w:val="Para title"/>
    <w:basedOn w:val="Normal"/>
    <w:rsid w:val="007D15C3"/>
    <w:pPr>
      <w:tabs>
        <w:tab w:val="center" w:pos="9270"/>
      </w:tabs>
      <w:spacing w:after="240"/>
    </w:pPr>
    <w:rPr>
      <w:spacing w:val="-2"/>
    </w:rPr>
  </w:style>
  <w:style w:type="paragraph" w:customStyle="1" w:styleId="Bullet">
    <w:name w:val="Bullet"/>
    <w:basedOn w:val="Normal"/>
    <w:rsid w:val="007D15C3"/>
    <w:pPr>
      <w:tabs>
        <w:tab w:val="left" w:pos="2160"/>
      </w:tabs>
      <w:spacing w:after="220"/>
      <w:ind w:left="2160" w:hanging="720"/>
    </w:pPr>
  </w:style>
  <w:style w:type="paragraph" w:customStyle="1" w:styleId="TableFormat">
    <w:name w:val="TableFormat"/>
    <w:basedOn w:val="Bullet"/>
    <w:rsid w:val="007D15C3"/>
    <w:pPr>
      <w:tabs>
        <w:tab w:val="clear" w:pos="2160"/>
        <w:tab w:val="left" w:pos="5040"/>
      </w:tabs>
      <w:ind w:left="5040" w:hanging="3600"/>
    </w:pPr>
  </w:style>
  <w:style w:type="paragraph" w:customStyle="1" w:styleId="TOCTitle">
    <w:name w:val="TOC Title"/>
    <w:basedOn w:val="Normal"/>
    <w:rsid w:val="007D15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15C3"/>
    <w:pPr>
      <w:jc w:val="center"/>
    </w:pPr>
    <w:rPr>
      <w:rFonts w:ascii="Times New Roman Bold" w:hAnsi="Times New Roman Bold"/>
      <w:b/>
      <w:bCs/>
      <w:caps/>
      <w:szCs w:val="22"/>
    </w:rPr>
  </w:style>
  <w:style w:type="character" w:styleId="Hyperlink">
    <w:name w:val="Hyperlink"/>
    <w:rsid w:val="007D15C3"/>
    <w:rPr>
      <w:color w:val="0000FF"/>
      <w:u w:val="single"/>
    </w:rPr>
  </w:style>
  <w:style w:type="character" w:customStyle="1" w:styleId="FooterChar">
    <w:name w:val="Footer Char"/>
    <w:link w:val="Footer"/>
    <w:uiPriority w:val="99"/>
    <w:rsid w:val="007D15C3"/>
    <w:rPr>
      <w:snapToGrid w:val="0"/>
      <w:kern w:val="28"/>
      <w:sz w:val="22"/>
    </w:rPr>
  </w:style>
  <w:style w:type="character" w:styleId="Emphasis">
    <w:name w:val="Emphasis"/>
    <w:qFormat/>
    <w:rsid w:val="007D15C3"/>
    <w:rPr>
      <w:i/>
      <w:iCs/>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uiPriority w:val="99"/>
    <w:rsid w:val="007D15C3"/>
  </w:style>
  <w:style w:type="character" w:customStyle="1" w:styleId="ParaNumChar1">
    <w:name w:val="ParaNum Char1"/>
    <w:link w:val="ParaNum"/>
    <w:locked/>
    <w:rsid w:val="007D15C3"/>
    <w:rPr>
      <w:snapToGrid w:val="0"/>
      <w:kern w:val="28"/>
      <w:sz w:val="22"/>
    </w:rPr>
  </w:style>
  <w:style w:type="character" w:customStyle="1" w:styleId="documentbody">
    <w:name w:val="documentbody"/>
    <w:rsid w:val="007D15C3"/>
  </w:style>
  <w:style w:type="character" w:customStyle="1" w:styleId="searchterm">
    <w:name w:val="searchterm"/>
    <w:rsid w:val="007D15C3"/>
  </w:style>
  <w:style w:type="character" w:customStyle="1" w:styleId="apple-converted-space">
    <w:name w:val="apple-converted-space"/>
    <w:rsid w:val="007D15C3"/>
  </w:style>
  <w:style w:type="paragraph" w:styleId="Caption">
    <w:name w:val="caption"/>
    <w:basedOn w:val="Normal"/>
    <w:next w:val="Normal"/>
    <w:qFormat/>
    <w:rsid w:val="007D15C3"/>
    <w:pPr>
      <w:spacing w:before="120" w:after="120"/>
    </w:pPr>
    <w:rPr>
      <w:b/>
      <w:snapToGrid/>
    </w:rPr>
  </w:style>
  <w:style w:type="numbering" w:customStyle="1" w:styleId="Style1">
    <w:name w:val="Style1"/>
    <w:uiPriority w:val="99"/>
    <w:rsid w:val="007D15C3"/>
    <w:pPr>
      <w:numPr>
        <w:numId w:val="7"/>
      </w:numPr>
    </w:pPr>
  </w:style>
  <w:style w:type="paragraph" w:customStyle="1" w:styleId="Paranum0">
    <w:name w:val="Paranum"/>
    <w:basedOn w:val="ParaNum"/>
    <w:rsid w:val="007D15C3"/>
    <w:pPr>
      <w:numPr>
        <w:numId w:val="7"/>
      </w:numPr>
    </w:pPr>
  </w:style>
  <w:style w:type="character" w:customStyle="1" w:styleId="Heading2Char2">
    <w:name w:val="Heading 2 Char2"/>
    <w:aliases w:val="Heading 2 Char Char,Heading 2 Char Char Char Char Char,Heading 2 Char Char Char Char Char Char1 Char Char,Heading 2 Char1 Char,Heading 2 Char1 Char Char Char,Heading 2 Char1 Char Char Char Char1 Char Char,Heading 2 Char1 Char Char1 Char"/>
    <w:link w:val="Heading2"/>
    <w:rsid w:val="007D15C3"/>
    <w:rPr>
      <w:b/>
      <w:snapToGrid w:val="0"/>
      <w:kern w:val="28"/>
      <w:sz w:val="22"/>
    </w:rPr>
  </w:style>
  <w:style w:type="character" w:customStyle="1" w:styleId="Heading3Char">
    <w:name w:val="Heading 3 Char"/>
    <w:link w:val="Heading3"/>
    <w:rsid w:val="007D15C3"/>
    <w:rPr>
      <w:b/>
      <w:snapToGrid w:val="0"/>
      <w:kern w:val="28"/>
      <w:sz w:val="22"/>
    </w:rPr>
  </w:style>
  <w:style w:type="character" w:styleId="CommentReference">
    <w:name w:val="annotation reference"/>
    <w:uiPriority w:val="99"/>
    <w:rsid w:val="007D15C3"/>
    <w:rPr>
      <w:sz w:val="16"/>
      <w:szCs w:val="16"/>
    </w:rPr>
  </w:style>
  <w:style w:type="character" w:customStyle="1" w:styleId="Heading1Char">
    <w:name w:val="Heading 1 Char"/>
    <w:link w:val="Heading1"/>
    <w:rsid w:val="007D15C3"/>
    <w:rPr>
      <w:rFonts w:ascii="Times New Roman Bold" w:hAnsi="Times New Roman Bold"/>
      <w:b/>
      <w:caps/>
      <w:snapToGrid w:val="0"/>
      <w:kern w:val="28"/>
      <w:sz w:val="22"/>
    </w:rPr>
  </w:style>
  <w:style w:type="character" w:customStyle="1" w:styleId="Footnote">
    <w:name w:val="Footnote"/>
    <w:rsid w:val="007D15C3"/>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7D15C3"/>
    <w:rPr>
      <w:rFonts w:cs="Times New Roman"/>
      <w:lang w:val="en-US" w:eastAsia="en-US" w:bidi="ar-SA"/>
    </w:rPr>
  </w:style>
  <w:style w:type="character" w:customStyle="1" w:styleId="documentbody1">
    <w:name w:val="documentbody1"/>
    <w:rsid w:val="007D15C3"/>
    <w:rPr>
      <w:rFonts w:ascii="Verdana" w:hAnsi="Verdana" w:cs="Times New Roman"/>
      <w:sz w:val="19"/>
      <w:szCs w:val="19"/>
    </w:rPr>
  </w:style>
  <w:style w:type="paragraph" w:styleId="BalloonText">
    <w:name w:val="Balloon Text"/>
    <w:basedOn w:val="Normal"/>
    <w:link w:val="BalloonTextChar"/>
    <w:uiPriority w:val="99"/>
    <w:rsid w:val="007D15C3"/>
    <w:rPr>
      <w:rFonts w:ascii="Segoe UI" w:hAnsi="Segoe UI" w:cs="Segoe UI"/>
      <w:sz w:val="18"/>
      <w:szCs w:val="18"/>
    </w:rPr>
  </w:style>
  <w:style w:type="character" w:customStyle="1" w:styleId="BalloonTextChar">
    <w:name w:val="Balloon Text Char"/>
    <w:link w:val="BalloonText"/>
    <w:uiPriority w:val="99"/>
    <w:rsid w:val="007D15C3"/>
    <w:rPr>
      <w:rFonts w:ascii="Segoe UI" w:hAnsi="Segoe UI" w:cs="Segoe UI"/>
      <w:snapToGrid w:val="0"/>
      <w:kern w:val="28"/>
      <w:sz w:val="18"/>
      <w:szCs w:val="18"/>
    </w:rPr>
  </w:style>
  <w:style w:type="paragraph" w:styleId="CommentText">
    <w:name w:val="annotation text"/>
    <w:basedOn w:val="Normal"/>
    <w:link w:val="CommentTextChar"/>
    <w:uiPriority w:val="99"/>
    <w:rsid w:val="007D15C3"/>
    <w:rPr>
      <w:sz w:val="20"/>
    </w:rPr>
  </w:style>
  <w:style w:type="character" w:customStyle="1" w:styleId="CommentTextChar">
    <w:name w:val="Comment Text Char"/>
    <w:link w:val="CommentText"/>
    <w:uiPriority w:val="99"/>
    <w:rsid w:val="007D15C3"/>
    <w:rPr>
      <w:snapToGrid w:val="0"/>
      <w:kern w:val="28"/>
    </w:rPr>
  </w:style>
  <w:style w:type="paragraph" w:styleId="CommentSubject">
    <w:name w:val="annotation subject"/>
    <w:basedOn w:val="CommentText"/>
    <w:next w:val="CommentText"/>
    <w:link w:val="CommentSubjectChar"/>
    <w:rsid w:val="007D15C3"/>
    <w:rPr>
      <w:b/>
      <w:bCs/>
    </w:rPr>
  </w:style>
  <w:style w:type="character" w:customStyle="1" w:styleId="CommentSubjectChar">
    <w:name w:val="Comment Subject Char"/>
    <w:link w:val="CommentSubject"/>
    <w:rsid w:val="007D15C3"/>
    <w:rPr>
      <w:b/>
      <w:bCs/>
      <w:snapToGrid w:val="0"/>
      <w:kern w:val="28"/>
    </w:rPr>
  </w:style>
  <w:style w:type="character" w:customStyle="1" w:styleId="Heading4Char">
    <w:name w:val="Heading 4 Char"/>
    <w:link w:val="Heading4"/>
    <w:rsid w:val="007D15C3"/>
    <w:rPr>
      <w:b/>
      <w:snapToGrid w:val="0"/>
      <w:kern w:val="28"/>
      <w:sz w:val="22"/>
    </w:rPr>
  </w:style>
  <w:style w:type="character" w:customStyle="1" w:styleId="Heading5Char">
    <w:name w:val="Heading 5 Char"/>
    <w:link w:val="Heading5"/>
    <w:rsid w:val="007D15C3"/>
    <w:rPr>
      <w:b/>
      <w:snapToGrid w:val="0"/>
      <w:kern w:val="28"/>
      <w:sz w:val="22"/>
    </w:rPr>
  </w:style>
  <w:style w:type="character" w:customStyle="1" w:styleId="Heading6Char">
    <w:name w:val="Heading 6 Char"/>
    <w:aliases w:val="h6 Char"/>
    <w:link w:val="Heading6"/>
    <w:rsid w:val="007D15C3"/>
    <w:rPr>
      <w:b/>
      <w:snapToGrid w:val="0"/>
      <w:kern w:val="28"/>
      <w:sz w:val="22"/>
    </w:rPr>
  </w:style>
  <w:style w:type="character" w:customStyle="1" w:styleId="Heading7Char">
    <w:name w:val="Heading 7 Char"/>
    <w:link w:val="Heading7"/>
    <w:rsid w:val="007D15C3"/>
    <w:rPr>
      <w:b/>
      <w:snapToGrid w:val="0"/>
      <w:kern w:val="28"/>
      <w:sz w:val="22"/>
    </w:rPr>
  </w:style>
  <w:style w:type="character" w:customStyle="1" w:styleId="Heading8Char">
    <w:name w:val="Heading 8 Char"/>
    <w:link w:val="Heading8"/>
    <w:rsid w:val="007D15C3"/>
    <w:rPr>
      <w:b/>
      <w:snapToGrid w:val="0"/>
      <w:kern w:val="28"/>
      <w:sz w:val="22"/>
    </w:rPr>
  </w:style>
  <w:style w:type="character" w:customStyle="1" w:styleId="Heading9Char">
    <w:name w:val="Heading 9 Char"/>
    <w:link w:val="Heading9"/>
    <w:rsid w:val="007D15C3"/>
    <w:rPr>
      <w:b/>
      <w:snapToGrid w:val="0"/>
      <w:kern w:val="28"/>
      <w:sz w:val="22"/>
    </w:rPr>
  </w:style>
  <w:style w:type="paragraph" w:styleId="BodyText">
    <w:name w:val="Body Text"/>
    <w:basedOn w:val="Normal"/>
    <w:link w:val="BodyTextChar"/>
    <w:rsid w:val="007D15C3"/>
    <w:pPr>
      <w:widowControl/>
    </w:pPr>
    <w:rPr>
      <w:rFonts w:ascii="CG Times (W1)" w:hAnsi="CG Times (W1)"/>
      <w:snapToGrid/>
      <w:kern w:val="0"/>
      <w:lang w:val="x-none" w:eastAsia="x-none"/>
    </w:rPr>
  </w:style>
  <w:style w:type="character" w:customStyle="1" w:styleId="BodyTextChar">
    <w:name w:val="Body Text Char"/>
    <w:link w:val="BodyText"/>
    <w:rsid w:val="007D15C3"/>
    <w:rPr>
      <w:rFonts w:ascii="CG Times (W1)" w:hAnsi="CG Times (W1)"/>
      <w:sz w:val="22"/>
      <w:lang w:val="x-none" w:eastAsia="x-none"/>
    </w:rPr>
  </w:style>
  <w:style w:type="character" w:styleId="FollowedHyperlink">
    <w:name w:val="FollowedHyperlink"/>
    <w:uiPriority w:val="99"/>
    <w:rsid w:val="007D15C3"/>
    <w:rPr>
      <w:color w:val="954F72"/>
      <w:u w:val="single"/>
    </w:rPr>
  </w:style>
  <w:style w:type="character" w:customStyle="1" w:styleId="cosearchterm">
    <w:name w:val="co_searchterm"/>
    <w:rsid w:val="007D15C3"/>
  </w:style>
  <w:style w:type="character" w:customStyle="1" w:styleId="ParaNumChar">
    <w:name w:val="ParaNum Char"/>
    <w:locked/>
    <w:rsid w:val="007D15C3"/>
    <w:rPr>
      <w:rFonts w:ascii="Times New Roman" w:eastAsia="Times New Roman" w:hAnsi="Times New Roman" w:cs="Times New Roman"/>
      <w:snapToGrid w:val="0"/>
      <w:kern w:val="28"/>
      <w:szCs w:val="20"/>
    </w:rPr>
  </w:style>
  <w:style w:type="character" w:customStyle="1" w:styleId="UnresolvedMention1">
    <w:name w:val="Unresolved Mention1"/>
    <w:uiPriority w:val="99"/>
    <w:semiHidden/>
    <w:unhideWhenUsed/>
    <w:rsid w:val="007D15C3"/>
    <w:rPr>
      <w:color w:val="808080"/>
      <w:shd w:val="clear" w:color="auto" w:fill="E6E6E6"/>
    </w:rPr>
  </w:style>
  <w:style w:type="character" w:customStyle="1" w:styleId="HeaderChar">
    <w:name w:val="Header Char"/>
    <w:link w:val="Header"/>
    <w:rsid w:val="007D15C3"/>
    <w:rPr>
      <w:b/>
      <w:snapToGrid w:val="0"/>
      <w:kern w:val="28"/>
      <w:sz w:val="22"/>
    </w:rPr>
  </w:style>
  <w:style w:type="character" w:customStyle="1" w:styleId="EndnoteTextChar">
    <w:name w:val="Endnote Text Char"/>
    <w:link w:val="EndnoteText"/>
    <w:semiHidden/>
    <w:rsid w:val="007D15C3"/>
    <w:rPr>
      <w:snapToGrid w:val="0"/>
      <w:kern w:val="28"/>
    </w:rPr>
  </w:style>
  <w:style w:type="paragraph" w:styleId="ListParagraph">
    <w:name w:val="List Paragraph"/>
    <w:basedOn w:val="Normal"/>
    <w:uiPriority w:val="34"/>
    <w:qFormat/>
    <w:rsid w:val="007D15C3"/>
    <w:pPr>
      <w:ind w:left="720"/>
      <w:contextualSpacing/>
    </w:pPr>
  </w:style>
  <w:style w:type="paragraph" w:customStyle="1" w:styleId="msonormal">
    <w:name w:val="msonormal"/>
    <w:basedOn w:val="Normal"/>
    <w:rsid w:val="007D15C3"/>
    <w:pPr>
      <w:widowControl/>
      <w:spacing w:before="100" w:beforeAutospacing="1" w:after="100" w:afterAutospacing="1"/>
    </w:pPr>
    <w:rPr>
      <w:snapToGrid/>
      <w:kern w:val="0"/>
      <w:sz w:val="24"/>
      <w:szCs w:val="24"/>
    </w:rPr>
  </w:style>
  <w:style w:type="paragraph" w:customStyle="1" w:styleId="xl63">
    <w:name w:val="xl63"/>
    <w:basedOn w:val="Normal"/>
    <w:rsid w:val="007D15C3"/>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4">
    <w:name w:val="xl64"/>
    <w:basedOn w:val="Normal"/>
    <w:rsid w:val="007D15C3"/>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5">
    <w:name w:val="xl65"/>
    <w:basedOn w:val="Normal"/>
    <w:rsid w:val="007D15C3"/>
    <w:pPr>
      <w:widowControl/>
      <w:spacing w:before="100" w:beforeAutospacing="1" w:after="100" w:afterAutospacing="1"/>
    </w:pPr>
    <w:rPr>
      <w:rFonts w:ascii="Arial" w:hAnsi="Arial" w:cs="Arial"/>
      <w:b/>
      <w:bCs/>
      <w:snapToGrid/>
      <w:kern w:val="0"/>
      <w:sz w:val="18"/>
      <w:szCs w:val="18"/>
    </w:rPr>
  </w:style>
  <w:style w:type="paragraph" w:customStyle="1" w:styleId="xl66">
    <w:name w:val="xl66"/>
    <w:basedOn w:val="Normal"/>
    <w:rsid w:val="007D15C3"/>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67">
    <w:name w:val="xl67"/>
    <w:basedOn w:val="Normal"/>
    <w:rsid w:val="007D15C3"/>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68">
    <w:name w:val="xl68"/>
    <w:basedOn w:val="Normal"/>
    <w:rsid w:val="007D15C3"/>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69">
    <w:name w:val="xl69"/>
    <w:basedOn w:val="Normal"/>
    <w:rsid w:val="007D15C3"/>
    <w:pPr>
      <w:widowControl/>
      <w:spacing w:before="100" w:beforeAutospacing="1" w:after="100" w:afterAutospacing="1"/>
    </w:pPr>
    <w:rPr>
      <w:rFonts w:ascii="Arial" w:hAnsi="Arial" w:cs="Arial"/>
      <w:snapToGrid/>
      <w:kern w:val="0"/>
      <w:sz w:val="18"/>
      <w:szCs w:val="18"/>
    </w:rPr>
  </w:style>
  <w:style w:type="paragraph" w:customStyle="1" w:styleId="xl70">
    <w:name w:val="xl70"/>
    <w:basedOn w:val="Normal"/>
    <w:rsid w:val="007D15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71">
    <w:name w:val="xl71"/>
    <w:basedOn w:val="Normal"/>
    <w:rsid w:val="007D15C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72">
    <w:name w:val="xl72"/>
    <w:basedOn w:val="Normal"/>
    <w:rsid w:val="007D15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3">
    <w:name w:val="xl73"/>
    <w:basedOn w:val="Normal"/>
    <w:rsid w:val="007D15C3"/>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4">
    <w:name w:val="xl74"/>
    <w:basedOn w:val="Normal"/>
    <w:rsid w:val="007D15C3"/>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customStyle="1" w:styleId="xl75">
    <w:name w:val="xl75"/>
    <w:basedOn w:val="Normal"/>
    <w:rsid w:val="007D15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6">
    <w:name w:val="xl76"/>
    <w:basedOn w:val="Normal"/>
    <w:rsid w:val="007D15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table" w:styleId="TableGrid">
    <w:name w:val="Table Grid"/>
    <w:basedOn w:val="TableNormal"/>
    <w:uiPriority w:val="39"/>
    <w:rsid w:val="007D15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7D15C3"/>
    <w:rPr>
      <w:color w:val="605E5C"/>
      <w:shd w:val="clear" w:color="auto" w:fill="E1DFDD"/>
    </w:rPr>
  </w:style>
  <w:style w:type="paragraph" w:styleId="Revision">
    <w:name w:val="Revision"/>
    <w:hidden/>
    <w:uiPriority w:val="99"/>
    <w:semiHidden/>
    <w:rsid w:val="007D15C3"/>
    <w:rPr>
      <w:snapToGrid w:val="0"/>
      <w:kern w:val="28"/>
      <w:sz w:val="22"/>
    </w:rPr>
  </w:style>
  <w:style w:type="paragraph" w:styleId="NormalWeb">
    <w:name w:val="Normal (Web)"/>
    <w:basedOn w:val="Normal"/>
    <w:unhideWhenUsed/>
    <w:rsid w:val="007D15C3"/>
    <w:pPr>
      <w:widowControl/>
      <w:spacing w:before="100" w:beforeAutospacing="1" w:after="100" w:afterAutospacing="1"/>
    </w:pPr>
    <w:rPr>
      <w:snapToGrid/>
      <w:kern w:val="0"/>
      <w:sz w:val="24"/>
      <w:szCs w:val="24"/>
    </w:rPr>
  </w:style>
  <w:style w:type="paragraph" w:customStyle="1" w:styleId="xmsonormal">
    <w:name w:val="x_msonormal"/>
    <w:basedOn w:val="Normal"/>
    <w:rsid w:val="007D15C3"/>
    <w:pPr>
      <w:widowControl/>
      <w:spacing w:before="100" w:beforeAutospacing="1" w:after="100" w:afterAutospacing="1"/>
    </w:pPr>
    <w:rPr>
      <w:snapToGrid/>
      <w:kern w:val="0"/>
      <w:sz w:val="24"/>
      <w:szCs w:val="24"/>
    </w:rPr>
  </w:style>
  <w:style w:type="character" w:styleId="LineNumber">
    <w:name w:val="line number"/>
    <w:rsid w:val="007D15C3"/>
  </w:style>
  <w:style w:type="paragraph" w:styleId="Subtitle">
    <w:name w:val="Subtitle"/>
    <w:basedOn w:val="Normal"/>
    <w:next w:val="Normal"/>
    <w:link w:val="SubtitleChar"/>
    <w:uiPriority w:val="11"/>
    <w:qFormat/>
    <w:rsid w:val="007D15C3"/>
    <w:pPr>
      <w:widowControl/>
      <w:numPr>
        <w:ilvl w:val="1"/>
      </w:numPr>
      <w:spacing w:after="160" w:line="259" w:lineRule="auto"/>
    </w:pPr>
    <w:rPr>
      <w:rFonts w:ascii="Calibri" w:hAnsi="Calibri"/>
      <w:snapToGrid/>
      <w:color w:val="5A5A5A"/>
      <w:spacing w:val="15"/>
      <w:kern w:val="0"/>
      <w:szCs w:val="22"/>
    </w:rPr>
  </w:style>
  <w:style w:type="character" w:customStyle="1" w:styleId="SubtitleChar">
    <w:name w:val="Subtitle Char"/>
    <w:link w:val="Subtitle"/>
    <w:uiPriority w:val="11"/>
    <w:rsid w:val="007D15C3"/>
    <w:rPr>
      <w:rFonts w:ascii="Calibri" w:hAnsi="Calibri"/>
      <w:color w:val="5A5A5A"/>
      <w:spacing w:val="15"/>
      <w:sz w:val="22"/>
      <w:szCs w:val="22"/>
    </w:rPr>
  </w:style>
  <w:style w:type="paragraph" w:styleId="TOCHeading">
    <w:name w:val="TOC Heading"/>
    <w:basedOn w:val="Heading1"/>
    <w:next w:val="Normal"/>
    <w:uiPriority w:val="39"/>
    <w:unhideWhenUsed/>
    <w:qFormat/>
    <w:rsid w:val="007D15C3"/>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numbering" w:customStyle="1" w:styleId="ImportedStyle2">
    <w:name w:val="Imported Style 2"/>
    <w:rsid w:val="007D15C3"/>
    <w:pPr>
      <w:numPr>
        <w:numId w:val="10"/>
      </w:numPr>
    </w:pPr>
  </w:style>
  <w:style w:type="character" w:customStyle="1" w:styleId="UnresolvedMention3">
    <w:name w:val="Unresolved Mention3"/>
    <w:uiPriority w:val="99"/>
    <w:semiHidden/>
    <w:unhideWhenUsed/>
    <w:rsid w:val="007D15C3"/>
    <w:rPr>
      <w:color w:val="605E5C"/>
      <w:shd w:val="clear" w:color="auto" w:fill="E1DFDD"/>
    </w:rPr>
  </w:style>
  <w:style w:type="character" w:customStyle="1" w:styleId="UnresolvedMention">
    <w:name w:val="Unresolved Mention"/>
    <w:uiPriority w:val="99"/>
    <w:semiHidden/>
    <w:unhideWhenUsed/>
    <w:rsid w:val="007D1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file://C:\Users\Thomas\AppData\Local\Microsoft\Windows\Temporary%20Internet%20Files\Content.IE5\AppData\Local\Microsoft\Windows\Temporary%20Internet%20Files\Content.IE5\Users\Mika.Savir\AppData\Local\Microsoft\Windows\Temporary%20Internet%20Files\AppData\Local\Microsoft\Windows\Temporary%20Internet%20Files\Content.IE5\Users\Roland.Helvajian\AppData\Local\Microsoft\Windows\Temporary%20Internet%20Files\Content.Outlook\Users\Mika.Savir\AppData\Local\Microsoft\Windows\Temporary%20Internet%20Files\Content.Outlook\Local%20Settings\Temporary%20Internet%20Files\Users\Mika.Savir\AppData\Local\Microsoft\Windows\Temporary%20Internet%20Files\AppData\Local\Microsoft\Windows\Temporary%20Internet%20Files\Content.IE5\Local%20Settings\Temporary%20Internet%20Files\AppData\Local\Microsoft\Windows\Temporary%20Internet%20Files\Content.IE5\Users\Mika.Savir\AppData\Local\Microsoft\Windows\Temporary%20Internet%20Files\Content.Outlook\204T2IWP\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hyperlink" Target="https://www.fcc.gov/licensing-databases/fees/regulatory-fees" TargetMode="External" /><Relationship Id="rId18" Type="http://schemas.openxmlformats.org/officeDocument/2006/relationships/header" Target="header3.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header" Target="header4.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header" Target="header5.xml" /><Relationship Id="rId25" Type="http://schemas.openxmlformats.org/officeDocument/2006/relationships/footer" Target="footer9.xml" /><Relationship Id="rId26" Type="http://schemas.openxmlformats.org/officeDocument/2006/relationships/footer" Target="footer10.xml" /><Relationship Id="rId27" Type="http://schemas.openxmlformats.org/officeDocument/2006/relationships/header" Target="header6.xml" /><Relationship Id="rId28" Type="http://schemas.openxmlformats.org/officeDocument/2006/relationships/footer" Target="footer11.xml" /><Relationship Id="rId29" Type="http://schemas.openxmlformats.org/officeDocument/2006/relationships/header" Target="header7.xml" /><Relationship Id="rId3" Type="http://schemas.openxmlformats.org/officeDocument/2006/relationships/webSettings" Target="webSettings.xml" /><Relationship Id="rId30" Type="http://schemas.openxmlformats.org/officeDocument/2006/relationships/footer" Target="footer12.xml" /><Relationship Id="rId31" Type="http://schemas.openxmlformats.org/officeDocument/2006/relationships/footer" Target="footer13.xml" /><Relationship Id="rId32" Type="http://schemas.openxmlformats.org/officeDocument/2006/relationships/header" Target="header8.xml" /><Relationship Id="rId33" Type="http://schemas.openxmlformats.org/officeDocument/2006/relationships/footer" Target="footer14.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regfees" TargetMode="External" /><Relationship Id="rId6" Type="http://schemas.openxmlformats.org/officeDocument/2006/relationships/hyperlink" Target="http://transition.fcc.gov/fees/regfees.html" TargetMode="External" /><Relationship Id="rId7" Type="http://schemas.openxmlformats.org/officeDocument/2006/relationships/hyperlink" Target="http://transition.fcc.gov/fees/wiretran.html" TargetMode="External" /><Relationship Id="rId8" Type="http://schemas.openxmlformats.org/officeDocument/2006/relationships/hyperlink" Target="http://apps.fcc.gov/ecfs/" TargetMode="External" /><Relationship Id="rId9" Type="http://schemas.openxmlformats.org/officeDocument/2006/relationships/hyperlink" Target="https://www.fcc.gov/document/fcc-closes-headquarters-open-window-and-changes-hand-delivery-policy"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intelsat.com/about-us/history/" TargetMode="External" /><Relationship Id="rId10" Type="http://schemas.openxmlformats.org/officeDocument/2006/relationships/hyperlink" Target="https://factfinder.census.gov/faces/affhelp/jsf/pages/metadata.xhtml?lang=en&amp;type=program&amp;id=program.en.COG" TargetMode="External" /><Relationship Id="rId11" Type="http://schemas.openxmlformats.org/officeDocument/2006/relationships/hyperlink" Target="https://factfinder.census.gov/bkmk/table/1.0/en/COG/2012/ORG02.US01" TargetMode="External" /><Relationship Id="rId12" Type="http://schemas.openxmlformats.org/officeDocument/2006/relationships/hyperlink" Target="https://factfinder.census.gov/bkmk/table/1.0/en/COG/2012/ORG06.US01" TargetMode="External" /><Relationship Id="rId13" Type="http://schemas.openxmlformats.org/officeDocument/2006/relationships/hyperlink" Target="https://factfinder.census.gov/bkmk/table/1.0/en/COG/2012/ORG07.US01" TargetMode="External" /><Relationship Id="rId14" Type="http://schemas.openxmlformats.org/officeDocument/2006/relationships/hyperlink" Target="https://factfinder.census.gov/bkmk/table/1.0/en/COG/2012/ORG11.US01" TargetMode="External" /><Relationship Id="rId15" Type="http://schemas.openxmlformats.org/officeDocument/2006/relationships/hyperlink" Target="https://factfinder.census.gov/bkmk/table/1.0/en/COG/2012/ORG09.US01" TargetMode="External" /><Relationship Id="rId16" Type="http://schemas.openxmlformats.org/officeDocument/2006/relationships/hyperlink" Target="https://www.census.gov/cgi-bin/sssd/naics/naicsrch?input=517919&amp;search=2017+NAICS+Search&amp;search=2017" TargetMode="External" /><Relationship Id="rId17" Type="http://schemas.openxmlformats.org/officeDocument/2006/relationships/hyperlink" Target="https://factfinder.census.gov/bkmk/table/1.0/en/ECN/2012_US/51SSSZ4//naics~517919" TargetMode="External" /><Relationship Id="rId18" Type="http://schemas.openxmlformats.org/officeDocument/2006/relationships/hyperlink" Target="https://www.census.gov/cgi-bin/sssd/naics/naicsrch?code=517311&amp;search=2017" TargetMode="External" /><Relationship Id="rId19" Type="http://schemas.openxmlformats.org/officeDocument/2006/relationships/hyperlink" Target="https://factfinder.census.gov/bkmk/table/1.0/en/ECN/2012_US/51SSSZ5//naics~517110" TargetMode="External" /><Relationship Id="rId2" Type="http://schemas.openxmlformats.org/officeDocument/2006/relationships/hyperlink" Target="http://www.intelsat.com/global-network/satellites/overview/" TargetMode="External" /><Relationship Id="rId20" Type="http://schemas.openxmlformats.org/officeDocument/2006/relationships/hyperlink" Target="https://apps.fcc.gov/edocs_public/attachmatch/DOC-301823A1.pdf" TargetMode="External" /><Relationship Id="rId21" Type="http://schemas.openxmlformats.org/officeDocument/2006/relationships/hyperlink" Target="https://www.census.gov/cgi-bin/sssd/naics/naicsrch?code=517911&amp;search=2017%20NAICS%20Search" TargetMode="External" /><Relationship Id="rId22" Type="http://schemas.openxmlformats.org/officeDocument/2006/relationships/hyperlink" Target="https://factfinder.census.gov/bkmk/table/1.0/en/ECN/2012_US/51SSSZ5//naics~517911" TargetMode="External" /><Relationship Id="rId23" Type="http://schemas.openxmlformats.org/officeDocument/2006/relationships/hyperlink" Target="https://factfinder.census.gov/faces/affhelp/jsf/pages/metadata.xhtml?lang=en&amp;type=ib&amp;id=ib.en./ECN.NAICS2012.517210" TargetMode="External" /><Relationship Id="rId24" Type="http://schemas.openxmlformats.org/officeDocument/2006/relationships/hyperlink" Target="https://factfinder.census.gov/bkmk/table/1.0/en/ECN/2012_US/51SSSZ5//naics~517210" TargetMode="External" /><Relationship Id="rId25" Type="http://schemas.openxmlformats.org/officeDocument/2006/relationships/hyperlink" Target="https://www.census.gov/cgi-bin/sssd/naics/naicsrch?input=515120&amp;search=2017+NAICS+Search&amp;search=2017" TargetMode="External" /><Relationship Id="rId26" Type="http://schemas.openxmlformats.org/officeDocument/2006/relationships/hyperlink" Target="https://factfinder.census.gov/bkmk/table/1.0/en/ECN/2012_US/51SSSZ4//naics~515120" TargetMode="External" /><Relationship Id="rId27" Type="http://schemas.openxmlformats.org/officeDocument/2006/relationships/hyperlink" Target="https://docs.fcc.gov/public/attachments/DOC-352168A1.pdf" TargetMode="External" /><Relationship Id="rId28" Type="http://schemas.openxmlformats.org/officeDocument/2006/relationships/hyperlink" Target="https://factfinder.census.gov/faces/affhelp/jsf/pages/metadata.xhtml?lang=en&amp;type=ib&amp;id=ib.en./ECN.NAICS2012.515112" TargetMode="External" /><Relationship Id="rId29" Type="http://schemas.openxmlformats.org/officeDocument/2006/relationships/hyperlink" Target="https://www.census.gov/cgi-bin/sssd/naics/naicsrch?input=515112&amp;search=2017+NAICS+Search&amp;search=2017" TargetMode="External" /><Relationship Id="rId3" Type="http://schemas.openxmlformats.org/officeDocument/2006/relationships/hyperlink" Target="https://www.inmarsat.com/about-us/our-technology/our-satellites/" TargetMode="External" /><Relationship Id="rId30" Type="http://schemas.openxmlformats.org/officeDocument/2006/relationships/hyperlink" Target="https://factfinder.census.gov/bkmk/table/1.0/en/ECN/2012_US/51SSSZ4//naics~515112" TargetMode="External" /><Relationship Id="rId4" Type="http://schemas.openxmlformats.org/officeDocument/2006/relationships/hyperlink" Target="https://www.eutelsat.com/en/group/our-history.html" TargetMode="External" /><Relationship Id="rId5" Type="http://schemas.openxmlformats.org/officeDocument/2006/relationships/hyperlink" Target="https://www.telesat.com/services" TargetMode="External" /><Relationship Id="rId6" Type="http://schemas.openxmlformats.org/officeDocument/2006/relationships/hyperlink" Target="https://www.census.gov/quickfacts/PR" TargetMode="External" /><Relationship Id="rId7" Type="http://schemas.openxmlformats.org/officeDocument/2006/relationships/hyperlink" Target="http://www.whitehouse.gov/the-press-office/2011/06/13/executive-order-13576-delivering-efficient-effective-and-accountable-gov" TargetMode="External" /><Relationship Id="rId8" Type="http://schemas.openxmlformats.org/officeDocument/2006/relationships/hyperlink" Target="https://www.sba.gov/sites/default/files/advocacy/SB-FAQ-2016_WEB.pdf" TargetMode="External" /><Relationship Id="rId9" Type="http://schemas.openxmlformats.org/officeDocument/2006/relationships/hyperlink" Target="http://nccs.urban.org/sites/all/nccs-archive/html/tablewiz/tw.php"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