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91295" w:rsidP="00091295" w14:paraId="315B0D53" w14:textId="77777777">
      <w:pPr>
        <w:jc w:val="right"/>
        <w:rPr>
          <w:sz w:val="24"/>
        </w:rPr>
      </w:pPr>
    </w:p>
    <w:p w:rsidR="00091295" w:rsidRPr="00D737C7" w:rsidP="00091295" w14:paraId="0D1AFC07" w14:textId="35D1C5E2">
      <w:pPr>
        <w:jc w:val="right"/>
        <w:rPr>
          <w:b/>
          <w:szCs w:val="22"/>
        </w:rPr>
      </w:pPr>
      <w:r w:rsidRPr="00D737C7">
        <w:rPr>
          <w:b/>
          <w:szCs w:val="22"/>
        </w:rPr>
        <w:t>FCC 21-</w:t>
      </w:r>
      <w:r w:rsidRPr="00D737C7" w:rsidR="006D775F">
        <w:rPr>
          <w:b/>
          <w:szCs w:val="22"/>
        </w:rPr>
        <w:t>100</w:t>
      </w:r>
    </w:p>
    <w:p w:rsidR="00091295" w:rsidRPr="00D737C7" w:rsidP="00091295" w14:paraId="5F435EF9" w14:textId="4BA13F0D">
      <w:pPr>
        <w:spacing w:before="60"/>
        <w:jc w:val="right"/>
        <w:rPr>
          <w:b/>
          <w:szCs w:val="22"/>
        </w:rPr>
      </w:pPr>
      <w:r w:rsidRPr="00D737C7">
        <w:rPr>
          <w:b/>
          <w:szCs w:val="22"/>
        </w:rPr>
        <w:t>Released:</w:t>
      </w:r>
      <w:r w:rsidRPr="00D737C7" w:rsidR="00BA45F3">
        <w:rPr>
          <w:b/>
          <w:szCs w:val="22"/>
        </w:rPr>
        <w:t xml:space="preserve"> </w:t>
      </w:r>
      <w:r w:rsidRPr="00D737C7">
        <w:rPr>
          <w:b/>
          <w:szCs w:val="22"/>
        </w:rPr>
        <w:t xml:space="preserve"> </w:t>
      </w:r>
      <w:r w:rsidRPr="00D737C7" w:rsidR="00812AAB">
        <w:rPr>
          <w:b/>
          <w:szCs w:val="22"/>
        </w:rPr>
        <w:t>September 28, 2021</w:t>
      </w:r>
    </w:p>
    <w:p w:rsidR="00091295" w:rsidRPr="00D737C7" w:rsidP="00091295" w14:paraId="369F6CC5" w14:textId="77777777">
      <w:pPr>
        <w:jc w:val="right"/>
        <w:rPr>
          <w:szCs w:val="22"/>
        </w:rPr>
      </w:pPr>
    </w:p>
    <w:p w:rsidR="00091295" w:rsidRPr="00D737C7" w:rsidP="00091295" w14:paraId="1D1C9424" w14:textId="77777777">
      <w:pPr>
        <w:spacing w:after="240"/>
        <w:ind w:left="360" w:right="450" w:firstLine="360"/>
        <w:jc w:val="center"/>
        <w:rPr>
          <w:rFonts w:ascii="Times New Roman Bold" w:hAnsi="Times New Roman Bold"/>
          <w:b/>
          <w:caps/>
          <w:szCs w:val="22"/>
        </w:rPr>
      </w:pPr>
      <w:r w:rsidRPr="00D737C7">
        <w:rPr>
          <w:rFonts w:ascii="Times New Roman Bold" w:hAnsi="Times New Roman Bold"/>
          <w:b/>
          <w:caps/>
          <w:szCs w:val="22"/>
        </w:rPr>
        <w:t>the Commission begins The process for authorizing 6 ghz band automated freqUEncy coordination systems</w:t>
      </w:r>
    </w:p>
    <w:p w:rsidR="00091295" w:rsidRPr="00D737C7" w:rsidP="00091295" w14:paraId="6C6BE2FF" w14:textId="77777777">
      <w:pPr>
        <w:ind w:left="360" w:right="450" w:firstLine="360"/>
        <w:jc w:val="center"/>
        <w:rPr>
          <w:b/>
          <w:szCs w:val="22"/>
        </w:rPr>
      </w:pPr>
      <w:r w:rsidRPr="00D737C7">
        <w:rPr>
          <w:b/>
          <w:szCs w:val="22"/>
        </w:rPr>
        <w:t>ET Docket No. 21-352</w:t>
      </w:r>
    </w:p>
    <w:p w:rsidR="00091295" w:rsidRPr="00D737C7" w:rsidP="00CB0520" w14:paraId="01F03A24" w14:textId="77777777">
      <w:pPr>
        <w:rPr>
          <w:b/>
          <w:szCs w:val="22"/>
        </w:rPr>
      </w:pPr>
    </w:p>
    <w:p w:rsidR="00091295" w:rsidP="00091295" w14:paraId="77F320F6" w14:textId="77777777">
      <w:bookmarkStart w:id="0" w:name="TOChere"/>
    </w:p>
    <w:p w:rsidR="00091295" w:rsidRPr="004A2D91" w:rsidP="00091295" w14:paraId="45446BD0" w14:textId="77777777">
      <w:pPr>
        <w:rPr>
          <w:b/>
          <w:szCs w:val="22"/>
        </w:rPr>
      </w:pPr>
      <w:r w:rsidRPr="004A2D91">
        <w:rPr>
          <w:b/>
          <w:szCs w:val="22"/>
        </w:rPr>
        <w:t>Initial Proposal</w:t>
      </w:r>
      <w:r>
        <w:rPr>
          <w:b/>
          <w:szCs w:val="22"/>
        </w:rPr>
        <w:t>s</w:t>
      </w:r>
      <w:r w:rsidRPr="004A2D91">
        <w:rPr>
          <w:b/>
          <w:szCs w:val="22"/>
        </w:rPr>
        <w:t xml:space="preserve"> </w:t>
      </w:r>
      <w:r>
        <w:rPr>
          <w:b/>
          <w:szCs w:val="22"/>
        </w:rPr>
        <w:t>Due By</w:t>
      </w:r>
      <w:r w:rsidRPr="004A2D91">
        <w:rPr>
          <w:b/>
          <w:szCs w:val="22"/>
        </w:rPr>
        <w:t>: November 30, 2021</w:t>
      </w:r>
    </w:p>
    <w:p w:rsidR="00091295" w:rsidRPr="004A2D91" w:rsidP="00091295" w14:paraId="6CE8F170" w14:textId="77777777">
      <w:pPr>
        <w:suppressAutoHyphens/>
        <w:rPr>
          <w:b/>
        </w:rPr>
      </w:pPr>
      <w:r w:rsidRPr="004A2D91">
        <w:rPr>
          <w:b/>
        </w:rPr>
        <w:t xml:space="preserve">Comments on Proposals </w:t>
      </w:r>
      <w:r>
        <w:rPr>
          <w:b/>
        </w:rPr>
        <w:t>Due By</w:t>
      </w:r>
      <w:r w:rsidRPr="004A2D91">
        <w:rPr>
          <w:b/>
        </w:rPr>
        <w:t xml:space="preserve">: December </w:t>
      </w:r>
      <w:r>
        <w:rPr>
          <w:b/>
        </w:rPr>
        <w:t>21</w:t>
      </w:r>
      <w:r w:rsidRPr="004A2D91">
        <w:rPr>
          <w:b/>
        </w:rPr>
        <w:t>, 2021</w:t>
      </w:r>
    </w:p>
    <w:p w:rsidR="00091295" w:rsidP="00091295" w14:paraId="3F833E96" w14:textId="1B311A06">
      <w:pPr>
        <w:ind w:firstLine="540"/>
      </w:pPr>
    </w:p>
    <w:p w:rsidR="00812AAB" w:rsidRPr="004A2D91" w:rsidP="00D737C7" w14:paraId="45C0061C" w14:textId="2605F00D">
      <w:r>
        <w:t>By the Commission: Commissioner Starks issuing a statement.</w:t>
      </w:r>
    </w:p>
    <w:p w:rsidR="00091295" w:rsidP="00091295" w14:paraId="2904E5B9" w14:textId="77777777">
      <w:pPr>
        <w:ind w:firstLine="540"/>
      </w:pPr>
    </w:p>
    <w:p w:rsidR="00091295" w:rsidP="00091295" w14:paraId="3BEDACE5" w14:textId="77777777">
      <w:pPr>
        <w:pStyle w:val="Heading1"/>
      </w:pPr>
      <w:r>
        <w:t>INTRODUCTION</w:t>
      </w:r>
    </w:p>
    <w:p w:rsidR="00091295" w:rsidP="00091295" w14:paraId="280E99FF" w14:textId="77777777">
      <w:pPr>
        <w:pStyle w:val="ParaNum"/>
      </w:pPr>
      <w:r>
        <w:t>As the role of the Internet has grown in nearly every industrial and commercial sector, and many of our personal and professional communications have moved online, Americans require access to the Internet anywhere and anytime, and they increasingly connect wirelessly.  Unlicensed operations in the 2.4 GHz and 5 GHz bands have become indispensable for providing low-cost wireless connectivity in countless products used by American consumers.  Wi-Fi, Bluetooth, Zigbee and other standards have been developed and continue to evolve to meet the growing needs for a variety of applications, many of which require high throughput rates.  The need for ample and easy access to spectrum became even more evident with the onset of the COVID-19 pandemic as Americans turned to the Internet to work, attend school, receive healthcare, and stay connected with friends and family.  To keep pace with these increasing demands, the Commission continuously examines spectrum needs and tries to ensure that our rules enable spectrum users to conduct their business and everyday activities.</w:t>
      </w:r>
    </w:p>
    <w:p w:rsidR="00091295" w:rsidP="00091295" w14:paraId="53368614" w14:textId="33DDA894">
      <w:pPr>
        <w:pStyle w:val="ParaNum"/>
      </w:pPr>
      <w:r>
        <w:t xml:space="preserve">In adopting the </w:t>
      </w:r>
      <w:r w:rsidRPr="00353B13">
        <w:rPr>
          <w:i/>
          <w:iCs/>
        </w:rPr>
        <w:t>6 GHz Report and Order</w:t>
      </w:r>
      <w:r>
        <w:t>, the Commission expanded spectrum access for unlicensed devices to promote competition, innovation, and more widespread and robust connectivity.  The new rules made broad swaths of the 6 GHz band (5.925–7.125 GHz) available for unlicensed broadband operations.</w:t>
      </w:r>
      <w:r>
        <w:rPr>
          <w:rStyle w:val="FootnoteReference"/>
        </w:rPr>
        <w:footnoteReference w:id="3"/>
      </w:r>
      <w:r>
        <w:t xml:space="preserve">  This spectrum is especially valuable for new high-bandwidth applications as it permits operation consistent with the newest standards, which specify channels as wide as 160 megahertz; channel bandwidths that are not attainable in the 2.4 GHz or 5 GHz bands.  Under the 6 GHz rules, standard-power devices are required to check an </w:t>
      </w:r>
      <w:r w:rsidRPr="00353B13">
        <w:rPr>
          <w:szCs w:val="22"/>
        </w:rPr>
        <w:t>automated frequency coordination (AFC) system</w:t>
      </w:r>
      <w:r>
        <w:rPr>
          <w:szCs w:val="22"/>
        </w:rPr>
        <w:t xml:space="preserve"> prior to</w:t>
      </w:r>
      <w:r w:rsidRPr="004A2D91">
        <w:t xml:space="preserve"> </w:t>
      </w:r>
      <w:r>
        <w:t xml:space="preserve">operating to avoid causing harmful interference to incumbent operations.  With this </w:t>
      </w:r>
      <w:r w:rsidRPr="00353B13">
        <w:rPr>
          <w:i/>
          <w:iCs/>
        </w:rPr>
        <w:t>Public Notice</w:t>
      </w:r>
      <w:r>
        <w:t>,</w:t>
      </w:r>
      <w:r w:rsidRPr="00353B13">
        <w:rPr>
          <w:i/>
          <w:iCs/>
        </w:rPr>
        <w:t xml:space="preserve"> </w:t>
      </w:r>
      <w:r>
        <w:t>t</w:t>
      </w:r>
      <w:r w:rsidRPr="00FC139A">
        <w:t>he</w:t>
      </w:r>
      <w:r w:rsidRPr="004A2D91">
        <w:t xml:space="preserve"> Commission </w:t>
      </w:r>
      <w:r>
        <w:t xml:space="preserve">hereby begins the process for authorizing standard power unlicensed operations in the 6 GHz band by </w:t>
      </w:r>
      <w:r w:rsidRPr="004A2D91">
        <w:t>invit</w:t>
      </w:r>
      <w:r>
        <w:t>ing</w:t>
      </w:r>
      <w:r w:rsidRPr="004A2D91">
        <w:t xml:space="preserve"> proposals from parties interested in operating </w:t>
      </w:r>
      <w:r>
        <w:rPr>
          <w:szCs w:val="22"/>
        </w:rPr>
        <w:t xml:space="preserve">an </w:t>
      </w:r>
      <w:r w:rsidRPr="00353B13">
        <w:rPr>
          <w:szCs w:val="22"/>
        </w:rPr>
        <w:t>AFC system</w:t>
      </w:r>
      <w:r w:rsidRPr="004A2D91">
        <w:t xml:space="preserve"> </w:t>
      </w:r>
      <w:r w:rsidRPr="00353B13">
        <w:rPr>
          <w:szCs w:val="22"/>
        </w:rPr>
        <w:t xml:space="preserve">in accordance with the </w:t>
      </w:r>
      <w:r w:rsidRPr="00353B13">
        <w:rPr>
          <w:i/>
          <w:iCs/>
          <w:szCs w:val="22"/>
        </w:rPr>
        <w:t>6 GHz Report and Order</w:t>
      </w:r>
      <w:r w:rsidRPr="00353B13">
        <w:rPr>
          <w:szCs w:val="22"/>
        </w:rPr>
        <w:t xml:space="preserve">.  This </w:t>
      </w:r>
      <w:r w:rsidRPr="00353B13">
        <w:rPr>
          <w:i/>
          <w:szCs w:val="22"/>
        </w:rPr>
        <w:t xml:space="preserve">Public Notice </w:t>
      </w:r>
      <w:r w:rsidRPr="00353B13">
        <w:rPr>
          <w:szCs w:val="22"/>
        </w:rPr>
        <w:t>summarizes the requirements for AFC systems as set forth in that order</w:t>
      </w:r>
      <w:r>
        <w:rPr>
          <w:szCs w:val="22"/>
        </w:rPr>
        <w:t>, describes</w:t>
      </w:r>
      <w:r w:rsidRPr="00353B13">
        <w:rPr>
          <w:szCs w:val="22"/>
        </w:rPr>
        <w:t xml:space="preserve"> the information that must be provided with proposals to operate </w:t>
      </w:r>
      <w:r>
        <w:rPr>
          <w:szCs w:val="22"/>
        </w:rPr>
        <w:t xml:space="preserve">an </w:t>
      </w:r>
      <w:r w:rsidRPr="00353B13">
        <w:rPr>
          <w:szCs w:val="22"/>
        </w:rPr>
        <w:t>AFC system</w:t>
      </w:r>
      <w:r>
        <w:rPr>
          <w:szCs w:val="22"/>
        </w:rPr>
        <w:t>,</w:t>
      </w:r>
      <w:r w:rsidRPr="00353B13">
        <w:rPr>
          <w:szCs w:val="22"/>
        </w:rPr>
        <w:t xml:space="preserve"> and describes the procedure</w:t>
      </w:r>
      <w:r>
        <w:rPr>
          <w:szCs w:val="22"/>
        </w:rPr>
        <w:t>s</w:t>
      </w:r>
      <w:r w:rsidRPr="00353B13">
        <w:rPr>
          <w:szCs w:val="22"/>
        </w:rPr>
        <w:t xml:space="preserve"> for designating AFC system operators.</w:t>
      </w:r>
    </w:p>
    <w:p w:rsidR="00091295" w:rsidRPr="004A2D91" w:rsidP="00091295" w14:paraId="6DC2A12D" w14:textId="77777777">
      <w:pPr>
        <w:pStyle w:val="Heading1"/>
      </w:pPr>
      <w:r>
        <w:t>BACKGROUND</w:t>
      </w:r>
    </w:p>
    <w:p w:rsidR="00091295" w:rsidRPr="002A744F" w:rsidP="00091295" w14:paraId="5EAE3B79" w14:textId="77777777">
      <w:pPr>
        <w:pStyle w:val="ParaNum"/>
      </w:pPr>
      <w:r w:rsidRPr="004A2D91">
        <w:t xml:space="preserve">The </w:t>
      </w:r>
      <w:r w:rsidRPr="004A2D91">
        <w:rPr>
          <w:i/>
          <w:iCs/>
        </w:rPr>
        <w:t>6 GHz Report and Order</w:t>
      </w:r>
      <w:r w:rsidRPr="004A2D91">
        <w:t xml:space="preserve"> authorized two different types of unlicensed operations—standard-power and indoor low-power operations.</w:t>
      </w:r>
      <w:r>
        <w:rPr>
          <w:sz w:val="20"/>
          <w:vertAlign w:val="superscript"/>
        </w:rPr>
        <w:footnoteReference w:id="4"/>
      </w:r>
      <w:r w:rsidRPr="004A2D91">
        <w:t xml:space="preserve">  Standard-power operations, which encompass standard-power access points and fixed client devices (collectively referred to as standard-power devices in </w:t>
      </w:r>
      <w:r>
        <w:t>this</w:t>
      </w:r>
      <w:r w:rsidRPr="004A2D91">
        <w:t xml:space="preserve"> </w:t>
      </w:r>
      <w:r w:rsidRPr="00DC349C">
        <w:rPr>
          <w:i/>
        </w:rPr>
        <w:t>Public Notice</w:t>
      </w:r>
      <w:r w:rsidRPr="004A2D91">
        <w:t>), are permitted in the 5.925-6.425 GHz and 6.525-6.875 GHz portions of the 6 GHz band and must operate under the control of an AFC system to prevent harmful interference to fixed microwave links that operate in the band.</w:t>
      </w:r>
      <w:r>
        <w:rPr>
          <w:sz w:val="20"/>
          <w:vertAlign w:val="superscript"/>
        </w:rPr>
        <w:footnoteReference w:id="5"/>
      </w:r>
      <w:r w:rsidRPr="004A2D91">
        <w:t xml:space="preserve">  The standard-power devices are required to have a geo-location capability and, at least once per day, must communicate their location to an AFC system, which will provide them with the frequencies </w:t>
      </w:r>
      <w:r w:rsidRPr="0053458D">
        <w:t xml:space="preserve">and </w:t>
      </w:r>
      <w:r w:rsidRPr="00101F77">
        <w:t xml:space="preserve">maximum </w:t>
      </w:r>
      <w:r w:rsidRPr="0053458D">
        <w:t>power levels at</w:t>
      </w:r>
      <w:r w:rsidRPr="004A2D91">
        <w:t xml:space="preserve"> which they may operate without causing harmful interference to any microwave links.</w:t>
      </w:r>
      <w:r>
        <w:rPr>
          <w:sz w:val="20"/>
          <w:vertAlign w:val="superscript"/>
        </w:rPr>
        <w:footnoteReference w:id="6"/>
      </w:r>
      <w:r w:rsidRPr="004A2D91">
        <w:t xml:space="preserve">  The AFC system will also prevent operation of standard-power devices in the 6.65</w:t>
      </w:r>
      <w:r>
        <w:t>00</w:t>
      </w:r>
      <w:r w:rsidRPr="004A2D91">
        <w:t>-6.6752 GHz band near a limited number of radio astronomy observatories.</w:t>
      </w:r>
      <w:r>
        <w:rPr>
          <w:sz w:val="20"/>
          <w:vertAlign w:val="superscript"/>
        </w:rPr>
        <w:footnoteReference w:id="7"/>
      </w:r>
    </w:p>
    <w:p w:rsidR="00091295" w:rsidRPr="00DC349C" w:rsidP="00091295" w14:paraId="5D2C822C" w14:textId="77777777">
      <w:pPr>
        <w:pStyle w:val="ParaNum"/>
        <w:numPr>
          <w:ilvl w:val="0"/>
          <w:numId w:val="0"/>
        </w:numPr>
        <w:rPr>
          <w:b/>
        </w:rPr>
      </w:pPr>
      <w:r w:rsidRPr="00DC349C">
        <w:rPr>
          <w:b/>
        </w:rPr>
        <w:t>Expanded Unlicensed Use of the 6 Gigahertz Band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678"/>
        <w:gridCol w:w="1757"/>
        <w:gridCol w:w="3125"/>
      </w:tblGrid>
      <w:tr w14:paraId="2EEB0E0A" w14:textId="77777777" w:rsidTr="008E0EFC">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0" w:type="dxa"/>
            <w:tcBorders>
              <w:top w:val="single" w:sz="12" w:space="0" w:color="auto"/>
              <w:left w:val="single" w:sz="12" w:space="0" w:color="auto"/>
              <w:bottom w:val="single" w:sz="18" w:space="0" w:color="auto"/>
              <w:right w:val="single" w:sz="4" w:space="0" w:color="auto"/>
            </w:tcBorders>
            <w:vAlign w:val="center"/>
            <w:hideMark/>
          </w:tcPr>
          <w:p w:rsidR="00091295" w:rsidRPr="000F6B31" w:rsidP="008E0EFC" w14:paraId="0F8ABD6F" w14:textId="77777777">
            <w:pPr>
              <w:jc w:val="center"/>
              <w:rPr>
                <w:szCs w:val="22"/>
              </w:rPr>
            </w:pPr>
            <w:r w:rsidRPr="00CE2F6C">
              <w:rPr>
                <w:szCs w:val="22"/>
              </w:rPr>
              <w:t>Device Class</w:t>
            </w:r>
          </w:p>
        </w:tc>
        <w:tc>
          <w:tcPr>
            <w:tcW w:w="2678" w:type="dxa"/>
            <w:tcBorders>
              <w:top w:val="single" w:sz="12" w:space="0" w:color="auto"/>
              <w:left w:val="single" w:sz="4" w:space="0" w:color="auto"/>
              <w:bottom w:val="single" w:sz="18" w:space="0" w:color="auto"/>
              <w:right w:val="single" w:sz="4" w:space="0" w:color="auto"/>
            </w:tcBorders>
            <w:vAlign w:val="center"/>
            <w:hideMark/>
          </w:tcPr>
          <w:p w:rsidR="00091295" w:rsidRPr="000F6B31" w:rsidP="008E0EFC" w14:paraId="589210EE" w14:textId="77777777">
            <w:pPr>
              <w:jc w:val="center"/>
              <w:rPr>
                <w:szCs w:val="22"/>
              </w:rPr>
            </w:pPr>
            <w:r w:rsidRPr="000F6B31">
              <w:rPr>
                <w:szCs w:val="22"/>
              </w:rPr>
              <w:t xml:space="preserve">Operating </w:t>
            </w:r>
          </w:p>
          <w:p w:rsidR="00091295" w:rsidRPr="000F6B31" w:rsidP="008E0EFC" w14:paraId="76A070D8" w14:textId="77777777">
            <w:pPr>
              <w:jc w:val="center"/>
              <w:rPr>
                <w:szCs w:val="22"/>
              </w:rPr>
            </w:pPr>
            <w:r w:rsidRPr="000F6B31">
              <w:rPr>
                <w:szCs w:val="22"/>
              </w:rPr>
              <w:t>Bands</w:t>
            </w:r>
          </w:p>
        </w:tc>
        <w:tc>
          <w:tcPr>
            <w:tcW w:w="1757" w:type="dxa"/>
            <w:tcBorders>
              <w:top w:val="single" w:sz="12" w:space="0" w:color="auto"/>
              <w:left w:val="single" w:sz="4" w:space="0" w:color="auto"/>
              <w:bottom w:val="single" w:sz="18" w:space="0" w:color="auto"/>
              <w:right w:val="single" w:sz="4" w:space="0" w:color="auto"/>
            </w:tcBorders>
            <w:vAlign w:val="center"/>
          </w:tcPr>
          <w:p w:rsidR="00091295" w:rsidRPr="000F6B31" w:rsidP="008E0EFC" w14:paraId="04160E60" w14:textId="77777777">
            <w:pPr>
              <w:jc w:val="center"/>
              <w:rPr>
                <w:szCs w:val="22"/>
              </w:rPr>
            </w:pPr>
            <w:r w:rsidRPr="000F6B31">
              <w:rPr>
                <w:szCs w:val="22"/>
              </w:rPr>
              <w:t>Maximum EIRP</w:t>
            </w:r>
          </w:p>
          <w:p w:rsidR="00091295" w:rsidRPr="000F6B31" w:rsidP="008E0EFC" w14:paraId="5D322EBF" w14:textId="77777777">
            <w:pPr>
              <w:jc w:val="center"/>
              <w:rPr>
                <w:szCs w:val="22"/>
              </w:rPr>
            </w:pPr>
          </w:p>
        </w:tc>
        <w:tc>
          <w:tcPr>
            <w:tcW w:w="3125" w:type="dxa"/>
            <w:tcBorders>
              <w:top w:val="single" w:sz="12" w:space="0" w:color="auto"/>
              <w:left w:val="single" w:sz="4" w:space="0" w:color="auto"/>
              <w:bottom w:val="single" w:sz="18" w:space="0" w:color="auto"/>
              <w:right w:val="single" w:sz="4" w:space="0" w:color="auto"/>
            </w:tcBorders>
            <w:vAlign w:val="center"/>
          </w:tcPr>
          <w:p w:rsidR="00091295" w:rsidRPr="00C729A4" w:rsidP="008E0EFC" w14:paraId="6938463A" w14:textId="77777777">
            <w:pPr>
              <w:jc w:val="center"/>
              <w:rPr>
                <w:b/>
                <w:bCs/>
                <w:szCs w:val="22"/>
              </w:rPr>
            </w:pPr>
            <w:r w:rsidRPr="000F6B31">
              <w:rPr>
                <w:szCs w:val="22"/>
              </w:rPr>
              <w:t xml:space="preserve">Maximum EIRP Power Spectral Density </w:t>
            </w:r>
          </w:p>
        </w:tc>
      </w:tr>
      <w:tr w14:paraId="482EE9D1" w14:textId="77777777" w:rsidTr="008E0EFC">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091295" w:rsidRPr="000F6B31" w:rsidP="008E0EFC" w14:paraId="0A866FDA" w14:textId="77777777">
            <w:pPr>
              <w:jc w:val="center"/>
              <w:rPr>
                <w:szCs w:val="22"/>
              </w:rPr>
            </w:pPr>
            <w:r w:rsidRPr="000F6B31">
              <w:rPr>
                <w:szCs w:val="22"/>
              </w:rPr>
              <w:t xml:space="preserve">Standard-Power </w:t>
            </w:r>
            <w:r>
              <w:rPr>
                <w:szCs w:val="22"/>
              </w:rPr>
              <w:t>Access Point</w:t>
            </w:r>
          </w:p>
          <w:p w:rsidR="00091295" w:rsidRPr="000F6B31" w:rsidP="008E0EFC" w14:paraId="627DA5FB" w14:textId="77777777">
            <w:pPr>
              <w:jc w:val="center"/>
              <w:rPr>
                <w:szCs w:val="22"/>
              </w:rPr>
            </w:pPr>
            <w:r w:rsidRPr="000F6B31">
              <w:rPr>
                <w:szCs w:val="22"/>
              </w:rPr>
              <w:t>(AFC Controlled)</w:t>
            </w:r>
          </w:p>
        </w:tc>
        <w:tc>
          <w:tcPr>
            <w:tcW w:w="2678" w:type="dxa"/>
            <w:vMerge w:val="restart"/>
            <w:tcBorders>
              <w:top w:val="single" w:sz="18" w:space="0" w:color="auto"/>
              <w:left w:val="single" w:sz="4" w:space="0" w:color="auto"/>
              <w:right w:val="single" w:sz="4" w:space="0" w:color="auto"/>
            </w:tcBorders>
            <w:vAlign w:val="center"/>
            <w:hideMark/>
          </w:tcPr>
          <w:p w:rsidR="00091295" w:rsidRPr="000F6B31" w:rsidP="008E0EFC" w14:paraId="09557956" w14:textId="77777777">
            <w:pPr>
              <w:jc w:val="center"/>
              <w:rPr>
                <w:szCs w:val="22"/>
              </w:rPr>
            </w:pPr>
            <w:r w:rsidRPr="000F6B31">
              <w:rPr>
                <w:szCs w:val="22"/>
              </w:rPr>
              <w:t>U-NII-5 (5.925-6.425 GHz)</w:t>
            </w:r>
          </w:p>
          <w:p w:rsidR="00091295" w:rsidRPr="000F6B31" w:rsidP="008E0EFC" w14:paraId="2F1C81FB" w14:textId="77777777">
            <w:pPr>
              <w:jc w:val="center"/>
              <w:rPr>
                <w:szCs w:val="22"/>
              </w:rPr>
            </w:pPr>
            <w:r w:rsidRPr="000F6B31">
              <w:rPr>
                <w:szCs w:val="22"/>
              </w:rPr>
              <w:t>U-NII-7 (6.525-6.875 GHz)</w:t>
            </w:r>
          </w:p>
          <w:p w:rsidR="00091295" w:rsidRPr="000F6B31" w:rsidP="008E0EFC" w14:paraId="73B33453" w14:textId="77777777">
            <w:pPr>
              <w:jc w:val="center"/>
              <w:rPr>
                <w:szCs w:val="22"/>
              </w:rPr>
            </w:pPr>
          </w:p>
        </w:tc>
        <w:tc>
          <w:tcPr>
            <w:tcW w:w="1757" w:type="dxa"/>
            <w:tcBorders>
              <w:top w:val="single" w:sz="18" w:space="0" w:color="auto"/>
              <w:left w:val="single" w:sz="4" w:space="0" w:color="auto"/>
              <w:bottom w:val="single" w:sz="4" w:space="0" w:color="auto"/>
              <w:right w:val="single" w:sz="4" w:space="0" w:color="auto"/>
            </w:tcBorders>
            <w:vAlign w:val="center"/>
          </w:tcPr>
          <w:p w:rsidR="00091295" w:rsidRPr="000F6B31" w:rsidP="008E0EFC" w14:paraId="3CEB528F" w14:textId="77777777">
            <w:pPr>
              <w:jc w:val="center"/>
              <w:rPr>
                <w:szCs w:val="22"/>
              </w:rPr>
            </w:pPr>
            <w:r w:rsidRPr="000F6B31">
              <w:rPr>
                <w:szCs w:val="22"/>
              </w:rPr>
              <w:t>36 dBm</w:t>
            </w:r>
          </w:p>
        </w:tc>
        <w:tc>
          <w:tcPr>
            <w:tcW w:w="3125" w:type="dxa"/>
            <w:tcBorders>
              <w:top w:val="single" w:sz="18" w:space="0" w:color="auto"/>
              <w:left w:val="single" w:sz="4" w:space="0" w:color="auto"/>
              <w:bottom w:val="single" w:sz="4" w:space="0" w:color="auto"/>
              <w:right w:val="single" w:sz="4" w:space="0" w:color="auto"/>
            </w:tcBorders>
            <w:vAlign w:val="center"/>
          </w:tcPr>
          <w:p w:rsidR="00091295" w:rsidRPr="000F6B31" w:rsidP="008E0EFC" w14:paraId="2ACAFBE9" w14:textId="77777777">
            <w:pPr>
              <w:jc w:val="center"/>
              <w:rPr>
                <w:szCs w:val="22"/>
              </w:rPr>
            </w:pPr>
            <w:r w:rsidRPr="000F6B31">
              <w:rPr>
                <w:szCs w:val="22"/>
              </w:rPr>
              <w:t>23 dBm/MHz</w:t>
            </w:r>
          </w:p>
        </w:tc>
      </w:tr>
      <w:tr w14:paraId="2834BB6F" w14:textId="77777777" w:rsidTr="008E0EFC">
        <w:tblPrEx>
          <w:tblW w:w="9360" w:type="dxa"/>
          <w:tblLayout w:type="fixed"/>
          <w:tblLook w:val="04A0"/>
        </w:tblPrEx>
        <w:tc>
          <w:tcPr>
            <w:tcW w:w="1800" w:type="dxa"/>
            <w:tcBorders>
              <w:top w:val="single" w:sz="4" w:space="0" w:color="auto"/>
              <w:left w:val="single" w:sz="12" w:space="0" w:color="auto"/>
              <w:bottom w:val="single" w:sz="4" w:space="0" w:color="auto"/>
              <w:right w:val="single" w:sz="4" w:space="0" w:color="auto"/>
            </w:tcBorders>
            <w:vAlign w:val="center"/>
          </w:tcPr>
          <w:p w:rsidR="00091295" w:rsidP="008E0EFC" w14:paraId="4ACCDE67" w14:textId="77777777">
            <w:pPr>
              <w:jc w:val="center"/>
              <w:rPr>
                <w:szCs w:val="22"/>
              </w:rPr>
            </w:pPr>
            <w:r>
              <w:rPr>
                <w:szCs w:val="22"/>
              </w:rPr>
              <w:t>Fixed Client</w:t>
            </w:r>
          </w:p>
          <w:p w:rsidR="00091295" w:rsidRPr="000F6B31" w:rsidP="008E0EFC" w14:paraId="307CE957" w14:textId="77777777">
            <w:pPr>
              <w:jc w:val="center"/>
              <w:rPr>
                <w:szCs w:val="22"/>
              </w:rPr>
            </w:pPr>
            <w:r>
              <w:rPr>
                <w:szCs w:val="22"/>
              </w:rPr>
              <w:t>(AFC Controlled)</w:t>
            </w:r>
          </w:p>
        </w:tc>
        <w:tc>
          <w:tcPr>
            <w:tcW w:w="2678" w:type="dxa"/>
            <w:vMerge/>
            <w:tcBorders>
              <w:top w:val="single" w:sz="18" w:space="0" w:color="auto"/>
              <w:left w:val="single" w:sz="4" w:space="0" w:color="auto"/>
              <w:right w:val="single" w:sz="4" w:space="0" w:color="auto"/>
            </w:tcBorders>
            <w:vAlign w:val="center"/>
          </w:tcPr>
          <w:p w:rsidR="00091295" w:rsidRPr="000F6B31" w:rsidP="008E0EFC" w14:paraId="431072DE" w14:textId="77777777">
            <w:pPr>
              <w:jc w:val="center"/>
              <w:rPr>
                <w:szCs w:val="22"/>
              </w:rPr>
            </w:pPr>
          </w:p>
        </w:tc>
        <w:tc>
          <w:tcPr>
            <w:tcW w:w="1757" w:type="dxa"/>
            <w:tcBorders>
              <w:top w:val="single" w:sz="4" w:space="0" w:color="auto"/>
              <w:left w:val="single" w:sz="4" w:space="0" w:color="auto"/>
              <w:right w:val="single" w:sz="4" w:space="0" w:color="auto"/>
            </w:tcBorders>
            <w:vAlign w:val="center"/>
          </w:tcPr>
          <w:p w:rsidR="00091295" w:rsidRPr="000F6B31" w:rsidP="008E0EFC" w14:paraId="69137454" w14:textId="77777777">
            <w:pPr>
              <w:jc w:val="center"/>
              <w:rPr>
                <w:szCs w:val="22"/>
              </w:rPr>
            </w:pPr>
            <w:r>
              <w:rPr>
                <w:szCs w:val="22"/>
              </w:rPr>
              <w:t>36 dBm</w:t>
            </w:r>
          </w:p>
        </w:tc>
        <w:tc>
          <w:tcPr>
            <w:tcW w:w="3125" w:type="dxa"/>
            <w:tcBorders>
              <w:top w:val="single" w:sz="4" w:space="0" w:color="auto"/>
              <w:left w:val="single" w:sz="4" w:space="0" w:color="auto"/>
              <w:right w:val="single" w:sz="4" w:space="0" w:color="auto"/>
            </w:tcBorders>
            <w:vAlign w:val="center"/>
          </w:tcPr>
          <w:p w:rsidR="00091295" w:rsidRPr="000F6B31" w:rsidP="008E0EFC" w14:paraId="2A62B7DF" w14:textId="77777777">
            <w:pPr>
              <w:jc w:val="center"/>
              <w:rPr>
                <w:szCs w:val="22"/>
              </w:rPr>
            </w:pPr>
            <w:r>
              <w:rPr>
                <w:szCs w:val="22"/>
              </w:rPr>
              <w:t>23 dBm/MHz</w:t>
            </w:r>
          </w:p>
        </w:tc>
      </w:tr>
      <w:tr w14:paraId="63B03E58" w14:textId="77777777" w:rsidTr="008E0EFC">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tcPr>
          <w:p w:rsidR="00091295" w:rsidRPr="000F6B31" w:rsidP="008E0EFC" w14:paraId="0A074780" w14:textId="77777777">
            <w:pPr>
              <w:jc w:val="center"/>
              <w:rPr>
                <w:szCs w:val="22"/>
              </w:rPr>
            </w:pPr>
            <w:r w:rsidRPr="000F6B31">
              <w:rPr>
                <w:szCs w:val="22"/>
              </w:rPr>
              <w:t>Client</w:t>
            </w:r>
            <w:r>
              <w:rPr>
                <w:szCs w:val="22"/>
              </w:rPr>
              <w:t xml:space="preserve"> Connected to Standard-Power Access Point</w:t>
            </w:r>
          </w:p>
        </w:tc>
        <w:tc>
          <w:tcPr>
            <w:tcW w:w="2678" w:type="dxa"/>
            <w:vMerge/>
            <w:tcBorders>
              <w:left w:val="single" w:sz="4" w:space="0" w:color="auto"/>
              <w:bottom w:val="single" w:sz="18" w:space="0" w:color="auto"/>
              <w:right w:val="single" w:sz="4" w:space="0" w:color="auto"/>
            </w:tcBorders>
            <w:vAlign w:val="center"/>
          </w:tcPr>
          <w:p w:rsidR="00091295" w:rsidRPr="000F6B31" w:rsidP="008E0EFC" w14:paraId="544EB97D"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091295" w:rsidRPr="000F6B31" w:rsidP="008E0EFC" w14:paraId="6B2ECEE4" w14:textId="77777777">
            <w:pPr>
              <w:jc w:val="center"/>
              <w:rPr>
                <w:szCs w:val="22"/>
              </w:rPr>
            </w:pPr>
            <w:r w:rsidRPr="000F6B31">
              <w:rPr>
                <w:szCs w:val="22"/>
              </w:rPr>
              <w:t>30 dBm</w:t>
            </w:r>
          </w:p>
        </w:tc>
        <w:tc>
          <w:tcPr>
            <w:tcW w:w="3125" w:type="dxa"/>
            <w:tcBorders>
              <w:left w:val="single" w:sz="4" w:space="0" w:color="auto"/>
              <w:bottom w:val="single" w:sz="18" w:space="0" w:color="auto"/>
              <w:right w:val="single" w:sz="4" w:space="0" w:color="auto"/>
            </w:tcBorders>
            <w:vAlign w:val="center"/>
          </w:tcPr>
          <w:p w:rsidR="00091295" w:rsidRPr="000F6B31" w:rsidP="008E0EFC" w14:paraId="7DC402E6" w14:textId="77777777">
            <w:pPr>
              <w:jc w:val="center"/>
              <w:rPr>
                <w:szCs w:val="22"/>
              </w:rPr>
            </w:pPr>
            <w:r w:rsidRPr="000F6B31">
              <w:rPr>
                <w:szCs w:val="22"/>
              </w:rPr>
              <w:t>17 dBm/MHz</w:t>
            </w:r>
          </w:p>
        </w:tc>
      </w:tr>
      <w:tr w14:paraId="7EB2A948" w14:textId="77777777" w:rsidTr="008E0EFC">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091295" w:rsidRPr="000F6B31" w:rsidP="008E0EFC" w14:paraId="7B549B7E" w14:textId="77777777">
            <w:pPr>
              <w:jc w:val="center"/>
              <w:rPr>
                <w:szCs w:val="22"/>
              </w:rPr>
            </w:pPr>
            <w:r w:rsidRPr="000F6B31">
              <w:rPr>
                <w:szCs w:val="22"/>
              </w:rPr>
              <w:t>Low-</w:t>
            </w:r>
            <w:r>
              <w:rPr>
                <w:szCs w:val="22"/>
              </w:rPr>
              <w:t>P</w:t>
            </w:r>
            <w:r w:rsidRPr="000F6B31">
              <w:rPr>
                <w:szCs w:val="22"/>
              </w:rPr>
              <w:t>ower</w:t>
            </w:r>
            <w:r>
              <w:rPr>
                <w:szCs w:val="22"/>
              </w:rPr>
              <w:t xml:space="preserve"> Access Point</w:t>
            </w:r>
            <w:r w:rsidRPr="000F6B31">
              <w:rPr>
                <w:szCs w:val="22"/>
              </w:rPr>
              <w:t xml:space="preserve"> (indoor only) </w:t>
            </w:r>
          </w:p>
        </w:tc>
        <w:tc>
          <w:tcPr>
            <w:tcW w:w="2678" w:type="dxa"/>
            <w:vMerge w:val="restart"/>
            <w:tcBorders>
              <w:top w:val="single" w:sz="18" w:space="0" w:color="auto"/>
              <w:left w:val="single" w:sz="4" w:space="0" w:color="auto"/>
              <w:right w:val="single" w:sz="4" w:space="0" w:color="auto"/>
            </w:tcBorders>
            <w:vAlign w:val="center"/>
            <w:hideMark/>
          </w:tcPr>
          <w:p w:rsidR="00091295" w:rsidRPr="000F6B31" w:rsidP="008E0EFC" w14:paraId="77DE35B1" w14:textId="77777777">
            <w:pPr>
              <w:jc w:val="center"/>
              <w:rPr>
                <w:szCs w:val="22"/>
              </w:rPr>
            </w:pPr>
            <w:r w:rsidRPr="000F6B31">
              <w:rPr>
                <w:szCs w:val="22"/>
              </w:rPr>
              <w:t>U-NII-5 (5.925-6.425 GHz)</w:t>
            </w:r>
          </w:p>
          <w:p w:rsidR="00091295" w:rsidRPr="000F6B31" w:rsidP="008E0EFC" w14:paraId="22BED07F" w14:textId="77777777">
            <w:pPr>
              <w:jc w:val="center"/>
              <w:rPr>
                <w:szCs w:val="22"/>
              </w:rPr>
            </w:pPr>
            <w:r w:rsidRPr="000F6B31">
              <w:rPr>
                <w:szCs w:val="22"/>
              </w:rPr>
              <w:t>U-NII-6 (6.425-6.525 GHz)</w:t>
            </w:r>
          </w:p>
          <w:p w:rsidR="00091295" w:rsidRPr="000F6B31" w:rsidP="008E0EFC" w14:paraId="0D516218" w14:textId="77777777">
            <w:pPr>
              <w:jc w:val="center"/>
              <w:rPr>
                <w:szCs w:val="22"/>
              </w:rPr>
            </w:pPr>
            <w:r w:rsidRPr="000F6B31">
              <w:rPr>
                <w:szCs w:val="22"/>
              </w:rPr>
              <w:t>U-NII-7 (6.525-6.875 GHz)</w:t>
            </w:r>
          </w:p>
          <w:p w:rsidR="00091295" w:rsidRPr="000F6B31" w:rsidP="008E0EFC" w14:paraId="062CF0EA" w14:textId="77777777">
            <w:pPr>
              <w:jc w:val="center"/>
              <w:rPr>
                <w:szCs w:val="22"/>
              </w:rPr>
            </w:pPr>
            <w:r w:rsidRPr="000F6B31">
              <w:rPr>
                <w:szCs w:val="22"/>
              </w:rPr>
              <w:t>U-NII-8 (6.875-7.125 GHz)</w:t>
            </w:r>
          </w:p>
          <w:p w:rsidR="00091295" w:rsidRPr="000F6B31" w:rsidP="008E0EFC" w14:paraId="0522EB59"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091295" w:rsidRPr="000F6B31" w:rsidP="008E0EFC" w14:paraId="27AB5A80" w14:textId="77777777">
            <w:pPr>
              <w:jc w:val="center"/>
              <w:rPr>
                <w:szCs w:val="22"/>
              </w:rPr>
            </w:pPr>
            <w:r>
              <w:rPr>
                <w:szCs w:val="22"/>
              </w:rPr>
              <w:t>30</w:t>
            </w:r>
            <w:r w:rsidRPr="000F6B31">
              <w:rPr>
                <w:szCs w:val="22"/>
              </w:rPr>
              <w:t xml:space="preserve"> dBm</w:t>
            </w:r>
          </w:p>
        </w:tc>
        <w:tc>
          <w:tcPr>
            <w:tcW w:w="3125" w:type="dxa"/>
            <w:tcBorders>
              <w:top w:val="single" w:sz="18" w:space="0" w:color="auto"/>
              <w:left w:val="single" w:sz="4" w:space="0" w:color="auto"/>
              <w:right w:val="single" w:sz="4" w:space="0" w:color="auto"/>
            </w:tcBorders>
            <w:vAlign w:val="center"/>
          </w:tcPr>
          <w:p w:rsidR="00091295" w:rsidRPr="000F6B31" w:rsidP="008E0EFC" w14:paraId="73BB9792" w14:textId="77777777">
            <w:pPr>
              <w:jc w:val="center"/>
              <w:rPr>
                <w:szCs w:val="22"/>
              </w:rPr>
            </w:pPr>
            <w:r w:rsidRPr="000F6B31">
              <w:rPr>
                <w:szCs w:val="22"/>
              </w:rPr>
              <w:t>5 dBm/MHz</w:t>
            </w:r>
          </w:p>
        </w:tc>
      </w:tr>
      <w:tr w14:paraId="1EB961C2" w14:textId="77777777" w:rsidTr="008E0EFC">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hideMark/>
          </w:tcPr>
          <w:p w:rsidR="00091295" w:rsidRPr="000F6B31" w:rsidP="008E0EFC" w14:paraId="27152911" w14:textId="77777777">
            <w:pPr>
              <w:jc w:val="center"/>
              <w:rPr>
                <w:szCs w:val="22"/>
              </w:rPr>
            </w:pPr>
            <w:r w:rsidRPr="000F6B31">
              <w:rPr>
                <w:szCs w:val="22"/>
              </w:rPr>
              <w:t>Client</w:t>
            </w:r>
            <w:r>
              <w:rPr>
                <w:szCs w:val="22"/>
              </w:rPr>
              <w:t xml:space="preserve"> Connected to Low-Power Access Point</w:t>
            </w:r>
          </w:p>
        </w:tc>
        <w:tc>
          <w:tcPr>
            <w:tcW w:w="2678" w:type="dxa"/>
            <w:vMerge/>
            <w:tcBorders>
              <w:left w:val="single" w:sz="4" w:space="0" w:color="auto"/>
              <w:bottom w:val="single" w:sz="18" w:space="0" w:color="auto"/>
              <w:right w:val="single" w:sz="4" w:space="0" w:color="auto"/>
            </w:tcBorders>
            <w:vAlign w:val="center"/>
          </w:tcPr>
          <w:p w:rsidR="00091295" w:rsidRPr="000F6B31" w:rsidP="008E0EFC" w14:paraId="71D53908"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091295" w:rsidRPr="000F6B31" w:rsidP="008E0EFC" w14:paraId="1BF9C92A" w14:textId="77777777">
            <w:pPr>
              <w:jc w:val="center"/>
              <w:rPr>
                <w:szCs w:val="22"/>
              </w:rPr>
            </w:pPr>
            <w:r w:rsidRPr="000F6B31">
              <w:rPr>
                <w:szCs w:val="22"/>
              </w:rPr>
              <w:t>2</w:t>
            </w:r>
            <w:r>
              <w:rPr>
                <w:szCs w:val="22"/>
              </w:rPr>
              <w:t>4</w:t>
            </w:r>
            <w:r w:rsidRPr="000F6B31">
              <w:rPr>
                <w:szCs w:val="22"/>
              </w:rPr>
              <w:t xml:space="preserve"> dBm</w:t>
            </w:r>
          </w:p>
        </w:tc>
        <w:tc>
          <w:tcPr>
            <w:tcW w:w="3125" w:type="dxa"/>
            <w:tcBorders>
              <w:left w:val="single" w:sz="4" w:space="0" w:color="auto"/>
              <w:bottom w:val="single" w:sz="18" w:space="0" w:color="auto"/>
              <w:right w:val="single" w:sz="4" w:space="0" w:color="auto"/>
            </w:tcBorders>
            <w:vAlign w:val="center"/>
          </w:tcPr>
          <w:p w:rsidR="00091295" w:rsidRPr="000F6B31" w:rsidP="008E0EFC" w14:paraId="58A72167" w14:textId="77777777">
            <w:pPr>
              <w:jc w:val="center"/>
              <w:rPr>
                <w:szCs w:val="22"/>
              </w:rPr>
            </w:pPr>
            <w:r w:rsidRPr="000F6B31">
              <w:rPr>
                <w:szCs w:val="22"/>
              </w:rPr>
              <w:t>-1 dBm/MHz</w:t>
            </w:r>
          </w:p>
        </w:tc>
      </w:tr>
    </w:tbl>
    <w:p w:rsidR="00091295" w:rsidRPr="00287D66" w:rsidP="00091295" w14:paraId="48E81430" w14:textId="599912E7">
      <w:pPr>
        <w:pStyle w:val="ParaNum"/>
        <w:numPr>
          <w:ilvl w:val="0"/>
          <w:numId w:val="0"/>
        </w:numPr>
        <w:ind w:left="720"/>
      </w:pPr>
    </w:p>
    <w:p w:rsidR="00091295" w:rsidP="00091295" w14:paraId="0A5B3E92" w14:textId="607704CA">
      <w:pPr>
        <w:pStyle w:val="ParaNum"/>
      </w:pPr>
      <w:r w:rsidRPr="004A2D91">
        <w:t xml:space="preserve">The </w:t>
      </w:r>
      <w:r w:rsidRPr="004A2D91">
        <w:rPr>
          <w:i/>
        </w:rPr>
        <w:t>6 GHz Report and Order</w:t>
      </w:r>
      <w:r w:rsidRPr="004A2D91">
        <w:t xml:space="preserve"> specifies how the AFC systems will determine which frequencies are available for use by standard-power devices.  Once per day each AFC system is required to access the Commission’s Universal Licensing System (ULS) to obtain the most up-to-date information on licensed microwave links including their transmitter and receiver locations, frequencies, bandwidths, polarizations, transmitter EIRP, antenna height, and the make and model of the antenna and equipment </w:t>
      </w:r>
      <w:r w:rsidRPr="004A2D91">
        <w:t>used.</w:t>
      </w:r>
      <w:r>
        <w:rPr>
          <w:sz w:val="20"/>
          <w:vertAlign w:val="superscript"/>
        </w:rPr>
        <w:footnoteReference w:id="8"/>
      </w:r>
      <w:r w:rsidRPr="004A2D91">
        <w:t xml:space="preserve">  The AFC systems will use this information, along with the propagation models specified in the </w:t>
      </w:r>
      <w:r w:rsidRPr="004A2D91">
        <w:rPr>
          <w:i/>
        </w:rPr>
        <w:t>6 GHz Report and Order,</w:t>
      </w:r>
      <w:r w:rsidRPr="004A2D91">
        <w:t xml:space="preserve"> to determine on which frequencies and at what power levels standard-power devices may operate.</w:t>
      </w:r>
      <w:r>
        <w:rPr>
          <w:sz w:val="20"/>
          <w:vertAlign w:val="superscript"/>
        </w:rPr>
        <w:footnoteReference w:id="9"/>
      </w:r>
      <w:r w:rsidRPr="004A2D91">
        <w:t xml:space="preserve">  In making this determination, the AFC systems will ensure that the predicted interference-to-noise (I/N) ratio at any microwave receiver does not exceed -6 </w:t>
      </w:r>
      <w:r w:rsidRPr="004A2D91">
        <w:t>dB.</w:t>
      </w:r>
      <w:r>
        <w:rPr>
          <w:sz w:val="20"/>
          <w:vertAlign w:val="superscript"/>
        </w:rPr>
        <w:footnoteReference w:id="10"/>
      </w:r>
      <w:r w:rsidRPr="004A2D91">
        <w:t xml:space="preserve">  The AFC systems must be capable of determining frequency availability </w:t>
      </w:r>
      <w:r>
        <w:t>for</w:t>
      </w:r>
      <w:r w:rsidRPr="004A2D91">
        <w:t xml:space="preserve"> the standard-power device at the maximum permitted EIRP of 36 dBm and also at power levels</w:t>
      </w:r>
      <w:r>
        <w:t xml:space="preserve"> as low as </w:t>
      </w:r>
      <w:r w:rsidRPr="004A2D91">
        <w:t>21 dBm.</w:t>
      </w:r>
      <w:r>
        <w:rPr>
          <w:sz w:val="20"/>
          <w:vertAlign w:val="superscript"/>
        </w:rPr>
        <w:footnoteReference w:id="11"/>
      </w:r>
    </w:p>
    <w:p w:rsidR="00091295" w:rsidRPr="00287D66" w:rsidP="00091295" w14:paraId="697C254D" w14:textId="4B354FA8">
      <w:pPr>
        <w:pStyle w:val="ParaNum"/>
      </w:pPr>
      <w:r>
        <w:t>The rules specify the propagation model the AFC system must use for determining frequency availability and power levels, which depends on the distance between the standard-power device and the licensed microwave station.  F</w:t>
      </w:r>
      <w:r w:rsidRPr="000F6B31">
        <w:t xml:space="preserve">or separation distances of 30 meters or less, the </w:t>
      </w:r>
      <w:r>
        <w:t xml:space="preserve">AFC system will use a </w:t>
      </w:r>
      <w:r w:rsidRPr="000F6B31">
        <w:t>free space pathloss model</w:t>
      </w:r>
      <w:r>
        <w:t>.</w:t>
      </w:r>
      <w:r>
        <w:rPr>
          <w:rStyle w:val="FootnoteReference"/>
          <w:szCs w:val="22"/>
        </w:rPr>
        <w:footnoteReference w:id="12"/>
      </w:r>
      <w:r>
        <w:t xml:space="preserve">  When the separation distance is greater than 30 meters, but less than 1 kilometer, the AFC system will use the WINNER II model.</w:t>
      </w:r>
      <w:r>
        <w:rPr>
          <w:rStyle w:val="FootnoteReference"/>
          <w:szCs w:val="22"/>
        </w:rPr>
        <w:footnoteReference w:id="13"/>
      </w:r>
      <w:r>
        <w:t xml:space="preserve">  T</w:t>
      </w:r>
      <w:r w:rsidRPr="00485057">
        <w:t>he WINNER II model is one of the most widely used and well‐known channel models in the world</w:t>
      </w:r>
      <w:r>
        <w:rPr>
          <w:vertAlign w:val="superscript"/>
        </w:rPr>
        <w:footnoteReference w:id="14"/>
      </w:r>
      <w:r w:rsidRPr="00485057">
        <w:t xml:space="preserve"> and was developed from measurements conducted by the WINNER organization, as well as results from academic literature</w:t>
      </w:r>
      <w:r>
        <w:t>.</w:t>
      </w:r>
      <w:r>
        <w:rPr>
          <w:vertAlign w:val="superscript"/>
        </w:rPr>
        <w:footnoteReference w:id="15"/>
      </w:r>
      <w:r>
        <w:t xml:space="preserve">  When using the WINNER II model, the AFC system should use s</w:t>
      </w:r>
      <w:r w:rsidRPr="00984463">
        <w:t>ite-specific information, including building</w:t>
      </w:r>
      <w:r>
        <w:rPr>
          <w:vertAlign w:val="superscript"/>
        </w:rPr>
        <w:footnoteReference w:id="16"/>
      </w:r>
      <w:r w:rsidRPr="00984463">
        <w:t xml:space="preserve"> and terrain data, </w:t>
      </w:r>
      <w:r>
        <w:t>for</w:t>
      </w:r>
      <w:r w:rsidRPr="00984463">
        <w:t xml:space="preserve"> determining the line-of-sight/non-line-of-sight path component where this information is available.  </w:t>
      </w:r>
      <w:r w:rsidRPr="00E858EB">
        <w:t xml:space="preserve">For evaluating paths where this data is not available, </w:t>
      </w:r>
      <w:r>
        <w:t xml:space="preserve">the rules specify </w:t>
      </w:r>
      <w:r w:rsidRPr="00E858EB">
        <w:t>probabilistic combining of the line-of-sight and non-line-of-sight path into a single path-loss.</w:t>
      </w:r>
      <w:r>
        <w:rPr>
          <w:vertAlign w:val="superscript"/>
        </w:rPr>
        <w:footnoteReference w:id="17"/>
      </w:r>
      <w:r w:rsidRPr="00E858EB">
        <w:t xml:space="preserve">  </w:t>
      </w:r>
      <w:r>
        <w:t xml:space="preserve">For distances greater than 1 kilometer, the AFC system will use the Irregular Terrain Model (ITM) </w:t>
      </w:r>
      <w:r w:rsidRPr="000F6B31">
        <w:t xml:space="preserve">combined with a clutter model </w:t>
      </w:r>
      <w:r>
        <w:t xml:space="preserve">for </w:t>
      </w:r>
      <w:r w:rsidRPr="000F6B31">
        <w:t xml:space="preserve">the </w:t>
      </w:r>
      <w:r>
        <w:t>local</w:t>
      </w:r>
      <w:r w:rsidRPr="000F6B31">
        <w:t xml:space="preserve"> environment</w:t>
      </w:r>
      <w:r>
        <w:t>.</w:t>
      </w:r>
      <w:r>
        <w:rPr>
          <w:rStyle w:val="FootnoteReference"/>
          <w:szCs w:val="22"/>
        </w:rPr>
        <w:footnoteReference w:id="18"/>
      </w:r>
      <w:r>
        <w:t xml:space="preserve">  T</w:t>
      </w:r>
      <w:r w:rsidRPr="00132FB9">
        <w:t>he I</w:t>
      </w:r>
      <w:r>
        <w:t>TM</w:t>
      </w:r>
      <w:r w:rsidRPr="00132FB9">
        <w:t xml:space="preserve"> has been widely </w:t>
      </w:r>
      <w:r>
        <w:t>available and accepted</w:t>
      </w:r>
      <w:r w:rsidRPr="00132FB9">
        <w:t xml:space="preserve"> since</w:t>
      </w:r>
      <w:r w:rsidRPr="00CE2F6C">
        <w:t xml:space="preserve"> the early 1980s</w:t>
      </w:r>
      <w:r>
        <w:t>,</w:t>
      </w:r>
      <w:r w:rsidRPr="00CE2F6C">
        <w:t xml:space="preserve"> has been used by the Commission for int</w:t>
      </w:r>
      <w:r w:rsidRPr="000F6B31">
        <w:t>erference prediction in other proceedings</w:t>
      </w:r>
      <w:r>
        <w:t xml:space="preserve">, and </w:t>
      </w:r>
      <w:r w:rsidRPr="00132FB9">
        <w:t xml:space="preserve">is the propagation model currently used to determine spectrum availability </w:t>
      </w:r>
      <w:r>
        <w:t xml:space="preserve">by </w:t>
      </w:r>
      <w:r w:rsidRPr="00132FB9">
        <w:t xml:space="preserve">the spectrum access systems (SAS) </w:t>
      </w:r>
      <w:r>
        <w:t xml:space="preserve">that are </w:t>
      </w:r>
      <w:r w:rsidRPr="00132FB9">
        <w:t>ma</w:t>
      </w:r>
      <w:r w:rsidRPr="00CE2F6C">
        <w:t>nag</w:t>
      </w:r>
      <w:r>
        <w:t>ing</w:t>
      </w:r>
      <w:r w:rsidRPr="00CE2F6C">
        <w:t xml:space="preserve"> </w:t>
      </w:r>
      <w:r>
        <w:t>spectrum</w:t>
      </w:r>
      <w:r w:rsidRPr="00CE2F6C">
        <w:t xml:space="preserve"> access </w:t>
      </w:r>
      <w:r>
        <w:t>for</w:t>
      </w:r>
      <w:r w:rsidRPr="00CE2F6C">
        <w:t xml:space="preserve"> the 3550-3700 MHz band in the Citizens Broadband Radio Service</w:t>
      </w:r>
      <w:r>
        <w:t>.</w:t>
      </w:r>
      <w:r>
        <w:rPr>
          <w:vertAlign w:val="superscript"/>
        </w:rPr>
        <w:footnoteReference w:id="19"/>
      </w:r>
      <w:r>
        <w:t xml:space="preserve">  </w:t>
      </w:r>
      <w:r>
        <w:t>When using the ITM, the rules specify that AFC systems</w:t>
      </w:r>
      <w:r w:rsidRPr="00403C29">
        <w:t xml:space="preserve"> </w:t>
      </w:r>
      <w:r>
        <w:t xml:space="preserve">are to </w:t>
      </w:r>
      <w:r w:rsidRPr="00403C29">
        <w:t>use 1 arc-second digital elevation terrain data and,</w:t>
      </w:r>
      <w:r>
        <w:rPr>
          <w:vertAlign w:val="superscript"/>
        </w:rPr>
        <w:footnoteReference w:id="20"/>
      </w:r>
      <w:r w:rsidRPr="00403C29">
        <w:t xml:space="preserve"> for locations where such data is not available, use the most granular digital elevation terrain data available.</w:t>
      </w:r>
      <w:r>
        <w:rPr>
          <w:vertAlign w:val="superscript"/>
        </w:rPr>
        <w:footnoteReference w:id="21"/>
      </w:r>
      <w:r w:rsidRPr="00403C29">
        <w:t xml:space="preserve">  </w:t>
      </w:r>
      <w:r w:rsidRPr="00284504">
        <w:t xml:space="preserve">To account for the effects of clutter, such as from buildings and foliage, </w:t>
      </w:r>
      <w:r>
        <w:t xml:space="preserve">the AFC system should combine use of the ITM </w:t>
      </w:r>
      <w:r w:rsidRPr="00284504">
        <w:t>with statistical clutter model ITU-R P.2108</w:t>
      </w:r>
      <w:r>
        <w:rPr>
          <w:sz w:val="20"/>
          <w:vertAlign w:val="superscript"/>
        </w:rPr>
        <w:footnoteReference w:id="22"/>
      </w:r>
      <w:r w:rsidRPr="00284504">
        <w:t xml:space="preserve"> for urban and suburban environments and </w:t>
      </w:r>
      <w:r>
        <w:t xml:space="preserve">the </w:t>
      </w:r>
      <w:r w:rsidRPr="00284504">
        <w:t>ITU-R P.452-16 clutter model for rural environments.</w:t>
      </w:r>
      <w:r>
        <w:rPr>
          <w:rStyle w:val="FootnoteReference"/>
          <w:szCs w:val="22"/>
        </w:rPr>
        <w:footnoteReference w:id="23"/>
      </w:r>
    </w:p>
    <w:p w:rsidR="00091295" w:rsidP="00091295" w14:paraId="5AAFF900" w14:textId="573DB693">
      <w:pPr>
        <w:pStyle w:val="ParaNum"/>
      </w:pPr>
      <w:r w:rsidRPr="004A2D91">
        <w:t xml:space="preserve">In accordance with the </w:t>
      </w:r>
      <w:r w:rsidRPr="004A2D91">
        <w:rPr>
          <w:i/>
        </w:rPr>
        <w:t xml:space="preserve">6 GHz Report and Order, </w:t>
      </w:r>
      <w:r w:rsidRPr="004A2D91">
        <w:t>the Office of Engineering and Technology (OET) can designate one or more AFC system operators.</w:t>
      </w:r>
      <w:r>
        <w:rPr>
          <w:sz w:val="20"/>
          <w:vertAlign w:val="superscript"/>
        </w:rPr>
        <w:footnoteReference w:id="24"/>
      </w:r>
      <w:r w:rsidRPr="004A2D91">
        <w:t xml:space="preserve">  AFC system operators will be required to serve for a five-year term which can be renewed by the Commission based on the operator’s performance during the term.</w:t>
      </w:r>
      <w:r>
        <w:rPr>
          <w:sz w:val="20"/>
          <w:vertAlign w:val="superscript"/>
        </w:rPr>
        <w:footnoteReference w:id="25"/>
      </w:r>
      <w:r w:rsidRPr="004A2D91">
        <w:t xml:space="preserve">  If an AFC system operator discontinues service or its term is not renewed, it must transfer its database along with the information necessary to access the database to another designated AFC system operator.</w:t>
      </w:r>
      <w:r>
        <w:rPr>
          <w:sz w:val="20"/>
          <w:vertAlign w:val="superscript"/>
        </w:rPr>
        <w:footnoteReference w:id="26"/>
      </w:r>
      <w:r w:rsidRPr="004A2D91">
        <w:t xml:space="preserve">  AFC system operators are permitted to charge a fee for providing service to standard-power access device</w:t>
      </w:r>
      <w:r>
        <w:t>s</w:t>
      </w:r>
      <w:r w:rsidRPr="004A2D91">
        <w:t>.</w:t>
      </w:r>
      <w:r>
        <w:rPr>
          <w:sz w:val="20"/>
          <w:vertAlign w:val="superscript"/>
        </w:rPr>
        <w:footnoteReference w:id="27"/>
      </w:r>
    </w:p>
    <w:p w:rsidR="00091295" w:rsidRPr="00BD4AE5" w:rsidP="00091295" w14:paraId="2BF062C6" w14:textId="77777777">
      <w:pPr>
        <w:pStyle w:val="Heading1"/>
      </w:pPr>
      <w:r>
        <w:t>AFC PROPOSALS AND APPROVAL PROCESS</w:t>
      </w:r>
    </w:p>
    <w:p w:rsidR="00091295" w:rsidRPr="0030767F" w:rsidP="005A7CED" w14:paraId="4009FD60" w14:textId="7591F75F">
      <w:pPr>
        <w:pStyle w:val="ParaNum"/>
        <w:widowControl/>
        <w:rPr>
          <w:szCs w:val="22"/>
        </w:rPr>
      </w:pPr>
      <w:r w:rsidRPr="004A2D91">
        <w:rPr>
          <w:szCs w:val="22"/>
        </w:rPr>
        <w:t xml:space="preserve">As specified in the </w:t>
      </w:r>
      <w:r w:rsidRPr="004A2D91">
        <w:rPr>
          <w:i/>
          <w:iCs/>
          <w:szCs w:val="22"/>
        </w:rPr>
        <w:t>6 GHz Report and Order</w:t>
      </w:r>
      <w:r w:rsidRPr="004A2D91">
        <w:rPr>
          <w:szCs w:val="22"/>
        </w:rPr>
        <w:t xml:space="preserve">, OET will follow a multistep process to approve AFC systems in which each </w:t>
      </w:r>
      <w:r w:rsidRPr="004A2D91">
        <w:t>prospective AFC system operator must demonstrate its ability to perform the required functions pursuant to the Commission’s 6 GHz unlicensed rules.</w:t>
      </w:r>
      <w:r>
        <w:rPr>
          <w:sz w:val="20"/>
          <w:szCs w:val="22"/>
          <w:vertAlign w:val="superscript"/>
        </w:rPr>
        <w:footnoteReference w:id="28"/>
      </w:r>
      <w:r w:rsidRPr="004A2D91">
        <w:t xml:space="preserve">  </w:t>
      </w:r>
      <w:r>
        <w:t xml:space="preserve">We request that </w:t>
      </w:r>
      <w:r w:rsidRPr="004A2D91">
        <w:t xml:space="preserve">parties interested in becoming an AFC system operator </w:t>
      </w:r>
      <w:r>
        <w:t xml:space="preserve">as part of the initial evaluation process </w:t>
      </w:r>
      <w:r w:rsidRPr="004A2D91">
        <w:t>submit</w:t>
      </w:r>
      <w:r>
        <w:t xml:space="preserve"> their proposals </w:t>
      </w:r>
      <w:r w:rsidRPr="004A2D91">
        <w:t>no later than November 30, 2021.  The public will then have an opportunity to review and comment on these proposals</w:t>
      </w:r>
      <w:r>
        <w:t>, including</w:t>
      </w:r>
      <w:r w:rsidRPr="004A2D91">
        <w:t xml:space="preserve"> on each prospective operator’s fitness to operate an AFC system as well as the technical and operational description of each proposed AFC system.  Comments on these proposals must be submitted by December </w:t>
      </w:r>
      <w:r>
        <w:t>21</w:t>
      </w:r>
      <w:r w:rsidRPr="004A2D91">
        <w:t xml:space="preserve">, 2021. </w:t>
      </w:r>
      <w:r>
        <w:rPr>
          <w:szCs w:val="22"/>
        </w:rPr>
        <w:t xml:space="preserve"> OET will review all proposals submitted by November 30, 2021 </w:t>
      </w:r>
      <w:r w:rsidRPr="004A2D91">
        <w:rPr>
          <w:szCs w:val="22"/>
        </w:rPr>
        <w:t xml:space="preserve">concurrently and with equal priority.  Proposals submitted after this date will be considered by OET, but they may not be considered concurrently with proposals submitted by </w:t>
      </w:r>
      <w:r>
        <w:rPr>
          <w:szCs w:val="22"/>
        </w:rPr>
        <w:t>November 30, 2021</w:t>
      </w:r>
      <w:r w:rsidRPr="004A2D91">
        <w:rPr>
          <w:szCs w:val="22"/>
        </w:rPr>
        <w:t xml:space="preserve">.  </w:t>
      </w:r>
      <w:r>
        <w:rPr>
          <w:szCs w:val="22"/>
        </w:rPr>
        <w:t xml:space="preserve">For any proposal received after November 30, 2021, OET will issue a public notice announcing receipt of the proposal and establishing a period for the public to review and comment on the proposal.  </w:t>
      </w:r>
      <w:r w:rsidRPr="004A2D91">
        <w:rPr>
          <w:szCs w:val="22"/>
        </w:rPr>
        <w:t>Proposals will not be considered mutually exclusive and OET will conditionally approve as many proposals as are found to satisfy all AFC system requirements.</w:t>
      </w:r>
      <w:r>
        <w:rPr>
          <w:rStyle w:val="FootnoteReference"/>
          <w:szCs w:val="22"/>
        </w:rPr>
        <w:footnoteReference w:id="29"/>
      </w:r>
    </w:p>
    <w:p w:rsidR="00091295" w:rsidRPr="0030767F" w:rsidP="00091295" w14:paraId="5A4A3599" w14:textId="7BCBECC5">
      <w:pPr>
        <w:pStyle w:val="ParaNum"/>
      </w:pPr>
      <w:r w:rsidRPr="004A2D91">
        <w:t xml:space="preserve">Applicants who receive a conditional approval will then be required to </w:t>
      </w:r>
      <w:r>
        <w:t>allow access to their AFC system for</w:t>
      </w:r>
      <w:r w:rsidRPr="004A2D91">
        <w:t xml:space="preserve"> a public trial period to provide interested parties an opportunity to check that it provides accurate results.</w:t>
      </w:r>
      <w:r>
        <w:rPr>
          <w:rStyle w:val="FootnoteReference"/>
          <w:szCs w:val="22"/>
        </w:rPr>
        <w:footnoteReference w:id="30"/>
      </w:r>
      <w:r w:rsidRPr="004A2D91">
        <w:t xml:space="preserve">  This trial period will include thorough testing, both in a controlled environment (e.g., lab testing) and through demonstration projects (e.g., field testing).</w:t>
      </w:r>
      <w:r>
        <w:rPr>
          <w:sz w:val="20"/>
          <w:vertAlign w:val="superscript"/>
        </w:rPr>
        <w:footnoteReference w:id="31"/>
      </w:r>
      <w:r w:rsidRPr="004A2D91">
        <w:t xml:space="preserve">  OET may also require prospective AFC system operators to attend workshops and meetings as part of the assessment process.  Prospective AFC system operators must comply with all instructions from OET and must provide any requested information in a timely manner.</w:t>
      </w:r>
    </w:p>
    <w:p w:rsidR="00091295" w:rsidRPr="0030767F" w:rsidP="00091295" w14:paraId="6BF713BC" w14:textId="77777777">
      <w:pPr>
        <w:pStyle w:val="ParaNum"/>
      </w:pPr>
      <w:r w:rsidRPr="004A2D91">
        <w:t xml:space="preserve">The AFC system proposals must describe how the prospective AFC system operator will comply with the requirements and core functions described in Section 15.407(k) of the Commission’s rules and the </w:t>
      </w:r>
      <w:r w:rsidRPr="004A2D91">
        <w:rPr>
          <w:i/>
          <w:iCs/>
        </w:rPr>
        <w:t>6 GHz Report and Order</w:t>
      </w:r>
      <w:r w:rsidRPr="004A2D91">
        <w:t>.</w:t>
      </w:r>
      <w:r>
        <w:rPr>
          <w:sz w:val="20"/>
          <w:vertAlign w:val="superscript"/>
        </w:rPr>
        <w:footnoteReference w:id="32"/>
      </w:r>
      <w:r w:rsidRPr="004A2D91">
        <w:t xml:space="preserve">  </w:t>
      </w:r>
      <w:r>
        <w:t>To demonstrate compliance, we expect the proposal to include, for example:</w:t>
      </w:r>
    </w:p>
    <w:p w:rsidR="00091295" w:rsidRPr="004272E9" w:rsidP="00091295" w14:paraId="00BCF562" w14:textId="77777777">
      <w:pPr>
        <w:numPr>
          <w:ilvl w:val="0"/>
          <w:numId w:val="7"/>
        </w:numPr>
        <w:suppressAutoHyphens/>
        <w:ind w:left="900" w:firstLine="540"/>
        <w:rPr>
          <w:szCs w:val="22"/>
        </w:rPr>
      </w:pPr>
      <w:bookmarkStart w:id="2" w:name="_Hlk79390820"/>
      <w:r>
        <w:rPr>
          <w:szCs w:val="22"/>
        </w:rPr>
        <w:t>AFC system operator contact information, including name, phone number and email address that Commission staff may use for all AFC system related inquiries, such as information and data requests or to provide enforcement instructions.</w:t>
      </w:r>
      <w:r>
        <w:rPr>
          <w:rStyle w:val="FootnoteReference"/>
          <w:szCs w:val="22"/>
        </w:rPr>
        <w:footnoteReference w:id="33"/>
      </w:r>
    </w:p>
    <w:p w:rsidR="00091295" w:rsidP="00091295" w14:paraId="6C1E5B3C" w14:textId="59474C1C">
      <w:pPr>
        <w:numPr>
          <w:ilvl w:val="0"/>
          <w:numId w:val="7"/>
        </w:numPr>
        <w:suppressAutoHyphens/>
        <w:ind w:left="900" w:firstLine="540"/>
      </w:pPr>
      <w:r w:rsidRPr="004A2D91">
        <w:t>A technical diagram showing the architecture of the AFC system with a brief description of its operation</w:t>
      </w:r>
      <w:r>
        <w:t>.</w:t>
      </w:r>
    </w:p>
    <w:p w:rsidR="00091295" w:rsidRPr="004A2D91" w:rsidP="00091295" w14:paraId="639EF432" w14:textId="1F3FA278">
      <w:pPr>
        <w:numPr>
          <w:ilvl w:val="0"/>
          <w:numId w:val="7"/>
        </w:numPr>
        <w:suppressAutoHyphens/>
        <w:ind w:left="900" w:firstLine="540"/>
      </w:pPr>
      <w:r>
        <w:t>A description of whether the AFC system software is based on a propriety implementation or open source</w:t>
      </w:r>
      <w:r w:rsidRPr="004A2D91">
        <w:t>.</w:t>
      </w:r>
      <w:r>
        <w:rPr>
          <w:rStyle w:val="FootnoteReference"/>
        </w:rPr>
        <w:footnoteReference w:id="34"/>
      </w:r>
    </w:p>
    <w:p w:rsidR="00091295" w:rsidRPr="004A2D91" w:rsidP="00091295" w14:paraId="640B2104" w14:textId="77777777">
      <w:pPr>
        <w:numPr>
          <w:ilvl w:val="0"/>
          <w:numId w:val="7"/>
        </w:numPr>
        <w:suppressAutoHyphens/>
        <w:ind w:left="900" w:firstLine="540"/>
        <w:rPr>
          <w:szCs w:val="22"/>
        </w:rPr>
      </w:pPr>
      <w:r w:rsidRPr="004A2D91">
        <w:rPr>
          <w:szCs w:val="22"/>
        </w:rPr>
        <w:t xml:space="preserve">A demonstration that the prospective AFC </w:t>
      </w:r>
      <w:r>
        <w:rPr>
          <w:szCs w:val="22"/>
        </w:rPr>
        <w:t xml:space="preserve">system </w:t>
      </w:r>
      <w:r w:rsidRPr="004A2D91">
        <w:rPr>
          <w:szCs w:val="22"/>
        </w:rPr>
        <w:t>operator possesses sufficient technical expertise to operate an AFC system.</w:t>
      </w:r>
    </w:p>
    <w:p w:rsidR="00091295" w:rsidRPr="00794C7B" w:rsidP="00091295" w14:paraId="19FE8427" w14:textId="77777777">
      <w:pPr>
        <w:numPr>
          <w:ilvl w:val="0"/>
          <w:numId w:val="7"/>
        </w:numPr>
        <w:suppressAutoHyphens/>
        <w:ind w:left="900" w:firstLine="540"/>
        <w:rPr>
          <w:szCs w:val="22"/>
        </w:rPr>
      </w:pPr>
      <w:r w:rsidRPr="004A2D91">
        <w:t xml:space="preserve">A description of the prospective AFC </w:t>
      </w:r>
      <w:r>
        <w:t xml:space="preserve">system </w:t>
      </w:r>
      <w:r w:rsidRPr="004A2D91">
        <w:t xml:space="preserve">operator’s </w:t>
      </w:r>
      <w:r>
        <w:t>recordkeeping policies, including registration record retention as well as retention of historical frequency availability data</w:t>
      </w:r>
      <w:r w:rsidRPr="004A2D91">
        <w:t>.</w:t>
      </w:r>
    </w:p>
    <w:p w:rsidR="00091295" w:rsidRPr="004A2D91" w:rsidP="00091295" w14:paraId="54207CA5" w14:textId="77777777">
      <w:pPr>
        <w:numPr>
          <w:ilvl w:val="0"/>
          <w:numId w:val="7"/>
        </w:numPr>
        <w:suppressAutoHyphens/>
        <w:ind w:left="900" w:firstLine="540"/>
        <w:rPr>
          <w:szCs w:val="22"/>
        </w:rPr>
      </w:pPr>
      <w:r w:rsidRPr="0053458D">
        <w:t>A description of how the prospective AFC system operator will handle unanticipated situations that may disrupt performance of the system’s required functions—ranging from exceptional cases that affect the system’s ability to perform its required functions in isolated instances to cases involving the type of widespread disruption that an event like a system failure might cause</w:t>
      </w:r>
      <w:r w:rsidRPr="004A2D91">
        <w:t>.</w:t>
      </w:r>
    </w:p>
    <w:p w:rsidR="00091295" w:rsidRPr="004A2D91" w:rsidP="00091295" w14:paraId="7D5AB3C8" w14:textId="77777777">
      <w:pPr>
        <w:numPr>
          <w:ilvl w:val="0"/>
          <w:numId w:val="7"/>
        </w:numPr>
        <w:suppressAutoHyphens/>
        <w:ind w:left="900" w:firstLine="540"/>
        <w:rPr>
          <w:szCs w:val="22"/>
        </w:rPr>
      </w:pPr>
      <w:r w:rsidRPr="004A2D91">
        <w:rPr>
          <w:szCs w:val="22"/>
        </w:rPr>
        <w:t>A description of the methods (</w:t>
      </w:r>
      <w:r w:rsidRPr="004A2D91">
        <w:t>e.g.</w:t>
      </w:r>
      <w:r w:rsidRPr="004A2D91">
        <w:rPr>
          <w:szCs w:val="22"/>
        </w:rPr>
        <w:t>, interfaces, protocols) that will be used for secure communication between the AFC system and its associated standard-power devices</w:t>
      </w:r>
      <w:r w:rsidRPr="00837B0B">
        <w:rPr>
          <w:szCs w:val="22"/>
        </w:rPr>
        <w:t xml:space="preserve"> and to ensure that unauthorized parties cannot access or alter the database or the list of available frequencies and power levels sent to the standard-power devices</w:t>
      </w:r>
      <w:r w:rsidRPr="004A2D91">
        <w:rPr>
          <w:szCs w:val="22"/>
        </w:rPr>
        <w:t>.</w:t>
      </w:r>
      <w:r>
        <w:rPr>
          <w:rStyle w:val="FootnoteReference"/>
          <w:szCs w:val="22"/>
        </w:rPr>
        <w:footnoteReference w:id="35"/>
      </w:r>
    </w:p>
    <w:p w:rsidR="00091295" w:rsidP="00091295" w14:paraId="1BB00ACD" w14:textId="77777777">
      <w:pPr>
        <w:numPr>
          <w:ilvl w:val="0"/>
          <w:numId w:val="7"/>
        </w:numPr>
        <w:suppressAutoHyphens/>
        <w:ind w:left="900" w:firstLine="540"/>
        <w:rPr>
          <w:szCs w:val="22"/>
        </w:rPr>
      </w:pPr>
      <w:r w:rsidRPr="004A2D91">
        <w:rPr>
          <w:szCs w:val="22"/>
        </w:rPr>
        <w:t xml:space="preserve">If the prospective AFC system operator will not be performing all AFC functions, information on </w:t>
      </w:r>
      <w:r>
        <w:rPr>
          <w:szCs w:val="22"/>
        </w:rPr>
        <w:t xml:space="preserve">(1) </w:t>
      </w:r>
      <w:r w:rsidRPr="004A2D91">
        <w:rPr>
          <w:szCs w:val="22"/>
        </w:rPr>
        <w:t xml:space="preserve">the entities </w:t>
      </w:r>
      <w:r>
        <w:rPr>
          <w:szCs w:val="22"/>
        </w:rPr>
        <w:t xml:space="preserve">that will be responsible for </w:t>
      </w:r>
      <w:r w:rsidRPr="004A2D91">
        <w:rPr>
          <w:szCs w:val="22"/>
        </w:rPr>
        <w:t>operating other functions</w:t>
      </w:r>
      <w:r>
        <w:rPr>
          <w:szCs w:val="22"/>
        </w:rPr>
        <w:t xml:space="preserve"> </w:t>
      </w:r>
      <w:r>
        <w:rPr>
          <w:szCs w:val="22"/>
        </w:rPr>
        <w:t>of the AFC system; and (2)</w:t>
      </w:r>
      <w:r w:rsidRPr="004A2D91">
        <w:rPr>
          <w:szCs w:val="22"/>
        </w:rPr>
        <w:t xml:space="preserve"> how the Commission can ensure that all of the requirements for AFC systems in the rules are satisfied when AFC functions are divided among multiple entities.</w:t>
      </w:r>
    </w:p>
    <w:p w:rsidR="00091295" w:rsidRPr="004A2D91" w:rsidP="00091295" w14:paraId="4B9B19C9" w14:textId="77777777">
      <w:pPr>
        <w:numPr>
          <w:ilvl w:val="0"/>
          <w:numId w:val="7"/>
        </w:numPr>
        <w:suppressAutoHyphens/>
        <w:ind w:left="900" w:firstLine="540"/>
        <w:rPr>
          <w:szCs w:val="22"/>
        </w:rPr>
      </w:pPr>
      <w:r>
        <w:rPr>
          <w:szCs w:val="22"/>
        </w:rPr>
        <w:t>A description of how the prospective AFC system operator will provide access to their AFC system for a public trial period which will include thorough testing.</w:t>
      </w:r>
    </w:p>
    <w:p w:rsidR="00091295" w:rsidRPr="0030767F" w:rsidP="00091295" w14:paraId="18392085" w14:textId="77777777">
      <w:pPr>
        <w:numPr>
          <w:ilvl w:val="0"/>
          <w:numId w:val="7"/>
        </w:numPr>
        <w:suppressAutoHyphens/>
        <w:spacing w:after="120"/>
        <w:ind w:left="907" w:firstLine="547"/>
        <w:rPr>
          <w:szCs w:val="22"/>
        </w:rPr>
      </w:pPr>
      <w:r w:rsidRPr="004A2D91">
        <w:rPr>
          <w:szCs w:val="22"/>
        </w:rPr>
        <w:t>An affirmation that the prospective AFC system operator</w:t>
      </w:r>
      <w:r>
        <w:rPr>
          <w:szCs w:val="22"/>
        </w:rPr>
        <w:t xml:space="preserve">, and any entities responsible for </w:t>
      </w:r>
      <w:r w:rsidRPr="004A2D91">
        <w:rPr>
          <w:szCs w:val="22"/>
        </w:rPr>
        <w:t>operating other functions</w:t>
      </w:r>
      <w:r>
        <w:rPr>
          <w:szCs w:val="22"/>
        </w:rPr>
        <w:t xml:space="preserve"> of the AFC system under the control of the AFC system operator,</w:t>
      </w:r>
      <w:r w:rsidRPr="004A2D91">
        <w:rPr>
          <w:szCs w:val="22"/>
        </w:rPr>
        <w:t xml:space="preserve"> will comply with all of the applicable rules as well as applicable enforcement mechanisms and procedures.</w:t>
      </w:r>
      <w:r>
        <w:rPr>
          <w:rStyle w:val="FootnoteReference"/>
          <w:szCs w:val="22"/>
        </w:rPr>
        <w:footnoteReference w:id="36"/>
      </w:r>
      <w:bookmarkEnd w:id="2"/>
    </w:p>
    <w:p w:rsidR="00091295" w:rsidRPr="004A2D91" w:rsidP="00091295" w14:paraId="62A14264" w14:textId="67489654">
      <w:pPr>
        <w:pStyle w:val="ParaNum"/>
      </w:pPr>
      <w:r w:rsidRPr="004A2D91">
        <w:t xml:space="preserve">Prospective AFC system operators must file proposals, and any supplements thereto, with the Commission using the Commission’s Electronic </w:t>
      </w:r>
      <w:r>
        <w:t xml:space="preserve">Comment </w:t>
      </w:r>
      <w:r w:rsidRPr="004A2D91">
        <w:t xml:space="preserve">Filing System (ECFS). </w:t>
      </w:r>
      <w:r w:rsidRPr="004A2D91">
        <w:rPr>
          <w:i/>
          <w:snapToGrid/>
        </w:rPr>
        <w:t xml:space="preserve"> See Electronic Filing of Documents in Rulemaking Proceedings</w:t>
      </w:r>
      <w:r w:rsidRPr="004A2D91">
        <w:rPr>
          <w:snapToGrid/>
        </w:rPr>
        <w:t xml:space="preserve">, 63 FR 24121 (1998).  </w:t>
      </w:r>
      <w:r>
        <w:rPr>
          <w:snapToGrid/>
        </w:rPr>
        <w:t>T</w:t>
      </w:r>
      <w:r w:rsidRPr="004A2D91">
        <w:rPr>
          <w:snapToGrid/>
        </w:rPr>
        <w:t xml:space="preserve">o be considered concurrently with the other initial proposals, proposals must be filed on or before the date indicated on the first page of this </w:t>
      </w:r>
      <w:r w:rsidRPr="004A2D91">
        <w:rPr>
          <w:i/>
          <w:snapToGrid/>
        </w:rPr>
        <w:t>Public Notice</w:t>
      </w:r>
      <w:r w:rsidRPr="004A2D91">
        <w:rPr>
          <w:snapToGrid/>
        </w:rPr>
        <w:t>.  Prospective AFC system operators</w:t>
      </w:r>
      <w:r w:rsidRPr="004A2D91">
        <w:t xml:space="preserve"> may request confidential treatment of information contained in their proposals consistent with </w:t>
      </w:r>
      <w:r>
        <w:t>S</w:t>
      </w:r>
      <w:r w:rsidRPr="004A2D91">
        <w:t>ection 0.459 of the Commission’s rules.</w:t>
      </w:r>
      <w:r>
        <w:rPr>
          <w:vertAlign w:val="superscript"/>
        </w:rPr>
        <w:footnoteReference w:id="37"/>
      </w:r>
      <w:r w:rsidRPr="004A2D91">
        <w:t xml:space="preserve">  Comments regarding the AFC system proposals should also be filed using ECFS by the dates indicated on the first page of this </w:t>
      </w:r>
      <w:r w:rsidRPr="004A2D91">
        <w:rPr>
          <w:i/>
          <w:iCs/>
        </w:rPr>
        <w:t>Public Notice</w:t>
      </w:r>
      <w:r w:rsidRPr="004A2D91">
        <w:t xml:space="preserve">.  All such filings should refer to </w:t>
      </w:r>
      <w:r w:rsidRPr="004A2D91">
        <w:rPr>
          <w:b/>
          <w:bCs/>
        </w:rPr>
        <w:t>ET Docket</w:t>
      </w:r>
      <w:r w:rsidRPr="004A2D91">
        <w:rPr>
          <w:b/>
        </w:rPr>
        <w:t xml:space="preserve"> </w:t>
      </w:r>
      <w:r>
        <w:rPr>
          <w:b/>
        </w:rPr>
        <w:t>21-352</w:t>
      </w:r>
      <w:r w:rsidRPr="004A2D91">
        <w:t>.</w:t>
      </w:r>
    </w:p>
    <w:p w:rsidR="00091295" w:rsidRPr="004A2D91" w:rsidP="00091295" w14:paraId="5F7CD962" w14:textId="77777777">
      <w:pPr>
        <w:ind w:firstLine="540"/>
        <w:rPr>
          <w:szCs w:val="22"/>
        </w:rPr>
      </w:pPr>
    </w:p>
    <w:p w:rsidR="00091295" w:rsidRPr="004A2D91" w:rsidP="00091295" w14:paraId="53AC6363" w14:textId="77777777">
      <w:pPr>
        <w:widowControl/>
        <w:numPr>
          <w:ilvl w:val="0"/>
          <w:numId w:val="9"/>
        </w:numPr>
        <w:spacing w:after="120"/>
        <w:ind w:left="630"/>
      </w:pPr>
      <w:r w:rsidRPr="004A2D91">
        <w:t>Electronic Filers:  Comments may be filed electronically using the Internet by accessing the ECFS:</w:t>
      </w:r>
      <w:r>
        <w:t xml:space="preserve">  </w:t>
      </w:r>
      <w:hyperlink r:id="rId5" w:history="1">
        <w:r w:rsidRPr="004E1E67">
          <w:rPr>
            <w:rStyle w:val="Hyperlink"/>
          </w:rPr>
          <w:t>http://apps.fcc.gov/ecfs/</w:t>
        </w:r>
      </w:hyperlink>
      <w:r w:rsidRPr="004A2D91">
        <w:t>.</w:t>
      </w:r>
    </w:p>
    <w:p w:rsidR="00091295" w:rsidRPr="004A2D91" w:rsidP="00091295" w14:paraId="176D9E31" w14:textId="77777777">
      <w:pPr>
        <w:widowControl/>
        <w:numPr>
          <w:ilvl w:val="0"/>
          <w:numId w:val="9"/>
        </w:numPr>
        <w:spacing w:after="120"/>
        <w:ind w:left="630"/>
      </w:pPr>
      <w:r w:rsidRPr="004A2D91">
        <w:t xml:space="preserve">Paper Filers:  Parties </w:t>
      </w:r>
      <w:r>
        <w:t>who</w:t>
      </w:r>
      <w:r w:rsidRPr="004A2D91">
        <w:t xml:space="preserve"> choose to file by paper must file an original and one copy of each filing.</w:t>
      </w:r>
    </w:p>
    <w:p w:rsidR="00091295" w:rsidRPr="004A2D91" w:rsidP="00091295" w14:paraId="635A6D61" w14:textId="77777777">
      <w:pPr>
        <w:widowControl/>
        <w:numPr>
          <w:ilvl w:val="0"/>
          <w:numId w:val="9"/>
        </w:numPr>
        <w:spacing w:after="120"/>
        <w:ind w:left="630"/>
      </w:pPr>
      <w:r w:rsidRPr="004A2D91">
        <w:t>Filings can be sent by commercial overnight courier, or by first-class or overnight U.S. Postal Service mail.  All filings must be addressed to the Commission’s Secretary, Office of the Secretary, Federal Communications Commission.</w:t>
      </w:r>
    </w:p>
    <w:p w:rsidR="00091295" w:rsidRPr="004A2D91" w:rsidP="00091295" w14:paraId="1F230931" w14:textId="77777777">
      <w:pPr>
        <w:widowControl/>
        <w:numPr>
          <w:ilvl w:val="0"/>
          <w:numId w:val="8"/>
        </w:numPr>
        <w:spacing w:after="120"/>
        <w:ind w:left="1080" w:hanging="450"/>
      </w:pPr>
      <w:r w:rsidRPr="004A2D91">
        <w:t>Commercial overnight mail (other than U.S. Postal Service Express Mail and Priority Mail) must be sent to 9050 Junction Drive, Annapolis Junction, MD 20701</w:t>
      </w:r>
      <w:r>
        <w:t>.</w:t>
      </w:r>
      <w:r w:rsidRPr="004A2D91">
        <w:t xml:space="preserve"> </w:t>
      </w:r>
    </w:p>
    <w:p w:rsidR="00091295" w:rsidRPr="004A2D91" w:rsidP="00091295" w14:paraId="1E24664F" w14:textId="66BC1251">
      <w:pPr>
        <w:widowControl/>
        <w:numPr>
          <w:ilvl w:val="0"/>
          <w:numId w:val="8"/>
        </w:numPr>
        <w:spacing w:after="120"/>
        <w:ind w:left="1080" w:hanging="450"/>
      </w:pPr>
      <w:r w:rsidRPr="004A2D91">
        <w:t>Postal Service first-class, Express, and Priority mail must be addressed to 45 L Street, NE, Washington DC 20554</w:t>
      </w:r>
      <w:r w:rsidR="005145E6">
        <w:t>.</w:t>
      </w:r>
    </w:p>
    <w:p w:rsidR="00091295" w:rsidRPr="004A2D91" w:rsidP="00091295" w14:paraId="75759F71" w14:textId="5817ACA7">
      <w:pPr>
        <w:widowControl/>
        <w:numPr>
          <w:ilvl w:val="0"/>
          <w:numId w:val="10"/>
        </w:numPr>
        <w:spacing w:after="120"/>
        <w:ind w:left="630"/>
      </w:pPr>
      <w:r w:rsidRPr="004A2D91">
        <w:t xml:space="preserve">Effective March 19, 2020, and until further notice, the Commission no longer accepts any hand or messenger delivered filings. </w:t>
      </w:r>
      <w:r>
        <w:t xml:space="preserve"> </w:t>
      </w:r>
      <w:r w:rsidRPr="004A2D91">
        <w:t xml:space="preserve">This is a temporary measure taken to help protect the health and safety of individuals, and to mitigate the transmission of COVID-19.  </w:t>
      </w:r>
      <w:r w:rsidRPr="002109ED">
        <w:rPr>
          <w:i/>
          <w:iCs/>
        </w:rPr>
        <w:t>See</w:t>
      </w:r>
      <w:r>
        <w:t xml:space="preserve"> </w:t>
      </w:r>
      <w:r w:rsidRPr="00732B61">
        <w:rPr>
          <w:i/>
          <w:iCs/>
        </w:rPr>
        <w:t>FCC Announces Closure of FCC Headquarters Open Window and Change in Hand-Delivery Policy</w:t>
      </w:r>
      <w:r>
        <w:t xml:space="preserve">, Public Notice, 35 FCC </w:t>
      </w:r>
      <w:r>
        <w:t>Rcd</w:t>
      </w:r>
      <w:r>
        <w:t xml:space="preserve"> 2788 (2020), </w:t>
      </w:r>
      <w:hyperlink r:id="rId6" w:history="1">
        <w:r w:rsidRPr="000E06DC">
          <w:rPr>
            <w:rStyle w:val="Hyperlink"/>
          </w:rPr>
          <w:t>https://www.fcc.gov/document/fcc-closes-headquarters-open-window-and-changes-hand-delivery-policy</w:t>
        </w:r>
      </w:hyperlink>
      <w:r>
        <w:t>.</w:t>
      </w:r>
    </w:p>
    <w:p w:rsidR="00091295" w:rsidP="00EC58E0" w14:paraId="3C729B7A" w14:textId="6DB7242F">
      <w:pPr>
        <w:pStyle w:val="ParaNum"/>
      </w:pPr>
      <w:r w:rsidRPr="004A2D91">
        <w:rPr>
          <w:i/>
        </w:rPr>
        <w:t>People with Disabilities</w:t>
      </w:r>
      <w:r w:rsidRPr="004A2D91">
        <w:t>.  To request materials in accessible formats for people with disabilities (</w:t>
      </w:r>
      <w:r>
        <w:t>b</w:t>
      </w:r>
      <w:r w:rsidRPr="004A2D91">
        <w:t xml:space="preserve">raille, large print, electronic files, audio format), send an e-mail to </w:t>
      </w:r>
      <w:r w:rsidRPr="004A2D91">
        <w:rPr>
          <w:color w:val="0000FF"/>
          <w:u w:val="single"/>
        </w:rPr>
        <w:t>fcc504@fcc.gov</w:t>
      </w:r>
      <w:r w:rsidRPr="004A2D91">
        <w:t xml:space="preserve"> or call the Consumer and Governmental Affairs Bureau at 202-418-0530 (voice), 202-418-0432 (tty).</w:t>
      </w:r>
    </w:p>
    <w:p w:rsidR="00094BA9" w:rsidRPr="00094BA9" w:rsidP="00094BA9" w14:paraId="30DDC485" w14:textId="77777777">
      <w:pPr>
        <w:pStyle w:val="ParaNum"/>
      </w:pPr>
      <w:r>
        <w:rPr>
          <w:i/>
        </w:rPr>
        <w:t xml:space="preserve">Congressional Review Act </w:t>
      </w:r>
      <w:r w:rsidRPr="00EE09BA">
        <w:t>.</w:t>
      </w:r>
      <w:r>
        <w:t xml:space="preserve"> </w:t>
      </w:r>
      <w:r w:rsidR="006074F4">
        <w:t xml:space="preserve"> </w:t>
      </w:r>
      <w:r>
        <w:t xml:space="preserve">The Commission has determined and Administrator of the Office of Information and Regulatory Affairs, Office of Management and Budget, concurs, that this rule is “non-major” under the Congressional Review Act, 5. U.S.C. </w:t>
      </w:r>
      <w:r w:rsidRPr="00137DBC">
        <w:rPr>
          <w:iCs/>
        </w:rPr>
        <w:t>§</w:t>
      </w:r>
      <w:r>
        <w:rPr>
          <w:iCs/>
        </w:rPr>
        <w:t xml:space="preserve"> 804(2).  The Commission will send a copy of this Public Notice to Congress and the Government Accountability Office pursuant to 5 U.S.C </w:t>
      </w:r>
      <w:r w:rsidRPr="00137DBC">
        <w:rPr>
          <w:iCs/>
        </w:rPr>
        <w:t>§</w:t>
      </w:r>
      <w:r>
        <w:rPr>
          <w:iCs/>
        </w:rPr>
        <w:t xml:space="preserve"> 801(a)(1)(A).</w:t>
      </w:r>
    </w:p>
    <w:p w:rsidR="005A7CED" w:rsidRPr="005A7CED" w:rsidP="00D737C7" w14:paraId="3DC72DC0" w14:textId="0E3F63A1">
      <w:pPr>
        <w:pStyle w:val="ParaNum"/>
        <w:widowControl/>
      </w:pPr>
      <w:r>
        <w:rPr>
          <w:i/>
          <w:iCs/>
        </w:rPr>
        <w:t>Further Information</w:t>
      </w:r>
      <w:r>
        <w:t xml:space="preserve">. </w:t>
      </w:r>
      <w:r>
        <w:rPr>
          <w:i/>
          <w:iCs/>
        </w:rPr>
        <w:t xml:space="preserve"> </w:t>
      </w:r>
      <w:r w:rsidRPr="004A2D91">
        <w:t xml:space="preserve">Questions regarding this </w:t>
      </w:r>
      <w:r w:rsidRPr="004A2D91">
        <w:rPr>
          <w:i/>
        </w:rPr>
        <w:t>Public Notice</w:t>
      </w:r>
      <w:r w:rsidRPr="004A2D91">
        <w:t xml:space="preserve"> may be directed to Nicholas Oros, Office of Engineering and Technology, at (202) 418-0636 or </w:t>
      </w:r>
      <w:hyperlink r:id="rId7" w:history="1">
        <w:r w:rsidRPr="009D23A7">
          <w:rPr>
            <w:rStyle w:val="Hyperlink"/>
          </w:rPr>
          <w:t>Nicholas.Oros@fcc.gov</w:t>
        </w:r>
      </w:hyperlink>
      <w:r w:rsidRPr="004A2D91">
        <w:t>.</w:t>
      </w:r>
      <w:r>
        <w:br/>
      </w:r>
    </w:p>
    <w:p w:rsidR="00091295" w:rsidP="00D737C7" w14:paraId="04EA092E" w14:textId="0BBCC89E">
      <w:pPr>
        <w:widowControl/>
        <w:spacing w:after="120"/>
        <w:jc w:val="center"/>
        <w:rPr>
          <w:b/>
          <w:snapToGrid/>
          <w:kern w:val="0"/>
          <w:szCs w:val="22"/>
        </w:rPr>
      </w:pPr>
      <w:r w:rsidRPr="004A2D91">
        <w:rPr>
          <w:b/>
          <w:snapToGrid/>
          <w:kern w:val="0"/>
          <w:szCs w:val="22"/>
        </w:rPr>
        <w:t>–FCC–</w:t>
      </w:r>
      <w:bookmarkEnd w:id="0"/>
    </w:p>
    <w:p w:rsidR="006F50A6" w:rsidP="006074F4" w14:paraId="64690799" w14:textId="4F06D7C8">
      <w:pPr>
        <w:spacing w:after="120"/>
        <w:jc w:val="center"/>
        <w:rPr>
          <w:b/>
          <w:snapToGrid/>
          <w:kern w:val="0"/>
          <w:szCs w:val="22"/>
        </w:rPr>
      </w:pPr>
    </w:p>
    <w:p w:rsidR="006F50A6" w:rsidP="006074F4" w14:paraId="5490F583" w14:textId="582784F8">
      <w:pPr>
        <w:spacing w:after="120"/>
        <w:jc w:val="center"/>
        <w:rPr>
          <w:b/>
          <w:snapToGrid/>
          <w:kern w:val="0"/>
          <w:szCs w:val="22"/>
        </w:rPr>
      </w:pPr>
    </w:p>
    <w:p w:rsidR="006F50A6" w:rsidP="006074F4" w14:paraId="7F250AE3" w14:textId="4B1F9CC7">
      <w:pPr>
        <w:spacing w:after="120"/>
        <w:jc w:val="center"/>
        <w:rPr>
          <w:b/>
          <w:snapToGrid/>
          <w:kern w:val="0"/>
          <w:szCs w:val="22"/>
        </w:rPr>
      </w:pPr>
    </w:p>
    <w:p w:rsidR="006F50A6" w:rsidP="006074F4" w14:paraId="16CE50F1" w14:textId="0403EE71">
      <w:pPr>
        <w:spacing w:after="120"/>
        <w:jc w:val="center"/>
        <w:rPr>
          <w:b/>
          <w:snapToGrid/>
          <w:kern w:val="0"/>
          <w:szCs w:val="22"/>
        </w:rPr>
      </w:pPr>
    </w:p>
    <w:p w:rsidR="006F50A6" w:rsidP="006074F4" w14:paraId="25DF2411" w14:textId="7C7770CC">
      <w:pPr>
        <w:spacing w:after="120"/>
        <w:jc w:val="center"/>
        <w:rPr>
          <w:b/>
          <w:snapToGrid/>
          <w:kern w:val="0"/>
          <w:szCs w:val="22"/>
        </w:rPr>
      </w:pPr>
    </w:p>
    <w:p w:rsidR="006F50A6" w:rsidP="006074F4" w14:paraId="0D2F2D09" w14:textId="65DF6D89">
      <w:pPr>
        <w:spacing w:after="120"/>
        <w:jc w:val="center"/>
        <w:rPr>
          <w:b/>
          <w:snapToGrid/>
          <w:kern w:val="0"/>
          <w:szCs w:val="22"/>
        </w:rPr>
      </w:pPr>
    </w:p>
    <w:p w:rsidR="006F50A6" w:rsidP="006074F4" w14:paraId="477A149C" w14:textId="31757778">
      <w:pPr>
        <w:spacing w:after="120"/>
        <w:jc w:val="center"/>
        <w:rPr>
          <w:b/>
          <w:snapToGrid/>
          <w:kern w:val="0"/>
          <w:szCs w:val="22"/>
        </w:rPr>
      </w:pPr>
    </w:p>
    <w:p w:rsidR="006F50A6" w:rsidP="006074F4" w14:paraId="0275056C" w14:textId="5E5DB701">
      <w:pPr>
        <w:spacing w:after="120"/>
        <w:jc w:val="center"/>
        <w:rPr>
          <w:b/>
          <w:snapToGrid/>
          <w:kern w:val="0"/>
          <w:szCs w:val="22"/>
        </w:rPr>
      </w:pPr>
    </w:p>
    <w:p w:rsidR="006F50A6" w:rsidP="006074F4" w14:paraId="4C42991A" w14:textId="31F84EF7">
      <w:pPr>
        <w:spacing w:after="120"/>
        <w:jc w:val="center"/>
        <w:rPr>
          <w:b/>
          <w:snapToGrid/>
          <w:kern w:val="0"/>
          <w:szCs w:val="22"/>
        </w:rPr>
      </w:pPr>
    </w:p>
    <w:p w:rsidR="006F50A6" w:rsidP="006074F4" w14:paraId="1DFA2F60" w14:textId="21F840F5">
      <w:pPr>
        <w:spacing w:after="120"/>
        <w:jc w:val="center"/>
        <w:rPr>
          <w:b/>
          <w:snapToGrid/>
          <w:kern w:val="0"/>
          <w:szCs w:val="22"/>
        </w:rPr>
      </w:pPr>
    </w:p>
    <w:p w:rsidR="006F50A6" w:rsidP="006074F4" w14:paraId="4BE0AAA1" w14:textId="04FEC21A">
      <w:pPr>
        <w:spacing w:after="120"/>
        <w:jc w:val="center"/>
        <w:rPr>
          <w:b/>
          <w:snapToGrid/>
          <w:kern w:val="0"/>
          <w:szCs w:val="22"/>
        </w:rPr>
      </w:pPr>
    </w:p>
    <w:p w:rsidR="006F50A6" w:rsidP="006074F4" w14:paraId="3C690A3B" w14:textId="24BA4869">
      <w:pPr>
        <w:spacing w:after="120"/>
        <w:jc w:val="center"/>
        <w:rPr>
          <w:b/>
          <w:snapToGrid/>
          <w:kern w:val="0"/>
          <w:szCs w:val="22"/>
        </w:rPr>
      </w:pPr>
    </w:p>
    <w:p w:rsidR="006F50A6" w:rsidP="006074F4" w14:paraId="1978A8DB" w14:textId="44F2A2B0">
      <w:pPr>
        <w:spacing w:after="120"/>
        <w:jc w:val="center"/>
        <w:rPr>
          <w:b/>
          <w:snapToGrid/>
          <w:kern w:val="0"/>
          <w:szCs w:val="22"/>
        </w:rPr>
      </w:pPr>
    </w:p>
    <w:p w:rsidR="006F50A6" w:rsidP="006074F4" w14:paraId="2B581E91" w14:textId="6E997857">
      <w:pPr>
        <w:spacing w:after="120"/>
        <w:jc w:val="center"/>
        <w:rPr>
          <w:b/>
          <w:snapToGrid/>
          <w:kern w:val="0"/>
          <w:szCs w:val="22"/>
        </w:rPr>
      </w:pPr>
    </w:p>
    <w:p w:rsidR="006F50A6" w:rsidP="006074F4" w14:paraId="10AA8F61" w14:textId="7A4B33C2">
      <w:pPr>
        <w:spacing w:after="120"/>
        <w:jc w:val="center"/>
        <w:rPr>
          <w:b/>
          <w:snapToGrid/>
          <w:kern w:val="0"/>
          <w:szCs w:val="22"/>
        </w:rPr>
      </w:pPr>
    </w:p>
    <w:p w:rsidR="006F50A6" w:rsidP="006074F4" w14:paraId="320D8A2B" w14:textId="4C7A74A7">
      <w:pPr>
        <w:spacing w:after="120"/>
        <w:jc w:val="center"/>
        <w:rPr>
          <w:b/>
          <w:snapToGrid/>
          <w:kern w:val="0"/>
          <w:szCs w:val="22"/>
        </w:rPr>
      </w:pPr>
    </w:p>
    <w:p w:rsidR="006F50A6" w:rsidP="006074F4" w14:paraId="10DA0D20" w14:textId="18365207">
      <w:pPr>
        <w:spacing w:after="120"/>
        <w:jc w:val="center"/>
        <w:rPr>
          <w:b/>
          <w:snapToGrid/>
          <w:kern w:val="0"/>
          <w:szCs w:val="22"/>
        </w:rPr>
      </w:pPr>
    </w:p>
    <w:p w:rsidR="006F50A6" w:rsidP="006074F4" w14:paraId="76F5A25E" w14:textId="4862E975">
      <w:pPr>
        <w:spacing w:after="120"/>
        <w:jc w:val="center"/>
        <w:rPr>
          <w:b/>
          <w:snapToGrid/>
          <w:kern w:val="0"/>
          <w:szCs w:val="22"/>
        </w:rPr>
      </w:pPr>
    </w:p>
    <w:p w:rsidR="006F50A6" w:rsidP="006074F4" w14:paraId="15A30A58" w14:textId="2AD08778">
      <w:pPr>
        <w:spacing w:after="120"/>
        <w:jc w:val="center"/>
        <w:rPr>
          <w:b/>
          <w:snapToGrid/>
          <w:kern w:val="0"/>
          <w:szCs w:val="22"/>
        </w:rPr>
      </w:pPr>
    </w:p>
    <w:p w:rsidR="006F50A6" w:rsidP="006074F4" w14:paraId="1CE9D499" w14:textId="518DA86E">
      <w:pPr>
        <w:spacing w:after="120"/>
        <w:jc w:val="center"/>
        <w:rPr>
          <w:b/>
          <w:snapToGrid/>
          <w:kern w:val="0"/>
          <w:szCs w:val="22"/>
        </w:rPr>
      </w:pPr>
    </w:p>
    <w:p w:rsidR="006F50A6" w:rsidP="006074F4" w14:paraId="42835C4D" w14:textId="4478D5BB">
      <w:pPr>
        <w:spacing w:after="120"/>
        <w:jc w:val="center"/>
        <w:rPr>
          <w:b/>
          <w:snapToGrid/>
          <w:kern w:val="0"/>
          <w:szCs w:val="22"/>
        </w:rPr>
      </w:pPr>
    </w:p>
    <w:p w:rsidR="006F50A6" w:rsidP="006074F4" w14:paraId="6AAC4604" w14:textId="6E06F48C">
      <w:pPr>
        <w:spacing w:after="120"/>
        <w:jc w:val="center"/>
        <w:rPr>
          <w:b/>
          <w:snapToGrid/>
          <w:kern w:val="0"/>
          <w:szCs w:val="22"/>
        </w:rPr>
      </w:pPr>
    </w:p>
    <w:p w:rsidR="006F50A6" w:rsidP="006074F4" w14:paraId="1BE08AAF" w14:textId="10351DBD">
      <w:pPr>
        <w:spacing w:after="120"/>
        <w:jc w:val="center"/>
        <w:rPr>
          <w:b/>
          <w:snapToGrid/>
          <w:kern w:val="0"/>
          <w:szCs w:val="22"/>
        </w:rPr>
      </w:pPr>
    </w:p>
    <w:p w:rsidR="006F50A6" w:rsidP="006074F4" w14:paraId="60C29E0C" w14:textId="253609A7">
      <w:pPr>
        <w:spacing w:after="120"/>
        <w:jc w:val="center"/>
        <w:rPr>
          <w:b/>
          <w:snapToGrid/>
          <w:kern w:val="0"/>
          <w:szCs w:val="22"/>
        </w:rPr>
      </w:pPr>
    </w:p>
    <w:p w:rsidR="006F50A6" w:rsidP="006074F4" w14:paraId="251D1699" w14:textId="67F8B7A2">
      <w:pPr>
        <w:spacing w:after="120"/>
        <w:jc w:val="center"/>
        <w:rPr>
          <w:b/>
          <w:snapToGrid/>
          <w:kern w:val="0"/>
          <w:szCs w:val="22"/>
        </w:rPr>
      </w:pPr>
    </w:p>
    <w:p w:rsidR="006F50A6" w:rsidP="006074F4" w14:paraId="4BA9A9B4" w14:textId="46E02ECA">
      <w:pPr>
        <w:spacing w:after="120"/>
        <w:jc w:val="center"/>
        <w:rPr>
          <w:b/>
          <w:snapToGrid/>
          <w:kern w:val="0"/>
          <w:szCs w:val="22"/>
        </w:rPr>
      </w:pPr>
    </w:p>
    <w:p w:rsidR="006F50A6" w:rsidP="006074F4" w14:paraId="216FD167" w14:textId="59C123F9">
      <w:pPr>
        <w:spacing w:after="120"/>
        <w:jc w:val="center"/>
        <w:rPr>
          <w:b/>
          <w:snapToGrid/>
          <w:kern w:val="0"/>
          <w:szCs w:val="22"/>
        </w:rPr>
      </w:pPr>
    </w:p>
    <w:p w:rsidR="006F50A6" w:rsidP="006074F4" w14:paraId="618DF334" w14:textId="1DB7F360">
      <w:pPr>
        <w:spacing w:after="120"/>
        <w:jc w:val="center"/>
        <w:rPr>
          <w:b/>
          <w:snapToGrid/>
          <w:kern w:val="0"/>
          <w:szCs w:val="22"/>
        </w:rPr>
      </w:pPr>
    </w:p>
    <w:p w:rsidR="006F50A6" w:rsidP="006074F4" w14:paraId="3500696A" w14:textId="6BD8E28B">
      <w:pPr>
        <w:spacing w:after="120"/>
        <w:jc w:val="center"/>
        <w:rPr>
          <w:b/>
          <w:snapToGrid/>
          <w:kern w:val="0"/>
          <w:szCs w:val="22"/>
        </w:rPr>
      </w:pPr>
    </w:p>
    <w:p w:rsidR="006F50A6" w:rsidP="006074F4" w14:paraId="7A77E2EE" w14:textId="6449CF27">
      <w:pPr>
        <w:spacing w:after="120"/>
        <w:jc w:val="center"/>
        <w:rPr>
          <w:b/>
          <w:snapToGrid/>
          <w:kern w:val="0"/>
          <w:szCs w:val="22"/>
        </w:rPr>
      </w:pPr>
    </w:p>
    <w:p w:rsidR="006F50A6" w:rsidP="006074F4" w14:paraId="7E9CED65" w14:textId="654C40E9">
      <w:pPr>
        <w:spacing w:after="120"/>
        <w:jc w:val="center"/>
        <w:rPr>
          <w:b/>
          <w:snapToGrid/>
          <w:kern w:val="0"/>
          <w:szCs w:val="22"/>
        </w:rPr>
      </w:pPr>
    </w:p>
    <w:p w:rsidR="006F50A6" w:rsidP="00D737C7" w14:paraId="7B96C57A" w14:textId="6222C1C5">
      <w:pPr>
        <w:spacing w:after="120"/>
        <w:rPr>
          <w:b/>
          <w:snapToGrid/>
          <w:kern w:val="0"/>
          <w:szCs w:val="22"/>
        </w:rPr>
      </w:pPr>
    </w:p>
    <w:p w:rsidR="00D719B1" w:rsidRPr="00D737C7" w:rsidP="006F50A6" w14:paraId="6CDF9084" w14:textId="77777777">
      <w:pPr>
        <w:pStyle w:val="paragraph"/>
        <w:spacing w:before="0" w:beforeAutospacing="0" w:after="0" w:afterAutospacing="0"/>
        <w:jc w:val="center"/>
        <w:textAlignment w:val="baseline"/>
        <w:rPr>
          <w:rStyle w:val="eop"/>
          <w:sz w:val="22"/>
          <w:szCs w:val="22"/>
        </w:rPr>
      </w:pPr>
      <w:r w:rsidRPr="00D737C7">
        <w:rPr>
          <w:rStyle w:val="normaltextrun"/>
          <w:b/>
          <w:bCs/>
          <w:sz w:val="22"/>
          <w:szCs w:val="22"/>
        </w:rPr>
        <w:t>STATEMENT OF</w:t>
      </w:r>
      <w:r w:rsidRPr="00D737C7">
        <w:rPr>
          <w:rStyle w:val="eop"/>
          <w:sz w:val="22"/>
          <w:szCs w:val="22"/>
        </w:rPr>
        <w:t xml:space="preserve"> </w:t>
      </w:r>
    </w:p>
    <w:p w:rsidR="006F50A6" w:rsidRPr="00D737C7" w:rsidP="006F50A6" w14:paraId="068EFFFF" w14:textId="308EAF15">
      <w:pPr>
        <w:pStyle w:val="paragraph"/>
        <w:spacing w:before="0" w:beforeAutospacing="0" w:after="0" w:afterAutospacing="0"/>
        <w:jc w:val="center"/>
        <w:textAlignment w:val="baseline"/>
        <w:rPr>
          <w:rFonts w:ascii="Segoe UI" w:hAnsi="Segoe UI" w:cs="Segoe UI"/>
          <w:sz w:val="22"/>
          <w:szCs w:val="22"/>
        </w:rPr>
      </w:pPr>
      <w:r w:rsidRPr="00D737C7">
        <w:rPr>
          <w:rStyle w:val="normaltextrun"/>
          <w:b/>
          <w:bCs/>
          <w:sz w:val="22"/>
          <w:szCs w:val="22"/>
        </w:rPr>
        <w:t>COMMISSIONER GEOFFREY STARKS</w:t>
      </w:r>
      <w:r w:rsidRPr="00D737C7">
        <w:rPr>
          <w:rStyle w:val="eop"/>
          <w:sz w:val="22"/>
          <w:szCs w:val="22"/>
        </w:rPr>
        <w:t> </w:t>
      </w:r>
    </w:p>
    <w:p w:rsidR="006F50A6" w:rsidRPr="00D737C7" w:rsidP="006F50A6" w14:paraId="36FFA055" w14:textId="77777777">
      <w:pPr>
        <w:pStyle w:val="paragraph"/>
        <w:spacing w:before="0" w:beforeAutospacing="0" w:after="0" w:afterAutospacing="0"/>
        <w:jc w:val="center"/>
        <w:textAlignment w:val="baseline"/>
        <w:rPr>
          <w:rFonts w:ascii="Segoe UI" w:hAnsi="Segoe UI" w:cs="Segoe UI"/>
          <w:sz w:val="22"/>
          <w:szCs w:val="22"/>
        </w:rPr>
      </w:pPr>
      <w:r w:rsidRPr="00D737C7">
        <w:rPr>
          <w:rStyle w:val="eop"/>
          <w:sz w:val="22"/>
          <w:szCs w:val="22"/>
        </w:rPr>
        <w:t> </w:t>
      </w:r>
    </w:p>
    <w:p w:rsidR="006F50A6" w:rsidRPr="00D737C7" w:rsidP="00D737C7" w14:paraId="07B6B20A" w14:textId="2E7E9AAE">
      <w:pPr>
        <w:pStyle w:val="paragraph"/>
        <w:spacing w:before="0" w:beforeAutospacing="0"/>
        <w:ind w:left="720" w:hanging="720"/>
        <w:textAlignment w:val="baseline"/>
        <w:rPr>
          <w:rFonts w:ascii="Segoe UI" w:hAnsi="Segoe UI" w:cs="Segoe UI"/>
          <w:sz w:val="22"/>
          <w:szCs w:val="22"/>
        </w:rPr>
      </w:pPr>
      <w:r w:rsidRPr="00D737C7">
        <w:rPr>
          <w:rStyle w:val="normaltextrun"/>
          <w:color w:val="000000"/>
          <w:sz w:val="22"/>
          <w:szCs w:val="22"/>
        </w:rPr>
        <w:t>Re:</w:t>
      </w:r>
      <w:r w:rsidRPr="00D737C7">
        <w:rPr>
          <w:rStyle w:val="tabchar"/>
          <w:rFonts w:ascii="Calibri" w:hAnsi="Calibri" w:cs="Calibri"/>
          <w:color w:val="000000"/>
          <w:sz w:val="22"/>
          <w:szCs w:val="22"/>
        </w:rPr>
        <w:t xml:space="preserve"> </w:t>
      </w:r>
      <w:r w:rsidRPr="00D737C7">
        <w:rPr>
          <w:rStyle w:val="tabchar"/>
          <w:rFonts w:ascii="Calibri" w:hAnsi="Calibri" w:cs="Calibri"/>
          <w:color w:val="000000"/>
          <w:sz w:val="22"/>
          <w:szCs w:val="22"/>
        </w:rPr>
        <w:tab/>
      </w:r>
      <w:r w:rsidR="0032196F">
        <w:rPr>
          <w:rStyle w:val="normaltextrun"/>
          <w:i/>
          <w:iCs/>
          <w:color w:val="000000"/>
          <w:sz w:val="22"/>
          <w:szCs w:val="22"/>
        </w:rPr>
        <w:t xml:space="preserve">The Commission Begins </w:t>
      </w:r>
      <w:r w:rsidRPr="00D737C7">
        <w:rPr>
          <w:rStyle w:val="normaltextrun"/>
          <w:i/>
          <w:iCs/>
          <w:color w:val="000000"/>
          <w:sz w:val="22"/>
          <w:szCs w:val="22"/>
        </w:rPr>
        <w:t>the</w:t>
      </w:r>
      <w:r w:rsidR="0032196F">
        <w:rPr>
          <w:rStyle w:val="normaltextrun"/>
          <w:i/>
          <w:iCs/>
          <w:color w:val="000000"/>
          <w:sz w:val="22"/>
          <w:szCs w:val="22"/>
        </w:rPr>
        <w:t xml:space="preserve"> Process for Authorizing</w:t>
      </w:r>
      <w:r w:rsidRPr="00D737C7">
        <w:rPr>
          <w:rStyle w:val="normaltextrun"/>
          <w:i/>
          <w:iCs/>
          <w:color w:val="000000"/>
          <w:sz w:val="22"/>
          <w:szCs w:val="22"/>
        </w:rPr>
        <w:t xml:space="preserve"> 6 GHz Band</w:t>
      </w:r>
      <w:r w:rsidR="0032196F">
        <w:rPr>
          <w:rStyle w:val="normaltextrun"/>
          <w:i/>
          <w:iCs/>
          <w:color w:val="000000"/>
          <w:sz w:val="22"/>
          <w:szCs w:val="22"/>
        </w:rPr>
        <w:t xml:space="preserve"> Automated Frequency Coordination Systems</w:t>
      </w:r>
      <w:r w:rsidRPr="00D737C7">
        <w:rPr>
          <w:rStyle w:val="normaltextrun"/>
          <w:i/>
          <w:iCs/>
          <w:color w:val="000000"/>
          <w:sz w:val="22"/>
          <w:szCs w:val="22"/>
        </w:rPr>
        <w:t xml:space="preserve">; </w:t>
      </w:r>
      <w:r w:rsidRPr="00D737C7">
        <w:rPr>
          <w:rStyle w:val="normaltextrun"/>
          <w:color w:val="000000"/>
          <w:sz w:val="22"/>
          <w:szCs w:val="22"/>
        </w:rPr>
        <w:t xml:space="preserve">ET Docket No. </w:t>
      </w:r>
      <w:r w:rsidR="0032196F">
        <w:rPr>
          <w:rStyle w:val="normaltextrun"/>
          <w:color w:val="000000"/>
          <w:sz w:val="22"/>
          <w:szCs w:val="22"/>
        </w:rPr>
        <w:t>21-352</w:t>
      </w:r>
      <w:r w:rsidR="00DB5305">
        <w:rPr>
          <w:rStyle w:val="normaltextrun"/>
          <w:color w:val="000000"/>
          <w:sz w:val="22"/>
          <w:szCs w:val="22"/>
        </w:rPr>
        <w:t>.</w:t>
      </w:r>
    </w:p>
    <w:p w:rsidR="006F50A6" w:rsidRPr="00D737C7" w:rsidP="006F50A6" w14:paraId="06D8DAA4" w14:textId="77777777">
      <w:pPr>
        <w:pStyle w:val="paragraph"/>
        <w:spacing w:before="0" w:beforeAutospacing="0" w:after="0" w:afterAutospacing="0"/>
        <w:textAlignment w:val="baseline"/>
        <w:rPr>
          <w:sz w:val="22"/>
          <w:szCs w:val="22"/>
        </w:rPr>
      </w:pPr>
      <w:r w:rsidRPr="00D737C7">
        <w:rPr>
          <w:sz w:val="22"/>
          <w:szCs w:val="22"/>
        </w:rPr>
        <w:tab/>
        <w:t xml:space="preserve">Last year, after an exhaustive legal and technical analysis, the Commission unanimously took the unprecedented step of making 1200 megahertz in the 6 GHz band available for unlicensed use.  Our decision has already sparked a wave of low-power products utilizing the band indoors, offering increased Wi-Fi speeds that benefit consumers and businesses that rely on unlicensed spectrum for their homes and operations.  These developments are particularly important for our economic growth and to address the digital divide that continues for so many Americans.  </w:t>
      </w:r>
    </w:p>
    <w:p w:rsidR="006F50A6" w:rsidRPr="00D737C7" w:rsidP="006F50A6" w14:paraId="4848711C" w14:textId="77777777">
      <w:pPr>
        <w:pStyle w:val="paragraph"/>
        <w:spacing w:before="0" w:beforeAutospacing="0" w:after="0" w:afterAutospacing="0"/>
        <w:textAlignment w:val="baseline"/>
        <w:rPr>
          <w:sz w:val="22"/>
          <w:szCs w:val="22"/>
        </w:rPr>
      </w:pPr>
    </w:p>
    <w:p w:rsidR="006F50A6" w:rsidRPr="00D737C7" w:rsidP="006F50A6" w14:paraId="1E282D78" w14:textId="7FA57E86">
      <w:pPr>
        <w:pStyle w:val="paragraph"/>
        <w:spacing w:before="0" w:beforeAutospacing="0" w:after="0" w:afterAutospacing="0"/>
        <w:textAlignment w:val="baseline"/>
        <w:rPr>
          <w:sz w:val="22"/>
          <w:szCs w:val="22"/>
        </w:rPr>
      </w:pPr>
      <w:r w:rsidRPr="00D737C7">
        <w:rPr>
          <w:sz w:val="22"/>
          <w:szCs w:val="22"/>
        </w:rPr>
        <w:tab/>
        <w:t>This item is another step towards fully unleashing the potential of the 6 GHz band, by beginning the process of authorizing Automated Frequency Co</w:t>
      </w:r>
      <w:r w:rsidR="007F4221">
        <w:rPr>
          <w:sz w:val="22"/>
          <w:szCs w:val="22"/>
        </w:rPr>
        <w:t>ordination</w:t>
      </w:r>
      <w:r w:rsidRPr="00D737C7">
        <w:rPr>
          <w:sz w:val="22"/>
          <w:szCs w:val="22"/>
        </w:rPr>
        <w:t xml:space="preserve"> (AFC) system operators to offer their services to parties seeking to operate in certain portions of the 6 GHz band outdoors at standard power levels.  Through such AFC systems, standard power unlicensed devices will be able to coexist in the 6 GHz band with incumbent fixed microwave links and radio astronomy observatories.  I look forward to reviewing the applications and continuing our progress in making unlicensed spectrum available on a non-interference basis.</w:t>
      </w:r>
    </w:p>
    <w:p w:rsidR="006F50A6" w:rsidRPr="00D737C7" w:rsidP="006F50A6" w14:paraId="06651676" w14:textId="77777777">
      <w:pPr>
        <w:pStyle w:val="paragraph"/>
        <w:spacing w:before="0" w:beforeAutospacing="0" w:after="0" w:afterAutospacing="0"/>
        <w:textAlignment w:val="baseline"/>
        <w:rPr>
          <w:sz w:val="22"/>
          <w:szCs w:val="22"/>
        </w:rPr>
      </w:pPr>
    </w:p>
    <w:p w:rsidR="006F50A6" w:rsidRPr="00D737C7" w:rsidP="006F50A6" w14:paraId="6F1B5361" w14:textId="77777777">
      <w:pPr>
        <w:pStyle w:val="paragraph"/>
        <w:spacing w:before="0" w:beforeAutospacing="0" w:after="0" w:afterAutospacing="0"/>
        <w:textAlignment w:val="baseline"/>
        <w:rPr>
          <w:rFonts w:ascii="Segoe UI" w:hAnsi="Segoe UI" w:cs="Segoe UI"/>
          <w:sz w:val="22"/>
          <w:szCs w:val="22"/>
        </w:rPr>
      </w:pPr>
      <w:r w:rsidRPr="00D737C7">
        <w:rPr>
          <w:sz w:val="22"/>
          <w:szCs w:val="22"/>
        </w:rPr>
        <w:tab/>
        <w:t>Thank you to the staff of the Office of Engineering and Technology for their hard work on this item.</w:t>
      </w:r>
    </w:p>
    <w:p w:rsidR="006F50A6" w:rsidRPr="006074F4" w:rsidP="006074F4" w14:paraId="6A70847F" w14:textId="77777777">
      <w:pPr>
        <w:spacing w:after="120"/>
        <w:jc w:val="center"/>
        <w:rPr>
          <w:b/>
          <w:snapToGrid/>
          <w:kern w:val="0"/>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D" w14:paraId="02CDE7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113CD" w14:paraId="303E33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D" w14:paraId="5D1566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D" w14:paraId="1B7FF5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75BD" w14:paraId="2BD62859" w14:textId="77777777">
      <w:r>
        <w:separator/>
      </w:r>
    </w:p>
  </w:footnote>
  <w:footnote w:type="continuationSeparator" w:id="1">
    <w:p w:rsidR="005F75BD" w14:paraId="354782F3" w14:textId="77777777">
      <w:pPr>
        <w:rPr>
          <w:sz w:val="20"/>
        </w:rPr>
      </w:pPr>
      <w:r>
        <w:rPr>
          <w:sz w:val="20"/>
        </w:rPr>
        <w:t xml:space="preserve">(Continued from previous page)  </w:t>
      </w:r>
      <w:r>
        <w:rPr>
          <w:sz w:val="20"/>
        </w:rPr>
        <w:separator/>
      </w:r>
    </w:p>
  </w:footnote>
  <w:footnote w:type="continuationNotice" w:id="2">
    <w:p w:rsidR="005F75BD" w14:paraId="6A8A126E" w14:textId="77777777">
      <w:pPr>
        <w:jc w:val="right"/>
        <w:rPr>
          <w:sz w:val="20"/>
        </w:rPr>
      </w:pPr>
      <w:r>
        <w:rPr>
          <w:sz w:val="20"/>
        </w:rPr>
        <w:t>(continued….)</w:t>
      </w:r>
    </w:p>
  </w:footnote>
  <w:footnote w:id="3">
    <w:p w:rsidR="00091295" w:rsidP="00091295" w14:paraId="6CEB81AF" w14:textId="77777777">
      <w:pPr>
        <w:pStyle w:val="FootnoteText"/>
      </w:pPr>
      <w:r>
        <w:rPr>
          <w:rStyle w:val="FootnoteReference"/>
        </w:rPr>
        <w:footnoteRef/>
      </w:r>
      <w:r>
        <w:t xml:space="preserve"> </w:t>
      </w:r>
      <w:r w:rsidRPr="00D0545A">
        <w:rPr>
          <w:i/>
          <w:spacing w:val="-2"/>
        </w:rPr>
        <w:t>Unlicensed Use of the 6 GHz Band</w:t>
      </w:r>
      <w:r w:rsidRPr="00D0545A">
        <w:rPr>
          <w:spacing w:val="-2"/>
        </w:rPr>
        <w:t xml:space="preserve">, </w:t>
      </w:r>
      <w:r>
        <w:rPr>
          <w:spacing w:val="-2"/>
        </w:rPr>
        <w:t xml:space="preserve">ET Docket No. 18-295, </w:t>
      </w:r>
      <w:r w:rsidRPr="00D0545A">
        <w:rPr>
          <w:spacing w:val="-2"/>
        </w:rPr>
        <w:t xml:space="preserve">Report and Order and Further Notice of Proposed Rulemaking, 35 FCC </w:t>
      </w:r>
      <w:r w:rsidRPr="00D0545A">
        <w:rPr>
          <w:spacing w:val="-2"/>
        </w:rPr>
        <w:t>Rcd</w:t>
      </w:r>
      <w:r w:rsidRPr="00D0545A">
        <w:rPr>
          <w:spacing w:val="-2"/>
        </w:rPr>
        <w:t xml:space="preserve"> 3852 (2020) (</w:t>
      </w:r>
      <w:r w:rsidRPr="00D0545A">
        <w:rPr>
          <w:i/>
          <w:iCs/>
          <w:spacing w:val="-2"/>
        </w:rPr>
        <w:t>6 GHz Report and Order</w:t>
      </w:r>
      <w:r w:rsidRPr="00D0545A">
        <w:rPr>
          <w:spacing w:val="-2"/>
        </w:rPr>
        <w:t>).</w:t>
      </w:r>
    </w:p>
  </w:footnote>
  <w:footnote w:id="4">
    <w:p w:rsidR="00091295" w:rsidRPr="004603AC" w:rsidP="00091295" w14:paraId="21DB0BB0" w14:textId="424DAA01">
      <w:pPr>
        <w:pStyle w:val="FootnoteText"/>
      </w:pPr>
      <w:r w:rsidRPr="00D0545A">
        <w:rPr>
          <w:rStyle w:val="FootnoteReference"/>
        </w:rPr>
        <w:footnoteRef/>
      </w:r>
      <w:r w:rsidRPr="00D0545A">
        <w:t xml:space="preserve"> </w:t>
      </w:r>
      <w:r>
        <w:rPr>
          <w:i/>
          <w:iCs/>
        </w:rPr>
        <w:t>6 GHz Report and Order</w:t>
      </w:r>
      <w:r>
        <w:t xml:space="preserve">, 35 FCC </w:t>
      </w:r>
      <w:r>
        <w:t>Rcd</w:t>
      </w:r>
      <w:r w:rsidRPr="00D0545A">
        <w:t xml:space="preserve"> at 3860, paras. 17-18.</w:t>
      </w:r>
    </w:p>
  </w:footnote>
  <w:footnote w:id="5">
    <w:p w:rsidR="00091295" w:rsidP="00091295" w14:paraId="6B5C352D" w14:textId="77777777">
      <w:pPr>
        <w:pStyle w:val="FootnoteText"/>
      </w:pPr>
      <w:r>
        <w:rPr>
          <w:rStyle w:val="FootnoteReference"/>
        </w:rPr>
        <w:footnoteRef/>
      </w:r>
      <w:r>
        <w:t xml:space="preserve"> </w:t>
      </w:r>
      <w:r w:rsidRPr="003A02BF">
        <w:rPr>
          <w:i/>
          <w:iCs/>
        </w:rPr>
        <w:t>Id</w:t>
      </w:r>
      <w:r>
        <w:t xml:space="preserve">. at 3862, 3923, paras. 22, 192; 47 CFR § 15.407(k)(1).  Only standard-power and fixed-client 6 GHz unlicensed devices are required to operate pursuant to an AFC system.  47 CFR § 15.407(k)(1).  Standard-power devices may operate outdoors and/or above the low-power indoor device power limits.  Fixed client devices are </w:t>
      </w:r>
      <w:r w:rsidRPr="004603AC">
        <w:t>intended as customer premise equipment that is permanently attached to a structure, operates only on channels provided by an AFC</w:t>
      </w:r>
      <w:r>
        <w:t xml:space="preserve"> system</w:t>
      </w:r>
      <w:r w:rsidRPr="004603AC">
        <w:t>, has a geolocation capability, and complies with antenna pointing angle requirements.</w:t>
      </w:r>
      <w:r>
        <w:t xml:space="preserve">  47 CFR § 15.403.</w:t>
      </w:r>
    </w:p>
  </w:footnote>
  <w:footnote w:id="6">
    <w:p w:rsidR="00091295" w:rsidP="00091295" w14:paraId="4B71022C" w14:textId="387FB76A">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w:t>
      </w:r>
      <w:r w:rsidRPr="0053458D">
        <w:t>3866-67</w:t>
      </w:r>
      <w:r>
        <w:t>, 3868, 3870, paras. 37, 40, 46; 47 CFR § 15.407(k)(8)(iv), (k)(9)(</w:t>
      </w:r>
      <w:r>
        <w:t>i</w:t>
      </w:r>
      <w:r>
        <w:t>).</w:t>
      </w:r>
    </w:p>
  </w:footnote>
  <w:footnote w:id="7">
    <w:p w:rsidR="00091295" w:rsidP="00091295" w14:paraId="496D3185"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3884-85, paras. 87-88; 47 CFR § 15.407(m).</w:t>
      </w:r>
    </w:p>
  </w:footnote>
  <w:footnote w:id="8">
    <w:p w:rsidR="00091295" w:rsidP="00091295" w14:paraId="7D11857E"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3864-65, para. 30.</w:t>
      </w:r>
    </w:p>
  </w:footnote>
  <w:footnote w:id="9">
    <w:p w:rsidR="00091295" w:rsidP="00091295" w14:paraId="243B2C3C"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3866-67, 3875-76, paras. 37, 65-66; 47 CFR § 15.407(k)(3), (7)(iii), (l).</w:t>
      </w:r>
    </w:p>
  </w:footnote>
  <w:footnote w:id="10">
    <w:p w:rsidR="00091295" w:rsidP="00091295" w14:paraId="0D1CBE36"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3878, para. 71; 47 CFR § 15.407(l)(2).</w:t>
      </w:r>
    </w:p>
  </w:footnote>
  <w:footnote w:id="11">
    <w:p w:rsidR="00091295" w:rsidP="00091295" w14:paraId="22B9CAE0"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3866-67, para. 37; 47 CFR § 15.407(k)(2).</w:t>
      </w:r>
    </w:p>
  </w:footnote>
  <w:footnote w:id="12">
    <w:p w:rsidR="00091295" w:rsidP="00091295" w14:paraId="4CA8C220"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3875, para. 64; 47 CFR § 15.407(l)(1)(</w:t>
      </w:r>
      <w:r>
        <w:t>i</w:t>
      </w:r>
      <w:r>
        <w:t>).</w:t>
      </w:r>
    </w:p>
  </w:footnote>
  <w:footnote w:id="13">
    <w:p w:rsidR="00091295" w:rsidP="00091295" w14:paraId="012C1BCC"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3875-76, para. 65; 47 CFR § 15.407(l)(1)(ii).</w:t>
      </w:r>
    </w:p>
  </w:footnote>
  <w:footnote w:id="14">
    <w:p w:rsidR="00091295" w:rsidRPr="000F6B31" w:rsidP="00091295" w14:paraId="1433103E" w14:textId="77777777">
      <w:pPr>
        <w:pStyle w:val="FootnoteText"/>
      </w:pPr>
      <w:r w:rsidRPr="00132FB9">
        <w:rPr>
          <w:rStyle w:val="FootnoteReference"/>
        </w:rPr>
        <w:footnoteRef/>
      </w:r>
      <w:r w:rsidRPr="00132FB9">
        <w:t xml:space="preserve"> Patrick </w:t>
      </w:r>
      <w:r w:rsidRPr="00132FB9">
        <w:t>Marsch</w:t>
      </w:r>
      <w:r w:rsidRPr="00132FB9">
        <w:t xml:space="preserve"> et al., “</w:t>
      </w:r>
      <w:r w:rsidRPr="00CE2F6C">
        <w:t>5G System Design: Architectural and Functional Considerations and Long-Term Research</w:t>
      </w:r>
      <w:r w:rsidRPr="000F6B31">
        <w:t>”, 2018, at 57.</w:t>
      </w:r>
    </w:p>
  </w:footnote>
  <w:footnote w:id="15">
    <w:p w:rsidR="00091295" w:rsidRPr="000F6B31" w:rsidP="00091295" w14:paraId="0602D7AC" w14:textId="77777777">
      <w:pPr>
        <w:pStyle w:val="FootnoteText"/>
      </w:pPr>
      <w:r w:rsidRPr="00132FB9">
        <w:rPr>
          <w:rStyle w:val="FootnoteReference"/>
        </w:rPr>
        <w:footnoteRef/>
      </w:r>
      <w:r w:rsidRPr="00132FB9">
        <w:t xml:space="preserve"> Martin </w:t>
      </w:r>
      <w:r w:rsidRPr="00132FB9">
        <w:t>Döttling</w:t>
      </w:r>
      <w:r w:rsidRPr="00132FB9">
        <w:t> et al., “Radio Technologies and Concepts</w:t>
      </w:r>
      <w:r w:rsidRPr="00CE2F6C">
        <w:t xml:space="preserve"> for IMT-Advanced</w:t>
      </w:r>
      <w:r>
        <w:t>,</w:t>
      </w:r>
      <w:r w:rsidRPr="00CE2F6C">
        <w:t>” 201</w:t>
      </w:r>
      <w:r w:rsidRPr="000F6B31">
        <w:t>0, at 75.</w:t>
      </w:r>
    </w:p>
  </w:footnote>
  <w:footnote w:id="16">
    <w:p w:rsidR="00091295" w:rsidRPr="00132FB9" w:rsidP="00091295" w14:paraId="3618827E" w14:textId="77777777">
      <w:pPr>
        <w:pStyle w:val="FootnoteText"/>
      </w:pPr>
      <w:r w:rsidRPr="00132FB9">
        <w:rPr>
          <w:rStyle w:val="FootnoteReference"/>
        </w:rPr>
        <w:footnoteRef/>
      </w:r>
      <w:r w:rsidRPr="00132FB9">
        <w:t xml:space="preserve"> </w:t>
      </w:r>
      <w:r w:rsidRPr="00DC349C">
        <w:rPr>
          <w:i/>
        </w:rPr>
        <w:t xml:space="preserve">See, </w:t>
      </w:r>
      <w:r w:rsidRPr="00224388">
        <w:rPr>
          <w:i/>
        </w:rPr>
        <w:t>e</w:t>
      </w:r>
      <w:r>
        <w:rPr>
          <w:i/>
          <w:iCs/>
        </w:rPr>
        <w:t>.g.,</w:t>
      </w:r>
      <w:r w:rsidRPr="00132FB9">
        <w:t xml:space="preserve"> OS</w:t>
      </w:r>
      <w:r w:rsidRPr="00CE2F6C">
        <w:t xml:space="preserve">M building data. </w:t>
      </w:r>
      <w:hyperlink r:id="rId1" w:history="1">
        <w:r w:rsidRPr="00CE2F6C">
          <w:rPr>
            <w:rStyle w:val="Hyperlink"/>
          </w:rPr>
          <w:t>https://osmbuildings.org/data/</w:t>
        </w:r>
      </w:hyperlink>
      <w:r>
        <w:rPr>
          <w:rStyle w:val="Hyperlink"/>
        </w:rPr>
        <w:t>.</w:t>
      </w:r>
    </w:p>
  </w:footnote>
  <w:footnote w:id="17">
    <w:p w:rsidR="00091295" w:rsidRPr="000F6B31" w:rsidP="00091295" w14:paraId="6552E2EA" w14:textId="16AC2930">
      <w:pPr>
        <w:pStyle w:val="FootnoteText"/>
      </w:pPr>
      <w:r w:rsidRPr="00132FB9">
        <w:rPr>
          <w:rStyle w:val="FootnoteReference"/>
        </w:rPr>
        <w:footnoteRef/>
      </w:r>
      <w:r w:rsidRPr="00132FB9">
        <w:t xml:space="preserve"> When site-specific information regarding line-of-sight/non-line-of-sight is not available then path losses of line-of-sight(LOS) and non-line-of-sight(NLOS) pa</w:t>
      </w:r>
      <w:r w:rsidRPr="00CE2F6C">
        <w:t xml:space="preserve">ths can be combined into a single loss using the following formula:  </w:t>
      </w:r>
      <w:r>
        <w:rPr>
          <w:szCs w:val="22"/>
        </w:rPr>
        <w:t xml:space="preserve">Path-loss (L) = </w:t>
      </w:r>
      <w:r>
        <w:rPr>
          <w:rFonts w:ascii="Symbol" w:eastAsia="Symbol" w:hAnsi="Symbol" w:cs="Symbol"/>
          <w:szCs w:val="22"/>
        </w:rPr>
        <w:t>S</w:t>
      </w:r>
      <w:r>
        <w:rPr>
          <w:szCs w:val="22"/>
          <w:vertAlign w:val="subscript"/>
        </w:rPr>
        <w:t>i</w:t>
      </w:r>
      <w:r>
        <w:rPr>
          <w:szCs w:val="22"/>
        </w:rPr>
        <w:t xml:space="preserve"> P(</w:t>
      </w:r>
      <w:r>
        <w:rPr>
          <w:szCs w:val="22"/>
        </w:rPr>
        <w:t>i</w:t>
      </w:r>
      <w:r>
        <w:rPr>
          <w:szCs w:val="22"/>
        </w:rPr>
        <w:t>) * L</w:t>
      </w:r>
      <w:r w:rsidRPr="005D72FA">
        <w:rPr>
          <w:szCs w:val="22"/>
          <w:vertAlign w:val="subscript"/>
        </w:rPr>
        <w:t>i</w:t>
      </w:r>
      <w:r>
        <w:rPr>
          <w:szCs w:val="22"/>
        </w:rPr>
        <w:t xml:space="preserve"> = P</w:t>
      </w:r>
      <w:r w:rsidRPr="005D72FA">
        <w:rPr>
          <w:szCs w:val="22"/>
          <w:vertAlign w:val="subscript"/>
        </w:rPr>
        <w:t>LOS</w:t>
      </w:r>
      <w:r>
        <w:rPr>
          <w:szCs w:val="22"/>
        </w:rPr>
        <w:t xml:space="preserve"> * L</w:t>
      </w:r>
      <w:r w:rsidRPr="005D72FA">
        <w:rPr>
          <w:szCs w:val="22"/>
          <w:vertAlign w:val="subscript"/>
        </w:rPr>
        <w:t>LOS</w:t>
      </w:r>
      <w:r>
        <w:rPr>
          <w:szCs w:val="22"/>
        </w:rPr>
        <w:t xml:space="preserve"> + P</w:t>
      </w:r>
      <w:r w:rsidRPr="005D72FA">
        <w:rPr>
          <w:szCs w:val="22"/>
          <w:vertAlign w:val="subscript"/>
        </w:rPr>
        <w:t>NLOS</w:t>
      </w:r>
      <w:r>
        <w:rPr>
          <w:szCs w:val="22"/>
        </w:rPr>
        <w:t xml:space="preserve"> * </w:t>
      </w:r>
      <w:r w:rsidRPr="00D273A3">
        <w:rPr>
          <w:szCs w:val="22"/>
        </w:rPr>
        <w:t>L</w:t>
      </w:r>
      <w:r w:rsidRPr="00D273A3">
        <w:rPr>
          <w:szCs w:val="22"/>
          <w:vertAlign w:val="subscript"/>
        </w:rPr>
        <w:t>NLOS</w:t>
      </w:r>
      <w:r>
        <w:rPr>
          <w:szCs w:val="22"/>
        </w:rPr>
        <w:t>, where P</w:t>
      </w:r>
      <w:r w:rsidRPr="005D72FA">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5D72FA">
        <w:rPr>
          <w:vertAlign w:val="subscript"/>
        </w:rPr>
        <w:t>LOS</w:t>
      </w:r>
      <w:r w:rsidRPr="00132FB9">
        <w:t xml:space="preserve"> </w:t>
      </w:r>
      <w:r>
        <w:t>is the line-of-sight</w:t>
      </w:r>
      <w:r w:rsidRPr="00132FB9">
        <w:t xml:space="preserve"> path loss,</w:t>
      </w:r>
      <w:r>
        <w:t xml:space="preserve"> P</w:t>
      </w:r>
      <w:r w:rsidRPr="005D72FA">
        <w:rPr>
          <w:vertAlign w:val="subscript"/>
        </w:rPr>
        <w:t>NLOS</w:t>
      </w:r>
      <w:r w:rsidRPr="00132FB9">
        <w:t xml:space="preserve"> is </w:t>
      </w:r>
      <w:r>
        <w:t xml:space="preserve">the </w:t>
      </w:r>
      <w:r w:rsidRPr="00132FB9">
        <w:t xml:space="preserve">probability of </w:t>
      </w:r>
      <w:r>
        <w:t>non-line-of sight, L</w:t>
      </w:r>
      <w:r w:rsidRPr="005D72FA">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The </w:t>
      </w:r>
      <w:r>
        <w:rPr>
          <w:snapToGrid w:val="0"/>
        </w:rPr>
        <w:t>WINNER II path loss models include a formula to determine</w:t>
      </w:r>
      <w:r>
        <w:t xml:space="preserve"> P</w:t>
      </w:r>
      <w:r w:rsidRPr="005D72FA">
        <w:rPr>
          <w:vertAlign w:val="subscript"/>
        </w:rPr>
        <w:t>LOS</w:t>
      </w:r>
      <w:r>
        <w:rPr>
          <w:snapToGrid w:val="0"/>
        </w:rPr>
        <w:t xml:space="preserve"> as a function of antenna heights and distance.  </w:t>
      </w:r>
      <w:r>
        <w:t>P</w:t>
      </w:r>
      <w:r w:rsidRPr="005D72FA">
        <w:rPr>
          <w:vertAlign w:val="subscript"/>
        </w:rPr>
        <w:t>NLOS</w:t>
      </w:r>
      <w:r>
        <w:t xml:space="preserve"> is equal to (1-P</w:t>
      </w:r>
      <w:r w:rsidRPr="005D72FA">
        <w:rPr>
          <w:vertAlign w:val="subscript"/>
        </w:rPr>
        <w:t>LOS</w:t>
      </w:r>
      <w:r>
        <w:t>).</w:t>
      </w:r>
    </w:p>
  </w:footnote>
  <w:footnote w:id="18">
    <w:p w:rsidR="00091295" w:rsidP="00091295" w14:paraId="37D829F0"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3876-77, para. 66; </w:t>
      </w:r>
      <w:bookmarkStart w:id="1" w:name="_Hlk81388666"/>
      <w:r>
        <w:t>47 CFR § 15.407(l)(1)(iii)</w:t>
      </w:r>
      <w:bookmarkEnd w:id="1"/>
      <w:r>
        <w:t>.</w:t>
      </w:r>
    </w:p>
  </w:footnote>
  <w:footnote w:id="19">
    <w:p w:rsidR="00091295" w:rsidRPr="00CE2F6C" w:rsidP="00091295" w14:paraId="7ACDAA7C" w14:textId="65B4DB72">
      <w:pPr>
        <w:pStyle w:val="FootnoteText"/>
      </w:pPr>
      <w:r w:rsidRPr="00132FB9">
        <w:rPr>
          <w:rStyle w:val="FootnoteReference"/>
        </w:rPr>
        <w:footnoteRef/>
      </w:r>
      <w:r w:rsidRPr="00132FB9">
        <w:t xml:space="preserve"> </w:t>
      </w:r>
      <w:r>
        <w:rPr>
          <w:i/>
          <w:iCs/>
        </w:rPr>
        <w:t xml:space="preserve">See </w:t>
      </w:r>
      <w:r w:rsidRPr="00CE2F6C">
        <w:rPr>
          <w:i/>
        </w:rPr>
        <w:t>Expanding the Economic and Innovation Opportunities of Spectrum Through Incentive Auctions</w:t>
      </w:r>
      <w:r w:rsidRPr="000F6B31">
        <w:t xml:space="preserve">, </w:t>
      </w:r>
      <w:r>
        <w:t xml:space="preserve">GN Docket No. 12-268, </w:t>
      </w:r>
      <w:r w:rsidRPr="000F6B31">
        <w:t xml:space="preserve">Third Report and Order and First Order on Reconsideration, 30 FCC </w:t>
      </w:r>
      <w:r w:rsidRPr="000F6B31">
        <w:t>Rcd</w:t>
      </w:r>
      <w:r w:rsidRPr="000F6B31">
        <w:t xml:space="preserve"> 12049, 12103, Appendix C n.1 (2015);  </w:t>
      </w:r>
      <w:r w:rsidRPr="000F6B31">
        <w:rPr>
          <w:i/>
        </w:rPr>
        <w:t>Longley-Rice Methodology for Evaluating TV Coverage and Interference</w:t>
      </w:r>
      <w:r w:rsidRPr="000F6B31">
        <w:t>, OET Bulletin No. 69 (Feb. 4, 2004)</w:t>
      </w:r>
      <w:r>
        <w:t>,</w:t>
      </w:r>
      <w:r w:rsidRPr="000F6B31">
        <w:t xml:space="preserve"> </w:t>
      </w:r>
      <w:hyperlink r:id="rId2" w:history="1">
        <w:r w:rsidRPr="00CE2F6C">
          <w:rPr>
            <w:snapToGrid w:val="0"/>
            <w:color w:val="0000FF"/>
            <w:kern w:val="28"/>
            <w:u w:val="single"/>
          </w:rPr>
          <w:t>https://transition.fcc.go</w:t>
        </w:r>
        <w:r w:rsidRPr="000F6B31">
          <w:rPr>
            <w:snapToGrid w:val="0"/>
            <w:color w:val="0000FF"/>
            <w:kern w:val="28"/>
            <w:u w:val="single"/>
          </w:rPr>
          <w:t>v/bureaus/oet/info/documents/bulletins/oet69/oet69.pdf</w:t>
        </w:r>
      </w:hyperlink>
      <w:r>
        <w:t xml:space="preserve">; </w:t>
      </w:r>
      <w:r w:rsidRPr="00CE2F6C">
        <w:rPr>
          <w:i/>
        </w:rPr>
        <w:t>Requirements for Commercial Operation in the U.S. 3550-3700 MHz Citizens Broadband Radio Service Band</w:t>
      </w:r>
      <w:r w:rsidRPr="000F6B31">
        <w:t>, Wireless Innovation Forum, Document WINNF-TS-0112, at 11 (June 25, 2019)</w:t>
      </w:r>
      <w:r>
        <w:t>,</w:t>
      </w:r>
      <w:r w:rsidRPr="000F6B31">
        <w:t xml:space="preserve"> </w:t>
      </w:r>
      <w:hyperlink r:id="rId3" w:history="1">
        <w:r w:rsidRPr="00CE2F6C">
          <w:rPr>
            <w:snapToGrid w:val="0"/>
            <w:color w:val="0000FF"/>
            <w:kern w:val="28"/>
            <w:u w:val="single"/>
          </w:rPr>
          <w:t>https://winnf.memberclicks.net/assets/CBRS/WINNF-TS-0112.pdf</w:t>
        </w:r>
      </w:hyperlink>
      <w:r>
        <w:rPr>
          <w:snapToGrid w:val="0"/>
          <w:color w:val="0000FF"/>
          <w:kern w:val="28"/>
          <w:u w:val="single"/>
        </w:rPr>
        <w:t xml:space="preserve"> </w:t>
      </w:r>
      <w:r w:rsidRPr="00DC349C">
        <w:rPr>
          <w:snapToGrid w:val="0"/>
          <w:color w:val="0000FF"/>
          <w:kern w:val="28"/>
        </w:rPr>
        <w:t>.</w:t>
      </w:r>
    </w:p>
  </w:footnote>
  <w:footnote w:id="20">
    <w:p w:rsidR="00091295" w:rsidRPr="00CE2F6C" w:rsidP="00091295" w14:paraId="3F125022" w14:textId="77777777">
      <w:pPr>
        <w:pStyle w:val="FootnoteText"/>
      </w:pPr>
      <w:r w:rsidRPr="00132FB9">
        <w:rPr>
          <w:rStyle w:val="FootnoteReference"/>
        </w:rPr>
        <w:footnoteRef/>
      </w:r>
      <w:r w:rsidRPr="00132FB9">
        <w:t xml:space="preserve"> “</w:t>
      </w:r>
      <w:r w:rsidRPr="00CE2F6C">
        <w:t>The 1 arc-second NED layer provi</w:t>
      </w:r>
      <w:r w:rsidRPr="000F6B31">
        <w:t xml:space="preserve">des seamless coverage of the conterminous United States, Hawaii, Mexico, Canada, Puerto Rico, other territorial islands, and in limited areas of Alaska.” </w:t>
      </w:r>
      <w:hyperlink r:id="rId4" w:history="1">
        <w:r w:rsidRPr="00CE2F6C">
          <w:rPr>
            <w:rStyle w:val="Hyperlink"/>
          </w:rPr>
          <w:t>https://www.sciencebase</w:t>
        </w:r>
        <w:r w:rsidRPr="000F6B31">
          <w:rPr>
            <w:rStyle w:val="Hyperlink"/>
          </w:rPr>
          <w:t>.gov/catalog/item/5825a0c3e4b01fad86db66dc</w:t>
        </w:r>
      </w:hyperlink>
      <w:r>
        <w:t>.</w:t>
      </w:r>
    </w:p>
  </w:footnote>
  <w:footnote w:id="21">
    <w:p w:rsidR="00091295" w:rsidRPr="00132FB9" w:rsidP="00091295" w14:paraId="3C98F035" w14:textId="77777777">
      <w:pPr>
        <w:pStyle w:val="FootnoteText"/>
      </w:pPr>
      <w:r w:rsidRPr="00132FB9">
        <w:rPr>
          <w:rStyle w:val="FootnoteReference"/>
        </w:rPr>
        <w:footnoteRef/>
      </w:r>
      <w:r w:rsidRPr="00132FB9">
        <w:t xml:space="preserve"> </w:t>
      </w:r>
      <w:r w:rsidRPr="00CE2F6C">
        <w:t>Alaska 2 Arc-second Digital Elevation Models</w:t>
      </w:r>
      <w:r w:rsidRPr="000F6B31">
        <w:t xml:space="preserve">. </w:t>
      </w:r>
      <w:hyperlink r:id="rId5" w:history="1">
        <w:r w:rsidRPr="00CE2F6C">
          <w:rPr>
            <w:rStyle w:val="Hyperlink"/>
          </w:rPr>
          <w:t>https://catalog.data</w:t>
        </w:r>
        <w:r w:rsidRPr="000F6B31">
          <w:rPr>
            <w:rStyle w:val="Hyperlink"/>
          </w:rPr>
          <w:t>.gov/dataset/national-elevation-dataset-ned-alaska-2-arc-second-downloadable-data-collection-national-geosp</w:t>
        </w:r>
      </w:hyperlink>
      <w:r w:rsidRPr="00722211">
        <w:rPr>
          <w:rStyle w:val="Hyperlink"/>
        </w:rPr>
        <w:t>.</w:t>
      </w:r>
      <w:r>
        <w:rPr>
          <w:snapToGrid w:val="0"/>
        </w:rPr>
        <w:t xml:space="preserve">  Digital Elevation Model (DEM) terrain files are available for areas in the United States at </w:t>
      </w:r>
      <w:hyperlink r:id="rId6" w:history="1">
        <w:r w:rsidRPr="0086281E">
          <w:rPr>
            <w:rStyle w:val="Hyperlink"/>
            <w:snapToGrid w:val="0"/>
          </w:rPr>
          <w:t>https://viewer.nationalmap.gov/basic/</w:t>
        </w:r>
      </w:hyperlink>
      <w:r>
        <w:rPr>
          <w:snapToGrid w:val="0"/>
        </w:rPr>
        <w:t>.</w:t>
      </w:r>
    </w:p>
  </w:footnote>
  <w:footnote w:id="22">
    <w:p w:rsidR="00091295" w:rsidP="00091295" w14:paraId="52440283" w14:textId="6653896A">
      <w:pPr>
        <w:pStyle w:val="FootnoteText"/>
      </w:pPr>
      <w:r>
        <w:rPr>
          <w:rStyle w:val="FootnoteReference"/>
        </w:rPr>
        <w:footnoteRef/>
      </w:r>
      <w:r>
        <w:t xml:space="preserve"> </w:t>
      </w:r>
      <w:r>
        <w:rPr>
          <w:snapToGrid w:val="0"/>
        </w:rPr>
        <w:t xml:space="preserve">ITU Recommendation P.2108 § 3.2 provides a statistical model for clutter loss distributions for urban and suburban environments.  </w:t>
      </w:r>
      <w:r w:rsidRPr="00DC349C">
        <w:rPr>
          <w:i/>
          <w:iCs/>
          <w:snapToGrid w:val="0"/>
        </w:rPr>
        <w:t>Prediction of Clutter Loss</w:t>
      </w:r>
      <w:r>
        <w:rPr>
          <w:snapToGrid w:val="0"/>
        </w:rPr>
        <w:t xml:space="preserve">, Recommendation ITU-R P.2108-0, </w:t>
      </w:r>
      <w:hyperlink r:id="rId7" w:history="1">
        <w:r w:rsidRPr="00034910">
          <w:rPr>
            <w:rStyle w:val="Hyperlink"/>
            <w:snapToGrid w:val="0"/>
          </w:rPr>
          <w:t>https://www.itu.int/rec/R-REC-P.2108/en</w:t>
        </w:r>
      </w:hyperlink>
      <w:r>
        <w:rPr>
          <w:snapToGrid w:val="0"/>
        </w:rPr>
        <w:t>.</w:t>
      </w:r>
    </w:p>
  </w:footnote>
  <w:footnote w:id="23">
    <w:p w:rsidR="00091295" w:rsidP="00091295" w14:paraId="16212C97" w14:textId="77777777">
      <w:pPr>
        <w:pStyle w:val="FootnoteText"/>
      </w:pPr>
      <w:r>
        <w:rPr>
          <w:rStyle w:val="FootnoteReference"/>
        </w:rPr>
        <w:footnoteRef/>
      </w:r>
      <w:r>
        <w:t xml:space="preserve"> </w:t>
      </w:r>
      <w:r w:rsidRPr="00DC349C">
        <w:rPr>
          <w:i/>
          <w:iCs/>
        </w:rPr>
        <w:t>Prediction procedure for the evaluation  of interference between stations on the surface of the Earth at frequencies above about 0.1 GHz</w:t>
      </w:r>
      <w:r>
        <w:t xml:space="preserve">, Recommendation ITU-R P.452-16,  </w:t>
      </w:r>
      <w:hyperlink r:id="rId8" w:history="1">
        <w:r w:rsidRPr="00034910">
          <w:rPr>
            <w:rStyle w:val="Hyperlink"/>
          </w:rPr>
          <w:t>https://www.itu.int/dms_pubrec/itu-r/rec/p/R-REC-P.452-16-201507-I!!PDF-E.pdf</w:t>
        </w:r>
      </w:hyperlink>
      <w:r>
        <w:t xml:space="preserve">.  The AFC system should use the most appropriate clutter category for the local morphology when using </w:t>
      </w:r>
      <w:r w:rsidRPr="00C16716">
        <w:rPr>
          <w:szCs w:val="22"/>
        </w:rPr>
        <w:t>ITU-R P.452</w:t>
      </w:r>
      <w:r>
        <w:rPr>
          <w:szCs w:val="22"/>
        </w:rPr>
        <w:t xml:space="preserve">-16.  However, if detailed local information is not available, the “Village Centre” clutter category should be used. </w:t>
      </w:r>
      <w:r w:rsidRPr="00C16716">
        <w:rPr>
          <w:szCs w:val="22"/>
        </w:rPr>
        <w:t xml:space="preserve"> </w:t>
      </w:r>
      <w:r>
        <w:t>47 CFR § 15.407(l)(1)(iii).</w:t>
      </w:r>
    </w:p>
  </w:footnote>
  <w:footnote w:id="24">
    <w:p w:rsidR="00091295" w:rsidP="00091295" w14:paraId="11B85DE5" w14:textId="77777777">
      <w:pPr>
        <w:pStyle w:val="FootnoteText"/>
      </w:pPr>
      <w:r>
        <w:rPr>
          <w:rStyle w:val="FootnoteReference"/>
        </w:rPr>
        <w:footnoteRef/>
      </w:r>
      <w:r>
        <w:t xml:space="preserve"> 47 CFR §§ 0.241(k), 15.407(k)(11); </w:t>
      </w:r>
      <w:r w:rsidRPr="00D0545A">
        <w:rPr>
          <w:i/>
          <w:iCs/>
          <w:spacing w:val="-2"/>
        </w:rPr>
        <w:t>6 GHz Report and Order</w:t>
      </w:r>
      <w:r>
        <w:t xml:space="preserve">, 35 FCC </w:t>
      </w:r>
      <w:r>
        <w:t>Rcd</w:t>
      </w:r>
      <w:r>
        <w:t xml:space="preserve"> at 3871, para. 51.</w:t>
      </w:r>
    </w:p>
  </w:footnote>
  <w:footnote w:id="25">
    <w:p w:rsidR="00091295" w:rsidP="00091295" w14:paraId="68F6E724"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3872, para. 54; 47 CFR § 15.407(k)(15)(iv).</w:t>
      </w:r>
    </w:p>
  </w:footnote>
  <w:footnote w:id="26">
    <w:p w:rsidR="00091295" w:rsidP="00091295" w14:paraId="630E3ED2"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3872, para. 54.</w:t>
      </w:r>
    </w:p>
  </w:footnote>
  <w:footnote w:id="27">
    <w:p w:rsidR="00091295" w:rsidP="00091295" w14:paraId="348CE9F6" w14:textId="2DCBA204">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3873, para. 56; 47 CFR § 15.407(k)(16).</w:t>
      </w:r>
    </w:p>
  </w:footnote>
  <w:footnote w:id="28">
    <w:p w:rsidR="00091295" w:rsidP="00091295" w14:paraId="1CF85CE2"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3870-71, para. 49.</w:t>
      </w:r>
    </w:p>
  </w:footnote>
  <w:footnote w:id="29">
    <w:p w:rsidR="00091295" w:rsidP="00091295" w14:paraId="7F100DC2"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3871, para. 49.</w:t>
      </w:r>
    </w:p>
  </w:footnote>
  <w:footnote w:id="30">
    <w:p w:rsidR="00091295" w:rsidP="00091295" w14:paraId="25ECCC81" w14:textId="77777777">
      <w:pPr>
        <w:pStyle w:val="FootnoteText"/>
      </w:pPr>
      <w:r>
        <w:rPr>
          <w:rStyle w:val="FootnoteReference"/>
        </w:rPr>
        <w:footnoteRef/>
      </w:r>
      <w:r>
        <w:t xml:space="preserve"> </w:t>
      </w:r>
      <w:r w:rsidRPr="0005162E">
        <w:rPr>
          <w:i/>
          <w:iCs/>
        </w:rPr>
        <w:t>Id</w:t>
      </w:r>
      <w:r>
        <w:t>.</w:t>
      </w:r>
    </w:p>
  </w:footnote>
  <w:footnote w:id="31">
    <w:p w:rsidR="00091295" w:rsidP="00091295" w14:paraId="086E429D" w14:textId="78134C9D">
      <w:pPr>
        <w:pStyle w:val="FootnoteText"/>
      </w:pPr>
      <w:r>
        <w:rPr>
          <w:rStyle w:val="FootnoteReference"/>
        </w:rPr>
        <w:footnoteRef/>
      </w:r>
      <w:r>
        <w:t xml:space="preserve"> </w:t>
      </w:r>
      <w:r w:rsidRPr="0005162E">
        <w:rPr>
          <w:i/>
          <w:iCs/>
        </w:rPr>
        <w:t>Id</w:t>
      </w:r>
      <w:r>
        <w:t>.  OET will provide additional details on the testing process at a later date.</w:t>
      </w:r>
    </w:p>
  </w:footnote>
  <w:footnote w:id="32">
    <w:p w:rsidR="00091295" w:rsidP="00091295" w14:paraId="08FE3B09"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3870-71, para. 49.</w:t>
      </w:r>
    </w:p>
  </w:footnote>
  <w:footnote w:id="33">
    <w:p w:rsidR="00091295" w:rsidP="00091295" w14:paraId="1C2B6C03" w14:textId="77777777">
      <w:pPr>
        <w:pStyle w:val="FootnoteText"/>
      </w:pPr>
      <w:r>
        <w:rPr>
          <w:rStyle w:val="FootnoteReference"/>
        </w:rPr>
        <w:footnoteRef/>
      </w:r>
      <w:r>
        <w:t xml:space="preserve"> </w:t>
      </w:r>
      <w:r w:rsidRPr="00D0545A">
        <w:rPr>
          <w:i/>
          <w:iCs/>
          <w:spacing w:val="-2"/>
        </w:rPr>
        <w:t>6 GHz Report and Order</w:t>
      </w:r>
      <w:r>
        <w:t xml:space="preserve">, 35 FCC </w:t>
      </w:r>
      <w:r>
        <w:t>Rcd</w:t>
      </w:r>
      <w:r>
        <w:t xml:space="preserve"> at 3883, para. 83 (requiring AFC operators to implement procedures to respond to requests for information from Commission personnel);</w:t>
      </w:r>
      <w:r w:rsidRPr="00CF3D93">
        <w:t xml:space="preserve"> </w:t>
      </w:r>
      <w:r>
        <w:t>47 CFR § 15.407(k)(15)(vi).</w:t>
      </w:r>
    </w:p>
  </w:footnote>
  <w:footnote w:id="34">
    <w:p w:rsidR="00091295" w:rsidP="00091295" w14:paraId="48DB7B37" w14:textId="176F2916">
      <w:pPr>
        <w:pStyle w:val="FootnoteText"/>
      </w:pPr>
      <w:r>
        <w:rPr>
          <w:rStyle w:val="FootnoteReference"/>
        </w:rPr>
        <w:footnoteRef/>
      </w:r>
      <w:r>
        <w:t xml:space="preserve"> T</w:t>
      </w:r>
      <w:r w:rsidRPr="00F85968">
        <w:t xml:space="preserve">he Open </w:t>
      </w:r>
      <w:r>
        <w:t xml:space="preserve">AFC Software Group has been established under the leadership of Broadcom, Cisco, and Facebook to develop an open source implementation of an AFC system.  </w:t>
      </w:r>
      <w:r>
        <w:rPr>
          <w:i/>
          <w:iCs/>
        </w:rPr>
        <w:t>Open AFC</w:t>
      </w:r>
      <w:r>
        <w:t xml:space="preserve">, </w:t>
      </w:r>
      <w:hyperlink r:id="rId9" w:history="1">
        <w:r w:rsidRPr="007B68DE">
          <w:rPr>
            <w:rStyle w:val="Hyperlink"/>
          </w:rPr>
          <w:t>https://telecominfraproject.com/open-afc/</w:t>
        </w:r>
      </w:hyperlink>
      <w:r>
        <w:t xml:space="preserve"> (last visited Sept. 8, 2021).</w:t>
      </w:r>
    </w:p>
  </w:footnote>
  <w:footnote w:id="35">
    <w:p w:rsidR="00091295" w:rsidP="00091295" w14:paraId="2712DBCD" w14:textId="77777777">
      <w:pPr>
        <w:pStyle w:val="FootnoteText"/>
      </w:pPr>
      <w:r>
        <w:rPr>
          <w:rStyle w:val="FootnoteReference"/>
        </w:rPr>
        <w:footnoteRef/>
      </w:r>
      <w:r>
        <w:t xml:space="preserve"> 47 CFR § 15.407(k)(13).</w:t>
      </w:r>
    </w:p>
  </w:footnote>
  <w:footnote w:id="36">
    <w:p w:rsidR="00091295" w:rsidP="00091295" w14:paraId="198713C1" w14:textId="77777777">
      <w:pPr>
        <w:pStyle w:val="FootnoteText"/>
      </w:pPr>
      <w:r>
        <w:rPr>
          <w:rStyle w:val="FootnoteReference"/>
        </w:rPr>
        <w:footnoteRef/>
      </w:r>
      <w:r>
        <w:t xml:space="preserve"> 47 CFR § 15.407(k); </w:t>
      </w:r>
      <w:r w:rsidRPr="00D0545A">
        <w:rPr>
          <w:i/>
          <w:iCs/>
          <w:spacing w:val="-2"/>
        </w:rPr>
        <w:t>6 GHz Report and Order</w:t>
      </w:r>
      <w:r>
        <w:t xml:space="preserve">, 35 FCC </w:t>
      </w:r>
      <w:r>
        <w:t>Rcd</w:t>
      </w:r>
      <w:r>
        <w:t xml:space="preserve"> at 3883, para. 83.</w:t>
      </w:r>
    </w:p>
  </w:footnote>
  <w:footnote w:id="37">
    <w:p w:rsidR="00091295" w:rsidRPr="009C1B38" w:rsidP="00091295" w14:paraId="6E0D8324" w14:textId="77777777">
      <w:pPr>
        <w:pStyle w:val="FootnoteText"/>
      </w:pPr>
      <w:r>
        <w:rPr>
          <w:rStyle w:val="FootnoteReference"/>
        </w:rPr>
        <w:footnoteRef/>
      </w:r>
      <w:r>
        <w:t xml:space="preserve"> 47 CFR § 0.459.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D" w14:paraId="0D69D8F5" w14:textId="48E98986">
    <w:pPr>
      <w:tabs>
        <w:tab w:val="center" w:pos="4680"/>
        <w:tab w:val="right" w:pos="9360"/>
      </w:tabs>
    </w:pPr>
    <w:r>
      <w:rPr>
        <w:b/>
      </w:rPr>
      <w:tab/>
      <w:t>Federal Communications Commission</w:t>
    </w:r>
    <w:r>
      <w:rPr>
        <w:b/>
      </w:rPr>
      <w:tab/>
    </w:r>
    <w:r w:rsidR="006D775F">
      <w:rPr>
        <w:b/>
      </w:rPr>
      <w:t>FCC 21-100</w:t>
    </w:r>
  </w:p>
  <w:p w:rsidR="008113CD" w:rsidRPr="00091295" w:rsidP="00091295" w14:paraId="25EB7FA9" w14:textId="65573C8B">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3CD" w14:paraId="28382A8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4903074"/>
    <w:multiLevelType w:val="hybridMultilevel"/>
    <w:tmpl w:val="0D745F76"/>
    <w:lvl w:ilvl="0">
      <w:start w:val="1"/>
      <w:numFmt w:val="decimal"/>
      <w:lvlText w:val="%1."/>
      <w:lvlJc w:val="left"/>
      <w:pPr>
        <w:tabs>
          <w:tab w:val="num" w:pos="1080"/>
        </w:tabs>
        <w:ind w:left="724" w:hanging="360"/>
      </w:pPr>
      <w:rPr>
        <w:rFonts w:hint="default"/>
      </w:rPr>
    </w:lvl>
    <w:lvl w:ilvl="1">
      <w:start w:val="1"/>
      <w:numFmt w:val="lowerLetter"/>
      <w:lvlText w:val="%2."/>
      <w:lvlJc w:val="left"/>
      <w:pPr>
        <w:tabs>
          <w:tab w:val="num" w:pos="2164"/>
        </w:tabs>
        <w:ind w:left="2164" w:hanging="360"/>
      </w:pPr>
    </w:lvl>
    <w:lvl w:ilvl="2" w:tentative="1">
      <w:start w:val="1"/>
      <w:numFmt w:val="lowerRoman"/>
      <w:lvlText w:val="%3."/>
      <w:lvlJc w:val="right"/>
      <w:pPr>
        <w:tabs>
          <w:tab w:val="num" w:pos="2884"/>
        </w:tabs>
        <w:ind w:left="2884" w:hanging="180"/>
      </w:pPr>
    </w:lvl>
    <w:lvl w:ilvl="3" w:tentative="1">
      <w:start w:val="1"/>
      <w:numFmt w:val="decimal"/>
      <w:lvlText w:val="%4."/>
      <w:lvlJc w:val="left"/>
      <w:pPr>
        <w:tabs>
          <w:tab w:val="num" w:pos="3604"/>
        </w:tabs>
        <w:ind w:left="3604" w:hanging="360"/>
      </w:pPr>
    </w:lvl>
    <w:lvl w:ilvl="4" w:tentative="1">
      <w:start w:val="1"/>
      <w:numFmt w:val="lowerLetter"/>
      <w:lvlText w:val="%5."/>
      <w:lvlJc w:val="left"/>
      <w:pPr>
        <w:tabs>
          <w:tab w:val="num" w:pos="4324"/>
        </w:tabs>
        <w:ind w:left="4324" w:hanging="360"/>
      </w:pPr>
    </w:lvl>
    <w:lvl w:ilvl="5" w:tentative="1">
      <w:start w:val="1"/>
      <w:numFmt w:val="lowerRoman"/>
      <w:lvlText w:val="%6."/>
      <w:lvlJc w:val="right"/>
      <w:pPr>
        <w:tabs>
          <w:tab w:val="num" w:pos="5044"/>
        </w:tabs>
        <w:ind w:left="5044" w:hanging="180"/>
      </w:pPr>
    </w:lvl>
    <w:lvl w:ilvl="6" w:tentative="1">
      <w:start w:val="1"/>
      <w:numFmt w:val="decimal"/>
      <w:lvlText w:val="%7."/>
      <w:lvlJc w:val="left"/>
      <w:pPr>
        <w:tabs>
          <w:tab w:val="num" w:pos="5764"/>
        </w:tabs>
        <w:ind w:left="5764" w:hanging="360"/>
      </w:pPr>
    </w:lvl>
    <w:lvl w:ilvl="7" w:tentative="1">
      <w:start w:val="1"/>
      <w:numFmt w:val="lowerLetter"/>
      <w:lvlText w:val="%8."/>
      <w:lvlJc w:val="left"/>
      <w:pPr>
        <w:tabs>
          <w:tab w:val="num" w:pos="6484"/>
        </w:tabs>
        <w:ind w:left="6484" w:hanging="360"/>
      </w:pPr>
    </w:lvl>
    <w:lvl w:ilvl="8" w:tentative="1">
      <w:start w:val="1"/>
      <w:numFmt w:val="lowerRoman"/>
      <w:lvlText w:val="%9."/>
      <w:lvlJc w:val="right"/>
      <w:pPr>
        <w:tabs>
          <w:tab w:val="num" w:pos="7204"/>
        </w:tabs>
        <w:ind w:left="7204"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9"/>
  </w:num>
  <w:num w:numId="8">
    <w:abstractNumId w:val="1"/>
  </w:num>
  <w:num w:numId="9">
    <w:abstractNumId w:val="5"/>
  </w:num>
  <w:num w:numId="10">
    <w:abstractNumId w:val="7"/>
  </w:num>
  <w:num w:numId="11">
    <w:abstractNumId w:val="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5"/>
    <w:rsid w:val="00034910"/>
    <w:rsid w:val="0005162E"/>
    <w:rsid w:val="00091295"/>
    <w:rsid w:val="00094BA9"/>
    <w:rsid w:val="000E06DC"/>
    <w:rsid w:val="000F6B31"/>
    <w:rsid w:val="00101F77"/>
    <w:rsid w:val="00132FB9"/>
    <w:rsid w:val="00137DBC"/>
    <w:rsid w:val="001B0EA1"/>
    <w:rsid w:val="002109ED"/>
    <w:rsid w:val="00224388"/>
    <w:rsid w:val="00284504"/>
    <w:rsid w:val="00287D66"/>
    <w:rsid w:val="002A744F"/>
    <w:rsid w:val="0030767F"/>
    <w:rsid w:val="0032196F"/>
    <w:rsid w:val="00353B13"/>
    <w:rsid w:val="003A02BF"/>
    <w:rsid w:val="003F68CA"/>
    <w:rsid w:val="00403C29"/>
    <w:rsid w:val="004272E9"/>
    <w:rsid w:val="004513BE"/>
    <w:rsid w:val="004603AC"/>
    <w:rsid w:val="00485057"/>
    <w:rsid w:val="004A2D91"/>
    <w:rsid w:val="004E1E67"/>
    <w:rsid w:val="005145E6"/>
    <w:rsid w:val="0053458D"/>
    <w:rsid w:val="005872A8"/>
    <w:rsid w:val="005A7CED"/>
    <w:rsid w:val="005D72FA"/>
    <w:rsid w:val="005F75BD"/>
    <w:rsid w:val="00604EEA"/>
    <w:rsid w:val="006074F4"/>
    <w:rsid w:val="006C4763"/>
    <w:rsid w:val="006D775F"/>
    <w:rsid w:val="006F50A6"/>
    <w:rsid w:val="00722211"/>
    <w:rsid w:val="00732B61"/>
    <w:rsid w:val="00794C7B"/>
    <w:rsid w:val="007A05B8"/>
    <w:rsid w:val="007A6945"/>
    <w:rsid w:val="007B68DE"/>
    <w:rsid w:val="007F4221"/>
    <w:rsid w:val="008113CD"/>
    <w:rsid w:val="00812AAB"/>
    <w:rsid w:val="00837B0B"/>
    <w:rsid w:val="0086281E"/>
    <w:rsid w:val="008E0EFC"/>
    <w:rsid w:val="00984463"/>
    <w:rsid w:val="009B70BF"/>
    <w:rsid w:val="009C0B9A"/>
    <w:rsid w:val="009C1B38"/>
    <w:rsid w:val="009D23A7"/>
    <w:rsid w:val="009E7B04"/>
    <w:rsid w:val="00A0338A"/>
    <w:rsid w:val="00B05D01"/>
    <w:rsid w:val="00BA45F3"/>
    <w:rsid w:val="00BD4AE5"/>
    <w:rsid w:val="00BE469B"/>
    <w:rsid w:val="00C16716"/>
    <w:rsid w:val="00C729A4"/>
    <w:rsid w:val="00CB0520"/>
    <w:rsid w:val="00CE2F6C"/>
    <w:rsid w:val="00CF3D93"/>
    <w:rsid w:val="00D0545A"/>
    <w:rsid w:val="00D273A3"/>
    <w:rsid w:val="00D719B1"/>
    <w:rsid w:val="00D737C7"/>
    <w:rsid w:val="00DB5305"/>
    <w:rsid w:val="00DC349C"/>
    <w:rsid w:val="00E81785"/>
    <w:rsid w:val="00E858EB"/>
    <w:rsid w:val="00EC58E0"/>
    <w:rsid w:val="00EE09BA"/>
    <w:rsid w:val="00F85968"/>
    <w:rsid w:val="00FC13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C45113"/>
  <w15:chartTrackingRefBased/>
  <w15:docId w15:val="{0B78B6D7-2DB4-46D7-B2D6-08E5AF27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C4763"/>
    <w:pPr>
      <w:widowControl w:val="0"/>
    </w:pPr>
    <w:rPr>
      <w:snapToGrid w:val="0"/>
      <w:kern w:val="28"/>
      <w:sz w:val="22"/>
    </w:rPr>
  </w:style>
  <w:style w:type="paragraph" w:styleId="Heading1">
    <w:name w:val="heading 1"/>
    <w:basedOn w:val="Normal"/>
    <w:next w:val="ParaNum"/>
    <w:qFormat/>
    <w:rsid w:val="006C47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4763"/>
    <w:pPr>
      <w:keepNext/>
      <w:numPr>
        <w:ilvl w:val="1"/>
        <w:numId w:val="3"/>
      </w:numPr>
      <w:spacing w:after="120"/>
      <w:outlineLvl w:val="1"/>
    </w:pPr>
    <w:rPr>
      <w:b/>
    </w:rPr>
  </w:style>
  <w:style w:type="paragraph" w:styleId="Heading3">
    <w:name w:val="heading 3"/>
    <w:basedOn w:val="Normal"/>
    <w:next w:val="ParaNum"/>
    <w:qFormat/>
    <w:rsid w:val="006C4763"/>
    <w:pPr>
      <w:keepNext/>
      <w:numPr>
        <w:ilvl w:val="2"/>
        <w:numId w:val="3"/>
      </w:numPr>
      <w:tabs>
        <w:tab w:val="left" w:pos="2160"/>
      </w:tabs>
      <w:spacing w:after="120"/>
      <w:outlineLvl w:val="2"/>
    </w:pPr>
    <w:rPr>
      <w:b/>
    </w:rPr>
  </w:style>
  <w:style w:type="paragraph" w:styleId="Heading4">
    <w:name w:val="heading 4"/>
    <w:basedOn w:val="Normal"/>
    <w:next w:val="ParaNum"/>
    <w:qFormat/>
    <w:rsid w:val="006C4763"/>
    <w:pPr>
      <w:keepNext/>
      <w:numPr>
        <w:ilvl w:val="3"/>
        <w:numId w:val="3"/>
      </w:numPr>
      <w:tabs>
        <w:tab w:val="left" w:pos="2880"/>
      </w:tabs>
      <w:spacing w:after="120"/>
      <w:outlineLvl w:val="3"/>
    </w:pPr>
    <w:rPr>
      <w:b/>
    </w:rPr>
  </w:style>
  <w:style w:type="paragraph" w:styleId="Heading5">
    <w:name w:val="heading 5"/>
    <w:basedOn w:val="Normal"/>
    <w:next w:val="ParaNum"/>
    <w:qFormat/>
    <w:rsid w:val="006C47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4763"/>
    <w:pPr>
      <w:numPr>
        <w:ilvl w:val="5"/>
        <w:numId w:val="3"/>
      </w:numPr>
      <w:tabs>
        <w:tab w:val="left" w:pos="4320"/>
      </w:tabs>
      <w:spacing w:after="120"/>
      <w:outlineLvl w:val="5"/>
    </w:pPr>
    <w:rPr>
      <w:b/>
    </w:rPr>
  </w:style>
  <w:style w:type="paragraph" w:styleId="Heading7">
    <w:name w:val="heading 7"/>
    <w:basedOn w:val="Normal"/>
    <w:next w:val="ParaNum"/>
    <w:qFormat/>
    <w:rsid w:val="006C47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47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47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C47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C4763"/>
  </w:style>
  <w:style w:type="paragraph" w:customStyle="1" w:styleId="ParaNum">
    <w:name w:val="ParaNum"/>
    <w:basedOn w:val="Normal"/>
    <w:link w:val="ParaNumChar1"/>
    <w:rsid w:val="006C4763"/>
    <w:pPr>
      <w:numPr>
        <w:numId w:val="2"/>
      </w:numPr>
      <w:tabs>
        <w:tab w:val="clear" w:pos="1080"/>
        <w:tab w:val="num" w:pos="1440"/>
      </w:tabs>
      <w:spacing w:after="120"/>
    </w:pPr>
  </w:style>
  <w:style w:type="paragraph" w:styleId="EndnoteText">
    <w:name w:val="endnote text"/>
    <w:basedOn w:val="Normal"/>
    <w:semiHidden/>
    <w:rsid w:val="006C4763"/>
    <w:rPr>
      <w:sz w:val="20"/>
    </w:rPr>
  </w:style>
  <w:style w:type="character" w:styleId="EndnoteReference">
    <w:name w:val="endnote reference"/>
    <w:semiHidden/>
    <w:rsid w:val="006C4763"/>
    <w:rPr>
      <w:vertAlign w:val="superscript"/>
    </w:rPr>
  </w:style>
  <w:style w:type="paragraph" w:styleId="FootnoteText">
    <w:name w:val="footnote text"/>
    <w:link w:val="FootnoteTextChar"/>
    <w:rsid w:val="006C4763"/>
    <w:pPr>
      <w:spacing w:after="120"/>
    </w:pPr>
  </w:style>
  <w:style w:type="character" w:styleId="FootnoteReference">
    <w:name w:val="footnote reference"/>
    <w:semiHidden/>
    <w:rsid w:val="006C4763"/>
    <w:rPr>
      <w:rFonts w:ascii="Times New Roman" w:hAnsi="Times New Roman"/>
      <w:dstrike w:val="0"/>
      <w:color w:val="auto"/>
      <w:sz w:val="22"/>
      <w:vertAlign w:val="superscript"/>
    </w:rPr>
  </w:style>
  <w:style w:type="paragraph" w:styleId="TOC1">
    <w:name w:val="toc 1"/>
    <w:basedOn w:val="Normal"/>
    <w:next w:val="Normal"/>
    <w:uiPriority w:val="39"/>
    <w:rsid w:val="006C47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4763"/>
    <w:pPr>
      <w:tabs>
        <w:tab w:val="left" w:pos="720"/>
        <w:tab w:val="right" w:leader="dot" w:pos="9360"/>
      </w:tabs>
      <w:suppressAutoHyphens/>
      <w:ind w:left="720" w:right="720" w:hanging="360"/>
    </w:pPr>
    <w:rPr>
      <w:noProof/>
    </w:rPr>
  </w:style>
  <w:style w:type="paragraph" w:styleId="TOC3">
    <w:name w:val="toc 3"/>
    <w:basedOn w:val="Normal"/>
    <w:next w:val="Normal"/>
    <w:semiHidden/>
    <w:rsid w:val="006C47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47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47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47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47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47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47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4763"/>
    <w:pPr>
      <w:tabs>
        <w:tab w:val="right" w:pos="9360"/>
      </w:tabs>
      <w:suppressAutoHyphens/>
    </w:pPr>
  </w:style>
  <w:style w:type="character" w:customStyle="1" w:styleId="EquationCaption">
    <w:name w:val="_Equation Caption"/>
    <w:rsid w:val="006C4763"/>
  </w:style>
  <w:style w:type="paragraph" w:styleId="Header">
    <w:name w:val="header"/>
    <w:basedOn w:val="Normal"/>
    <w:autoRedefine/>
    <w:rsid w:val="006C4763"/>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C4763"/>
    <w:pPr>
      <w:tabs>
        <w:tab w:val="center" w:pos="4320"/>
        <w:tab w:val="right" w:pos="8640"/>
      </w:tabs>
    </w:pPr>
  </w:style>
  <w:style w:type="character" w:styleId="PageNumber">
    <w:name w:val="page number"/>
    <w:basedOn w:val="DefaultParagraphFont"/>
    <w:rsid w:val="006C4763"/>
  </w:style>
  <w:style w:type="paragraph" w:styleId="BlockText">
    <w:name w:val="Block Text"/>
    <w:basedOn w:val="Normal"/>
    <w:rsid w:val="006C4763"/>
    <w:pPr>
      <w:spacing w:after="240"/>
      <w:ind w:left="1440" w:right="1440"/>
    </w:pPr>
  </w:style>
  <w:style w:type="paragraph" w:customStyle="1" w:styleId="Paratitle">
    <w:name w:val="Para title"/>
    <w:basedOn w:val="Normal"/>
    <w:rsid w:val="006C4763"/>
    <w:pPr>
      <w:tabs>
        <w:tab w:val="center" w:pos="9270"/>
      </w:tabs>
      <w:spacing w:after="240"/>
    </w:pPr>
    <w:rPr>
      <w:spacing w:val="-2"/>
    </w:rPr>
  </w:style>
  <w:style w:type="paragraph" w:customStyle="1" w:styleId="Bullet">
    <w:name w:val="Bullet"/>
    <w:basedOn w:val="Normal"/>
    <w:rsid w:val="006C4763"/>
    <w:pPr>
      <w:numPr>
        <w:numId w:val="1"/>
      </w:numPr>
      <w:tabs>
        <w:tab w:val="clear" w:pos="360"/>
        <w:tab w:val="left" w:pos="2160"/>
      </w:tabs>
      <w:spacing w:after="220"/>
      <w:ind w:left="2160" w:hanging="720"/>
    </w:pPr>
  </w:style>
  <w:style w:type="paragraph" w:customStyle="1" w:styleId="TableFormat">
    <w:name w:val="TableFormat"/>
    <w:basedOn w:val="Bullet"/>
    <w:rsid w:val="006C4763"/>
    <w:pPr>
      <w:numPr>
        <w:numId w:val="0"/>
      </w:numPr>
      <w:tabs>
        <w:tab w:val="clear" w:pos="2160"/>
        <w:tab w:val="left" w:pos="5040"/>
      </w:tabs>
      <w:ind w:left="5040" w:hanging="3600"/>
    </w:pPr>
  </w:style>
  <w:style w:type="paragraph" w:customStyle="1" w:styleId="TOCTitle">
    <w:name w:val="TOC Title"/>
    <w:basedOn w:val="Normal"/>
    <w:rsid w:val="006C47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4763"/>
    <w:pPr>
      <w:jc w:val="center"/>
    </w:pPr>
    <w:rPr>
      <w:rFonts w:ascii="Times New Roman Bold" w:hAnsi="Times New Roman Bold"/>
      <w:b/>
      <w:bCs/>
      <w:caps/>
      <w:szCs w:val="22"/>
    </w:rPr>
  </w:style>
  <w:style w:type="character" w:styleId="Hyperlink">
    <w:name w:val="Hyperlink"/>
    <w:rsid w:val="006C4763"/>
    <w:rPr>
      <w:color w:val="0000FF"/>
      <w:u w:val="single"/>
    </w:rPr>
  </w:style>
  <w:style w:type="character" w:customStyle="1" w:styleId="FooterChar">
    <w:name w:val="Footer Char"/>
    <w:link w:val="Footer"/>
    <w:uiPriority w:val="99"/>
    <w:rsid w:val="006C4763"/>
    <w:rPr>
      <w:snapToGrid w:val="0"/>
      <w:kern w:val="28"/>
      <w:sz w:val="22"/>
    </w:rPr>
  </w:style>
  <w:style w:type="character" w:customStyle="1" w:styleId="UnresolvedMention">
    <w:name w:val="Unresolved Mention"/>
    <w:uiPriority w:val="99"/>
    <w:semiHidden/>
    <w:unhideWhenUsed/>
    <w:rsid w:val="006C4763"/>
    <w:rPr>
      <w:color w:val="605E5C"/>
      <w:shd w:val="clear" w:color="auto" w:fill="E1DFDD"/>
    </w:rPr>
  </w:style>
  <w:style w:type="character" w:customStyle="1" w:styleId="FootnoteTextChar">
    <w:name w:val="Footnote Text Char"/>
    <w:link w:val="FootnoteText"/>
    <w:rsid w:val="00091295"/>
  </w:style>
  <w:style w:type="character" w:customStyle="1" w:styleId="ParaNumChar1">
    <w:name w:val="ParaNum Char1"/>
    <w:link w:val="ParaNum"/>
    <w:rsid w:val="00091295"/>
    <w:rPr>
      <w:snapToGrid w:val="0"/>
      <w:kern w:val="28"/>
      <w:sz w:val="22"/>
    </w:rPr>
  </w:style>
  <w:style w:type="paragraph" w:customStyle="1" w:styleId="paragraph">
    <w:name w:val="paragraph"/>
    <w:basedOn w:val="Normal"/>
    <w:rsid w:val="006F50A6"/>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6F50A6"/>
  </w:style>
  <w:style w:type="character" w:customStyle="1" w:styleId="eop">
    <w:name w:val="eop"/>
    <w:basedOn w:val="DefaultParagraphFont"/>
    <w:rsid w:val="006F50A6"/>
  </w:style>
  <w:style w:type="character" w:customStyle="1" w:styleId="tabchar">
    <w:name w:val="tabchar"/>
    <w:basedOn w:val="DefaultParagraphFont"/>
    <w:rsid w:val="006F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Nicholas.Oro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osmbuildings.org/data/" TargetMode="External" /><Relationship Id="rId2" Type="http://schemas.openxmlformats.org/officeDocument/2006/relationships/hyperlink" Target="https://transition.fcc.gov/bureaus/oet/info/documents/bulletins/oet69/oet69.pdf" TargetMode="External" /><Relationship Id="rId3" Type="http://schemas.openxmlformats.org/officeDocument/2006/relationships/hyperlink" Target="https://winnf.memberclicks.net/assets/CBRS/WINNF-TS-0112.pdf" TargetMode="External" /><Relationship Id="rId4" Type="http://schemas.openxmlformats.org/officeDocument/2006/relationships/hyperlink" Target="https://www.sciencebase.gov/catalog/item/5825a0c3e4b01fad86db66dc" TargetMode="External" /><Relationship Id="rId5" Type="http://schemas.openxmlformats.org/officeDocument/2006/relationships/hyperlink" Target="https://catalog.data.gov/dataset/national-elevation-dataset-ned-alaska-2-arc-second-downloadable-data-collection-national-geosp" TargetMode="External" /><Relationship Id="rId6" Type="http://schemas.openxmlformats.org/officeDocument/2006/relationships/hyperlink" Target="https://viewer.nationalmap.gov/basic/" TargetMode="External" /><Relationship Id="rId7" Type="http://schemas.openxmlformats.org/officeDocument/2006/relationships/hyperlink" Target="https://www.itu.int/rec/R-REC-P.2108/en" TargetMode="External" /><Relationship Id="rId8" Type="http://schemas.openxmlformats.org/officeDocument/2006/relationships/hyperlink" Target="https://www.itu.int/dms_pubrec/itu-r/rec/p/R-REC-P.452-16-201507-I!!PDF-E.pdf" TargetMode="External" /><Relationship Id="rId9" Type="http://schemas.openxmlformats.org/officeDocument/2006/relationships/hyperlink" Target="https://telecominfraproject.com/open-af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