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81114" w:rsidP="00781114" w14:paraId="65416804" w14:textId="77777777">
      <w:pPr>
        <w:widowControl/>
        <w:jc w:val="center"/>
        <w:rPr>
          <w:rFonts w:ascii="TimesNewRomanPS" w:hAnsi="TimesNewRomanPS"/>
          <w:b/>
          <w:bCs/>
          <w:szCs w:val="22"/>
        </w:rPr>
      </w:pPr>
      <w:r>
        <w:rPr>
          <w:rFonts w:ascii="TimesNewRomanPS" w:hAnsi="TimesNewRomanPS"/>
          <w:b/>
          <w:bCs/>
          <w:szCs w:val="22"/>
        </w:rPr>
        <w:t>CONCURRING STATEMENT OF</w:t>
      </w:r>
    </w:p>
    <w:p w:rsidR="00781114" w:rsidP="00781114" w14:paraId="19404389" w14:textId="77777777">
      <w:pPr>
        <w:pStyle w:val="NormalWeb"/>
        <w:spacing w:before="0" w:beforeAutospacing="0" w:after="0" w:afterAutospacing="0"/>
        <w:contextualSpacing/>
        <w:jc w:val="center"/>
      </w:pPr>
      <w:r>
        <w:rPr>
          <w:rFonts w:ascii="TimesNewRomanPS" w:hAnsi="TimesNewRomanPS"/>
          <w:b/>
          <w:bCs/>
          <w:sz w:val="22"/>
          <w:szCs w:val="22"/>
        </w:rPr>
        <w:t>COMMISSIONER BRENDAN CARR</w:t>
      </w:r>
    </w:p>
    <w:p w:rsidR="00781114" w:rsidRPr="003F53E6" w:rsidP="00781114" w14:paraId="516BAFB1" w14:textId="77777777">
      <w:pPr>
        <w:pStyle w:val="NormalWeb"/>
        <w:ind w:left="720" w:hanging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Re: </w:t>
      </w:r>
      <w:r>
        <w:rPr>
          <w:rFonts w:ascii="TimesNewRomanPSMT" w:hAnsi="TimesNewRomanPSMT"/>
          <w:sz w:val="22"/>
          <w:szCs w:val="22"/>
        </w:rPr>
        <w:tab/>
      </w:r>
      <w:r w:rsidRPr="00263510">
        <w:rPr>
          <w:i/>
          <w:iCs/>
          <w:sz w:val="22"/>
          <w:szCs w:val="22"/>
        </w:rPr>
        <w:t xml:space="preserve">Application of Verizon Communications Inc. and </w:t>
      </w:r>
      <w:r w:rsidRPr="00263510">
        <w:rPr>
          <w:i/>
          <w:iCs/>
          <w:spacing w:val="-2"/>
          <w:sz w:val="22"/>
          <w:szCs w:val="22"/>
        </w:rPr>
        <w:t>Am</w:t>
      </w:r>
      <w:r w:rsidRPr="00263510">
        <w:rPr>
          <w:i/>
          <w:iCs/>
          <w:sz w:val="22"/>
          <w:szCs w:val="22"/>
        </w:rPr>
        <w:t>é</w:t>
      </w:r>
      <w:r w:rsidRPr="00263510">
        <w:rPr>
          <w:i/>
          <w:iCs/>
          <w:spacing w:val="-2"/>
          <w:sz w:val="22"/>
          <w:szCs w:val="22"/>
        </w:rPr>
        <w:t xml:space="preserve">rica </w:t>
      </w:r>
      <w:r w:rsidRPr="00263510">
        <w:rPr>
          <w:i/>
          <w:iCs/>
          <w:spacing w:val="-2"/>
          <w:sz w:val="22"/>
          <w:szCs w:val="22"/>
        </w:rPr>
        <w:t>M</w:t>
      </w:r>
      <w:r w:rsidRPr="00263510">
        <w:rPr>
          <w:i/>
          <w:iCs/>
          <w:sz w:val="22"/>
          <w:szCs w:val="22"/>
        </w:rPr>
        <w:t>ó</w:t>
      </w:r>
      <w:r w:rsidRPr="00263510">
        <w:rPr>
          <w:i/>
          <w:iCs/>
          <w:spacing w:val="-2"/>
          <w:sz w:val="22"/>
          <w:szCs w:val="22"/>
        </w:rPr>
        <w:t>vil</w:t>
      </w:r>
      <w:r w:rsidRPr="00263510">
        <w:rPr>
          <w:i/>
          <w:iCs/>
          <w:spacing w:val="-2"/>
          <w:sz w:val="22"/>
          <w:szCs w:val="22"/>
        </w:rPr>
        <w:t>, S.A.B. de C.V. for Consent to Transfer Control of International Section 214 Authorization</w:t>
      </w:r>
      <w:r w:rsidRPr="00263510">
        <w:rPr>
          <w:sz w:val="22"/>
          <w:szCs w:val="22"/>
        </w:rPr>
        <w:t>, Memorandum Opinion and Order, GN Docket No. 21-112</w:t>
      </w:r>
      <w:r>
        <w:rPr>
          <w:rFonts w:ascii="TimesNewRomanPSMT" w:hAnsi="TimesNewRomanPSMT"/>
          <w:sz w:val="22"/>
          <w:szCs w:val="22"/>
        </w:rPr>
        <w:t xml:space="preserve"> </w:t>
      </w:r>
    </w:p>
    <w:p w:rsidR="00781114" w:rsidRPr="00CB4AA3" w:rsidP="00781114" w14:paraId="2B3FF9BC" w14:textId="77777777">
      <w:pPr>
        <w:ind w:firstLine="720"/>
        <w:rPr>
          <w:rFonts w:ascii="Times" w:hAnsi="Times"/>
        </w:rPr>
      </w:pPr>
      <w:r w:rsidRPr="003F53E6">
        <w:rPr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t>Approving this transaction promotes the public interest, and therefore I support the decision.</w:t>
      </w:r>
      <w:r>
        <w:rPr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  </w:t>
      </w:r>
      <w:r w:rsidRPr="003F53E6">
        <w:rPr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t>So I want to commend Chairwoman Rosenworcel and her team for their work on this proceeding.</w:t>
      </w:r>
      <w:r>
        <w:rPr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  </w:t>
      </w:r>
      <w:r w:rsidRPr="003F53E6">
        <w:rPr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t>As I have noted previously, I have concerns with the standards and frameworks that the agency applies in transaction reviews.</w:t>
      </w:r>
      <w:r>
        <w:rPr>
          <w:rStyle w:val="FootnoteReference"/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footnoteReference w:id="2"/>
      </w:r>
      <w:r>
        <w:rPr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 </w:t>
      </w:r>
      <w:r w:rsidRPr="003F53E6">
        <w:rPr>
          <w:rFonts w:ascii="Times" w:hAnsi="Times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 Rather than relitigating those concerns here, I am voting to concur in the outcome of today’s decision.</w:t>
      </w:r>
    </w:p>
    <w:sectPr w:rsidSect="00DB7199">
      <w:headerReference w:type="default" r:id="rId5"/>
      <w:footnotePr>
        <w:numRestart w:val="eachSect"/>
      </w:footnotePr>
      <w:endnotePr>
        <w:numFmt w:val="decimal"/>
      </w:endnotePr>
      <w:pgSz w:w="12240" w:h="15840"/>
      <w:pgMar w:top="144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81114" w:rsidP="00781114" w14:paraId="068EAEB5" w14:textId="77777777">
      <w:r>
        <w:separator/>
      </w:r>
    </w:p>
  </w:footnote>
  <w:footnote w:type="continuationSeparator" w:id="1">
    <w:p w:rsidR="00781114" w:rsidP="00781114" w14:paraId="3B3396E1" w14:textId="77777777">
      <w:r>
        <w:continuationSeparator/>
      </w:r>
    </w:p>
  </w:footnote>
  <w:footnote w:id="2">
    <w:p w:rsidR="00781114" w:rsidRPr="009E0348" w:rsidP="00781114" w14:paraId="505C725E" w14:textId="77777777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9E0348">
        <w:rPr>
          <w:rStyle w:val="FootnoteReference"/>
          <w:szCs w:val="20"/>
        </w:rPr>
        <w:footnoteRef/>
      </w:r>
      <w:r w:rsidRPr="009E0348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See </w:t>
      </w:r>
      <w:r w:rsidRPr="009E0348">
        <w:rPr>
          <w:i/>
          <w:iCs/>
          <w:sz w:val="20"/>
          <w:szCs w:val="20"/>
        </w:rPr>
        <w:t>Applications of T-Mobile US, Inc., and Sprint Corporation For Consent To Transfer Control of Licenses and Authorizations</w:t>
      </w:r>
      <w:r w:rsidRPr="009E0348">
        <w:rPr>
          <w:sz w:val="20"/>
          <w:szCs w:val="20"/>
        </w:rPr>
        <w:t>,</w:t>
      </w:r>
      <w:r>
        <w:rPr>
          <w:sz w:val="20"/>
          <w:szCs w:val="20"/>
        </w:rPr>
        <w:t xml:space="preserve"> Memorandum Opinion and Order, Declaratory Ruling, and Order of Proposed Modification,</w:t>
      </w:r>
      <w:r w:rsidRPr="009E0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34 FCC </w:t>
      </w:r>
      <w:r>
        <w:rPr>
          <w:sz w:val="20"/>
          <w:szCs w:val="20"/>
        </w:rPr>
        <w:t>Rcd</w:t>
      </w:r>
      <w:r>
        <w:rPr>
          <w:sz w:val="20"/>
          <w:szCs w:val="20"/>
        </w:rPr>
        <w:t xml:space="preserve"> 10578 (2019) (Statement of Commissioner Brendan Carr); </w:t>
      </w:r>
      <w:r w:rsidRPr="009E0348">
        <w:rPr>
          <w:sz w:val="20"/>
          <w:szCs w:val="20"/>
        </w:rPr>
        <w:t xml:space="preserve">Remarks of Commissioner Brendan Carr at the Phoenix Center’s 19th Annual U.S. Telecoms Symposium, </w:t>
      </w:r>
      <w:r w:rsidRPr="009E0348">
        <w:rPr>
          <w:i/>
          <w:iCs/>
          <w:sz w:val="20"/>
          <w:szCs w:val="20"/>
        </w:rPr>
        <w:t xml:space="preserve">Keeping Pace With Dynamic Industries </w:t>
      </w:r>
      <w:r>
        <w:rPr>
          <w:sz w:val="20"/>
          <w:szCs w:val="20"/>
        </w:rPr>
        <w:t>(</w:t>
      </w:r>
      <w:r w:rsidRPr="009E0348">
        <w:rPr>
          <w:sz w:val="20"/>
          <w:szCs w:val="20"/>
        </w:rPr>
        <w:t>Dec</w:t>
      </w:r>
      <w:r>
        <w:rPr>
          <w:sz w:val="20"/>
          <w:szCs w:val="20"/>
        </w:rPr>
        <w:t>.</w:t>
      </w:r>
      <w:r w:rsidRPr="009E0348">
        <w:rPr>
          <w:sz w:val="20"/>
          <w:szCs w:val="20"/>
        </w:rPr>
        <w:t xml:space="preserve"> 3, 2019</w:t>
      </w:r>
      <w:r>
        <w:rPr>
          <w:sz w:val="20"/>
          <w:szCs w:val="20"/>
        </w:rPr>
        <w:t>)</w:t>
      </w:r>
      <w:r w:rsidRPr="009E0348">
        <w:rPr>
          <w:sz w:val="20"/>
          <w:szCs w:val="20"/>
        </w:rPr>
        <w:t xml:space="preserve">, </w:t>
      </w:r>
      <w:hyperlink r:id="rId1" w:history="1">
        <w:r w:rsidRPr="00BB7C3E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https://docs.fcc.gov/public/attachments/DOC-361147A1.pdf</w:t>
        </w:r>
      </w:hyperlink>
      <w:r w:rsidRPr="009E0348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1114" w:rsidRPr="00781114" w:rsidP="00781114" w14:paraId="2193300C" w14:textId="77777777">
    <w:pPr>
      <w:pStyle w:val="Header"/>
      <w:rPr>
        <w:b/>
        <w:bCs/>
        <w:u w:val="single"/>
      </w:rPr>
    </w:pPr>
    <w:r w:rsidRPr="00781114">
      <w:rPr>
        <w:b/>
        <w:bCs/>
        <w:u w:val="single"/>
      </w:rPr>
      <w:tab/>
      <w:t>Federal Communications Commission</w:t>
    </w:r>
    <w:r w:rsidRPr="00781114">
      <w:rPr>
        <w:b/>
        <w:bCs/>
        <w:u w:val="single"/>
      </w:rPr>
      <w:tab/>
    </w:r>
    <w:r w:rsidRPr="00781114">
      <w:rPr>
        <w:b/>
        <w:bCs/>
        <w:spacing w:val="-2"/>
        <w:u w:val="single"/>
      </w:rPr>
      <w:t>FCC 21-121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20"/>
  <w:characterSpacingControl w:val="doNotCompress"/>
  <w:footnotePr>
    <w:numRestart w:val="eachSect"/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14"/>
    <w:rsid w:val="00263510"/>
    <w:rsid w:val="003F53E6"/>
    <w:rsid w:val="00781114"/>
    <w:rsid w:val="009E0348"/>
    <w:rsid w:val="00BB7C3E"/>
    <w:rsid w:val="00CB4AA3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2BA993"/>
  <w15:chartTrackingRefBased/>
  <w15:docId w15:val="{8D900A6F-3C65-42AF-A599-A801EB15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11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781114"/>
    <w:rPr>
      <w:rFonts w:ascii="Times New Roman" w:hAnsi="Times New Roman"/>
      <w:dstrike w:val="0"/>
      <w:color w:val="auto"/>
      <w:sz w:val="20"/>
      <w:vertAlign w:val="superscript"/>
    </w:rPr>
  </w:style>
  <w:style w:type="character" w:styleId="Hyperlink">
    <w:name w:val="Hyperlink"/>
    <w:rsid w:val="007811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114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781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114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14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61147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