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264DC960" w14:textId="20190563">
      <w:pPr>
        <w:pStyle w:val="Default"/>
        <w:spacing w:line="235" w:lineRule="auto"/>
        <w:rPr>
          <w:sz w:val="22"/>
          <w:szCs w:val="22"/>
        </w:rPr>
      </w:pPr>
      <w:bookmarkStart w:id="0" w:name="_GoBack"/>
    </w:p>
    <w:bookmarkEnd w:id="0"/>
    <w:p w:rsidR="0034756F" w:rsidRPr="005B1BCE" w:rsidP="0034756F" w14:paraId="11331FA0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RPr="005B1BCE" w:rsidP="00612427" w14:paraId="3C033D3F" w14:textId="77777777">
      <w:pPr>
        <w:jc w:val="center"/>
        <w:rPr>
          <w:b/>
          <w:sz w:val="22"/>
          <w:szCs w:val="22"/>
        </w:rPr>
      </w:pPr>
    </w:p>
    <w:p w:rsidR="00612427" w:rsidRPr="005B1BCE" w:rsidP="00612427" w14:paraId="5FEC5DFE" w14:textId="77777777">
      <w:pPr>
        <w:jc w:val="center"/>
        <w:rPr>
          <w:b/>
          <w:bCs/>
          <w:sz w:val="22"/>
          <w:szCs w:val="22"/>
        </w:rPr>
      </w:pPr>
      <w:r w:rsidRPr="005B1BCE">
        <w:rPr>
          <w:b/>
          <w:bCs/>
          <w:sz w:val="22"/>
          <w:szCs w:val="22"/>
        </w:rPr>
        <w:t xml:space="preserve">STATEMENT OF </w:t>
      </w:r>
    </w:p>
    <w:p w:rsidR="00D2293C" w:rsidRPr="005B1BCE" w:rsidP="00612427" w14:paraId="6BFE59BE" w14:textId="2E111200">
      <w:pPr>
        <w:jc w:val="center"/>
        <w:rPr>
          <w:sz w:val="22"/>
          <w:szCs w:val="22"/>
        </w:rPr>
      </w:pPr>
      <w:r w:rsidRPr="005B1BCE">
        <w:rPr>
          <w:b/>
          <w:bCs/>
          <w:sz w:val="22"/>
          <w:szCs w:val="22"/>
        </w:rPr>
        <w:t>COMMISSIONER NATHAN SIMINGTON</w:t>
      </w:r>
      <w:r w:rsidRPr="005B1BCE">
        <w:rPr>
          <w:sz w:val="22"/>
          <w:szCs w:val="22"/>
        </w:rPr>
        <w:t xml:space="preserve"> </w:t>
      </w:r>
    </w:p>
    <w:p w:rsidR="00D2293C" w:rsidRPr="005B1BCE" w:rsidP="00612427" w14:paraId="1B0992DF" w14:textId="77777777">
      <w:pPr>
        <w:jc w:val="center"/>
        <w:rPr>
          <w:sz w:val="22"/>
          <w:szCs w:val="22"/>
        </w:rPr>
      </w:pPr>
    </w:p>
    <w:p w:rsidR="00846CDD" w:rsidRPr="005B1BCE" w:rsidP="00846CDD" w14:paraId="02D2A9E6" w14:textId="77777777">
      <w:pPr>
        <w:tabs>
          <w:tab w:val="center" w:pos="4680"/>
        </w:tabs>
        <w:suppressAutoHyphens/>
        <w:ind w:left="720" w:hanging="720"/>
        <w:rPr>
          <w:i/>
          <w:iCs/>
          <w:spacing w:val="-2"/>
          <w:sz w:val="22"/>
          <w:szCs w:val="22"/>
        </w:rPr>
      </w:pPr>
      <w:r w:rsidRPr="005B1BCE">
        <w:rPr>
          <w:iCs/>
          <w:sz w:val="22"/>
          <w:szCs w:val="22"/>
        </w:rPr>
        <w:t>Re:</w:t>
      </w:r>
      <w:r w:rsidRPr="005B1BCE">
        <w:rPr>
          <w:sz w:val="22"/>
          <w:szCs w:val="22"/>
        </w:rPr>
        <w:t xml:space="preserve"> </w:t>
      </w:r>
      <w:r w:rsidRPr="005B1BCE">
        <w:rPr>
          <w:sz w:val="22"/>
          <w:szCs w:val="22"/>
        </w:rPr>
        <w:tab/>
      </w:r>
      <w:r w:rsidRPr="005B1BCE">
        <w:rPr>
          <w:i/>
          <w:sz w:val="22"/>
          <w:szCs w:val="22"/>
        </w:rPr>
        <w:t>Expanding Flexible Use of the 12.2-12.7 GHz Band</w:t>
      </w:r>
      <w:r w:rsidRPr="005B1BCE">
        <w:rPr>
          <w:sz w:val="22"/>
          <w:szCs w:val="22"/>
        </w:rPr>
        <w:t>, WT Docket No. 20-443;</w:t>
      </w:r>
      <w:r w:rsidRPr="005B1BCE">
        <w:rPr>
          <w:i/>
          <w:sz w:val="22"/>
          <w:szCs w:val="22"/>
        </w:rPr>
        <w:t xml:space="preserve"> Expanding Flexible Use in Mid-Band Spectrum Between 3.7-24 GHz</w:t>
      </w:r>
      <w:r w:rsidRPr="005B1BCE">
        <w:rPr>
          <w:sz w:val="22"/>
          <w:szCs w:val="22"/>
        </w:rPr>
        <w:t xml:space="preserve">, GN Docket No. 17-183; </w:t>
      </w:r>
      <w:r w:rsidRPr="005B1BCE">
        <w:rPr>
          <w:i/>
          <w:iCs/>
          <w:spacing w:val="-2"/>
          <w:sz w:val="22"/>
          <w:szCs w:val="22"/>
        </w:rPr>
        <w:t xml:space="preserve">MVDDS 5G Coalition </w:t>
      </w:r>
      <w:r w:rsidRPr="005B1BCE">
        <w:rPr>
          <w:i/>
          <w:iCs/>
          <w:snapToGrid w:val="0"/>
          <w:spacing w:val="-2"/>
          <w:sz w:val="22"/>
          <w:szCs w:val="22"/>
        </w:rPr>
        <w:t>Petition for Rulemaking to Permit MVDDS Use of the 12.2-12.7 GHz Band for Two-Way Mobile Broadband Service</w:t>
      </w:r>
      <w:r w:rsidRPr="005B1BCE">
        <w:rPr>
          <w:i/>
          <w:iCs/>
          <w:spacing w:val="-2"/>
          <w:sz w:val="22"/>
          <w:szCs w:val="22"/>
        </w:rPr>
        <w:t>,</w:t>
      </w:r>
      <w:r w:rsidRPr="005B1BCE">
        <w:rPr>
          <w:spacing w:val="-2"/>
          <w:sz w:val="22"/>
          <w:szCs w:val="22"/>
        </w:rPr>
        <w:t xml:space="preserve"> RM-11768 (Proceeding Terminated)</w:t>
      </w:r>
    </w:p>
    <w:p w:rsidR="00D2293C" w:rsidRPr="005B1BCE" w:rsidP="00612427" w14:paraId="0DF265F4" w14:textId="77777777">
      <w:pPr>
        <w:rPr>
          <w:sz w:val="22"/>
          <w:szCs w:val="22"/>
        </w:rPr>
      </w:pPr>
    </w:p>
    <w:p w:rsidR="00867653" w:rsidRPr="005B1BCE" w:rsidP="00612427" w14:paraId="5D443F3C" w14:textId="5C000596">
      <w:pPr>
        <w:ind w:firstLine="720"/>
        <w:rPr>
          <w:sz w:val="22"/>
          <w:szCs w:val="22"/>
        </w:rPr>
      </w:pPr>
      <w:r w:rsidRPr="005B1BCE">
        <w:rPr>
          <w:sz w:val="22"/>
          <w:szCs w:val="22"/>
        </w:rPr>
        <w:t>T</w:t>
      </w:r>
      <w:r w:rsidRPr="005B1BCE" w:rsidR="00D2293C">
        <w:rPr>
          <w:sz w:val="22"/>
          <w:szCs w:val="22"/>
        </w:rPr>
        <w:t xml:space="preserve">he compromise reached on the 12 GHz </w:t>
      </w:r>
      <w:r w:rsidRPr="005B1BCE">
        <w:rPr>
          <w:sz w:val="22"/>
          <w:szCs w:val="22"/>
        </w:rPr>
        <w:t xml:space="preserve">Notice </w:t>
      </w:r>
      <w:r w:rsidRPr="005B1BCE" w:rsidR="00DF420A">
        <w:rPr>
          <w:sz w:val="22"/>
          <w:szCs w:val="22"/>
        </w:rPr>
        <w:t xml:space="preserve">of Proposed Rulemaking </w:t>
      </w:r>
      <w:r w:rsidRPr="005B1BCE" w:rsidR="004130DA">
        <w:rPr>
          <w:sz w:val="22"/>
          <w:szCs w:val="22"/>
        </w:rPr>
        <w:t xml:space="preserve">strikes a delicate and important balance that protects </w:t>
      </w:r>
      <w:r w:rsidRPr="005B1BCE">
        <w:rPr>
          <w:sz w:val="22"/>
          <w:szCs w:val="22"/>
        </w:rPr>
        <w:t xml:space="preserve">the </w:t>
      </w:r>
      <w:r w:rsidRPr="005B1BCE" w:rsidR="004130DA">
        <w:rPr>
          <w:sz w:val="22"/>
          <w:szCs w:val="22"/>
        </w:rPr>
        <w:t xml:space="preserve">significant and ongoing investment by incumbents operating in the band. </w:t>
      </w:r>
      <w:r w:rsidRPr="005B1BCE" w:rsidR="00CA0655">
        <w:rPr>
          <w:sz w:val="22"/>
          <w:szCs w:val="22"/>
        </w:rPr>
        <w:t xml:space="preserve"> </w:t>
      </w:r>
      <w:r w:rsidRPr="005B1BCE" w:rsidR="004130DA">
        <w:rPr>
          <w:sz w:val="22"/>
          <w:szCs w:val="22"/>
        </w:rPr>
        <w:t>Notably, since the MVDDS</w:t>
      </w:r>
      <w:r w:rsidRPr="005B1BCE" w:rsidR="00820CE5">
        <w:rPr>
          <w:sz w:val="22"/>
          <w:szCs w:val="22"/>
        </w:rPr>
        <w:t xml:space="preserve"> 5G</w:t>
      </w:r>
      <w:r w:rsidRPr="005B1BCE" w:rsidR="004130DA">
        <w:rPr>
          <w:sz w:val="22"/>
          <w:szCs w:val="22"/>
        </w:rPr>
        <w:t xml:space="preserve"> </w:t>
      </w:r>
      <w:r w:rsidRPr="005B1BCE" w:rsidR="00235EB2">
        <w:rPr>
          <w:sz w:val="22"/>
          <w:szCs w:val="22"/>
        </w:rPr>
        <w:t>C</w:t>
      </w:r>
      <w:r w:rsidRPr="005B1BCE" w:rsidR="004130DA">
        <w:rPr>
          <w:sz w:val="22"/>
          <w:szCs w:val="22"/>
        </w:rPr>
        <w:t xml:space="preserve">oalition filed its petition in 2016, NGSO </w:t>
      </w:r>
      <w:r w:rsidRPr="005B1BCE" w:rsidR="00820CE5">
        <w:rPr>
          <w:sz w:val="22"/>
          <w:szCs w:val="22"/>
        </w:rPr>
        <w:t xml:space="preserve">FSS </w:t>
      </w:r>
      <w:r w:rsidRPr="005B1BCE" w:rsidR="004130DA">
        <w:rPr>
          <w:sz w:val="22"/>
          <w:szCs w:val="22"/>
        </w:rPr>
        <w:t xml:space="preserve">providers have </w:t>
      </w:r>
      <w:r w:rsidRPr="005B1BCE">
        <w:rPr>
          <w:sz w:val="22"/>
          <w:szCs w:val="22"/>
        </w:rPr>
        <w:t xml:space="preserve">invested </w:t>
      </w:r>
      <w:r w:rsidRPr="005B1BCE" w:rsidR="00341F9D">
        <w:rPr>
          <w:sz w:val="22"/>
          <w:szCs w:val="22"/>
        </w:rPr>
        <w:t xml:space="preserve">heavily </w:t>
      </w:r>
      <w:r w:rsidRPr="005B1BCE">
        <w:rPr>
          <w:sz w:val="22"/>
          <w:szCs w:val="22"/>
        </w:rPr>
        <w:t xml:space="preserve">in deploying broadband service, particularly in unserved </w:t>
      </w:r>
      <w:r w:rsidRPr="005B1BCE" w:rsidR="00CA0CF0">
        <w:rPr>
          <w:sz w:val="22"/>
          <w:szCs w:val="22"/>
        </w:rPr>
        <w:t xml:space="preserve">and underserved </w:t>
      </w:r>
      <w:r w:rsidRPr="005B1BCE">
        <w:rPr>
          <w:sz w:val="22"/>
          <w:szCs w:val="22"/>
        </w:rPr>
        <w:t>rural areas.</w:t>
      </w:r>
      <w:r w:rsidRPr="005B1BCE" w:rsidR="00BC2709">
        <w:rPr>
          <w:sz w:val="22"/>
          <w:szCs w:val="22"/>
        </w:rPr>
        <w:t xml:space="preserve"> Rapid deployment between the petition filing and today is remarkable. The Commission, as a matter of policy, does not prejudge matters and is committed to allow all stakeholders to show how their proposed uses of spectrum serve the public interest.</w:t>
      </w:r>
    </w:p>
    <w:p w:rsidR="00867653" w:rsidRPr="005B1BCE" w:rsidP="00612427" w14:paraId="4FF3FB6B" w14:textId="77777777">
      <w:pPr>
        <w:ind w:firstLine="720"/>
        <w:rPr>
          <w:sz w:val="22"/>
          <w:szCs w:val="22"/>
        </w:rPr>
      </w:pPr>
    </w:p>
    <w:p w:rsidR="002E3F6D" w:rsidRPr="005B1BCE" w:rsidP="00612427" w14:paraId="5B12935D" w14:textId="2FB76414">
      <w:pPr>
        <w:ind w:firstLine="720"/>
        <w:rPr>
          <w:sz w:val="22"/>
          <w:szCs w:val="22"/>
        </w:rPr>
      </w:pPr>
      <w:r w:rsidRPr="005B1BCE">
        <w:rPr>
          <w:sz w:val="22"/>
          <w:szCs w:val="22"/>
        </w:rPr>
        <w:t>The Notice of Proposed Rulemaking</w:t>
      </w:r>
      <w:r w:rsidRPr="005B1BCE" w:rsidR="004130DA">
        <w:rPr>
          <w:sz w:val="22"/>
          <w:szCs w:val="22"/>
        </w:rPr>
        <w:t xml:space="preserve"> </w:t>
      </w:r>
      <w:r w:rsidRPr="005B1BCE" w:rsidR="00D2293C">
        <w:rPr>
          <w:sz w:val="22"/>
          <w:szCs w:val="22"/>
        </w:rPr>
        <w:t xml:space="preserve">allows the Commission </w:t>
      </w:r>
      <w:r w:rsidRPr="005B1BCE" w:rsidR="004130DA">
        <w:rPr>
          <w:sz w:val="22"/>
          <w:szCs w:val="22"/>
        </w:rPr>
        <w:t>to investigate</w:t>
      </w:r>
      <w:r w:rsidRPr="005B1BCE" w:rsidR="00D2293C">
        <w:rPr>
          <w:sz w:val="22"/>
          <w:szCs w:val="22"/>
        </w:rPr>
        <w:t xml:space="preserve"> whether it is technically possible to allow for two-way terrestrial service to operate in the band</w:t>
      </w:r>
      <w:r w:rsidRPr="005B1BCE" w:rsidR="004130DA">
        <w:rPr>
          <w:sz w:val="22"/>
          <w:szCs w:val="22"/>
        </w:rPr>
        <w:t xml:space="preserve">, </w:t>
      </w:r>
      <w:r w:rsidRPr="005B1BCE">
        <w:rPr>
          <w:sz w:val="22"/>
          <w:szCs w:val="22"/>
        </w:rPr>
        <w:t xml:space="preserve">as requested by the MVDDS providers.  </w:t>
      </w:r>
      <w:r w:rsidRPr="005B1BCE" w:rsidR="00BC2709">
        <w:rPr>
          <w:sz w:val="22"/>
          <w:szCs w:val="22"/>
        </w:rPr>
        <w:t>It</w:t>
      </w:r>
      <w:r w:rsidRPr="005B1BCE" w:rsidR="00867653">
        <w:rPr>
          <w:sz w:val="22"/>
          <w:szCs w:val="22"/>
        </w:rPr>
        <w:t xml:space="preserve"> also creates an opportunity for the Commission to investigate whether additional protections could </w:t>
      </w:r>
      <w:r w:rsidRPr="005B1BCE" w:rsidR="00235EB2">
        <w:rPr>
          <w:sz w:val="22"/>
          <w:szCs w:val="22"/>
        </w:rPr>
        <w:t>and</w:t>
      </w:r>
      <w:r w:rsidRPr="005B1BCE" w:rsidR="00867653">
        <w:rPr>
          <w:sz w:val="22"/>
          <w:szCs w:val="22"/>
        </w:rPr>
        <w:t xml:space="preserve"> should be afforded to NGSO </w:t>
      </w:r>
      <w:r w:rsidRPr="005B1BCE" w:rsidR="00820CE5">
        <w:rPr>
          <w:sz w:val="22"/>
          <w:szCs w:val="22"/>
        </w:rPr>
        <w:t xml:space="preserve">FSS </w:t>
      </w:r>
      <w:r w:rsidRPr="005B1BCE" w:rsidR="00CA0CF0">
        <w:rPr>
          <w:sz w:val="22"/>
          <w:szCs w:val="22"/>
        </w:rPr>
        <w:t>provider</w:t>
      </w:r>
      <w:r w:rsidRPr="005B1BCE">
        <w:rPr>
          <w:sz w:val="22"/>
          <w:szCs w:val="22"/>
        </w:rPr>
        <w:t>s.</w:t>
      </w:r>
      <w:r w:rsidRPr="005B1BCE" w:rsidR="00CA0CF0">
        <w:rPr>
          <w:sz w:val="22"/>
          <w:szCs w:val="22"/>
        </w:rPr>
        <w:t xml:space="preserve"> </w:t>
      </w:r>
      <w:r w:rsidRPr="005B1BCE" w:rsidR="00BC2709">
        <w:rPr>
          <w:sz w:val="22"/>
          <w:szCs w:val="22"/>
        </w:rPr>
        <w:t>As such, it is consistent with the Commission’s goals and purposes of technology agnosticism in the public interest and the establishment of a clear evidentiary basis for all actions.</w:t>
      </w:r>
      <w:r w:rsidRPr="005B1BCE">
        <w:rPr>
          <w:sz w:val="22"/>
          <w:szCs w:val="22"/>
        </w:rPr>
        <w:t xml:space="preserve"> </w:t>
      </w:r>
    </w:p>
    <w:p w:rsidR="002E3F6D" w:rsidRPr="005B1BCE" w:rsidP="00612427" w14:paraId="52E65AE4" w14:textId="77777777">
      <w:pPr>
        <w:ind w:firstLine="720"/>
        <w:rPr>
          <w:sz w:val="22"/>
          <w:szCs w:val="22"/>
        </w:rPr>
      </w:pPr>
    </w:p>
    <w:p w:rsidR="00D2293C" w:rsidRPr="005B1BCE" w:rsidP="00612427" w14:paraId="1D420085" w14:textId="6D913966">
      <w:pPr>
        <w:ind w:firstLine="720"/>
        <w:rPr>
          <w:sz w:val="22"/>
          <w:szCs w:val="22"/>
        </w:rPr>
      </w:pPr>
      <w:r w:rsidRPr="005B1BCE">
        <w:rPr>
          <w:sz w:val="22"/>
          <w:szCs w:val="22"/>
        </w:rPr>
        <w:t xml:space="preserve">Commission policies </w:t>
      </w:r>
      <w:r w:rsidRPr="005B1BCE" w:rsidR="00BC2709">
        <w:rPr>
          <w:sz w:val="22"/>
          <w:szCs w:val="22"/>
        </w:rPr>
        <w:t xml:space="preserve">must always </w:t>
      </w:r>
      <w:r w:rsidRPr="005B1BCE">
        <w:rPr>
          <w:sz w:val="22"/>
          <w:szCs w:val="22"/>
        </w:rPr>
        <w:t xml:space="preserve">further protect and encourage providers </w:t>
      </w:r>
      <w:r w:rsidRPr="005B1BCE" w:rsidR="00867653">
        <w:rPr>
          <w:sz w:val="22"/>
          <w:szCs w:val="22"/>
        </w:rPr>
        <w:t xml:space="preserve">who have </w:t>
      </w:r>
      <w:r w:rsidRPr="005B1BCE">
        <w:rPr>
          <w:sz w:val="22"/>
          <w:szCs w:val="22"/>
        </w:rPr>
        <w:t xml:space="preserve">and continue to </w:t>
      </w:r>
      <w:r w:rsidRPr="005B1BCE" w:rsidR="00CA0CF0">
        <w:rPr>
          <w:sz w:val="22"/>
          <w:szCs w:val="22"/>
        </w:rPr>
        <w:t xml:space="preserve">expeditiously </w:t>
      </w:r>
      <w:r w:rsidRPr="005B1BCE" w:rsidR="00867653">
        <w:rPr>
          <w:sz w:val="22"/>
          <w:szCs w:val="22"/>
        </w:rPr>
        <w:t>deploy servic</w:t>
      </w:r>
      <w:r w:rsidRPr="005B1BCE" w:rsidR="003525B0">
        <w:rPr>
          <w:sz w:val="22"/>
          <w:szCs w:val="22"/>
        </w:rPr>
        <w:t xml:space="preserve">e in the band.  </w:t>
      </w:r>
      <w:r w:rsidRPr="005B1BCE" w:rsidR="00BC2709">
        <w:rPr>
          <w:sz w:val="22"/>
          <w:szCs w:val="22"/>
        </w:rPr>
        <w:t xml:space="preserve">NGSO </w:t>
      </w:r>
      <w:r w:rsidRPr="005B1BCE" w:rsidR="00485C54">
        <w:rPr>
          <w:sz w:val="22"/>
          <w:szCs w:val="22"/>
        </w:rPr>
        <w:t xml:space="preserve">FSS </w:t>
      </w:r>
      <w:r w:rsidRPr="005B1BCE" w:rsidR="00235EB2">
        <w:rPr>
          <w:sz w:val="22"/>
          <w:szCs w:val="22"/>
        </w:rPr>
        <w:t>deployment</w:t>
      </w:r>
      <w:r w:rsidRPr="005B1BCE" w:rsidR="003525B0">
        <w:rPr>
          <w:sz w:val="22"/>
          <w:szCs w:val="22"/>
        </w:rPr>
        <w:t xml:space="preserve"> </w:t>
      </w:r>
      <w:r w:rsidRPr="005B1BCE" w:rsidR="00235EB2">
        <w:rPr>
          <w:sz w:val="22"/>
          <w:szCs w:val="22"/>
        </w:rPr>
        <w:t>occurred</w:t>
      </w:r>
      <w:r w:rsidRPr="005B1BCE">
        <w:rPr>
          <w:sz w:val="22"/>
          <w:szCs w:val="22"/>
        </w:rPr>
        <w:t xml:space="preserve"> </w:t>
      </w:r>
      <w:r w:rsidRPr="005B1BCE" w:rsidR="00BC2709">
        <w:rPr>
          <w:sz w:val="22"/>
          <w:szCs w:val="22"/>
        </w:rPr>
        <w:t>even though NGSO</w:t>
      </w:r>
      <w:r w:rsidRPr="005B1BCE" w:rsidR="00235EB2">
        <w:rPr>
          <w:sz w:val="22"/>
          <w:szCs w:val="22"/>
        </w:rPr>
        <w:t xml:space="preserve"> </w:t>
      </w:r>
      <w:r w:rsidRPr="005B1BCE" w:rsidR="00485C54">
        <w:rPr>
          <w:sz w:val="22"/>
          <w:szCs w:val="22"/>
        </w:rPr>
        <w:t xml:space="preserve">FSS </w:t>
      </w:r>
      <w:r w:rsidRPr="005B1BCE" w:rsidR="00235EB2">
        <w:rPr>
          <w:sz w:val="22"/>
          <w:szCs w:val="22"/>
        </w:rPr>
        <w:t>providers</w:t>
      </w:r>
      <w:r w:rsidRPr="005B1BCE">
        <w:rPr>
          <w:sz w:val="22"/>
          <w:szCs w:val="22"/>
        </w:rPr>
        <w:t xml:space="preserve"> have had to operate on a non-interference basis with respect to other incumbents. </w:t>
      </w:r>
      <w:r w:rsidRPr="005B1BCE" w:rsidR="00867653">
        <w:rPr>
          <w:sz w:val="22"/>
          <w:szCs w:val="22"/>
        </w:rPr>
        <w:t xml:space="preserve"> </w:t>
      </w:r>
      <w:r w:rsidRPr="005B1BCE" w:rsidR="00BC2709">
        <w:rPr>
          <w:sz w:val="22"/>
          <w:szCs w:val="22"/>
        </w:rPr>
        <w:t>Through this Notice of Proposed Rulemaking, the Commission looks forward to</w:t>
      </w:r>
      <w:r w:rsidRPr="005B1BCE">
        <w:rPr>
          <w:sz w:val="22"/>
          <w:szCs w:val="22"/>
        </w:rPr>
        <w:t xml:space="preserve"> protect</w:t>
      </w:r>
      <w:r w:rsidRPr="005B1BCE" w:rsidR="00BC2709">
        <w:rPr>
          <w:sz w:val="22"/>
          <w:szCs w:val="22"/>
        </w:rPr>
        <w:t>ing</w:t>
      </w:r>
      <w:r w:rsidRPr="005B1BCE">
        <w:rPr>
          <w:sz w:val="22"/>
          <w:szCs w:val="22"/>
        </w:rPr>
        <w:t xml:space="preserve"> the public interest</w:t>
      </w:r>
      <w:r w:rsidRPr="005B1BCE" w:rsidR="00E617A7">
        <w:rPr>
          <w:sz w:val="22"/>
          <w:szCs w:val="22"/>
        </w:rPr>
        <w:t xml:space="preserve"> by </w:t>
      </w:r>
      <w:r w:rsidRPr="005B1BCE" w:rsidR="003D4E3F">
        <w:rPr>
          <w:sz w:val="22"/>
          <w:szCs w:val="22"/>
        </w:rPr>
        <w:t xml:space="preserve">clarifying the record to ensure </w:t>
      </w:r>
      <w:r w:rsidRPr="005B1BCE" w:rsidR="00E617A7">
        <w:rPr>
          <w:sz w:val="22"/>
          <w:szCs w:val="22"/>
        </w:rPr>
        <w:t>that</w:t>
      </w:r>
      <w:r w:rsidRPr="005B1BCE" w:rsidR="00833DBE">
        <w:rPr>
          <w:sz w:val="22"/>
          <w:szCs w:val="22"/>
        </w:rPr>
        <w:t xml:space="preserve"> 12 GHz </w:t>
      </w:r>
      <w:r w:rsidRPr="005B1BCE" w:rsidR="00E617A7">
        <w:rPr>
          <w:sz w:val="22"/>
          <w:szCs w:val="22"/>
        </w:rPr>
        <w:t>spectrum is put to its highest and best use</w:t>
      </w:r>
      <w:r w:rsidRPr="005B1BCE">
        <w:rPr>
          <w:sz w:val="22"/>
          <w:szCs w:val="22"/>
        </w:rPr>
        <w:t>.</w:t>
      </w:r>
      <w:r w:rsidRPr="005B1BCE" w:rsidR="00867653">
        <w:rPr>
          <w:sz w:val="22"/>
          <w:szCs w:val="22"/>
        </w:rPr>
        <w:t xml:space="preserve"> </w:t>
      </w:r>
    </w:p>
    <w:p w:rsidR="00CA0CF0" w:rsidRPr="005B1BCE" w:rsidP="00612427" w14:paraId="6385FBAD" w14:textId="77777777">
      <w:pPr>
        <w:ind w:firstLine="720"/>
        <w:rPr>
          <w:sz w:val="22"/>
          <w:szCs w:val="22"/>
        </w:rPr>
      </w:pPr>
    </w:p>
    <w:p w:rsidR="00CA0CF0" w:rsidRPr="005B1BCE" w:rsidP="00612427" w14:paraId="11C92D17" w14:textId="46D3BBAE">
      <w:pPr>
        <w:rPr>
          <w:sz w:val="22"/>
          <w:szCs w:val="22"/>
        </w:rPr>
      </w:pPr>
    </w:p>
    <w:p w:rsidR="00CA0CF0" w:rsidRPr="00612427" w:rsidP="00612427" w14:paraId="65D241C1" w14:textId="77777777">
      <w:pPr>
        <w:ind w:firstLine="720"/>
        <w:rPr>
          <w:sz w:val="22"/>
          <w:szCs w:val="22"/>
        </w:rPr>
      </w:pPr>
    </w:p>
    <w:p w:rsidR="00D2293C" w:rsidRPr="00612427" w:rsidP="00612427" w14:paraId="015EB32E" w14:textId="77777777">
      <w:pPr>
        <w:ind w:firstLine="720"/>
        <w:rPr>
          <w:sz w:val="22"/>
          <w:szCs w:val="22"/>
        </w:rPr>
      </w:pPr>
    </w:p>
    <w:p w:rsidR="002C68E3" w:rsidRPr="00612427" w:rsidP="00612427" w14:paraId="1C97169B" w14:textId="4D45560B">
      <w:pPr>
        <w:rPr>
          <w:sz w:val="22"/>
          <w:szCs w:val="22"/>
        </w:rPr>
      </w:pPr>
    </w:p>
    <w:p w:rsidR="002C68E3" w:rsidRPr="00612427" w:rsidP="00612427" w14:paraId="6B4AF4A0" w14:textId="77777777">
      <w:pPr>
        <w:rPr>
          <w:sz w:val="22"/>
          <w:szCs w:val="22"/>
        </w:rPr>
      </w:pPr>
    </w:p>
    <w:p w:rsidR="00D641D3" w:rsidRPr="00612427" w:rsidP="00612427" w14:paraId="211FF257" w14:textId="62C32EDE">
      <w:pPr>
        <w:jc w:val="center"/>
        <w:rPr>
          <w:sz w:val="22"/>
          <w:szCs w:val="22"/>
        </w:rPr>
      </w:pP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6003F"/>
    <w:rsid w:val="00062DB3"/>
    <w:rsid w:val="00063DA0"/>
    <w:rsid w:val="00074C8B"/>
    <w:rsid w:val="0008248C"/>
    <w:rsid w:val="00082BE8"/>
    <w:rsid w:val="000C6B5A"/>
    <w:rsid w:val="000D5040"/>
    <w:rsid w:val="000E5621"/>
    <w:rsid w:val="000E7FD6"/>
    <w:rsid w:val="000F759C"/>
    <w:rsid w:val="0012233D"/>
    <w:rsid w:val="00130783"/>
    <w:rsid w:val="001741B0"/>
    <w:rsid w:val="001B7ED7"/>
    <w:rsid w:val="00231E6B"/>
    <w:rsid w:val="0023249B"/>
    <w:rsid w:val="00235EB2"/>
    <w:rsid w:val="00237AA9"/>
    <w:rsid w:val="002673FB"/>
    <w:rsid w:val="002A1527"/>
    <w:rsid w:val="002C6635"/>
    <w:rsid w:val="002C68E3"/>
    <w:rsid w:val="002D7C67"/>
    <w:rsid w:val="002E3F6D"/>
    <w:rsid w:val="00325E5E"/>
    <w:rsid w:val="00341F9D"/>
    <w:rsid w:val="0034756F"/>
    <w:rsid w:val="003525B0"/>
    <w:rsid w:val="00352EFE"/>
    <w:rsid w:val="00361516"/>
    <w:rsid w:val="003718F1"/>
    <w:rsid w:val="003D4E3F"/>
    <w:rsid w:val="003F344F"/>
    <w:rsid w:val="00403957"/>
    <w:rsid w:val="004115F2"/>
    <w:rsid w:val="004130DA"/>
    <w:rsid w:val="00440D53"/>
    <w:rsid w:val="00445CA1"/>
    <w:rsid w:val="00461A0B"/>
    <w:rsid w:val="004679DD"/>
    <w:rsid w:val="0048240A"/>
    <w:rsid w:val="00485C54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622A9"/>
    <w:rsid w:val="00571904"/>
    <w:rsid w:val="00585F81"/>
    <w:rsid w:val="005925F8"/>
    <w:rsid w:val="005931FF"/>
    <w:rsid w:val="005B1BCE"/>
    <w:rsid w:val="005C4CAC"/>
    <w:rsid w:val="005C7377"/>
    <w:rsid w:val="005D117B"/>
    <w:rsid w:val="005F7561"/>
    <w:rsid w:val="005F7A3B"/>
    <w:rsid w:val="00612427"/>
    <w:rsid w:val="00613DAC"/>
    <w:rsid w:val="00632C4E"/>
    <w:rsid w:val="0065582D"/>
    <w:rsid w:val="006771C6"/>
    <w:rsid w:val="00685549"/>
    <w:rsid w:val="006C767A"/>
    <w:rsid w:val="006D35B0"/>
    <w:rsid w:val="00704954"/>
    <w:rsid w:val="00734215"/>
    <w:rsid w:val="00745C4B"/>
    <w:rsid w:val="007519A2"/>
    <w:rsid w:val="00756061"/>
    <w:rsid w:val="00790C08"/>
    <w:rsid w:val="00792EEE"/>
    <w:rsid w:val="007C5EA9"/>
    <w:rsid w:val="007F5578"/>
    <w:rsid w:val="00820CE5"/>
    <w:rsid w:val="008278F8"/>
    <w:rsid w:val="00830AFF"/>
    <w:rsid w:val="00833DBE"/>
    <w:rsid w:val="00835079"/>
    <w:rsid w:val="00842D30"/>
    <w:rsid w:val="00846CDD"/>
    <w:rsid w:val="00847941"/>
    <w:rsid w:val="008616AB"/>
    <w:rsid w:val="00867653"/>
    <w:rsid w:val="00880E8C"/>
    <w:rsid w:val="00884F19"/>
    <w:rsid w:val="008D02DD"/>
    <w:rsid w:val="008D20AF"/>
    <w:rsid w:val="008E305D"/>
    <w:rsid w:val="008F6488"/>
    <w:rsid w:val="009143BB"/>
    <w:rsid w:val="00936EF6"/>
    <w:rsid w:val="0097414C"/>
    <w:rsid w:val="00974307"/>
    <w:rsid w:val="00985719"/>
    <w:rsid w:val="009B5079"/>
    <w:rsid w:val="009B63AF"/>
    <w:rsid w:val="009C5BB0"/>
    <w:rsid w:val="009E01AA"/>
    <w:rsid w:val="009E288B"/>
    <w:rsid w:val="009F0293"/>
    <w:rsid w:val="00A2312B"/>
    <w:rsid w:val="00A45C55"/>
    <w:rsid w:val="00A56F0C"/>
    <w:rsid w:val="00A61916"/>
    <w:rsid w:val="00A73912"/>
    <w:rsid w:val="00A74838"/>
    <w:rsid w:val="00A81B4A"/>
    <w:rsid w:val="00AB5801"/>
    <w:rsid w:val="00AB5DE8"/>
    <w:rsid w:val="00AF01C9"/>
    <w:rsid w:val="00AF32AA"/>
    <w:rsid w:val="00B4069D"/>
    <w:rsid w:val="00B41CA8"/>
    <w:rsid w:val="00B5371E"/>
    <w:rsid w:val="00B56B99"/>
    <w:rsid w:val="00B63CDA"/>
    <w:rsid w:val="00B82468"/>
    <w:rsid w:val="00BA353A"/>
    <w:rsid w:val="00BB1FFC"/>
    <w:rsid w:val="00BC2709"/>
    <w:rsid w:val="00BE2BEC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0655"/>
    <w:rsid w:val="00CA0CF0"/>
    <w:rsid w:val="00CA2B74"/>
    <w:rsid w:val="00CA3AC4"/>
    <w:rsid w:val="00CA4F80"/>
    <w:rsid w:val="00CB76F4"/>
    <w:rsid w:val="00CD7BAA"/>
    <w:rsid w:val="00CE2888"/>
    <w:rsid w:val="00CE5101"/>
    <w:rsid w:val="00CF2145"/>
    <w:rsid w:val="00CF4821"/>
    <w:rsid w:val="00D2293C"/>
    <w:rsid w:val="00D32596"/>
    <w:rsid w:val="00D35E01"/>
    <w:rsid w:val="00D361BF"/>
    <w:rsid w:val="00D641D3"/>
    <w:rsid w:val="00D8511F"/>
    <w:rsid w:val="00D93A1D"/>
    <w:rsid w:val="00D970C2"/>
    <w:rsid w:val="00DA5AF8"/>
    <w:rsid w:val="00DB795F"/>
    <w:rsid w:val="00DD4FCA"/>
    <w:rsid w:val="00DF420A"/>
    <w:rsid w:val="00E00835"/>
    <w:rsid w:val="00E47221"/>
    <w:rsid w:val="00E51C7E"/>
    <w:rsid w:val="00E52B29"/>
    <w:rsid w:val="00E57F1E"/>
    <w:rsid w:val="00E609D0"/>
    <w:rsid w:val="00E617A7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64C5"/>
    <w:rsid w:val="00F846F1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