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0363B" w:rsidRPr="00674871" w:rsidP="0000363B" w14:paraId="5F0A7833" w14:textId="77777777">
      <w:pPr>
        <w:spacing w:after="240"/>
        <w:jc w:val="center"/>
        <w:rPr>
          <w:b/>
        </w:rPr>
      </w:pPr>
      <w:r w:rsidRPr="00674871">
        <w:rPr>
          <w:b/>
        </w:rPr>
        <w:t>STATEMENT OF</w:t>
      </w:r>
      <w:r w:rsidRPr="00674871">
        <w:rPr>
          <w:b/>
        </w:rPr>
        <w:br/>
        <w:t>CHAIRMAN AJIT PAI</w:t>
      </w:r>
    </w:p>
    <w:p w:rsidR="0000363B" w:rsidRPr="005133BF" w:rsidP="00473AFF" w14:paraId="5E22250B" w14:textId="0A170A10">
      <w:pPr>
        <w:ind w:left="720" w:hanging="720"/>
        <w:rPr>
          <w:bCs/>
          <w:i/>
          <w:iCs/>
        </w:rPr>
      </w:pPr>
      <w:bookmarkStart w:id="0" w:name="_Hlk42603447"/>
      <w:r w:rsidRPr="00A62C86">
        <w:rPr>
          <w:bCs/>
        </w:rPr>
        <w:t>Re:</w:t>
      </w:r>
      <w:r w:rsidRPr="00A62C86">
        <w:rPr>
          <w:bCs/>
        </w:rPr>
        <w:tab/>
      </w:r>
      <w:r w:rsidR="00473AFF">
        <w:rPr>
          <w:bCs/>
          <w:i/>
          <w:iCs/>
        </w:rPr>
        <w:t>Auction of Flexible-Use Service Licenses in the 2.5 GHz Band for Next-Generation Wireless Services</w:t>
      </w:r>
      <w:r w:rsidRPr="00A62C86">
        <w:rPr>
          <w:bCs/>
        </w:rPr>
        <w:t xml:space="preserve">, </w:t>
      </w:r>
      <w:r w:rsidR="00473AFF">
        <w:rPr>
          <w:bCs/>
        </w:rPr>
        <w:t>AU</w:t>
      </w:r>
      <w:r w:rsidR="005133BF">
        <w:rPr>
          <w:bCs/>
        </w:rPr>
        <w:t xml:space="preserve"> Docket No. </w:t>
      </w:r>
      <w:r w:rsidR="00473AFF">
        <w:rPr>
          <w:spacing w:val="-2"/>
          <w:szCs w:val="22"/>
        </w:rPr>
        <w:t>20</w:t>
      </w:r>
      <w:r w:rsidR="005133BF">
        <w:rPr>
          <w:spacing w:val="-2"/>
          <w:szCs w:val="22"/>
        </w:rPr>
        <w:t>-</w:t>
      </w:r>
      <w:r w:rsidR="00473AFF">
        <w:rPr>
          <w:spacing w:val="-2"/>
          <w:szCs w:val="22"/>
        </w:rPr>
        <w:t>4</w:t>
      </w:r>
      <w:r w:rsidR="00BD7504">
        <w:rPr>
          <w:spacing w:val="-2"/>
          <w:szCs w:val="22"/>
        </w:rPr>
        <w:t>2</w:t>
      </w:r>
      <w:r w:rsidR="00473AFF">
        <w:rPr>
          <w:spacing w:val="-2"/>
          <w:szCs w:val="22"/>
        </w:rPr>
        <w:t>9</w:t>
      </w:r>
      <w:r w:rsidRPr="00A62C86">
        <w:rPr>
          <w:bCs/>
        </w:rPr>
        <w:t>.</w:t>
      </w:r>
      <w:bookmarkEnd w:id="0"/>
    </w:p>
    <w:p w:rsidR="00C93072" w:rsidP="00473AFF" w14:paraId="5D4EC3C1" w14:textId="77777777">
      <w:pPr>
        <w:widowControl/>
        <w:rPr>
          <w:szCs w:val="22"/>
        </w:rPr>
      </w:pPr>
    </w:p>
    <w:p w:rsidR="00473AFF" w:rsidP="00473AFF" w14:paraId="41D6BA3E" w14:textId="49898F74">
      <w:pPr>
        <w:widowControl/>
        <w:spacing w:after="120"/>
        <w:ind w:firstLine="720"/>
        <w:rPr>
          <w:szCs w:val="22"/>
        </w:rPr>
      </w:pPr>
      <w:r>
        <w:rPr>
          <w:szCs w:val="22"/>
        </w:rPr>
        <w:t xml:space="preserve">Today we begin the process </w:t>
      </w:r>
      <w:r w:rsidR="00D15A99">
        <w:rPr>
          <w:szCs w:val="22"/>
        </w:rPr>
        <w:t>of</w:t>
      </w:r>
      <w:r>
        <w:rPr>
          <w:szCs w:val="22"/>
        </w:rPr>
        <w:t xml:space="preserve"> adopting procedures for the third </w:t>
      </w:r>
      <w:r w:rsidR="00D15A99">
        <w:rPr>
          <w:szCs w:val="22"/>
        </w:rPr>
        <w:t>FC</w:t>
      </w:r>
      <w:r>
        <w:rPr>
          <w:szCs w:val="22"/>
        </w:rPr>
        <w:t xml:space="preserve">C auction </w:t>
      </w:r>
      <w:r w:rsidR="00D15A99">
        <w:rPr>
          <w:szCs w:val="22"/>
        </w:rPr>
        <w:t>of</w:t>
      </w:r>
      <w:r>
        <w:rPr>
          <w:szCs w:val="22"/>
        </w:rPr>
        <w:t xml:space="preserve"> critical, mid-band spectrum for 5G.  Based on what we have learned from the first two auctions, </w:t>
      </w:r>
      <w:r w:rsidR="00830FEC">
        <w:rPr>
          <w:szCs w:val="22"/>
        </w:rPr>
        <w:t>it is time to get going</w:t>
      </w:r>
      <w:r>
        <w:rPr>
          <w:szCs w:val="22"/>
        </w:rPr>
        <w:t xml:space="preserve">.  </w:t>
      </w:r>
    </w:p>
    <w:p w:rsidR="00473AFF" w:rsidP="00473AFF" w14:paraId="3C564937" w14:textId="27FEF43C">
      <w:pPr>
        <w:widowControl/>
        <w:spacing w:after="120"/>
        <w:ind w:firstLine="720"/>
        <w:rPr>
          <w:szCs w:val="22"/>
        </w:rPr>
      </w:pPr>
      <w:r>
        <w:rPr>
          <w:szCs w:val="22"/>
        </w:rPr>
        <w:t xml:space="preserve">Auction 105, our auction of seven, 10-megahertz Priority Access Licenses </w:t>
      </w:r>
      <w:r w:rsidR="00830FEC">
        <w:rPr>
          <w:szCs w:val="22"/>
        </w:rPr>
        <w:t xml:space="preserve">per county </w:t>
      </w:r>
      <w:r>
        <w:rPr>
          <w:szCs w:val="22"/>
        </w:rPr>
        <w:t>in the 3.5 GHz band, concluded in August of last year.  In th</w:t>
      </w:r>
      <w:r w:rsidR="00D15A99">
        <w:rPr>
          <w:szCs w:val="22"/>
        </w:rPr>
        <w:t>at</w:t>
      </w:r>
      <w:r>
        <w:rPr>
          <w:szCs w:val="22"/>
        </w:rPr>
        <w:t xml:space="preserve"> auction, 228 bidders won a total of 20,625 licenses—the largest number of licenses ever awarded through an FCC auction to the largest number of auction winners</w:t>
      </w:r>
      <w:r w:rsidR="00D15A99">
        <w:rPr>
          <w:szCs w:val="22"/>
        </w:rPr>
        <w:t xml:space="preserve"> from a single auction</w:t>
      </w:r>
      <w:r>
        <w:rPr>
          <w:szCs w:val="22"/>
        </w:rPr>
        <w:t>.  The div</w:t>
      </w:r>
      <w:r>
        <w:rPr>
          <w:szCs w:val="22"/>
        </w:rPr>
        <w:t>ersity of winning bidders ran the gamut, from traditional wireless carriers to cable companies</w:t>
      </w:r>
      <w:r w:rsidR="00D15A99">
        <w:rPr>
          <w:szCs w:val="22"/>
        </w:rPr>
        <w:t>, from</w:t>
      </w:r>
      <w:r>
        <w:rPr>
          <w:szCs w:val="22"/>
        </w:rPr>
        <w:t xml:space="preserve"> wireless Internet service providers to </w:t>
      </w:r>
      <w:r w:rsidR="00960C1E">
        <w:rPr>
          <w:szCs w:val="22"/>
        </w:rPr>
        <w:t xml:space="preserve">utilities, and even </w:t>
      </w:r>
      <w:r>
        <w:rPr>
          <w:szCs w:val="22"/>
        </w:rPr>
        <w:t xml:space="preserve">entirely new market entrants.  Auction 107, an auction of 280 megahertz of spectrum between 3.7 </w:t>
      </w:r>
      <w:r>
        <w:rPr>
          <w:szCs w:val="22"/>
        </w:rPr>
        <w:t>and 3.98 GHz,</w:t>
      </w:r>
      <w:r w:rsidR="006C6670">
        <w:rPr>
          <w:szCs w:val="22"/>
        </w:rPr>
        <w:t xml:space="preserve"> </w:t>
      </w:r>
      <w:r w:rsidRPr="006C6670">
        <w:rPr>
          <w:szCs w:val="22"/>
        </w:rPr>
        <w:t xml:space="preserve">is ongoing, with </w:t>
      </w:r>
      <w:r w:rsidRPr="006C6670" w:rsidR="00830FEC">
        <w:rPr>
          <w:szCs w:val="22"/>
        </w:rPr>
        <w:t>gross proceeds</w:t>
      </w:r>
      <w:r w:rsidRPr="006C6670">
        <w:rPr>
          <w:szCs w:val="22"/>
        </w:rPr>
        <w:t xml:space="preserve"> currently exceeding $80 billion</w:t>
      </w:r>
      <w:r w:rsidRPr="006C6670" w:rsidR="00830FEC">
        <w:rPr>
          <w:szCs w:val="22"/>
        </w:rPr>
        <w:t>, far above the prior FCC auction record of just under $45 billion</w:t>
      </w:r>
      <w:r w:rsidRPr="006C6670">
        <w:rPr>
          <w:szCs w:val="22"/>
        </w:rPr>
        <w:t>.</w:t>
      </w:r>
    </w:p>
    <w:p w:rsidR="00473AFF" w:rsidP="00473AFF" w14:paraId="73E4CBD3" w14:textId="5A597E84">
      <w:pPr>
        <w:widowControl/>
        <w:spacing w:after="120"/>
        <w:ind w:firstLine="720"/>
        <w:rPr>
          <w:szCs w:val="22"/>
        </w:rPr>
      </w:pPr>
      <w:r>
        <w:rPr>
          <w:szCs w:val="22"/>
        </w:rPr>
        <w:t xml:space="preserve">The robust participation in both of these auctions </w:t>
      </w:r>
      <w:r w:rsidR="005458F1">
        <w:rPr>
          <w:szCs w:val="22"/>
        </w:rPr>
        <w:t>is irrefutable evidence of the demand for spectrum—and mid-band spectrum in particular.  That’s why the first objective of our 5G FAST Plan has been to quickly make more spectrum available for 5G services.  One of this agency’s fundamental responsibilities is to ensure that spectrum is being put to its highest and best use.  Unfortunately, until recently</w:t>
      </w:r>
      <w:r w:rsidR="00830FEC">
        <w:rPr>
          <w:szCs w:val="22"/>
        </w:rPr>
        <w:t>,</w:t>
      </w:r>
      <w:r w:rsidR="005458F1">
        <w:rPr>
          <w:szCs w:val="22"/>
        </w:rPr>
        <w:t xml:space="preserve"> </w:t>
      </w:r>
      <w:r w:rsidR="00276826">
        <w:rPr>
          <w:szCs w:val="22"/>
        </w:rPr>
        <w:t>that wasn’t happening in</w:t>
      </w:r>
      <w:r w:rsidR="005458F1">
        <w:rPr>
          <w:szCs w:val="22"/>
        </w:rPr>
        <w:t xml:space="preserve"> the 2.5 GHz band.</w:t>
      </w:r>
    </w:p>
    <w:p w:rsidR="00473AFF" w:rsidP="00473AFF" w14:paraId="42BE5898" w14:textId="3036C1DC">
      <w:pPr>
        <w:widowControl/>
        <w:spacing w:after="120"/>
        <w:ind w:firstLine="720"/>
        <w:rPr>
          <w:szCs w:val="22"/>
        </w:rPr>
      </w:pPr>
      <w:r>
        <w:rPr>
          <w:szCs w:val="22"/>
        </w:rPr>
        <w:t xml:space="preserve">The 2.5 GHz band includes spectrum from 2496 to 2690 MHz and represents the largest band of contiguous spectrum below 3 GHz.  The spectrum </w:t>
      </w:r>
      <w:r w:rsidR="00830FEC">
        <w:rPr>
          <w:szCs w:val="22"/>
        </w:rPr>
        <w:t xml:space="preserve">was </w:t>
      </w:r>
      <w:r>
        <w:rPr>
          <w:szCs w:val="22"/>
        </w:rPr>
        <w:t>designated for Educational Broadband Service (EBS) and Broadband Radio Service.  But EBS eligibility and use rest</w:t>
      </w:r>
      <w:r>
        <w:rPr>
          <w:szCs w:val="22"/>
        </w:rPr>
        <w:t xml:space="preserve">rictions, combined with an unusual licensing regime, resulted in </w:t>
      </w:r>
      <w:r w:rsidR="005458F1">
        <w:rPr>
          <w:szCs w:val="22"/>
        </w:rPr>
        <w:t xml:space="preserve">much of the 2.5 GHz band </w:t>
      </w:r>
      <w:r>
        <w:rPr>
          <w:szCs w:val="22"/>
        </w:rPr>
        <w:t>lying fallow,</w:t>
      </w:r>
      <w:r w:rsidR="005458F1">
        <w:rPr>
          <w:szCs w:val="22"/>
        </w:rPr>
        <w:t xml:space="preserve"> particularly west of the Mississippi River.  T</w:t>
      </w:r>
      <w:r>
        <w:rPr>
          <w:szCs w:val="22"/>
        </w:rPr>
        <w:t>echnological advances also rendered the originally intended purpose for the EBS band largely outdated.</w:t>
      </w:r>
    </w:p>
    <w:p w:rsidR="0010427E" w:rsidP="00090327" w14:paraId="55DB6E75" w14:textId="57B1C654">
      <w:pPr>
        <w:widowControl/>
        <w:spacing w:after="120"/>
        <w:ind w:firstLine="720"/>
        <w:rPr>
          <w:szCs w:val="22"/>
        </w:rPr>
      </w:pPr>
      <w:r>
        <w:rPr>
          <w:szCs w:val="22"/>
        </w:rPr>
        <w:t xml:space="preserve">In </w:t>
      </w:r>
      <w:r>
        <w:rPr>
          <w:szCs w:val="22"/>
        </w:rPr>
        <w:t>July 2019, a majority of the Commission voted to transform the rules for the 2.5 GHz band to make more efficient use of this valuable spectrum.  The Commission eliminated restrictions on the type of entities that can hold licenses as well as educational us</w:t>
      </w:r>
      <w:r>
        <w:rPr>
          <w:szCs w:val="22"/>
        </w:rPr>
        <w:t xml:space="preserve">e requirements </w:t>
      </w:r>
      <w:r w:rsidR="00960C1E">
        <w:rPr>
          <w:szCs w:val="22"/>
        </w:rPr>
        <w:t>while providing</w:t>
      </w:r>
      <w:r>
        <w:rPr>
          <w:szCs w:val="22"/>
        </w:rPr>
        <w:t xml:space="preserve"> incumbent entities with additional flexibility in how they can use this spectrum.  The Commission also</w:t>
      </w:r>
      <w:r w:rsidR="00D121B9">
        <w:rPr>
          <w:szCs w:val="22"/>
        </w:rPr>
        <w:t xml:space="preserve"> prioritized deployment of next-generation services to rural Tribal communities through the creation of a Rural Tribal Priority Window.  As I’ve said before, “from the Rosebud Sioux Reservation in South Dakota to the Navajo Nation in Arizona, from the Coeur D’Alene Reservation in Idaho to the Jemez and Zia Pueblos in New Mexico—the digital divide is most keenly felt in Indian Country.”</w:t>
      </w:r>
      <w:r w:rsidR="00090327">
        <w:rPr>
          <w:szCs w:val="22"/>
        </w:rPr>
        <w:t xml:space="preserve">  To help bridge </w:t>
      </w:r>
      <w:r w:rsidR="00960C1E">
        <w:rPr>
          <w:szCs w:val="22"/>
        </w:rPr>
        <w:t>that divide</w:t>
      </w:r>
      <w:r w:rsidR="00090327">
        <w:rPr>
          <w:szCs w:val="22"/>
        </w:rPr>
        <w:t xml:space="preserve">, the Commission created a process to allow qualifying Tribal entities to apply for available white-space spectrum covering rural Tribal lands—for free.  The Rural Tribal Priority Window closed on September 2, 2020, to massive success.  The Commission received more than 400 applications from Tribal entities throughout the country in response to the window and the Commission has already granted </w:t>
      </w:r>
      <w:r w:rsidRPr="00C221FF" w:rsidR="00090327">
        <w:rPr>
          <w:szCs w:val="22"/>
        </w:rPr>
        <w:t>1</w:t>
      </w:r>
      <w:r w:rsidR="00DD451F">
        <w:rPr>
          <w:szCs w:val="22"/>
        </w:rPr>
        <w:t>82</w:t>
      </w:r>
      <w:r w:rsidR="00090327">
        <w:rPr>
          <w:szCs w:val="22"/>
        </w:rPr>
        <w:t xml:space="preserve"> of these license applications.  </w:t>
      </w:r>
    </w:p>
    <w:p w:rsidR="00C01A52" w:rsidP="001D7071" w14:paraId="2ACD8FDC" w14:textId="374591AE">
      <w:pPr>
        <w:widowControl/>
        <w:spacing w:after="120"/>
        <w:ind w:firstLine="720"/>
        <w:rPr>
          <w:szCs w:val="22"/>
        </w:rPr>
      </w:pPr>
      <w:r>
        <w:rPr>
          <w:szCs w:val="22"/>
        </w:rPr>
        <w:t>With the Rural Tribal Priority Window now</w:t>
      </w:r>
      <w:r>
        <w:rPr>
          <w:szCs w:val="22"/>
        </w:rPr>
        <w:t xml:space="preserve"> closed, we move to the next phase of making more efficient use of the 2.5 GHz band: seeking public </w:t>
      </w:r>
      <w:r w:rsidRPr="00D8376B">
        <w:rPr>
          <w:szCs w:val="22"/>
        </w:rPr>
        <w:t xml:space="preserve">comment on the </w:t>
      </w:r>
      <w:r>
        <w:rPr>
          <w:szCs w:val="22"/>
        </w:rPr>
        <w:t xml:space="preserve">auction </w:t>
      </w:r>
      <w:r w:rsidRPr="00D8376B">
        <w:rPr>
          <w:szCs w:val="22"/>
        </w:rPr>
        <w:t xml:space="preserve">procedures to be used for </w:t>
      </w:r>
      <w:r>
        <w:rPr>
          <w:szCs w:val="22"/>
        </w:rPr>
        <w:t xml:space="preserve">awarding overlay licenses for the remaining white-space spectrum available in the band.  </w:t>
      </w:r>
      <w:r w:rsidRPr="00D8376B">
        <w:rPr>
          <w:szCs w:val="22"/>
        </w:rPr>
        <w:t>Auction 108</w:t>
      </w:r>
      <w:r>
        <w:rPr>
          <w:szCs w:val="22"/>
        </w:rPr>
        <w:t xml:space="preserve"> will o</w:t>
      </w:r>
      <w:r>
        <w:rPr>
          <w:szCs w:val="22"/>
        </w:rPr>
        <w:t>ffer</w:t>
      </w:r>
      <w:r w:rsidRPr="00D8376B">
        <w:rPr>
          <w:szCs w:val="22"/>
        </w:rPr>
        <w:t xml:space="preserve"> approximately 8,300 geographic overlay licenses in the 2.5 GHz band.  </w:t>
      </w:r>
      <w:r>
        <w:rPr>
          <w:szCs w:val="22"/>
        </w:rPr>
        <w:t>In this public notice, w</w:t>
      </w:r>
      <w:r w:rsidRPr="00D8376B">
        <w:rPr>
          <w:szCs w:val="22"/>
        </w:rPr>
        <w:t xml:space="preserve">e </w:t>
      </w:r>
      <w:r w:rsidR="00276826">
        <w:rPr>
          <w:szCs w:val="22"/>
        </w:rPr>
        <w:t>seek comment on whether</w:t>
      </w:r>
      <w:r w:rsidRPr="00D8376B" w:rsidR="00276826">
        <w:rPr>
          <w:szCs w:val="22"/>
        </w:rPr>
        <w:t xml:space="preserve"> </w:t>
      </w:r>
      <w:r w:rsidRPr="00D8376B">
        <w:rPr>
          <w:szCs w:val="22"/>
        </w:rPr>
        <w:t>to use a single</w:t>
      </w:r>
      <w:r w:rsidR="001D7071">
        <w:rPr>
          <w:szCs w:val="22"/>
        </w:rPr>
        <w:t xml:space="preserve"> bidding </w:t>
      </w:r>
      <w:r w:rsidRPr="00D8376B">
        <w:rPr>
          <w:szCs w:val="22"/>
        </w:rPr>
        <w:t>round auction format with user-defined package bidding</w:t>
      </w:r>
      <w:r w:rsidR="006C6670">
        <w:rPr>
          <w:szCs w:val="22"/>
        </w:rPr>
        <w:t xml:space="preserve"> </w:t>
      </w:r>
      <w:r w:rsidR="00276826">
        <w:rPr>
          <w:szCs w:val="22"/>
        </w:rPr>
        <w:t>or</w:t>
      </w:r>
      <w:r w:rsidRPr="00D8376B">
        <w:rPr>
          <w:szCs w:val="22"/>
        </w:rPr>
        <w:t xml:space="preserve"> a simultaneous multiple-round auction format.</w:t>
      </w:r>
      <w:r w:rsidR="001D7071">
        <w:rPr>
          <w:szCs w:val="22"/>
        </w:rPr>
        <w:t xml:space="preserve">  We </w:t>
      </w:r>
      <w:r w:rsidR="00960C1E">
        <w:rPr>
          <w:szCs w:val="22"/>
        </w:rPr>
        <w:t>also</w:t>
      </w:r>
      <w:r w:rsidR="001D7071">
        <w:rPr>
          <w:szCs w:val="22"/>
        </w:rPr>
        <w:t xml:space="preserve"> seek comment on other auction mechanics related to competitive bidding design, application and certification procedures, reporting requirements, and the prohibition of certain communications—consistent with prior auctions. </w:t>
      </w:r>
    </w:p>
    <w:p w:rsidR="0057640B" w:rsidP="00C01A52" w14:paraId="5E6B9C89" w14:textId="239FC17E">
      <w:pPr>
        <w:widowControl/>
        <w:spacing w:after="120"/>
        <w:ind w:firstLine="720"/>
        <w:rPr>
          <w:szCs w:val="22"/>
        </w:rPr>
      </w:pPr>
      <w:r w:rsidRPr="00D8376B">
        <w:rPr>
          <w:szCs w:val="22"/>
        </w:rPr>
        <w:t>By initiating the pre-auct</w:t>
      </w:r>
      <w:r w:rsidRPr="00D8376B">
        <w:rPr>
          <w:szCs w:val="22"/>
        </w:rPr>
        <w:t xml:space="preserve">ion process for assigning licenses in Auction 108, we take another important step towards releasing critical mid-band spectrum to the market and furthering the deployment of 5G wireless and other </w:t>
      </w:r>
      <w:r w:rsidR="00FF083B">
        <w:rPr>
          <w:szCs w:val="22"/>
        </w:rPr>
        <w:t xml:space="preserve">advanced </w:t>
      </w:r>
      <w:r w:rsidRPr="00D8376B">
        <w:rPr>
          <w:szCs w:val="22"/>
        </w:rPr>
        <w:t xml:space="preserve">spectrum-based services across the country. </w:t>
      </w:r>
      <w:r w:rsidR="00C01A52">
        <w:rPr>
          <w:szCs w:val="22"/>
        </w:rPr>
        <w:t xml:space="preserve"> </w:t>
      </w:r>
      <w:r>
        <w:rPr>
          <w:szCs w:val="22"/>
        </w:rPr>
        <w:t>With o</w:t>
      </w:r>
      <w:r>
        <w:rPr>
          <w:szCs w:val="22"/>
        </w:rPr>
        <w:t xml:space="preserve">ur efforts, the Commission is redeploying prime spectrum that has languished underused to help fulfill the promises of connectivity to </w:t>
      </w:r>
      <w:r>
        <w:rPr>
          <w:i/>
          <w:iCs/>
          <w:szCs w:val="22"/>
        </w:rPr>
        <w:t xml:space="preserve">all </w:t>
      </w:r>
      <w:r>
        <w:rPr>
          <w:szCs w:val="22"/>
        </w:rPr>
        <w:t>Americans.</w:t>
      </w:r>
    </w:p>
    <w:p w:rsidR="00BD7504" w:rsidRPr="00374448" w:rsidP="00374448" w14:paraId="7960AFA1" w14:textId="76E58A5E">
      <w:pPr>
        <w:spacing w:after="120"/>
        <w:ind w:firstLine="720"/>
      </w:pPr>
      <w:r>
        <w:rPr>
          <w:szCs w:val="22"/>
        </w:rPr>
        <w:t xml:space="preserve">Today’s work will make a meaningful difference in the lives of </w:t>
      </w:r>
      <w:r w:rsidR="00FF083B">
        <w:rPr>
          <w:szCs w:val="22"/>
        </w:rPr>
        <w:t xml:space="preserve">many </w:t>
      </w:r>
      <w:r>
        <w:rPr>
          <w:szCs w:val="22"/>
        </w:rPr>
        <w:t xml:space="preserve">Americans.  </w:t>
      </w:r>
      <w:r w:rsidR="00EB362A">
        <w:rPr>
          <w:szCs w:val="22"/>
        </w:rPr>
        <w:t xml:space="preserve">I would be remiss </w:t>
      </w:r>
      <w:r w:rsidR="00C01A52">
        <w:rPr>
          <w:szCs w:val="22"/>
        </w:rPr>
        <w:t>not to</w:t>
      </w:r>
      <w:r w:rsidR="00EB362A">
        <w:rPr>
          <w:szCs w:val="22"/>
        </w:rPr>
        <w:t xml:space="preserve"> thank the dedicated Commission staff who have worked to m</w:t>
      </w:r>
      <w:r>
        <w:rPr>
          <w:szCs w:val="22"/>
        </w:rPr>
        <w:t>ake this happen</w:t>
      </w:r>
      <w:r w:rsidR="00374448">
        <w:rPr>
          <w:szCs w:val="22"/>
        </w:rPr>
        <w:t>.</w:t>
      </w:r>
      <w:r w:rsidR="00EB362A">
        <w:rPr>
          <w:szCs w:val="22"/>
        </w:rPr>
        <w:t xml:space="preserve">  </w:t>
      </w:r>
      <w:r w:rsidR="00374448">
        <w:rPr>
          <w:szCs w:val="22"/>
        </w:rPr>
        <w:t xml:space="preserve">From the Office of Economics and Analytics: </w:t>
      </w:r>
      <w:r w:rsidRPr="00374448" w:rsidR="00374448">
        <w:t>Erik Beith</w:t>
      </w:r>
      <w:r w:rsidR="00374448">
        <w:t xml:space="preserve">, </w:t>
      </w:r>
      <w:r w:rsidRPr="00374448" w:rsidR="00374448">
        <w:rPr>
          <w:szCs w:val="22"/>
        </w:rPr>
        <w:t>Craig Bomberger</w:t>
      </w:r>
      <w:r w:rsidR="00374448">
        <w:t xml:space="preserve">, </w:t>
      </w:r>
      <w:r w:rsidRPr="00374448" w:rsidR="00374448">
        <w:rPr>
          <w:szCs w:val="22"/>
        </w:rPr>
        <w:t>Jonathan Campbell</w:t>
      </w:r>
      <w:r w:rsidR="00374448">
        <w:t xml:space="preserve">, </w:t>
      </w:r>
      <w:r w:rsidRPr="00374448" w:rsidR="00374448">
        <w:rPr>
          <w:szCs w:val="22"/>
        </w:rPr>
        <w:t>Rita Cookmeyer</w:t>
      </w:r>
      <w:r w:rsidR="00374448">
        <w:t xml:space="preserve">, </w:t>
      </w:r>
      <w:r w:rsidRPr="00374448" w:rsidR="00374448">
        <w:rPr>
          <w:szCs w:val="22"/>
        </w:rPr>
        <w:t>Alex Espinoza</w:t>
      </w:r>
      <w:r w:rsidR="00374448">
        <w:t xml:space="preserve">, </w:t>
      </w:r>
      <w:r w:rsidRPr="00374448" w:rsidR="00374448">
        <w:rPr>
          <w:szCs w:val="22"/>
        </w:rPr>
        <w:t>Jill Goldberge</w:t>
      </w:r>
      <w:r w:rsidR="00374448">
        <w:rPr>
          <w:szCs w:val="22"/>
        </w:rPr>
        <w:t xml:space="preserve">r, </w:t>
      </w:r>
      <w:r w:rsidRPr="00374448" w:rsidR="00374448">
        <w:rPr>
          <w:szCs w:val="22"/>
        </w:rPr>
        <w:t>Daniel Habif</w:t>
      </w:r>
      <w:r w:rsidR="00374448">
        <w:t xml:space="preserve">, </w:t>
      </w:r>
      <w:r w:rsidRPr="00374448" w:rsidR="00374448">
        <w:rPr>
          <w:szCs w:val="22"/>
        </w:rPr>
        <w:t>Amanda Hilfiger</w:t>
      </w:r>
      <w:r w:rsidR="00374448">
        <w:t xml:space="preserve">, </w:t>
      </w:r>
      <w:r w:rsidRPr="00374448" w:rsidR="00374448">
        <w:rPr>
          <w:szCs w:val="22"/>
        </w:rPr>
        <w:t>Bill Huber</w:t>
      </w:r>
      <w:r w:rsidR="00374448">
        <w:t xml:space="preserve">, </w:t>
      </w:r>
      <w:r w:rsidRPr="00374448" w:rsidR="00374448">
        <w:rPr>
          <w:szCs w:val="22"/>
        </w:rPr>
        <w:t>Shabnam Javid</w:t>
      </w:r>
      <w:r w:rsidR="00374448">
        <w:t xml:space="preserve">, </w:t>
      </w:r>
      <w:r w:rsidRPr="00374448" w:rsidR="00374448">
        <w:rPr>
          <w:szCs w:val="22"/>
        </w:rPr>
        <w:t>Eliot Maenner</w:t>
      </w:r>
      <w:r w:rsidR="00374448">
        <w:t xml:space="preserve">, </w:t>
      </w:r>
      <w:r w:rsidRPr="00374448" w:rsidR="00374448">
        <w:rPr>
          <w:szCs w:val="22"/>
        </w:rPr>
        <w:t>William McFarland</w:t>
      </w:r>
      <w:r w:rsidR="00374448">
        <w:rPr>
          <w:szCs w:val="22"/>
        </w:rPr>
        <w:t xml:space="preserve">, </w:t>
      </w:r>
      <w:r w:rsidRPr="00374448" w:rsidR="00374448">
        <w:rPr>
          <w:szCs w:val="22"/>
        </w:rPr>
        <w:t>Giulia McHenry</w:t>
      </w:r>
      <w:r w:rsidR="00374448">
        <w:t xml:space="preserve">, </w:t>
      </w:r>
      <w:r w:rsidRPr="00374448" w:rsidR="00374448">
        <w:rPr>
          <w:szCs w:val="22"/>
        </w:rPr>
        <w:t>Gary Michaels</w:t>
      </w:r>
      <w:r w:rsidR="00374448">
        <w:t xml:space="preserve">, </w:t>
      </w:r>
      <w:r w:rsidRPr="00374448" w:rsidR="00374448">
        <w:rPr>
          <w:szCs w:val="22"/>
        </w:rPr>
        <w:t>Linda Sanderson</w:t>
      </w:r>
      <w:r w:rsidR="00374448">
        <w:t xml:space="preserve">, </w:t>
      </w:r>
      <w:r w:rsidRPr="00374448" w:rsidR="00374448">
        <w:rPr>
          <w:szCs w:val="22"/>
        </w:rPr>
        <w:t>Michelle Schaefer</w:t>
      </w:r>
      <w:r w:rsidR="00374448">
        <w:t xml:space="preserve">, </w:t>
      </w:r>
      <w:r w:rsidRPr="00374448" w:rsidR="00374448">
        <w:rPr>
          <w:szCs w:val="22"/>
        </w:rPr>
        <w:t>Debbie Smith</w:t>
      </w:r>
      <w:r w:rsidR="00374448">
        <w:rPr>
          <w:szCs w:val="22"/>
        </w:rPr>
        <w:t xml:space="preserve">, </w:t>
      </w:r>
      <w:r w:rsidRPr="00374448" w:rsidR="00374448">
        <w:rPr>
          <w:szCs w:val="22"/>
        </w:rPr>
        <w:t>Martha Stancill</w:t>
      </w:r>
      <w:r w:rsidR="00374448">
        <w:t xml:space="preserve">, </w:t>
      </w:r>
      <w:r w:rsidRPr="00374448" w:rsidR="00374448">
        <w:rPr>
          <w:szCs w:val="22"/>
        </w:rPr>
        <w:t>Sue Sterner</w:t>
      </w:r>
      <w:r w:rsidR="00374448">
        <w:t xml:space="preserve">, and </w:t>
      </w:r>
      <w:r w:rsidRPr="00374448" w:rsidR="00374448">
        <w:rPr>
          <w:szCs w:val="22"/>
        </w:rPr>
        <w:t>Margy Wiener</w:t>
      </w:r>
      <w:r w:rsidR="00374448">
        <w:rPr>
          <w:szCs w:val="22"/>
        </w:rPr>
        <w:t xml:space="preserve">; from the Wireless Telecommunications Bureau: </w:t>
      </w:r>
      <w:r w:rsidRPr="00374448" w:rsidR="00374448">
        <w:t>Cheryl Black</w:t>
      </w:r>
      <w:r w:rsidR="00374448">
        <w:t xml:space="preserve">, </w:t>
      </w:r>
      <w:r w:rsidRPr="00374448" w:rsidR="00374448">
        <w:rPr>
          <w:szCs w:val="22"/>
        </w:rPr>
        <w:t>Ste</w:t>
      </w:r>
      <w:r w:rsidR="00374448">
        <w:rPr>
          <w:szCs w:val="22"/>
        </w:rPr>
        <w:t>ve</w:t>
      </w:r>
      <w:r w:rsidRPr="00374448" w:rsidR="00374448">
        <w:rPr>
          <w:szCs w:val="22"/>
        </w:rPr>
        <w:t xml:space="preserve"> Buenzow</w:t>
      </w:r>
      <w:r w:rsidR="00374448">
        <w:rPr>
          <w:szCs w:val="22"/>
        </w:rPr>
        <w:t xml:space="preserve">, </w:t>
      </w:r>
      <w:r w:rsidRPr="00374448" w:rsidR="00374448">
        <w:rPr>
          <w:szCs w:val="22"/>
        </w:rPr>
        <w:t>Melvin Del Rosario</w:t>
      </w:r>
      <w:r w:rsidR="00374448">
        <w:t xml:space="preserve">, </w:t>
      </w:r>
      <w:r w:rsidRPr="00374448" w:rsidR="00374448">
        <w:rPr>
          <w:szCs w:val="22"/>
        </w:rPr>
        <w:t>Diane Dupert</w:t>
      </w:r>
      <w:r w:rsidR="00374448">
        <w:t xml:space="preserve">, </w:t>
      </w:r>
      <w:r w:rsidRPr="00374448" w:rsidR="00374448">
        <w:rPr>
          <w:szCs w:val="22"/>
        </w:rPr>
        <w:t>Erin Fitzgerald</w:t>
      </w:r>
      <w:r w:rsidR="00374448">
        <w:t xml:space="preserve">, </w:t>
      </w:r>
      <w:r w:rsidRPr="00374448" w:rsidR="00374448">
        <w:rPr>
          <w:szCs w:val="22"/>
        </w:rPr>
        <w:t>Tim Hilfiger</w:t>
      </w:r>
      <w:r w:rsidR="00374448">
        <w:t xml:space="preserve">, </w:t>
      </w:r>
      <w:r w:rsidRPr="00374448" w:rsidR="00374448">
        <w:rPr>
          <w:szCs w:val="22"/>
        </w:rPr>
        <w:t>Jessica Hynosky</w:t>
      </w:r>
      <w:r w:rsidR="00374448">
        <w:t xml:space="preserve">, </w:t>
      </w:r>
      <w:r w:rsidRPr="00374448" w:rsidR="00374448">
        <w:rPr>
          <w:szCs w:val="22"/>
        </w:rPr>
        <w:t>Madelaine Maior</w:t>
      </w:r>
      <w:r w:rsidR="00374448">
        <w:t xml:space="preserve">, </w:t>
      </w:r>
      <w:r w:rsidRPr="00374448" w:rsidR="00374448">
        <w:rPr>
          <w:szCs w:val="22"/>
        </w:rPr>
        <w:t>Chris Miller</w:t>
      </w:r>
      <w:r w:rsidR="00374448">
        <w:t xml:space="preserve">, </w:t>
      </w:r>
      <w:r w:rsidRPr="00374448" w:rsidR="00374448">
        <w:rPr>
          <w:szCs w:val="22"/>
        </w:rPr>
        <w:t>Susan Mort</w:t>
      </w:r>
      <w:r w:rsidR="00374448">
        <w:t xml:space="preserve">, </w:t>
      </w:r>
      <w:r w:rsidRPr="00374448" w:rsidR="00374448">
        <w:rPr>
          <w:szCs w:val="22"/>
        </w:rPr>
        <w:t>Matthew Pearl</w:t>
      </w:r>
      <w:r w:rsidR="00374448">
        <w:t xml:space="preserve">, </w:t>
      </w:r>
      <w:r w:rsidRPr="00374448" w:rsidR="00374448">
        <w:rPr>
          <w:szCs w:val="22"/>
        </w:rPr>
        <w:t>John Schauble</w:t>
      </w:r>
      <w:r w:rsidR="00374448">
        <w:t xml:space="preserve">, </w:t>
      </w:r>
      <w:r w:rsidRPr="00374448" w:rsidR="00374448">
        <w:rPr>
          <w:szCs w:val="22"/>
        </w:rPr>
        <w:t>Catherine Schroeder</w:t>
      </w:r>
      <w:r w:rsidR="00374448">
        <w:rPr>
          <w:szCs w:val="22"/>
        </w:rPr>
        <w:t xml:space="preserve">, </w:t>
      </w:r>
      <w:r w:rsidRPr="00374448" w:rsidR="00374448">
        <w:rPr>
          <w:szCs w:val="22"/>
        </w:rPr>
        <w:t>Blaise Scinto</w:t>
      </w:r>
      <w:r w:rsidR="00374448">
        <w:rPr>
          <w:szCs w:val="22"/>
        </w:rPr>
        <w:t xml:space="preserve">, </w:t>
      </w:r>
      <w:r w:rsidRPr="00374448" w:rsidR="006F34D2">
        <w:rPr>
          <w:szCs w:val="22"/>
        </w:rPr>
        <w:t>Dana Shaffer</w:t>
      </w:r>
      <w:r w:rsidR="006F34D2">
        <w:rPr>
          <w:szCs w:val="22"/>
        </w:rPr>
        <w:t xml:space="preserve">, </w:t>
      </w:r>
      <w:r w:rsidRPr="00374448" w:rsidR="00374448">
        <w:rPr>
          <w:szCs w:val="22"/>
        </w:rPr>
        <w:t>Nadja Sodos</w:t>
      </w:r>
      <w:r w:rsidR="006F34D2">
        <w:rPr>
          <w:szCs w:val="22"/>
        </w:rPr>
        <w:t xml:space="preserve"> </w:t>
      </w:r>
      <w:r w:rsidRPr="00374448" w:rsidR="00374448">
        <w:rPr>
          <w:szCs w:val="22"/>
        </w:rPr>
        <w:t>Wallace</w:t>
      </w:r>
      <w:r w:rsidR="00374448">
        <w:t xml:space="preserve">, </w:t>
      </w:r>
      <w:r w:rsidRPr="00374448" w:rsidR="00374448">
        <w:rPr>
          <w:szCs w:val="22"/>
        </w:rPr>
        <w:t>Dorothy Stifflemire</w:t>
      </w:r>
      <w:r w:rsidR="00374448">
        <w:t xml:space="preserve">, </w:t>
      </w:r>
      <w:r w:rsidRPr="00374448" w:rsidR="00374448">
        <w:rPr>
          <w:szCs w:val="22"/>
        </w:rPr>
        <w:t>Don Stockdale</w:t>
      </w:r>
      <w:r w:rsidR="00374448">
        <w:t xml:space="preserve">, and </w:t>
      </w:r>
      <w:r w:rsidRPr="00374448" w:rsidR="00374448">
        <w:rPr>
          <w:szCs w:val="22"/>
        </w:rPr>
        <w:t>Nancy Zaczek</w:t>
      </w:r>
      <w:r w:rsidR="00374448">
        <w:rPr>
          <w:szCs w:val="22"/>
        </w:rPr>
        <w:t>; from the Office of General Counsel: David Horowitz, Keith McCrickard, and Bill Richardson; and from the Office of Managing Director: Laura Dean.</w:t>
      </w:r>
    </w:p>
    <w:sectPr w:rsidSect="001D7071">
      <w:headerReference w:type="default" r:id="rId4"/>
      <w:footerReference w:type="even" r:id="rId5"/>
      <w:footerReference w:type="default" r:id="rId6"/>
      <w:footerReference w:type="first" r:id="rId7"/>
      <w:endnotePr>
        <w:numFmt w:val="decimal"/>
      </w:endnotePr>
      <w:pgSz w:w="12240" w:h="15840"/>
      <w:pgMar w:top="1440" w:right="1440" w:bottom="1440" w:left="1440" w:header="72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C5E7FC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05913E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1590032"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7E697166"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B39CAE7"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8DAAFC2" w14:textId="77777777">
    <w:pPr>
      <w:spacing w:after="389"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703"/>
    <w:rsid w:val="0000363B"/>
    <w:rsid w:val="00003E36"/>
    <w:rsid w:val="00006CD0"/>
    <w:rsid w:val="000075C9"/>
    <w:rsid w:val="00015361"/>
    <w:rsid w:val="00015E34"/>
    <w:rsid w:val="000300CF"/>
    <w:rsid w:val="0003244D"/>
    <w:rsid w:val="000348DD"/>
    <w:rsid w:val="00036039"/>
    <w:rsid w:val="00037F90"/>
    <w:rsid w:val="000663C6"/>
    <w:rsid w:val="000875BF"/>
    <w:rsid w:val="00090327"/>
    <w:rsid w:val="00093F75"/>
    <w:rsid w:val="000960C1"/>
    <w:rsid w:val="00096D8C"/>
    <w:rsid w:val="000A0E6F"/>
    <w:rsid w:val="000A1F5E"/>
    <w:rsid w:val="000A47BB"/>
    <w:rsid w:val="000A586B"/>
    <w:rsid w:val="000A6D76"/>
    <w:rsid w:val="000C0B65"/>
    <w:rsid w:val="000E05FE"/>
    <w:rsid w:val="000E3D42"/>
    <w:rsid w:val="000F61F1"/>
    <w:rsid w:val="000F799A"/>
    <w:rsid w:val="0010427E"/>
    <w:rsid w:val="00106F8A"/>
    <w:rsid w:val="00122BD5"/>
    <w:rsid w:val="00132A22"/>
    <w:rsid w:val="00133F79"/>
    <w:rsid w:val="00134156"/>
    <w:rsid w:val="00137D35"/>
    <w:rsid w:val="00146AD2"/>
    <w:rsid w:val="00153ABA"/>
    <w:rsid w:val="00154A5F"/>
    <w:rsid w:val="00167917"/>
    <w:rsid w:val="00194A66"/>
    <w:rsid w:val="001C1B22"/>
    <w:rsid w:val="001D2924"/>
    <w:rsid w:val="001D35E9"/>
    <w:rsid w:val="001D5509"/>
    <w:rsid w:val="001D6BCF"/>
    <w:rsid w:val="001D7071"/>
    <w:rsid w:val="001E01CA"/>
    <w:rsid w:val="00200ABB"/>
    <w:rsid w:val="00202A24"/>
    <w:rsid w:val="00210DB6"/>
    <w:rsid w:val="00230982"/>
    <w:rsid w:val="002515FF"/>
    <w:rsid w:val="00251CE3"/>
    <w:rsid w:val="00255CEA"/>
    <w:rsid w:val="002575ED"/>
    <w:rsid w:val="00263829"/>
    <w:rsid w:val="00275CF5"/>
    <w:rsid w:val="00276826"/>
    <w:rsid w:val="0028301F"/>
    <w:rsid w:val="00283EBB"/>
    <w:rsid w:val="00285017"/>
    <w:rsid w:val="0029662E"/>
    <w:rsid w:val="00297BC8"/>
    <w:rsid w:val="002A2D2E"/>
    <w:rsid w:val="002A5050"/>
    <w:rsid w:val="002B7EDD"/>
    <w:rsid w:val="002C00E8"/>
    <w:rsid w:val="002C0AA3"/>
    <w:rsid w:val="002E78AE"/>
    <w:rsid w:val="002F31B7"/>
    <w:rsid w:val="002F6319"/>
    <w:rsid w:val="002F77F9"/>
    <w:rsid w:val="003211CF"/>
    <w:rsid w:val="00343749"/>
    <w:rsid w:val="00356C27"/>
    <w:rsid w:val="003660ED"/>
    <w:rsid w:val="00374448"/>
    <w:rsid w:val="00392991"/>
    <w:rsid w:val="003B0550"/>
    <w:rsid w:val="003B1023"/>
    <w:rsid w:val="003B1538"/>
    <w:rsid w:val="003B694F"/>
    <w:rsid w:val="003E1A0E"/>
    <w:rsid w:val="003E73B3"/>
    <w:rsid w:val="003F171C"/>
    <w:rsid w:val="003F1B40"/>
    <w:rsid w:val="00412BCF"/>
    <w:rsid w:val="00412FC5"/>
    <w:rsid w:val="00414158"/>
    <w:rsid w:val="00422276"/>
    <w:rsid w:val="004242F1"/>
    <w:rsid w:val="004426A4"/>
    <w:rsid w:val="00445A00"/>
    <w:rsid w:val="00451B0F"/>
    <w:rsid w:val="004550E6"/>
    <w:rsid w:val="0045749D"/>
    <w:rsid w:val="00457519"/>
    <w:rsid w:val="004645A7"/>
    <w:rsid w:val="00473AFF"/>
    <w:rsid w:val="004746C2"/>
    <w:rsid w:val="00483B4F"/>
    <w:rsid w:val="004A7E4F"/>
    <w:rsid w:val="004B0632"/>
    <w:rsid w:val="004C2EE3"/>
    <w:rsid w:val="004E4A22"/>
    <w:rsid w:val="004E5327"/>
    <w:rsid w:val="004F6A46"/>
    <w:rsid w:val="004F7E24"/>
    <w:rsid w:val="00511968"/>
    <w:rsid w:val="005133BF"/>
    <w:rsid w:val="005168D9"/>
    <w:rsid w:val="005458F1"/>
    <w:rsid w:val="0055614C"/>
    <w:rsid w:val="005577AD"/>
    <w:rsid w:val="00562B0E"/>
    <w:rsid w:val="00565AE4"/>
    <w:rsid w:val="0057640B"/>
    <w:rsid w:val="00587E61"/>
    <w:rsid w:val="005913C0"/>
    <w:rsid w:val="00591990"/>
    <w:rsid w:val="005A3397"/>
    <w:rsid w:val="005B5489"/>
    <w:rsid w:val="005D2E69"/>
    <w:rsid w:val="005D366D"/>
    <w:rsid w:val="005E14C2"/>
    <w:rsid w:val="005E7371"/>
    <w:rsid w:val="005F218E"/>
    <w:rsid w:val="00607BA5"/>
    <w:rsid w:val="0061180A"/>
    <w:rsid w:val="00626D45"/>
    <w:rsid w:val="00626EB6"/>
    <w:rsid w:val="00631419"/>
    <w:rsid w:val="006504FE"/>
    <w:rsid w:val="00652A96"/>
    <w:rsid w:val="006536D4"/>
    <w:rsid w:val="00655D03"/>
    <w:rsid w:val="006622F0"/>
    <w:rsid w:val="00666732"/>
    <w:rsid w:val="0067189D"/>
    <w:rsid w:val="00674871"/>
    <w:rsid w:val="00683388"/>
    <w:rsid w:val="00683F84"/>
    <w:rsid w:val="006874C8"/>
    <w:rsid w:val="006A6319"/>
    <w:rsid w:val="006A6A81"/>
    <w:rsid w:val="006C16EC"/>
    <w:rsid w:val="006C6670"/>
    <w:rsid w:val="006D227C"/>
    <w:rsid w:val="006D4C53"/>
    <w:rsid w:val="006D6FBA"/>
    <w:rsid w:val="006F34D2"/>
    <w:rsid w:val="006F595C"/>
    <w:rsid w:val="006F7393"/>
    <w:rsid w:val="00701434"/>
    <w:rsid w:val="0070224F"/>
    <w:rsid w:val="00707845"/>
    <w:rsid w:val="007108E6"/>
    <w:rsid w:val="007115F7"/>
    <w:rsid w:val="007201E9"/>
    <w:rsid w:val="007332FE"/>
    <w:rsid w:val="00734FB5"/>
    <w:rsid w:val="00757966"/>
    <w:rsid w:val="0077579D"/>
    <w:rsid w:val="00785689"/>
    <w:rsid w:val="0079754B"/>
    <w:rsid w:val="007A1E6D"/>
    <w:rsid w:val="007A35A6"/>
    <w:rsid w:val="007B0EB2"/>
    <w:rsid w:val="007B125B"/>
    <w:rsid w:val="007F4019"/>
    <w:rsid w:val="007F7B08"/>
    <w:rsid w:val="00810B6F"/>
    <w:rsid w:val="00813BDC"/>
    <w:rsid w:val="00822CE0"/>
    <w:rsid w:val="00830FEC"/>
    <w:rsid w:val="0083477A"/>
    <w:rsid w:val="00835C12"/>
    <w:rsid w:val="00841AB1"/>
    <w:rsid w:val="0085200A"/>
    <w:rsid w:val="008802E0"/>
    <w:rsid w:val="0088739E"/>
    <w:rsid w:val="008B17CC"/>
    <w:rsid w:val="008B26F2"/>
    <w:rsid w:val="008C68F1"/>
    <w:rsid w:val="008D1F77"/>
    <w:rsid w:val="008D264C"/>
    <w:rsid w:val="008F281D"/>
    <w:rsid w:val="008F32F7"/>
    <w:rsid w:val="00905579"/>
    <w:rsid w:val="00921803"/>
    <w:rsid w:val="00926503"/>
    <w:rsid w:val="00933F25"/>
    <w:rsid w:val="00934012"/>
    <w:rsid w:val="00947A50"/>
    <w:rsid w:val="00960C1E"/>
    <w:rsid w:val="009726D8"/>
    <w:rsid w:val="009A261B"/>
    <w:rsid w:val="009B3B53"/>
    <w:rsid w:val="009B55EB"/>
    <w:rsid w:val="009C77A4"/>
    <w:rsid w:val="009D2CD5"/>
    <w:rsid w:val="009D31FD"/>
    <w:rsid w:val="009E7653"/>
    <w:rsid w:val="009F76DB"/>
    <w:rsid w:val="00A053C6"/>
    <w:rsid w:val="00A24DE6"/>
    <w:rsid w:val="00A32C3B"/>
    <w:rsid w:val="00A4250B"/>
    <w:rsid w:val="00A45F4F"/>
    <w:rsid w:val="00A600A9"/>
    <w:rsid w:val="00A62C86"/>
    <w:rsid w:val="00A664C7"/>
    <w:rsid w:val="00A745BC"/>
    <w:rsid w:val="00A769B8"/>
    <w:rsid w:val="00A80870"/>
    <w:rsid w:val="00A809BB"/>
    <w:rsid w:val="00A82B5A"/>
    <w:rsid w:val="00A85F5F"/>
    <w:rsid w:val="00A941C7"/>
    <w:rsid w:val="00AA55B7"/>
    <w:rsid w:val="00AA5B9E"/>
    <w:rsid w:val="00AB08B6"/>
    <w:rsid w:val="00AB2407"/>
    <w:rsid w:val="00AB53DF"/>
    <w:rsid w:val="00AC7175"/>
    <w:rsid w:val="00AE4C1E"/>
    <w:rsid w:val="00AF20E0"/>
    <w:rsid w:val="00AF2615"/>
    <w:rsid w:val="00AF5D4F"/>
    <w:rsid w:val="00B01839"/>
    <w:rsid w:val="00B0439C"/>
    <w:rsid w:val="00B07E5C"/>
    <w:rsid w:val="00B3542B"/>
    <w:rsid w:val="00B459E0"/>
    <w:rsid w:val="00B5129F"/>
    <w:rsid w:val="00B606FD"/>
    <w:rsid w:val="00B6205D"/>
    <w:rsid w:val="00B774DC"/>
    <w:rsid w:val="00B811F7"/>
    <w:rsid w:val="00B86B26"/>
    <w:rsid w:val="00BA15E1"/>
    <w:rsid w:val="00BA5DC6"/>
    <w:rsid w:val="00BA6196"/>
    <w:rsid w:val="00BC6D8C"/>
    <w:rsid w:val="00BD1E7B"/>
    <w:rsid w:val="00BD7504"/>
    <w:rsid w:val="00BE3C48"/>
    <w:rsid w:val="00C01A52"/>
    <w:rsid w:val="00C058BC"/>
    <w:rsid w:val="00C14188"/>
    <w:rsid w:val="00C1563D"/>
    <w:rsid w:val="00C221FF"/>
    <w:rsid w:val="00C238AF"/>
    <w:rsid w:val="00C34006"/>
    <w:rsid w:val="00C369F4"/>
    <w:rsid w:val="00C426B1"/>
    <w:rsid w:val="00C4395D"/>
    <w:rsid w:val="00C62355"/>
    <w:rsid w:val="00C66160"/>
    <w:rsid w:val="00C721AC"/>
    <w:rsid w:val="00C90D6A"/>
    <w:rsid w:val="00C93072"/>
    <w:rsid w:val="00C96CA5"/>
    <w:rsid w:val="00CA247E"/>
    <w:rsid w:val="00CB4E68"/>
    <w:rsid w:val="00CC0E04"/>
    <w:rsid w:val="00CC5D3B"/>
    <w:rsid w:val="00CC72B6"/>
    <w:rsid w:val="00CD747E"/>
    <w:rsid w:val="00CE064C"/>
    <w:rsid w:val="00D0218D"/>
    <w:rsid w:val="00D121B9"/>
    <w:rsid w:val="00D1527D"/>
    <w:rsid w:val="00D15A99"/>
    <w:rsid w:val="00D170DE"/>
    <w:rsid w:val="00D21371"/>
    <w:rsid w:val="00D22742"/>
    <w:rsid w:val="00D25FB5"/>
    <w:rsid w:val="00D36ECC"/>
    <w:rsid w:val="00D40BE8"/>
    <w:rsid w:val="00D4380A"/>
    <w:rsid w:val="00D44223"/>
    <w:rsid w:val="00D671EF"/>
    <w:rsid w:val="00D8376B"/>
    <w:rsid w:val="00DA2529"/>
    <w:rsid w:val="00DA27FA"/>
    <w:rsid w:val="00DB130A"/>
    <w:rsid w:val="00DB2EBB"/>
    <w:rsid w:val="00DB7703"/>
    <w:rsid w:val="00DC10A1"/>
    <w:rsid w:val="00DC3DC0"/>
    <w:rsid w:val="00DC4CA6"/>
    <w:rsid w:val="00DC64B9"/>
    <w:rsid w:val="00DC655F"/>
    <w:rsid w:val="00DD0888"/>
    <w:rsid w:val="00DD0B59"/>
    <w:rsid w:val="00DD2F11"/>
    <w:rsid w:val="00DD30A0"/>
    <w:rsid w:val="00DD451F"/>
    <w:rsid w:val="00DD52B1"/>
    <w:rsid w:val="00DD7EBD"/>
    <w:rsid w:val="00DE68ED"/>
    <w:rsid w:val="00DE72D3"/>
    <w:rsid w:val="00DE73D8"/>
    <w:rsid w:val="00DF62B6"/>
    <w:rsid w:val="00DF7A10"/>
    <w:rsid w:val="00E044CB"/>
    <w:rsid w:val="00E07225"/>
    <w:rsid w:val="00E129FA"/>
    <w:rsid w:val="00E15CFC"/>
    <w:rsid w:val="00E21EBD"/>
    <w:rsid w:val="00E35C18"/>
    <w:rsid w:val="00E37B06"/>
    <w:rsid w:val="00E5409F"/>
    <w:rsid w:val="00E56808"/>
    <w:rsid w:val="00E65EFE"/>
    <w:rsid w:val="00E716CD"/>
    <w:rsid w:val="00EA0409"/>
    <w:rsid w:val="00EB362A"/>
    <w:rsid w:val="00ED7FD4"/>
    <w:rsid w:val="00EE119F"/>
    <w:rsid w:val="00EE6488"/>
    <w:rsid w:val="00EF0EAC"/>
    <w:rsid w:val="00F01508"/>
    <w:rsid w:val="00F021FA"/>
    <w:rsid w:val="00F02F7D"/>
    <w:rsid w:val="00F1150D"/>
    <w:rsid w:val="00F371DA"/>
    <w:rsid w:val="00F4594B"/>
    <w:rsid w:val="00F470FD"/>
    <w:rsid w:val="00F515A7"/>
    <w:rsid w:val="00F52EBE"/>
    <w:rsid w:val="00F62E97"/>
    <w:rsid w:val="00F631E8"/>
    <w:rsid w:val="00F64209"/>
    <w:rsid w:val="00F64BAD"/>
    <w:rsid w:val="00F710EA"/>
    <w:rsid w:val="00F7368E"/>
    <w:rsid w:val="00F80D95"/>
    <w:rsid w:val="00F85FE8"/>
    <w:rsid w:val="00F93BF5"/>
    <w:rsid w:val="00FA5195"/>
    <w:rsid w:val="00FC52A0"/>
    <w:rsid w:val="00FC5D90"/>
    <w:rsid w:val="00FD32F0"/>
    <w:rsid w:val="00FD71AE"/>
    <w:rsid w:val="00FF083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8B5F4BBE-040B-7D42-8E0B-4A15FA96A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2FE"/>
    <w:pPr>
      <w:widowControl w:val="0"/>
    </w:pPr>
    <w:rPr>
      <w:snapToGrid w:val="0"/>
      <w:kern w:val="28"/>
      <w:sz w:val="22"/>
    </w:rPr>
  </w:style>
  <w:style w:type="paragraph" w:styleId="Heading1">
    <w:name w:val="heading 1"/>
    <w:basedOn w:val="Normal"/>
    <w:next w:val="ParaNum"/>
    <w:qFormat/>
    <w:rsid w:val="007332F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332FE"/>
    <w:pPr>
      <w:keepNext/>
      <w:numPr>
        <w:ilvl w:val="1"/>
        <w:numId w:val="3"/>
      </w:numPr>
      <w:spacing w:after="120"/>
      <w:outlineLvl w:val="1"/>
    </w:pPr>
    <w:rPr>
      <w:b/>
    </w:rPr>
  </w:style>
  <w:style w:type="paragraph" w:styleId="Heading3">
    <w:name w:val="heading 3"/>
    <w:basedOn w:val="Normal"/>
    <w:next w:val="ParaNum"/>
    <w:qFormat/>
    <w:rsid w:val="007332FE"/>
    <w:pPr>
      <w:keepNext/>
      <w:numPr>
        <w:ilvl w:val="2"/>
        <w:numId w:val="3"/>
      </w:numPr>
      <w:tabs>
        <w:tab w:val="left" w:pos="2160"/>
      </w:tabs>
      <w:spacing w:after="120"/>
      <w:outlineLvl w:val="2"/>
    </w:pPr>
    <w:rPr>
      <w:b/>
    </w:rPr>
  </w:style>
  <w:style w:type="paragraph" w:styleId="Heading4">
    <w:name w:val="heading 4"/>
    <w:basedOn w:val="Normal"/>
    <w:next w:val="ParaNum"/>
    <w:qFormat/>
    <w:rsid w:val="007332FE"/>
    <w:pPr>
      <w:keepNext/>
      <w:numPr>
        <w:ilvl w:val="3"/>
        <w:numId w:val="3"/>
      </w:numPr>
      <w:tabs>
        <w:tab w:val="left" w:pos="2880"/>
      </w:tabs>
      <w:spacing w:after="120"/>
      <w:outlineLvl w:val="3"/>
    </w:pPr>
    <w:rPr>
      <w:b/>
    </w:rPr>
  </w:style>
  <w:style w:type="paragraph" w:styleId="Heading5">
    <w:name w:val="heading 5"/>
    <w:basedOn w:val="Normal"/>
    <w:next w:val="ParaNum"/>
    <w:qFormat/>
    <w:rsid w:val="007332FE"/>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7332FE"/>
    <w:pPr>
      <w:numPr>
        <w:ilvl w:val="5"/>
        <w:numId w:val="3"/>
      </w:numPr>
      <w:tabs>
        <w:tab w:val="left" w:pos="4320"/>
      </w:tabs>
      <w:spacing w:after="120"/>
      <w:outlineLvl w:val="5"/>
    </w:pPr>
    <w:rPr>
      <w:b/>
    </w:rPr>
  </w:style>
  <w:style w:type="paragraph" w:styleId="Heading7">
    <w:name w:val="heading 7"/>
    <w:basedOn w:val="Normal"/>
    <w:next w:val="ParaNum"/>
    <w:qFormat/>
    <w:rsid w:val="007332F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332F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7332F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332F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332FE"/>
  </w:style>
  <w:style w:type="paragraph" w:customStyle="1" w:styleId="ParaNum">
    <w:name w:val="ParaNum"/>
    <w:basedOn w:val="Normal"/>
    <w:link w:val="ParaNumChar"/>
    <w:rsid w:val="007332FE"/>
    <w:pPr>
      <w:numPr>
        <w:numId w:val="2"/>
      </w:numPr>
      <w:tabs>
        <w:tab w:val="clear" w:pos="1080"/>
        <w:tab w:val="num" w:pos="1440"/>
      </w:tabs>
      <w:spacing w:after="120"/>
    </w:pPr>
  </w:style>
  <w:style w:type="paragraph" w:styleId="EndnoteText">
    <w:name w:val="endnote text"/>
    <w:basedOn w:val="Normal"/>
    <w:semiHidden/>
    <w:rsid w:val="007332FE"/>
    <w:rPr>
      <w:sz w:val="20"/>
    </w:rPr>
  </w:style>
  <w:style w:type="character" w:styleId="EndnoteReference">
    <w:name w:val="endnote reference"/>
    <w:semiHidden/>
    <w:rsid w:val="007332FE"/>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Style 5 Char Char,fn,rrfootnote Char Char"/>
    <w:link w:val="FootnoteTextChar1"/>
    <w:rsid w:val="007332FE"/>
    <w:pPr>
      <w:spacing w:after="120"/>
    </w:pPr>
  </w:style>
  <w:style w:type="character" w:styleId="FootnoteReference">
    <w:name w:val="footnote reference"/>
    <w:aliases w:val="(N... + 11 pt,(NECG) Footnote Reference,-E Funotenzeichen,A,Appel note de bas de p,FR,Footnote Reference/,Footnote Reference1,Style 12,Style 124,Style 13,Style 17,Style 20,Style 3,Style 34,Style 4,Style 6,Style 7,Style 9,callout,fr,o"/>
    <w:rsid w:val="007332FE"/>
    <w:rPr>
      <w:rFonts w:ascii="Times New Roman" w:hAnsi="Times New Roman"/>
      <w:dstrike w:val="0"/>
      <w:color w:val="auto"/>
      <w:sz w:val="20"/>
      <w:vertAlign w:val="superscript"/>
    </w:rPr>
  </w:style>
  <w:style w:type="paragraph" w:styleId="TOC1">
    <w:name w:val="toc 1"/>
    <w:basedOn w:val="Normal"/>
    <w:next w:val="Normal"/>
    <w:semiHidden/>
    <w:rsid w:val="007332F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332FE"/>
    <w:pPr>
      <w:tabs>
        <w:tab w:val="left" w:pos="720"/>
        <w:tab w:val="right" w:leader="dot" w:pos="9360"/>
      </w:tabs>
      <w:suppressAutoHyphens/>
      <w:ind w:left="720" w:right="720" w:hanging="360"/>
    </w:pPr>
    <w:rPr>
      <w:noProof/>
    </w:rPr>
  </w:style>
  <w:style w:type="paragraph" w:styleId="TOC3">
    <w:name w:val="toc 3"/>
    <w:basedOn w:val="Normal"/>
    <w:next w:val="Normal"/>
    <w:semiHidden/>
    <w:rsid w:val="007332F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332F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332F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332F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332F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332F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332F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332FE"/>
    <w:pPr>
      <w:tabs>
        <w:tab w:val="right" w:pos="9360"/>
      </w:tabs>
      <w:suppressAutoHyphens/>
    </w:pPr>
  </w:style>
  <w:style w:type="character" w:customStyle="1" w:styleId="EquationCaption">
    <w:name w:val="_Equation Caption"/>
    <w:rsid w:val="007332FE"/>
  </w:style>
  <w:style w:type="paragraph" w:styleId="Header">
    <w:name w:val="header"/>
    <w:basedOn w:val="Normal"/>
    <w:autoRedefine/>
    <w:rsid w:val="007332FE"/>
    <w:pPr>
      <w:tabs>
        <w:tab w:val="center" w:pos="4680"/>
        <w:tab w:val="right" w:pos="9360"/>
      </w:tabs>
    </w:pPr>
    <w:rPr>
      <w:b/>
    </w:rPr>
  </w:style>
  <w:style w:type="paragraph" w:styleId="Footer">
    <w:name w:val="footer"/>
    <w:basedOn w:val="Normal"/>
    <w:link w:val="FooterChar"/>
    <w:rsid w:val="007332FE"/>
    <w:pPr>
      <w:tabs>
        <w:tab w:val="center" w:pos="4320"/>
        <w:tab w:val="right" w:pos="8640"/>
      </w:tabs>
    </w:pPr>
  </w:style>
  <w:style w:type="character" w:styleId="PageNumber">
    <w:name w:val="page number"/>
    <w:basedOn w:val="DefaultParagraphFont"/>
    <w:rsid w:val="007332FE"/>
  </w:style>
  <w:style w:type="paragraph" w:styleId="BlockText">
    <w:name w:val="Block Text"/>
    <w:basedOn w:val="Normal"/>
    <w:rsid w:val="007332FE"/>
    <w:pPr>
      <w:spacing w:after="240"/>
      <w:ind w:left="1440" w:right="1440"/>
    </w:pPr>
  </w:style>
  <w:style w:type="paragraph" w:customStyle="1" w:styleId="Paratitle">
    <w:name w:val="Para title"/>
    <w:basedOn w:val="Normal"/>
    <w:rsid w:val="007332FE"/>
    <w:pPr>
      <w:tabs>
        <w:tab w:val="center" w:pos="9270"/>
      </w:tabs>
      <w:spacing w:after="240"/>
    </w:pPr>
    <w:rPr>
      <w:spacing w:val="-2"/>
    </w:rPr>
  </w:style>
  <w:style w:type="paragraph" w:customStyle="1" w:styleId="Bullet">
    <w:name w:val="Bullet"/>
    <w:basedOn w:val="Normal"/>
    <w:rsid w:val="007332FE"/>
    <w:pPr>
      <w:tabs>
        <w:tab w:val="left" w:pos="2160"/>
      </w:tabs>
      <w:spacing w:after="220"/>
      <w:ind w:left="2160" w:hanging="720"/>
    </w:pPr>
  </w:style>
  <w:style w:type="paragraph" w:customStyle="1" w:styleId="TableFormat">
    <w:name w:val="TableFormat"/>
    <w:basedOn w:val="Bullet"/>
    <w:rsid w:val="007332FE"/>
    <w:pPr>
      <w:tabs>
        <w:tab w:val="clear" w:pos="2160"/>
        <w:tab w:val="left" w:pos="5040"/>
      </w:tabs>
      <w:ind w:left="5040" w:hanging="3600"/>
    </w:pPr>
  </w:style>
  <w:style w:type="paragraph" w:customStyle="1" w:styleId="TOCTitle">
    <w:name w:val="TOC Title"/>
    <w:basedOn w:val="Normal"/>
    <w:rsid w:val="007332F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332FE"/>
    <w:pPr>
      <w:jc w:val="center"/>
    </w:pPr>
    <w:rPr>
      <w:rFonts w:ascii="Times New Roman Bold" w:hAnsi="Times New Roman Bold"/>
      <w:b/>
      <w:bCs/>
      <w:caps/>
      <w:szCs w:val="22"/>
    </w:rPr>
  </w:style>
  <w:style w:type="character" w:styleId="Hyperlink">
    <w:name w:val="Hyperlink"/>
    <w:rsid w:val="007332FE"/>
    <w:rPr>
      <w:color w:val="0000FF"/>
      <w:u w:val="single"/>
    </w:rPr>
  </w:style>
  <w:style w:type="character" w:customStyle="1" w:styleId="FooterChar">
    <w:name w:val="Footer Char"/>
    <w:link w:val="Footer"/>
    <w:rsid w:val="00A85F5F"/>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 Char"/>
    <w:link w:val="FootnoteText"/>
    <w:locked/>
    <w:rsid w:val="00A85F5F"/>
  </w:style>
  <w:style w:type="character" w:styleId="CommentReference">
    <w:name w:val="annotation reference"/>
    <w:basedOn w:val="DefaultParagraphFont"/>
    <w:rsid w:val="00835C12"/>
    <w:rPr>
      <w:sz w:val="16"/>
      <w:szCs w:val="16"/>
    </w:rPr>
  </w:style>
  <w:style w:type="paragraph" w:styleId="CommentText">
    <w:name w:val="annotation text"/>
    <w:basedOn w:val="Normal"/>
    <w:link w:val="CommentTextChar"/>
    <w:rsid w:val="00835C12"/>
    <w:rPr>
      <w:sz w:val="20"/>
    </w:rPr>
  </w:style>
  <w:style w:type="character" w:customStyle="1" w:styleId="CommentTextChar">
    <w:name w:val="Comment Text Char"/>
    <w:basedOn w:val="DefaultParagraphFont"/>
    <w:link w:val="CommentText"/>
    <w:rsid w:val="00835C12"/>
    <w:rPr>
      <w:snapToGrid w:val="0"/>
      <w:kern w:val="28"/>
    </w:rPr>
  </w:style>
  <w:style w:type="paragraph" w:styleId="CommentSubject">
    <w:name w:val="annotation subject"/>
    <w:basedOn w:val="CommentText"/>
    <w:next w:val="CommentText"/>
    <w:link w:val="CommentSubjectChar"/>
    <w:rsid w:val="00835C12"/>
    <w:rPr>
      <w:b/>
      <w:bCs/>
    </w:rPr>
  </w:style>
  <w:style w:type="character" w:customStyle="1" w:styleId="CommentSubjectChar">
    <w:name w:val="Comment Subject Char"/>
    <w:basedOn w:val="CommentTextChar"/>
    <w:link w:val="CommentSubject"/>
    <w:rsid w:val="00835C12"/>
    <w:rPr>
      <w:b/>
      <w:bCs/>
      <w:snapToGrid w:val="0"/>
      <w:kern w:val="28"/>
    </w:rPr>
  </w:style>
  <w:style w:type="paragraph" w:styleId="BalloonText">
    <w:name w:val="Balloon Text"/>
    <w:basedOn w:val="Normal"/>
    <w:link w:val="BalloonTextChar"/>
    <w:semiHidden/>
    <w:unhideWhenUsed/>
    <w:rsid w:val="00835C12"/>
    <w:rPr>
      <w:sz w:val="18"/>
      <w:szCs w:val="18"/>
    </w:rPr>
  </w:style>
  <w:style w:type="character" w:customStyle="1" w:styleId="BalloonTextChar">
    <w:name w:val="Balloon Text Char"/>
    <w:basedOn w:val="DefaultParagraphFont"/>
    <w:link w:val="BalloonText"/>
    <w:semiHidden/>
    <w:rsid w:val="00835C12"/>
    <w:rPr>
      <w:snapToGrid w:val="0"/>
      <w:kern w:val="28"/>
      <w:sz w:val="18"/>
      <w:szCs w:val="18"/>
    </w:rPr>
  </w:style>
  <w:style w:type="character" w:customStyle="1" w:styleId="FootnoteTextChar2">
    <w:name w:val="Footnote Text Char2"/>
    <w:aliases w:val="ALTS FOOTNOTE Char,ALTS FOOTNOTE Char1 Char,Footnote Text Char Char Char Char Char Char Char,Footnote Text Char2 Char,Footnote Text Char2 Char Char Char,Footnote Text Char2 Char1 Char1 Char Char Char,f Char"/>
    <w:locked/>
    <w:rsid w:val="00412BCF"/>
  </w:style>
  <w:style w:type="character" w:styleId="Emphasis">
    <w:name w:val="Emphasis"/>
    <w:uiPriority w:val="20"/>
    <w:qFormat/>
    <w:rsid w:val="001D35E9"/>
    <w:rPr>
      <w:i/>
      <w:iCs/>
    </w:rPr>
  </w:style>
  <w:style w:type="character" w:customStyle="1" w:styleId="ParaNumChar">
    <w:name w:val="ParaNum Char"/>
    <w:link w:val="ParaNum"/>
    <w:locked/>
    <w:rsid w:val="00230982"/>
    <w:rPr>
      <w:snapToGrid w:val="0"/>
      <w:kern w:val="28"/>
      <w:sz w:val="22"/>
    </w:rPr>
  </w:style>
  <w:style w:type="paragraph" w:customStyle="1" w:styleId="Default">
    <w:name w:val="Default"/>
    <w:rsid w:val="00230982"/>
    <w:pPr>
      <w:autoSpaceDE w:val="0"/>
      <w:autoSpaceDN w:val="0"/>
      <w:adjustRightInd w:val="0"/>
    </w:pPr>
    <w:rPr>
      <w:color w:val="000000"/>
      <w:sz w:val="24"/>
      <w:szCs w:val="24"/>
    </w:rPr>
  </w:style>
  <w:style w:type="paragraph" w:styleId="NoSpacing">
    <w:name w:val="No Spacing"/>
    <w:uiPriority w:val="1"/>
    <w:qFormat/>
    <w:rsid w:val="0037444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numbering" Target="numbering.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