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297FFE" w:rsidRPr="000D4F95" w:rsidP="000D4F95" w14:paraId="65D658AA" w14:textId="77777777">
      <w:pPr>
        <w:jc w:val="center"/>
        <w:rPr>
          <w:b/>
        </w:rPr>
      </w:pPr>
      <w:bookmarkStart w:id="0" w:name="_GoBack"/>
      <w:bookmarkEnd w:id="0"/>
    </w:p>
    <w:p w:rsidR="00E273E3" w:rsidRPr="00C820D8" w:rsidP="000D4F95" w14:paraId="6B146A2A" w14:textId="77777777">
      <w:pPr>
        <w:jc w:val="center"/>
        <w:rPr>
          <w:b/>
        </w:rPr>
      </w:pPr>
      <w:r w:rsidRPr="000D4F95">
        <w:rPr>
          <w:b/>
        </w:rPr>
        <w:t>Before</w:t>
      </w:r>
      <w:r w:rsidRPr="00C820D8">
        <w:rPr>
          <w:b/>
        </w:rPr>
        <w:t xml:space="preserve"> the</w:t>
      </w:r>
    </w:p>
    <w:p w:rsidR="00E273E3" w:rsidRPr="00A729E6" w:rsidP="000D4F95" w14:paraId="0939C97E" w14:textId="77777777">
      <w:pPr>
        <w:pStyle w:val="StyleBoldCentered"/>
        <w:rPr>
          <w:rFonts w:ascii="Times New Roman" w:hAnsi="Times New Roman"/>
        </w:rPr>
      </w:pPr>
      <w:r w:rsidRPr="00A729E6">
        <w:rPr>
          <w:rFonts w:ascii="Times New Roman" w:hAnsi="Times New Roman"/>
        </w:rPr>
        <w:t>F</w:t>
      </w:r>
      <w:r w:rsidRPr="00A729E6">
        <w:rPr>
          <w:rFonts w:ascii="Times New Roman" w:hAnsi="Times New Roman"/>
          <w:caps w:val="0"/>
        </w:rPr>
        <w:t>ederal Communications Commission</w:t>
      </w:r>
    </w:p>
    <w:p w:rsidR="00855DCE" w:rsidRPr="004579BA" w:rsidP="005A2B29" w14:paraId="08F3A08C" w14:textId="543694AA">
      <w:pPr>
        <w:pStyle w:val="StyleBoldCentered"/>
        <w:tabs>
          <w:tab w:val="left" w:pos="1530"/>
          <w:tab w:val="center" w:pos="4680"/>
        </w:tabs>
        <w:jc w:val="left"/>
        <w:rPr>
          <w:rFonts w:ascii="Times New Roman" w:hAnsi="Times New Roman"/>
        </w:rPr>
      </w:pPr>
      <w:r>
        <w:rPr>
          <w:rFonts w:ascii="Times New Roman" w:hAnsi="Times New Roman"/>
          <w:caps w:val="0"/>
        </w:rPr>
        <w:tab/>
      </w:r>
      <w:r>
        <w:rPr>
          <w:rFonts w:ascii="Times New Roman" w:hAnsi="Times New Roman"/>
          <w:caps w:val="0"/>
        </w:rPr>
        <w:tab/>
      </w:r>
      <w:r w:rsidRPr="004579BA" w:rsidR="00E273E3">
        <w:rPr>
          <w:rFonts w:ascii="Times New Roman" w:hAnsi="Times New Roman"/>
          <w:caps w:val="0"/>
        </w:rPr>
        <w:t>Washington</w:t>
      </w:r>
      <w:r w:rsidRPr="004579BA" w:rsidR="00E273E3">
        <w:rPr>
          <w:rFonts w:ascii="Times New Roman" w:hAnsi="Times New Roman"/>
        </w:rPr>
        <w:t>, DC 20554</w:t>
      </w:r>
    </w:p>
    <w:p w:rsidR="00E273E3" w:rsidRPr="000D4F95" w:rsidP="000D4F95" w14:paraId="0562D010" w14:textId="77777777">
      <w:pPr>
        <w:pStyle w:val="StyleBoldCentered"/>
        <w:rPr>
          <w:rFonts w:ascii="Times New Roman" w:hAnsi="Times New Roman"/>
        </w:rPr>
      </w:pPr>
    </w:p>
    <w:tbl>
      <w:tblPr>
        <w:tblW w:w="0" w:type="auto"/>
        <w:tblLayout w:type="fixed"/>
        <w:tblLook w:val="0000"/>
      </w:tblPr>
      <w:tblGrid>
        <w:gridCol w:w="4698"/>
        <w:gridCol w:w="630"/>
        <w:gridCol w:w="4248"/>
      </w:tblGrid>
      <w:tr w14:paraId="3C1340C9" w14:textId="77777777" w:rsidTr="00C820D8">
        <w:tblPrEx>
          <w:tblW w:w="0" w:type="auto"/>
          <w:tblLayout w:type="fixed"/>
          <w:tblLook w:val="0000"/>
        </w:tblPrEx>
        <w:tc>
          <w:tcPr>
            <w:tcW w:w="4698" w:type="dxa"/>
          </w:tcPr>
          <w:p w:rsidR="00E273E3" w:rsidRPr="00C820D8" w:rsidP="000D4F95" w14:paraId="3AD4A7F1" w14:textId="77777777">
            <w:pPr>
              <w:suppressAutoHyphens/>
              <w:rPr>
                <w:spacing w:val="-2"/>
              </w:rPr>
            </w:pPr>
            <w:r w:rsidRPr="00C820D8">
              <w:rPr>
                <w:spacing w:val="-2"/>
              </w:rPr>
              <w:t>In the Matter of</w:t>
            </w:r>
          </w:p>
          <w:p w:rsidR="00E273E3" w:rsidRPr="00C820D8" w:rsidP="000D4F95" w14:paraId="0B3B8FE3" w14:textId="77777777">
            <w:pPr>
              <w:suppressAutoHyphens/>
              <w:rPr>
                <w:spacing w:val="-2"/>
              </w:rPr>
            </w:pPr>
          </w:p>
          <w:p w:rsidR="00E273E3" w:rsidRPr="00C820D8" w:rsidP="000D4F95" w14:paraId="070BA7F2" w14:textId="77777777">
            <w:pPr>
              <w:suppressAutoHyphens/>
              <w:rPr>
                <w:spacing w:val="-2"/>
              </w:rPr>
            </w:pPr>
            <w:r w:rsidRPr="00C820D8">
              <w:rPr>
                <w:spacing w:val="-2"/>
              </w:rPr>
              <w:t>Cumulus Radio LLC;</w:t>
            </w:r>
            <w:r w:rsidRPr="00C820D8">
              <w:rPr>
                <w:spacing w:val="-2"/>
              </w:rPr>
              <w:t xml:space="preserve"> </w:t>
            </w:r>
          </w:p>
          <w:p w:rsidR="007B3DC7" w:rsidRPr="00C820D8" w:rsidP="000D4F95" w14:paraId="6536B665" w14:textId="77777777">
            <w:pPr>
              <w:suppressAutoHyphens/>
              <w:rPr>
                <w:spacing w:val="-2"/>
              </w:rPr>
            </w:pPr>
            <w:r w:rsidRPr="00C820D8">
              <w:rPr>
                <w:spacing w:val="-2"/>
              </w:rPr>
              <w:t>Radio License Holding CBC, LLC;</w:t>
            </w:r>
          </w:p>
          <w:p w:rsidR="007B3DC7" w:rsidRPr="00C820D8" w:rsidP="000D4F95" w14:paraId="7F002577" w14:textId="77777777">
            <w:pPr>
              <w:suppressAutoHyphens/>
              <w:rPr>
                <w:spacing w:val="-2"/>
              </w:rPr>
            </w:pPr>
            <w:r w:rsidRPr="00C820D8">
              <w:rPr>
                <w:spacing w:val="-2"/>
              </w:rPr>
              <w:t>Cumulus Licensing LLC; and</w:t>
            </w:r>
          </w:p>
          <w:p w:rsidR="007B3DC7" w:rsidRPr="00C820D8" w:rsidP="000D4F95" w14:paraId="43AA5232" w14:textId="77777777">
            <w:pPr>
              <w:suppressAutoHyphens/>
              <w:rPr>
                <w:spacing w:val="-2"/>
              </w:rPr>
            </w:pPr>
            <w:r w:rsidRPr="00C820D8">
              <w:rPr>
                <w:spacing w:val="-2"/>
              </w:rPr>
              <w:t>Radio License Holdings LLC</w:t>
            </w:r>
          </w:p>
        </w:tc>
        <w:tc>
          <w:tcPr>
            <w:tcW w:w="630" w:type="dxa"/>
          </w:tcPr>
          <w:p w:rsidR="00E273E3" w:rsidRPr="00C820D8" w:rsidP="000D4F95" w14:paraId="78202DB0" w14:textId="77777777">
            <w:pPr>
              <w:suppressAutoHyphens/>
              <w:rPr>
                <w:spacing w:val="-2"/>
              </w:rPr>
            </w:pPr>
            <w:r w:rsidRPr="00C820D8">
              <w:rPr>
                <w:spacing w:val="-2"/>
              </w:rPr>
              <w:t>)</w:t>
            </w:r>
          </w:p>
          <w:p w:rsidR="00E273E3" w:rsidRPr="00C820D8" w:rsidP="000D4F95" w14:paraId="0585BDDD" w14:textId="77777777">
            <w:pPr>
              <w:suppressAutoHyphens/>
              <w:rPr>
                <w:spacing w:val="-2"/>
              </w:rPr>
            </w:pPr>
            <w:r w:rsidRPr="00C820D8">
              <w:rPr>
                <w:spacing w:val="-2"/>
              </w:rPr>
              <w:t>)</w:t>
            </w:r>
          </w:p>
          <w:p w:rsidR="00E273E3" w:rsidRPr="00C820D8" w:rsidP="000D4F95" w14:paraId="76D183C0" w14:textId="77777777">
            <w:pPr>
              <w:suppressAutoHyphens/>
              <w:rPr>
                <w:spacing w:val="-2"/>
              </w:rPr>
            </w:pPr>
            <w:r w:rsidRPr="00C820D8">
              <w:rPr>
                <w:spacing w:val="-2"/>
              </w:rPr>
              <w:t>)</w:t>
            </w:r>
          </w:p>
          <w:p w:rsidR="00E273E3" w:rsidRPr="00C820D8" w:rsidP="000D4F95" w14:paraId="5EB84CFE" w14:textId="77777777">
            <w:pPr>
              <w:suppressAutoHyphens/>
              <w:rPr>
                <w:spacing w:val="-2"/>
              </w:rPr>
            </w:pPr>
            <w:r w:rsidRPr="00C820D8">
              <w:rPr>
                <w:spacing w:val="-2"/>
              </w:rPr>
              <w:t>)</w:t>
            </w:r>
          </w:p>
          <w:p w:rsidR="00E273E3" w:rsidRPr="00C820D8" w:rsidP="000D4F95" w14:paraId="5F6E8A02" w14:textId="77777777">
            <w:pPr>
              <w:suppressAutoHyphens/>
              <w:rPr>
                <w:spacing w:val="-2"/>
              </w:rPr>
            </w:pPr>
            <w:r w:rsidRPr="00C820D8">
              <w:rPr>
                <w:spacing w:val="-2"/>
              </w:rPr>
              <w:t>)</w:t>
            </w:r>
          </w:p>
          <w:p w:rsidR="007B3DC7" w:rsidRPr="00C820D8" w:rsidP="000D4F95" w14:paraId="2EB1517C" w14:textId="77777777">
            <w:pPr>
              <w:suppressAutoHyphens/>
              <w:rPr>
                <w:spacing w:val="-2"/>
              </w:rPr>
            </w:pPr>
            <w:r w:rsidRPr="00C820D8">
              <w:rPr>
                <w:spacing w:val="-2"/>
              </w:rPr>
              <w:t>)</w:t>
            </w:r>
          </w:p>
        </w:tc>
        <w:tc>
          <w:tcPr>
            <w:tcW w:w="4248" w:type="dxa"/>
          </w:tcPr>
          <w:p w:rsidR="00E273E3" w:rsidRPr="00C820D8" w:rsidP="000D4F95" w14:paraId="638FC4F5" w14:textId="77777777">
            <w:pPr>
              <w:suppressAutoHyphens/>
              <w:rPr>
                <w:spacing w:val="-2"/>
              </w:rPr>
            </w:pPr>
          </w:p>
          <w:p w:rsidR="00E273E3" w:rsidRPr="00C820D8" w:rsidP="000D4F95" w14:paraId="1D83CCB6" w14:textId="77777777">
            <w:pPr>
              <w:suppressAutoHyphens/>
              <w:rPr>
                <w:spacing w:val="-2"/>
              </w:rPr>
            </w:pPr>
          </w:p>
          <w:p w:rsidR="00E273E3" w:rsidRPr="00C820D8" w:rsidP="000D4F95" w14:paraId="6451368F" w14:textId="77777777">
            <w:pPr>
              <w:suppressAutoHyphens/>
              <w:ind w:left="432"/>
              <w:rPr>
                <w:spacing w:val="-2"/>
              </w:rPr>
            </w:pPr>
            <w:r w:rsidRPr="00C820D8">
              <w:rPr>
                <w:spacing w:val="-2"/>
              </w:rPr>
              <w:t xml:space="preserve">File No.:  </w:t>
            </w:r>
            <w:r w:rsidRPr="00C820D8" w:rsidR="00FE4312">
              <w:rPr>
                <w:spacing w:val="-2"/>
              </w:rPr>
              <w:t>EB-IHD-18-00027598</w:t>
            </w:r>
          </w:p>
          <w:p w:rsidR="00E273E3" w:rsidRPr="00C820D8" w:rsidP="000D4F95" w14:paraId="1AA700FD" w14:textId="77777777">
            <w:pPr>
              <w:suppressAutoHyphens/>
              <w:ind w:left="432"/>
              <w:rPr>
                <w:spacing w:val="-2"/>
              </w:rPr>
            </w:pPr>
            <w:r w:rsidRPr="00C820D8">
              <w:rPr>
                <w:spacing w:val="-2"/>
              </w:rPr>
              <w:t xml:space="preserve">NAL/Acct. No.:  </w:t>
            </w:r>
            <w:r w:rsidRPr="00C820D8" w:rsidR="00FE4312">
              <w:rPr>
                <w:spacing w:val="-2"/>
                <w:lang w:val="es-ES"/>
              </w:rPr>
              <w:t>201932080010</w:t>
            </w:r>
          </w:p>
          <w:p w:rsidR="00E273E3" w:rsidRPr="00C820D8" w:rsidP="000D4F95" w14:paraId="13DDB91D" w14:textId="77777777">
            <w:pPr>
              <w:suppressAutoHyphens/>
              <w:ind w:left="432"/>
              <w:rPr>
                <w:spacing w:val="-2"/>
              </w:rPr>
            </w:pPr>
            <w:r w:rsidRPr="00C820D8">
              <w:rPr>
                <w:spacing w:val="-2"/>
              </w:rPr>
              <w:t>FRN</w:t>
            </w:r>
            <w:r w:rsidRPr="00C820D8" w:rsidR="009478FF">
              <w:rPr>
                <w:spacing w:val="-2"/>
              </w:rPr>
              <w:t>s</w:t>
            </w:r>
            <w:r w:rsidRPr="00C820D8">
              <w:rPr>
                <w:spacing w:val="-2"/>
              </w:rPr>
              <w:t xml:space="preserve">:  </w:t>
            </w:r>
            <w:r w:rsidRPr="00C820D8" w:rsidR="009478FF">
              <w:rPr>
                <w:spacing w:val="-2"/>
                <w:lang w:val="es-ES"/>
              </w:rPr>
              <w:t>0024927642; 0019721638; 0002834810; 0023190655</w:t>
            </w:r>
          </w:p>
        </w:tc>
      </w:tr>
    </w:tbl>
    <w:p w:rsidR="00E273E3" w:rsidRPr="00C820D8" w:rsidP="000D4F95" w14:paraId="49A94226" w14:textId="77777777"/>
    <w:p w:rsidR="00E273E3" w:rsidRPr="00A729E6" w:rsidP="000D4F95" w14:paraId="7D5B918E" w14:textId="77777777">
      <w:pPr>
        <w:pStyle w:val="StyleBoldCentered"/>
        <w:rPr>
          <w:rFonts w:ascii="Times New Roman" w:hAnsi="Times New Roman"/>
        </w:rPr>
      </w:pPr>
      <w:r w:rsidRPr="00A729E6">
        <w:rPr>
          <w:rFonts w:ascii="Times New Roman" w:hAnsi="Times New Roman"/>
        </w:rPr>
        <w:t>forfeiture ORDER</w:t>
      </w:r>
    </w:p>
    <w:p w:rsidR="00E273E3" w:rsidRPr="00C820D8" w:rsidP="000D4F95" w14:paraId="3CEBE80D" w14:textId="6F6E7BCB">
      <w:pPr>
        <w:tabs>
          <w:tab w:val="right" w:pos="9360"/>
        </w:tabs>
        <w:suppressAutoHyphens/>
        <w:rPr>
          <w:spacing w:val="-2"/>
        </w:rPr>
      </w:pPr>
      <w:r w:rsidRPr="005B45BD">
        <w:rPr>
          <w:b/>
          <w:spacing w:val="-2"/>
        </w:rPr>
        <w:t xml:space="preserve">Adopted:  </w:t>
      </w:r>
      <w:r w:rsidR="00245AC0">
        <w:rPr>
          <w:b/>
          <w:spacing w:val="-2"/>
        </w:rPr>
        <w:t>January 13, 2021</w:t>
      </w:r>
      <w:r w:rsidRPr="005B45BD" w:rsidR="006D2212">
        <w:rPr>
          <w:b/>
          <w:spacing w:val="-2"/>
        </w:rPr>
        <w:tab/>
        <w:t xml:space="preserve">Released:  </w:t>
      </w:r>
      <w:r w:rsidR="00245AC0">
        <w:rPr>
          <w:b/>
          <w:spacing w:val="-2"/>
        </w:rPr>
        <w:t>January 14, 2021</w:t>
      </w:r>
    </w:p>
    <w:p w:rsidR="00E273E3" w:rsidRPr="00C820D8" w:rsidP="000D4F95" w14:paraId="4132111D" w14:textId="77777777">
      <w:pPr>
        <w:jc w:val="center"/>
      </w:pPr>
    </w:p>
    <w:p w:rsidR="00E273E3" w:rsidP="000D4F95" w14:paraId="38C76FEF" w14:textId="3599AC9E">
      <w:pPr>
        <w:rPr>
          <w:spacing w:val="-2"/>
        </w:rPr>
      </w:pPr>
      <w:r w:rsidRPr="00C820D8">
        <w:t xml:space="preserve">By the </w:t>
      </w:r>
      <w:r w:rsidRPr="00C820D8" w:rsidR="003343CA">
        <w:t>Commission</w:t>
      </w:r>
      <w:r w:rsidRPr="00C820D8">
        <w:rPr>
          <w:spacing w:val="-2"/>
        </w:rPr>
        <w:t>:</w:t>
      </w:r>
      <w:r w:rsidR="00245AC0">
        <w:rPr>
          <w:spacing w:val="-2"/>
        </w:rPr>
        <w:t xml:space="preserve">  </w:t>
      </w:r>
      <w:r w:rsidRPr="00245AC0" w:rsidR="00245AC0">
        <w:rPr>
          <w:spacing w:val="-2"/>
        </w:rPr>
        <w:t xml:space="preserve">Commissioner </w:t>
      </w:r>
      <w:r w:rsidRPr="00245AC0" w:rsidR="00245AC0">
        <w:rPr>
          <w:spacing w:val="-2"/>
        </w:rPr>
        <w:t>Rosenworcel</w:t>
      </w:r>
      <w:r w:rsidR="00245AC0">
        <w:rPr>
          <w:spacing w:val="-2"/>
        </w:rPr>
        <w:t xml:space="preserve"> concurring</w:t>
      </w:r>
      <w:r w:rsidR="006D44F1">
        <w:rPr>
          <w:spacing w:val="-2"/>
        </w:rPr>
        <w:t>;</w:t>
      </w:r>
      <w:r w:rsidR="00245AC0">
        <w:rPr>
          <w:spacing w:val="-2"/>
        </w:rPr>
        <w:t xml:space="preserve"> Commissioner</w:t>
      </w:r>
      <w:r w:rsidRPr="00245AC0" w:rsidR="00245AC0">
        <w:rPr>
          <w:spacing w:val="-2"/>
        </w:rPr>
        <w:t xml:space="preserve"> Starks dissenting</w:t>
      </w:r>
      <w:r w:rsidR="00245AC0">
        <w:rPr>
          <w:spacing w:val="-2"/>
        </w:rPr>
        <w:t>.</w:t>
      </w:r>
    </w:p>
    <w:p w:rsidR="00E260D9" w:rsidRPr="00C820D8" w:rsidP="000D4F95" w14:paraId="49592724" w14:textId="77777777">
      <w:pPr>
        <w:rPr>
          <w:spacing w:val="-2"/>
        </w:rPr>
      </w:pPr>
    </w:p>
    <w:p w:rsidR="006F2096" w:rsidP="00864A14" w14:paraId="6316DDB8" w14:textId="0BC54733">
      <w:pPr>
        <w:pStyle w:val="TOCTitle"/>
      </w:pPr>
      <w:bookmarkStart w:id="1" w:name="TOChere"/>
      <w:r>
        <w:t>Table of Contents</w:t>
      </w:r>
    </w:p>
    <w:p w:rsidR="00E260D9" w:rsidP="00864A14" w14:paraId="2A49300B" w14:textId="0D11ABB9">
      <w:pPr>
        <w:pStyle w:val="Paratitle"/>
      </w:pPr>
      <w:r>
        <w:t>Heading</w:t>
      </w:r>
      <w:r>
        <w:tab/>
        <w:t>Paragraph #</w:t>
      </w:r>
      <w:bookmarkStart w:id="2" w:name="start_here"/>
      <w:bookmarkEnd w:id="2"/>
    </w:p>
    <w:p w:rsidR="00E260D9" w:rsidP="00E260D9" w14:paraId="34DFB963" w14:textId="00E458AE">
      <w:pPr>
        <w:pStyle w:val="TOC1"/>
        <w:rPr>
          <w:rFonts w:asciiTheme="minorHAnsi" w:eastAsiaTheme="minorEastAsia" w:hAnsiTheme="minorHAnsi" w:cstheme="minorBidi"/>
          <w:caps w:val="0"/>
          <w:snapToGrid/>
          <w:kern w:val="0"/>
          <w:szCs w:val="22"/>
        </w:rPr>
      </w:pPr>
      <w:r w:rsidRPr="00EA3FA5">
        <w:t>I.</w:t>
      </w:r>
      <w:r>
        <w:rPr>
          <w:rFonts w:asciiTheme="minorHAnsi" w:eastAsiaTheme="minorEastAsia" w:hAnsiTheme="minorHAnsi" w:cstheme="minorBidi"/>
          <w:caps w:val="0"/>
          <w:snapToGrid/>
          <w:kern w:val="0"/>
          <w:szCs w:val="22"/>
        </w:rPr>
        <w:tab/>
      </w:r>
      <w:r w:rsidRPr="00EA3FA5">
        <w:t>INTRODUCTION</w:t>
      </w:r>
      <w:r>
        <w:tab/>
        <w:t>1</w:t>
      </w:r>
    </w:p>
    <w:p w:rsidR="00E260D9" w:rsidP="00E260D9" w14:paraId="05D7E841" w14:textId="4309144F">
      <w:pPr>
        <w:pStyle w:val="TOC1"/>
        <w:rPr>
          <w:rFonts w:asciiTheme="minorHAnsi" w:eastAsiaTheme="minorEastAsia" w:hAnsiTheme="minorHAnsi" w:cstheme="minorBidi"/>
          <w:caps w:val="0"/>
          <w:snapToGrid/>
          <w:kern w:val="0"/>
          <w:szCs w:val="22"/>
        </w:rPr>
      </w:pPr>
      <w:r w:rsidRPr="00EA3FA5">
        <w:t>II.</w:t>
      </w:r>
      <w:r>
        <w:rPr>
          <w:rFonts w:asciiTheme="minorHAnsi" w:eastAsiaTheme="minorEastAsia" w:hAnsiTheme="minorHAnsi" w:cstheme="minorBidi"/>
          <w:caps w:val="0"/>
          <w:snapToGrid/>
          <w:kern w:val="0"/>
          <w:szCs w:val="22"/>
        </w:rPr>
        <w:tab/>
      </w:r>
      <w:r w:rsidRPr="00EA3FA5">
        <w:t>BACKGROUND</w:t>
      </w:r>
      <w:r>
        <w:tab/>
        <w:t>4</w:t>
      </w:r>
    </w:p>
    <w:p w:rsidR="00E260D9" w:rsidP="00864A14" w14:paraId="46F5BE8F" w14:textId="150032C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Legal Framework</w:t>
      </w:r>
      <w:r>
        <w:tab/>
        <w:t>4</w:t>
      </w:r>
    </w:p>
    <w:p w:rsidR="00E260D9" w:rsidP="00864A14" w14:paraId="5C9C4F96" w14:textId="2821D45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Factual Background</w:t>
      </w:r>
      <w:r>
        <w:tab/>
        <w:t>7</w:t>
      </w:r>
    </w:p>
    <w:p w:rsidR="00E260D9" w:rsidP="00E260D9" w14:paraId="73A60CF3" w14:textId="635CCA29">
      <w:pPr>
        <w:pStyle w:val="TOC1"/>
        <w:rPr>
          <w:rFonts w:asciiTheme="minorHAnsi" w:eastAsiaTheme="minorEastAsia" w:hAnsiTheme="minorHAnsi" w:cstheme="minorBidi"/>
          <w:caps w:val="0"/>
          <w:snapToGrid/>
          <w:kern w:val="0"/>
          <w:szCs w:val="22"/>
        </w:rPr>
      </w:pPr>
      <w:r w:rsidRPr="00EA3FA5">
        <w:t>III.</w:t>
      </w:r>
      <w:r>
        <w:rPr>
          <w:rFonts w:asciiTheme="minorHAnsi" w:eastAsiaTheme="minorEastAsia" w:hAnsiTheme="minorHAnsi" w:cstheme="minorBidi"/>
          <w:caps w:val="0"/>
          <w:snapToGrid/>
          <w:kern w:val="0"/>
          <w:szCs w:val="22"/>
        </w:rPr>
        <w:tab/>
      </w:r>
      <w:r w:rsidRPr="00EA3FA5">
        <w:t>DISCUSSION</w:t>
      </w:r>
      <w:r>
        <w:tab/>
        <w:t>13</w:t>
      </w:r>
    </w:p>
    <w:p w:rsidR="00E260D9" w:rsidP="00864A14" w14:paraId="444BAFDA" w14:textId="71E7276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 xml:space="preserve">Respondent Violated the Sponsorship Identification Laws and the </w:t>
      </w:r>
      <w:r w:rsidRPr="00EA3FA5">
        <w:rPr>
          <w:i/>
          <w:iCs/>
        </w:rPr>
        <w:t>Consent Decree</w:t>
      </w:r>
      <w:r>
        <w:tab/>
        <w:t>14</w:t>
      </w:r>
    </w:p>
    <w:p w:rsidR="00E260D9" w:rsidP="00864A14" w14:paraId="26A6157D" w14:textId="530A08B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FCC Properly Upwardly Adjusted the Base Forfeiture Amount for the Sponsorship Identification Violations</w:t>
      </w:r>
      <w:r>
        <w:tab/>
        <w:t>15</w:t>
      </w:r>
    </w:p>
    <w:p w:rsidR="00E260D9" w:rsidP="00864A14" w14:paraId="4C932757" w14:textId="7021EB8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The FCC Appropriately Considered Past Violations</w:t>
      </w:r>
      <w:r>
        <w:tab/>
        <w:t>17</w:t>
      </w:r>
    </w:p>
    <w:p w:rsidR="00E260D9" w:rsidP="00864A14" w14:paraId="445900A8" w14:textId="256C2D2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Commission Precedent Supports the Upward Adjustment</w:t>
      </w:r>
      <w:r>
        <w:tab/>
        <w:t>21</w:t>
      </w:r>
    </w:p>
    <w:p w:rsidR="00E260D9" w:rsidP="00864A14" w14:paraId="257B14E2" w14:textId="6F39A8B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 xml:space="preserve">The Forfeiture Amount Proposed for Violation of a Commission </w:t>
      </w:r>
      <w:r w:rsidRPr="00EA3FA5">
        <w:rPr>
          <w:i/>
          <w:iCs/>
        </w:rPr>
        <w:t>Consent Decree</w:t>
      </w:r>
      <w:r>
        <w:t xml:space="preserve"> Is Fully Justified</w:t>
      </w:r>
      <w:r>
        <w:tab/>
        <w:t>21</w:t>
      </w:r>
    </w:p>
    <w:p w:rsidR="00E260D9" w:rsidP="00864A14" w14:paraId="7DDCF27F" w14:textId="033C021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No Mitigating Factors Justify a Downward Adjustment of the Forfeiture</w:t>
      </w:r>
      <w:r>
        <w:tab/>
        <w:t>25</w:t>
      </w:r>
    </w:p>
    <w:p w:rsidR="00E260D9" w:rsidP="00864A14" w14:paraId="204FEE85" w14:textId="2C5E975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Respondent’s Industry Standing Does Not Support Forfeiture Reduction</w:t>
      </w:r>
      <w:r>
        <w:tab/>
        <w:t>26</w:t>
      </w:r>
    </w:p>
    <w:p w:rsidR="00E260D9" w:rsidP="00864A14" w14:paraId="357E2BE0" w14:textId="5F9711B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 xml:space="preserve">Respondent’s Overall Compliance Efforts During the </w:t>
      </w:r>
      <w:r w:rsidRPr="00EA3FA5">
        <w:rPr>
          <w:i/>
          <w:iCs/>
        </w:rPr>
        <w:t>Consent Decree</w:t>
      </w:r>
      <w:r>
        <w:t xml:space="preserve"> Term Do Not Justify Forfeiture Reduction</w:t>
      </w:r>
      <w:r>
        <w:tab/>
        <w:t>26</w:t>
      </w:r>
    </w:p>
    <w:p w:rsidR="00E260D9" w:rsidP="00864A14" w14:paraId="4465F5C2" w14:textId="739C7DB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Respondent’s Correction of the Allegedly Unintentional Violation Does Not Justify Reducing the Forfeiture Amount</w:t>
      </w:r>
      <w:r>
        <w:tab/>
        <w:t>29</w:t>
      </w:r>
    </w:p>
    <w:p w:rsidR="00E260D9" w:rsidP="00E260D9" w14:paraId="1691F4F6" w14:textId="721D41C3">
      <w:pPr>
        <w:pStyle w:val="TOC1"/>
        <w:rPr>
          <w:rFonts w:asciiTheme="minorHAnsi" w:eastAsiaTheme="minorEastAsia" w:hAnsiTheme="minorHAnsi" w:cstheme="minorBidi"/>
          <w:caps w:val="0"/>
          <w:snapToGrid/>
          <w:kern w:val="0"/>
          <w:szCs w:val="22"/>
        </w:rPr>
      </w:pPr>
      <w:r w:rsidRPr="00EA3FA5">
        <w:t>IV.</w:t>
      </w:r>
      <w:r>
        <w:rPr>
          <w:rFonts w:asciiTheme="minorHAnsi" w:eastAsiaTheme="minorEastAsia" w:hAnsiTheme="minorHAnsi" w:cstheme="minorBidi"/>
          <w:caps w:val="0"/>
          <w:snapToGrid/>
          <w:kern w:val="0"/>
          <w:szCs w:val="22"/>
        </w:rPr>
        <w:tab/>
      </w:r>
      <w:r w:rsidRPr="00EA3FA5">
        <w:t>CONCLUSION</w:t>
      </w:r>
      <w:r>
        <w:tab/>
        <w:t>33</w:t>
      </w:r>
    </w:p>
    <w:p w:rsidR="00E260D9" w:rsidP="00E260D9" w14:paraId="786F40E7" w14:textId="7C1B9817">
      <w:pPr>
        <w:pStyle w:val="TOC1"/>
        <w:rPr>
          <w:rFonts w:asciiTheme="minorHAnsi" w:eastAsiaTheme="minorEastAsia" w:hAnsiTheme="minorHAnsi" w:cstheme="minorBidi"/>
          <w:caps w:val="0"/>
          <w:snapToGrid/>
          <w:kern w:val="0"/>
          <w:szCs w:val="22"/>
        </w:rPr>
      </w:pPr>
      <w:r w:rsidRPr="00EA3FA5">
        <w:t>V.</w:t>
      </w:r>
      <w:r>
        <w:rPr>
          <w:rFonts w:asciiTheme="minorHAnsi" w:eastAsiaTheme="minorEastAsia" w:hAnsiTheme="minorHAnsi" w:cstheme="minorBidi"/>
          <w:caps w:val="0"/>
          <w:snapToGrid/>
          <w:kern w:val="0"/>
          <w:szCs w:val="22"/>
        </w:rPr>
        <w:tab/>
      </w:r>
      <w:r w:rsidRPr="00EA3FA5">
        <w:t>ORDERING CLAUSES</w:t>
      </w:r>
      <w:r>
        <w:tab/>
        <w:t>34</w:t>
      </w:r>
    </w:p>
    <w:bookmarkEnd w:id="1"/>
    <w:p w:rsidR="00E260D9" w:rsidRPr="00C820D8" w:rsidP="000D4F95" w14:paraId="014A2FE7" w14:textId="77777777">
      <w:pPr>
        <w:spacing w:after="120"/>
        <w:rPr>
          <w:spacing w:val="-2"/>
        </w:rPr>
      </w:pPr>
    </w:p>
    <w:p w:rsidR="00575974" w:rsidRPr="000D4F95" w:rsidP="00C820D8" w14:paraId="464EFC58" w14:textId="77777777">
      <w:pPr>
        <w:pStyle w:val="Heading1"/>
        <w:rPr>
          <w:rFonts w:ascii="Times New Roman" w:hAnsi="Times New Roman"/>
        </w:rPr>
      </w:pPr>
      <w:bookmarkStart w:id="3" w:name="_Toc379288998"/>
      <w:bookmarkStart w:id="4" w:name="_Toc379365499"/>
      <w:bookmarkStart w:id="5" w:name="_Toc36652526"/>
      <w:bookmarkStart w:id="6" w:name="_Toc52544264"/>
      <w:bookmarkStart w:id="7" w:name="_Toc53656740"/>
      <w:r w:rsidRPr="000D4F95">
        <w:rPr>
          <w:rFonts w:ascii="Times New Roman" w:hAnsi="Times New Roman"/>
        </w:rPr>
        <w:t>INTRODUCTION</w:t>
      </w:r>
      <w:bookmarkEnd w:id="3"/>
      <w:bookmarkEnd w:id="4"/>
      <w:bookmarkEnd w:id="5"/>
      <w:bookmarkEnd w:id="6"/>
      <w:bookmarkEnd w:id="7"/>
    </w:p>
    <w:p w:rsidR="00FB4C26" w:rsidRPr="007B6D51" w:rsidP="000D4F95" w14:paraId="5F339E93" w14:textId="0EA3520D">
      <w:pPr>
        <w:pStyle w:val="ParaNum"/>
      </w:pPr>
      <w:r w:rsidRPr="00C820D8">
        <w:t xml:space="preserve">Broadcasters </w:t>
      </w:r>
      <w:r w:rsidRPr="00C820D8" w:rsidR="001D4186">
        <w:t xml:space="preserve">who air </w:t>
      </w:r>
      <w:r w:rsidRPr="00C820D8">
        <w:t xml:space="preserve">paid-for programming without disclosing </w:t>
      </w:r>
      <w:r w:rsidRPr="00C820D8" w:rsidR="000E0AB5">
        <w:t>the program’s</w:t>
      </w:r>
      <w:r w:rsidRPr="00C820D8">
        <w:t xml:space="preserve"> sponsor can mislead the public and promote unfair competition. </w:t>
      </w:r>
      <w:r w:rsidRPr="00C820D8" w:rsidR="008A6672">
        <w:t xml:space="preserve"> Such non-disclosures foster the perception by the public that </w:t>
      </w:r>
      <w:r w:rsidRPr="00C820D8" w:rsidR="003A75C8">
        <w:t>a</w:t>
      </w:r>
      <w:r w:rsidRPr="00C820D8" w:rsidR="008A6672">
        <w:t xml:space="preserve"> </w:t>
      </w:r>
      <w:r w:rsidRPr="00C820D8" w:rsidR="00D0065A">
        <w:t xml:space="preserve">paid announcement </w:t>
      </w:r>
      <w:r w:rsidRPr="00C820D8" w:rsidR="003A75C8">
        <w:t>is</w:t>
      </w:r>
      <w:r w:rsidRPr="00C820D8" w:rsidR="008A6672">
        <w:t xml:space="preserve"> </w:t>
      </w:r>
      <w:r w:rsidRPr="00C820D8" w:rsidR="00D0065A">
        <w:t>the station’s editorial content</w:t>
      </w:r>
      <w:r w:rsidRPr="00C820D8" w:rsidR="008A6672">
        <w:t>,</w:t>
      </w:r>
      <w:r w:rsidRPr="00C820D8" w:rsidR="00D0065A">
        <w:t xml:space="preserve"> while concealing that the station is being paid by a third party to promote a particular</w:t>
      </w:r>
      <w:r w:rsidRPr="00C820D8" w:rsidR="00192FFD">
        <w:t xml:space="preserve"> </w:t>
      </w:r>
      <w:r w:rsidRPr="00C820D8" w:rsidR="00D0065A">
        <w:t>message</w:t>
      </w:r>
      <w:r w:rsidRPr="00C820D8">
        <w:t xml:space="preserve">.  That impression can </w:t>
      </w:r>
      <w:r w:rsidRPr="00C820D8" w:rsidR="008A6672">
        <w:t xml:space="preserve">also </w:t>
      </w:r>
      <w:r w:rsidRPr="00C820D8">
        <w:t xml:space="preserve">give </w:t>
      </w:r>
      <w:r w:rsidRPr="00C820D8" w:rsidR="000E0AB5">
        <w:t>undisclosed</w:t>
      </w:r>
      <w:r w:rsidRPr="00C820D8">
        <w:t xml:space="preserve"> sponsors an unfair advantage over competitors whose paid programming is properly disclosed as paid-for material.  For these reasons, broadcasters are required to disclose information about the sponsors of paid-for programming under the Communications Act of 1934, as amended (Act), and the Federal Communications Commission’s </w:t>
      </w:r>
      <w:r w:rsidRPr="00C820D8" w:rsidR="008A6672">
        <w:t xml:space="preserve">sponsorship identification </w:t>
      </w:r>
      <w:r w:rsidRPr="00C820D8">
        <w:t>rules</w:t>
      </w:r>
      <w:r w:rsidRPr="00C820D8" w:rsidR="008A6672">
        <w:t xml:space="preserve"> (collectively the </w:t>
      </w:r>
      <w:r w:rsidR="00423D46">
        <w:t>S</w:t>
      </w:r>
      <w:r w:rsidRPr="00C820D8" w:rsidR="00423D46">
        <w:t xml:space="preserve">ponsorship </w:t>
      </w:r>
      <w:r w:rsidR="00423D46">
        <w:t>I</w:t>
      </w:r>
      <w:r w:rsidRPr="00C820D8" w:rsidR="00423D46">
        <w:t xml:space="preserve">dentification </w:t>
      </w:r>
      <w:r w:rsidR="00423D46">
        <w:t>L</w:t>
      </w:r>
      <w:r w:rsidRPr="00C820D8" w:rsidR="00423D46">
        <w:t>aws</w:t>
      </w:r>
      <w:r w:rsidRPr="00C820D8" w:rsidR="008A6672">
        <w:t>)</w:t>
      </w:r>
      <w:r w:rsidRPr="00C820D8">
        <w:t xml:space="preserve">.  </w:t>
      </w:r>
      <w:r w:rsidR="003020EB">
        <w:t>V</w:t>
      </w:r>
      <w:r w:rsidR="0071324A">
        <w:t xml:space="preserve">iolations of </w:t>
      </w:r>
      <w:r w:rsidR="0065682F">
        <w:t xml:space="preserve">the </w:t>
      </w:r>
      <w:r w:rsidR="001B1DB9">
        <w:t>Sponsorship Identification Laws</w:t>
      </w:r>
      <w:r w:rsidR="003020EB">
        <w:t xml:space="preserve"> may subject broadcasters to </w:t>
      </w:r>
      <w:r w:rsidR="003020EB">
        <w:t>enforcement action</w:t>
      </w:r>
      <w:r w:rsidR="0071324A">
        <w:t xml:space="preserve">.  </w:t>
      </w:r>
      <w:r w:rsidR="006D5224">
        <w:t>In appropriate cases</w:t>
      </w:r>
      <w:r w:rsidR="00CA7F63">
        <w:t xml:space="preserve">, </w:t>
      </w:r>
      <w:r w:rsidRPr="00C820D8" w:rsidR="006D5224">
        <w:t xml:space="preserve">the </w:t>
      </w:r>
      <w:r w:rsidRPr="00C820D8">
        <w:t xml:space="preserve">FCC </w:t>
      </w:r>
      <w:r w:rsidRPr="00A01027">
        <w:t>enforce</w:t>
      </w:r>
      <w:r w:rsidR="006D5224">
        <w:t>s</w:t>
      </w:r>
      <w:r w:rsidRPr="00A01027">
        <w:t xml:space="preserve"> </w:t>
      </w:r>
      <w:r w:rsidR="006D5224">
        <w:t xml:space="preserve">its rules </w:t>
      </w:r>
      <w:r w:rsidR="00065382">
        <w:t>through</w:t>
      </w:r>
      <w:r w:rsidR="00C6081D">
        <w:t xml:space="preserve"> </w:t>
      </w:r>
      <w:r w:rsidRPr="00C820D8">
        <w:t>consent decree</w:t>
      </w:r>
      <w:r w:rsidR="00065382">
        <w:t>s</w:t>
      </w:r>
      <w:r w:rsidR="003020EB">
        <w:t>,</w:t>
      </w:r>
      <w:r w:rsidRPr="00C820D8">
        <w:t xml:space="preserve"> </w:t>
      </w:r>
      <w:r w:rsidRPr="007E7CFA">
        <w:t>pursuant to which</w:t>
      </w:r>
      <w:r w:rsidR="00065382">
        <w:t xml:space="preserve"> alleged violators </w:t>
      </w:r>
      <w:r w:rsidR="003020EB">
        <w:t xml:space="preserve">typically </w:t>
      </w:r>
      <w:r w:rsidR="006E2B2B">
        <w:t xml:space="preserve">agree to </w:t>
      </w:r>
      <w:r w:rsidR="00682C1E">
        <w:t>pay</w:t>
      </w:r>
      <w:r w:rsidR="006E2B2B">
        <w:t xml:space="preserve"> monetary </w:t>
      </w:r>
      <w:r w:rsidR="003020EB">
        <w:t>penalties</w:t>
      </w:r>
      <w:r w:rsidR="006E2B2B">
        <w:t xml:space="preserve">, </w:t>
      </w:r>
      <w:r w:rsidR="006D5224">
        <w:t>take affirmative steps</w:t>
      </w:r>
      <w:r w:rsidRPr="007E7CFA" w:rsidR="006D5224">
        <w:t xml:space="preserve"> to</w:t>
      </w:r>
      <w:r w:rsidRPr="007E7CFA">
        <w:t xml:space="preserve"> </w:t>
      </w:r>
      <w:r w:rsidR="00682C1E">
        <w:t xml:space="preserve">help </w:t>
      </w:r>
      <w:r w:rsidRPr="007E7CFA">
        <w:t xml:space="preserve">ensure </w:t>
      </w:r>
      <w:r w:rsidR="00065382">
        <w:t xml:space="preserve">their </w:t>
      </w:r>
      <w:r w:rsidRPr="007E7CFA">
        <w:t>future compliance</w:t>
      </w:r>
      <w:r w:rsidR="00065382">
        <w:t>,</w:t>
      </w:r>
      <w:r w:rsidRPr="007E7CFA" w:rsidR="000E0AB5">
        <w:t xml:space="preserve"> </w:t>
      </w:r>
      <w:r w:rsidR="00065382">
        <w:t>and</w:t>
      </w:r>
      <w:r w:rsidR="006E2B2B">
        <w:t xml:space="preserve"> </w:t>
      </w:r>
      <w:r w:rsidRPr="007E7CFA">
        <w:t>repor</w:t>
      </w:r>
      <w:r w:rsidRPr="007E7CFA" w:rsidR="000E0AB5">
        <w:t>t</w:t>
      </w:r>
      <w:r w:rsidRPr="007E7CFA">
        <w:t xml:space="preserve"> </w:t>
      </w:r>
      <w:r w:rsidRPr="007E7CFA" w:rsidR="000E0AB5">
        <w:t xml:space="preserve">any further </w:t>
      </w:r>
      <w:r w:rsidRPr="007E7CFA">
        <w:t>violations</w:t>
      </w:r>
      <w:r w:rsidR="00065382">
        <w:t xml:space="preserve"> to the FCC</w:t>
      </w:r>
      <w:r w:rsidR="00C6081D">
        <w:t xml:space="preserve"> </w:t>
      </w:r>
      <w:r w:rsidRPr="007E7CFA">
        <w:t>in a timely manner.</w:t>
      </w:r>
      <w:r w:rsidR="0065682F">
        <w:t xml:space="preserve"> </w:t>
      </w:r>
      <w:r w:rsidR="006E2B2B">
        <w:t xml:space="preserve"> </w:t>
      </w:r>
      <w:r w:rsidR="00993040">
        <w:t xml:space="preserve">Failure to comply with the terms of a </w:t>
      </w:r>
      <w:r w:rsidR="006E2B2B">
        <w:t>consent decree</w:t>
      </w:r>
      <w:r w:rsidR="00CA7F63">
        <w:t xml:space="preserve"> can lead to further enforcement action.</w:t>
      </w:r>
    </w:p>
    <w:p w:rsidR="00CB28B7" w:rsidRPr="007B6D51" w:rsidP="00C820D8" w14:paraId="5A5748BD" w14:textId="3E916F23">
      <w:pPr>
        <w:pStyle w:val="ParaNum"/>
      </w:pPr>
      <w:r w:rsidRPr="007E7CFA">
        <w:t>Today we impose a $233,000 penalty against Radio License Holding CBC, LLC (Radio License), Cumulus Licensing LLC</w:t>
      </w:r>
      <w:r w:rsidR="00D71464">
        <w:t xml:space="preserve"> (Licensing LLC)</w:t>
      </w:r>
      <w:r w:rsidRPr="007E7CFA">
        <w:t>, Radio License Holdings LLC</w:t>
      </w:r>
      <w:r w:rsidR="00D71464">
        <w:t xml:space="preserve"> </w:t>
      </w:r>
      <w:r w:rsidR="00545301">
        <w:t>(</w:t>
      </w:r>
      <w:r w:rsidR="00D71464">
        <w:t>Holdings LLC)</w:t>
      </w:r>
      <w:r w:rsidRPr="007E7CFA">
        <w:t>, and Cumulus Radio LLC</w:t>
      </w:r>
      <w:r w:rsidR="00D71464">
        <w:t xml:space="preserve"> (Radio LLC)</w:t>
      </w:r>
      <w:r w:rsidRPr="007E7CFA">
        <w:t>, successor-in-interest to Cumulus Radio Corporation (Cumulus) (</w:t>
      </w:r>
      <w:r w:rsidR="00D71464">
        <w:t>collectively</w:t>
      </w:r>
      <w:r w:rsidRPr="007E7CFA">
        <w:t xml:space="preserve">, </w:t>
      </w:r>
      <w:r w:rsidRPr="007E7CFA" w:rsidR="00F52697">
        <w:t>Respondent</w:t>
      </w:r>
      <w:r w:rsidRPr="007E7CFA">
        <w:t>).</w:t>
      </w:r>
      <w:r>
        <w:rPr>
          <w:rStyle w:val="FootnoteReference"/>
          <w:sz w:val="22"/>
        </w:rPr>
        <w:footnoteReference w:id="3"/>
      </w:r>
      <w:r w:rsidRPr="007E7CFA">
        <w:t xml:space="preserve">  We previously found that Radio License, Licensing LLC, and Holdings LLC had apparently broadcast paid programming without sponsorship identification announcements a total of 26 times.  We also found that </w:t>
      </w:r>
      <w:r w:rsidRPr="007E7CFA" w:rsidR="007418D1">
        <w:t xml:space="preserve">Radio License and </w:t>
      </w:r>
      <w:r w:rsidRPr="007E7CFA">
        <w:t xml:space="preserve">Cumulus had apparently failed to timely notify the FCC about 13 of these violations, as </w:t>
      </w:r>
      <w:r w:rsidRPr="007E7CFA" w:rsidR="003B37A3">
        <w:t xml:space="preserve">was </w:t>
      </w:r>
      <w:r w:rsidRPr="007E7CFA">
        <w:t>required by a 2016 consent decree</w:t>
      </w:r>
      <w:r>
        <w:rPr>
          <w:rStyle w:val="FootnoteReference"/>
        </w:rPr>
        <w:footnoteReference w:id="4"/>
      </w:r>
      <w:r w:rsidRPr="007E7CFA">
        <w:t xml:space="preserve"> between Radio License, Cumulus, and the FCC’s Enforcement Bureau (Bureau)</w:t>
      </w:r>
      <w:r w:rsidRPr="007E7CFA" w:rsidR="00CD7852">
        <w:t xml:space="preserve"> that resolved </w:t>
      </w:r>
      <w:r w:rsidRPr="007E7CFA" w:rsidR="003B37A3">
        <w:t>earlier</w:t>
      </w:r>
      <w:r w:rsidRPr="007E7CFA" w:rsidR="00CD7852">
        <w:t xml:space="preserve"> sponsorship identification violations</w:t>
      </w:r>
      <w:r w:rsidRPr="007E7CFA">
        <w:t xml:space="preserve">.  </w:t>
      </w:r>
      <w:r w:rsidRPr="007E7CFA" w:rsidR="00CD7852">
        <w:t>In a Notice of Apparent Liability</w:t>
      </w:r>
      <w:r w:rsidR="00A73388">
        <w:t xml:space="preserve"> </w:t>
      </w:r>
      <w:r w:rsidRPr="00100A83" w:rsidR="00A73388">
        <w:t>for Forfeiture</w:t>
      </w:r>
      <w:r w:rsidRPr="007E7CFA" w:rsidR="00CD7852">
        <w:t xml:space="preserve"> issued on August 6, 2019,</w:t>
      </w:r>
      <w:r>
        <w:rPr>
          <w:rStyle w:val="FootnoteReference"/>
          <w:sz w:val="22"/>
        </w:rPr>
        <w:footnoteReference w:id="5"/>
      </w:r>
      <w:r w:rsidRPr="007E7CFA" w:rsidR="00CD7852">
        <w:t xml:space="preserve"> the Commission </w:t>
      </w:r>
      <w:bookmarkStart w:id="8" w:name="_Hlk41905685"/>
      <w:r w:rsidRPr="007E7CFA">
        <w:t>proposed a $233,000 penalty for the</w:t>
      </w:r>
      <w:r w:rsidRPr="007E7CFA" w:rsidR="003B37A3">
        <w:t xml:space="preserve"> 26 new violations and for Radio </w:t>
      </w:r>
      <w:r w:rsidRPr="00A01027" w:rsidR="003B37A3">
        <w:t>License</w:t>
      </w:r>
      <w:r w:rsidR="009D1DD1">
        <w:t>’s</w:t>
      </w:r>
      <w:r w:rsidRPr="007E7CFA" w:rsidR="003B37A3">
        <w:t xml:space="preserve"> and </w:t>
      </w:r>
      <w:r w:rsidRPr="00A01027" w:rsidR="003B37A3">
        <w:t>Cumulus’</w:t>
      </w:r>
      <w:r w:rsidRPr="007E7CFA" w:rsidR="009D1DD1">
        <w:t xml:space="preserve"> </w:t>
      </w:r>
      <w:r w:rsidRPr="007E7CFA" w:rsidR="003B37A3">
        <w:t xml:space="preserve">failure to </w:t>
      </w:r>
      <w:r w:rsidRPr="007E7CFA" w:rsidR="00C0630F">
        <w:t xml:space="preserve">timely </w:t>
      </w:r>
      <w:r w:rsidRPr="007E7CFA" w:rsidR="003B37A3">
        <w:t xml:space="preserve">report certain of those </w:t>
      </w:r>
      <w:r w:rsidRPr="007E7CFA">
        <w:t>violations.</w:t>
      </w:r>
      <w:r w:rsidRPr="007E7CFA" w:rsidR="00DD5D3B">
        <w:t xml:space="preserve">  Respondent </w:t>
      </w:r>
      <w:r w:rsidRPr="007E7CFA">
        <w:t xml:space="preserve">does not contest </w:t>
      </w:r>
      <w:r w:rsidRPr="007E7CFA" w:rsidR="00CD7852">
        <w:t>the Commission’s</w:t>
      </w:r>
      <w:r w:rsidRPr="007E7CFA">
        <w:t xml:space="preserve"> findings but seeks an unspecified reduction or </w:t>
      </w:r>
      <w:r w:rsidR="006D5224">
        <w:t>rescission</w:t>
      </w:r>
      <w:r w:rsidRPr="007E7CFA">
        <w:t xml:space="preserve"> of the proposed forfeiture, arguing it is excessive.  After reviewing </w:t>
      </w:r>
      <w:r w:rsidRPr="007E7CFA" w:rsidR="00DD5D3B">
        <w:t>Respondent</w:t>
      </w:r>
      <w:r w:rsidRPr="007E7CFA">
        <w:t>’</w:t>
      </w:r>
      <w:r w:rsidRPr="007E7CFA" w:rsidR="00DD5D3B">
        <w:t>s</w:t>
      </w:r>
      <w:r w:rsidRPr="007E7CFA">
        <w:t xml:space="preserve"> response to the proposed forfeiture, we find no reason to cancel, withdraw, or reduce the proposed penalty, and</w:t>
      </w:r>
      <w:r w:rsidR="008B259C">
        <w:t xml:space="preserve"> we</w:t>
      </w:r>
      <w:r w:rsidRPr="007E7CFA">
        <w:t xml:space="preserve"> therefore </w:t>
      </w:r>
      <w:r w:rsidR="006D5224">
        <w:t>impose</w:t>
      </w:r>
      <w:r w:rsidRPr="007E7CFA">
        <w:t xml:space="preserve"> the $233,000 </w:t>
      </w:r>
      <w:bookmarkEnd w:id="8"/>
      <w:r w:rsidRPr="007E7CFA">
        <w:t xml:space="preserve">forfeiture </w:t>
      </w:r>
      <w:r w:rsidR="006D5224">
        <w:t>originally</w:t>
      </w:r>
      <w:r w:rsidRPr="007E7CFA">
        <w:t xml:space="preserve"> proposed.</w:t>
      </w:r>
    </w:p>
    <w:p w:rsidR="00A910BE" w:rsidRPr="007E7CFA" w:rsidP="00C820D8" w14:paraId="618E649B" w14:textId="41867CA3">
      <w:pPr>
        <w:pStyle w:val="ParaNum"/>
      </w:pPr>
      <w:r w:rsidRPr="007E7CFA">
        <w:t>Our action today advances the Commission’s longstanding goals of protecting consumers by ensuring that they know who is attempting to persuade them and protecting compliant broadcasters and sponsors from competitive disadvantage vis-à-vis competitors that fail to abide by our disclosure rules</w:t>
      </w:r>
      <w:r w:rsidR="00DD550B">
        <w:t xml:space="preserve">.  </w:t>
      </w:r>
      <w:r w:rsidR="00DD550B">
        <w:rPr>
          <w:szCs w:val="22"/>
        </w:rPr>
        <w:t xml:space="preserve">Our action today </w:t>
      </w:r>
      <w:r w:rsidRPr="007E7CFA" w:rsidR="006D5224">
        <w:t>also</w:t>
      </w:r>
      <w:r w:rsidRPr="007E7CFA">
        <w:t xml:space="preserve"> advances the Commission’s commitment to ensure that parties fully comply with</w:t>
      </w:r>
      <w:r w:rsidRPr="00A01027">
        <w:t xml:space="preserve"> </w:t>
      </w:r>
      <w:r w:rsidR="000E30CE">
        <w:t xml:space="preserve">the </w:t>
      </w:r>
      <w:r w:rsidR="006F6ACC">
        <w:t>Commission</w:t>
      </w:r>
      <w:r w:rsidR="000E30CE">
        <w:t>’s</w:t>
      </w:r>
      <w:r w:rsidRPr="007E7CFA" w:rsidR="004066A2">
        <w:t xml:space="preserve"> </w:t>
      </w:r>
      <w:r w:rsidRPr="007E7CFA">
        <w:t>consent decrees.</w:t>
      </w:r>
    </w:p>
    <w:p w:rsidR="00A204BA" w:rsidRPr="007B6D51" w:rsidP="00C820D8" w14:paraId="2EB6885E" w14:textId="77777777">
      <w:pPr>
        <w:pStyle w:val="Heading1"/>
        <w:rPr>
          <w:rFonts w:ascii="Times New Roman" w:hAnsi="Times New Roman"/>
        </w:rPr>
      </w:pPr>
      <w:bookmarkStart w:id="9" w:name="_Toc379288999"/>
      <w:bookmarkStart w:id="10" w:name="_Toc379365500"/>
      <w:bookmarkStart w:id="11" w:name="_Toc36652527"/>
      <w:bookmarkStart w:id="12" w:name="_Toc52544265"/>
      <w:bookmarkStart w:id="13" w:name="_Toc53656741"/>
      <w:r w:rsidRPr="007B6D51">
        <w:rPr>
          <w:rFonts w:ascii="Times New Roman" w:hAnsi="Times New Roman"/>
        </w:rPr>
        <w:t>BACKGROUND</w:t>
      </w:r>
      <w:bookmarkEnd w:id="9"/>
      <w:bookmarkEnd w:id="10"/>
      <w:bookmarkEnd w:id="11"/>
      <w:bookmarkEnd w:id="12"/>
      <w:bookmarkEnd w:id="13"/>
    </w:p>
    <w:p w:rsidR="002C0D69" w:rsidRPr="007E7CFA" w:rsidP="00C820D8" w14:paraId="2B9A53DE" w14:textId="77777777">
      <w:pPr>
        <w:pStyle w:val="Heading2"/>
      </w:pPr>
      <w:bookmarkStart w:id="14" w:name="_Toc27645916"/>
      <w:bookmarkStart w:id="15" w:name="_Toc28694811"/>
      <w:bookmarkStart w:id="16" w:name="_Toc28955719"/>
      <w:bookmarkStart w:id="17" w:name="_Toc28965351"/>
      <w:bookmarkStart w:id="18" w:name="_Toc29313682"/>
      <w:bookmarkStart w:id="19" w:name="_Toc30160183"/>
      <w:bookmarkStart w:id="20" w:name="_Toc30160393"/>
      <w:bookmarkStart w:id="21" w:name="_Toc30160908"/>
      <w:bookmarkStart w:id="22" w:name="_Toc30512366"/>
      <w:bookmarkStart w:id="23" w:name="_Toc30781859"/>
      <w:bookmarkStart w:id="24" w:name="_Toc31110692"/>
      <w:bookmarkStart w:id="25" w:name="_Toc31110790"/>
      <w:bookmarkStart w:id="26" w:name="_Toc31110851"/>
      <w:bookmarkStart w:id="27" w:name="_Toc31878073"/>
      <w:bookmarkStart w:id="28" w:name="_Toc31906237"/>
      <w:bookmarkStart w:id="29" w:name="_Toc31906261"/>
      <w:bookmarkStart w:id="30" w:name="_Toc31978702"/>
      <w:bookmarkStart w:id="31" w:name="_Toc52544266"/>
      <w:bookmarkStart w:id="32" w:name="_Toc53656742"/>
      <w:r w:rsidRPr="007E7CFA">
        <w:t>Legal Framework</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461A3" w:rsidRPr="007E7CFA" w:rsidP="00C820D8" w14:paraId="5A903DB2" w14:textId="77777777">
      <w:pPr>
        <w:pStyle w:val="ParaNum"/>
      </w:pPr>
      <w:r w:rsidRPr="007E7CFA">
        <w:t>Section 317(a)(1) of the Act and section 73.1212(a) of the Commission’s rules require stations to broadcast sponsorship identification announcements.  Specifically, section 317(a)(1) of the Act provides in part:</w:t>
      </w:r>
    </w:p>
    <w:p w:rsidR="006461A3" w:rsidRPr="007E7CFA" w:rsidP="007B6D51" w14:paraId="6A9BAB88" w14:textId="77777777">
      <w:pPr>
        <w:spacing w:after="120"/>
        <w:ind w:left="720"/>
      </w:pPr>
      <w:r w:rsidRPr="007E7CFA">
        <w:t>All matter broadcast by any radio station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 . . . .</w:t>
      </w:r>
      <w:r>
        <w:rPr>
          <w:vertAlign w:val="superscript"/>
        </w:rPr>
        <w:footnoteReference w:id="6"/>
      </w:r>
      <w:r w:rsidRPr="007E7CFA">
        <w:t xml:space="preserve"> </w:t>
      </w:r>
    </w:p>
    <w:p w:rsidR="006461A3" w:rsidRPr="006D4D20" w:rsidP="007B6D51" w14:paraId="1C4EA9F5" w14:textId="77777777">
      <w:pPr>
        <w:spacing w:after="120"/>
      </w:pPr>
      <w:r w:rsidRPr="007E7CFA">
        <w:t>Section 73.1212(a) of the Commission’s rules, which implements section 317(a)(1) of the Act, further provides in part:</w:t>
      </w:r>
    </w:p>
    <w:p w:rsidR="006461A3" w:rsidRPr="007E7CFA" w:rsidP="003F66F4" w14:paraId="365EE775" w14:textId="77777777">
      <w:pPr>
        <w:widowControl/>
        <w:spacing w:after="120"/>
        <w:ind w:left="720"/>
      </w:pPr>
      <w:r w:rsidRPr="007E7CFA">
        <w:t xml:space="preserve">When a broadcast station transmits any matter for which money, service, or other valuable consideration is either directly or indirectly paid or promised to, or charged or accepted by such station, the station, at the time of the broadcast, shall announce: (1) That such matter is sponsored, </w:t>
      </w:r>
      <w:r w:rsidRPr="007E7CFA">
        <w:t>paid for, or furnished, either in whole or in part, and (2) By whom or on whose behalf such consideration was supplied . . . .</w:t>
      </w:r>
      <w:r>
        <w:rPr>
          <w:rStyle w:val="FootnoteReference"/>
          <w:sz w:val="22"/>
        </w:rPr>
        <w:footnoteReference w:id="7"/>
      </w:r>
      <w:r w:rsidRPr="007E7CFA">
        <w:t xml:space="preserve">  </w:t>
      </w:r>
    </w:p>
    <w:p w:rsidR="006461A3" w:rsidRPr="007E7CFA" w:rsidP="00F0648D" w14:paraId="125933A9" w14:textId="35A5608C">
      <w:pPr>
        <w:pStyle w:val="ParaNum"/>
        <w:widowControl/>
      </w:pPr>
      <w:r w:rsidRPr="007E7CFA">
        <w:t xml:space="preserve">The Commission has explained that the </w:t>
      </w:r>
      <w:r w:rsidR="00C90063">
        <w:t>S</w:t>
      </w:r>
      <w:r w:rsidRPr="007E7CFA" w:rsidR="00C90063">
        <w:t xml:space="preserve">ponsorship </w:t>
      </w:r>
      <w:r w:rsidR="00C90063">
        <w:t>I</w:t>
      </w:r>
      <w:r w:rsidRPr="007E7CFA" w:rsidR="00C90063">
        <w:t xml:space="preserve">dentification </w:t>
      </w:r>
      <w:r w:rsidR="00C90063">
        <w:t>Laws</w:t>
      </w:r>
      <w:r w:rsidRPr="007E7CFA" w:rsidR="00C90063">
        <w:t xml:space="preserve"> </w:t>
      </w:r>
      <w:r w:rsidRPr="007E7CFA">
        <w:t>are “grounded in the principle that listeners and viewers are entitled to know who seeks to persuade them . . . .”</w:t>
      </w:r>
      <w:r>
        <w:rPr>
          <w:rStyle w:val="FootnoteReference"/>
          <w:sz w:val="22"/>
        </w:rPr>
        <w:footnoteReference w:id="8"/>
      </w:r>
      <w:r w:rsidRPr="007E7CFA">
        <w:t xml:space="preserve">  The disclosures required by the </w:t>
      </w:r>
      <w:r w:rsidR="00C90063">
        <w:t>S</w:t>
      </w:r>
      <w:r w:rsidRPr="007E7CFA" w:rsidR="00C90063">
        <w:t xml:space="preserve">ponsorship </w:t>
      </w:r>
      <w:r w:rsidR="00C90063">
        <w:t>I</w:t>
      </w:r>
      <w:r w:rsidRPr="007E7CFA" w:rsidR="00C90063">
        <w:t xml:space="preserve">dentification </w:t>
      </w:r>
      <w:r w:rsidR="00C90063">
        <w:t>Laws</w:t>
      </w:r>
      <w:r w:rsidRPr="007E7CFA" w:rsidR="00C90063">
        <w:t xml:space="preserve"> </w:t>
      </w:r>
      <w:r w:rsidRPr="007E7CFA">
        <w:t>provide listeners and viewers with information concerning the source of material in order to prevent misleading or deceiving those listeners and viewers.</w:t>
      </w:r>
      <w:r>
        <w:rPr>
          <w:rStyle w:val="FootnoteReference"/>
          <w:sz w:val="22"/>
        </w:rPr>
        <w:footnoteReference w:id="9"/>
      </w:r>
    </w:p>
    <w:p w:rsidR="006461A3" w:rsidRPr="007E7CFA" w:rsidP="003F0300" w14:paraId="031F9511" w14:textId="61426E1D">
      <w:pPr>
        <w:pStyle w:val="ParaNum"/>
      </w:pPr>
      <w:r w:rsidRPr="007E7CFA">
        <w:t xml:space="preserve">Consent decrees </w:t>
      </w:r>
      <w:r w:rsidR="00BE2A67">
        <w:t xml:space="preserve">made </w:t>
      </w:r>
      <w:r w:rsidRPr="007E7CFA">
        <w:t>with the Bureau are enforceable</w:t>
      </w:r>
      <w:r w:rsidRPr="007E7CFA" w:rsidR="00BE2A67">
        <w:t xml:space="preserve"> </w:t>
      </w:r>
      <w:r w:rsidRPr="007E7CFA">
        <w:t>orders.</w:t>
      </w:r>
      <w:r>
        <w:rPr>
          <w:rStyle w:val="FootnoteReference"/>
        </w:rPr>
        <w:footnoteReference w:id="10"/>
      </w:r>
      <w:r w:rsidRPr="00A01027">
        <w:t xml:space="preserve">  </w:t>
      </w:r>
      <w:r w:rsidR="00BE2A67">
        <w:t xml:space="preserve">The breach or violation of the terms of </w:t>
      </w:r>
      <w:r w:rsidRPr="007E7CFA" w:rsidR="00BE2A67">
        <w:t>a</w:t>
      </w:r>
      <w:r w:rsidRPr="007E7CFA">
        <w:t xml:space="preserve"> consent decree</w:t>
      </w:r>
      <w:r w:rsidRPr="007E7CFA" w:rsidR="00BE2A67">
        <w:t xml:space="preserve"> violates</w:t>
      </w:r>
      <w:r w:rsidRPr="007E7CFA">
        <w:t xml:space="preserve"> a Bureau order.</w:t>
      </w:r>
      <w:r>
        <w:rPr>
          <w:rStyle w:val="FootnoteReference"/>
          <w:sz w:val="22"/>
        </w:rPr>
        <w:footnoteReference w:id="11"/>
      </w:r>
      <w:r>
        <w:t xml:space="preserve"> </w:t>
      </w:r>
    </w:p>
    <w:p w:rsidR="007F353C" w:rsidRPr="007E7CFA" w:rsidP="003F0300" w14:paraId="6DA66944" w14:textId="77777777">
      <w:pPr>
        <w:pStyle w:val="Heading2"/>
      </w:pPr>
      <w:bookmarkStart w:id="33" w:name="_Toc27645917"/>
      <w:bookmarkStart w:id="34" w:name="_Toc28694812"/>
      <w:bookmarkStart w:id="35" w:name="_Toc28955720"/>
      <w:bookmarkStart w:id="36" w:name="_Toc28965352"/>
      <w:bookmarkStart w:id="37" w:name="_Toc29313683"/>
      <w:bookmarkStart w:id="38" w:name="_Toc30160184"/>
      <w:bookmarkStart w:id="39" w:name="_Toc30160394"/>
      <w:bookmarkStart w:id="40" w:name="_Toc30160909"/>
      <w:bookmarkStart w:id="41" w:name="_Toc30512367"/>
      <w:bookmarkStart w:id="42" w:name="_Toc30781860"/>
      <w:bookmarkStart w:id="43" w:name="_Toc31110693"/>
      <w:bookmarkStart w:id="44" w:name="_Toc31110791"/>
      <w:bookmarkStart w:id="45" w:name="_Toc31110852"/>
      <w:bookmarkStart w:id="46" w:name="_Toc31878074"/>
      <w:bookmarkStart w:id="47" w:name="_Toc31906238"/>
      <w:bookmarkStart w:id="48" w:name="_Toc31906262"/>
      <w:bookmarkStart w:id="49" w:name="_Toc31978703"/>
      <w:bookmarkStart w:id="50" w:name="_Toc52544267"/>
      <w:bookmarkStart w:id="51" w:name="_Toc53656743"/>
      <w:r w:rsidRPr="007E7CFA">
        <w:t>Factual Background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C76A03" w:rsidRPr="007E7CFA" w:rsidP="007B6D51" w14:paraId="24214979" w14:textId="74FC3B03">
      <w:pPr>
        <w:pStyle w:val="ParaNum"/>
      </w:pPr>
      <w:r w:rsidRPr="007E7CFA">
        <w:t>Cumulus, Radio License, Licensing LLC, and Holdings LLC are indirect subsidiaries of Cumulus Media</w:t>
      </w:r>
      <w:r w:rsidR="001D1918">
        <w:t>,</w:t>
      </w:r>
      <w:r w:rsidRPr="007E7CFA">
        <w:t xml:space="preserve"> Inc.</w:t>
      </w:r>
      <w:r>
        <w:rPr>
          <w:rStyle w:val="FootnoteReference"/>
          <w:sz w:val="22"/>
        </w:rPr>
        <w:footnoteReference w:id="12"/>
      </w:r>
      <w:r w:rsidRPr="007E7CFA">
        <w:t xml:space="preserve">  Radio License, Licensing LLC, and Holdings LLC are broadcast licensees.</w:t>
      </w:r>
      <w:r w:rsidRPr="007E7CFA" w:rsidR="00775DDF">
        <w:t xml:space="preserve">  </w:t>
      </w:r>
    </w:p>
    <w:p w:rsidR="00671963" w:rsidRPr="007E7CFA" w:rsidP="007B6D51" w14:paraId="2C0C636D" w14:textId="5F685A52">
      <w:pPr>
        <w:pStyle w:val="ParaNum"/>
      </w:pPr>
      <w:r w:rsidRPr="007E7CFA">
        <w:t xml:space="preserve">On January 7, 2016, Radio License, the former licensee of radio station WOKQ(FM), Dover, New Hampshire (Station), </w:t>
      </w:r>
      <w:r w:rsidRPr="007E7CFA" w:rsidR="00002A0C">
        <w:t>and Cumulus</w:t>
      </w:r>
      <w:r w:rsidRPr="007E7CFA" w:rsidR="00797C4D">
        <w:t>, parent of Radio License,</w:t>
      </w:r>
      <w:r w:rsidRPr="007E7CFA" w:rsidR="00002A0C">
        <w:t xml:space="preserve"> </w:t>
      </w:r>
      <w:r w:rsidRPr="007E7CFA">
        <w:t xml:space="preserve">entered into </w:t>
      </w:r>
      <w:r w:rsidR="00BE2A67">
        <w:t xml:space="preserve">the </w:t>
      </w:r>
      <w:r w:rsidRPr="005F4170">
        <w:rPr>
          <w:i/>
          <w:iCs/>
        </w:rPr>
        <w:t>Consent Decree</w:t>
      </w:r>
      <w:r w:rsidRPr="007E7CFA">
        <w:t xml:space="preserve"> with the Bureau</w:t>
      </w:r>
      <w:r>
        <w:rPr>
          <w:rStyle w:val="FootnoteReference"/>
          <w:sz w:val="22"/>
        </w:rPr>
        <w:footnoteReference w:id="13"/>
      </w:r>
      <w:r w:rsidRPr="007E7CFA">
        <w:t xml:space="preserve"> to resolve the Bureau’s investigation into </w:t>
      </w:r>
      <w:r w:rsidR="00BE2A67">
        <w:t xml:space="preserve">whether </w:t>
      </w:r>
      <w:r w:rsidRPr="007E7CFA">
        <w:t xml:space="preserve">the </w:t>
      </w:r>
      <w:r w:rsidRPr="00A01027">
        <w:t>Station</w:t>
      </w:r>
      <w:r w:rsidR="00BE2A67">
        <w:t xml:space="preserve"> had </w:t>
      </w:r>
      <w:r w:rsidRPr="007E7CFA">
        <w:t>broadcast announcements without adequate sponsorship identification disclosures</w:t>
      </w:r>
      <w:r w:rsidRPr="007E7CFA" w:rsidR="00BE13F1">
        <w:t xml:space="preserve"> in violation of section 317 of the Act and section 73.1212 of the Commission</w:t>
      </w:r>
      <w:r w:rsidRPr="007E7CFA" w:rsidR="0006125B">
        <w:t>’s</w:t>
      </w:r>
      <w:r w:rsidRPr="007E7CFA" w:rsidR="00BE13F1">
        <w:t xml:space="preserve"> rules</w:t>
      </w:r>
      <w:r w:rsidRPr="007E7CFA">
        <w:t>.</w:t>
      </w:r>
      <w:r>
        <w:rPr>
          <w:rStyle w:val="FootnoteReference"/>
          <w:sz w:val="22"/>
        </w:rPr>
        <w:footnoteReference w:id="14"/>
      </w:r>
      <w:r w:rsidRPr="007E7CFA">
        <w:t xml:space="preserve">  </w:t>
      </w:r>
      <w:r w:rsidRPr="00775DDF" w:rsidR="00775DDF">
        <w:t>The</w:t>
      </w:r>
      <w:r w:rsidRPr="007E7CFA" w:rsidR="00775DDF">
        <w:t xml:space="preserve"> </w:t>
      </w:r>
      <w:r w:rsidRPr="005F4170" w:rsidR="00775DDF">
        <w:rPr>
          <w:i/>
          <w:iCs/>
        </w:rPr>
        <w:t>Consent Decree</w:t>
      </w:r>
      <w:r w:rsidRPr="007E7CFA" w:rsidR="00D8414E">
        <w:t xml:space="preserve">, </w:t>
      </w:r>
      <w:r w:rsidR="00D8414E">
        <w:t>which included admissions of liability and compliance conditions, was made</w:t>
      </w:r>
      <w:r w:rsidRPr="00775DDF" w:rsidR="00775DDF">
        <w:t xml:space="preserve"> binding on Radio LLC as successor-in-interest to </w:t>
      </w:r>
      <w:r w:rsidRPr="00775DDF" w:rsidR="00775DDF">
        <w:t>Cumulus.</w:t>
      </w:r>
      <w:r>
        <w:rPr>
          <w:rStyle w:val="FootnoteReference"/>
        </w:rPr>
        <w:footnoteReference w:id="15"/>
      </w:r>
      <w:r w:rsidRPr="00775DDF" w:rsidR="00775DDF">
        <w:t xml:space="preserve">  </w:t>
      </w:r>
      <w:r w:rsidR="00D8414E">
        <w:t>Specifically,</w:t>
      </w:r>
      <w:r w:rsidRPr="00A01027">
        <w:t xml:space="preserve"> </w:t>
      </w:r>
      <w:r w:rsidR="00D8414E">
        <w:t>for</w:t>
      </w:r>
      <w:r w:rsidRPr="007E7CFA">
        <w:t xml:space="preserve"> the period January 2016 until January 2019, Radio License </w:t>
      </w:r>
      <w:r w:rsidRPr="007E7CFA" w:rsidR="00005D00">
        <w:t>and Cumulus</w:t>
      </w:r>
      <w:r w:rsidRPr="007E7CFA" w:rsidR="00DD5D3B">
        <w:t xml:space="preserve"> </w:t>
      </w:r>
      <w:r w:rsidRPr="007E7CFA">
        <w:t xml:space="preserve">were required to report any </w:t>
      </w:r>
      <w:r w:rsidR="00D8414E">
        <w:t xml:space="preserve">instances of </w:t>
      </w:r>
      <w:r w:rsidR="001B1DB9">
        <w:t>their</w:t>
      </w:r>
      <w:r w:rsidR="00D8414E">
        <w:t xml:space="preserve"> stations’ failure to comply</w:t>
      </w:r>
      <w:r w:rsidRPr="007E7CFA">
        <w:t xml:space="preserve"> with the </w:t>
      </w:r>
      <w:r w:rsidR="00423D46">
        <w:t>S</w:t>
      </w:r>
      <w:r w:rsidRPr="007E7CFA" w:rsidR="00423D46">
        <w:t xml:space="preserve">ponsorship </w:t>
      </w:r>
      <w:r w:rsidR="00423D46">
        <w:t>I</w:t>
      </w:r>
      <w:r w:rsidRPr="007E7CFA" w:rsidR="00423D46">
        <w:t xml:space="preserve">dentification </w:t>
      </w:r>
      <w:r w:rsidR="00423D46">
        <w:t>L</w:t>
      </w:r>
      <w:r w:rsidRPr="007E7CFA" w:rsidR="00423D46">
        <w:t>aws</w:t>
      </w:r>
      <w:r w:rsidR="00D8414E">
        <w:t>,</w:t>
      </w:r>
      <w:r w:rsidRPr="007E7CFA" w:rsidR="00D8414E">
        <w:t xml:space="preserve"> </w:t>
      </w:r>
      <w:r w:rsidRPr="007E7CFA">
        <w:t xml:space="preserve">and </w:t>
      </w:r>
      <w:r w:rsidR="00D8414E">
        <w:t xml:space="preserve">also </w:t>
      </w:r>
      <w:r w:rsidR="001B1DB9">
        <w:t>any</w:t>
      </w:r>
      <w:r w:rsidR="00D8414E">
        <w:t xml:space="preserve"> breach of any</w:t>
      </w:r>
      <w:r w:rsidRPr="007E7CFA">
        <w:t xml:space="preserve"> terms </w:t>
      </w:r>
      <w:r w:rsidR="00D8414E">
        <w:t>or</w:t>
      </w:r>
      <w:r w:rsidRPr="007E7CFA">
        <w:t xml:space="preserve"> conditions of the </w:t>
      </w:r>
      <w:r w:rsidRPr="005F4170">
        <w:rPr>
          <w:i/>
          <w:iCs/>
        </w:rPr>
        <w:t>Consent Decree</w:t>
      </w:r>
      <w:r w:rsidR="00D8414E">
        <w:t>,</w:t>
      </w:r>
      <w:r w:rsidRPr="007E7CFA">
        <w:t xml:space="preserve"> within 15 calendar days after discovery of such noncompliance.</w:t>
      </w:r>
      <w:r>
        <w:rPr>
          <w:rStyle w:val="FootnoteReference"/>
          <w:sz w:val="22"/>
        </w:rPr>
        <w:footnoteReference w:id="16"/>
      </w:r>
      <w:r w:rsidRPr="007E7CFA">
        <w:t xml:space="preserve">  </w:t>
      </w:r>
    </w:p>
    <w:p w:rsidR="00671963" w:rsidRPr="007E7CFA" w:rsidP="003F0300" w14:paraId="724F1679" w14:textId="415DE537">
      <w:pPr>
        <w:pStyle w:val="ParaNum"/>
      </w:pPr>
      <w:r w:rsidRPr="007E7CFA">
        <w:t>In its January 8, 2018</w:t>
      </w:r>
      <w:r w:rsidR="00D8414E">
        <w:t>,</w:t>
      </w:r>
      <w:r w:rsidRPr="007E7CFA">
        <w:t xml:space="preserve"> compliance report, </w:t>
      </w:r>
      <w:r w:rsidRPr="007E7CFA" w:rsidR="00005D00">
        <w:t xml:space="preserve">Radio License and </w:t>
      </w:r>
      <w:r w:rsidRPr="007E7CFA">
        <w:t>Cumulus disclosed that one non-compliant spot</w:t>
      </w:r>
      <w:r>
        <w:rPr>
          <w:rStyle w:val="FootnoteReference"/>
        </w:rPr>
        <w:footnoteReference w:id="17"/>
      </w:r>
      <w:r w:rsidRPr="007E7CFA">
        <w:t xml:space="preserve"> </w:t>
      </w:r>
      <w:r w:rsidR="007E2F2D">
        <w:t xml:space="preserve">had aired </w:t>
      </w:r>
      <w:r w:rsidRPr="007E7CFA" w:rsidR="00005D00">
        <w:t>on May 16, 2017</w:t>
      </w:r>
      <w:r w:rsidRPr="007E7CFA" w:rsidR="00BF385E">
        <w:t>,</w:t>
      </w:r>
      <w:r w:rsidRPr="007E7CFA" w:rsidR="00005D00">
        <w:t xml:space="preserve"> </w:t>
      </w:r>
      <w:r w:rsidRPr="007E7CFA">
        <w:t>collectively thirteen times</w:t>
      </w:r>
      <w:r w:rsidRPr="007E7CFA" w:rsidR="00BF385E">
        <w:t>,</w:t>
      </w:r>
      <w:r w:rsidRPr="007E7CFA">
        <w:t xml:space="preserve"> on six radio stations </w:t>
      </w:r>
      <w:r w:rsidRPr="001F190E" w:rsidR="001F190E">
        <w:t>(of these six stations, two are licensed to Radio License, two are licensed to Licensing LLC, and two are licensed to Holdings LLC)</w:t>
      </w:r>
      <w:r w:rsidR="001F190E">
        <w:t xml:space="preserve"> </w:t>
      </w:r>
      <w:r w:rsidRPr="007E7CFA" w:rsidR="001F190E">
        <w:t>in Michigan</w:t>
      </w:r>
      <w:r w:rsidRPr="007E7CFA" w:rsidR="00F66198">
        <w:t xml:space="preserve"> (May 2017 Sponsorship ID Violations)</w:t>
      </w:r>
      <w:r w:rsidRPr="007E7CFA" w:rsidR="0001440B">
        <w:t>.</w:t>
      </w:r>
      <w:r>
        <w:rPr>
          <w:rStyle w:val="FootnoteReference"/>
          <w:sz w:val="22"/>
        </w:rPr>
        <w:footnoteReference w:id="18"/>
      </w:r>
      <w:r w:rsidRPr="007E7CFA">
        <w:t xml:space="preserve">  </w:t>
      </w:r>
      <w:r w:rsidR="00996949">
        <w:t xml:space="preserve">Radio License and Cumulus conceded that the </w:t>
      </w:r>
      <w:r w:rsidRPr="007E7CFA">
        <w:t>six stations broadcast the spot without the appropriate sponsorship identifications.</w:t>
      </w:r>
      <w:r>
        <w:rPr>
          <w:rStyle w:val="FootnoteReference"/>
          <w:sz w:val="22"/>
        </w:rPr>
        <w:footnoteReference w:id="19"/>
      </w:r>
      <w:r w:rsidRPr="007E7CFA">
        <w:t xml:space="preserve">  </w:t>
      </w:r>
      <w:r w:rsidRPr="007E7CFA" w:rsidR="006B5CE4">
        <w:t xml:space="preserve">Radio License and </w:t>
      </w:r>
      <w:r w:rsidRPr="007E7CFA" w:rsidR="00100517">
        <w:t xml:space="preserve">Cumulus </w:t>
      </w:r>
      <w:r w:rsidRPr="007E7CFA" w:rsidR="00462A5A">
        <w:t xml:space="preserve">did not </w:t>
      </w:r>
      <w:r w:rsidRPr="007E7CFA">
        <w:t xml:space="preserve">report these violations to the FCC </w:t>
      </w:r>
      <w:r w:rsidRPr="007E7CFA" w:rsidR="00462A5A">
        <w:t>until</w:t>
      </w:r>
      <w:r w:rsidRPr="007E7CFA">
        <w:t xml:space="preserve"> </w:t>
      </w:r>
      <w:r w:rsidRPr="007E7CFA" w:rsidR="00E03DAC">
        <w:t xml:space="preserve">nearly </w:t>
      </w:r>
      <w:r w:rsidRPr="007E7CFA">
        <w:t xml:space="preserve">eight months after they </w:t>
      </w:r>
      <w:r w:rsidRPr="007E7CFA" w:rsidR="00201217">
        <w:t>aired</w:t>
      </w:r>
      <w:r w:rsidRPr="007E7CFA">
        <w:t xml:space="preserve">. </w:t>
      </w:r>
    </w:p>
    <w:p w:rsidR="003B440E" w:rsidRPr="007E7CFA" w:rsidP="003F0300" w14:paraId="5F1E23E7" w14:textId="108E2E8C">
      <w:pPr>
        <w:pStyle w:val="ParaNum"/>
      </w:pPr>
      <w:r w:rsidRPr="007E7CFA">
        <w:t>In a May 29, 2018 filing with the Bureau,</w:t>
      </w:r>
      <w:r>
        <w:rPr>
          <w:rStyle w:val="FootnoteReference"/>
          <w:sz w:val="22"/>
        </w:rPr>
        <w:footnoteReference w:id="20"/>
      </w:r>
      <w:r w:rsidRPr="007E7CFA">
        <w:t xml:space="preserve"> Radio License and Cumulus reported that a non-compliant advertisement</w:t>
      </w:r>
      <w:r>
        <w:rPr>
          <w:rStyle w:val="FootnoteReference"/>
        </w:rPr>
        <w:footnoteReference w:id="21"/>
      </w:r>
      <w:r w:rsidRPr="007E7CFA">
        <w:t xml:space="preserve"> ran </w:t>
      </w:r>
      <w:r w:rsidRPr="007E7CFA" w:rsidR="00201217">
        <w:t xml:space="preserve">nine times </w:t>
      </w:r>
      <w:r w:rsidRPr="007E7CFA">
        <w:t>on a Georgia radio station</w:t>
      </w:r>
      <w:r w:rsidRPr="007E7CFA" w:rsidR="001F190E">
        <w:t xml:space="preserve"> </w:t>
      </w:r>
      <w:r w:rsidRPr="001F190E" w:rsidR="001F190E">
        <w:t>(licensed to Licensing LLC)</w:t>
      </w:r>
      <w:r w:rsidRPr="00A01027">
        <w:t xml:space="preserve"> </w:t>
      </w:r>
      <w:r w:rsidRPr="007E7CFA">
        <w:t>on May 14, 2018, and four times on May 15, 2018</w:t>
      </w:r>
      <w:r w:rsidR="0097616A">
        <w:t xml:space="preserve"> (May 2018 Sponsorship ID Violations)</w:t>
      </w:r>
      <w:r w:rsidR="001B1DB9">
        <w:t>.</w:t>
      </w:r>
      <w:r>
        <w:rPr>
          <w:rStyle w:val="FootnoteReference"/>
          <w:sz w:val="22"/>
        </w:rPr>
        <w:footnoteReference w:id="22"/>
      </w:r>
      <w:r w:rsidRPr="007E7CFA" w:rsidR="006B5CE4">
        <w:t xml:space="preserve">  Radio License </w:t>
      </w:r>
      <w:r w:rsidRPr="007E7CFA" w:rsidR="006B5CE4">
        <w:t xml:space="preserve">and </w:t>
      </w:r>
      <w:r w:rsidRPr="007E7CFA" w:rsidR="00285D3C">
        <w:t>Cumulus</w:t>
      </w:r>
      <w:r w:rsidRPr="007E7CFA" w:rsidR="0001440B">
        <w:t xml:space="preserve"> </w:t>
      </w:r>
      <w:r w:rsidR="00D8414E">
        <w:t>acknowledged</w:t>
      </w:r>
      <w:r w:rsidRPr="007E7CFA" w:rsidR="00EB0751">
        <w:t xml:space="preserve"> </w:t>
      </w:r>
      <w:r w:rsidRPr="007E7CFA" w:rsidR="00201217">
        <w:t xml:space="preserve">that </w:t>
      </w:r>
      <w:r w:rsidRPr="007E7CFA" w:rsidR="00EB0751">
        <w:t>t</w:t>
      </w:r>
      <w:r w:rsidRPr="007E7CFA">
        <w:t>hese</w:t>
      </w:r>
      <w:r w:rsidR="00996949">
        <w:t xml:space="preserve"> </w:t>
      </w:r>
      <w:r w:rsidR="004F0B0A">
        <w:t>thirteen</w:t>
      </w:r>
      <w:r w:rsidRPr="007E7CFA">
        <w:t xml:space="preserve"> spots did not </w:t>
      </w:r>
      <w:r w:rsidRPr="007E7CFA" w:rsidR="00EB0751">
        <w:t>comply with the</w:t>
      </w:r>
      <w:r w:rsidRPr="007E7CFA">
        <w:t xml:space="preserve"> </w:t>
      </w:r>
      <w:r w:rsidR="00423D46">
        <w:t>S</w:t>
      </w:r>
      <w:r w:rsidRPr="007E7CFA" w:rsidR="00423D46">
        <w:t xml:space="preserve">ponsorship </w:t>
      </w:r>
      <w:r w:rsidR="00423D46">
        <w:t>I</w:t>
      </w:r>
      <w:r w:rsidRPr="007E7CFA" w:rsidR="00423D46">
        <w:t xml:space="preserve">dentification </w:t>
      </w:r>
      <w:r w:rsidR="00423D46">
        <w:t>L</w:t>
      </w:r>
      <w:r w:rsidRPr="007E7CFA" w:rsidR="00423D46">
        <w:t>aws</w:t>
      </w:r>
      <w:r w:rsidRPr="007E7CFA">
        <w:t>.</w:t>
      </w:r>
      <w:r>
        <w:rPr>
          <w:rStyle w:val="FootnoteReference"/>
          <w:sz w:val="22"/>
        </w:rPr>
        <w:footnoteReference w:id="23"/>
      </w:r>
    </w:p>
    <w:p w:rsidR="007C0083" w:rsidRPr="006A3239" w:rsidP="003F0300" w14:paraId="2254502D" w14:textId="45C1ACA0">
      <w:pPr>
        <w:pStyle w:val="ParaNum"/>
      </w:pPr>
      <w:r w:rsidRPr="007E7CFA">
        <w:t>On</w:t>
      </w:r>
      <w:r w:rsidRPr="007E7CFA" w:rsidR="009A564B">
        <w:t xml:space="preserve"> August 6, 2019</w:t>
      </w:r>
      <w:r w:rsidRPr="007E7CFA">
        <w:t xml:space="preserve">, </w:t>
      </w:r>
      <w:r w:rsidR="005F5184">
        <w:t>in</w:t>
      </w:r>
      <w:r w:rsidRPr="007E7CFA" w:rsidR="005F5184">
        <w:t xml:space="preserve"> the </w:t>
      </w:r>
      <w:r w:rsidRPr="007B6D51" w:rsidR="005F5184">
        <w:rPr>
          <w:i/>
        </w:rPr>
        <w:t>NAL</w:t>
      </w:r>
      <w:r w:rsidRPr="007E7CFA" w:rsidR="009003E6">
        <w:t xml:space="preserve">, </w:t>
      </w:r>
      <w:r w:rsidR="005F5184">
        <w:t xml:space="preserve">we </w:t>
      </w:r>
      <w:r w:rsidRPr="00A01027" w:rsidR="00CB6E37">
        <w:t>propos</w:t>
      </w:r>
      <w:r w:rsidR="005F5184">
        <w:t>ed</w:t>
      </w:r>
      <w:r w:rsidRPr="007E7CFA" w:rsidR="00CB6E37">
        <w:t xml:space="preserve"> a </w:t>
      </w:r>
      <w:r w:rsidRPr="007E7CFA">
        <w:t>$</w:t>
      </w:r>
      <w:r w:rsidRPr="007E7CFA" w:rsidR="009A564B">
        <w:t>233,000</w:t>
      </w:r>
      <w:r w:rsidRPr="007E7CFA">
        <w:t xml:space="preserve"> </w:t>
      </w:r>
      <w:r w:rsidRPr="007E7CFA" w:rsidR="00CB6E37">
        <w:t xml:space="preserve">forfeiture </w:t>
      </w:r>
      <w:r w:rsidRPr="007E7CFA" w:rsidR="00154A5C">
        <w:t xml:space="preserve">against </w:t>
      </w:r>
      <w:r w:rsidRPr="007E7CFA" w:rsidR="006B5CE4">
        <w:t>Respondent</w:t>
      </w:r>
      <w:r w:rsidR="005F5184">
        <w:t>,</w:t>
      </w:r>
      <w:r>
        <w:rPr>
          <w:rStyle w:val="FootnoteReference"/>
          <w:sz w:val="22"/>
        </w:rPr>
        <w:footnoteReference w:id="24"/>
      </w:r>
      <w:r w:rsidRPr="007E7CFA">
        <w:t xml:space="preserve">  </w:t>
      </w:r>
      <w:r w:rsidR="005F5184">
        <w:t>finding</w:t>
      </w:r>
      <w:r w:rsidRPr="007E7CFA" w:rsidR="005F5184">
        <w:t xml:space="preserve"> that</w:t>
      </w:r>
      <w:r w:rsidRPr="007E7CFA">
        <w:t xml:space="preserve"> Radio License, Licensing LLC, and Holdings LLC apparently repeatedly violated section 317 of the Act and section 73.1212 of the Commission’s rules by broadcasting sponsored programming on seven stations collectively twenty-six times without </w:t>
      </w:r>
      <w:r w:rsidR="005F5184">
        <w:t>giving</w:t>
      </w:r>
      <w:r w:rsidRPr="007E7CFA" w:rsidR="005F5184">
        <w:t xml:space="preserve"> </w:t>
      </w:r>
      <w:r w:rsidR="00447852">
        <w:t xml:space="preserve">the </w:t>
      </w:r>
      <w:r w:rsidR="00EF7631">
        <w:t>required</w:t>
      </w:r>
      <w:r w:rsidRPr="007E7CFA" w:rsidR="00EF7631">
        <w:t xml:space="preserve"> </w:t>
      </w:r>
      <w:r w:rsidRPr="007E7CFA">
        <w:t xml:space="preserve">sponsorship </w:t>
      </w:r>
      <w:r w:rsidRPr="00A01027">
        <w:t>identification</w:t>
      </w:r>
      <w:r w:rsidR="005F5184">
        <w:t>s</w:t>
      </w:r>
      <w:r w:rsidRPr="007E7CFA">
        <w:t>.</w:t>
      </w:r>
      <w:r>
        <w:rPr>
          <w:rStyle w:val="FootnoteReference"/>
          <w:sz w:val="22"/>
        </w:rPr>
        <w:footnoteReference w:id="25"/>
      </w:r>
      <w:r w:rsidR="00B17367">
        <w:t xml:space="preserve">  The </w:t>
      </w:r>
      <w:r w:rsidRPr="00864A14" w:rsidR="00B17367">
        <w:rPr>
          <w:i/>
          <w:iCs/>
        </w:rPr>
        <w:t>NAL</w:t>
      </w:r>
      <w:r w:rsidR="00B17367">
        <w:t xml:space="preserve"> proposed an upward </w:t>
      </w:r>
      <w:r w:rsidR="0063579D">
        <w:t>adjustment</w:t>
      </w:r>
      <w:r w:rsidR="00B17367">
        <w:t xml:space="preserve"> from the base forfeiture for violations of the Sponsorship Identification Laws</w:t>
      </w:r>
      <w:r w:rsidR="00447852">
        <w:t>,</w:t>
      </w:r>
      <w:r w:rsidR="00B17367">
        <w:t xml:space="preserve"> given Respondent’s </w:t>
      </w:r>
      <w:r w:rsidR="00447852">
        <w:t xml:space="preserve">history of </w:t>
      </w:r>
      <w:r w:rsidR="00B17367">
        <w:t>prior violations.</w:t>
      </w:r>
      <w:r>
        <w:rPr>
          <w:rStyle w:val="FootnoteReference"/>
        </w:rPr>
        <w:footnoteReference w:id="26"/>
      </w:r>
      <w:r w:rsidRPr="007E7CFA">
        <w:t xml:space="preserve">  We also found that Radio License and Cumulus apparently violated the </w:t>
      </w:r>
      <w:r w:rsidRPr="000C5E37" w:rsidR="000C5E37">
        <w:rPr>
          <w:i/>
          <w:iCs/>
        </w:rPr>
        <w:t>Consent Decree</w:t>
      </w:r>
      <w:r w:rsidRPr="007E7CFA">
        <w:t xml:space="preserve"> by failing to timely notify the Bureau about </w:t>
      </w:r>
      <w:r w:rsidR="00302E93">
        <w:t>its</w:t>
      </w:r>
      <w:r w:rsidRPr="007E7CFA">
        <w:t xml:space="preserve"> May 2017 Sponsorship ID Violations within the 15-day </w:t>
      </w:r>
      <w:r w:rsidR="005F5184">
        <w:t xml:space="preserve">time </w:t>
      </w:r>
      <w:r w:rsidRPr="007E7CFA">
        <w:t xml:space="preserve">period </w:t>
      </w:r>
      <w:r w:rsidRPr="00A01027">
        <w:t>s</w:t>
      </w:r>
      <w:r w:rsidR="005F5184">
        <w:t>pecified</w:t>
      </w:r>
      <w:r w:rsidRPr="006A3239">
        <w:t xml:space="preserve"> in the </w:t>
      </w:r>
      <w:r w:rsidRPr="000C5E37" w:rsidR="000C5E37">
        <w:rPr>
          <w:i/>
          <w:iCs/>
        </w:rPr>
        <w:t>Consent Decree</w:t>
      </w:r>
      <w:r w:rsidRPr="006A3239">
        <w:t>.</w:t>
      </w:r>
      <w:r>
        <w:rPr>
          <w:rStyle w:val="FootnoteReference"/>
          <w:sz w:val="22"/>
        </w:rPr>
        <w:footnoteReference w:id="27"/>
      </w:r>
    </w:p>
    <w:p w:rsidR="004A07E9" w:rsidRPr="006A3239" w:rsidP="004700FA" w14:paraId="1794A079" w14:textId="43C06EAE">
      <w:pPr>
        <w:pStyle w:val="ParaNum"/>
      </w:pPr>
      <w:r w:rsidRPr="006A3239">
        <w:t xml:space="preserve">On </w:t>
      </w:r>
      <w:r w:rsidRPr="006A3239" w:rsidR="009A564B">
        <w:t>September 5, 2019</w:t>
      </w:r>
      <w:r w:rsidRPr="006A3239" w:rsidR="000B29ED">
        <w:t xml:space="preserve">, </w:t>
      </w:r>
      <w:r w:rsidRPr="006A3239" w:rsidR="006B5CE4">
        <w:t xml:space="preserve">Respondent </w:t>
      </w:r>
      <w:r w:rsidRPr="006A3239">
        <w:t xml:space="preserve">filed </w:t>
      </w:r>
      <w:r w:rsidRPr="006A3239" w:rsidR="005F5184">
        <w:t>its</w:t>
      </w:r>
      <w:r w:rsidRPr="006A3239" w:rsidR="00D8448C">
        <w:t xml:space="preserve"> </w:t>
      </w:r>
      <w:r w:rsidRPr="00C31017" w:rsidR="001D4E0F">
        <w:t>NAL</w:t>
      </w:r>
      <w:r w:rsidRPr="005F4170" w:rsidR="001D4E0F">
        <w:rPr>
          <w:i/>
          <w:iCs/>
        </w:rPr>
        <w:t xml:space="preserve"> </w:t>
      </w:r>
      <w:r w:rsidRPr="00C31017" w:rsidR="001D4E0F">
        <w:t>Response</w:t>
      </w:r>
      <w:r w:rsidR="0083784D">
        <w:t>.</w:t>
      </w:r>
      <w:r>
        <w:rPr>
          <w:rStyle w:val="FootnoteReference"/>
          <w:sz w:val="22"/>
        </w:rPr>
        <w:footnoteReference w:id="28"/>
      </w:r>
      <w:r w:rsidRPr="00A01027" w:rsidR="003F7BB2">
        <w:t xml:space="preserve"> </w:t>
      </w:r>
      <w:r w:rsidR="0083784D">
        <w:t xml:space="preserve"> In its NAL Response, Respondent </w:t>
      </w:r>
      <w:r w:rsidRPr="006A3239" w:rsidR="00FE44F0">
        <w:t xml:space="preserve">does not dispute liability for </w:t>
      </w:r>
      <w:r w:rsidR="005F5184">
        <w:t xml:space="preserve">having </w:t>
      </w:r>
      <w:r w:rsidRPr="006A3239" w:rsidR="005F5184">
        <w:t xml:space="preserve">violated the </w:t>
      </w:r>
      <w:r w:rsidR="00423D46">
        <w:t>S</w:t>
      </w:r>
      <w:r w:rsidR="005F5184">
        <w:t xml:space="preserve">ponsorship </w:t>
      </w:r>
      <w:r w:rsidR="00423D46">
        <w:t>I</w:t>
      </w:r>
      <w:r w:rsidR="005F5184">
        <w:t xml:space="preserve">dentification Laws or provisions of </w:t>
      </w:r>
      <w:r w:rsidRPr="00A01027" w:rsidR="00BD4343">
        <w:t xml:space="preserve">the </w:t>
      </w:r>
      <w:r w:rsidRPr="000C5E37" w:rsidR="000C5E37">
        <w:rPr>
          <w:i/>
          <w:iCs/>
        </w:rPr>
        <w:t>Consent Decree</w:t>
      </w:r>
      <w:r w:rsidRPr="006A3239" w:rsidR="00BD4343">
        <w:t xml:space="preserve">.  Rather, </w:t>
      </w:r>
      <w:r w:rsidRPr="006A3239" w:rsidR="00690587">
        <w:t>Respondent</w:t>
      </w:r>
      <w:r w:rsidRPr="006A3239" w:rsidR="00BD4343">
        <w:t xml:space="preserve"> </w:t>
      </w:r>
      <w:r w:rsidRPr="006A3239" w:rsidR="004850B4">
        <w:t>argues</w:t>
      </w:r>
      <w:r w:rsidRPr="006A3239" w:rsidR="001D4E0F">
        <w:t xml:space="preserve"> </w:t>
      </w:r>
      <w:r w:rsidRPr="006A3239" w:rsidR="00D8448C">
        <w:t xml:space="preserve">that </w:t>
      </w:r>
      <w:r w:rsidRPr="006A3239" w:rsidR="001D4E0F">
        <w:t>the</w:t>
      </w:r>
      <w:r w:rsidRPr="006A3239" w:rsidR="000B29ED">
        <w:t xml:space="preserve"> </w:t>
      </w:r>
      <w:r w:rsidRPr="006A3239" w:rsidR="001D4E0F">
        <w:t xml:space="preserve">FCC </w:t>
      </w:r>
      <w:r w:rsidRPr="006A3239" w:rsidR="00BD4343">
        <w:t xml:space="preserve">should </w:t>
      </w:r>
      <w:r w:rsidRPr="006A3239" w:rsidR="005F5184">
        <w:t>reduce</w:t>
      </w:r>
      <w:r w:rsidR="005F5184">
        <w:t xml:space="preserve"> or rescind</w:t>
      </w:r>
      <w:r w:rsidRPr="006A3239" w:rsidR="00BD4343">
        <w:t xml:space="preserve"> the </w:t>
      </w:r>
      <w:r w:rsidRPr="006A3239" w:rsidR="00BD4343">
        <w:rPr>
          <w:i/>
        </w:rPr>
        <w:t>NAL</w:t>
      </w:r>
      <w:r w:rsidRPr="006A3239" w:rsidR="00BD4343">
        <w:t xml:space="preserve">’s upward forfeiture adjustment for the sponsorship identification violations and the forfeiture for the </w:t>
      </w:r>
      <w:r w:rsidRPr="000C5E37" w:rsidR="000C5E37">
        <w:rPr>
          <w:i/>
          <w:iCs/>
        </w:rPr>
        <w:t>Consent Decree</w:t>
      </w:r>
      <w:r w:rsidRPr="006A3239" w:rsidR="00BD4343">
        <w:t xml:space="preserve"> violation.</w:t>
      </w:r>
      <w:r>
        <w:rPr>
          <w:rStyle w:val="FootnoteReference"/>
          <w:sz w:val="22"/>
        </w:rPr>
        <w:footnoteReference w:id="29"/>
      </w:r>
      <w:r w:rsidRPr="006A3239" w:rsidR="00BD4343">
        <w:t xml:space="preserve">  </w:t>
      </w:r>
      <w:r w:rsidRPr="006A3239" w:rsidR="006B5CE4">
        <w:t xml:space="preserve">Respondent </w:t>
      </w:r>
      <w:r w:rsidRPr="006A3239" w:rsidR="003F7BB2">
        <w:t xml:space="preserve">claims </w:t>
      </w:r>
      <w:r w:rsidRPr="006A3239" w:rsidR="001D4E0F">
        <w:t>th</w:t>
      </w:r>
      <w:r w:rsidRPr="006A3239" w:rsidR="003F7BB2">
        <w:t>at the</w:t>
      </w:r>
      <w:r w:rsidRPr="006A3239" w:rsidR="001D4E0F">
        <w:t xml:space="preserve"> </w:t>
      </w:r>
      <w:r w:rsidRPr="006A3239" w:rsidR="00BD4343">
        <w:t xml:space="preserve">upward adjustment is not justified, </w:t>
      </w:r>
      <w:r w:rsidRPr="006A3239" w:rsidR="00402CD9">
        <w:t>arguing</w:t>
      </w:r>
      <w:r w:rsidR="005F5184">
        <w:t xml:space="preserve"> that</w:t>
      </w:r>
      <w:r w:rsidRPr="006A3239" w:rsidR="00402CD9">
        <w:t>:</w:t>
      </w:r>
      <w:r w:rsidRPr="006A3239" w:rsidR="00A11C1B">
        <w:t xml:space="preserve"> (1) the past violations </w:t>
      </w:r>
      <w:r w:rsidRPr="006A3239" w:rsidR="00380C1C">
        <w:t xml:space="preserve">cited in the </w:t>
      </w:r>
      <w:r w:rsidRPr="006A3239" w:rsidR="00380C1C">
        <w:rPr>
          <w:i/>
        </w:rPr>
        <w:t>NAL</w:t>
      </w:r>
      <w:r w:rsidRPr="006A3239" w:rsidR="00380C1C">
        <w:t xml:space="preserve"> </w:t>
      </w:r>
      <w:r w:rsidRPr="006A3239" w:rsidR="00332D97">
        <w:t>involved</w:t>
      </w:r>
      <w:r w:rsidRPr="006A3239" w:rsidR="00402CD9">
        <w:t xml:space="preserve"> </w:t>
      </w:r>
      <w:r w:rsidRPr="006A3239" w:rsidR="006B5CE4">
        <w:t xml:space="preserve">Respondent </w:t>
      </w:r>
      <w:r w:rsidRPr="006A3239" w:rsidR="00A11C1B">
        <w:t>licensees</w:t>
      </w:r>
      <w:r w:rsidRPr="006A3239" w:rsidR="005A7C1A">
        <w:t xml:space="preserve"> prior to </w:t>
      </w:r>
      <w:r w:rsidRPr="006A3239" w:rsidR="00540A2C">
        <w:t xml:space="preserve">its bankruptcy reorganization and </w:t>
      </w:r>
      <w:r w:rsidRPr="006A3239" w:rsidR="005A7C1A">
        <w:t xml:space="preserve">the </w:t>
      </w:r>
      <w:r w:rsidRPr="006A3239" w:rsidR="005429DA">
        <w:rPr>
          <w:i/>
        </w:rPr>
        <w:t xml:space="preserve">2018 </w:t>
      </w:r>
      <w:r w:rsidRPr="006A3239" w:rsidR="00D8448C">
        <w:rPr>
          <w:i/>
        </w:rPr>
        <w:t>T</w:t>
      </w:r>
      <w:r w:rsidRPr="006A3239" w:rsidR="005A7C1A">
        <w:rPr>
          <w:i/>
        </w:rPr>
        <w:t xml:space="preserve">ransfer of </w:t>
      </w:r>
      <w:r w:rsidRPr="006A3239" w:rsidR="00D8448C">
        <w:rPr>
          <w:i/>
        </w:rPr>
        <w:t>C</w:t>
      </w:r>
      <w:r w:rsidRPr="006A3239" w:rsidR="005A7C1A">
        <w:rPr>
          <w:i/>
        </w:rPr>
        <w:t>ontrol</w:t>
      </w:r>
      <w:r w:rsidRPr="006A3239" w:rsidR="00540A2C">
        <w:t xml:space="preserve"> effectuating the reorganization</w:t>
      </w:r>
      <w:r>
        <w:rPr>
          <w:rStyle w:val="FootnoteReference"/>
          <w:sz w:val="22"/>
        </w:rPr>
        <w:footnoteReference w:id="30"/>
      </w:r>
      <w:r w:rsidRPr="006A3239" w:rsidR="00402CD9">
        <w:t xml:space="preserve"> and thus </w:t>
      </w:r>
      <w:r w:rsidRPr="006A3239" w:rsidR="00A11C1B">
        <w:t xml:space="preserve">should not be attributed to </w:t>
      </w:r>
      <w:r w:rsidRPr="006A3239" w:rsidR="00402CD9">
        <w:t xml:space="preserve">the current </w:t>
      </w:r>
      <w:r w:rsidRPr="006A3239" w:rsidR="006B5CE4">
        <w:t xml:space="preserve">Respondent </w:t>
      </w:r>
      <w:r w:rsidRPr="006A3239" w:rsidR="00A11C1B">
        <w:t>to justify increasing the forfeiture;</w:t>
      </w:r>
      <w:r>
        <w:rPr>
          <w:rStyle w:val="FootnoteReference"/>
          <w:sz w:val="22"/>
        </w:rPr>
        <w:footnoteReference w:id="31"/>
      </w:r>
      <w:r w:rsidRPr="006A3239" w:rsidR="00A11C1B">
        <w:t xml:space="preserve"> (2) </w:t>
      </w:r>
      <w:r w:rsidRPr="006A3239" w:rsidR="006D5238">
        <w:t>the</w:t>
      </w:r>
      <w:r w:rsidRPr="006A3239" w:rsidR="00DB175E">
        <w:t xml:space="preserve"> Commission’s reliance on the proceeding </w:t>
      </w:r>
      <w:r w:rsidRPr="006A3239" w:rsidR="00D8448C">
        <w:t xml:space="preserve">that </w:t>
      </w:r>
      <w:r w:rsidRPr="006A3239" w:rsidR="00DB175E">
        <w:t>result</w:t>
      </w:r>
      <w:r w:rsidRPr="006A3239" w:rsidR="00D8448C">
        <w:t>ed</w:t>
      </w:r>
      <w:r w:rsidRPr="006A3239" w:rsidR="00DB175E">
        <w:t xml:space="preserve"> in the </w:t>
      </w:r>
      <w:r w:rsidRPr="000C5E37" w:rsidR="000C5E37">
        <w:rPr>
          <w:i/>
          <w:iCs/>
        </w:rPr>
        <w:t>Consent Decree</w:t>
      </w:r>
      <w:r w:rsidRPr="006A3239" w:rsidR="00DB175E">
        <w:t xml:space="preserve"> is “misplaced”</w:t>
      </w:r>
      <w:r w:rsidRPr="006A3239" w:rsidR="008946E6">
        <w:t xml:space="preserve"> because </w:t>
      </w:r>
      <w:r w:rsidRPr="00A01027" w:rsidR="008946E6">
        <w:t>Respondent</w:t>
      </w:r>
      <w:r w:rsidRPr="006A3239" w:rsidR="008946E6">
        <w:t xml:space="preserve"> did not play an active role in the actions that resulted in the sponsorship </w:t>
      </w:r>
      <w:r w:rsidR="00775DDF">
        <w:t>identification</w:t>
      </w:r>
      <w:r w:rsidRPr="006A3239" w:rsidR="008946E6">
        <w:t xml:space="preserve"> violations given the timing and magnitude of the reorganization;</w:t>
      </w:r>
      <w:r>
        <w:rPr>
          <w:rStyle w:val="FootnoteReference"/>
          <w:sz w:val="22"/>
        </w:rPr>
        <w:footnoteReference w:id="32"/>
      </w:r>
      <w:r w:rsidRPr="006A3239" w:rsidR="006D5238">
        <w:t xml:space="preserve"> (3) the </w:t>
      </w:r>
      <w:r w:rsidR="005F5184">
        <w:t xml:space="preserve">precedent </w:t>
      </w:r>
      <w:r w:rsidRPr="006A3239" w:rsidR="005F5184">
        <w:t>cited</w:t>
      </w:r>
      <w:r w:rsidRPr="006A3239" w:rsidR="006D5238">
        <w:t xml:space="preserve"> in the </w:t>
      </w:r>
      <w:r w:rsidRPr="006A3239" w:rsidR="006D5238">
        <w:rPr>
          <w:i/>
        </w:rPr>
        <w:t>NAL</w:t>
      </w:r>
      <w:r w:rsidRPr="006A3239" w:rsidR="006D5238">
        <w:t xml:space="preserve"> does not support the upward adjustment;</w:t>
      </w:r>
      <w:r>
        <w:rPr>
          <w:rStyle w:val="FootnoteReference"/>
          <w:sz w:val="22"/>
        </w:rPr>
        <w:footnoteReference w:id="33"/>
      </w:r>
      <w:r w:rsidRPr="006A3239" w:rsidR="00F801AE">
        <w:t xml:space="preserve"> and (4) other cases where the violations were more serious support a lesser upward adjustment.</w:t>
      </w:r>
      <w:r>
        <w:rPr>
          <w:rStyle w:val="FootnoteReference"/>
          <w:sz w:val="22"/>
        </w:rPr>
        <w:footnoteReference w:id="34"/>
      </w:r>
      <w:r w:rsidRPr="006A3239" w:rsidR="007418D1">
        <w:t xml:space="preserve">  </w:t>
      </w:r>
      <w:bookmarkStart w:id="53" w:name="_Hlk39150424"/>
      <w:r w:rsidRPr="006A3239" w:rsidR="007418D1">
        <w:t xml:space="preserve">Respondent </w:t>
      </w:r>
      <w:bookmarkEnd w:id="53"/>
      <w:r w:rsidRPr="006A3239" w:rsidR="0098421E">
        <w:t xml:space="preserve">also </w:t>
      </w:r>
      <w:r w:rsidRPr="006A3239" w:rsidR="00F801AE">
        <w:t>argues</w:t>
      </w:r>
      <w:r w:rsidRPr="006A3239" w:rsidR="0098421E">
        <w:t xml:space="preserve"> that</w:t>
      </w:r>
      <w:r w:rsidRPr="006A3239" w:rsidR="00F801AE">
        <w:t xml:space="preserve"> the </w:t>
      </w:r>
      <w:r w:rsidR="005F5184">
        <w:t xml:space="preserve">precedent </w:t>
      </w:r>
      <w:r w:rsidRPr="006A3239" w:rsidR="005F5184">
        <w:t>cited</w:t>
      </w:r>
      <w:r w:rsidRPr="006A3239" w:rsidR="00F801AE">
        <w:t xml:space="preserve"> in the </w:t>
      </w:r>
      <w:r w:rsidRPr="006A3239" w:rsidR="00F801AE">
        <w:rPr>
          <w:i/>
        </w:rPr>
        <w:t>NAL</w:t>
      </w:r>
      <w:r w:rsidRPr="006A3239" w:rsidR="00F801AE">
        <w:t xml:space="preserve"> does not support the </w:t>
      </w:r>
      <w:r w:rsidRPr="006A3239" w:rsidR="009548F2">
        <w:t xml:space="preserve">forfeiture </w:t>
      </w:r>
      <w:r w:rsidRPr="006A3239" w:rsidR="00F801AE">
        <w:t xml:space="preserve">proposed for violating the </w:t>
      </w:r>
      <w:r w:rsidRPr="000C5E37" w:rsidR="000C5E37">
        <w:rPr>
          <w:i/>
          <w:iCs/>
        </w:rPr>
        <w:t>Consent Decree</w:t>
      </w:r>
      <w:r w:rsidRPr="006A3239" w:rsidR="00F801AE">
        <w:t>.</w:t>
      </w:r>
      <w:r>
        <w:rPr>
          <w:rStyle w:val="FootnoteReference"/>
          <w:sz w:val="22"/>
        </w:rPr>
        <w:footnoteReference w:id="35"/>
      </w:r>
      <w:r w:rsidRPr="006A3239" w:rsidR="00CB2C9D">
        <w:t xml:space="preserve">  </w:t>
      </w:r>
      <w:r w:rsidRPr="006A3239" w:rsidR="00100BCE">
        <w:t>Fin</w:t>
      </w:r>
      <w:r w:rsidRPr="006A3239">
        <w:t xml:space="preserve">ally, </w:t>
      </w:r>
      <w:r w:rsidRPr="006A3239" w:rsidR="007418D1">
        <w:t xml:space="preserve">Respondent </w:t>
      </w:r>
      <w:r w:rsidRPr="006A3239" w:rsidR="00CE27E0">
        <w:t>claims</w:t>
      </w:r>
      <w:r w:rsidRPr="006A3239">
        <w:t xml:space="preserve"> </w:t>
      </w:r>
      <w:r w:rsidRPr="006A3239" w:rsidR="00100BCE">
        <w:t xml:space="preserve">that </w:t>
      </w:r>
      <w:r w:rsidRPr="006A3239" w:rsidR="00380C1C">
        <w:t>mitigating factors</w:t>
      </w:r>
      <w:r w:rsidR="00C44A8A">
        <w:t>,</w:t>
      </w:r>
      <w:r w:rsidRPr="006A3239" w:rsidR="00690587">
        <w:t xml:space="preserve"> </w:t>
      </w:r>
      <w:r w:rsidRPr="006A3239" w:rsidR="00100BCE">
        <w:t>taken together, justify a lower forfeiture.</w:t>
      </w:r>
    </w:p>
    <w:p w:rsidR="00E273E3" w:rsidRPr="007B6D51" w:rsidP="004700FA" w14:paraId="3BDCF86E" w14:textId="77777777">
      <w:pPr>
        <w:pStyle w:val="Heading1"/>
        <w:rPr>
          <w:rFonts w:ascii="Times New Roman" w:hAnsi="Times New Roman"/>
        </w:rPr>
      </w:pPr>
      <w:bookmarkStart w:id="54" w:name="_Toc379289000"/>
      <w:bookmarkStart w:id="55" w:name="_Toc379365501"/>
      <w:bookmarkStart w:id="56" w:name="_Toc36652528"/>
      <w:bookmarkStart w:id="57" w:name="_Toc52544268"/>
      <w:bookmarkStart w:id="58" w:name="_Toc53656744"/>
      <w:r w:rsidRPr="007B6D51">
        <w:rPr>
          <w:rFonts w:ascii="Times New Roman" w:hAnsi="Times New Roman"/>
        </w:rPr>
        <w:t>DISCUSSION</w:t>
      </w:r>
      <w:bookmarkEnd w:id="54"/>
      <w:bookmarkEnd w:id="55"/>
      <w:bookmarkEnd w:id="56"/>
      <w:bookmarkEnd w:id="57"/>
      <w:bookmarkEnd w:id="58"/>
    </w:p>
    <w:p w:rsidR="00E6009E" w:rsidRPr="00AA479F" w:rsidP="003F66F4" w14:paraId="27336FD3" w14:textId="153A150F">
      <w:pPr>
        <w:pStyle w:val="ParaNum"/>
        <w:widowControl/>
      </w:pPr>
      <w:r w:rsidRPr="006A3239">
        <w:t xml:space="preserve">The Commission </w:t>
      </w:r>
      <w:r w:rsidRPr="006A3239" w:rsidR="00E273E3">
        <w:t xml:space="preserve">proposed </w:t>
      </w:r>
      <w:r w:rsidRPr="006A3239">
        <w:t xml:space="preserve">a </w:t>
      </w:r>
      <w:r w:rsidRPr="006A3239" w:rsidR="00E273E3">
        <w:t xml:space="preserve">forfeiture in this case in accordance with </w:t>
      </w:r>
      <w:r w:rsidRPr="006A3239" w:rsidR="00E92590">
        <w:t>s</w:t>
      </w:r>
      <w:r w:rsidRPr="006A3239" w:rsidR="00E273E3">
        <w:t>ection 503(b) of the Act</w:t>
      </w:r>
      <w:r w:rsidRPr="006A3239" w:rsidR="00B37C10">
        <w:t>,</w:t>
      </w:r>
      <w:r>
        <w:rPr>
          <w:rStyle w:val="FootnoteReference"/>
          <w:sz w:val="22"/>
        </w:rPr>
        <w:footnoteReference w:id="36"/>
      </w:r>
      <w:r w:rsidRPr="006A3239" w:rsidR="00B37C10">
        <w:t xml:space="preserve"> </w:t>
      </w:r>
      <w:r w:rsidRPr="006A3239" w:rsidR="00E92590">
        <w:t>s</w:t>
      </w:r>
      <w:r w:rsidRPr="006A3239" w:rsidR="00E273E3">
        <w:t xml:space="preserve">ection 1.80 of the </w:t>
      </w:r>
      <w:r w:rsidRPr="006A3239" w:rsidR="0006125B">
        <w:t xml:space="preserve">Commission’s </w:t>
      </w:r>
      <w:r w:rsidRPr="006A3239" w:rsidR="00540A2C">
        <w:t>r</w:t>
      </w:r>
      <w:r w:rsidRPr="006A3239" w:rsidR="00C339C4">
        <w:t>ules</w:t>
      </w:r>
      <w:r w:rsidRPr="006A3239" w:rsidR="00E273E3">
        <w:t>,</w:t>
      </w:r>
      <w:r>
        <w:rPr>
          <w:vertAlign w:val="superscript"/>
        </w:rPr>
        <w:footnoteReference w:id="37"/>
      </w:r>
      <w:r w:rsidRPr="006A3239" w:rsidR="00E273E3">
        <w:t xml:space="preserve"> and the Commission’s </w:t>
      </w:r>
      <w:r w:rsidRPr="006A3239" w:rsidR="00E273E3">
        <w:rPr>
          <w:i/>
        </w:rPr>
        <w:t>Forfeiture Policy Statement</w:t>
      </w:r>
      <w:r w:rsidRPr="006A3239" w:rsidR="00E273E3">
        <w:t>.</w:t>
      </w:r>
      <w:r>
        <w:rPr>
          <w:rStyle w:val="FootnoteReference"/>
          <w:sz w:val="22"/>
        </w:rPr>
        <w:footnoteReference w:id="38"/>
      </w:r>
      <w:r w:rsidRPr="006A3239" w:rsidR="00E273E3">
        <w:t xml:space="preserve">  </w:t>
      </w:r>
      <w:r w:rsidRPr="006A3239" w:rsidR="00CE27E0">
        <w:t>In</w:t>
      </w:r>
      <w:r w:rsidRPr="006A3239">
        <w:t xml:space="preserve"> assess</w:t>
      </w:r>
      <w:r w:rsidRPr="006A3239" w:rsidR="00CE27E0">
        <w:t>ing</w:t>
      </w:r>
      <w:r w:rsidRPr="006A3239" w:rsidR="00E273E3">
        <w:t xml:space="preserve"> forfeitures, </w:t>
      </w:r>
      <w:r w:rsidRPr="006A3239" w:rsidR="00CE0089">
        <w:t xml:space="preserve">we are required, pursuant to </w:t>
      </w:r>
      <w:r w:rsidRPr="006A3239" w:rsidR="00E92590">
        <w:t>s</w:t>
      </w:r>
      <w:r w:rsidRPr="006A3239" w:rsidR="00E273E3">
        <w:t xml:space="preserve">ection 503(b)(2)(E) </w:t>
      </w:r>
      <w:r w:rsidRPr="006A3239" w:rsidR="00CE0089">
        <w:t>of the Act</w:t>
      </w:r>
      <w:r w:rsidRPr="006A3239" w:rsidR="007B06C4">
        <w:t>,</w:t>
      </w:r>
      <w:r w:rsidRPr="006A3239" w:rsidR="00CE0089">
        <w:t xml:space="preserve"> to </w:t>
      </w:r>
      <w:r w:rsidRPr="006A3239" w:rsidR="00E273E3">
        <w:t>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39"/>
      </w:r>
      <w:r w:rsidRPr="00AA479F" w:rsidR="00E273E3">
        <w:t xml:space="preserve">  </w:t>
      </w:r>
      <w:r w:rsidR="00991508">
        <w:t>As discussed below, w</w:t>
      </w:r>
      <w:r w:rsidRPr="00AA479F" w:rsidR="006B685D">
        <w:t>e</w:t>
      </w:r>
      <w:r w:rsidRPr="00AA479F">
        <w:t xml:space="preserve"> have </w:t>
      </w:r>
      <w:r w:rsidRPr="00AA479F" w:rsidR="006B685D">
        <w:t xml:space="preserve">fully </w:t>
      </w:r>
      <w:r w:rsidRPr="00AA479F">
        <w:t xml:space="preserve">considered </w:t>
      </w:r>
      <w:r w:rsidRPr="00AA479F" w:rsidR="00CE0089">
        <w:t xml:space="preserve">the arguments in </w:t>
      </w:r>
      <w:r w:rsidRPr="00AA479F" w:rsidR="007418D1">
        <w:t xml:space="preserve">Respondent’s </w:t>
      </w:r>
      <w:r w:rsidRPr="00AA479F" w:rsidR="009355AE">
        <w:t>NAL Response</w:t>
      </w:r>
      <w:r w:rsidRPr="00AA479F">
        <w:t xml:space="preserve">, but find none of them </w:t>
      </w:r>
      <w:r w:rsidR="00E316C6">
        <w:t xml:space="preserve">to be </w:t>
      </w:r>
      <w:r w:rsidRPr="00AA479F">
        <w:t>persuasive.</w:t>
      </w:r>
      <w:r w:rsidRPr="00AA479F" w:rsidR="00E8204A">
        <w:t xml:space="preserve">  </w:t>
      </w:r>
      <w:r w:rsidRPr="00AA479F">
        <w:t>We therefore affirm the $</w:t>
      </w:r>
      <w:r w:rsidRPr="00AA479F" w:rsidR="009355AE">
        <w:t>233,000</w:t>
      </w:r>
      <w:r w:rsidRPr="00AA479F">
        <w:t xml:space="preserve"> forfeiture proposed in the </w:t>
      </w:r>
      <w:r w:rsidRPr="00CB1379" w:rsidR="00CB1379">
        <w:rPr>
          <w:i/>
          <w:iCs/>
        </w:rPr>
        <w:t>NAL</w:t>
      </w:r>
      <w:r w:rsidRPr="00AA479F">
        <w:rPr>
          <w:i/>
        </w:rPr>
        <w:t>.</w:t>
      </w:r>
    </w:p>
    <w:p w:rsidR="006B3ECE" w:rsidRPr="00AA479F" w:rsidP="004700FA" w14:paraId="7B55BFA6" w14:textId="7046AFB9">
      <w:pPr>
        <w:pStyle w:val="Heading2"/>
      </w:pPr>
      <w:bookmarkStart w:id="59" w:name="_Toc36652529"/>
      <w:bookmarkStart w:id="60" w:name="_Toc52544269"/>
      <w:bookmarkStart w:id="61" w:name="_Toc53656745"/>
      <w:r w:rsidRPr="00AA479F">
        <w:t xml:space="preserve">Respondent </w:t>
      </w:r>
      <w:r w:rsidRPr="00AA479F" w:rsidR="00A57A80">
        <w:t xml:space="preserve">Violated the </w:t>
      </w:r>
      <w:r w:rsidRPr="00AA479F">
        <w:t xml:space="preserve">Sponsorship Identification </w:t>
      </w:r>
      <w:r w:rsidR="00C90063">
        <w:t>Laws</w:t>
      </w:r>
      <w:r w:rsidRPr="00AA479F" w:rsidR="00C90063">
        <w:t xml:space="preserve"> </w:t>
      </w:r>
      <w:r w:rsidRPr="00AA479F" w:rsidR="00A57A80">
        <w:t xml:space="preserve">and the </w:t>
      </w:r>
      <w:bookmarkEnd w:id="59"/>
      <w:bookmarkEnd w:id="60"/>
      <w:r w:rsidRPr="000C5E37" w:rsidR="000C5E37">
        <w:rPr>
          <w:i/>
          <w:iCs/>
        </w:rPr>
        <w:t>Consent Decree</w:t>
      </w:r>
      <w:bookmarkEnd w:id="61"/>
    </w:p>
    <w:p w:rsidR="00A57A80" w:rsidRPr="00AA479F" w:rsidP="007B6D51" w14:paraId="23A646E1" w14:textId="1DF605FE">
      <w:pPr>
        <w:pStyle w:val="ParaNum"/>
      </w:pPr>
      <w:r w:rsidRPr="00AA479F">
        <w:t xml:space="preserve">Respondent </w:t>
      </w:r>
      <w:r w:rsidRPr="00AA479F">
        <w:t xml:space="preserve">does not contest our conclusion that </w:t>
      </w:r>
      <w:r w:rsidRPr="00AA479F" w:rsidR="00526066">
        <w:t>it</w:t>
      </w:r>
      <w:r w:rsidRPr="00AA479F" w:rsidR="004C77AF">
        <w:t xml:space="preserve"> </w:t>
      </w:r>
      <w:r w:rsidRPr="00100A83" w:rsidR="009D364D">
        <w:t>apparently</w:t>
      </w:r>
      <w:r w:rsidR="009D364D">
        <w:t xml:space="preserve"> </w:t>
      </w:r>
      <w:r w:rsidRPr="00AA479F" w:rsidR="004C77AF">
        <w:t xml:space="preserve">violated section 317 of the Act and section 73.1212 of the </w:t>
      </w:r>
      <w:r w:rsidRPr="00AA479F" w:rsidR="0006125B">
        <w:t xml:space="preserve">Commission’s </w:t>
      </w:r>
      <w:r w:rsidRPr="00AA479F" w:rsidR="00540A2C">
        <w:t>r</w:t>
      </w:r>
      <w:r w:rsidRPr="00AA479F" w:rsidR="004C77AF">
        <w:t>ules</w:t>
      </w:r>
      <w:r w:rsidRPr="00AA479F" w:rsidR="00BD4343">
        <w:t xml:space="preserve">, as described in the </w:t>
      </w:r>
      <w:r w:rsidRPr="00CB1379" w:rsidR="00CB1379">
        <w:rPr>
          <w:i/>
          <w:iCs/>
        </w:rPr>
        <w:t>NAL</w:t>
      </w:r>
      <w:r w:rsidRPr="00AA479F">
        <w:t>.</w:t>
      </w:r>
      <w:r>
        <w:rPr>
          <w:rStyle w:val="FootnoteReference"/>
          <w:sz w:val="22"/>
        </w:rPr>
        <w:footnoteReference w:id="40"/>
      </w:r>
      <w:r w:rsidRPr="00AA479F" w:rsidR="00FE4B9B">
        <w:t xml:space="preserve">  </w:t>
      </w:r>
      <w:r w:rsidRPr="00AA479F">
        <w:t xml:space="preserve">Respondent </w:t>
      </w:r>
      <w:r w:rsidRPr="00AA479F" w:rsidR="00442121">
        <w:t xml:space="preserve">specifically admits </w:t>
      </w:r>
      <w:r w:rsidRPr="00AA479F" w:rsidR="00526066">
        <w:t xml:space="preserve">that it violated </w:t>
      </w:r>
      <w:r w:rsidRPr="00AA479F" w:rsidR="00442121">
        <w:t xml:space="preserve">the </w:t>
      </w:r>
      <w:r w:rsidRPr="00864A14" w:rsidR="00F86027">
        <w:rPr>
          <w:i/>
          <w:iCs/>
        </w:rPr>
        <w:t>Consent Decree</w:t>
      </w:r>
      <w:r w:rsidR="003F4ED4">
        <w:t xml:space="preserve"> </w:t>
      </w:r>
      <w:r w:rsidR="00423D46">
        <w:t>regarding</w:t>
      </w:r>
      <w:r w:rsidR="003F4ED4">
        <w:t xml:space="preserve"> its notification requirements</w:t>
      </w:r>
      <w:r w:rsidRPr="00AA479F" w:rsidR="00F86027">
        <w:t>.</w:t>
      </w:r>
      <w:r>
        <w:rPr>
          <w:rStyle w:val="FootnoteReference"/>
          <w:sz w:val="22"/>
        </w:rPr>
        <w:footnoteReference w:id="41"/>
      </w:r>
      <w:r w:rsidRPr="00AA479F" w:rsidR="00FE4B9B">
        <w:t xml:space="preserve">  </w:t>
      </w:r>
      <w:r w:rsidRPr="00AA479F" w:rsidR="00594887">
        <w:t xml:space="preserve">Thus, we </w:t>
      </w:r>
      <w:r w:rsidRPr="00AA479F" w:rsidR="00327224">
        <w:t>need not</w:t>
      </w:r>
      <w:r w:rsidRPr="00AA479F" w:rsidR="00594887">
        <w:t xml:space="preserve"> revisit </w:t>
      </w:r>
      <w:r w:rsidR="003F4ED4">
        <w:t>these</w:t>
      </w:r>
      <w:r w:rsidRPr="00A01027" w:rsidR="00594887">
        <w:t xml:space="preserve"> conclusion</w:t>
      </w:r>
      <w:r w:rsidR="003F4ED4">
        <w:t>s made</w:t>
      </w:r>
      <w:r w:rsidRPr="00AA479F" w:rsidR="00594887">
        <w:t xml:space="preserve"> </w:t>
      </w:r>
      <w:r w:rsidRPr="00AA479F" w:rsidR="004C77AF">
        <w:t xml:space="preserve">in the </w:t>
      </w:r>
      <w:r w:rsidRPr="00CB1379" w:rsidR="00CB1379">
        <w:rPr>
          <w:i/>
          <w:iCs/>
        </w:rPr>
        <w:t>NAL</w:t>
      </w:r>
      <w:r w:rsidR="00E160AC">
        <w:rPr>
          <w:iCs/>
        </w:rPr>
        <w:t xml:space="preserve"> and affirm that </w:t>
      </w:r>
      <w:r w:rsidR="0029165D">
        <w:rPr>
          <w:iCs/>
        </w:rPr>
        <w:t xml:space="preserve">Respondent violated section 317 of the Act, section 73.1212 of the Commission’s rules, and the </w:t>
      </w:r>
      <w:r w:rsidRPr="00864A14" w:rsidR="0029165D">
        <w:rPr>
          <w:i/>
        </w:rPr>
        <w:t>Consent Decree</w:t>
      </w:r>
      <w:r w:rsidRPr="00AA479F" w:rsidR="00594887">
        <w:t>.</w:t>
      </w:r>
      <w:r>
        <w:rPr>
          <w:rStyle w:val="FootnoteReference"/>
          <w:sz w:val="22"/>
        </w:rPr>
        <w:footnoteReference w:id="42"/>
      </w:r>
    </w:p>
    <w:p w:rsidR="00086824" w:rsidRPr="00AA479F" w:rsidP="00D51827" w14:paraId="3CF9FE14" w14:textId="77777777">
      <w:pPr>
        <w:pStyle w:val="Heading2"/>
        <w:keepLines/>
      </w:pPr>
      <w:bookmarkStart w:id="62" w:name="_Toc36652530"/>
      <w:bookmarkStart w:id="63" w:name="_Toc52544270"/>
      <w:bookmarkStart w:id="64" w:name="_Toc53656746"/>
      <w:r w:rsidRPr="00AA479F">
        <w:t xml:space="preserve">The </w:t>
      </w:r>
      <w:r w:rsidRPr="00AA479F" w:rsidR="0038191D">
        <w:t>FCC</w:t>
      </w:r>
      <w:r w:rsidRPr="00AA479F">
        <w:t xml:space="preserve"> Properly </w:t>
      </w:r>
      <w:r w:rsidRPr="00AA479F" w:rsidR="004413A8">
        <w:t>Upward</w:t>
      </w:r>
      <w:r w:rsidRPr="00AA479F">
        <w:t>ly</w:t>
      </w:r>
      <w:r w:rsidRPr="00AA479F" w:rsidR="004413A8">
        <w:t xml:space="preserve"> </w:t>
      </w:r>
      <w:r w:rsidRPr="00AA479F" w:rsidR="0038191D">
        <w:t>Adjust</w:t>
      </w:r>
      <w:r w:rsidRPr="00AA479F">
        <w:t>ed</w:t>
      </w:r>
      <w:r w:rsidRPr="00AA479F" w:rsidR="004413A8">
        <w:t xml:space="preserve"> </w:t>
      </w:r>
      <w:r w:rsidRPr="00AA479F" w:rsidR="0038191D">
        <w:t>the Base Forfeiture Amount for</w:t>
      </w:r>
      <w:r w:rsidRPr="00AA479F" w:rsidR="00F06DA9">
        <w:t xml:space="preserve"> the</w:t>
      </w:r>
      <w:r w:rsidRPr="00AA479F" w:rsidR="0038191D">
        <w:t xml:space="preserve"> Sponsorship Identification Violation</w:t>
      </w:r>
      <w:r w:rsidRPr="00AA479F" w:rsidR="00F06DA9">
        <w:t>s</w:t>
      </w:r>
      <w:bookmarkEnd w:id="62"/>
      <w:bookmarkEnd w:id="63"/>
      <w:bookmarkEnd w:id="64"/>
      <w:r w:rsidRPr="00AA479F" w:rsidR="00966093">
        <w:tab/>
      </w:r>
    </w:p>
    <w:p w:rsidR="00C33947" w:rsidRPr="00AA479F" w:rsidP="004700FA" w14:paraId="5D952506" w14:textId="6037CCFF">
      <w:pPr>
        <w:pStyle w:val="ParaNum"/>
      </w:pPr>
      <w:r>
        <w:t>We</w:t>
      </w:r>
      <w:r w:rsidRPr="00AA479F" w:rsidR="00D84FA8">
        <w:t xml:space="preserve"> properly applied </w:t>
      </w:r>
      <w:r w:rsidRPr="00AA479F" w:rsidR="00881A86">
        <w:t xml:space="preserve">the </w:t>
      </w:r>
      <w:r w:rsidRPr="00AA479F" w:rsidR="00D84FA8">
        <w:t xml:space="preserve">upward adjustment factors for determining </w:t>
      </w:r>
      <w:r w:rsidRPr="00AA479F" w:rsidR="00881A86">
        <w:t>a</w:t>
      </w:r>
      <w:r w:rsidRPr="00AA479F" w:rsidR="00D84FA8">
        <w:t xml:space="preserve"> forfeiture amount for the </w:t>
      </w:r>
      <w:r w:rsidRPr="00AA479F" w:rsidR="00881A86">
        <w:t xml:space="preserve">Respondent’s </w:t>
      </w:r>
      <w:r w:rsidRPr="00AA479F" w:rsidR="00D84FA8">
        <w:t xml:space="preserve">sponsorship identification violations.  </w:t>
      </w:r>
      <w:r w:rsidR="00485288">
        <w:t xml:space="preserve">Although </w:t>
      </w:r>
      <w:r w:rsidRPr="00AA479F" w:rsidR="007418D1">
        <w:t xml:space="preserve">Respondent </w:t>
      </w:r>
      <w:r w:rsidRPr="00AA479F" w:rsidR="003C51EE">
        <w:t xml:space="preserve">“accepts its responsibility and obligation to inherit the base forfeiture amount of $104,000” for the sponsorship identification violations specified in the </w:t>
      </w:r>
      <w:r w:rsidRPr="00CB1379" w:rsidR="00CB1379">
        <w:rPr>
          <w:i/>
          <w:iCs/>
        </w:rPr>
        <w:t>NAL</w:t>
      </w:r>
      <w:r w:rsidR="00485288">
        <w:t>,</w:t>
      </w:r>
      <w:r>
        <w:rPr>
          <w:rStyle w:val="FootnoteReference"/>
          <w:sz w:val="22"/>
        </w:rPr>
        <w:footnoteReference w:id="43"/>
      </w:r>
      <w:r w:rsidRPr="00AA479F" w:rsidR="00AA6B67">
        <w:t xml:space="preserve"> </w:t>
      </w:r>
      <w:r w:rsidRPr="00AA479F" w:rsidR="007418D1">
        <w:t xml:space="preserve">Respondent </w:t>
      </w:r>
      <w:r w:rsidRPr="00AA479F" w:rsidR="005E7BBE">
        <w:t xml:space="preserve">contends </w:t>
      </w:r>
      <w:r w:rsidRPr="00AA479F" w:rsidR="007F4D08">
        <w:t>that the FCC misapplied the upward adjustment factors and did not properly consider prior cases</w:t>
      </w:r>
      <w:r w:rsidRPr="00AA479F" w:rsidR="007D2BF1">
        <w:t>.</w:t>
      </w:r>
      <w:r>
        <w:rPr>
          <w:rStyle w:val="FootnoteReference"/>
          <w:sz w:val="22"/>
        </w:rPr>
        <w:footnoteReference w:id="44"/>
      </w:r>
      <w:r w:rsidRPr="00AA479F" w:rsidR="007D2BF1">
        <w:t xml:space="preserve">  </w:t>
      </w:r>
      <w:r w:rsidRPr="00AA479F" w:rsidR="00526066">
        <w:t>W</w:t>
      </w:r>
      <w:r w:rsidRPr="00AA479F" w:rsidR="00C526E8">
        <w:t>e disagree.</w:t>
      </w:r>
    </w:p>
    <w:p w:rsidR="00F26797" w:rsidRPr="00AA479F" w:rsidP="007B6D51" w14:paraId="3DBA3644" w14:textId="6C858D97">
      <w:pPr>
        <w:pStyle w:val="ParaNum"/>
        <w:widowControl/>
      </w:pPr>
      <w:r w:rsidRPr="00AA479F">
        <w:t xml:space="preserve">In exercising our forfeiture authority, </w:t>
      </w:r>
      <w:r w:rsidRPr="00AA479F" w:rsidR="00C1716A">
        <w:t>w</w:t>
      </w:r>
      <w:r w:rsidRPr="00AA479F">
        <w:t>e have discretion to upwardly or downwardly adjust from the base forfeiture, taking into account the particular facts of each individual case.</w:t>
      </w:r>
      <w:r>
        <w:rPr>
          <w:rStyle w:val="FootnoteReference"/>
          <w:sz w:val="22"/>
        </w:rPr>
        <w:footnoteReference w:id="45"/>
      </w:r>
      <w:r w:rsidRPr="00AA479F" w:rsidR="00C1716A">
        <w:t xml:space="preserve">  </w:t>
      </w:r>
      <w:r w:rsidRPr="00AA479F" w:rsidR="006E1F02">
        <w:t xml:space="preserve">Here, </w:t>
      </w:r>
      <w:r w:rsidRPr="00AA479F" w:rsidR="00542F01">
        <w:t>the totality of the circumstances</w:t>
      </w:r>
      <w:r w:rsidRPr="00AA479F" w:rsidR="006E1F02">
        <w:t xml:space="preserve"> </w:t>
      </w:r>
      <w:r w:rsidRPr="00AA479F" w:rsidR="00526066">
        <w:t xml:space="preserve">warranted </w:t>
      </w:r>
      <w:r w:rsidRPr="00AA479F" w:rsidR="00027CE9">
        <w:t>a</w:t>
      </w:r>
      <w:r w:rsidRPr="00AA479F" w:rsidR="00164BA6">
        <w:t xml:space="preserve"> substantial</w:t>
      </w:r>
      <w:r w:rsidRPr="00AA479F" w:rsidR="00027CE9">
        <w:t xml:space="preserve"> </w:t>
      </w:r>
      <w:r w:rsidRPr="00AA479F" w:rsidR="00542F01">
        <w:t>upward adjustment of the base forfeiture</w:t>
      </w:r>
      <w:r w:rsidR="00CB7283">
        <w:t xml:space="preserve"> (100%)</w:t>
      </w:r>
      <w:r w:rsidRPr="00AA479F" w:rsidR="006E1F02">
        <w:t xml:space="preserve"> </w:t>
      </w:r>
      <w:r w:rsidRPr="00AA479F" w:rsidR="00542F01">
        <w:t xml:space="preserve">for </w:t>
      </w:r>
      <w:r w:rsidRPr="00AA479F" w:rsidR="0055207A">
        <w:t>each</w:t>
      </w:r>
      <w:r w:rsidRPr="00AA479F" w:rsidR="00542F01">
        <w:t xml:space="preserve"> sponsorship identification violation.</w:t>
      </w:r>
      <w:r>
        <w:rPr>
          <w:rStyle w:val="FootnoteReference"/>
          <w:sz w:val="22"/>
        </w:rPr>
        <w:footnoteReference w:id="46"/>
      </w:r>
      <w:r w:rsidRPr="00AA479F" w:rsidR="00320C52">
        <w:t xml:space="preserve">  This approach yielded a penalty of $208,000 for the sponsorship identification violations, which </w:t>
      </w:r>
      <w:r w:rsidR="00115253">
        <w:t xml:space="preserve">we note </w:t>
      </w:r>
      <w:r w:rsidRPr="00AA479F" w:rsidR="00320C52">
        <w:t>is below the applicable statutory maximum</w:t>
      </w:r>
      <w:r w:rsidRPr="00AA479F" w:rsidR="00526066">
        <w:t>.</w:t>
      </w:r>
      <w:r>
        <w:rPr>
          <w:vertAlign w:val="superscript"/>
        </w:rPr>
        <w:footnoteReference w:id="47"/>
      </w:r>
      <w:r w:rsidRPr="00AA479F" w:rsidR="00F7623B">
        <w:t xml:space="preserve"> </w:t>
      </w:r>
      <w:r w:rsidRPr="00AA479F" w:rsidR="00320C52">
        <w:t xml:space="preserve"> </w:t>
      </w:r>
    </w:p>
    <w:p w:rsidR="00F26797" w:rsidRPr="00AA479F" w:rsidP="00AA479F" w14:paraId="2BC09570" w14:textId="77777777">
      <w:pPr>
        <w:pStyle w:val="Heading3"/>
      </w:pPr>
      <w:bookmarkStart w:id="65" w:name="_Toc36652531"/>
      <w:bookmarkStart w:id="66" w:name="_Toc52544271"/>
      <w:bookmarkStart w:id="67" w:name="_Toc53656747"/>
      <w:r w:rsidRPr="00AA479F">
        <w:t>The FCC Appropriately Considered Past Violations</w:t>
      </w:r>
      <w:bookmarkEnd w:id="65"/>
      <w:bookmarkEnd w:id="66"/>
      <w:bookmarkEnd w:id="67"/>
      <w:r w:rsidRPr="00AA479F">
        <w:t xml:space="preserve"> </w:t>
      </w:r>
    </w:p>
    <w:p w:rsidR="00206625" w:rsidRPr="00AA479F" w:rsidP="00AA479F" w14:paraId="1631AF26" w14:textId="04E3B6DE">
      <w:pPr>
        <w:pStyle w:val="ParaNum"/>
      </w:pPr>
      <w:r>
        <w:t>We</w:t>
      </w:r>
      <w:r w:rsidRPr="00AA479F">
        <w:t xml:space="preserve"> </w:t>
      </w:r>
      <w:r w:rsidRPr="00AA479F" w:rsidR="00063842">
        <w:t xml:space="preserve">properly considered </w:t>
      </w:r>
      <w:r w:rsidRPr="00AA479F" w:rsidR="00881A86">
        <w:t xml:space="preserve">the Respondent’s </w:t>
      </w:r>
      <w:r w:rsidRPr="00A01027" w:rsidR="00063842">
        <w:t>p</w:t>
      </w:r>
      <w:r>
        <w:t>rior</w:t>
      </w:r>
      <w:r w:rsidRPr="00A01027" w:rsidR="00063842">
        <w:t xml:space="preserve"> </w:t>
      </w:r>
      <w:r>
        <w:t>history of Commission rule</w:t>
      </w:r>
      <w:r w:rsidRPr="00AA479F">
        <w:t xml:space="preserve"> </w:t>
      </w:r>
      <w:r w:rsidRPr="00AA479F" w:rsidR="00063842">
        <w:t>violations</w:t>
      </w:r>
      <w:r w:rsidR="00D73EF4">
        <w:t>—</w:t>
      </w:r>
      <w:r w:rsidR="005563E6">
        <w:t>particularly</w:t>
      </w:r>
      <w:r w:rsidR="00D73EF4">
        <w:t>, Respondent’s prior violations of the Sponsorship Identification Laws—</w:t>
      </w:r>
      <w:r>
        <w:t>when setting the penalty</w:t>
      </w:r>
      <w:r w:rsidR="00F0331C">
        <w:t xml:space="preserve"> in this case</w:t>
      </w:r>
      <w:r w:rsidRPr="00A01027" w:rsidR="00063842">
        <w:t>.</w:t>
      </w:r>
      <w:r w:rsidRPr="00AA479F" w:rsidR="00063842">
        <w:t xml:space="preserve">  </w:t>
      </w:r>
      <w:r w:rsidRPr="00AA479F" w:rsidR="007418D1">
        <w:t xml:space="preserve">Respondent </w:t>
      </w:r>
      <w:r w:rsidRPr="00AA479F" w:rsidR="00A53D0E">
        <w:t xml:space="preserve">asserts </w:t>
      </w:r>
      <w:r w:rsidRPr="00AA479F" w:rsidR="00A86D17">
        <w:t xml:space="preserve">that </w:t>
      </w:r>
      <w:r>
        <w:t xml:space="preserve">the </w:t>
      </w:r>
      <w:r w:rsidRPr="00CB1379" w:rsidR="00CB1379">
        <w:rPr>
          <w:i/>
          <w:iCs/>
        </w:rPr>
        <w:t>NAL</w:t>
      </w:r>
      <w:r>
        <w:t xml:space="preserve"> erred by citing </w:t>
      </w:r>
      <w:r w:rsidRPr="00AA479F" w:rsidR="00022E18">
        <w:t>its</w:t>
      </w:r>
      <w:r w:rsidRPr="00AA479F" w:rsidR="00A86D17">
        <w:t xml:space="preserve"> </w:t>
      </w:r>
      <w:r w:rsidRPr="00AA479F" w:rsidR="008F7D62">
        <w:t>past</w:t>
      </w:r>
      <w:r w:rsidRPr="00AA479F" w:rsidR="00A86D17">
        <w:t xml:space="preserve"> violations to upwardly adjust the forfeiture because those violations </w:t>
      </w:r>
      <w:r w:rsidRPr="00AA479F" w:rsidR="00A53D0E">
        <w:t>occurred</w:t>
      </w:r>
      <w:r w:rsidRPr="00AA479F" w:rsidR="00A86D17">
        <w:t xml:space="preserve"> under </w:t>
      </w:r>
      <w:r w:rsidRPr="00AA479F" w:rsidR="00A53D0E">
        <w:t>the authority of a</w:t>
      </w:r>
      <w:r w:rsidRPr="00AA479F" w:rsidR="00462A5A">
        <w:t xml:space="preserve"> corporate board different from that which currently governs its operations</w:t>
      </w:r>
      <w:r w:rsidRPr="00AA479F" w:rsidR="005309F5">
        <w:t>.</w:t>
      </w:r>
      <w:r>
        <w:rPr>
          <w:rStyle w:val="FootnoteReference"/>
          <w:sz w:val="22"/>
        </w:rPr>
        <w:footnoteReference w:id="48"/>
      </w:r>
      <w:r w:rsidRPr="00AA479F" w:rsidR="005309F5">
        <w:t xml:space="preserve"> </w:t>
      </w:r>
      <w:r w:rsidRPr="00AA479F" w:rsidR="00193CE1">
        <w:t xml:space="preserve"> </w:t>
      </w:r>
      <w:r w:rsidRPr="00AA479F" w:rsidR="007418D1">
        <w:t xml:space="preserve">Respondent </w:t>
      </w:r>
      <w:r w:rsidRPr="00AA479F" w:rsidR="00063842">
        <w:t>argues</w:t>
      </w:r>
      <w:r w:rsidRPr="00AA479F" w:rsidR="00CF40F1">
        <w:t xml:space="preserve"> that</w:t>
      </w:r>
      <w:r w:rsidRPr="00AA479F" w:rsidR="00063842">
        <w:t xml:space="preserve"> </w:t>
      </w:r>
      <w:r w:rsidRPr="00AA479F" w:rsidR="0033400A">
        <w:t>the Commission should not increase the base forfeiture based on prior violations</w:t>
      </w:r>
      <w:r w:rsidRPr="00AA479F" w:rsidR="00DF2868">
        <w:t xml:space="preserve"> in which its new controlling parties took no active part</w:t>
      </w:r>
      <w:r w:rsidRPr="00AA479F" w:rsidR="00F07B95">
        <w:t>.</w:t>
      </w:r>
      <w:r>
        <w:rPr>
          <w:rStyle w:val="FootnoteReference"/>
          <w:sz w:val="22"/>
        </w:rPr>
        <w:footnoteReference w:id="49"/>
      </w:r>
      <w:r w:rsidRPr="00AA479F" w:rsidR="00063842">
        <w:t xml:space="preserve">  </w:t>
      </w:r>
      <w:r w:rsidR="00DF4482">
        <w:t xml:space="preserve">With respect to the </w:t>
      </w:r>
      <w:r w:rsidRPr="0056364A" w:rsidR="00DF4482">
        <w:t xml:space="preserve">proceeding that resulted in the </w:t>
      </w:r>
      <w:r w:rsidRPr="000C5E37" w:rsidR="000C5E37">
        <w:rPr>
          <w:i/>
          <w:iCs/>
        </w:rPr>
        <w:t>Consent Decree</w:t>
      </w:r>
      <w:r w:rsidR="00DF4482">
        <w:t xml:space="preserve">, </w:t>
      </w:r>
      <w:r w:rsidRPr="00AA479F" w:rsidR="00063842">
        <w:t>Respondent further argues that</w:t>
      </w:r>
      <w:r>
        <w:t>:</w:t>
      </w:r>
      <w:r w:rsidRPr="0056364A" w:rsidR="00DF4482">
        <w:t xml:space="preserve"> </w:t>
      </w:r>
      <w:r w:rsidR="00DF4482">
        <w:t xml:space="preserve">(1) </w:t>
      </w:r>
      <w:r w:rsidRPr="0056364A" w:rsidR="00DF4482">
        <w:t xml:space="preserve">most ads at issue in </w:t>
      </w:r>
      <w:r w:rsidR="00DF4482">
        <w:t xml:space="preserve">that </w:t>
      </w:r>
      <w:r w:rsidRPr="0056364A" w:rsidR="00DF4482">
        <w:t xml:space="preserve">proceeding aired prior to September 16, 2011, </w:t>
      </w:r>
      <w:r w:rsidR="00F3697E">
        <w:t>the date on w</w:t>
      </w:r>
      <w:r>
        <w:t>hich</w:t>
      </w:r>
      <w:r w:rsidRPr="0056364A" w:rsidR="00DF4482">
        <w:t xml:space="preserve"> </w:t>
      </w:r>
      <w:r w:rsidR="003C11ED">
        <w:t>Respondent</w:t>
      </w:r>
      <w:r w:rsidRPr="0056364A" w:rsidR="00DF4482">
        <w:t>’</w:t>
      </w:r>
      <w:r w:rsidR="003C11ED">
        <w:t>s</w:t>
      </w:r>
      <w:r w:rsidR="00DF4482">
        <w:t xml:space="preserve"> </w:t>
      </w:r>
      <w:r w:rsidRPr="0056364A" w:rsidR="00DF4482">
        <w:t xml:space="preserve">predecessor-in-interest </w:t>
      </w:r>
      <w:r>
        <w:t>acquired</w:t>
      </w:r>
      <w:r w:rsidRPr="0056364A" w:rsidR="00DF4482">
        <w:t xml:space="preserve"> control; </w:t>
      </w:r>
      <w:r w:rsidR="00DF4482">
        <w:t xml:space="preserve">(2) </w:t>
      </w:r>
      <w:r w:rsidR="003C11ED">
        <w:t>Respondent’s</w:t>
      </w:r>
      <w:r w:rsidR="00DF4482">
        <w:t xml:space="preserve"> </w:t>
      </w:r>
      <w:r w:rsidRPr="0056364A" w:rsidR="00DF4482">
        <w:t>predecessor-in-interest did not play an active role in the actions which resulted in the sponsorship identification violations at issue</w:t>
      </w:r>
      <w:r w:rsidR="00D73EF4">
        <w:t xml:space="preserve"> in the </w:t>
      </w:r>
      <w:r w:rsidR="00D73EF4">
        <w:rPr>
          <w:i/>
          <w:iCs/>
        </w:rPr>
        <w:t>Consent Decree</w:t>
      </w:r>
      <w:r w:rsidRPr="0056364A" w:rsidR="00DF4482">
        <w:t>; and (3)</w:t>
      </w:r>
      <w:r w:rsidRPr="00AA479F" w:rsidR="00DF4482">
        <w:t xml:space="preserve"> </w:t>
      </w:r>
      <w:r w:rsidRPr="00AA479F" w:rsidR="00063842">
        <w:t>the sheer size and scope of the transaction</w:t>
      </w:r>
      <w:r w:rsidR="00F3697E">
        <w:t>, including numerous stations,</w:t>
      </w:r>
      <w:r w:rsidRPr="00A01027" w:rsidR="00063842">
        <w:t xml:space="preserve"> </w:t>
      </w:r>
      <w:r w:rsidR="00F3697E">
        <w:t>precluded</w:t>
      </w:r>
      <w:r w:rsidRPr="00AA479F" w:rsidR="00F3697E">
        <w:t xml:space="preserve"> it </w:t>
      </w:r>
      <w:r w:rsidR="00F3697E">
        <w:t>from taking steps to</w:t>
      </w:r>
      <w:r w:rsidRPr="00AA479F" w:rsidR="00F3697E">
        <w:t xml:space="preserve"> </w:t>
      </w:r>
      <w:r w:rsidRPr="00AA479F" w:rsidR="00063842">
        <w:t>ensure rule compliance.</w:t>
      </w:r>
      <w:r>
        <w:rPr>
          <w:rStyle w:val="FootnoteReference"/>
          <w:sz w:val="22"/>
        </w:rPr>
        <w:footnoteReference w:id="50"/>
      </w:r>
      <w:r w:rsidRPr="00AA479F" w:rsidR="00063842">
        <w:t xml:space="preserve">  Respondent cites no authority for these propositions.</w:t>
      </w:r>
    </w:p>
    <w:p w:rsidR="00E77418" w:rsidP="003F66F4" w14:paraId="4018AE3F" w14:textId="2ADBBF4E">
      <w:pPr>
        <w:pStyle w:val="ParaNum"/>
        <w:widowControl/>
      </w:pPr>
      <w:r>
        <w:t>Consideration</w:t>
      </w:r>
      <w:r w:rsidRPr="00AA479F">
        <w:t xml:space="preserve"> of </w:t>
      </w:r>
      <w:r>
        <w:t xml:space="preserve">a licensee’s full enforcement </w:t>
      </w:r>
      <w:r w:rsidRPr="00AA479F">
        <w:t>history</w:t>
      </w:r>
      <w:r>
        <w:t>, including all its prior</w:t>
      </w:r>
      <w:r w:rsidRPr="0056364A" w:rsidR="00902F9F">
        <w:t xml:space="preserve"> </w:t>
      </w:r>
      <w:r w:rsidR="005013AB">
        <w:t xml:space="preserve">rule </w:t>
      </w:r>
      <w:r w:rsidRPr="0056364A" w:rsidR="00902F9F">
        <w:t>violations</w:t>
      </w:r>
      <w:r>
        <w:t>,</w:t>
      </w:r>
      <w:r w:rsidRPr="00AA479F" w:rsidR="00902F9F">
        <w:t xml:space="preserve"> </w:t>
      </w:r>
      <w:r w:rsidRPr="00AA479F">
        <w:t xml:space="preserve">is relevant to </w:t>
      </w:r>
      <w:r>
        <w:t xml:space="preserve">the issue </w:t>
      </w:r>
      <w:r w:rsidR="00604C94">
        <w:t xml:space="preserve">of </w:t>
      </w:r>
      <w:r>
        <w:t>whether</w:t>
      </w:r>
      <w:r w:rsidRPr="0056364A" w:rsidR="00902F9F">
        <w:t xml:space="preserve"> upward adjust</w:t>
      </w:r>
      <w:r>
        <w:t>ment is appropriate in a particular proceeding</w:t>
      </w:r>
      <w:r w:rsidR="00A8572E">
        <w:t>,</w:t>
      </w:r>
      <w:r>
        <w:t xml:space="preserve"> notwithstanding that those</w:t>
      </w:r>
      <w:r w:rsidRPr="0056364A" w:rsidR="00902F9F">
        <w:t xml:space="preserve"> violations occurred prior to </w:t>
      </w:r>
      <w:r>
        <w:t xml:space="preserve">that licensee’s </w:t>
      </w:r>
      <w:r w:rsidRPr="0056364A" w:rsidR="00902F9F">
        <w:t xml:space="preserve">transfer of control.  </w:t>
      </w:r>
      <w:r w:rsidR="00971F1B">
        <w:t xml:space="preserve">Such </w:t>
      </w:r>
      <w:r w:rsidR="000371E9">
        <w:t xml:space="preserve">an evaluation </w:t>
      </w:r>
      <w:r w:rsidR="00971F1B">
        <w:t>is consistent with long-settled Commission precedent that licensees remain liable for rule violations even when the violations occur prior to transfer of control of a licensee’s stock.</w:t>
      </w:r>
      <w:r>
        <w:rPr>
          <w:rStyle w:val="FootnoteReference"/>
          <w:sz w:val="22"/>
        </w:rPr>
        <w:footnoteReference w:id="51"/>
      </w:r>
      <w:r w:rsidR="00971F1B">
        <w:t xml:space="preserve">  </w:t>
      </w:r>
      <w:r w:rsidR="0031780E">
        <w:t xml:space="preserve">Indeed, </w:t>
      </w:r>
      <w:r w:rsidR="003A636D">
        <w:t xml:space="preserve">Respondent’s acknowledgment that it should answer for the </w:t>
      </w:r>
      <w:r w:rsidR="0097616A">
        <w:t xml:space="preserve">May 2017 Sponsorship ID Violations and the May 2018 Sponsorship ID Violations, that are </w:t>
      </w:r>
      <w:r w:rsidR="003A636D">
        <w:t>in the process of being adjudicated in this case</w:t>
      </w:r>
      <w:r w:rsidR="0097616A">
        <w:t>,</w:t>
      </w:r>
      <w:r>
        <w:rPr>
          <w:rStyle w:val="FootnoteReference"/>
        </w:rPr>
        <w:footnoteReference w:id="52"/>
      </w:r>
      <w:r w:rsidR="003A636D">
        <w:t xml:space="preserve"> is at odds with its contention that it cannot also be held accountable for previously adjudicated violations</w:t>
      </w:r>
      <w:r w:rsidR="00D73EF4">
        <w:t xml:space="preserve"> </w:t>
      </w:r>
      <w:r w:rsidR="004B6E41">
        <w:t xml:space="preserve">such as those </w:t>
      </w:r>
      <w:r w:rsidR="00D73EF4">
        <w:t xml:space="preserve">resolved in the </w:t>
      </w:r>
      <w:r w:rsidR="00D73EF4">
        <w:rPr>
          <w:i/>
          <w:iCs/>
        </w:rPr>
        <w:t>Consent Decree</w:t>
      </w:r>
      <w:r w:rsidR="00D220B2">
        <w:t xml:space="preserve"> in connection with determining the amount of the forfeiture</w:t>
      </w:r>
      <w:r w:rsidR="00D73EF4">
        <w:t xml:space="preserve">, given that both sets of violations occurred prior to the </w:t>
      </w:r>
      <w:r w:rsidR="00B17367">
        <w:rPr>
          <w:i/>
          <w:iCs/>
        </w:rPr>
        <w:t>2018 Transfer of Control</w:t>
      </w:r>
      <w:r w:rsidR="00235CB5">
        <w:t xml:space="preserve">.  When considering forfeitures, the Commission is </w:t>
      </w:r>
      <w:r w:rsidRPr="00864A14" w:rsidR="00235CB5">
        <w:rPr>
          <w:i/>
          <w:iCs/>
        </w:rPr>
        <w:t>required</w:t>
      </w:r>
      <w:r w:rsidR="00235CB5">
        <w:t xml:space="preserve"> under the Act to consider a violator’s history of prior offenses</w:t>
      </w:r>
      <w:r w:rsidR="009029DB">
        <w:t>.</w:t>
      </w:r>
      <w:r>
        <w:rPr>
          <w:rStyle w:val="FootnoteReference"/>
        </w:rPr>
        <w:footnoteReference w:id="53"/>
      </w:r>
      <w:r w:rsidR="00235CB5">
        <w:t xml:space="preserve"> </w:t>
      </w:r>
      <w:r w:rsidR="009029DB">
        <w:t xml:space="preserve"> </w:t>
      </w:r>
      <w:r>
        <w:t>Further, t</w:t>
      </w:r>
      <w:r w:rsidR="009029DB">
        <w:t xml:space="preserve">he </w:t>
      </w:r>
      <w:r w:rsidR="009029DB">
        <w:t>Commission has held that</w:t>
      </w:r>
      <w:r w:rsidR="00D220B2">
        <w:t xml:space="preserve"> when </w:t>
      </w:r>
      <w:r w:rsidR="009029DB">
        <w:t xml:space="preserve">determining the amount of </w:t>
      </w:r>
      <w:r w:rsidR="00D220B2">
        <w:t>a</w:t>
      </w:r>
      <w:r w:rsidR="009029DB">
        <w:t xml:space="preserve"> forfeiture, it </w:t>
      </w:r>
      <w:r w:rsidR="005D78B5">
        <w:t>is not significant</w:t>
      </w:r>
      <w:r w:rsidR="009029DB">
        <w:t xml:space="preserve"> that control of a company was acquired after the violation occurred.</w:t>
      </w:r>
      <w:r>
        <w:rPr>
          <w:rStyle w:val="FootnoteReference"/>
        </w:rPr>
        <w:footnoteReference w:id="54"/>
      </w:r>
      <w:r w:rsidR="009029DB">
        <w:t xml:space="preserve">  </w:t>
      </w:r>
    </w:p>
    <w:p w:rsidR="00971F1B" w:rsidP="00AA479F" w14:paraId="148AF97B" w14:textId="4C5CD8F4">
      <w:pPr>
        <w:pStyle w:val="ParaNum"/>
      </w:pPr>
      <w:r>
        <w:t>Moreover,</w:t>
      </w:r>
      <w:r w:rsidRPr="00AA479F">
        <w:t xml:space="preserve"> </w:t>
      </w:r>
      <w:r w:rsidR="0008304A">
        <w:t xml:space="preserve">the Respondent’s implication that it is a drastically different </w:t>
      </w:r>
      <w:r w:rsidR="00473985">
        <w:t>organization</w:t>
      </w:r>
      <w:r w:rsidR="0008304A">
        <w:t xml:space="preserve"> post-transfer is belied by the fact that its </w:t>
      </w:r>
      <w:r w:rsidR="00473985">
        <w:t xml:space="preserve">core </w:t>
      </w:r>
      <w:r w:rsidR="0008304A">
        <w:t xml:space="preserve">senior management remained unchanged by the transfer of control.  As the </w:t>
      </w:r>
      <w:r w:rsidRPr="005F4170" w:rsidR="0008304A">
        <w:rPr>
          <w:i/>
          <w:iCs/>
        </w:rPr>
        <w:t>2018 Transfer of Control</w:t>
      </w:r>
      <w:r w:rsidR="0008304A">
        <w:t xml:space="preserve"> noted, Cumulus Media, Inc.’s President and Chief Executive Officer, Mary G. Berner, continued to serve in the same capacity upon the company’s emergence from bankruptcy.</w:t>
      </w:r>
      <w:r>
        <w:rPr>
          <w:rStyle w:val="FootnoteReference"/>
        </w:rPr>
        <w:footnoteReference w:id="55"/>
      </w:r>
      <w:r w:rsidR="0008304A">
        <w:t xml:space="preserve">  Likewise, the transfer of control left the company’s chief financial officer and general counsel in place.</w:t>
      </w:r>
      <w:r>
        <w:rPr>
          <w:rStyle w:val="FootnoteReference"/>
        </w:rPr>
        <w:footnoteReference w:id="56"/>
      </w:r>
      <w:r w:rsidR="0008304A">
        <w:t xml:space="preserve"> </w:t>
      </w:r>
      <w:r w:rsidR="00A317ED">
        <w:t xml:space="preserve"> In fact, the attorney who signed the </w:t>
      </w:r>
      <w:r w:rsidR="00A317ED">
        <w:rPr>
          <w:i/>
          <w:iCs/>
        </w:rPr>
        <w:t>Consent Decree</w:t>
      </w:r>
      <w:r w:rsidR="00D82441">
        <w:t xml:space="preserve"> in 2016,</w:t>
      </w:r>
      <w:r w:rsidR="00A317ED">
        <w:t xml:space="preserve"> Richard Denning, is still the company’s general counsel.</w:t>
      </w:r>
      <w:r>
        <w:rPr>
          <w:rStyle w:val="FootnoteReference"/>
        </w:rPr>
        <w:footnoteReference w:id="57"/>
      </w:r>
      <w:r w:rsidR="00A317ED">
        <w:t xml:space="preserve">   </w:t>
      </w:r>
      <w:r w:rsidR="0008304A">
        <w:t xml:space="preserve"> </w:t>
      </w:r>
    </w:p>
    <w:p w:rsidR="00A86D17" w:rsidRPr="00AA479F" w:rsidP="00AA479F" w14:paraId="0B1906E5" w14:textId="4B46D50C">
      <w:pPr>
        <w:pStyle w:val="ParaNum"/>
      </w:pPr>
      <w:r>
        <w:t xml:space="preserve">Even if we were to disregard </w:t>
      </w:r>
      <w:r w:rsidR="00E77C96">
        <w:t>or discount</w:t>
      </w:r>
      <w:r w:rsidR="00C11546">
        <w:t xml:space="preserve"> a company’s </w:t>
      </w:r>
      <w:r>
        <w:t>prior history of violations</w:t>
      </w:r>
      <w:r w:rsidR="00C11546">
        <w:t xml:space="preserve"> as a general matter</w:t>
      </w:r>
      <w:r w:rsidR="00476E32">
        <w:t xml:space="preserve"> in forfeiture proceedings</w:t>
      </w:r>
      <w:r>
        <w:t xml:space="preserve">, </w:t>
      </w:r>
      <w:r w:rsidR="00180CE1">
        <w:t xml:space="preserve">as Respondent suggests, </w:t>
      </w:r>
      <w:r>
        <w:t xml:space="preserve">the upward adjustment </w:t>
      </w:r>
      <w:r w:rsidR="00C11546">
        <w:t xml:space="preserve">here </w:t>
      </w:r>
      <w:r w:rsidR="00180CE1">
        <w:t>remains</w:t>
      </w:r>
      <w:r>
        <w:t xml:space="preserve"> justified by the fact that </w:t>
      </w:r>
      <w:r w:rsidRPr="00AA479F" w:rsidR="00A261F8">
        <w:t xml:space="preserve">the </w:t>
      </w:r>
      <w:r w:rsidRPr="00AA479F" w:rsidR="00CB2C95">
        <w:t xml:space="preserve">violations </w:t>
      </w:r>
      <w:r w:rsidRPr="00AA479F" w:rsidR="007418D1">
        <w:t xml:space="preserve">Radio License and Cumulus </w:t>
      </w:r>
      <w:r w:rsidRPr="00AA479F" w:rsidR="00EA7E00">
        <w:t xml:space="preserve">admitted </w:t>
      </w:r>
      <w:r w:rsidRPr="00AA479F" w:rsidR="00CB2C95">
        <w:t xml:space="preserve">to </w:t>
      </w:r>
      <w:r w:rsidRPr="00AA479F" w:rsidR="00EA7E00">
        <w:t xml:space="preserve">in the </w:t>
      </w:r>
      <w:r w:rsidRPr="00864A14" w:rsidR="00A261F8">
        <w:rPr>
          <w:i/>
          <w:iCs/>
        </w:rPr>
        <w:t>C</w:t>
      </w:r>
      <w:r w:rsidRPr="00864A14" w:rsidR="005F1C6E">
        <w:rPr>
          <w:i/>
          <w:iCs/>
        </w:rPr>
        <w:t>onsent Decree</w:t>
      </w:r>
      <w:r w:rsidRPr="00AA479F" w:rsidR="00A261F8">
        <w:t xml:space="preserve"> </w:t>
      </w:r>
      <w:r w:rsidR="00476E32">
        <w:t xml:space="preserve">specifically </w:t>
      </w:r>
      <w:r w:rsidR="00A8572E">
        <w:t>implicate</w:t>
      </w:r>
      <w:r w:rsidRPr="00AA479F" w:rsidR="00A8572E">
        <w:t xml:space="preserve"> </w:t>
      </w:r>
      <w:r w:rsidRPr="00AA479F">
        <w:t xml:space="preserve">the </w:t>
      </w:r>
      <w:r w:rsidRPr="00AA479F" w:rsidR="00CB2C95">
        <w:t xml:space="preserve">very </w:t>
      </w:r>
      <w:r w:rsidRPr="00AA479F">
        <w:t>same rule</w:t>
      </w:r>
      <w:r>
        <w:t xml:space="preserve"> </w:t>
      </w:r>
      <w:r w:rsidR="00A8572E">
        <w:t>that was implicated</w:t>
      </w:r>
      <w:r w:rsidRPr="00AA479F" w:rsidR="00A8572E">
        <w:t xml:space="preserve"> </w:t>
      </w:r>
      <w:r w:rsidRPr="00AA479F" w:rsidR="008E77A1">
        <w:t xml:space="preserve">in the </w:t>
      </w:r>
      <w:r w:rsidRPr="00AA479F" w:rsidR="008E77A1">
        <w:rPr>
          <w:i/>
        </w:rPr>
        <w:t>NAL</w:t>
      </w:r>
      <w:r w:rsidRPr="00AA479F">
        <w:t>.</w:t>
      </w:r>
      <w:r>
        <w:rPr>
          <w:rStyle w:val="FootnoteReference"/>
          <w:sz w:val="22"/>
        </w:rPr>
        <w:footnoteReference w:id="58"/>
      </w:r>
      <w:r w:rsidRPr="00AA479F" w:rsidR="0028118F">
        <w:t xml:space="preserve">  </w:t>
      </w:r>
      <w:r>
        <w:t xml:space="preserve">The </w:t>
      </w:r>
      <w:r w:rsidRPr="00864A14">
        <w:rPr>
          <w:i/>
          <w:iCs/>
        </w:rPr>
        <w:t>Consent Decree</w:t>
      </w:r>
      <w:r>
        <w:t xml:space="preserve"> </w:t>
      </w:r>
      <w:r w:rsidR="00DB7D44">
        <w:t xml:space="preserve">was intended to help deter future violations </w:t>
      </w:r>
      <w:r>
        <w:t xml:space="preserve">of the </w:t>
      </w:r>
      <w:r w:rsidR="00C90063">
        <w:t>S</w:t>
      </w:r>
      <w:r>
        <w:t xml:space="preserve">ponsorship </w:t>
      </w:r>
      <w:r w:rsidR="00C90063">
        <w:t>I</w:t>
      </w:r>
      <w:r>
        <w:t xml:space="preserve">dentification </w:t>
      </w:r>
      <w:r w:rsidR="00C90063">
        <w:t>Laws</w:t>
      </w:r>
      <w:r>
        <w:t xml:space="preserve">, yet Respondent’s entities repeatedly continued to violate the same </w:t>
      </w:r>
      <w:r w:rsidR="00C90063">
        <w:t>S</w:t>
      </w:r>
      <w:r>
        <w:t xml:space="preserve">ponsorship </w:t>
      </w:r>
      <w:r w:rsidR="00C90063">
        <w:t>I</w:t>
      </w:r>
      <w:r>
        <w:t xml:space="preserve">dentification </w:t>
      </w:r>
      <w:r w:rsidR="00C90063">
        <w:t>Laws</w:t>
      </w:r>
      <w:r>
        <w:t xml:space="preserve"> while operating under the </w:t>
      </w:r>
      <w:r w:rsidRPr="00864A14">
        <w:rPr>
          <w:i/>
          <w:iCs/>
        </w:rPr>
        <w:t>Consent Decree</w:t>
      </w:r>
      <w:r>
        <w:t xml:space="preserve">.  Our interest in ensuring compliance with consent decrees and deterring the recurrence of violations of the very same rule at issue supports the upward adjustment in this case.  </w:t>
      </w:r>
      <w:r w:rsidRPr="00AA479F" w:rsidR="00311EA2">
        <w:t>Accordingly</w:t>
      </w:r>
      <w:r w:rsidRPr="00AA479F">
        <w:t xml:space="preserve">, </w:t>
      </w:r>
      <w:r w:rsidR="005013AB">
        <w:t>we</w:t>
      </w:r>
      <w:r w:rsidRPr="00AA479F" w:rsidR="00A261F8">
        <w:t xml:space="preserve"> properly </w:t>
      </w:r>
      <w:r w:rsidRPr="00AA479F" w:rsidR="00690587">
        <w:t xml:space="preserve">took into </w:t>
      </w:r>
      <w:r w:rsidRPr="00AA479F" w:rsidR="00A760C3">
        <w:t>account</w:t>
      </w:r>
      <w:r w:rsidRPr="00AA479F" w:rsidR="00690587">
        <w:t xml:space="preserve"> </w:t>
      </w:r>
      <w:r w:rsidR="00A8572E">
        <w:t>prior</w:t>
      </w:r>
      <w:r w:rsidRPr="00AA479F" w:rsidR="00A8572E">
        <w:t xml:space="preserve"> </w:t>
      </w:r>
      <w:r w:rsidRPr="00AA479F" w:rsidR="00063842">
        <w:t>violations</w:t>
      </w:r>
      <w:r w:rsidRPr="00AA479F">
        <w:t xml:space="preserve"> </w:t>
      </w:r>
      <w:r w:rsidR="00A8572E">
        <w:t>when</w:t>
      </w:r>
      <w:r w:rsidRPr="00AA479F" w:rsidR="00A8572E">
        <w:t xml:space="preserve"> </w:t>
      </w:r>
      <w:r w:rsidRPr="00AA479F" w:rsidR="00CB2C95">
        <w:t xml:space="preserve">determining the </w:t>
      </w:r>
      <w:r w:rsidRPr="00AA479F">
        <w:t>upward adjustment</w:t>
      </w:r>
      <w:r w:rsidR="00A8572E">
        <w:t xml:space="preserve"> in the </w:t>
      </w:r>
      <w:r w:rsidR="00A8572E">
        <w:rPr>
          <w:i/>
          <w:iCs/>
        </w:rPr>
        <w:t>NAL</w:t>
      </w:r>
      <w:r w:rsidRPr="00AA479F" w:rsidR="00CB2C95">
        <w:t>.</w:t>
      </w:r>
      <w:r w:rsidRPr="00AA479F">
        <w:t xml:space="preserve"> </w:t>
      </w:r>
    </w:p>
    <w:p w:rsidR="00086824" w:rsidRPr="00AA479F" w:rsidP="00AA479F" w14:paraId="5A2A3A9C" w14:textId="776812A9">
      <w:pPr>
        <w:pStyle w:val="Heading3"/>
      </w:pPr>
      <w:bookmarkStart w:id="68" w:name="_Toc36652532"/>
      <w:bookmarkStart w:id="69" w:name="_Toc52544272"/>
      <w:bookmarkStart w:id="70" w:name="_Toc53656748"/>
      <w:r w:rsidRPr="00AA479F">
        <w:t>Commission Precedent</w:t>
      </w:r>
      <w:r w:rsidRPr="00AA479F" w:rsidR="006A6617">
        <w:t xml:space="preserve"> Support</w:t>
      </w:r>
      <w:r w:rsidRPr="00AA479F">
        <w:t>s</w:t>
      </w:r>
      <w:r w:rsidRPr="00AA479F" w:rsidR="006A6617">
        <w:t xml:space="preserve"> the Upward Adjustment</w:t>
      </w:r>
      <w:bookmarkEnd w:id="68"/>
      <w:bookmarkEnd w:id="69"/>
      <w:bookmarkEnd w:id="70"/>
    </w:p>
    <w:p w:rsidR="00164BA6" w:rsidRPr="00AA479F" w:rsidP="00AA479F" w14:paraId="21174E16" w14:textId="27C4FBF6">
      <w:pPr>
        <w:pStyle w:val="ParaNum"/>
      </w:pPr>
      <w:r>
        <w:t>We</w:t>
      </w:r>
      <w:r w:rsidRPr="00AA479F" w:rsidR="00BA3BAB">
        <w:t xml:space="preserve"> properly </w:t>
      </w:r>
      <w:r w:rsidR="004062AE">
        <w:t>justified</w:t>
      </w:r>
      <w:r w:rsidRPr="00AA479F" w:rsidR="004062AE">
        <w:t xml:space="preserve"> </w:t>
      </w:r>
      <w:r w:rsidRPr="00AA479F" w:rsidR="00BA3BAB">
        <w:t xml:space="preserve">the upward adjustment in the </w:t>
      </w:r>
      <w:r w:rsidRPr="3EAF0EDE" w:rsidR="00BA3BAB">
        <w:rPr>
          <w:i/>
          <w:iCs/>
        </w:rPr>
        <w:t xml:space="preserve">NAL </w:t>
      </w:r>
      <w:r>
        <w:t>by relying on</w:t>
      </w:r>
      <w:r w:rsidRPr="00AA479F" w:rsidR="005013AB">
        <w:t xml:space="preserve"> r</w:t>
      </w:r>
      <w:r w:rsidRPr="00AA479F" w:rsidR="00B25616">
        <w:t xml:space="preserve">elevant </w:t>
      </w:r>
      <w:r w:rsidRPr="00AA479F" w:rsidR="00BA3BAB">
        <w:t>cases</w:t>
      </w:r>
      <w:r w:rsidRPr="00AA479F" w:rsidR="00732906">
        <w:t>.</w:t>
      </w:r>
      <w:r w:rsidRPr="00AA479F" w:rsidR="00C95F58">
        <w:t xml:space="preserve">  In those cases, the Bureau determined </w:t>
      </w:r>
      <w:r w:rsidRPr="00AA479F" w:rsidR="00BA3BAB">
        <w:t xml:space="preserve">an upward adjustment was </w:t>
      </w:r>
      <w:r w:rsidRPr="00AA479F" w:rsidR="00B25616">
        <w:t>warranted</w:t>
      </w:r>
      <w:r w:rsidRPr="00AA479F" w:rsidR="00C95F58">
        <w:t>, at least in part,</w:t>
      </w:r>
      <w:r w:rsidRPr="00AA479F" w:rsidR="00BA3BAB">
        <w:t xml:space="preserve"> based on the licensee’s prior history of rule violations.</w:t>
      </w:r>
      <w:r>
        <w:rPr>
          <w:rStyle w:val="FootnoteReference"/>
          <w:sz w:val="22"/>
          <w:szCs w:val="22"/>
        </w:rPr>
        <w:footnoteReference w:id="59"/>
      </w:r>
      <w:r w:rsidRPr="00AA479F" w:rsidR="00BA3BAB">
        <w:t xml:space="preserve">  </w:t>
      </w:r>
      <w:r w:rsidRPr="00AA479F" w:rsidR="00DA6ACE">
        <w:t>Respondent</w:t>
      </w:r>
      <w:r w:rsidRPr="00AA479F" w:rsidR="00A760C3">
        <w:t xml:space="preserve"> </w:t>
      </w:r>
      <w:r w:rsidRPr="00AA479F" w:rsidR="00B25616">
        <w:t xml:space="preserve">nonetheless </w:t>
      </w:r>
      <w:r w:rsidRPr="00AA479F" w:rsidR="00AA2E9C">
        <w:t>argues that</w:t>
      </w:r>
      <w:r w:rsidRPr="00AA479F" w:rsidR="00CB2C95">
        <w:t xml:space="preserve"> </w:t>
      </w:r>
      <w:r w:rsidRPr="00AA479F" w:rsidR="00C95F58">
        <w:t xml:space="preserve">the </w:t>
      </w:r>
      <w:r w:rsidRPr="00AA479F" w:rsidR="00CB2C95">
        <w:t>precedent</w:t>
      </w:r>
      <w:r w:rsidRPr="00AA479F" w:rsidR="00F11EE6">
        <w:t xml:space="preserve"> cited in the </w:t>
      </w:r>
      <w:r w:rsidRPr="3EAF0EDE" w:rsidR="00F11EE6">
        <w:rPr>
          <w:i/>
          <w:iCs/>
        </w:rPr>
        <w:t>NAL</w:t>
      </w:r>
      <w:r w:rsidRPr="00AA479F" w:rsidR="009C3FF5">
        <w:t>—</w:t>
      </w:r>
      <w:r w:rsidRPr="3EAF0EDE" w:rsidR="00F11EE6">
        <w:rPr>
          <w:i/>
          <w:iCs/>
        </w:rPr>
        <w:t>Clear Channel Communications, Inc.</w:t>
      </w:r>
      <w:r w:rsidRPr="00AA479F" w:rsidR="00F11EE6">
        <w:t xml:space="preserve">, </w:t>
      </w:r>
      <w:r w:rsidRPr="3EAF0EDE" w:rsidR="00F11EE6">
        <w:rPr>
          <w:i/>
          <w:iCs/>
        </w:rPr>
        <w:t>Citicasters</w:t>
      </w:r>
      <w:r w:rsidRPr="00AA479F" w:rsidR="00F11EE6">
        <w:t xml:space="preserve"> </w:t>
      </w:r>
      <w:r w:rsidRPr="3EAF0EDE" w:rsidR="00F11EE6">
        <w:rPr>
          <w:i/>
          <w:iCs/>
        </w:rPr>
        <w:t>Licenses, L.P</w:t>
      </w:r>
      <w:r w:rsidRPr="00AA479F" w:rsidR="00F11EE6">
        <w:t xml:space="preserve">., and </w:t>
      </w:r>
      <w:r w:rsidRPr="3EAF0EDE" w:rsidR="00F11EE6">
        <w:rPr>
          <w:i/>
          <w:iCs/>
        </w:rPr>
        <w:t>Union Broadcasting, Inc</w:t>
      </w:r>
      <w:r w:rsidRPr="3EAF0EDE" w:rsidR="00E07F06">
        <w:rPr>
          <w:i/>
          <w:iCs/>
        </w:rPr>
        <w:t>.</w:t>
      </w:r>
      <w:r w:rsidRPr="00AA479F" w:rsidR="009C3FF5">
        <w:t>—</w:t>
      </w:r>
      <w:r w:rsidRPr="00AA479F" w:rsidR="00AA2E9C">
        <w:t xml:space="preserve">do not </w:t>
      </w:r>
      <w:r w:rsidRPr="00AA479F" w:rsidR="00F11EE6">
        <w:t xml:space="preserve">support </w:t>
      </w:r>
      <w:r w:rsidRPr="00AA479F" w:rsidR="005123B6">
        <w:t>any</w:t>
      </w:r>
      <w:r w:rsidRPr="00AA479F" w:rsidR="00F11EE6">
        <w:t xml:space="preserve"> upward adjustment to the base forfeiture amount for the sponsorship identification violations</w:t>
      </w:r>
      <w:r w:rsidRPr="00AA479F" w:rsidR="00CB2C95">
        <w:t>, but instead warrant</w:t>
      </w:r>
      <w:r w:rsidRPr="00AA479F" w:rsidR="00AA2E9C">
        <w:t xml:space="preserve"> a </w:t>
      </w:r>
      <w:r w:rsidRPr="00AA479F" w:rsidR="00AD1CDA">
        <w:t>much lower</w:t>
      </w:r>
      <w:r w:rsidRPr="00AA479F" w:rsidR="00AA2E9C">
        <w:t xml:space="preserve"> a</w:t>
      </w:r>
      <w:r w:rsidRPr="00AA479F" w:rsidR="00CB2C95">
        <w:t>mount</w:t>
      </w:r>
      <w:r w:rsidRPr="00AA479F" w:rsidR="00AA2E9C">
        <w:t>.</w:t>
      </w:r>
      <w:r>
        <w:rPr>
          <w:rStyle w:val="FootnoteReference"/>
          <w:sz w:val="22"/>
          <w:szCs w:val="22"/>
        </w:rPr>
        <w:footnoteReference w:id="60"/>
      </w:r>
      <w:r w:rsidRPr="00AA479F" w:rsidR="00F11EE6">
        <w:t xml:space="preserve"> </w:t>
      </w:r>
      <w:r w:rsidRPr="00AA479F" w:rsidR="00AD1CDA">
        <w:t xml:space="preserve"> </w:t>
      </w:r>
      <w:r w:rsidR="00324032">
        <w:t xml:space="preserve">Respondent suggests that </w:t>
      </w:r>
      <w:r w:rsidRPr="3EAF0EDE" w:rsidR="00324032">
        <w:rPr>
          <w:i/>
          <w:iCs/>
        </w:rPr>
        <w:t>Clear Channel Communications, Inc.</w:t>
      </w:r>
      <w:r w:rsidR="00324032">
        <w:t xml:space="preserve"> and </w:t>
      </w:r>
      <w:r w:rsidRPr="3EAF0EDE" w:rsidR="00324032">
        <w:rPr>
          <w:i/>
          <w:iCs/>
        </w:rPr>
        <w:t>Citicasters</w:t>
      </w:r>
      <w:r w:rsidR="00324032">
        <w:t xml:space="preserve"> </w:t>
      </w:r>
      <w:r w:rsidRPr="3EAF0EDE" w:rsidR="00324032">
        <w:rPr>
          <w:i/>
          <w:iCs/>
        </w:rPr>
        <w:t>Licenses, L.P</w:t>
      </w:r>
      <w:r w:rsidR="00324032">
        <w:t xml:space="preserve">. do not support the Commission’s assessment of the forfeiture on a </w:t>
      </w:r>
      <w:r w:rsidR="00BA1A53">
        <w:t>per-</w:t>
      </w:r>
      <w:r w:rsidR="00324032">
        <w:t>station basis.</w:t>
      </w:r>
      <w:r>
        <w:rPr>
          <w:rStyle w:val="FootnoteReference"/>
        </w:rPr>
        <w:footnoteReference w:id="61"/>
      </w:r>
      <w:r w:rsidR="00324032">
        <w:t xml:space="preserve">  However, those cases do not involve sponsorship identification </w:t>
      </w:r>
      <w:r w:rsidR="00324032">
        <w:t>violations, which are at issue here.  For sponsorship identification violations, the Commission has in recent years calculated the forfeiture by multiplying the base forfeiture by the number of violations.</w:t>
      </w:r>
      <w:r>
        <w:rPr>
          <w:rStyle w:val="FootnoteReference"/>
        </w:rPr>
        <w:footnoteReference w:id="62"/>
      </w:r>
      <w:r w:rsidR="00324032">
        <w:t xml:space="preserve">  Additionally, Respondent claims that in </w:t>
      </w:r>
      <w:r w:rsidRPr="3EAF0EDE" w:rsidR="00324032">
        <w:rPr>
          <w:i/>
          <w:iCs/>
        </w:rPr>
        <w:t>Clear Channel Communications, Inc.</w:t>
      </w:r>
      <w:r w:rsidR="00324032">
        <w:t xml:space="preserve">, </w:t>
      </w:r>
      <w:r w:rsidRPr="3EAF0EDE" w:rsidR="00324032">
        <w:rPr>
          <w:i/>
          <w:iCs/>
        </w:rPr>
        <w:t>Citicasters</w:t>
      </w:r>
      <w:r w:rsidRPr="3EAF0EDE" w:rsidR="00324032">
        <w:rPr>
          <w:i/>
          <w:iCs/>
        </w:rPr>
        <w:t xml:space="preserve"> Licenses, L.P.</w:t>
      </w:r>
      <w:r w:rsidR="00324032">
        <w:t xml:space="preserve"> and </w:t>
      </w:r>
      <w:r w:rsidRPr="3EAF0EDE" w:rsidR="00324032">
        <w:rPr>
          <w:i/>
          <w:iCs/>
        </w:rPr>
        <w:t>Union Broadcasting, Inc.</w:t>
      </w:r>
      <w:r w:rsidR="00324032">
        <w:t>, escalation of the penalty was based on prior violations of the same rule, whereas here, the Commission relied not only on the same type of prior violation but also other types of prior rule violations.</w:t>
      </w:r>
      <w:r>
        <w:rPr>
          <w:rStyle w:val="FootnoteReference"/>
        </w:rPr>
        <w:footnoteReference w:id="63"/>
      </w:r>
      <w:r w:rsidR="00324032">
        <w:t xml:space="preserve">  However, the Commission is not required to consider only the same type of violations when assessing upward adjustments.  Based on the Commission’s rules, the Commission should consider an adjustment for a prior violation of any Commission requirement, even if the prior violation does not relate to the type of violation at issue in the current matter</w:t>
      </w:r>
      <w:r w:rsidRPr="006600A6" w:rsidR="00324032">
        <w:t>.</w:t>
      </w:r>
      <w:r>
        <w:rPr>
          <w:rStyle w:val="FootnoteReference"/>
        </w:rPr>
        <w:footnoteReference w:id="64"/>
      </w:r>
      <w:r w:rsidRPr="006600A6" w:rsidR="00324032">
        <w:t xml:space="preserve">  </w:t>
      </w:r>
      <w:r w:rsidR="005D3655">
        <w:t>In any event, c</w:t>
      </w:r>
      <w:r w:rsidRPr="00AA479F" w:rsidR="00D0065A">
        <w:t>ontrary</w:t>
      </w:r>
      <w:r w:rsidRPr="00AA479F" w:rsidR="005123B6">
        <w:t xml:space="preserve"> to </w:t>
      </w:r>
      <w:r w:rsidRPr="00AA479F" w:rsidR="007418D1">
        <w:t xml:space="preserve">Respondent’s </w:t>
      </w:r>
      <w:r w:rsidRPr="00AA479F" w:rsidR="005123B6">
        <w:t xml:space="preserve">claims, </w:t>
      </w:r>
      <w:r w:rsidR="00A8572E">
        <w:t xml:space="preserve">an </w:t>
      </w:r>
      <w:r w:rsidRPr="00AA479F" w:rsidR="005123B6">
        <w:t xml:space="preserve">upward adjustment </w:t>
      </w:r>
      <w:r w:rsidR="00A8572E">
        <w:t xml:space="preserve">is warranted in the present case </w:t>
      </w:r>
      <w:r w:rsidRPr="00B17367" w:rsidR="001132FF">
        <w:t xml:space="preserve">under </w:t>
      </w:r>
      <w:r w:rsidR="00A8572E">
        <w:t xml:space="preserve">cited </w:t>
      </w:r>
      <w:r w:rsidRPr="00AA479F" w:rsidR="005F58C8">
        <w:t xml:space="preserve">precedent </w:t>
      </w:r>
      <w:r w:rsidRPr="00AA479F" w:rsidR="005123B6">
        <w:t>because</w:t>
      </w:r>
      <w:r w:rsidRPr="00AA479F" w:rsidR="00253389">
        <w:t xml:space="preserve"> </w:t>
      </w:r>
      <w:r w:rsidRPr="00AA479F" w:rsidR="005123B6">
        <w:t xml:space="preserve">the </w:t>
      </w:r>
      <w:r w:rsidRPr="00AA479F" w:rsidR="005E0612">
        <w:t xml:space="preserve">apparent </w:t>
      </w:r>
      <w:r w:rsidRPr="00AA479F" w:rsidR="005123B6">
        <w:t xml:space="preserve">rule violations </w:t>
      </w:r>
      <w:r w:rsidR="00A8572E">
        <w:t xml:space="preserve">described </w:t>
      </w:r>
      <w:r w:rsidRPr="00AA479F" w:rsidR="005F58C8">
        <w:t>in the</w:t>
      </w:r>
      <w:r w:rsidRPr="00AA479F" w:rsidR="005123B6">
        <w:t xml:space="preserve"> </w:t>
      </w:r>
      <w:r w:rsidRPr="00CB1379" w:rsidR="00CB1379">
        <w:rPr>
          <w:i/>
          <w:iCs/>
        </w:rPr>
        <w:t>NAL</w:t>
      </w:r>
      <w:r w:rsidRPr="00AA479F" w:rsidR="005123B6">
        <w:t xml:space="preserve"> involved the very same rule</w:t>
      </w:r>
      <w:r w:rsidRPr="00AA479F" w:rsidR="003D0FEE">
        <w:t>s</w:t>
      </w:r>
      <w:r w:rsidRPr="00AA479F" w:rsidR="005123B6">
        <w:t xml:space="preserve"> </w:t>
      </w:r>
      <w:r w:rsidRPr="00AA479F" w:rsidR="00253389">
        <w:t xml:space="preserve">that </w:t>
      </w:r>
      <w:r w:rsidRPr="00AA479F" w:rsidR="00C95F58">
        <w:t>Radio License and Cumulus</w:t>
      </w:r>
      <w:r w:rsidRPr="00AA479F" w:rsidR="007418D1">
        <w:t xml:space="preserve"> </w:t>
      </w:r>
      <w:r w:rsidRPr="00AA479F" w:rsidR="005123B6">
        <w:t xml:space="preserve">admitted to </w:t>
      </w:r>
      <w:r w:rsidRPr="00AA479F" w:rsidR="003D0FEE">
        <w:t xml:space="preserve">violating </w:t>
      </w:r>
      <w:r w:rsidRPr="00AA479F" w:rsidR="005123B6">
        <w:t xml:space="preserve">in the </w:t>
      </w:r>
      <w:r w:rsidRPr="00864A14" w:rsidR="005123B6">
        <w:rPr>
          <w:i/>
          <w:iCs/>
        </w:rPr>
        <w:t>Consent Decree</w:t>
      </w:r>
      <w:r w:rsidRPr="00AA479F" w:rsidR="008956EA">
        <w:t>.</w:t>
      </w:r>
      <w:r w:rsidRPr="00AA479F" w:rsidR="002C6316">
        <w:t xml:space="preserve">  We are concerned that anything less is unlikely to serve as a sufficient deterrent to Respondent against future violations of the </w:t>
      </w:r>
      <w:r w:rsidR="00423D46">
        <w:t>S</w:t>
      </w:r>
      <w:r w:rsidRPr="00AA479F" w:rsidR="002C6316">
        <w:t xml:space="preserve">ponsorship </w:t>
      </w:r>
      <w:r w:rsidR="00423D46">
        <w:t>I</w:t>
      </w:r>
      <w:r w:rsidRPr="00AA479F" w:rsidR="002C6316">
        <w:t xml:space="preserve">dentification </w:t>
      </w:r>
      <w:r w:rsidR="00423D46">
        <w:t>L</w:t>
      </w:r>
      <w:r w:rsidRPr="00AA479F" w:rsidR="002C6316">
        <w:t xml:space="preserve">aws </w:t>
      </w:r>
      <w:r w:rsidR="002C670D">
        <w:t>because</w:t>
      </w:r>
      <w:r w:rsidRPr="00AA479F" w:rsidR="002C6316">
        <w:t xml:space="preserve"> the $540,000 civil penalty and </w:t>
      </w:r>
      <w:r w:rsidR="002C670D">
        <w:t>imposition</w:t>
      </w:r>
      <w:r w:rsidRPr="00AA479F" w:rsidR="002C670D">
        <w:t xml:space="preserve"> </w:t>
      </w:r>
      <w:r w:rsidRPr="00AA479F" w:rsidR="002C6316">
        <w:t xml:space="preserve">of a compliance plan </w:t>
      </w:r>
      <w:r w:rsidR="00B17367">
        <w:t xml:space="preserve">in the </w:t>
      </w:r>
      <w:r w:rsidR="00B17367">
        <w:rPr>
          <w:i/>
          <w:iCs/>
        </w:rPr>
        <w:t xml:space="preserve">Consent Decree </w:t>
      </w:r>
      <w:r w:rsidRPr="00AA479F" w:rsidR="002C6316">
        <w:t xml:space="preserve">did not </w:t>
      </w:r>
      <w:r w:rsidR="00A8572E">
        <w:t xml:space="preserve">deter Respondent from again violating the </w:t>
      </w:r>
      <w:r w:rsidR="00423D46">
        <w:t>S</w:t>
      </w:r>
      <w:r w:rsidR="00A8572E">
        <w:t xml:space="preserve">ponsorship </w:t>
      </w:r>
      <w:r w:rsidR="00423D46">
        <w:t>I</w:t>
      </w:r>
      <w:r w:rsidR="00A8572E">
        <w:t xml:space="preserve">dentification </w:t>
      </w:r>
      <w:r w:rsidR="00423D46">
        <w:t>L</w:t>
      </w:r>
      <w:r w:rsidR="00A8572E">
        <w:t>aws</w:t>
      </w:r>
      <w:r w:rsidR="002C670D">
        <w:t>,</w:t>
      </w:r>
      <w:r w:rsidR="00A8572E">
        <w:t xml:space="preserve"> as </w:t>
      </w:r>
      <w:r w:rsidR="00920ACF">
        <w:t>discussed</w:t>
      </w:r>
      <w:r w:rsidR="00A8572E">
        <w:t xml:space="preserve"> in the </w:t>
      </w:r>
      <w:r w:rsidRPr="00CB1379" w:rsidR="00CB1379">
        <w:rPr>
          <w:i/>
          <w:iCs/>
        </w:rPr>
        <w:t>NAL</w:t>
      </w:r>
      <w:r w:rsidR="00A8572E">
        <w:t xml:space="preserve"> and in this Forfeiture Order.</w:t>
      </w:r>
      <w:r w:rsidRPr="00AA479F">
        <w:t xml:space="preserve"> </w:t>
      </w:r>
    </w:p>
    <w:p w:rsidR="00164BA6" w:rsidRPr="00AA479F" w:rsidP="003F66F4" w14:paraId="161B6C8C" w14:textId="028BEAA1">
      <w:pPr>
        <w:pStyle w:val="ParaNum"/>
        <w:widowControl/>
      </w:pPr>
      <w:r w:rsidRPr="00AA479F">
        <w:t xml:space="preserve">None of the cases cited by </w:t>
      </w:r>
      <w:r w:rsidR="0083214E">
        <w:t>Respondent</w:t>
      </w:r>
      <w:r w:rsidRPr="00AA479F" w:rsidR="0083214E">
        <w:t xml:space="preserve"> </w:t>
      </w:r>
      <w:r w:rsidR="00DE1484">
        <w:t xml:space="preserve">as examples of mitigating circumstances </w:t>
      </w:r>
      <w:r w:rsidRPr="00AA479F">
        <w:t xml:space="preserve">involve violations of the same rule that was the subject of a prior consent decree, as was the case here.  </w:t>
      </w:r>
      <w:r w:rsidRPr="00AA479F" w:rsidR="007418D1">
        <w:t xml:space="preserve">Respondent </w:t>
      </w:r>
      <w:r w:rsidRPr="00AA479F" w:rsidR="00AD1CDA">
        <w:t>cites cases</w:t>
      </w:r>
      <w:r w:rsidRPr="00AA479F" w:rsidR="002D283A">
        <w:t xml:space="preserve"> in which the Commission imposed lesser upward forfeiture adjustments</w:t>
      </w:r>
      <w:r w:rsidRPr="00AA479F" w:rsidR="00AD1CDA">
        <w:t xml:space="preserve"> </w:t>
      </w:r>
      <w:r w:rsidRPr="00AA479F" w:rsidR="002D283A">
        <w:t>for what Respondent claims were</w:t>
      </w:r>
      <w:r w:rsidRPr="00AA479F" w:rsidR="003E0ED9">
        <w:t xml:space="preserve"> more serious </w:t>
      </w:r>
      <w:r w:rsidRPr="00AA479F" w:rsidR="00F26109">
        <w:t>violations.</w:t>
      </w:r>
      <w:r>
        <w:rPr>
          <w:rStyle w:val="FootnoteReference"/>
          <w:sz w:val="22"/>
        </w:rPr>
        <w:footnoteReference w:id="65"/>
      </w:r>
      <w:r w:rsidRPr="00AA479F">
        <w:t xml:space="preserve">  Those cases, however, </w:t>
      </w:r>
      <w:r w:rsidRPr="00AA479F" w:rsidR="000F1F3D">
        <w:t xml:space="preserve">involved </w:t>
      </w:r>
      <w:r w:rsidRPr="00AA479F" w:rsidR="005F58C8">
        <w:t>rules</w:t>
      </w:r>
      <w:r w:rsidRPr="00AA479F" w:rsidR="000F1F3D">
        <w:t xml:space="preserve"> that</w:t>
      </w:r>
      <w:r w:rsidRPr="00AA479F" w:rsidR="005F58C8">
        <w:t xml:space="preserve"> </w:t>
      </w:r>
      <w:r w:rsidRPr="00AA479F" w:rsidR="000F1F3D">
        <w:t xml:space="preserve">are not </w:t>
      </w:r>
      <w:r w:rsidRPr="00AA479F" w:rsidR="000F1F3D">
        <w:t>similar to the matters at issue in this case.</w:t>
      </w:r>
      <w:r w:rsidRPr="00AA479F" w:rsidR="005F58C8">
        <w:t xml:space="preserve">  </w:t>
      </w:r>
      <w:r w:rsidRPr="00AA479F" w:rsidR="007418D1">
        <w:t xml:space="preserve">Respondent </w:t>
      </w:r>
      <w:r w:rsidRPr="00AA479F">
        <w:t xml:space="preserve">fails to demonstrate how these factually disparate cases apply </w:t>
      </w:r>
      <w:r w:rsidRPr="00AA479F" w:rsidR="00F829F1">
        <w:t>here</w:t>
      </w:r>
      <w:r w:rsidRPr="00AA479F">
        <w:t>, and we find th</w:t>
      </w:r>
      <w:r w:rsidRPr="00AA479F" w:rsidR="007628AB">
        <w:t>at they</w:t>
      </w:r>
      <w:r w:rsidRPr="00AA479F">
        <w:t xml:space="preserve"> do not.  </w:t>
      </w:r>
    </w:p>
    <w:p w:rsidR="005E17D0" w:rsidRPr="00AA479F" w:rsidP="00AA479F" w14:paraId="3520066F" w14:textId="4B02D592">
      <w:pPr>
        <w:pStyle w:val="Heading2"/>
      </w:pPr>
      <w:bookmarkStart w:id="71" w:name="_Toc36652533"/>
      <w:bookmarkStart w:id="72" w:name="_Toc52544273"/>
      <w:bookmarkStart w:id="73" w:name="_Toc53656749"/>
      <w:r w:rsidRPr="00AA479F">
        <w:t xml:space="preserve">The </w:t>
      </w:r>
      <w:r w:rsidRPr="00AA479F" w:rsidR="00A149B6">
        <w:t xml:space="preserve">Forfeiture </w:t>
      </w:r>
      <w:r w:rsidR="00D44343">
        <w:t xml:space="preserve">Amount Proposed </w:t>
      </w:r>
      <w:r w:rsidRPr="00AA479F" w:rsidR="00A149B6">
        <w:t xml:space="preserve">for Violation of a Commission </w:t>
      </w:r>
      <w:r w:rsidRPr="000C5E37" w:rsidR="000C5E37">
        <w:rPr>
          <w:i/>
          <w:iCs/>
        </w:rPr>
        <w:t>Consent Decree</w:t>
      </w:r>
      <w:r w:rsidRPr="00AA479F">
        <w:t xml:space="preserve"> </w:t>
      </w:r>
      <w:r w:rsidR="00D44343">
        <w:t>I</w:t>
      </w:r>
      <w:r w:rsidRPr="00A01027" w:rsidR="00A149B6">
        <w:t>s</w:t>
      </w:r>
      <w:r w:rsidRPr="00AA479F" w:rsidR="00A149B6">
        <w:t xml:space="preserve"> Fully</w:t>
      </w:r>
      <w:r w:rsidRPr="00AA479F">
        <w:t xml:space="preserve"> Justified</w:t>
      </w:r>
      <w:bookmarkEnd w:id="71"/>
      <w:bookmarkEnd w:id="72"/>
      <w:bookmarkEnd w:id="73"/>
    </w:p>
    <w:p w:rsidR="00FE00CB" w:rsidRPr="00AA479F" w:rsidP="00AA479F" w14:paraId="28A3A66B" w14:textId="118216D7">
      <w:pPr>
        <w:pStyle w:val="ParaNum"/>
      </w:pPr>
      <w:r>
        <w:t>We</w:t>
      </w:r>
      <w:r w:rsidRPr="00AA479F" w:rsidR="00506548">
        <w:t xml:space="preserve"> </w:t>
      </w:r>
      <w:r w:rsidRPr="00AA479F" w:rsidR="00784AC6">
        <w:t xml:space="preserve">properly justified the forfeiture for Radio License’s and Cumulus’ violation of the </w:t>
      </w:r>
      <w:r w:rsidRPr="000C5E37" w:rsidR="000C5E37">
        <w:rPr>
          <w:i/>
          <w:iCs/>
        </w:rPr>
        <w:t>Consent Decree</w:t>
      </w:r>
      <w:r w:rsidRPr="00AA479F" w:rsidR="00784AC6">
        <w:t xml:space="preserve">.  </w:t>
      </w:r>
      <w:r w:rsidRPr="00AA479F" w:rsidR="007418D1">
        <w:t xml:space="preserve">Respondent </w:t>
      </w:r>
      <w:r w:rsidRPr="00AA479F" w:rsidR="009111BD">
        <w:t xml:space="preserve">argues that the </w:t>
      </w:r>
      <w:r w:rsidRPr="00AA479F" w:rsidR="003E0ED9">
        <w:t xml:space="preserve">cases </w:t>
      </w:r>
      <w:r w:rsidRPr="00AA479F" w:rsidR="00151790">
        <w:t xml:space="preserve">cited in the </w:t>
      </w:r>
      <w:r w:rsidRPr="00CB1379" w:rsidR="00CB1379">
        <w:rPr>
          <w:i/>
          <w:iCs/>
        </w:rPr>
        <w:t>NAL</w:t>
      </w:r>
      <w:r>
        <w:rPr>
          <w:rStyle w:val="FootnoteReference"/>
          <w:sz w:val="22"/>
        </w:rPr>
        <w:footnoteReference w:id="66"/>
      </w:r>
      <w:r w:rsidRPr="00AA479F" w:rsidR="00A53F96">
        <w:t xml:space="preserve"> </w:t>
      </w:r>
      <w:r w:rsidRPr="00AA479F" w:rsidR="00AF724C">
        <w:t xml:space="preserve">do not </w:t>
      </w:r>
      <w:r w:rsidRPr="00AA479F" w:rsidR="00151790">
        <w:t>support</w:t>
      </w:r>
      <w:r w:rsidRPr="00AA479F" w:rsidR="003E0ED9">
        <w:t xml:space="preserve"> the $25,000</w:t>
      </w:r>
      <w:r w:rsidRPr="00AA479F">
        <w:t xml:space="preserve"> forfeiture</w:t>
      </w:r>
      <w:r w:rsidRPr="00AA479F" w:rsidR="003E0ED9">
        <w:t xml:space="preserve"> for violation of the </w:t>
      </w:r>
      <w:r w:rsidRPr="000C5E37" w:rsidR="000C5E37">
        <w:rPr>
          <w:i/>
          <w:iCs/>
        </w:rPr>
        <w:t>Consent Decree</w:t>
      </w:r>
      <w:r w:rsidRPr="00AA479F" w:rsidR="00AF724C">
        <w:t xml:space="preserve"> because the violations in those cases are more severe</w:t>
      </w:r>
      <w:r w:rsidRPr="00AA479F" w:rsidR="00CD0972">
        <w:t xml:space="preserve"> than the </w:t>
      </w:r>
      <w:r w:rsidRPr="000C5E37" w:rsidR="000C5E37">
        <w:rPr>
          <w:i/>
          <w:iCs/>
        </w:rPr>
        <w:t>Consent Decree</w:t>
      </w:r>
      <w:r w:rsidRPr="00AA479F" w:rsidR="00CD0972">
        <w:t xml:space="preserve"> violation here</w:t>
      </w:r>
      <w:r w:rsidRPr="00AA479F" w:rsidR="00506548">
        <w:t>,</w:t>
      </w:r>
      <w:r w:rsidRPr="00AA479F" w:rsidR="00CD0972">
        <w:t xml:space="preserve"> </w:t>
      </w:r>
      <w:r w:rsidRPr="00AA479F" w:rsidR="00500FFE">
        <w:t>which only involved delayed reporting</w:t>
      </w:r>
      <w:r w:rsidRPr="00AA479F">
        <w:t>.</w:t>
      </w:r>
      <w:r>
        <w:rPr>
          <w:rStyle w:val="FootnoteReference"/>
          <w:sz w:val="22"/>
        </w:rPr>
        <w:footnoteReference w:id="67"/>
      </w:r>
      <w:r w:rsidRPr="00AA479F">
        <w:t xml:space="preserve"> </w:t>
      </w:r>
      <w:r>
        <w:t xml:space="preserve"> We disagree.</w:t>
      </w:r>
      <w:r w:rsidRPr="00AA479F">
        <w:t xml:space="preserve"> </w:t>
      </w:r>
      <w:r w:rsidRPr="00AA479F" w:rsidR="00CD0972">
        <w:t xml:space="preserve"> </w:t>
      </w:r>
    </w:p>
    <w:p w:rsidR="00FE00CB" w:rsidRPr="00AA479F" w:rsidP="00AA479F" w14:paraId="29342566" w14:textId="1EED425C">
      <w:pPr>
        <w:pStyle w:val="ParaNum"/>
      </w:pPr>
      <w:r>
        <w:rPr>
          <w:color w:val="000000"/>
        </w:rPr>
        <w:t xml:space="preserve">Our reasons are twofold. </w:t>
      </w:r>
      <w:r w:rsidRPr="00AA479F">
        <w:rPr>
          <w:color w:val="000000"/>
        </w:rPr>
        <w:t xml:space="preserve"> </w:t>
      </w:r>
      <w:r>
        <w:rPr>
          <w:color w:val="000000"/>
        </w:rPr>
        <w:t xml:space="preserve">First, the </w:t>
      </w:r>
      <w:r w:rsidRPr="00AA479F">
        <w:rPr>
          <w:color w:val="000000"/>
        </w:rPr>
        <w:t xml:space="preserve">Commission </w:t>
      </w:r>
      <w:r w:rsidRPr="00AA479F" w:rsidR="00437AD2">
        <w:rPr>
          <w:color w:val="000000"/>
        </w:rPr>
        <w:t>has</w:t>
      </w:r>
      <w:r>
        <w:rPr>
          <w:color w:val="000000"/>
        </w:rPr>
        <w:t xml:space="preserve"> broad</w:t>
      </w:r>
      <w:r w:rsidRPr="00AA479F">
        <w:rPr>
          <w:color w:val="000000"/>
        </w:rPr>
        <w:t xml:space="preserve"> discretion to issue forfeitures on a case-by-case basis</w:t>
      </w:r>
      <w:r>
        <w:rPr>
          <w:color w:val="000000"/>
        </w:rPr>
        <w:t>.</w:t>
      </w:r>
      <w:r>
        <w:rPr>
          <w:rStyle w:val="FootnoteReference"/>
          <w:sz w:val="22"/>
        </w:rPr>
        <w:footnoteReference w:id="68"/>
      </w:r>
      <w:r>
        <w:rPr>
          <w:color w:val="000000"/>
        </w:rPr>
        <w:t xml:space="preserve"> </w:t>
      </w:r>
      <w:r w:rsidRPr="00AA479F">
        <w:rPr>
          <w:color w:val="000000"/>
        </w:rPr>
        <w:t xml:space="preserve"> </w:t>
      </w:r>
      <w:r>
        <w:rPr>
          <w:color w:val="000000"/>
        </w:rPr>
        <w:t>Second</w:t>
      </w:r>
      <w:r w:rsidR="00002F4F">
        <w:rPr>
          <w:color w:val="000000"/>
        </w:rPr>
        <w:t xml:space="preserve">, </w:t>
      </w:r>
      <w:r>
        <w:rPr>
          <w:color w:val="000000"/>
        </w:rPr>
        <w:t>and of considerable significance here</w:t>
      </w:r>
      <w:r w:rsidR="00002F4F">
        <w:rPr>
          <w:color w:val="000000"/>
        </w:rPr>
        <w:t xml:space="preserve">, </w:t>
      </w:r>
      <w:r>
        <w:rPr>
          <w:color w:val="000000"/>
        </w:rPr>
        <w:t xml:space="preserve">the Commission </w:t>
      </w:r>
      <w:r w:rsidRPr="00AA479F" w:rsidR="00500FFE">
        <w:t>expects parties to honor agreements made in consent decrees</w:t>
      </w:r>
      <w:r w:rsidR="005D3C12">
        <w:t xml:space="preserve">, and when parties fail to do so, it is a </w:t>
      </w:r>
      <w:r w:rsidR="00B6080C">
        <w:t xml:space="preserve">very </w:t>
      </w:r>
      <w:r w:rsidR="005D3C12">
        <w:t>serious matter</w:t>
      </w:r>
      <w:r w:rsidRPr="00AA479F" w:rsidR="00500FFE">
        <w:t>.</w:t>
      </w:r>
      <w:r>
        <w:rPr>
          <w:rStyle w:val="FootnoteReference"/>
          <w:sz w:val="22"/>
        </w:rPr>
        <w:footnoteReference w:id="69"/>
      </w:r>
      <w:r w:rsidRPr="00AA479F" w:rsidR="00500FFE">
        <w:t xml:space="preserve">  </w:t>
      </w:r>
      <w:r>
        <w:t>T</w:t>
      </w:r>
      <w:r w:rsidRPr="00AA479F" w:rsidR="00500FFE">
        <w:t xml:space="preserve">he </w:t>
      </w:r>
      <w:r>
        <w:t xml:space="preserve">2016 </w:t>
      </w:r>
      <w:r w:rsidRPr="00864A14" w:rsidR="00500FFE">
        <w:rPr>
          <w:i/>
          <w:iCs/>
        </w:rPr>
        <w:t>Consent Decree</w:t>
      </w:r>
      <w:r w:rsidRPr="00AA479F" w:rsidR="00500FFE">
        <w:t xml:space="preserve"> </w:t>
      </w:r>
      <w:r>
        <w:t>plainly</w:t>
      </w:r>
      <w:r w:rsidRPr="00AA479F">
        <w:t xml:space="preserve"> </w:t>
      </w:r>
      <w:r w:rsidRPr="00AA479F" w:rsidR="00500FFE">
        <w:t xml:space="preserve">required Radio License and Cumulus to report any noncompliance with the </w:t>
      </w:r>
      <w:r w:rsidR="00C90063">
        <w:t>S</w:t>
      </w:r>
      <w:r w:rsidRPr="00AA479F" w:rsidR="00500FFE">
        <w:t xml:space="preserve">ponsorship </w:t>
      </w:r>
      <w:r w:rsidR="00C90063">
        <w:t>I</w:t>
      </w:r>
      <w:r w:rsidRPr="00AA479F" w:rsidR="00C90063">
        <w:t xml:space="preserve">dentification </w:t>
      </w:r>
      <w:r w:rsidR="00C90063">
        <w:t>Laws</w:t>
      </w:r>
      <w:r w:rsidRPr="00AA479F" w:rsidR="00C90063">
        <w:t xml:space="preserve"> </w:t>
      </w:r>
      <w:r w:rsidRPr="00AA479F" w:rsidR="00500FFE">
        <w:t xml:space="preserve">and with the terms and conditions of the </w:t>
      </w:r>
      <w:r w:rsidRPr="000C5E37" w:rsidR="000C5E37">
        <w:rPr>
          <w:i/>
          <w:iCs/>
        </w:rPr>
        <w:t>Consent Decree</w:t>
      </w:r>
      <w:r w:rsidRPr="00AA479F" w:rsidR="00500FFE">
        <w:t xml:space="preserve"> within 15 calendar days after discovery of such noncompliance.</w:t>
      </w:r>
      <w:r>
        <w:rPr>
          <w:rStyle w:val="FootnoteReference"/>
          <w:sz w:val="22"/>
        </w:rPr>
        <w:footnoteReference w:id="70"/>
      </w:r>
      <w:r w:rsidRPr="00AA479F" w:rsidR="00500FFE">
        <w:t xml:space="preserve">  </w:t>
      </w:r>
      <w:r w:rsidR="00D44343">
        <w:t xml:space="preserve">Excusing </w:t>
      </w:r>
      <w:r w:rsidRPr="00AA479F" w:rsidR="00500FFE">
        <w:t xml:space="preserve">Radio License’s and Cumulus’ failure to do so </w:t>
      </w:r>
      <w:r w:rsidR="00D44343">
        <w:t xml:space="preserve">in this case would </w:t>
      </w:r>
      <w:r w:rsidRPr="00A01027" w:rsidR="00500FFE">
        <w:t>undermine</w:t>
      </w:r>
      <w:r w:rsidRPr="00AA479F" w:rsidR="00500FFE">
        <w:t xml:space="preserve"> the efficacy of </w:t>
      </w:r>
      <w:r w:rsidR="00D44343">
        <w:t>the Commission’s us</w:t>
      </w:r>
      <w:r w:rsidR="00423D46">
        <w:t xml:space="preserve">e of </w:t>
      </w:r>
      <w:r w:rsidRPr="00AA479F" w:rsidR="00500FFE">
        <w:t>consent decrees as a means of resolving investigations</w:t>
      </w:r>
      <w:r w:rsidRPr="00AA479F" w:rsidR="00BC5737">
        <w:t xml:space="preserve">, and </w:t>
      </w:r>
      <w:r w:rsidR="009E7A91">
        <w:t>render meaningless</w:t>
      </w:r>
      <w:r w:rsidRPr="00AA479F" w:rsidR="009E7A91">
        <w:t xml:space="preserve"> </w:t>
      </w:r>
      <w:r w:rsidRPr="00AA479F" w:rsidR="00BC5737">
        <w:t>measures designed to ensure</w:t>
      </w:r>
      <w:r w:rsidRPr="00A01027" w:rsidR="00BC5737">
        <w:t xml:space="preserve"> </w:t>
      </w:r>
      <w:r w:rsidR="009E7A91">
        <w:t>licensee</w:t>
      </w:r>
      <w:r w:rsidR="005D3C12">
        <w:t>s’</w:t>
      </w:r>
      <w:r w:rsidRPr="00AA479F" w:rsidR="009E7A91">
        <w:t xml:space="preserve"> </w:t>
      </w:r>
      <w:r w:rsidRPr="00AA479F" w:rsidR="00BC5737">
        <w:t>future compliance with the Act and the Commission’s rules,</w:t>
      </w:r>
      <w:r w:rsidRPr="00AA479F" w:rsidR="00500FFE">
        <w:t xml:space="preserve"> without further expenditure of public resources.</w:t>
      </w:r>
      <w:r>
        <w:rPr>
          <w:rStyle w:val="FootnoteReference"/>
          <w:sz w:val="22"/>
        </w:rPr>
        <w:footnoteReference w:id="71"/>
      </w:r>
      <w:r w:rsidRPr="00AA479F" w:rsidR="00500FFE">
        <w:t xml:space="preserve"> </w:t>
      </w:r>
      <w:r w:rsidRPr="00AA479F" w:rsidR="009F3583">
        <w:t xml:space="preserve"> </w:t>
      </w:r>
      <w:r w:rsidRPr="00775DDF" w:rsidR="002B4353">
        <w:t xml:space="preserve">The </w:t>
      </w:r>
      <w:r w:rsidRPr="000C5E37" w:rsidR="000C5E37">
        <w:rPr>
          <w:i/>
          <w:iCs/>
        </w:rPr>
        <w:t>Consent Decree</w:t>
      </w:r>
      <w:r w:rsidRPr="00775DDF" w:rsidR="002B4353">
        <w:t xml:space="preserve"> is binding on Radio LLC as </w:t>
      </w:r>
      <w:r w:rsidRPr="002B4353" w:rsidR="002B4353">
        <w:t>successor-in-interest to Cumulus.</w:t>
      </w:r>
      <w:r>
        <w:rPr>
          <w:rStyle w:val="FootnoteReference"/>
          <w:sz w:val="22"/>
        </w:rPr>
        <w:footnoteReference w:id="72"/>
      </w:r>
      <w:r w:rsidRPr="002B4353" w:rsidR="002B4353">
        <w:t xml:space="preserve">  In addition, </w:t>
      </w:r>
      <w:r w:rsidRPr="00760F9A" w:rsidR="00760F9A">
        <w:t>Cumulus Media</w:t>
      </w:r>
      <w:r w:rsidR="00231CF0">
        <w:t>,</w:t>
      </w:r>
      <w:r w:rsidRPr="00760F9A" w:rsidR="00760F9A">
        <w:t xml:space="preserve"> Inc., the reorganized debtor, </w:t>
      </w:r>
      <w:r w:rsidR="009E7A91">
        <w:t>specifically accepted</w:t>
      </w:r>
      <w:r w:rsidRPr="00760F9A" w:rsidR="00760F9A">
        <w:t xml:space="preserve"> the Commission</w:t>
      </w:r>
      <w:r w:rsidR="009E7A91">
        <w:t>’s</w:t>
      </w:r>
      <w:r w:rsidRPr="00760F9A" w:rsidR="00760F9A">
        <w:t xml:space="preserve"> authority to enforce the </w:t>
      </w:r>
      <w:r w:rsidRPr="000C5E37" w:rsidR="000C5E37">
        <w:rPr>
          <w:i/>
          <w:iCs/>
        </w:rPr>
        <w:t>Consent Decree</w:t>
      </w:r>
      <w:r w:rsidRPr="00760F9A" w:rsidR="00760F9A">
        <w:t xml:space="preserve"> </w:t>
      </w:r>
      <w:r w:rsidR="009E7A91">
        <w:t>without interposing any bankruptcy defense,</w:t>
      </w:r>
      <w:r>
        <w:rPr>
          <w:rStyle w:val="FootnoteReference"/>
        </w:rPr>
        <w:footnoteReference w:id="73"/>
      </w:r>
      <w:r w:rsidR="00485E5A">
        <w:t xml:space="preserve"> </w:t>
      </w:r>
      <w:r w:rsidR="009E7A91">
        <w:t>and</w:t>
      </w:r>
      <w:r w:rsidR="00485E5A">
        <w:t xml:space="preserve"> Respondent</w:t>
      </w:r>
      <w:r w:rsidRPr="00485E5A" w:rsidR="00485E5A">
        <w:t xml:space="preserve"> does not dispute this point in its </w:t>
      </w:r>
      <w:r w:rsidR="00485E5A">
        <w:t>NAL Response.</w:t>
      </w:r>
      <w:r w:rsidRPr="007B6D51" w:rsidR="00485E5A">
        <w:rPr>
          <w:sz w:val="20"/>
        </w:rPr>
        <w:t xml:space="preserve">  </w:t>
      </w:r>
      <w:r w:rsidRPr="00AA479F" w:rsidR="00500FFE">
        <w:t xml:space="preserve">In this case, the forfeiture amount for violation of the </w:t>
      </w:r>
      <w:r w:rsidRPr="005F4170" w:rsidR="00500FFE">
        <w:rPr>
          <w:i/>
          <w:iCs/>
        </w:rPr>
        <w:t>Consent Decree</w:t>
      </w:r>
      <w:r w:rsidRPr="00AA479F" w:rsidR="00500FFE">
        <w:t xml:space="preserve"> is appropriate.  </w:t>
      </w:r>
    </w:p>
    <w:p w:rsidR="00B16188" w:rsidRPr="00AA479F" w:rsidP="00AA479F" w14:paraId="508B7B51" w14:textId="77777777">
      <w:pPr>
        <w:pStyle w:val="Heading2"/>
      </w:pPr>
      <w:bookmarkStart w:id="74" w:name="_Toc36652534"/>
      <w:bookmarkStart w:id="75" w:name="_Toc52544274"/>
      <w:bookmarkStart w:id="76" w:name="_Toc53656750"/>
      <w:r w:rsidRPr="00AA479F">
        <w:t>No Mitigating Factors Justify a Downward Adjustment of the Forfeiture</w:t>
      </w:r>
      <w:bookmarkEnd w:id="74"/>
      <w:bookmarkEnd w:id="75"/>
      <w:bookmarkEnd w:id="76"/>
    </w:p>
    <w:p w:rsidR="00B16188" w:rsidRPr="00AA479F" w:rsidP="00AA479F" w14:paraId="1206B449" w14:textId="0F1776AD">
      <w:pPr>
        <w:pStyle w:val="ParaNum"/>
      </w:pPr>
      <w:r w:rsidRPr="00AA479F">
        <w:t xml:space="preserve">In its NAL </w:t>
      </w:r>
      <w:r w:rsidRPr="00AA479F" w:rsidR="008B1C93">
        <w:t>R</w:t>
      </w:r>
      <w:r w:rsidRPr="00AA479F">
        <w:t xml:space="preserve">esponse, </w:t>
      </w:r>
      <w:r w:rsidRPr="00AA479F" w:rsidR="007418D1">
        <w:t xml:space="preserve">Respondent </w:t>
      </w:r>
      <w:r w:rsidRPr="00AA479F" w:rsidR="009A6F1E">
        <w:t xml:space="preserve">argues </w:t>
      </w:r>
      <w:r w:rsidRPr="00AA479F" w:rsidR="00437AD2">
        <w:t xml:space="preserve">that </w:t>
      </w:r>
      <w:r w:rsidRPr="00AA479F" w:rsidR="009A6F1E">
        <w:t>we should downwardly adjust</w:t>
      </w:r>
      <w:r w:rsidRPr="00AA479F" w:rsidR="00DB6196">
        <w:t xml:space="preserve"> </w:t>
      </w:r>
      <w:r w:rsidRPr="00AA479F" w:rsidR="00380F46">
        <w:t>the</w:t>
      </w:r>
      <w:r w:rsidRPr="00AA479F" w:rsidR="00830AF3">
        <w:t xml:space="preserve"> </w:t>
      </w:r>
      <w:r w:rsidRPr="00AA479F" w:rsidR="00380F46">
        <w:t xml:space="preserve">forfeiture </w:t>
      </w:r>
      <w:r w:rsidRPr="00AA479F" w:rsidR="00570A8B">
        <w:t xml:space="preserve">due to </w:t>
      </w:r>
      <w:r w:rsidRPr="00AA479F" w:rsidR="00FD6E1E">
        <w:t>mitigating factors</w:t>
      </w:r>
      <w:r w:rsidRPr="00AA479F">
        <w:t xml:space="preserve">.  </w:t>
      </w:r>
      <w:r w:rsidRPr="00AA479F" w:rsidR="00570A8B">
        <w:t xml:space="preserve">None of the factors cited by </w:t>
      </w:r>
      <w:r w:rsidRPr="00AA479F" w:rsidR="007418D1">
        <w:t>Respondent</w:t>
      </w:r>
      <w:r w:rsidRPr="00AA479F" w:rsidR="00570A8B">
        <w:t>, however, support</w:t>
      </w:r>
      <w:r w:rsidRPr="00AA479F" w:rsidR="00FD025D">
        <w:t>s</w:t>
      </w:r>
      <w:r w:rsidRPr="00AA479F" w:rsidR="00570A8B">
        <w:t xml:space="preserve"> </w:t>
      </w:r>
      <w:r w:rsidR="009F1A8C">
        <w:t xml:space="preserve">such </w:t>
      </w:r>
      <w:r w:rsidRPr="00AA479F" w:rsidR="00570A8B">
        <w:t>a</w:t>
      </w:r>
      <w:r w:rsidR="009F1A8C">
        <w:t>n</w:t>
      </w:r>
      <w:r w:rsidRPr="00AA479F" w:rsidR="00570A8B">
        <w:t xml:space="preserve"> adjustment.  </w:t>
      </w:r>
      <w:r w:rsidRPr="00AA479F">
        <w:t xml:space="preserve"> </w:t>
      </w:r>
    </w:p>
    <w:p w:rsidR="00830AF3" w:rsidRPr="00AA479F" w:rsidP="00AA479F" w14:paraId="263F108A" w14:textId="77777777">
      <w:pPr>
        <w:pStyle w:val="Heading3"/>
      </w:pPr>
      <w:bookmarkStart w:id="77" w:name="_Toc36652535"/>
      <w:bookmarkStart w:id="78" w:name="_Toc52544275"/>
      <w:bookmarkStart w:id="79" w:name="_Toc53656751"/>
      <w:r w:rsidRPr="00AA479F">
        <w:t>Respondent</w:t>
      </w:r>
      <w:r w:rsidRPr="00AA479F">
        <w:t>’</w:t>
      </w:r>
      <w:r w:rsidRPr="00AA479F">
        <w:t>s</w:t>
      </w:r>
      <w:r w:rsidRPr="00AA479F" w:rsidR="00A37072">
        <w:t xml:space="preserve"> Industry Standing </w:t>
      </w:r>
      <w:r w:rsidRPr="00AA479F">
        <w:t>Do</w:t>
      </w:r>
      <w:r w:rsidRPr="00AA479F" w:rsidR="004F4F08">
        <w:t>es</w:t>
      </w:r>
      <w:r w:rsidRPr="00AA479F">
        <w:t xml:space="preserve"> Not Support Forfeiture</w:t>
      </w:r>
      <w:bookmarkEnd w:id="77"/>
      <w:r w:rsidRPr="00AA479F">
        <w:t xml:space="preserve"> </w:t>
      </w:r>
      <w:r w:rsidRPr="00AA479F" w:rsidR="00D039A6">
        <w:t>Reduction</w:t>
      </w:r>
      <w:bookmarkEnd w:id="78"/>
      <w:bookmarkEnd w:id="79"/>
    </w:p>
    <w:p w:rsidR="00BA27B5" w:rsidRPr="00AA479F" w:rsidP="00AA479F" w14:paraId="5C6A4490" w14:textId="00D56C43">
      <w:pPr>
        <w:pStyle w:val="ParaNum"/>
      </w:pPr>
      <w:r>
        <w:t xml:space="preserve">Contrary to its assertion, </w:t>
      </w:r>
      <w:r w:rsidRPr="00AA479F" w:rsidR="00A830DE">
        <w:t>Respondent</w:t>
      </w:r>
      <w:r w:rsidRPr="00AA479F" w:rsidR="00500FFE">
        <w:t>’</w:t>
      </w:r>
      <w:r w:rsidRPr="00AA479F" w:rsidR="00A830DE">
        <w:t>s</w:t>
      </w:r>
      <w:r w:rsidRPr="00AA479F" w:rsidR="00500FFE">
        <w:t xml:space="preserve"> </w:t>
      </w:r>
      <w:r w:rsidRPr="00AA479F" w:rsidR="0033511F">
        <w:t xml:space="preserve">alleged </w:t>
      </w:r>
      <w:r w:rsidRPr="00AA479F" w:rsidR="00500FFE">
        <w:t xml:space="preserve">record of </w:t>
      </w:r>
      <w:r>
        <w:t xml:space="preserve">overall </w:t>
      </w:r>
      <w:r w:rsidRPr="00AA479F" w:rsidR="00500FFE">
        <w:t xml:space="preserve">rule compliance does not support a forfeiture reduction.  </w:t>
      </w:r>
      <w:r w:rsidRPr="00AA479F" w:rsidR="00E93466">
        <w:t xml:space="preserve">Respondent </w:t>
      </w:r>
      <w:r w:rsidRPr="00AA479F" w:rsidR="001C5572">
        <w:t>argues th</w:t>
      </w:r>
      <w:r w:rsidRPr="00AA479F" w:rsidR="00533A28">
        <w:t>at when considering the forfeiture here, the</w:t>
      </w:r>
      <w:r w:rsidRPr="00AA479F" w:rsidR="001C5572">
        <w:t xml:space="preserve"> FCC should take into account </w:t>
      </w:r>
      <w:r w:rsidRPr="00AA479F" w:rsidR="00E93466">
        <w:t>Respondent’s</w:t>
      </w:r>
      <w:r w:rsidRPr="00AA479F" w:rsidR="00766875">
        <w:t xml:space="preserve"> </w:t>
      </w:r>
      <w:r w:rsidRPr="00AA479F" w:rsidR="00F53AF0">
        <w:t xml:space="preserve">overall </w:t>
      </w:r>
      <w:r w:rsidRPr="00AA479F" w:rsidR="001C5572">
        <w:t xml:space="preserve">level of </w:t>
      </w:r>
      <w:r w:rsidRPr="00AA479F" w:rsidR="00F53AF0">
        <w:t xml:space="preserve">rule </w:t>
      </w:r>
      <w:r w:rsidRPr="00AA479F" w:rsidR="001C5572">
        <w:t>compliance,</w:t>
      </w:r>
      <w:r>
        <w:rPr>
          <w:rStyle w:val="FootnoteReference"/>
          <w:sz w:val="22"/>
        </w:rPr>
        <w:footnoteReference w:id="74"/>
      </w:r>
      <w:r w:rsidRPr="00AA479F" w:rsidR="001C5572">
        <w:t xml:space="preserve"> </w:t>
      </w:r>
      <w:r w:rsidRPr="00AA479F" w:rsidR="00E924D3">
        <w:t>which it contends is “as good as or better than any other large broadcaster in the industry</w:t>
      </w:r>
      <w:r w:rsidRPr="00AA479F" w:rsidR="004E7BD7">
        <w:t>.</w:t>
      </w:r>
      <w:r w:rsidRPr="00AA479F" w:rsidR="00E924D3">
        <w:t>”</w:t>
      </w:r>
      <w:r>
        <w:rPr>
          <w:rStyle w:val="FootnoteReference"/>
          <w:sz w:val="22"/>
        </w:rPr>
        <w:footnoteReference w:id="75"/>
      </w:r>
      <w:r w:rsidRPr="00AA479F" w:rsidR="006052A8">
        <w:t xml:space="preserve">  In support, </w:t>
      </w:r>
      <w:r w:rsidRPr="00AA479F" w:rsidR="00E93466">
        <w:t xml:space="preserve">Respondent </w:t>
      </w:r>
      <w:r w:rsidRPr="00AA479F" w:rsidR="00F53AF0">
        <w:t>claims</w:t>
      </w:r>
      <w:r w:rsidRPr="00AA479F" w:rsidR="006052A8">
        <w:t xml:space="preserve"> </w:t>
      </w:r>
      <w:r w:rsidRPr="00AA479F" w:rsidR="001C5572">
        <w:t xml:space="preserve">that </w:t>
      </w:r>
      <w:r w:rsidRPr="00AA479F" w:rsidR="00F53AF0">
        <w:t>its</w:t>
      </w:r>
      <w:r w:rsidRPr="00AA479F" w:rsidR="00BA3EE4">
        <w:t xml:space="preserve"> </w:t>
      </w:r>
      <w:r w:rsidRPr="00AA479F" w:rsidR="00F53AF0">
        <w:t>current management has</w:t>
      </w:r>
      <w:r w:rsidRPr="00AA479F" w:rsidR="00BA3EE4">
        <w:t xml:space="preserve"> focused on adherence to</w:t>
      </w:r>
      <w:r w:rsidRPr="00AA479F" w:rsidR="00533A28">
        <w:t xml:space="preserve"> and respect for</w:t>
      </w:r>
      <w:r w:rsidRPr="00AA479F" w:rsidR="00BA3EE4">
        <w:t xml:space="preserve"> Commission rules</w:t>
      </w:r>
      <w:r w:rsidRPr="00AA479F" w:rsidR="001C5572">
        <w:t>;</w:t>
      </w:r>
      <w:r>
        <w:rPr>
          <w:rStyle w:val="FootnoteReference"/>
          <w:sz w:val="22"/>
        </w:rPr>
        <w:footnoteReference w:id="76"/>
      </w:r>
      <w:r w:rsidRPr="00AA479F">
        <w:t xml:space="preserve"> </w:t>
      </w:r>
      <w:r w:rsidRPr="00AA479F" w:rsidR="00F53AF0">
        <w:t>that it enjoys a</w:t>
      </w:r>
      <w:r w:rsidRPr="00AA479F" w:rsidR="00533A28">
        <w:t xml:space="preserve"> </w:t>
      </w:r>
      <w:r w:rsidRPr="00AA479F">
        <w:t>“stellar” reputation in the industry</w:t>
      </w:r>
      <w:r w:rsidRPr="00AA479F" w:rsidR="001C5572">
        <w:t>;</w:t>
      </w:r>
      <w:r>
        <w:rPr>
          <w:rStyle w:val="FootnoteReference"/>
          <w:sz w:val="22"/>
        </w:rPr>
        <w:footnoteReference w:id="77"/>
      </w:r>
      <w:r w:rsidRPr="00AA479F" w:rsidR="0012501B">
        <w:t xml:space="preserve"> </w:t>
      </w:r>
      <w:r w:rsidRPr="00AA479F" w:rsidR="001C5572">
        <w:t xml:space="preserve">and </w:t>
      </w:r>
      <w:r w:rsidRPr="00AA479F" w:rsidR="00533A28">
        <w:t xml:space="preserve">that </w:t>
      </w:r>
      <w:r w:rsidRPr="00AA479F" w:rsidR="00F45956">
        <w:t xml:space="preserve">out of </w:t>
      </w:r>
      <w:r w:rsidRPr="00AA479F" w:rsidR="00E66BD3">
        <w:t xml:space="preserve">approximately 135 million ads </w:t>
      </w:r>
      <w:r w:rsidRPr="00AA479F" w:rsidR="00F53AF0">
        <w:t xml:space="preserve">aired </w:t>
      </w:r>
      <w:r w:rsidRPr="00AA479F" w:rsidR="00E66BD3">
        <w:t xml:space="preserve">during the three-year period covered by the </w:t>
      </w:r>
      <w:r w:rsidRPr="005F4170" w:rsidR="00E66BD3">
        <w:rPr>
          <w:i/>
          <w:iCs/>
        </w:rPr>
        <w:t>Consent Decree</w:t>
      </w:r>
      <w:r w:rsidRPr="00AA479F" w:rsidR="00E66BD3">
        <w:t>,</w:t>
      </w:r>
      <w:r w:rsidRPr="00AA479F" w:rsidR="00F45956">
        <w:t xml:space="preserve"> there were only two occasions of </w:t>
      </w:r>
      <w:r w:rsidRPr="00AA479F" w:rsidR="00533A28">
        <w:t xml:space="preserve">sponsorship identification </w:t>
      </w:r>
      <w:r w:rsidRPr="00AA479F" w:rsidR="00F45956">
        <w:t>noncompliance</w:t>
      </w:r>
      <w:r w:rsidRPr="00AA479F" w:rsidR="00DF7CAA">
        <w:t>.</w:t>
      </w:r>
      <w:r>
        <w:rPr>
          <w:rStyle w:val="FootnoteReference"/>
          <w:sz w:val="22"/>
        </w:rPr>
        <w:footnoteReference w:id="78"/>
      </w:r>
      <w:r w:rsidRPr="00AA479F" w:rsidR="00533A28">
        <w:t xml:space="preserve"> </w:t>
      </w:r>
    </w:p>
    <w:p w:rsidR="00B16188" w:rsidRPr="006A3239" w:rsidP="007B6D51" w14:paraId="73D53E9F" w14:textId="1230879E">
      <w:pPr>
        <w:pStyle w:val="ParaNum"/>
      </w:pPr>
      <w:r w:rsidRPr="00AA479F">
        <w:t xml:space="preserve">Respondent </w:t>
      </w:r>
      <w:r w:rsidRPr="00AA479F" w:rsidR="00F53AF0">
        <w:t xml:space="preserve">fails to </w:t>
      </w:r>
      <w:r w:rsidRPr="00AA479F" w:rsidR="00C36A2A">
        <w:t xml:space="preserve">cite any authority for the proposition that the Commission must apply a forfeiture calculus that </w:t>
      </w:r>
      <w:r w:rsidRPr="00AA479F" w:rsidR="00A149B6">
        <w:t>weighs</w:t>
      </w:r>
      <w:r w:rsidRPr="00AA479F" w:rsidR="00C36A2A">
        <w:t xml:space="preserve"> instances of licensee misconduct against its overall</w:t>
      </w:r>
      <w:r w:rsidRPr="00AA479F" w:rsidR="00570A8B">
        <w:t xml:space="preserve"> opportunities to violate the rules.  Nor does </w:t>
      </w:r>
      <w:r w:rsidRPr="00AA479F">
        <w:t xml:space="preserve">Respondent </w:t>
      </w:r>
      <w:r w:rsidRPr="00AA479F" w:rsidR="00570A8B">
        <w:t xml:space="preserve">demonstrate that we are </w:t>
      </w:r>
      <w:r w:rsidRPr="00AA479F" w:rsidR="00C36A2A">
        <w:t xml:space="preserve">obligated to </w:t>
      </w:r>
      <w:r w:rsidRPr="00AA479F" w:rsidR="00502A40">
        <w:t>consider</w:t>
      </w:r>
      <w:r w:rsidRPr="00AA479F" w:rsidR="00C36A2A">
        <w:t xml:space="preserve"> a licensee’s </w:t>
      </w:r>
      <w:r w:rsidR="00163448">
        <w:t>claims about</w:t>
      </w:r>
      <w:r w:rsidRPr="00AA479F" w:rsidR="00BC5737">
        <w:t xml:space="preserve"> its </w:t>
      </w:r>
      <w:r w:rsidRPr="00AA479F" w:rsidR="00C36A2A">
        <w:t>industry reputation before imposing a forfeiture</w:t>
      </w:r>
      <w:r w:rsidRPr="00AA479F" w:rsidR="00502A40">
        <w:t xml:space="preserve"> or </w:t>
      </w:r>
      <w:r w:rsidRPr="00AA479F" w:rsidR="00CE2D71">
        <w:t xml:space="preserve">to </w:t>
      </w:r>
      <w:r w:rsidRPr="00AA479F" w:rsidR="00502A40">
        <w:t xml:space="preserve">prorate forfeitures based on the licensee’s </w:t>
      </w:r>
      <w:r w:rsidRPr="00AA479F" w:rsidR="00141FAF">
        <w:t xml:space="preserve">record as compared with </w:t>
      </w:r>
      <w:r w:rsidRPr="00AA479F" w:rsidR="00BC5737">
        <w:t xml:space="preserve">that alleged for </w:t>
      </w:r>
      <w:r w:rsidRPr="00AA479F" w:rsidR="00141FAF">
        <w:t>other broadcast group owners.</w:t>
      </w:r>
      <w:r w:rsidRPr="00AA479F" w:rsidR="009B39FC">
        <w:t xml:space="preserve">  </w:t>
      </w:r>
      <w:r w:rsidR="00163448">
        <w:t xml:space="preserve">We </w:t>
      </w:r>
      <w:r w:rsidR="002C206A">
        <w:t xml:space="preserve">also </w:t>
      </w:r>
      <w:r w:rsidR="00163448">
        <w:t xml:space="preserve">reject the notion that we should take a company’s overall size into account as a mitigating factor.  To the contrary, if a corporate entity chooses to acquire many stations, </w:t>
      </w:r>
      <w:r w:rsidR="00F83821">
        <w:t>it must ensure that it scales up</w:t>
      </w:r>
      <w:r w:rsidR="00163448">
        <w:t xml:space="preserve"> </w:t>
      </w:r>
      <w:r w:rsidR="002C206A">
        <w:t xml:space="preserve">its compliance efforts </w:t>
      </w:r>
      <w:r w:rsidR="00163448">
        <w:t xml:space="preserve">accordingly.  </w:t>
      </w:r>
      <w:r w:rsidRPr="00AA479F" w:rsidR="009B39FC">
        <w:t xml:space="preserve">We </w:t>
      </w:r>
      <w:r w:rsidRPr="00AA479F" w:rsidR="00A727B2">
        <w:t>know of no precedent supporting a reduction on those bases</w:t>
      </w:r>
      <w:r w:rsidRPr="00AA479F" w:rsidR="009B39FC">
        <w:t xml:space="preserve">, and </w:t>
      </w:r>
      <w:r w:rsidRPr="00AA479F">
        <w:t xml:space="preserve">Respondent </w:t>
      </w:r>
      <w:r w:rsidRPr="00AA479F" w:rsidR="009B39FC">
        <w:t>provide</w:t>
      </w:r>
      <w:r w:rsidRPr="00AA479F" w:rsidR="00502A40">
        <w:t>s</w:t>
      </w:r>
      <w:r w:rsidRPr="00AA479F" w:rsidR="009B39FC">
        <w:t xml:space="preserve"> none</w:t>
      </w:r>
      <w:r w:rsidRPr="004818DC" w:rsidR="009B39FC">
        <w:t xml:space="preserve">.  </w:t>
      </w:r>
      <w:r w:rsidRPr="004818DC" w:rsidR="006F3435">
        <w:rPr>
          <w:rStyle w:val="CommentReference"/>
          <w:sz w:val="22"/>
          <w:szCs w:val="22"/>
        </w:rPr>
        <w:t>T</w:t>
      </w:r>
      <w:r w:rsidRPr="004818DC" w:rsidR="00415DD9">
        <w:t xml:space="preserve">he relevant Commission rule, section 1.80, provides that a </w:t>
      </w:r>
      <w:r w:rsidRPr="004818DC" w:rsidR="00551253">
        <w:t xml:space="preserve">history of overall compliance </w:t>
      </w:r>
      <w:r w:rsidRPr="004818DC" w:rsidR="00415DD9">
        <w:t>is among the factors that the FCC may consider when determining whether reduction of a proposed monetary penalty is appropriate.</w:t>
      </w:r>
      <w:r>
        <w:rPr>
          <w:rStyle w:val="FootnoteReference"/>
        </w:rPr>
        <w:footnoteReference w:id="79"/>
      </w:r>
      <w:r w:rsidRPr="004818DC" w:rsidR="002A4501">
        <w:t xml:space="preserve"> </w:t>
      </w:r>
      <w:r w:rsidRPr="004818DC" w:rsidR="00F06550">
        <w:t xml:space="preserve"> </w:t>
      </w:r>
      <w:r w:rsidR="0084126D">
        <w:t xml:space="preserve">However, </w:t>
      </w:r>
      <w:r w:rsidRPr="004818DC" w:rsidR="003D1119">
        <w:t>Respondent</w:t>
      </w:r>
      <w:r w:rsidRPr="004818DC" w:rsidR="00F06550">
        <w:t xml:space="preserve"> in this case</w:t>
      </w:r>
      <w:r w:rsidR="00CA3916">
        <w:t xml:space="preserve"> has</w:t>
      </w:r>
      <w:r w:rsidRPr="004818DC" w:rsidR="00F06550">
        <w:t xml:space="preserve"> not only </w:t>
      </w:r>
      <w:r w:rsidR="00163448">
        <w:t xml:space="preserve">violated FCC rules in the past but, with </w:t>
      </w:r>
      <w:r w:rsidRPr="004818DC" w:rsidR="00F06550">
        <w:t xml:space="preserve">respect to sponsorship </w:t>
      </w:r>
      <w:r w:rsidRPr="004818DC" w:rsidR="00551253">
        <w:t>identification</w:t>
      </w:r>
      <w:r w:rsidRPr="004818DC" w:rsidR="00F06550">
        <w:t xml:space="preserve">, </w:t>
      </w:r>
      <w:r w:rsidR="00163448">
        <w:t xml:space="preserve">it has violated the exact </w:t>
      </w:r>
      <w:r w:rsidRPr="004818DC" w:rsidR="00F06550">
        <w:t xml:space="preserve">same </w:t>
      </w:r>
      <w:r w:rsidRPr="004818DC" w:rsidR="00551253">
        <w:t xml:space="preserve">Commission </w:t>
      </w:r>
      <w:r w:rsidRPr="004818DC" w:rsidR="00F06550">
        <w:t>rule.</w:t>
      </w:r>
      <w:r>
        <w:rPr>
          <w:rStyle w:val="FootnoteReference"/>
        </w:rPr>
        <w:footnoteReference w:id="80"/>
      </w:r>
      <w:r w:rsidR="002A4501">
        <w:t xml:space="preserve">  </w:t>
      </w:r>
      <w:r w:rsidRPr="006A3239" w:rsidR="00980CAB">
        <w:t>As such, we decline to reduce the forfeiture on these bases.</w:t>
      </w:r>
    </w:p>
    <w:p w:rsidR="004F4F08" w:rsidRPr="006A3239" w:rsidP="003F66F4" w14:paraId="56D052B2" w14:textId="6ACF77C9">
      <w:pPr>
        <w:pStyle w:val="Heading3"/>
        <w:widowControl/>
      </w:pPr>
      <w:bookmarkStart w:id="80" w:name="_Toc36652536"/>
      <w:bookmarkStart w:id="81" w:name="_Toc52544276"/>
      <w:bookmarkStart w:id="82" w:name="_Toc53656752"/>
      <w:r w:rsidRPr="006A3239">
        <w:t>Respondent’s</w:t>
      </w:r>
      <w:r w:rsidRPr="00A01027" w:rsidR="003D2AF6">
        <w:t xml:space="preserve"> </w:t>
      </w:r>
      <w:r w:rsidR="009E7A91">
        <w:t>Overall</w:t>
      </w:r>
      <w:r w:rsidRPr="006A3239" w:rsidR="009E7A91">
        <w:t xml:space="preserve"> </w:t>
      </w:r>
      <w:r w:rsidRPr="006A3239">
        <w:t xml:space="preserve">Compliance Efforts </w:t>
      </w:r>
      <w:r w:rsidRPr="006A3239" w:rsidR="00F53AF0">
        <w:t xml:space="preserve">During the </w:t>
      </w:r>
      <w:r w:rsidRPr="000C5E37" w:rsidR="000C5E37">
        <w:rPr>
          <w:i/>
          <w:iCs/>
        </w:rPr>
        <w:t>Consent Decree</w:t>
      </w:r>
      <w:r w:rsidRPr="006A3239">
        <w:t xml:space="preserve"> </w:t>
      </w:r>
      <w:r w:rsidRPr="006A3239" w:rsidR="00D039A6">
        <w:t xml:space="preserve">Term </w:t>
      </w:r>
      <w:r w:rsidRPr="006A3239">
        <w:t xml:space="preserve">Do Not Justify </w:t>
      </w:r>
      <w:r w:rsidRPr="006A3239" w:rsidR="00F53AF0">
        <w:t xml:space="preserve">Forfeiture </w:t>
      </w:r>
      <w:r w:rsidRPr="006A3239">
        <w:t>Reduc</w:t>
      </w:r>
      <w:r w:rsidRPr="006A3239" w:rsidR="00F53AF0">
        <w:t>tion</w:t>
      </w:r>
      <w:bookmarkEnd w:id="80"/>
      <w:bookmarkEnd w:id="81"/>
      <w:bookmarkEnd w:id="82"/>
      <w:r w:rsidRPr="006A3239">
        <w:t xml:space="preserve"> </w:t>
      </w:r>
    </w:p>
    <w:p w:rsidR="00B00934" w:rsidRPr="006A3239" w:rsidP="00042E48" w14:paraId="1101571A" w14:textId="731B1BBA">
      <w:pPr>
        <w:pStyle w:val="ParaNum"/>
      </w:pPr>
      <w:r w:rsidRPr="006A3239">
        <w:t xml:space="preserve">Respondent’s </w:t>
      </w:r>
      <w:r w:rsidR="009E7A91">
        <w:t xml:space="preserve">claims </w:t>
      </w:r>
      <w:r w:rsidR="00D85D53">
        <w:t xml:space="preserve">that it complied </w:t>
      </w:r>
      <w:r w:rsidRPr="006A3239">
        <w:t xml:space="preserve">with the </w:t>
      </w:r>
      <w:r w:rsidRPr="005F4170">
        <w:rPr>
          <w:i/>
          <w:iCs/>
        </w:rPr>
        <w:t>Consent Decree</w:t>
      </w:r>
      <w:r w:rsidRPr="006A3239">
        <w:t xml:space="preserve"> </w:t>
      </w:r>
      <w:r w:rsidRPr="006A3239" w:rsidR="00506548">
        <w:t xml:space="preserve">in other respects </w:t>
      </w:r>
      <w:r w:rsidR="009E7A91">
        <w:t>do</w:t>
      </w:r>
      <w:r w:rsidRPr="006A3239">
        <w:t xml:space="preserve"> not justify a lower forfeiture.  </w:t>
      </w:r>
      <w:r w:rsidRPr="006A3239" w:rsidR="00300ECC">
        <w:t xml:space="preserve">In its NAL Response, </w:t>
      </w:r>
      <w:r w:rsidRPr="006A3239" w:rsidR="00E93466">
        <w:t xml:space="preserve">Respondent </w:t>
      </w:r>
      <w:r w:rsidRPr="006A3239" w:rsidR="00300ECC">
        <w:t>describes efforts</w:t>
      </w:r>
      <w:r w:rsidRPr="00A01027" w:rsidR="00300ECC">
        <w:t xml:space="preserve"> </w:t>
      </w:r>
      <w:r w:rsidR="009E7A91">
        <w:t>it made</w:t>
      </w:r>
      <w:r w:rsidRPr="006A3239" w:rsidR="009E7A91">
        <w:t xml:space="preserve"> </w:t>
      </w:r>
      <w:r w:rsidRPr="006A3239" w:rsidR="00300ECC">
        <w:t xml:space="preserve">to comply with the </w:t>
      </w:r>
      <w:r w:rsidRPr="005F4170" w:rsidR="00300ECC">
        <w:rPr>
          <w:i/>
          <w:iCs/>
        </w:rPr>
        <w:t>C</w:t>
      </w:r>
      <w:r w:rsidRPr="005F4170" w:rsidR="00286FD7">
        <w:rPr>
          <w:i/>
          <w:iCs/>
        </w:rPr>
        <w:t>onsent Decree</w:t>
      </w:r>
      <w:r w:rsidRPr="006A3239" w:rsidR="00300ECC">
        <w:t xml:space="preserve">, including </w:t>
      </w:r>
      <w:r w:rsidR="009E7A91">
        <w:t>action</w:t>
      </w:r>
      <w:r w:rsidR="00CA3916">
        <w:t>s</w:t>
      </w:r>
      <w:r w:rsidR="009E7A91">
        <w:t xml:space="preserve"> that</w:t>
      </w:r>
      <w:r w:rsidRPr="006A3239" w:rsidR="009E7A91">
        <w:t xml:space="preserve"> it </w:t>
      </w:r>
      <w:r w:rsidR="00CF1B19">
        <w:t>argues</w:t>
      </w:r>
      <w:r w:rsidRPr="00A01027" w:rsidR="00D35651">
        <w:t xml:space="preserve"> </w:t>
      </w:r>
      <w:r w:rsidR="009E7A91">
        <w:t>go</w:t>
      </w:r>
      <w:r w:rsidRPr="006A3239" w:rsidR="00D35651">
        <w:t xml:space="preserve"> </w:t>
      </w:r>
      <w:r w:rsidRPr="006A3239" w:rsidR="00300ECC">
        <w:t xml:space="preserve">beyond the requirements of the </w:t>
      </w:r>
      <w:r w:rsidRPr="005F4170" w:rsidR="00300ECC">
        <w:rPr>
          <w:i/>
          <w:iCs/>
        </w:rPr>
        <w:t>C</w:t>
      </w:r>
      <w:r w:rsidRPr="005F4170" w:rsidR="00286FD7">
        <w:rPr>
          <w:i/>
          <w:iCs/>
        </w:rPr>
        <w:t>onsent Decree</w:t>
      </w:r>
      <w:r w:rsidR="009E7A91">
        <w:t xml:space="preserve">, and </w:t>
      </w:r>
      <w:r w:rsidR="00CF1B19">
        <w:t xml:space="preserve">that these steps </w:t>
      </w:r>
      <w:r w:rsidR="009E7A91">
        <w:t>justify mitigation</w:t>
      </w:r>
      <w:r w:rsidRPr="006A3239" w:rsidR="00300ECC">
        <w:t>.</w:t>
      </w:r>
      <w:r>
        <w:rPr>
          <w:rStyle w:val="FootnoteReference"/>
          <w:sz w:val="22"/>
        </w:rPr>
        <w:footnoteReference w:id="81"/>
      </w:r>
      <w:r w:rsidRPr="006A3239" w:rsidR="00E93466">
        <w:t xml:space="preserve">  Respondent</w:t>
      </w:r>
      <w:r w:rsidRPr="006A3239" w:rsidR="000F1F3D">
        <w:t xml:space="preserve">, however, fails to </w:t>
      </w:r>
      <w:r w:rsidRPr="006A3239" w:rsidR="00876E1A">
        <w:t xml:space="preserve">demonstrate </w:t>
      </w:r>
      <w:r w:rsidRPr="006A3239" w:rsidR="00D35651">
        <w:t>how such</w:t>
      </w:r>
      <w:r w:rsidRPr="006A3239" w:rsidR="00876E1A">
        <w:t xml:space="preserve"> efforts justify a downward forfeiture adjustme</w:t>
      </w:r>
      <w:r w:rsidRPr="006A3239" w:rsidR="000F1F3D">
        <w:t>nt</w:t>
      </w:r>
      <w:r w:rsidRPr="006A3239" w:rsidR="00CE2D71">
        <w:t>—</w:t>
      </w:r>
      <w:r w:rsidRPr="006A3239" w:rsidR="004A7304">
        <w:t>particularly because its claimed effor</w:t>
      </w:r>
      <w:r w:rsidRPr="006A3239" w:rsidR="001D083A">
        <w:t>t</w:t>
      </w:r>
      <w:r w:rsidRPr="006A3239" w:rsidR="004A7304">
        <w:t>s</w:t>
      </w:r>
      <w:r w:rsidR="009E7A91">
        <w:t>, even if true,</w:t>
      </w:r>
      <w:r w:rsidRPr="006A3239" w:rsidR="004A7304">
        <w:t xml:space="preserve"> did not </w:t>
      </w:r>
      <w:r w:rsidR="0084126D">
        <w:t>prevent</w:t>
      </w:r>
      <w:r w:rsidR="009E7A91">
        <w:t xml:space="preserve"> it from violating</w:t>
      </w:r>
      <w:r w:rsidRPr="006A3239" w:rsidR="009E7A91">
        <w:t xml:space="preserve"> the </w:t>
      </w:r>
      <w:r w:rsidR="006610EA">
        <w:t>S</w:t>
      </w:r>
      <w:r w:rsidRPr="006A3239" w:rsidR="006610EA">
        <w:t xml:space="preserve">ponsorship </w:t>
      </w:r>
      <w:r w:rsidR="006610EA">
        <w:t>I</w:t>
      </w:r>
      <w:r w:rsidRPr="006A3239" w:rsidR="006610EA">
        <w:t xml:space="preserve">dentification </w:t>
      </w:r>
      <w:r w:rsidR="006610EA">
        <w:t>Laws</w:t>
      </w:r>
      <w:r w:rsidRPr="006A3239" w:rsidR="006610EA">
        <w:t xml:space="preserve"> </w:t>
      </w:r>
      <w:r w:rsidRPr="006A3239" w:rsidR="004A7304">
        <w:t>at issue here</w:t>
      </w:r>
      <w:r w:rsidR="00906527">
        <w:t xml:space="preserve"> as well as the </w:t>
      </w:r>
      <w:r w:rsidRPr="00864A14" w:rsidR="00906527">
        <w:rPr>
          <w:i/>
          <w:iCs/>
        </w:rPr>
        <w:t>Consent Decree</w:t>
      </w:r>
      <w:r w:rsidRPr="006A3239" w:rsidR="008C1E67">
        <w:t xml:space="preserve">.  </w:t>
      </w:r>
      <w:r w:rsidR="00CF1B19">
        <w:t>Moreover, t</w:t>
      </w:r>
      <w:r w:rsidRPr="00A01027" w:rsidR="00213C10">
        <w:t xml:space="preserve">he </w:t>
      </w:r>
      <w:r w:rsidRPr="006A3239" w:rsidR="00213C10">
        <w:t xml:space="preserve">Commission </w:t>
      </w:r>
      <w:r w:rsidRPr="006A3239" w:rsidR="00876E1A">
        <w:t xml:space="preserve">expects </w:t>
      </w:r>
      <w:r w:rsidR="00CF1B19">
        <w:t>errant licensees</w:t>
      </w:r>
      <w:r w:rsidRPr="00A01027" w:rsidR="00876E1A">
        <w:t xml:space="preserve"> </w:t>
      </w:r>
      <w:r w:rsidRPr="006A3239" w:rsidR="00876E1A">
        <w:t xml:space="preserve">to implement </w:t>
      </w:r>
      <w:r w:rsidR="00CF1B19">
        <w:t>self-</w:t>
      </w:r>
      <w:r w:rsidRPr="006A3239" w:rsidR="00876E1A">
        <w:t xml:space="preserve">corrective </w:t>
      </w:r>
      <w:r w:rsidRPr="00A01027" w:rsidR="00876E1A">
        <w:t>action</w:t>
      </w:r>
      <w:r w:rsidR="00CF1B19">
        <w:t>s</w:t>
      </w:r>
      <w:r w:rsidRPr="006A3239" w:rsidR="00876E1A">
        <w:t xml:space="preserve"> to bring </w:t>
      </w:r>
      <w:r w:rsidR="00CF1B19">
        <w:t>its conduct</w:t>
      </w:r>
      <w:r w:rsidRPr="006A3239" w:rsidR="00876E1A">
        <w:t xml:space="preserve"> into compliance, and</w:t>
      </w:r>
      <w:r w:rsidRPr="006A3239" w:rsidR="00A8785D">
        <w:t xml:space="preserve">, </w:t>
      </w:r>
      <w:r w:rsidRPr="006A3239" w:rsidR="00876E1A">
        <w:t>therefore</w:t>
      </w:r>
      <w:r w:rsidRPr="006A3239" w:rsidR="00A8785D">
        <w:t>,</w:t>
      </w:r>
      <w:r w:rsidRPr="006A3239" w:rsidR="00876E1A">
        <w:t xml:space="preserve"> such actions</w:t>
      </w:r>
      <w:r w:rsidR="00CF1B19">
        <w:t>, even when successful,</w:t>
      </w:r>
      <w:r w:rsidRPr="006A3239" w:rsidR="00876E1A">
        <w:t xml:space="preserve"> do not nullify or mitigate past violations.</w:t>
      </w:r>
      <w:r>
        <w:rPr>
          <w:rStyle w:val="FootnoteReference"/>
          <w:sz w:val="22"/>
        </w:rPr>
        <w:footnoteReference w:id="82"/>
      </w:r>
      <w:r w:rsidRPr="006A3239" w:rsidR="00876E1A">
        <w:t xml:space="preserve">  Here, </w:t>
      </w:r>
      <w:r w:rsidR="00D40E91">
        <w:t>Respondent’s</w:t>
      </w:r>
      <w:r w:rsidR="00CF1B19">
        <w:t xml:space="preserve"> claimed </w:t>
      </w:r>
      <w:r w:rsidRPr="006A3239" w:rsidR="00876E1A">
        <w:t>compliance with the</w:t>
      </w:r>
      <w:r w:rsidRPr="006A3239" w:rsidR="0006125B">
        <w:t xml:space="preserve"> </w:t>
      </w:r>
      <w:r w:rsidR="006610EA">
        <w:t>S</w:t>
      </w:r>
      <w:r w:rsidRPr="006A3239" w:rsidR="006610EA">
        <w:t xml:space="preserve">ponsorship </w:t>
      </w:r>
      <w:r w:rsidR="006610EA">
        <w:t>I</w:t>
      </w:r>
      <w:r w:rsidRPr="006A3239" w:rsidR="006610EA">
        <w:t xml:space="preserve">dentification </w:t>
      </w:r>
      <w:r w:rsidR="006610EA">
        <w:t>Laws</w:t>
      </w:r>
      <w:r w:rsidRPr="006A3239" w:rsidR="006610EA">
        <w:t xml:space="preserve"> </w:t>
      </w:r>
      <w:r w:rsidRPr="006A3239" w:rsidR="00876E1A">
        <w:t xml:space="preserve">and </w:t>
      </w:r>
      <w:r w:rsidR="00CF1B19">
        <w:t>terms of its</w:t>
      </w:r>
      <w:r w:rsidRPr="006A3239" w:rsidR="00D35651">
        <w:t xml:space="preserve"> </w:t>
      </w:r>
      <w:r w:rsidRPr="005F4170" w:rsidR="00876E1A">
        <w:rPr>
          <w:i/>
          <w:iCs/>
        </w:rPr>
        <w:t>C</w:t>
      </w:r>
      <w:r w:rsidRPr="005F4170" w:rsidR="00286FD7">
        <w:rPr>
          <w:i/>
          <w:iCs/>
        </w:rPr>
        <w:t>onsent Decree</w:t>
      </w:r>
      <w:r w:rsidRPr="006A3239" w:rsidR="00CF1B19">
        <w:t xml:space="preserve"> </w:t>
      </w:r>
      <w:r w:rsidR="00163448">
        <w:t xml:space="preserve">simply corresponds with </w:t>
      </w:r>
      <w:r w:rsidR="00CF1B19">
        <w:t>our</w:t>
      </w:r>
      <w:r w:rsidRPr="006A3239" w:rsidR="00D35651">
        <w:t xml:space="preserve"> </w:t>
      </w:r>
      <w:r w:rsidRPr="006A3239" w:rsidR="00876E1A">
        <w:t xml:space="preserve">minimum </w:t>
      </w:r>
      <w:r w:rsidRPr="006A3239" w:rsidR="00D35651">
        <w:t>expectation</w:t>
      </w:r>
      <w:r w:rsidRPr="006A3239" w:rsidR="00CF1B19">
        <w:t>,</w:t>
      </w:r>
      <w:r>
        <w:rPr>
          <w:rStyle w:val="FootnoteReference"/>
          <w:sz w:val="22"/>
        </w:rPr>
        <w:footnoteReference w:id="83"/>
      </w:r>
      <w:r w:rsidRPr="006A3239" w:rsidR="00BC5737">
        <w:t xml:space="preserve"> </w:t>
      </w:r>
      <w:r w:rsidRPr="006A3239" w:rsidR="00CF1B19">
        <w:t xml:space="preserve">and </w:t>
      </w:r>
      <w:r w:rsidR="00163448">
        <w:t xml:space="preserve">it therefore does </w:t>
      </w:r>
      <w:r w:rsidR="00CF1B19">
        <w:t xml:space="preserve">not </w:t>
      </w:r>
      <w:r w:rsidR="00163448">
        <w:t>justify a forfeiture reduction</w:t>
      </w:r>
      <w:r w:rsidRPr="006A3239" w:rsidR="00213C10">
        <w:t>.</w:t>
      </w:r>
    </w:p>
    <w:p w:rsidR="003B29E9" w:rsidRPr="006A3239" w:rsidP="00AA479F" w14:paraId="7B772B27" w14:textId="333824CF">
      <w:pPr>
        <w:pStyle w:val="Heading3"/>
      </w:pPr>
      <w:bookmarkStart w:id="83" w:name="_Toc36652537"/>
      <w:bookmarkStart w:id="84" w:name="_Toc52544277"/>
      <w:bookmarkStart w:id="85" w:name="_Toc53656753"/>
      <w:r w:rsidRPr="006A3239">
        <w:t>Respondent’s</w:t>
      </w:r>
      <w:r w:rsidRPr="006A3239" w:rsidR="003D2AF6">
        <w:t xml:space="preserve"> </w:t>
      </w:r>
      <w:r w:rsidRPr="006A3239" w:rsidR="00D35651">
        <w:t>Correction of the</w:t>
      </w:r>
      <w:r w:rsidRPr="006A3239" w:rsidR="00AD1534">
        <w:t xml:space="preserve"> </w:t>
      </w:r>
      <w:r w:rsidRPr="006A3239" w:rsidR="00907579">
        <w:t>Alleged</w:t>
      </w:r>
      <w:r w:rsidR="00467835">
        <w:t>ly</w:t>
      </w:r>
      <w:r w:rsidRPr="006A3239" w:rsidR="00907579">
        <w:t xml:space="preserve"> </w:t>
      </w:r>
      <w:r w:rsidRPr="006A3239" w:rsidR="00AD1534">
        <w:t xml:space="preserve">Unintentional Violation </w:t>
      </w:r>
      <w:r w:rsidRPr="006A3239">
        <w:t>Does Not Justify Reducing the Forfeiture Amount</w:t>
      </w:r>
      <w:bookmarkEnd w:id="83"/>
      <w:bookmarkEnd w:id="84"/>
      <w:bookmarkEnd w:id="85"/>
      <w:r w:rsidRPr="006A3239">
        <w:t xml:space="preserve"> </w:t>
      </w:r>
    </w:p>
    <w:p w:rsidR="00C13AEE" w:rsidRPr="006A3239" w:rsidP="00AA479F" w14:paraId="25BF658A" w14:textId="7EC88D86">
      <w:pPr>
        <w:pStyle w:val="ParaNum"/>
      </w:pPr>
      <w:r w:rsidRPr="006A3239">
        <w:t xml:space="preserve">The </w:t>
      </w:r>
      <w:r w:rsidRPr="005F4170">
        <w:rPr>
          <w:i/>
          <w:iCs/>
        </w:rPr>
        <w:t>Consent Decree</w:t>
      </w:r>
      <w:r w:rsidRPr="006A3239">
        <w:t xml:space="preserve"> </w:t>
      </w:r>
      <w:r w:rsidR="001C2315">
        <w:t>expressly</w:t>
      </w:r>
      <w:r w:rsidRPr="006A3239" w:rsidR="001C2315">
        <w:t xml:space="preserve"> </w:t>
      </w:r>
      <w:r w:rsidRPr="006A3239">
        <w:t xml:space="preserve">required Radio License and Cumulus to report any noncompliance with the </w:t>
      </w:r>
      <w:r w:rsidR="00423D46">
        <w:t>S</w:t>
      </w:r>
      <w:r w:rsidRPr="006A3239" w:rsidR="00423D46">
        <w:t xml:space="preserve">ponsorship </w:t>
      </w:r>
      <w:r w:rsidR="00423D46">
        <w:t>I</w:t>
      </w:r>
      <w:r w:rsidRPr="006A3239" w:rsidR="00423D46">
        <w:t xml:space="preserve">dentification </w:t>
      </w:r>
      <w:r w:rsidR="00423D46">
        <w:t>L</w:t>
      </w:r>
      <w:r w:rsidRPr="006A3239" w:rsidR="00423D46">
        <w:t xml:space="preserve">aws </w:t>
      </w:r>
      <w:r w:rsidRPr="006A3239">
        <w:t>within 15</w:t>
      </w:r>
      <w:r w:rsidR="00E86181">
        <w:t xml:space="preserve"> </w:t>
      </w:r>
      <w:r w:rsidRPr="00100A83" w:rsidR="00E86181">
        <w:t>calendar</w:t>
      </w:r>
      <w:r w:rsidRPr="006A3239">
        <w:t xml:space="preserve"> days after discovery of such noncompliance.</w:t>
      </w:r>
      <w:r>
        <w:rPr>
          <w:rStyle w:val="FootnoteReference"/>
          <w:sz w:val="22"/>
        </w:rPr>
        <w:footnoteReference w:id="84"/>
      </w:r>
      <w:r w:rsidRPr="006A3239">
        <w:t xml:space="preserve">  </w:t>
      </w:r>
      <w:r w:rsidRPr="006A3239" w:rsidR="00907579">
        <w:t xml:space="preserve">Respondent’s argument that it did not intentionally violate the </w:t>
      </w:r>
      <w:r w:rsidRPr="005F4170" w:rsidR="00907579">
        <w:rPr>
          <w:i/>
          <w:iCs/>
        </w:rPr>
        <w:t>Consent Decree</w:t>
      </w:r>
      <w:r w:rsidRPr="006A3239" w:rsidR="00907579">
        <w:t xml:space="preserve"> </w:t>
      </w:r>
      <w:r w:rsidR="001C2315">
        <w:t xml:space="preserve">disregards the plain </w:t>
      </w:r>
      <w:r w:rsidRPr="006A3239" w:rsidR="00907579">
        <w:t xml:space="preserve">terms of the </w:t>
      </w:r>
      <w:r w:rsidRPr="005F4170" w:rsidR="00907579">
        <w:rPr>
          <w:i/>
          <w:iCs/>
        </w:rPr>
        <w:t>Consent Decree</w:t>
      </w:r>
      <w:r w:rsidRPr="006A3239" w:rsidR="00907579">
        <w:t xml:space="preserve"> and </w:t>
      </w:r>
      <w:r w:rsidR="001C2315">
        <w:t xml:space="preserve">therefore provides no support for lowering the </w:t>
      </w:r>
      <w:r w:rsidRPr="006A3239" w:rsidR="00907579">
        <w:t xml:space="preserve">forfeiture.  </w:t>
      </w:r>
    </w:p>
    <w:p w:rsidR="00907579" w:rsidRPr="006A3239" w:rsidP="00AA479F" w14:paraId="3AA7280A" w14:textId="13ADE4BE">
      <w:pPr>
        <w:pStyle w:val="ParaNum"/>
      </w:pPr>
      <w:r w:rsidRPr="006A3239">
        <w:t xml:space="preserve">Respondent </w:t>
      </w:r>
      <w:r w:rsidRPr="006A3239">
        <w:t>explains</w:t>
      </w:r>
      <w:r w:rsidRPr="006A3239" w:rsidR="00A81822">
        <w:t xml:space="preserve"> that </w:t>
      </w:r>
      <w:r w:rsidRPr="006A3239" w:rsidR="00B32794">
        <w:t>it</w:t>
      </w:r>
      <w:r w:rsidRPr="006A3239" w:rsidR="002E2C2B">
        <w:t xml:space="preserve">s failure to report the May 2017 Sponsorship ID Violations to the FCC within 15 days in accordance with the </w:t>
      </w:r>
      <w:r w:rsidRPr="005F4170" w:rsidR="002E2C2B">
        <w:rPr>
          <w:i/>
          <w:iCs/>
        </w:rPr>
        <w:t>C</w:t>
      </w:r>
      <w:r w:rsidRPr="005F4170" w:rsidR="00286FD7">
        <w:rPr>
          <w:i/>
          <w:iCs/>
        </w:rPr>
        <w:t>onsent Decree</w:t>
      </w:r>
      <w:r w:rsidRPr="006A3239" w:rsidR="002E2C2B">
        <w:t xml:space="preserve"> was “neither intentional nor deceptive</w:t>
      </w:r>
      <w:r w:rsidRPr="006A3239">
        <w:t>.</w:t>
      </w:r>
      <w:r w:rsidRPr="006A3239" w:rsidR="002E2C2B">
        <w:t>”</w:t>
      </w:r>
      <w:r w:rsidRPr="007B6D51">
        <w:rPr>
          <w:rStyle w:val="FootnoteReference"/>
          <w:sz w:val="22"/>
        </w:rPr>
        <w:t xml:space="preserve"> </w:t>
      </w:r>
      <w:r>
        <w:rPr>
          <w:rStyle w:val="FootnoteReference"/>
          <w:sz w:val="22"/>
        </w:rPr>
        <w:footnoteReference w:id="85"/>
      </w:r>
      <w:r w:rsidRPr="006A3239">
        <w:t xml:space="preserve">  Respondent further explains that such failure was </w:t>
      </w:r>
      <w:r w:rsidRPr="006A3239" w:rsidR="0012271D">
        <w:t>“an oversight due to the mistaken belief, by Cumulus’</w:t>
      </w:r>
      <w:r w:rsidRPr="006A3239">
        <w:t xml:space="preserve"> </w:t>
      </w:r>
      <w:r w:rsidRPr="006A3239" w:rsidR="0012271D">
        <w:t xml:space="preserve">internal regulatory counsel, that the Commission was to be notified in connection with the next </w:t>
      </w:r>
      <w:r w:rsidR="008115AB">
        <w:t>annual</w:t>
      </w:r>
      <w:r w:rsidRPr="006A3239" w:rsidR="008115AB">
        <w:t xml:space="preserve"> </w:t>
      </w:r>
      <w:r w:rsidRPr="006A3239" w:rsidR="0012271D">
        <w:t>report</w:t>
      </w:r>
      <w:r w:rsidRPr="006A3239">
        <w:t>.</w:t>
      </w:r>
      <w:r w:rsidRPr="006A3239" w:rsidR="0012271D">
        <w:t>”</w:t>
      </w:r>
      <w:r>
        <w:rPr>
          <w:rStyle w:val="FootnoteReference"/>
          <w:sz w:val="22"/>
        </w:rPr>
        <w:footnoteReference w:id="86"/>
      </w:r>
      <w:r w:rsidRPr="00AA479F">
        <w:t xml:space="preserve">  According to Respondent, </w:t>
      </w:r>
      <w:r w:rsidRPr="00AA479F" w:rsidR="002D3790">
        <w:t xml:space="preserve">the violation was </w:t>
      </w:r>
      <w:r w:rsidRPr="00AA479F" w:rsidR="00C7517B">
        <w:t xml:space="preserve">voluntarily corrected in the next </w:t>
      </w:r>
      <w:r w:rsidRPr="00AA479F">
        <w:t xml:space="preserve">compliance </w:t>
      </w:r>
      <w:r w:rsidR="00F61438">
        <w:t>report</w:t>
      </w:r>
      <w:r w:rsidRPr="00AA479F" w:rsidR="00C7517B">
        <w:t>.</w:t>
      </w:r>
      <w:r>
        <w:rPr>
          <w:rStyle w:val="FootnoteReference"/>
          <w:sz w:val="22"/>
        </w:rPr>
        <w:footnoteReference w:id="87"/>
      </w:r>
      <w:r w:rsidRPr="00AA479F" w:rsidR="00C13AEE">
        <w:t xml:space="preserve">  </w:t>
      </w:r>
      <w:r w:rsidR="00A32330">
        <w:t xml:space="preserve">Our precedent, however, shows that such </w:t>
      </w:r>
      <w:r w:rsidRPr="00AA479F" w:rsidR="00FE5D63">
        <w:t>circumstances</w:t>
      </w:r>
      <w:r w:rsidR="00A32330">
        <w:t xml:space="preserve"> do </w:t>
      </w:r>
      <w:r w:rsidRPr="00AA479F" w:rsidR="00FE5D63">
        <w:t xml:space="preserve">not </w:t>
      </w:r>
      <w:r w:rsidR="00A32330">
        <w:t xml:space="preserve">mitigate a forfeiture penalty.  The Commission has not </w:t>
      </w:r>
      <w:r w:rsidRPr="00AA479F" w:rsidR="00FE5D63">
        <w:t>downwardly adjusted</w:t>
      </w:r>
      <w:r w:rsidR="00A32330">
        <w:t xml:space="preserve"> forfeitures </w:t>
      </w:r>
      <w:r w:rsidRPr="00AA479F" w:rsidR="00FE5D63">
        <w:t xml:space="preserve">in cases where violators claim their actions or omissions were </w:t>
      </w:r>
      <w:r w:rsidR="00A32330">
        <w:t xml:space="preserve">either (1) </w:t>
      </w:r>
      <w:r w:rsidRPr="00AA479F" w:rsidR="00FE5D63">
        <w:t>due to lack of knowledge or erroneous belief</w:t>
      </w:r>
      <w:r w:rsidRPr="00AA479F" w:rsidR="009416FC">
        <w:t>,</w:t>
      </w:r>
      <w:r>
        <w:rPr>
          <w:rStyle w:val="FootnoteReference"/>
          <w:sz w:val="22"/>
        </w:rPr>
        <w:footnoteReference w:id="88"/>
      </w:r>
      <w:r w:rsidRPr="00AA479F" w:rsidR="009416FC">
        <w:t xml:space="preserve"> or </w:t>
      </w:r>
      <w:r w:rsidR="00A32330">
        <w:t xml:space="preserve">(2) </w:t>
      </w:r>
      <w:r w:rsidRPr="00AA479F" w:rsidR="009416FC">
        <w:t>attributable to agents, contractors, or employees.</w:t>
      </w:r>
      <w:r>
        <w:rPr>
          <w:rStyle w:val="FootnoteReference"/>
          <w:sz w:val="22"/>
        </w:rPr>
        <w:footnoteReference w:id="89"/>
      </w:r>
      <w:r w:rsidRPr="006A3239" w:rsidR="007653DB">
        <w:t xml:space="preserve">  Respondent admits that it immediately was aware of the May 2017 </w:t>
      </w:r>
      <w:r w:rsidRPr="006A3239" w:rsidR="007653DB">
        <w:t>Sponsorship ID Violations</w:t>
      </w:r>
      <w:r w:rsidRPr="006A3239" w:rsidR="00286A2F">
        <w:t xml:space="preserve">, </w:t>
      </w:r>
      <w:r w:rsidRPr="006A3239" w:rsidR="00CF2351">
        <w:t xml:space="preserve">and that </w:t>
      </w:r>
      <w:r w:rsidRPr="006A3239" w:rsidR="00286A2F">
        <w:t>it</w:t>
      </w:r>
      <w:r w:rsidRPr="006A3239" w:rsidR="007653DB">
        <w:t xml:space="preserve"> should have reported them to the Commission within 15 days</w:t>
      </w:r>
      <w:r w:rsidRPr="006A3239" w:rsidR="00286A2F">
        <w:t>, but did not do so</w:t>
      </w:r>
      <w:r w:rsidRPr="006A3239" w:rsidR="007653DB">
        <w:t>.</w:t>
      </w:r>
      <w:r>
        <w:rPr>
          <w:rStyle w:val="FootnoteReference"/>
          <w:sz w:val="22"/>
        </w:rPr>
        <w:footnoteReference w:id="90"/>
      </w:r>
      <w:r w:rsidRPr="006A3239" w:rsidR="007653DB">
        <w:t xml:space="preserve">  </w:t>
      </w:r>
      <w:r w:rsidRPr="006A3239" w:rsidR="0087168E">
        <w:t>A</w:t>
      </w:r>
      <w:r w:rsidRPr="006A3239" w:rsidR="007653DB">
        <w:t xml:space="preserve"> failure to comply with the unambiguous terms of </w:t>
      </w:r>
      <w:r w:rsidRPr="006A3239" w:rsidR="0087168E">
        <w:t>a</w:t>
      </w:r>
      <w:r w:rsidRPr="006A3239" w:rsidR="007653DB">
        <w:t xml:space="preserve"> </w:t>
      </w:r>
      <w:r w:rsidRPr="006A3239" w:rsidR="0087168E">
        <w:t>c</w:t>
      </w:r>
      <w:r w:rsidRPr="006A3239" w:rsidR="007653DB">
        <w:t xml:space="preserve">onsent </w:t>
      </w:r>
      <w:r w:rsidRPr="006A3239" w:rsidR="0087168E">
        <w:t>d</w:t>
      </w:r>
      <w:r w:rsidRPr="006A3239" w:rsidR="007653DB">
        <w:t>ecree</w:t>
      </w:r>
      <w:r w:rsidRPr="006A3239" w:rsidR="00C13AEE">
        <w:t>,</w:t>
      </w:r>
      <w:r w:rsidRPr="006A3239" w:rsidR="0087168E">
        <w:t xml:space="preserve"> as in this case</w:t>
      </w:r>
      <w:r w:rsidR="000F404D">
        <w:t>,</w:t>
      </w:r>
      <w:r w:rsidRPr="006A3239" w:rsidR="007653DB">
        <w:t xml:space="preserve"> reflects a disregard of a Commission order.</w:t>
      </w:r>
      <w:r>
        <w:rPr>
          <w:rStyle w:val="FootnoteReference"/>
          <w:sz w:val="22"/>
        </w:rPr>
        <w:footnoteReference w:id="91"/>
      </w:r>
      <w:r w:rsidRPr="006A3239" w:rsidR="007653DB">
        <w:t> </w:t>
      </w:r>
    </w:p>
    <w:p w:rsidR="00FE5D63" w:rsidRPr="006A3239" w:rsidP="00AA479F" w14:paraId="39B7D75B" w14:textId="5F5C2AD6">
      <w:pPr>
        <w:pStyle w:val="ParaNum"/>
      </w:pPr>
      <w:r w:rsidRPr="006A3239">
        <w:t>It is well established that administrative oversight or inadvertence are not mitigating factors.</w:t>
      </w:r>
      <w:r>
        <w:rPr>
          <w:rStyle w:val="FootnoteReference"/>
          <w:sz w:val="22"/>
        </w:rPr>
        <w:footnoteReference w:id="92"/>
      </w:r>
      <w:r w:rsidRPr="006A3239">
        <w:t xml:space="preserve">  </w:t>
      </w:r>
      <w:r w:rsidRPr="006A3239" w:rsidR="00C36A2A">
        <w:t>We note that “w</w:t>
      </w:r>
      <w:r w:rsidRPr="006A3239">
        <w:t>illfulness</w:t>
      </w:r>
      <w:r w:rsidRPr="006A3239" w:rsidR="00C36A2A">
        <w:t xml:space="preserve">,” as that term has been construed, </w:t>
      </w:r>
      <w:r w:rsidRPr="006A3239">
        <w:t xml:space="preserve">rests on a finding that the violator knowingly </w:t>
      </w:r>
      <w:r w:rsidRPr="006A3239" w:rsidR="00C36A2A">
        <w:t>acted or failed to act</w:t>
      </w:r>
      <w:r w:rsidRPr="006A3239" w:rsidR="00F74127">
        <w:t>—</w:t>
      </w:r>
      <w:r w:rsidRPr="006A3239">
        <w:t>not a finding that the violator intentionally set out to violate</w:t>
      </w:r>
      <w:r w:rsidR="00D3661E">
        <w:t xml:space="preserve"> </w:t>
      </w:r>
      <w:r w:rsidRPr="006A3239">
        <w:t xml:space="preserve">the Act or the </w:t>
      </w:r>
      <w:r w:rsidRPr="006A3239" w:rsidR="0006125B">
        <w:t xml:space="preserve">Commission’s </w:t>
      </w:r>
      <w:r w:rsidRPr="006A3239" w:rsidR="004A7304">
        <w:t>r</w:t>
      </w:r>
      <w:r w:rsidRPr="006A3239">
        <w:t>ules.  Section 312(f)(1) of the Act, which likewise applies to 503(b) of the Act, defines “willful” as the “conscious and deliberate commission or omission of [any] act, irrespective of any intent to violate” the law.</w:t>
      </w:r>
      <w:r>
        <w:rPr>
          <w:vertAlign w:val="superscript"/>
        </w:rPr>
        <w:footnoteReference w:id="93"/>
      </w:r>
      <w:r w:rsidRPr="006A3239">
        <w:t xml:space="preserve">  Thus, </w:t>
      </w:r>
      <w:r w:rsidRPr="006A3239" w:rsidR="00C36A2A">
        <w:t>even i</w:t>
      </w:r>
      <w:r w:rsidRPr="006A3239" w:rsidR="00502A40">
        <w:t>f</w:t>
      </w:r>
      <w:r w:rsidRPr="006A3239" w:rsidR="00C36A2A">
        <w:t xml:space="preserve"> </w:t>
      </w:r>
      <w:r w:rsidRPr="006A3239" w:rsidR="00E93466">
        <w:t xml:space="preserve">Radio License and </w:t>
      </w:r>
      <w:r w:rsidRPr="006A3239">
        <w:t>Cumulus</w:t>
      </w:r>
      <w:r w:rsidRPr="006A3239" w:rsidR="00C36A2A">
        <w:t xml:space="preserve"> did not intend to</w:t>
      </w:r>
      <w:r w:rsidRPr="006A3239">
        <w:t xml:space="preserve"> violate the </w:t>
      </w:r>
      <w:r w:rsidRPr="005F4170">
        <w:rPr>
          <w:i/>
          <w:iCs/>
        </w:rPr>
        <w:t>C</w:t>
      </w:r>
      <w:r w:rsidRPr="005F4170" w:rsidR="00286FD7">
        <w:rPr>
          <w:i/>
          <w:iCs/>
        </w:rPr>
        <w:t>onsent Decree</w:t>
      </w:r>
      <w:r w:rsidRPr="006A3239" w:rsidR="00C36A2A">
        <w:t xml:space="preserve">, that </w:t>
      </w:r>
      <w:r w:rsidR="00F02DA3">
        <w:t xml:space="preserve">mindset </w:t>
      </w:r>
      <w:r w:rsidRPr="006A3239">
        <w:t xml:space="preserve">does not negate the willful nature of </w:t>
      </w:r>
      <w:r w:rsidRPr="006A3239" w:rsidR="00C36A2A">
        <w:t>its</w:t>
      </w:r>
      <w:r w:rsidRPr="006A3239">
        <w:t xml:space="preserve"> violation</w:t>
      </w:r>
      <w:r w:rsidR="00F02DA3">
        <w:t>s</w:t>
      </w:r>
      <w:r w:rsidRPr="006A3239">
        <w:t xml:space="preserve"> or warrant a reduced </w:t>
      </w:r>
      <w:r w:rsidRPr="006A3239" w:rsidR="009416FC">
        <w:t>forfeiture</w:t>
      </w:r>
      <w:r w:rsidRPr="006A3239">
        <w:t xml:space="preserve">. </w:t>
      </w:r>
    </w:p>
    <w:p w:rsidR="00FE5D63" w:rsidRPr="006A3239" w:rsidP="00AA479F" w14:paraId="5CCDA216" w14:textId="7DFB7E8C">
      <w:pPr>
        <w:pStyle w:val="ParaNum"/>
      </w:pPr>
      <w:r>
        <w:t>In addition, we decline to reduce the forfeiture based on Radio License’s and Cumulus’ disclosure of violations of their January 2018 compliance report.  W</w:t>
      </w:r>
      <w:r w:rsidRPr="006A3239">
        <w:t xml:space="preserve">e recognize that forfeitures have been reduced where violators </w:t>
      </w:r>
      <w:r w:rsidRPr="006A3239" w:rsidR="009416FC">
        <w:t xml:space="preserve">have </w:t>
      </w:r>
      <w:r w:rsidRPr="006A3239">
        <w:t>demonstrated that they initiated measures to correct or remedy violations or voluntarily disclosed violations prior to the FCC’s involvement</w:t>
      </w:r>
      <w:r>
        <w:t>.</w:t>
      </w:r>
      <w:r>
        <w:rPr>
          <w:rStyle w:val="FootnoteReference"/>
          <w:sz w:val="22"/>
        </w:rPr>
        <w:footnoteReference w:id="94"/>
      </w:r>
      <w:r w:rsidRPr="006A3239">
        <w:t xml:space="preserve"> </w:t>
      </w:r>
      <w:r>
        <w:t xml:space="preserve"> However, under the </w:t>
      </w:r>
      <w:r w:rsidRPr="005F4170" w:rsidR="009D0D82">
        <w:rPr>
          <w:i/>
          <w:iCs/>
        </w:rPr>
        <w:t>Consent Decree</w:t>
      </w:r>
      <w:r>
        <w:t xml:space="preserve">, </w:t>
      </w:r>
      <w:r w:rsidRPr="006A3239" w:rsidR="00E93466">
        <w:t xml:space="preserve">Radio License’s and </w:t>
      </w:r>
      <w:r w:rsidRPr="006A3239">
        <w:t>Cumulus’</w:t>
      </w:r>
      <w:r w:rsidRPr="006A3239" w:rsidR="00766875">
        <w:t xml:space="preserve"> </w:t>
      </w:r>
      <w:r w:rsidRPr="006A3239">
        <w:t xml:space="preserve">disclosure of the noncompliance in its next required </w:t>
      </w:r>
      <w:r w:rsidR="008115AB">
        <w:t>compliance report</w:t>
      </w:r>
      <w:r w:rsidRPr="006A3239">
        <w:t xml:space="preserve"> was not voluntary, as </w:t>
      </w:r>
      <w:r w:rsidRPr="006A3239" w:rsidR="00E93466">
        <w:t xml:space="preserve">Respondent </w:t>
      </w:r>
      <w:r w:rsidRPr="006A3239">
        <w:t xml:space="preserve">contends.  Rather, </w:t>
      </w:r>
      <w:r>
        <w:t xml:space="preserve">the </w:t>
      </w:r>
      <w:r w:rsidRPr="005F4170">
        <w:rPr>
          <w:i/>
          <w:iCs/>
        </w:rPr>
        <w:t>Consent Decree’s</w:t>
      </w:r>
      <w:r>
        <w:t xml:space="preserve"> terms </w:t>
      </w:r>
      <w:r w:rsidRPr="00D3661E">
        <w:rPr>
          <w:i/>
          <w:iCs/>
        </w:rPr>
        <w:t>required</w:t>
      </w:r>
      <w:r>
        <w:t xml:space="preserve"> </w:t>
      </w:r>
      <w:r w:rsidRPr="006A3239" w:rsidR="00E93466">
        <w:t xml:space="preserve">Radio License and </w:t>
      </w:r>
      <w:r w:rsidRPr="006A3239">
        <w:t xml:space="preserve">Cumulus to report sponsorship </w:t>
      </w:r>
      <w:r w:rsidRPr="006A3239" w:rsidR="009453A1">
        <w:t>identification</w:t>
      </w:r>
      <w:r w:rsidRPr="006A3239">
        <w:t xml:space="preserve"> violations in </w:t>
      </w:r>
      <w:r w:rsidRPr="006A3239" w:rsidR="00E93466">
        <w:t>their</w:t>
      </w:r>
      <w:r w:rsidRPr="006A3239">
        <w:t xml:space="preserve"> compliance report</w:t>
      </w:r>
      <w:r w:rsidRPr="006A3239" w:rsidR="009453A1">
        <w:t>s</w:t>
      </w:r>
      <w:r w:rsidRPr="006A3239">
        <w:t xml:space="preserve"> to the FCC.</w:t>
      </w:r>
      <w:r>
        <w:rPr>
          <w:rStyle w:val="FootnoteReference"/>
          <w:sz w:val="22"/>
        </w:rPr>
        <w:footnoteReference w:id="95"/>
      </w:r>
      <w:r w:rsidRPr="006A3239">
        <w:t xml:space="preserve">  As such, </w:t>
      </w:r>
      <w:r w:rsidRPr="006A3239" w:rsidR="009453A1">
        <w:t xml:space="preserve">when </w:t>
      </w:r>
      <w:r w:rsidRPr="006A3239" w:rsidR="00E93466">
        <w:t xml:space="preserve">Radio License and </w:t>
      </w:r>
      <w:r w:rsidRPr="006A3239" w:rsidR="009453A1">
        <w:t xml:space="preserve">Cumulus reported the May 2017 Sponsorship ID Violations in </w:t>
      </w:r>
      <w:r w:rsidRPr="006A3239" w:rsidR="00E93466">
        <w:t>their</w:t>
      </w:r>
      <w:r w:rsidRPr="006A3239" w:rsidR="009453A1">
        <w:t xml:space="preserve"> January 2018 compliance report, </w:t>
      </w:r>
      <w:r w:rsidRPr="006A3239" w:rsidR="009D0D82">
        <w:t>they</w:t>
      </w:r>
      <w:r w:rsidRPr="006A3239" w:rsidR="00A760C3">
        <w:t xml:space="preserve"> </w:t>
      </w:r>
      <w:r w:rsidRPr="006A3239" w:rsidR="00E93466">
        <w:t xml:space="preserve">were </w:t>
      </w:r>
      <w:r w:rsidRPr="006A3239" w:rsidR="009453A1">
        <w:t>simply</w:t>
      </w:r>
      <w:r w:rsidRPr="006A3239">
        <w:t xml:space="preserve"> </w:t>
      </w:r>
      <w:r w:rsidRPr="006A3239" w:rsidR="004A7304">
        <w:t>adhering to</w:t>
      </w:r>
      <w:r w:rsidRPr="006A3239">
        <w:t xml:space="preserve"> compliance report</w:t>
      </w:r>
      <w:r w:rsidRPr="006A3239" w:rsidR="004A7304">
        <w:t>ing</w:t>
      </w:r>
      <w:r w:rsidRPr="006A3239">
        <w:t xml:space="preserve"> requirements</w:t>
      </w:r>
      <w:r w:rsidRPr="006A3239" w:rsidR="009453A1">
        <w:t xml:space="preserve"> under the </w:t>
      </w:r>
      <w:r w:rsidRPr="005F4170" w:rsidR="009453A1">
        <w:rPr>
          <w:i/>
          <w:iCs/>
        </w:rPr>
        <w:t>C</w:t>
      </w:r>
      <w:r w:rsidRPr="005F4170" w:rsidR="00286FD7">
        <w:rPr>
          <w:i/>
          <w:iCs/>
        </w:rPr>
        <w:t>onsent Decree</w:t>
      </w:r>
      <w:r w:rsidRPr="006A3239">
        <w:t>.</w:t>
      </w:r>
      <w:r w:rsidRPr="006A3239" w:rsidR="006052A8">
        <w:t xml:space="preserve">  </w:t>
      </w:r>
      <w:r w:rsidRPr="006A3239">
        <w:t xml:space="preserve">Based on the circumstances here, we find </w:t>
      </w:r>
      <w:r w:rsidRPr="006A3239" w:rsidR="009D0D82">
        <w:t xml:space="preserve">that </w:t>
      </w:r>
      <w:r w:rsidRPr="006A3239" w:rsidR="00E93466">
        <w:t xml:space="preserve">Radio License’s and </w:t>
      </w:r>
      <w:r w:rsidRPr="006A3239">
        <w:t>Cumulus</w:t>
      </w:r>
      <w:r w:rsidRPr="006A3239" w:rsidR="00766875">
        <w:t xml:space="preserve">’ </w:t>
      </w:r>
      <w:r w:rsidRPr="006A3239" w:rsidR="009453A1">
        <w:t>disclosure</w:t>
      </w:r>
      <w:r w:rsidRPr="006A3239" w:rsidR="009D0D82">
        <w:t xml:space="preserve"> of </w:t>
      </w:r>
      <w:r w:rsidRPr="005F4170" w:rsidR="009D0D82">
        <w:rPr>
          <w:i/>
          <w:iCs/>
        </w:rPr>
        <w:t>Consent Decree</w:t>
      </w:r>
      <w:r w:rsidRPr="006A3239" w:rsidR="009D0D82">
        <w:t xml:space="preserve"> violations</w:t>
      </w:r>
      <w:r w:rsidRPr="006A3239" w:rsidR="009453A1">
        <w:t xml:space="preserve"> </w:t>
      </w:r>
      <w:r w:rsidRPr="006A3239">
        <w:t xml:space="preserve">in its next required </w:t>
      </w:r>
      <w:r w:rsidRPr="006A3239" w:rsidR="00D63AE5">
        <w:t>compliance</w:t>
      </w:r>
      <w:r w:rsidRPr="006A3239">
        <w:t xml:space="preserve"> report </w:t>
      </w:r>
      <w:r w:rsidRPr="006A3239" w:rsidR="009D0D82">
        <w:t xml:space="preserve">does not </w:t>
      </w:r>
      <w:r w:rsidRPr="006A3239">
        <w:t>justif</w:t>
      </w:r>
      <w:r w:rsidRPr="006A3239" w:rsidR="009D0D82">
        <w:t>y</w:t>
      </w:r>
      <w:r w:rsidRPr="006A3239">
        <w:t xml:space="preserve"> a reduced forfeiture.</w:t>
      </w:r>
    </w:p>
    <w:p w:rsidR="003343CA" w:rsidRPr="007B6D51" w:rsidP="00AA479F" w14:paraId="57D012A3" w14:textId="77777777">
      <w:pPr>
        <w:pStyle w:val="Heading1"/>
        <w:rPr>
          <w:rFonts w:ascii="Times New Roman" w:hAnsi="Times New Roman"/>
        </w:rPr>
      </w:pPr>
      <w:bookmarkStart w:id="86" w:name="SR;716"/>
      <w:bookmarkStart w:id="87" w:name="SR;717"/>
      <w:bookmarkStart w:id="88" w:name="_Toc36652538"/>
      <w:bookmarkStart w:id="89" w:name="_Toc52544278"/>
      <w:bookmarkStart w:id="90" w:name="_Toc53656754"/>
      <w:bookmarkEnd w:id="86"/>
      <w:bookmarkEnd w:id="87"/>
      <w:r w:rsidRPr="007B6D51">
        <w:rPr>
          <w:rFonts w:ascii="Times New Roman" w:hAnsi="Times New Roman"/>
        </w:rPr>
        <w:t>CONCLUSION</w:t>
      </w:r>
      <w:bookmarkEnd w:id="88"/>
      <w:bookmarkEnd w:id="89"/>
      <w:bookmarkEnd w:id="90"/>
    </w:p>
    <w:p w:rsidR="005B4CEA" w:rsidRPr="006A3239" w:rsidP="00AA479F" w14:paraId="6467DF97" w14:textId="13D5FF42">
      <w:pPr>
        <w:pStyle w:val="ParaNum"/>
      </w:pPr>
      <w:r w:rsidRPr="006A3239">
        <w:t xml:space="preserve">Based on the record before us and in light of the applicable statutory factors, we </w:t>
      </w:r>
      <w:r w:rsidRPr="006A3239" w:rsidR="000145C6">
        <w:t>conclude</w:t>
      </w:r>
      <w:r w:rsidRPr="006A3239">
        <w:t xml:space="preserve"> that </w:t>
      </w:r>
      <w:r w:rsidRPr="006A3239" w:rsidR="00A9760C">
        <w:t xml:space="preserve">Cumulus, Radio License, Licensing LLC, and Holdings LLC </w:t>
      </w:r>
      <w:r w:rsidRPr="006A3239">
        <w:t>willfully and repeatedly violated</w:t>
      </w:r>
      <w:r w:rsidRPr="006A3239" w:rsidR="00A9760C">
        <w:t xml:space="preserve"> section 317 of the Act and section 73.1212 of the </w:t>
      </w:r>
      <w:r w:rsidRPr="006A3239" w:rsidR="0006125B">
        <w:t xml:space="preserve">Commission’s </w:t>
      </w:r>
      <w:r w:rsidRPr="006A3239" w:rsidR="004A7304">
        <w:t>r</w:t>
      </w:r>
      <w:r w:rsidRPr="006A3239" w:rsidR="00A9760C">
        <w:t xml:space="preserve">ules </w:t>
      </w:r>
      <w:r w:rsidRPr="006A3239">
        <w:t>by</w:t>
      </w:r>
      <w:r w:rsidRPr="006A3239" w:rsidR="00F95EEE">
        <w:t xml:space="preserve"> failing repeatedly to air sponsorship identifications and</w:t>
      </w:r>
      <w:r w:rsidRPr="006A3239" w:rsidR="00DD5D3B">
        <w:t>/or</w:t>
      </w:r>
      <w:r w:rsidRPr="006A3239" w:rsidR="00F95EEE">
        <w:t xml:space="preserve"> for failing to timely notify the FCC about certain of these violations, as required by the </w:t>
      </w:r>
      <w:r w:rsidRPr="005F4170" w:rsidR="00F95EEE">
        <w:rPr>
          <w:i/>
          <w:iCs/>
        </w:rPr>
        <w:t>Consent Decree</w:t>
      </w:r>
      <w:r w:rsidRPr="006A3239">
        <w:t>.</w:t>
      </w:r>
      <w:r w:rsidRPr="006A3239" w:rsidR="001F5C04">
        <w:t xml:space="preserve">  We further conclude that Cumulus, Radio License, Licensing LLC, and Holdings LLC are jointly and severally liable for the $233,000 proposed in the </w:t>
      </w:r>
      <w:r w:rsidRPr="00CB1379" w:rsidR="00CB1379">
        <w:rPr>
          <w:i/>
          <w:iCs/>
        </w:rPr>
        <w:t>NAL</w:t>
      </w:r>
      <w:r w:rsidRPr="006A3239" w:rsidR="001F5C04">
        <w:t xml:space="preserve">.  </w:t>
      </w:r>
      <w:r w:rsidRPr="006A3239">
        <w:t>We decline to reduce</w:t>
      </w:r>
      <w:r w:rsidRPr="006A3239" w:rsidR="00DF5AF5">
        <w:t xml:space="preserve"> </w:t>
      </w:r>
      <w:r w:rsidRPr="006A3239">
        <w:t>the</w:t>
      </w:r>
      <w:r w:rsidRPr="006A3239" w:rsidR="00932FF9">
        <w:t xml:space="preserve"> </w:t>
      </w:r>
      <w:r w:rsidRPr="006A3239">
        <w:t>$</w:t>
      </w:r>
      <w:r w:rsidRPr="006A3239" w:rsidR="00CA37F9">
        <w:t>233,000</w:t>
      </w:r>
      <w:r w:rsidRPr="006A3239">
        <w:t xml:space="preserve"> </w:t>
      </w:r>
      <w:r w:rsidRPr="006A3239" w:rsidR="00932FF9">
        <w:t xml:space="preserve">forfeiture </w:t>
      </w:r>
      <w:r w:rsidRPr="006A3239">
        <w:t xml:space="preserve">proposed in the </w:t>
      </w:r>
      <w:r w:rsidRPr="00CB1379" w:rsidR="00CB1379">
        <w:rPr>
          <w:i/>
          <w:iCs/>
        </w:rPr>
        <w:t>NAL</w:t>
      </w:r>
      <w:r w:rsidRPr="006A3239">
        <w:t xml:space="preserve">.  </w:t>
      </w:r>
      <w:r w:rsidRPr="006A3239" w:rsidR="003343CA">
        <w:t xml:space="preserve"> </w:t>
      </w:r>
    </w:p>
    <w:p w:rsidR="003343CA" w:rsidRPr="007B6D51" w:rsidP="00AA479F" w14:paraId="7FF97EAA" w14:textId="77777777">
      <w:pPr>
        <w:pStyle w:val="Heading1"/>
        <w:rPr>
          <w:rFonts w:ascii="Times New Roman" w:hAnsi="Times New Roman"/>
        </w:rPr>
      </w:pPr>
      <w:bookmarkStart w:id="91" w:name="_Toc36652539"/>
      <w:bookmarkStart w:id="92" w:name="_Toc52544279"/>
      <w:bookmarkStart w:id="93" w:name="_Toc53656755"/>
      <w:r w:rsidRPr="007B6D51">
        <w:rPr>
          <w:rFonts w:ascii="Times New Roman" w:hAnsi="Times New Roman"/>
        </w:rPr>
        <w:t>ORDERING CLAUSES</w:t>
      </w:r>
      <w:bookmarkEnd w:id="91"/>
      <w:bookmarkEnd w:id="92"/>
      <w:bookmarkEnd w:id="93"/>
    </w:p>
    <w:p w:rsidR="003343CA" w:rsidRPr="006A3239" w:rsidP="001434D3" w14:paraId="217D45A8" w14:textId="212FE158">
      <w:pPr>
        <w:pStyle w:val="ParaNum"/>
      </w:pPr>
      <w:r w:rsidRPr="006A3239">
        <w:t xml:space="preserve">Accordingly, </w:t>
      </w:r>
      <w:r w:rsidRPr="005B239E">
        <w:rPr>
          <w:b/>
        </w:rPr>
        <w:t>IT IS ORDERED</w:t>
      </w:r>
      <w:r w:rsidRPr="005B239E" w:rsidR="00F23F1E">
        <w:rPr>
          <w:b/>
        </w:rPr>
        <w:t xml:space="preserve"> </w:t>
      </w:r>
      <w:r w:rsidRPr="006A3239" w:rsidR="00F23F1E">
        <w:t>that</w:t>
      </w:r>
      <w:r w:rsidRPr="006A3239">
        <w:t xml:space="preserve">, pursuant to </w:t>
      </w:r>
      <w:r w:rsidRPr="006A3239" w:rsidR="00E92590">
        <w:t>s</w:t>
      </w:r>
      <w:r w:rsidRPr="006A3239">
        <w:t>ection 503(b) of the</w:t>
      </w:r>
      <w:r w:rsidRPr="006A3239" w:rsidR="00F23F1E">
        <w:t xml:space="preserve"> Act</w:t>
      </w:r>
      <w:r w:rsidRPr="006A3239">
        <w:t>,</w:t>
      </w:r>
      <w:r>
        <w:rPr>
          <w:rStyle w:val="FootnoteReference"/>
          <w:sz w:val="22"/>
        </w:rPr>
        <w:footnoteReference w:id="96"/>
      </w:r>
      <w:r w:rsidRPr="006A3239">
        <w:t xml:space="preserve"> and </w:t>
      </w:r>
      <w:r w:rsidRPr="006A3239" w:rsidR="00E92590">
        <w:t>s</w:t>
      </w:r>
      <w:r w:rsidRPr="006A3239">
        <w:t xml:space="preserve">ection 1.80 of the </w:t>
      </w:r>
      <w:r w:rsidRPr="006A3239" w:rsidR="0006125B">
        <w:t xml:space="preserve">Commission’s </w:t>
      </w:r>
      <w:r w:rsidRPr="006A3239" w:rsidR="004A7304">
        <w:t>r</w:t>
      </w:r>
      <w:r w:rsidRPr="006A3239">
        <w:t>ules,</w:t>
      </w:r>
      <w:r>
        <w:rPr>
          <w:rStyle w:val="FootnoteReference"/>
          <w:sz w:val="22"/>
        </w:rPr>
        <w:footnoteReference w:id="97"/>
      </w:r>
      <w:r w:rsidRPr="007E7CFA" w:rsidR="005B239E">
        <w:t xml:space="preserve">Cumulus Radio LLC, Radio License Holding CBC, LLC, Cumulus Licensing LLC, </w:t>
      </w:r>
      <w:r w:rsidR="005B239E">
        <w:t xml:space="preserve">and </w:t>
      </w:r>
      <w:r w:rsidRPr="007E7CFA" w:rsidR="005B239E">
        <w:t>Radio License Holdings LLC</w:t>
      </w:r>
      <w:r w:rsidR="005B239E">
        <w:t xml:space="preserve"> </w:t>
      </w:r>
      <w:r w:rsidRPr="005B239E" w:rsidR="00E92590">
        <w:rPr>
          <w:b/>
        </w:rPr>
        <w:t>ARE</w:t>
      </w:r>
      <w:r w:rsidRPr="005B239E">
        <w:rPr>
          <w:b/>
        </w:rPr>
        <w:t xml:space="preserve"> LIABLE FOR A MONETARY FORFEITURE</w:t>
      </w:r>
      <w:r w:rsidRPr="006A3239">
        <w:t xml:space="preserve"> in the amount of </w:t>
      </w:r>
      <w:r w:rsidRPr="006A3239" w:rsidR="00E92590">
        <w:t xml:space="preserve">two hundred thirty-three thousand dollars ($233,000) </w:t>
      </w:r>
      <w:r w:rsidRPr="006A3239">
        <w:t xml:space="preserve">for willfully </w:t>
      </w:r>
      <w:r w:rsidRPr="006A3239" w:rsidR="00F23F1E">
        <w:t xml:space="preserve">and repeatedly </w:t>
      </w:r>
      <w:r w:rsidRPr="006A3239">
        <w:t>violating</w:t>
      </w:r>
      <w:r w:rsidRPr="006A3239" w:rsidR="00645C19">
        <w:t xml:space="preserve"> section 317 of the Act</w:t>
      </w:r>
      <w:r>
        <w:rPr>
          <w:rStyle w:val="FootnoteReference"/>
          <w:sz w:val="22"/>
        </w:rPr>
        <w:footnoteReference w:id="98"/>
      </w:r>
      <w:r w:rsidRPr="006A3239" w:rsidR="00645C19">
        <w:t xml:space="preserve"> and section 73.1212 of the </w:t>
      </w:r>
      <w:r w:rsidRPr="006A3239" w:rsidR="0006125B">
        <w:t xml:space="preserve">Commission’s </w:t>
      </w:r>
      <w:r w:rsidRPr="006A3239" w:rsidR="004A7304">
        <w:t>r</w:t>
      </w:r>
      <w:r w:rsidRPr="006A3239" w:rsidR="00645C19">
        <w:t>ules,</w:t>
      </w:r>
      <w:r>
        <w:rPr>
          <w:rStyle w:val="FootnoteReference"/>
          <w:sz w:val="22"/>
        </w:rPr>
        <w:footnoteReference w:id="99"/>
      </w:r>
      <w:r w:rsidRPr="006A3239" w:rsidR="00645C19">
        <w:t xml:space="preserve"> and/or violation of the </w:t>
      </w:r>
      <w:r w:rsidRPr="005B239E" w:rsidR="00645C19">
        <w:rPr>
          <w:i/>
          <w:iCs/>
        </w:rPr>
        <w:t>Consent Decree</w:t>
      </w:r>
      <w:r w:rsidRPr="006A3239">
        <w:t>.</w:t>
      </w:r>
    </w:p>
    <w:p w:rsidR="003343CA" w:rsidRPr="006A3239" w:rsidP="00AA479F" w14:paraId="5DE60849" w14:textId="4E8B65BC">
      <w:pPr>
        <w:pStyle w:val="ParaNum"/>
      </w:pPr>
      <w:r w:rsidRPr="006A3239">
        <w:t xml:space="preserve">Payment of the forfeiture shall be made in the manner provided for in </w:t>
      </w:r>
      <w:r w:rsidRPr="006A3239" w:rsidR="00F05507">
        <w:t>s</w:t>
      </w:r>
      <w:r w:rsidRPr="006A3239">
        <w:t xml:space="preserve">ection 1.80 of the </w:t>
      </w:r>
      <w:r w:rsidRPr="006A3239" w:rsidR="0006125B">
        <w:t xml:space="preserve">Commission’s </w:t>
      </w:r>
      <w:r w:rsidRPr="006A3239" w:rsidR="004A7304">
        <w:t>r</w:t>
      </w:r>
      <w:r w:rsidRPr="006A3239">
        <w:t xml:space="preserve">ules within </w:t>
      </w:r>
      <w:r w:rsidRPr="006A3239" w:rsidR="00225854">
        <w:t>thirty (30</w:t>
      </w:r>
      <w:r w:rsidRPr="006A3239">
        <w:t>) calendar days after the release of this Forfeiture Order.</w:t>
      </w:r>
      <w:r>
        <w:rPr>
          <w:rStyle w:val="FootnoteReference"/>
          <w:sz w:val="22"/>
        </w:rPr>
        <w:footnoteReference w:id="100"/>
      </w:r>
      <w:r w:rsidRPr="006A3239">
        <w:t xml:space="preserve">  </w:t>
      </w:r>
      <w:bookmarkStart w:id="94" w:name="_Hlk10631341"/>
      <w:r w:rsidRPr="006A3239" w:rsidR="00F05507">
        <w:t xml:space="preserve">Cumulus Radio LLC, Radio License Holding CBC, LLC, Cumulus Licensing LLC, and Radio License Holdings LLC </w:t>
      </w:r>
      <w:r w:rsidRPr="006A3239" w:rsidR="008D115E">
        <w:t xml:space="preserve">shall send electronic notification of payment to </w:t>
      </w:r>
      <w:r w:rsidRPr="006A3239" w:rsidR="00B346A6">
        <w:t>Jeffrey J. Gee, Christopher J. Sova, Frederick W. Giroux, and Melissa A. Marshall</w:t>
      </w:r>
      <w:r w:rsidRPr="006A3239" w:rsidR="008D115E">
        <w:t xml:space="preserve">, Enforcement Bureau, Federal Communications Commission, at </w:t>
      </w:r>
      <w:hyperlink r:id="rId5" w:history="1">
        <w:r w:rsidRPr="00A01027" w:rsidR="00CA24DD">
          <w:rPr>
            <w:rStyle w:val="Hyperlink"/>
          </w:rPr>
          <w:t>Jeffrey.Gee@fcc.gov</w:t>
        </w:r>
      </w:hyperlink>
      <w:r w:rsidRPr="006A3239" w:rsidR="00CA24DD">
        <w:t xml:space="preserve">, </w:t>
      </w:r>
      <w:hyperlink r:id="rId6" w:history="1">
        <w:r w:rsidRPr="00A01027" w:rsidR="00CA24DD">
          <w:rPr>
            <w:rStyle w:val="Hyperlink"/>
          </w:rPr>
          <w:t>Christopher.Sova@fcc.gov</w:t>
        </w:r>
      </w:hyperlink>
      <w:r w:rsidRPr="006A3239" w:rsidR="00CA24DD">
        <w:t xml:space="preserve">, </w:t>
      </w:r>
      <w:hyperlink r:id="rId7" w:history="1">
        <w:r w:rsidRPr="00A01027" w:rsidR="0067079D">
          <w:rPr>
            <w:rStyle w:val="Hyperlink"/>
          </w:rPr>
          <w:t>Frederick.Giroux@fcc.gov</w:t>
        </w:r>
      </w:hyperlink>
      <w:r w:rsidRPr="006A3239" w:rsidR="00CA24DD">
        <w:t xml:space="preserve">, </w:t>
      </w:r>
      <w:r w:rsidRPr="006A3239" w:rsidR="0098630B">
        <w:t xml:space="preserve">and </w:t>
      </w:r>
      <w:r w:rsidRPr="006A3239" w:rsidR="00CA24DD">
        <w:rPr>
          <w:rStyle w:val="Hyperlink"/>
        </w:rPr>
        <w:t>Melissa.Marshall@fcc.gov</w:t>
      </w:r>
      <w:r w:rsidRPr="006A3239" w:rsidR="00CA24DD">
        <w:t xml:space="preserve"> </w:t>
      </w:r>
      <w:r w:rsidRPr="006A3239" w:rsidR="008D115E">
        <w:t xml:space="preserve">on the date said payment is made.  </w:t>
      </w:r>
      <w:bookmarkEnd w:id="94"/>
      <w:r w:rsidRPr="006A3239">
        <w:t xml:space="preserve">If the forfeiture is not paid within the period specified, the case may be referred to the U.S. Department of Justice for enforcement of the forfeiture pursuant to </w:t>
      </w:r>
      <w:r w:rsidRPr="006A3239" w:rsidR="00CA24DD">
        <w:t>s</w:t>
      </w:r>
      <w:r w:rsidRPr="006A3239">
        <w:t>ection 504(a) of the Act.</w:t>
      </w:r>
      <w:r>
        <w:rPr>
          <w:rStyle w:val="FootnoteReference"/>
          <w:sz w:val="22"/>
        </w:rPr>
        <w:footnoteReference w:id="101"/>
      </w:r>
      <w:r w:rsidRPr="006A3239">
        <w:t xml:space="preserve">  </w:t>
      </w:r>
    </w:p>
    <w:p w:rsidR="003343CA" w:rsidRPr="006A3239" w:rsidP="00AA479F" w14:paraId="5CD8B295" w14:textId="77777777">
      <w:pPr>
        <w:pStyle w:val="ParaNum"/>
      </w:pPr>
      <w:r w:rsidRPr="006A3239">
        <w:t>Payment of the forfeiture must be made by credit card, ACH (Automated Clearing House) debit from a bank account using the Commission’s Fee Filer (the Commission’s online payment system),</w:t>
      </w:r>
      <w:r>
        <w:rPr>
          <w:rStyle w:val="FootnoteReference"/>
          <w:sz w:val="22"/>
        </w:rPr>
        <w:footnoteReference w:id="102"/>
      </w:r>
      <w:r w:rsidRPr="006A3239">
        <w:t xml:space="preserve"> or by wire transfer.  The Commission no longer accepts forfeiture payments by check or money order.  Below are instructions that payors should follow based on the form of payment selected:</w:t>
      </w:r>
    </w:p>
    <w:p w:rsidR="004636A0" w:rsidRPr="006A3239" w:rsidP="007B6D51" w14:paraId="0047E4B6" w14:textId="6DE4354C">
      <w:pPr>
        <w:pStyle w:val="par1"/>
        <w:numPr>
          <w:ilvl w:val="0"/>
          <w:numId w:val="4"/>
        </w:numPr>
        <w:tabs>
          <w:tab w:val="clear" w:pos="1440"/>
        </w:tabs>
        <w:spacing w:after="120"/>
        <w:rPr>
          <w:sz w:val="22"/>
        </w:rPr>
      </w:pPr>
      <w:r w:rsidRPr="006A3239">
        <w:rPr>
          <w:sz w:val="22"/>
        </w:rPr>
        <w:t xml:space="preserve">Payment by wire transfer must be made to ABA Number 021030004, receiving bank TREAS/NYC, and Account Number 27000001.  A completed Form 159 must be faxed to the Federal Communications Commission at 202-418-2843 or e-mailed to </w:t>
      </w:r>
      <w:hyperlink r:id="rId8" w:history="1">
        <w:r w:rsidRPr="001E0305" w:rsidR="00111929">
          <w:rPr>
            <w:rStyle w:val="Hyperlink"/>
            <w:sz w:val="22"/>
          </w:rPr>
          <w:t>RROGWireFaxes@fcc.gov</w:t>
        </w:r>
      </w:hyperlink>
      <w:r w:rsidRPr="006A3239">
        <w:rPr>
          <w:sz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9" w:history="1">
        <w:r w:rsidRPr="001E0305" w:rsidR="00111929">
          <w:rPr>
            <w:rStyle w:val="Hyperlink"/>
            <w:sz w:val="22"/>
          </w:rPr>
          <w:t>https://www.fcc.gov/licensing-databases/fees/wire-transfer</w:t>
        </w:r>
      </w:hyperlink>
      <w:r w:rsidRPr="006A3239">
        <w:rPr>
          <w:sz w:val="22"/>
        </w:rPr>
        <w:t xml:space="preserve">.  </w:t>
      </w:r>
    </w:p>
    <w:p w:rsidR="004636A0" w:rsidRPr="006A3239" w:rsidP="007B6D51" w14:paraId="611DC0C7" w14:textId="69DD9A4E">
      <w:pPr>
        <w:pStyle w:val="par1"/>
        <w:numPr>
          <w:ilvl w:val="0"/>
          <w:numId w:val="4"/>
        </w:numPr>
        <w:tabs>
          <w:tab w:val="clear" w:pos="1440"/>
        </w:tabs>
        <w:spacing w:after="120"/>
        <w:rPr>
          <w:sz w:val="22"/>
        </w:rPr>
      </w:pPr>
      <w:r w:rsidRPr="006A3239">
        <w:rPr>
          <w:sz w:val="22"/>
        </w:rPr>
        <w:t xml:space="preserve">Payment by credit card must be made by using the Commission’s Fee Filer website at </w:t>
      </w:r>
      <w:hyperlink r:id="rId10" w:history="1">
        <w:r w:rsidRPr="001E0305" w:rsidR="00111929">
          <w:rPr>
            <w:rStyle w:val="Hyperlink"/>
            <w:sz w:val="22"/>
          </w:rPr>
          <w:t>https://apps.fcc.gov/FeeFiler/login.cfm</w:t>
        </w:r>
      </w:hyperlink>
      <w:r w:rsidRPr="006A3239">
        <w:rPr>
          <w:sz w:val="22"/>
        </w:rPr>
        <w:t>.  To pay by credit card, log-in using the FRN captioned above.  If payment must be split across FRNs, complete this process for each FRN.  Next, select “Pay bills” on the Fee Filer Menu, and select the bill number associated with the NAL Account</w:t>
      </w:r>
      <w:r w:rsidRPr="007B6D51" w:rsidR="00935307">
        <w:rPr>
          <w:sz w:val="22"/>
        </w:rPr>
        <w:t>—</w:t>
      </w:r>
      <w:r w:rsidRPr="006A3239">
        <w:rPr>
          <w:sz w:val="22"/>
        </w:rPr>
        <w:t>the bill number is the NAL Account number with the first two digits excluded</w:t>
      </w:r>
      <w:r w:rsidRPr="007B6D51" w:rsidR="00935307">
        <w:rPr>
          <w:sz w:val="22"/>
        </w:rPr>
        <w:t>—</w:t>
      </w:r>
      <w:r w:rsidRPr="006A3239">
        <w:rPr>
          <w:sz w:val="22"/>
        </w:rPr>
        <w:t>and then choose the “Pay by Credit Card” option.  Please note that there is a $24,999.99 limit on credit card transactions.</w:t>
      </w:r>
    </w:p>
    <w:p w:rsidR="003343CA" w:rsidRPr="006A3239" w:rsidP="007B6D51" w14:paraId="4D798802" w14:textId="51D4B695">
      <w:pPr>
        <w:pStyle w:val="par1"/>
        <w:numPr>
          <w:ilvl w:val="0"/>
          <w:numId w:val="4"/>
        </w:numPr>
        <w:tabs>
          <w:tab w:val="clear" w:pos="1440"/>
        </w:tabs>
        <w:spacing w:after="120"/>
        <w:rPr>
          <w:sz w:val="22"/>
        </w:rPr>
      </w:pPr>
      <w:r w:rsidRPr="006A3239">
        <w:rPr>
          <w:sz w:val="22"/>
        </w:rPr>
        <w:t xml:space="preserve">Payment by ACH must be made by using the Commission’s Fee Filer website at </w:t>
      </w:r>
      <w:hyperlink r:id="rId10" w:history="1">
        <w:r w:rsidRPr="001E0305" w:rsidR="00111929">
          <w:rPr>
            <w:rStyle w:val="Hyperlink"/>
            <w:sz w:val="22"/>
          </w:rPr>
          <w:t>https://apps.fcc.gov/FeeFiler/login.cfm</w:t>
        </w:r>
      </w:hyperlink>
      <w:r w:rsidRPr="006A3239">
        <w:rPr>
          <w:sz w:val="22"/>
        </w:rPr>
        <w:t>.  To pay by ACH, log in using the FRN captioned above.  If payment must be split across FRNs, complete this process for each FRN.  Next, select “Pay bills” on the Fee Filer Menu and then select the bill number associated to the NAL Account</w:t>
      </w:r>
      <w:r w:rsidRPr="007B6D51" w:rsidR="00807C17">
        <w:rPr>
          <w:sz w:val="22"/>
        </w:rPr>
        <w:t>—</w:t>
      </w:r>
      <w:r w:rsidRPr="006A3239">
        <w:rPr>
          <w:sz w:val="22"/>
        </w:rPr>
        <w:t>the bill number is the NAL Account number with the first two digits excluded</w:t>
      </w:r>
      <w:r w:rsidRPr="007B6D51" w:rsidR="00807C17">
        <w:rPr>
          <w:sz w:val="22"/>
        </w:rPr>
        <w:t>—</w:t>
      </w:r>
      <w:r w:rsidRPr="006A3239">
        <w:rPr>
          <w:sz w:val="22"/>
        </w:rPr>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E0992" w:rsidRPr="00660697" w:rsidP="00660697" w14:paraId="22210729" w14:textId="70B87069">
      <w:pPr>
        <w:pStyle w:val="ParaNum"/>
        <w:widowControl/>
      </w:pPr>
      <w:r w:rsidRPr="006A3239">
        <w:t xml:space="preserve">Any request for making full payment over time under an installment plan should be sent to:  Chief Financial Officer – Financial Operations, Federal Communications Commission, </w:t>
      </w:r>
      <w:r w:rsidRPr="00D560CE" w:rsidR="00D560CE">
        <w:t>45 L Street NE</w:t>
      </w:r>
      <w:r w:rsidRPr="006A3239">
        <w:t>, Washington, DC 20554.</w:t>
      </w:r>
      <w:r>
        <w:rPr>
          <w:rStyle w:val="FootnoteReference"/>
          <w:sz w:val="22"/>
        </w:rPr>
        <w:footnoteReference w:id="103"/>
      </w:r>
      <w:r w:rsidRPr="006A3239">
        <w:t xml:space="preserve">  Questions regarding payment procedures should be directed to the Financial Operations Group Help Desk by telephone, 1-877-480-3201, or by e-mail, </w:t>
      </w:r>
      <w:hyperlink r:id="rId11" w:history="1">
        <w:r w:rsidRPr="00A01027" w:rsidR="00E26BEA">
          <w:rPr>
            <w:rStyle w:val="Hyperlink"/>
          </w:rPr>
          <w:t>ARINQUIRIES@fcc.gov</w:t>
        </w:r>
      </w:hyperlink>
      <w:r w:rsidRPr="00A01027">
        <w:t>.</w:t>
      </w:r>
    </w:p>
    <w:p w:rsidR="003343CA" w:rsidRPr="008572E7" w:rsidP="008572E7" w14:paraId="0682640B" w14:textId="04BB57B9">
      <w:pPr>
        <w:pStyle w:val="ParaNum"/>
      </w:pPr>
      <w:r w:rsidRPr="3EAF0EDE">
        <w:rPr>
          <w:b/>
          <w:bCs/>
        </w:rPr>
        <w:t>IT IS FURTHER ORDERED</w:t>
      </w:r>
      <w:r>
        <w:t xml:space="preserve"> that a copy of this Forfeiture Order shall be sent by first class mail and certified mail, return receipt requested, to Richard S. Denning, Esq., Executive Vice President, General Counsel, and Secretary, Cumulus Media, Inc., Cumulus Radio LLC, and Radio License Holding CBC, LLC, 3280 Peachtree Road NW, Suite 2200, Atlanta, Georgia 30305, and to Mark Lipp, Esq., Fletcher Heald &amp; Hildreth PLC, 1300 N. 17</w:t>
      </w:r>
      <w:r w:rsidRPr="3EAF0EDE">
        <w:rPr>
          <w:vertAlign w:val="superscript"/>
        </w:rPr>
        <w:t>th</w:t>
      </w:r>
      <w:r>
        <w:t xml:space="preserve"> Street, Suite 1100, Arlington, Virginia 22209.</w:t>
      </w:r>
    </w:p>
    <w:p w:rsidR="003343CA" w:rsidRPr="008572E7" w:rsidP="007B6D51" w14:paraId="5344A2AF" w14:textId="77777777">
      <w:pPr>
        <w:spacing w:after="120"/>
      </w:pPr>
    </w:p>
    <w:p w:rsidR="00467835" w:rsidP="0017296B" w14:paraId="62333755" w14:textId="77777777">
      <w:r>
        <w:tab/>
      </w:r>
      <w:r>
        <w:tab/>
      </w:r>
      <w:r>
        <w:tab/>
      </w:r>
      <w:r>
        <w:tab/>
      </w:r>
      <w:r>
        <w:tab/>
      </w:r>
      <w:r>
        <w:tab/>
        <w:t>FEDERAL COMMUNICATIONS COMMISSION</w:t>
      </w:r>
    </w:p>
    <w:p w:rsidR="00467835" w:rsidP="0017296B" w14:paraId="61DE95D6" w14:textId="77777777"/>
    <w:p w:rsidR="00467835" w:rsidP="0017296B" w14:paraId="33272A67" w14:textId="77777777"/>
    <w:p w:rsidR="00467835" w:rsidP="0017296B" w14:paraId="00928E55" w14:textId="77777777"/>
    <w:p w:rsidR="00467835" w:rsidP="0017296B" w14:paraId="116B0F59" w14:textId="77777777"/>
    <w:p w:rsidR="00467835" w:rsidP="0017296B" w14:paraId="53389336" w14:textId="77777777">
      <w:r>
        <w:tab/>
      </w:r>
      <w:r>
        <w:tab/>
      </w:r>
      <w:r>
        <w:tab/>
      </w:r>
      <w:r>
        <w:tab/>
      </w:r>
      <w:r>
        <w:tab/>
      </w:r>
      <w:r>
        <w:tab/>
        <w:t>Marlene H. Dortch</w:t>
      </w:r>
    </w:p>
    <w:p w:rsidR="00467835" w:rsidP="0017296B" w14:paraId="3C7467B4" w14:textId="77777777">
      <w:r>
        <w:tab/>
      </w:r>
      <w:r>
        <w:tab/>
      </w:r>
      <w:r>
        <w:tab/>
      </w:r>
      <w:r>
        <w:tab/>
      </w:r>
      <w:r>
        <w:tab/>
      </w:r>
      <w:r>
        <w:tab/>
        <w:t>Secretary</w:t>
      </w:r>
    </w:p>
    <w:p w:rsidR="003343CA" w:rsidRPr="008572E7" w:rsidP="007B6D51" w14:paraId="0B21EAC1" w14:textId="77777777">
      <w:pPr>
        <w:spacing w:after="120"/>
      </w:pPr>
    </w:p>
    <w:p w:rsidR="001357F7" w:rsidRPr="008572E7" w:rsidP="007B6D51" w14:paraId="0A866015" w14:textId="7812F602">
      <w:pPr>
        <w:spacing w:after="120"/>
      </w:pPr>
    </w:p>
    <w:p w:rsidR="009B0223" w:rsidRPr="008572E7" w:rsidP="007B6D51" w14:paraId="6020CC0F" w14:textId="77777777">
      <w:pPr>
        <w:spacing w:after="120"/>
        <w:ind w:left="4410"/>
      </w:pPr>
    </w:p>
    <w:p w:rsidR="005B5B95" w14:paraId="654151C2" w14:textId="1BA7B3AA">
      <w:r>
        <w:br w:type="page"/>
      </w:r>
    </w:p>
    <w:p w:rsidR="005B5B95" w:rsidRPr="00245AC0" w:rsidP="003F66F4" w14:paraId="366BE859" w14:textId="77777777">
      <w:pPr>
        <w:jc w:val="center"/>
        <w:rPr>
          <w:bCs/>
        </w:rPr>
      </w:pPr>
      <w:bookmarkStart w:id="95" w:name="_Toc50112151"/>
      <w:bookmarkStart w:id="96" w:name="_Toc52544280"/>
      <w:bookmarkStart w:id="97" w:name="_Toc53656756"/>
      <w:r w:rsidRPr="003F66F4">
        <w:rPr>
          <w:b/>
          <w:bCs/>
        </w:rPr>
        <w:t>APPENDIX</w:t>
      </w:r>
      <w:bookmarkEnd w:id="95"/>
      <w:bookmarkEnd w:id="96"/>
      <w:bookmarkEnd w:id="97"/>
    </w:p>
    <w:p w:rsidR="005B5B95" w:rsidRPr="008572E7" w:rsidP="005B5B95" w14:paraId="64BD6E94" w14:textId="77777777">
      <w:pPr>
        <w:spacing w:after="120"/>
        <w:ind w:left="4410"/>
      </w:pPr>
    </w:p>
    <w:p w:rsidR="005B5B95" w:rsidRPr="00864A14" w:rsidP="005B5B95" w14:paraId="52481236" w14:textId="1F39FB94">
      <w:pPr>
        <w:jc w:val="center"/>
        <w:rPr>
          <w:b/>
          <w:bCs/>
          <w:sz w:val="28"/>
          <w:szCs w:val="28"/>
        </w:rPr>
      </w:pPr>
      <w:r w:rsidRPr="00864A14">
        <w:rPr>
          <w:b/>
          <w:bCs/>
          <w:sz w:val="28"/>
          <w:szCs w:val="28"/>
        </w:rPr>
        <w:t>C</w:t>
      </w:r>
      <w:r w:rsidRPr="00864A14" w:rsidR="00467835">
        <w:rPr>
          <w:b/>
          <w:bCs/>
          <w:sz w:val="28"/>
          <w:szCs w:val="28"/>
        </w:rPr>
        <w:t>umulus</w:t>
      </w:r>
      <w:r w:rsidRPr="00864A14">
        <w:rPr>
          <w:b/>
          <w:bCs/>
          <w:sz w:val="28"/>
          <w:szCs w:val="28"/>
        </w:rPr>
        <w:t xml:space="preserve"> M</w:t>
      </w:r>
      <w:r w:rsidRPr="00864A14" w:rsidR="00467835">
        <w:rPr>
          <w:b/>
          <w:bCs/>
          <w:sz w:val="28"/>
          <w:szCs w:val="28"/>
        </w:rPr>
        <w:t>edia</w:t>
      </w:r>
      <w:r w:rsidRPr="00864A14" w:rsidR="00231CF0">
        <w:rPr>
          <w:b/>
          <w:bCs/>
          <w:sz w:val="28"/>
          <w:szCs w:val="28"/>
        </w:rPr>
        <w:t>,</w:t>
      </w:r>
      <w:r w:rsidRPr="00864A14">
        <w:rPr>
          <w:b/>
          <w:bCs/>
          <w:sz w:val="28"/>
          <w:szCs w:val="28"/>
        </w:rPr>
        <w:t xml:space="preserve"> I</w:t>
      </w:r>
      <w:r w:rsidRPr="00864A14" w:rsidR="00467835">
        <w:rPr>
          <w:b/>
          <w:bCs/>
          <w:sz w:val="28"/>
          <w:szCs w:val="28"/>
        </w:rPr>
        <w:t>nc</w:t>
      </w:r>
      <w:r w:rsidRPr="00864A14">
        <w:rPr>
          <w:b/>
          <w:bCs/>
          <w:sz w:val="28"/>
          <w:szCs w:val="28"/>
        </w:rPr>
        <w:t>. O</w:t>
      </w:r>
      <w:r w:rsidRPr="00864A14" w:rsidR="00467835">
        <w:rPr>
          <w:b/>
          <w:bCs/>
          <w:sz w:val="28"/>
          <w:szCs w:val="28"/>
        </w:rPr>
        <w:t>rganizational</w:t>
      </w:r>
      <w:r w:rsidRPr="00864A14">
        <w:rPr>
          <w:b/>
          <w:bCs/>
          <w:sz w:val="28"/>
          <w:szCs w:val="28"/>
        </w:rPr>
        <w:t xml:space="preserve"> C</w:t>
      </w:r>
      <w:r w:rsidRPr="00864A14" w:rsidR="00467835">
        <w:rPr>
          <w:b/>
          <w:bCs/>
          <w:sz w:val="28"/>
          <w:szCs w:val="28"/>
        </w:rPr>
        <w:t>hart</w:t>
      </w:r>
    </w:p>
    <w:p w:rsidR="005B5B95" w:rsidP="005B5B95" w14:paraId="31EF716B" w14:textId="77777777">
      <w:pPr>
        <w:jc w:val="center"/>
        <w:rPr>
          <w:sz w:val="24"/>
          <w:szCs w:val="24"/>
        </w:rPr>
      </w:pPr>
      <w:r w:rsidRPr="009B3457">
        <w:rPr>
          <w:sz w:val="24"/>
          <w:szCs w:val="24"/>
        </w:rPr>
        <w:t>(</w:t>
      </w:r>
      <w:r>
        <w:rPr>
          <w:sz w:val="24"/>
          <w:szCs w:val="24"/>
        </w:rPr>
        <w:t xml:space="preserve">For clarity, </w:t>
      </w:r>
      <w:r w:rsidRPr="008D1F04">
        <w:t>certain</w:t>
      </w:r>
      <w:r w:rsidRPr="009B3457">
        <w:rPr>
          <w:sz w:val="24"/>
          <w:szCs w:val="24"/>
        </w:rPr>
        <w:t xml:space="preserve"> intermediate entities</w:t>
      </w:r>
      <w:r>
        <w:rPr>
          <w:sz w:val="24"/>
          <w:szCs w:val="24"/>
        </w:rPr>
        <w:t xml:space="preserve"> are not shown</w:t>
      </w:r>
      <w:r w:rsidRPr="009B3457">
        <w:rPr>
          <w:sz w:val="24"/>
          <w:szCs w:val="24"/>
        </w:rPr>
        <w:t>)</w:t>
      </w:r>
    </w:p>
    <w:p w:rsidR="005B5B95" w:rsidRPr="009B3457" w:rsidP="005B5B95" w14:paraId="49DEDA81" w14:textId="77777777">
      <w:pPr>
        <w:jc w:val="center"/>
        <w:rPr>
          <w:sz w:val="24"/>
          <w:szCs w:val="24"/>
        </w:rPr>
      </w:pPr>
    </w:p>
    <w:p w:rsidR="005B5B95" w:rsidP="005B5B95" w14:paraId="05716F64" w14:textId="77777777">
      <w:pPr>
        <w:rPr>
          <w:sz w:val="20"/>
        </w:rPr>
      </w:pPr>
      <w:r>
        <w:rPr>
          <w:noProof/>
          <w:sz w:val="28"/>
          <w:szCs w:val="28"/>
        </w:rPr>
        <w:drawing>
          <wp:inline distT="0" distB="0" distL="0" distR="0">
            <wp:extent cx="5943600" cy="5204298"/>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B5B95" w:rsidP="005B5B95" w14:paraId="6BCB11B6" w14:textId="77777777">
      <w:pPr>
        <w:rPr>
          <w:sz w:val="20"/>
        </w:rPr>
      </w:pPr>
    </w:p>
    <w:p w:rsidR="005B5B95" w:rsidP="005B5B95" w14:paraId="687370C5" w14:textId="77777777">
      <w:pPr>
        <w:rPr>
          <w:sz w:val="20"/>
        </w:rPr>
      </w:pPr>
    </w:p>
    <w:p w:rsidR="005B5B95" w:rsidP="005B5B95" w14:paraId="2FBA26EF" w14:textId="77777777">
      <w:pPr>
        <w:rPr>
          <w:sz w:val="20"/>
        </w:rPr>
      </w:pPr>
    </w:p>
    <w:p w:rsidR="005B5B95" w:rsidRPr="00C8684A" w:rsidP="005B5B95" w14:paraId="137471D9" w14:textId="77777777">
      <w:pPr>
        <w:rPr>
          <w:sz w:val="20"/>
        </w:rPr>
      </w:pPr>
      <w:r>
        <w:rPr>
          <w:sz w:val="20"/>
        </w:rPr>
        <w:t>E</w:t>
      </w:r>
      <w:r w:rsidRPr="00C8684A">
        <w:rPr>
          <w:sz w:val="20"/>
        </w:rPr>
        <w:t>ntit</w:t>
      </w:r>
      <w:r>
        <w:rPr>
          <w:sz w:val="20"/>
        </w:rPr>
        <w:t>ies</w:t>
      </w:r>
      <w:r w:rsidRPr="00C8684A">
        <w:rPr>
          <w:sz w:val="20"/>
        </w:rPr>
        <w:t xml:space="preserve"> marked with an asterisk</w:t>
      </w:r>
      <w:r>
        <w:rPr>
          <w:sz w:val="20"/>
        </w:rPr>
        <w:t xml:space="preserve"> (*)</w:t>
      </w:r>
      <w:r w:rsidRPr="00C8684A">
        <w:rPr>
          <w:sz w:val="20"/>
        </w:rPr>
        <w:t xml:space="preserve"> </w:t>
      </w:r>
      <w:r>
        <w:rPr>
          <w:sz w:val="20"/>
        </w:rPr>
        <w:t>are</w:t>
      </w:r>
      <w:r w:rsidRPr="00C8684A">
        <w:rPr>
          <w:sz w:val="20"/>
        </w:rPr>
        <w:t xml:space="preserve"> part</w:t>
      </w:r>
      <w:r>
        <w:rPr>
          <w:sz w:val="20"/>
        </w:rPr>
        <w:t>ies</w:t>
      </w:r>
      <w:r w:rsidRPr="00C8684A">
        <w:rPr>
          <w:sz w:val="20"/>
        </w:rPr>
        <w:t xml:space="preserve"> to this Forfeiture Order.</w:t>
      </w:r>
    </w:p>
    <w:p w:rsidR="005B5B95" w:rsidRPr="00C8684A" w:rsidP="005B5B95" w14:paraId="75404F32" w14:textId="77777777">
      <w:pPr>
        <w:rPr>
          <w:sz w:val="20"/>
        </w:rPr>
      </w:pPr>
    </w:p>
    <w:p w:rsidR="005B5B95" w:rsidRPr="00C8684A" w:rsidP="005B5B95" w14:paraId="3F2B284D" w14:textId="77777777">
      <w:pPr>
        <w:rPr>
          <w:sz w:val="20"/>
        </w:rPr>
      </w:pPr>
      <w:r w:rsidRPr="00C8684A">
        <w:rPr>
          <w:sz w:val="20"/>
        </w:rPr>
        <w:t xml:space="preserve">Source:  Cumulus Media, Inc., Debtor-in-Possession, Applications to Transfer Control of and Assign FCC Authorizations and Licenses, BTC-20180322ABI, </w:t>
      </w:r>
      <w:r w:rsidRPr="00C8684A">
        <w:rPr>
          <w:i/>
          <w:iCs/>
          <w:sz w:val="20"/>
        </w:rPr>
        <w:t>et al</w:t>
      </w:r>
      <w:r w:rsidRPr="00C8684A">
        <w:rPr>
          <w:sz w:val="20"/>
        </w:rPr>
        <w:t xml:space="preserve">., Comprehensive </w:t>
      </w:r>
      <w:r w:rsidRPr="00C8684A">
        <w:rPr>
          <w:sz w:val="20"/>
        </w:rPr>
        <w:t>Exh</w:t>
      </w:r>
      <w:r w:rsidRPr="00C8684A">
        <w:rPr>
          <w:sz w:val="20"/>
        </w:rPr>
        <w:t xml:space="preserve">. (Mar. 22, 2018), </w:t>
      </w:r>
      <w:r w:rsidRPr="00C8684A">
        <w:rPr>
          <w:i/>
          <w:iCs/>
          <w:sz w:val="20"/>
        </w:rPr>
        <w:t>granted with conditions</w:t>
      </w:r>
      <w:r w:rsidRPr="00C8684A">
        <w:rPr>
          <w:sz w:val="20"/>
        </w:rPr>
        <w:t xml:space="preserve">, </w:t>
      </w:r>
      <w:r w:rsidRPr="00C8684A">
        <w:rPr>
          <w:i/>
          <w:iCs/>
          <w:sz w:val="20"/>
        </w:rPr>
        <w:t>Cumulus Media, Inc</w:t>
      </w:r>
      <w:r w:rsidRPr="00C8684A">
        <w:rPr>
          <w:sz w:val="20"/>
        </w:rPr>
        <w:t xml:space="preserve">., Memorandum Opinion and Order, 33 FCC </w:t>
      </w:r>
      <w:r w:rsidRPr="00C8684A">
        <w:rPr>
          <w:sz w:val="20"/>
        </w:rPr>
        <w:t>Rcd</w:t>
      </w:r>
      <w:r w:rsidRPr="00C8684A">
        <w:rPr>
          <w:sz w:val="20"/>
        </w:rPr>
        <w:t xml:space="preserve"> 5243 (MB-AD 2018) (granting transfer of control of Commission authorizations, with conditions, in connection with Cumulus Media, Inc.’s reorganization). </w:t>
      </w:r>
    </w:p>
    <w:p w:rsidR="005B5B95" w:rsidRPr="008572E7" w:rsidP="005B5B95" w14:paraId="75B5E49E" w14:textId="77777777">
      <w:pPr>
        <w:pStyle w:val="ParaNum"/>
        <w:numPr>
          <w:ilvl w:val="0"/>
          <w:numId w:val="0"/>
        </w:numPr>
      </w:pPr>
    </w:p>
    <w:p w:rsidR="00E273E3" w:rsidRPr="008572E7" w:rsidP="008572E7" w14:paraId="0BA43AAE" w14:textId="77777777">
      <w:pPr>
        <w:pStyle w:val="ParaNum"/>
        <w:numPr>
          <w:ilvl w:val="0"/>
          <w:numId w:val="0"/>
        </w:numPr>
      </w:pPr>
    </w:p>
    <w:sectPr w:rsidSect="000E3525">
      <w:headerReference w:type="default" r:id="rId17"/>
      <w:footerReference w:type="even" r:id="rId18"/>
      <w:footerReference w:type="default" r:id="rId19"/>
      <w:headerReference w:type="first" r:id="rId2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B1379" w14:paraId="75442A94" w14:textId="77777777">
    <w:pPr>
      <w:pStyle w:val="Footer"/>
      <w:framePr w:wrap="around" w:vAnchor="text" w:hAnchor="margin" w:xAlign="center" w:y="1"/>
    </w:pPr>
    <w:r>
      <w:fldChar w:fldCharType="begin"/>
    </w:r>
    <w:r>
      <w:instrText xml:space="preserve">PAGE  </w:instrText>
    </w:r>
    <w:r>
      <w:fldChar w:fldCharType="separate"/>
    </w:r>
    <w:r>
      <w:fldChar w:fldCharType="end"/>
    </w:r>
  </w:p>
  <w:p w:rsidR="00CB1379" w14:paraId="532261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B1379" w:rsidRPr="00AA479F" w14:paraId="6EDDAB04" w14:textId="77777777">
    <w:pPr>
      <w:pStyle w:val="Footer"/>
      <w:framePr w:wrap="around" w:vAnchor="text" w:hAnchor="margin" w:xAlign="center" w:y="1"/>
    </w:pPr>
    <w:r w:rsidRPr="00AA479F">
      <w:fldChar w:fldCharType="begin"/>
    </w:r>
    <w:r w:rsidRPr="00A01027">
      <w:instrText xml:space="preserve">PAGE  </w:instrText>
    </w:r>
    <w:r w:rsidRPr="00AA479F">
      <w:fldChar w:fldCharType="separate"/>
    </w:r>
    <w:r w:rsidRPr="00A01027">
      <w:t>2</w:t>
    </w:r>
    <w:r w:rsidRPr="00AA479F">
      <w:fldChar w:fldCharType="end"/>
    </w:r>
  </w:p>
  <w:p w:rsidR="00CB1379" w:rsidRPr="00AA479F" w14:paraId="48F6AF37"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D73CB2" w14:paraId="4542171E" w14:textId="77777777">
      <w:r>
        <w:separator/>
      </w:r>
    </w:p>
  </w:footnote>
  <w:footnote w:type="continuationSeparator" w:id="1">
    <w:p w:rsidR="00D73CB2" w14:paraId="56B8DE9A" w14:textId="77777777">
      <w:pPr>
        <w:rPr>
          <w:sz w:val="20"/>
        </w:rPr>
      </w:pPr>
      <w:r w:rsidRPr="003F0300">
        <w:rPr>
          <w:sz w:val="20"/>
        </w:rPr>
        <w:t>(Continued from previous page)</w:t>
      </w:r>
      <w:r>
        <w:rPr>
          <w:sz w:val="20"/>
        </w:rPr>
        <w:t xml:space="preserve">  </w:t>
      </w:r>
      <w:r>
        <w:rPr>
          <w:sz w:val="20"/>
        </w:rPr>
        <w:separator/>
      </w:r>
    </w:p>
  </w:footnote>
  <w:footnote w:type="continuationNotice" w:id="2">
    <w:p w:rsidR="00D73CB2" w:rsidRPr="003F0300" w14:paraId="0169B815" w14:textId="77777777">
      <w:pPr>
        <w:rPr>
          <w:sz w:val="20"/>
        </w:rPr>
      </w:pPr>
      <w:r w:rsidRPr="003F0300">
        <w:rPr>
          <w:sz w:val="20"/>
        </w:rPr>
        <w:t>(continued….)</w:t>
      </w:r>
    </w:p>
  </w:footnote>
  <w:footnote w:id="3">
    <w:p w:rsidR="00CB1379" w:rsidRPr="003F6A38" w:rsidP="003F6A38" w14:paraId="36434EAA" w14:textId="5F4A6D68">
      <w:pPr>
        <w:pStyle w:val="FootnoteText"/>
      </w:pPr>
      <w:r w:rsidRPr="003F6A38">
        <w:rPr>
          <w:rStyle w:val="FootnoteReference"/>
        </w:rPr>
        <w:footnoteRef/>
      </w:r>
      <w:r w:rsidRPr="003F6A38">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w:t>
      </w:r>
      <w:r>
        <w:t>in this Forfeiture Order</w:t>
      </w:r>
      <w:r w:rsidRPr="003F6A38">
        <w:t>.</w:t>
      </w:r>
    </w:p>
  </w:footnote>
  <w:footnote w:id="4">
    <w:p w:rsidR="00CB1379" w14:paraId="775BDD74" w14:textId="3FD14EC8">
      <w:pPr>
        <w:pStyle w:val="FootnoteText"/>
      </w:pPr>
      <w:r>
        <w:rPr>
          <w:rStyle w:val="FootnoteReference"/>
        </w:rPr>
        <w:footnoteRef/>
      </w:r>
      <w:r>
        <w:t xml:space="preserve"> </w:t>
      </w:r>
      <w:r w:rsidRPr="003F6A38">
        <w:rPr>
          <w:i/>
        </w:rPr>
        <w:t>Radio License Holding CBC, LLC</w:t>
      </w:r>
      <w:r w:rsidRPr="003F6A38">
        <w:rPr>
          <w:i/>
          <w:iCs/>
        </w:rPr>
        <w:t>; Cumulus Radio Corporation</w:t>
      </w:r>
      <w:r w:rsidRPr="003F6A38">
        <w:t xml:space="preserve">, Order and Consent Decree, 31 FCC </w:t>
      </w:r>
      <w:r w:rsidRPr="003F6A38">
        <w:t>Rcd</w:t>
      </w:r>
      <w:r w:rsidRPr="003F6A38">
        <w:t xml:space="preserve"> 3, 3-4, para. 3 (EB 2016) (</w:t>
      </w:r>
      <w:r w:rsidRPr="005F4170">
        <w:rPr>
          <w:i/>
          <w:iCs/>
        </w:rPr>
        <w:t>Consent Decree</w:t>
      </w:r>
      <w:r>
        <w:t>).</w:t>
      </w:r>
    </w:p>
  </w:footnote>
  <w:footnote w:id="5">
    <w:p w:rsidR="00CB1379" w:rsidRPr="003F6A38" w:rsidP="003F6A38" w14:paraId="4F2D97D7" w14:textId="0E751BC9">
      <w:pPr>
        <w:pStyle w:val="FootnoteText"/>
      </w:pPr>
      <w:r w:rsidRPr="003F6A38">
        <w:rPr>
          <w:rStyle w:val="FootnoteReference"/>
        </w:rPr>
        <w:footnoteRef/>
      </w:r>
      <w:r w:rsidRPr="003F6A38">
        <w:t xml:space="preserve"> </w:t>
      </w:r>
      <w:r w:rsidRPr="003F6A38">
        <w:rPr>
          <w:i/>
          <w:iCs/>
        </w:rPr>
        <w:t>Cumulus Radio LLC et al.</w:t>
      </w:r>
      <w:r w:rsidRPr="003F6A38">
        <w:t xml:space="preserve">, Notice of Apparent Liability for Forfeiture, 34 FCC </w:t>
      </w:r>
      <w:r w:rsidRPr="003F6A38">
        <w:t>Rcd</w:t>
      </w:r>
      <w:r w:rsidRPr="003F6A38">
        <w:t xml:space="preserve"> 7289 (2019) (</w:t>
      </w:r>
      <w:r w:rsidRPr="00CB1379">
        <w:rPr>
          <w:i/>
          <w:iCs/>
        </w:rPr>
        <w:t>NAL</w:t>
      </w:r>
      <w:r w:rsidRPr="003F6A38">
        <w:t xml:space="preserve">).  </w:t>
      </w:r>
    </w:p>
  </w:footnote>
  <w:footnote w:id="6">
    <w:p w:rsidR="00CB1379" w:rsidRPr="003F6A38" w:rsidP="003F6A38" w14:paraId="2326E2E8" w14:textId="77777777">
      <w:pPr>
        <w:pStyle w:val="FootnoteText"/>
      </w:pPr>
      <w:r w:rsidRPr="003F6A38">
        <w:rPr>
          <w:rStyle w:val="FootnoteReference"/>
        </w:rPr>
        <w:footnoteRef/>
      </w:r>
      <w:r w:rsidRPr="003F6A38">
        <w:t xml:space="preserve"> 47 U.S.C. § 317(a)(1).  </w:t>
      </w:r>
    </w:p>
  </w:footnote>
  <w:footnote w:id="7">
    <w:p w:rsidR="00CB1379" w:rsidRPr="003F6A38" w:rsidP="003F6A38" w14:paraId="25DBA2EB" w14:textId="77777777">
      <w:pPr>
        <w:pStyle w:val="FootnoteText"/>
      </w:pPr>
      <w:r w:rsidRPr="003F6A38">
        <w:rPr>
          <w:rStyle w:val="FootnoteReference"/>
        </w:rPr>
        <w:footnoteRef/>
      </w:r>
      <w:r w:rsidRPr="003F6A38">
        <w:t xml:space="preserve"> 47 CFR § 73.1212(a).</w:t>
      </w:r>
    </w:p>
  </w:footnote>
  <w:footnote w:id="8">
    <w:p w:rsidR="00CB1379" w:rsidRPr="003F6A38" w:rsidP="003F6A38" w14:paraId="7605D388" w14:textId="77777777">
      <w:pPr>
        <w:pStyle w:val="FootnoteText"/>
      </w:pPr>
      <w:r w:rsidRPr="003F6A38">
        <w:rPr>
          <w:rStyle w:val="FootnoteReference"/>
        </w:rPr>
        <w:footnoteRef/>
      </w:r>
      <w:r w:rsidRPr="003F6A38">
        <w:t xml:space="preserve"> </w:t>
      </w:r>
      <w:r w:rsidRPr="003F6A38">
        <w:rPr>
          <w:i/>
        </w:rPr>
        <w:t>See, e.g.</w:t>
      </w:r>
      <w:r w:rsidRPr="003F6A38">
        <w:t>,</w:t>
      </w:r>
      <w:r w:rsidRPr="003F6A38">
        <w:rPr>
          <w:i/>
        </w:rPr>
        <w:t xml:space="preserve"> </w:t>
      </w:r>
      <w:r w:rsidRPr="003F6A38">
        <w:rPr>
          <w:bCs/>
          <w:i/>
          <w:iCs/>
        </w:rPr>
        <w:t>Commission</w:t>
      </w:r>
      <w:r w:rsidRPr="003F6A38">
        <w:rPr>
          <w:i/>
          <w:iCs/>
        </w:rPr>
        <w:t xml:space="preserve"> Reminds Broadcast Licensees, Cable Operators and Others of Requirements Applicable to Video News Releases and Seeks Comment on the Use of Video News Releases by Broadcast Licensees and Cable Operators</w:t>
      </w:r>
      <w:r w:rsidRPr="003F6A38">
        <w:rPr>
          <w:iCs/>
        </w:rPr>
        <w:t>,</w:t>
      </w:r>
      <w:r w:rsidRPr="003F6A38">
        <w:t xml:space="preserve"> Public Notice, 20 FCC </w:t>
      </w:r>
      <w:r w:rsidRPr="003F6A38">
        <w:t>Rcd</w:t>
      </w:r>
      <w:r w:rsidRPr="003F6A38">
        <w:t xml:space="preserve"> 8593, 8593–94 (2005). </w:t>
      </w:r>
    </w:p>
  </w:footnote>
  <w:footnote w:id="9">
    <w:p w:rsidR="00CB1379" w:rsidRPr="003F6A38" w:rsidP="003F6A38" w14:paraId="5890F128" w14:textId="77777777">
      <w:pPr>
        <w:pStyle w:val="FootnoteText"/>
      </w:pPr>
      <w:r w:rsidRPr="003F6A38">
        <w:rPr>
          <w:rStyle w:val="FootnoteReference"/>
        </w:rPr>
        <w:footnoteRef/>
      </w:r>
      <w:r w:rsidRPr="003F6A38">
        <w:t xml:space="preserve"> </w:t>
      </w:r>
      <w:r w:rsidRPr="003F6A38">
        <w:rPr>
          <w:i/>
        </w:rPr>
        <w:t xml:space="preserve">See </w:t>
      </w:r>
      <w:r w:rsidRPr="003F6A38">
        <w:rPr>
          <w:i/>
        </w:rPr>
        <w:t>Sonshine</w:t>
      </w:r>
      <w:r w:rsidRPr="003F6A38">
        <w:rPr>
          <w:i/>
        </w:rPr>
        <w:t xml:space="preserve"> Family Television, Inc.</w:t>
      </w:r>
      <w:r w:rsidRPr="003F6A38">
        <w:t xml:space="preserve">, Notice of Apparent Liability for Forfeiture, 22 FCC </w:t>
      </w:r>
      <w:r w:rsidRPr="003F6A38">
        <w:t>Rcd</w:t>
      </w:r>
      <w:r w:rsidRPr="003F6A38">
        <w:t xml:space="preserve"> 18686, 18694, para. 15 (2007), </w:t>
      </w:r>
      <w:r w:rsidRPr="003F6A38">
        <w:rPr>
          <w:i/>
        </w:rPr>
        <w:t>aff’d with reduced forfeiture</w:t>
      </w:r>
      <w:r w:rsidRPr="003F6A38">
        <w:t>,</w:t>
      </w:r>
      <w:r w:rsidRPr="003F6A38">
        <w:rPr>
          <w:i/>
        </w:rPr>
        <w:t xml:space="preserve"> </w:t>
      </w:r>
      <w:r w:rsidRPr="003F6A38">
        <w:t xml:space="preserve">Forfeiture Order, 24 FCC </w:t>
      </w:r>
      <w:r w:rsidRPr="003F6A38">
        <w:t>Rcd</w:t>
      </w:r>
      <w:r w:rsidRPr="003F6A38">
        <w:t xml:space="preserve"> 14830, 14834, para. 12 (2009) (forfeiture reduced, based on licensee’s history of compliance) (forfeiture paid).  </w:t>
      </w:r>
    </w:p>
  </w:footnote>
  <w:footnote w:id="10">
    <w:p w:rsidR="00CB1379" w:rsidRPr="003F6A38" w:rsidP="003F6A38" w14:paraId="4B8062F9" w14:textId="77777777">
      <w:pPr>
        <w:pStyle w:val="FootnoteText"/>
      </w:pPr>
      <w:r w:rsidRPr="003F6A38">
        <w:rPr>
          <w:rStyle w:val="FootnoteReference"/>
        </w:rPr>
        <w:footnoteRef/>
      </w:r>
      <w:r w:rsidRPr="003F6A38">
        <w:t xml:space="preserve"> </w:t>
      </w:r>
      <w:r w:rsidRPr="003F6A38">
        <w:rPr>
          <w:i/>
          <w:iCs/>
        </w:rPr>
        <w:t>See</w:t>
      </w:r>
      <w:r w:rsidRPr="003F6A38">
        <w:t xml:space="preserve"> </w:t>
      </w:r>
      <w:r w:rsidRPr="003F6A38">
        <w:rPr>
          <w:i/>
          <w:iCs/>
          <w:snapToGrid w:val="0"/>
        </w:rPr>
        <w:t>A Radio Company, Inc.</w:t>
      </w:r>
      <w:r w:rsidRPr="003F6A38">
        <w:rPr>
          <w:snapToGrid w:val="0"/>
        </w:rPr>
        <w:t>,</w:t>
      </w:r>
      <w:r w:rsidRPr="003F6A38">
        <w:rPr>
          <w:i/>
          <w:iCs/>
          <w:snapToGrid w:val="0"/>
        </w:rPr>
        <w:t xml:space="preserve"> </w:t>
      </w:r>
      <w:r w:rsidRPr="003F6A38">
        <w:rPr>
          <w:snapToGrid w:val="0"/>
        </w:rPr>
        <w:t xml:space="preserve">Notice of Apparent Liability for Forfeiture, 26 FCC </w:t>
      </w:r>
      <w:r w:rsidRPr="003F6A38">
        <w:rPr>
          <w:snapToGrid w:val="0"/>
        </w:rPr>
        <w:t>Rcd</w:t>
      </w:r>
      <w:r w:rsidRPr="003F6A38">
        <w:rPr>
          <w:snapToGrid w:val="0"/>
        </w:rPr>
        <w:t xml:space="preserve"> 6561, 6563, para. 6 (EB 2011) (</w:t>
      </w:r>
      <w:r w:rsidRPr="00A01027">
        <w:rPr>
          <w:i/>
          <w:iCs/>
          <w:snapToGrid w:val="0"/>
        </w:rPr>
        <w:t>A Radio NAL</w:t>
      </w:r>
      <w:r w:rsidRPr="003F6A38">
        <w:rPr>
          <w:snapToGrid w:val="0"/>
        </w:rPr>
        <w:t xml:space="preserve">) (proposing a $25,000 forfeiture for failure to pay voluntary contribution and submit compliance report), </w:t>
      </w:r>
      <w:r w:rsidRPr="003F6A38">
        <w:rPr>
          <w:i/>
          <w:iCs/>
          <w:snapToGrid w:val="0"/>
        </w:rPr>
        <w:t>aff’d</w:t>
      </w:r>
      <w:r w:rsidRPr="003F6A38">
        <w:rPr>
          <w:snapToGrid w:val="0"/>
        </w:rPr>
        <w:t xml:space="preserve">, Forfeiture Order, 27 FCC </w:t>
      </w:r>
      <w:r w:rsidRPr="003F6A38">
        <w:rPr>
          <w:snapToGrid w:val="0"/>
        </w:rPr>
        <w:t>Rcd</w:t>
      </w:r>
      <w:r w:rsidRPr="003F6A38">
        <w:rPr>
          <w:snapToGrid w:val="0"/>
        </w:rPr>
        <w:t xml:space="preserve"> 6336, 6337, para. 4 (EB-Field Office 2012) (</w:t>
      </w:r>
      <w:r w:rsidRPr="003F6A38">
        <w:rPr>
          <w:i/>
          <w:iCs/>
          <w:snapToGrid w:val="0"/>
        </w:rPr>
        <w:t>A Radio Forfeiture Order</w:t>
      </w:r>
      <w:r w:rsidRPr="003F6A38">
        <w:rPr>
          <w:snapToGrid w:val="0"/>
        </w:rPr>
        <w:t xml:space="preserve">) (rejecting licensee’s ability to pay argument and </w:t>
      </w:r>
      <w:r w:rsidRPr="003F6A38">
        <w:t>finding that A Radio willfully and repeatedly violated a Bureau order by failing to comply with the terms of the Order and Consent Decree entered into between the Enforcement Bureau and A Radio</w:t>
      </w:r>
      <w:r w:rsidRPr="003F6A38">
        <w:rPr>
          <w:snapToGrid w:val="0"/>
        </w:rPr>
        <w:t>).</w:t>
      </w:r>
    </w:p>
  </w:footnote>
  <w:footnote w:id="11">
    <w:p w:rsidR="00CB1379" w:rsidRPr="003F6A38" w:rsidP="003F6A38" w14:paraId="1761C353" w14:textId="5DFBAAA6">
      <w:pPr>
        <w:pStyle w:val="FootnoteText"/>
      </w:pPr>
      <w:r w:rsidRPr="003F6A38">
        <w:rPr>
          <w:rStyle w:val="FootnoteReference"/>
        </w:rPr>
        <w:footnoteRef/>
      </w:r>
      <w:r w:rsidRPr="003F6A38">
        <w:t xml:space="preserve"> </w:t>
      </w:r>
      <w:r w:rsidRPr="005F4170">
        <w:rPr>
          <w:i/>
          <w:iCs/>
        </w:rPr>
        <w:t>See</w:t>
      </w:r>
      <w:r>
        <w:rPr>
          <w:i/>
          <w:iCs/>
        </w:rPr>
        <w:t xml:space="preserve">, e.g., A Radio </w:t>
      </w:r>
      <w:r w:rsidR="0045782C">
        <w:rPr>
          <w:i/>
          <w:iCs/>
        </w:rPr>
        <w:t>Forfeiture Order</w:t>
      </w:r>
      <w:r>
        <w:t xml:space="preserve">, 27 FCC </w:t>
      </w:r>
      <w:r>
        <w:t>Rcd</w:t>
      </w:r>
      <w:r>
        <w:t xml:space="preserve"> </w:t>
      </w:r>
      <w:r w:rsidR="0045782C">
        <w:t>at</w:t>
      </w:r>
      <w:r>
        <w:t xml:space="preserve"> 6337, para. 3</w:t>
      </w:r>
      <w:r w:rsidR="00467835">
        <w:t>.</w:t>
      </w:r>
      <w:r>
        <w:t xml:space="preserve"> </w:t>
      </w:r>
    </w:p>
  </w:footnote>
  <w:footnote w:id="12">
    <w:p w:rsidR="00CB1379" w:rsidRPr="003F6A38" w:rsidP="003F6A38" w14:paraId="1C8F0AF7" w14:textId="3B634667">
      <w:pPr>
        <w:pStyle w:val="FootnoteText"/>
      </w:pPr>
      <w:r w:rsidRPr="003F6A38">
        <w:rPr>
          <w:rStyle w:val="FootnoteReference"/>
        </w:rPr>
        <w:footnoteRef/>
      </w:r>
      <w:r w:rsidRPr="003F6A38">
        <w:t xml:space="preserve"> </w:t>
      </w:r>
      <w:r w:rsidRPr="003F6A38">
        <w:rPr>
          <w:i/>
        </w:rPr>
        <w:t>See</w:t>
      </w:r>
      <w:r w:rsidRPr="003F6A38">
        <w:t xml:space="preserve"> Cumulus Media, Inc., Debtor-in-Possession, Applications to Transfer Control of and Assign FCC Authorizations and Licenses, BTC-20180322ABI, </w:t>
      </w:r>
      <w:r w:rsidRPr="003F6A38">
        <w:rPr>
          <w:i/>
        </w:rPr>
        <w:t>et al</w:t>
      </w:r>
      <w:r w:rsidRPr="003F6A38">
        <w:t xml:space="preserve">., Comprehensive </w:t>
      </w:r>
      <w:r w:rsidRPr="003F6A38">
        <w:t>Exh</w:t>
      </w:r>
      <w:r w:rsidRPr="003F6A38">
        <w:t xml:space="preserve">. (Mar. 22, 2018) (Reorganization Applications), </w:t>
      </w:r>
      <w:r w:rsidRPr="003F6A38">
        <w:rPr>
          <w:i/>
        </w:rPr>
        <w:t>granted with conditions</w:t>
      </w:r>
      <w:r w:rsidRPr="003F6A38">
        <w:t xml:space="preserve">, </w:t>
      </w:r>
      <w:r w:rsidRPr="003F6A38">
        <w:rPr>
          <w:i/>
        </w:rPr>
        <w:t>Cumulus Media, Inc</w:t>
      </w:r>
      <w:r w:rsidRPr="003F6A38">
        <w:t xml:space="preserve">., Memorandum Opinion and Order, 33 FCC </w:t>
      </w:r>
      <w:r w:rsidRPr="003F6A38">
        <w:t>Rcd</w:t>
      </w:r>
      <w:r w:rsidRPr="003F6A38">
        <w:t xml:space="preserve"> 5243 (MB-AD 2018) (</w:t>
      </w:r>
      <w:r w:rsidRPr="00A01027">
        <w:rPr>
          <w:i/>
          <w:iCs/>
        </w:rPr>
        <w:t>2018 Transfer of Control</w:t>
      </w:r>
      <w:r w:rsidRPr="003F6A38">
        <w:t xml:space="preserve">) (granting transfer of control of Commission authorizations, with conditions, in connection with Cumulus Media, Inc.’s reorganization).  </w:t>
      </w:r>
      <w:r>
        <w:t xml:space="preserve">Cumulus Media, Inc. is the ultimate parent of Radio License, Licensing LLC, and Holdings LLC.  </w:t>
      </w:r>
      <w:r w:rsidRPr="003F6A38">
        <w:t xml:space="preserve">Radio License is licensee of WFBE(FM), Flint, Michigan, and WTRX(AM), Flint, Michigan, two of the stations that broadcast the paid-for programming discussed </w:t>
      </w:r>
      <w:r>
        <w:t>in this Forfeiture Order</w:t>
      </w:r>
      <w:r w:rsidRPr="003F6A38">
        <w:t xml:space="preserve">.  Licensing LLC is licensee of WTKA(AM), Ann Arbor, Michigan, WWWW-FM, Ann Arbor, Michigan, and WMAC(AM), Macon, Georgia, which broadcast the paid-for programming discussed </w:t>
      </w:r>
      <w:r>
        <w:t>in this Forfeiture Order</w:t>
      </w:r>
      <w:r w:rsidRPr="003F6A38">
        <w:t>.  Holdings LLC</w:t>
      </w:r>
      <w:r>
        <w:t xml:space="preserve"> is</w:t>
      </w:r>
      <w:r w:rsidRPr="003F6A38">
        <w:t xml:space="preserve"> licensee of WDVD(FM), Detroit, Michigan and WDRQ(FM), Detroit, Michigan, which broadcast the paid-for programming discussed </w:t>
      </w:r>
      <w:r>
        <w:t>in this Forfeiture Order.  An organizational chart showing the relevant Cumulus Media, Inc. entities is included in the Appendix to this Forfeiture Order.</w:t>
      </w:r>
    </w:p>
  </w:footnote>
  <w:footnote w:id="13">
    <w:p w:rsidR="00CB1379" w:rsidRPr="003F6A38" w:rsidP="003F6A38" w14:paraId="36A467F8" w14:textId="4E2CE861">
      <w:pPr>
        <w:pStyle w:val="FootnoteText"/>
      </w:pPr>
      <w:r w:rsidRPr="003F6A38">
        <w:rPr>
          <w:rStyle w:val="FootnoteReference"/>
        </w:rPr>
        <w:footnoteRef/>
      </w:r>
      <w:r w:rsidRPr="003F6A38">
        <w:t xml:space="preserve"> </w:t>
      </w:r>
      <w:r w:rsidRPr="005F4170">
        <w:rPr>
          <w:i/>
        </w:rPr>
        <w:t>Consent Decree</w:t>
      </w:r>
      <w:r w:rsidR="0045782C">
        <w:rPr>
          <w:iCs/>
        </w:rPr>
        <w:t>,</w:t>
      </w:r>
      <w:r>
        <w:t xml:space="preserve"> 31 FCC </w:t>
      </w:r>
      <w:r>
        <w:t>Rcd</w:t>
      </w:r>
      <w:r>
        <w:t xml:space="preserve"> at</w:t>
      </w:r>
      <w:r w:rsidRPr="003F6A38">
        <w:t xml:space="preserve"> 3-4, para. 3. </w:t>
      </w:r>
    </w:p>
  </w:footnote>
  <w:footnote w:id="14">
    <w:p w:rsidR="00CB1379" w:rsidRPr="003F6A38" w:rsidP="003F6A38" w14:paraId="5C355E72" w14:textId="004F142B">
      <w:pPr>
        <w:pStyle w:val="FootnoteText"/>
      </w:pPr>
      <w:r w:rsidRPr="003F6A38">
        <w:rPr>
          <w:rStyle w:val="FootnoteReference"/>
        </w:rPr>
        <w:footnoteRef/>
      </w:r>
      <w:r w:rsidRPr="003F6A38">
        <w:t xml:space="preserve"> 47 U.S.C. </w:t>
      </w:r>
      <w:r w:rsidRPr="00100A83">
        <w:t>§ 317</w:t>
      </w:r>
      <w:r w:rsidRPr="003F6A38">
        <w:t>, 47 CFR § </w:t>
      </w:r>
      <w:r w:rsidRPr="00100A83">
        <w:t>73.1212.</w:t>
      </w:r>
    </w:p>
  </w:footnote>
  <w:footnote w:id="15">
    <w:p w:rsidR="00CB1379" w:rsidP="003F6A38" w14:paraId="067534F4" w14:textId="2AC24DA6">
      <w:pPr>
        <w:pStyle w:val="FootnoteText"/>
      </w:pPr>
      <w:r w:rsidRPr="003F6A38">
        <w:rPr>
          <w:rStyle w:val="FootnoteReference"/>
        </w:rPr>
        <w:footnoteRef/>
      </w:r>
      <w:r w:rsidRPr="003F6A38">
        <w:t xml:space="preserve"> </w:t>
      </w:r>
      <w:r w:rsidRPr="003F6A38">
        <w:rPr>
          <w:i/>
        </w:rPr>
        <w:t>See</w:t>
      </w:r>
      <w:r w:rsidRPr="003F6A38">
        <w:t xml:space="preserve"> </w:t>
      </w:r>
      <w:r w:rsidRPr="005F4170">
        <w:rPr>
          <w:i/>
          <w:iCs/>
        </w:rPr>
        <w:t>Consent Decree</w:t>
      </w:r>
      <w:r w:rsidRPr="003F6A38">
        <w:t xml:space="preserve">, 31 FCC </w:t>
      </w:r>
      <w:r w:rsidRPr="003F6A38">
        <w:t>Rcd</w:t>
      </w:r>
      <w:r w:rsidRPr="003F6A38">
        <w:t xml:space="preserve"> at 6, para. 2(k), 13, para. 23 (</w:t>
      </w:r>
      <w:r>
        <w:t>in which</w:t>
      </w:r>
      <w:r w:rsidRPr="003F6A38">
        <w:t xml:space="preserve"> “</w:t>
      </w:r>
      <w:r w:rsidRPr="003F6A38">
        <w:rPr>
          <w:color w:val="000000"/>
        </w:rPr>
        <w:t xml:space="preserve">Cumulus [which is defined to include Cumulus Radio Corporation] agrees that </w:t>
      </w:r>
      <w:r w:rsidRPr="003F6A38">
        <w:t>the</w:t>
      </w:r>
      <w:r w:rsidRPr="003F6A38">
        <w:rPr>
          <w:color w:val="000000"/>
        </w:rPr>
        <w:t xml:space="preserve"> provisions of this Consent Decree shall be binding on its successors, assigns, and transferees”)</w:t>
      </w:r>
      <w:r w:rsidRPr="003F6A38">
        <w:t>.</w:t>
      </w:r>
      <w:r>
        <w:t xml:space="preserve">  The foregoing provision bears on this proceeding because </w:t>
      </w:r>
      <w:r w:rsidRPr="003F6A38">
        <w:t xml:space="preserve">Cumulus Media, Inc., the ultimate parent of Cumulus, Radio License, Licensing LLC, and Holdings LLC, reorganized pursuant to Chapter 11 of the Bankruptcy Code while the </w:t>
      </w:r>
      <w:r w:rsidRPr="005F4170">
        <w:rPr>
          <w:i/>
          <w:iCs/>
        </w:rPr>
        <w:t>Consent Decree</w:t>
      </w:r>
      <w:r w:rsidRPr="003F6A38">
        <w:t xml:space="preserve"> was in effect.  </w:t>
      </w:r>
      <w:r w:rsidRPr="003F6A38">
        <w:rPr>
          <w:i/>
        </w:rPr>
        <w:t>2018 Transfer of Control</w:t>
      </w:r>
      <w:r w:rsidRPr="003F6A38">
        <w:t xml:space="preserve"> (granting applications to implement the Joint Plan of Reorganization approved by the bankruptcy court and to transfer control of Cumulus Media, Inc., Debtor-in-Possession, and </w:t>
      </w:r>
      <w:r w:rsidRPr="003F6A38">
        <w:rPr>
          <w:i/>
        </w:rPr>
        <w:t>inter alia</w:t>
      </w:r>
      <w:r w:rsidRPr="003F6A38">
        <w:t xml:space="preserve">, Radio License, Licensing LLC, Holdings LLC, subject to conditions and certain divestitures).  As part of this reorganization, Cumulus was converted to an LLC.  Reorganization Applications, Comprehensive </w:t>
      </w:r>
      <w:r w:rsidRPr="003F6A38">
        <w:t>Exh</w:t>
      </w:r>
      <w:r w:rsidRPr="003F6A38">
        <w:t xml:space="preserve">., Attach. A (Cumulus Ownership Structure (Post Reorganization)) &amp; Attach. C (Entities to be Converted to LLCs).  </w:t>
      </w:r>
    </w:p>
    <w:p w:rsidR="00CB1379" w:rsidRPr="003F6A38" w:rsidP="003F6A38" w14:paraId="597D1994" w14:textId="680EF11D">
      <w:pPr>
        <w:pStyle w:val="FootnoteText"/>
      </w:pPr>
      <w:r>
        <w:t>Contrary to the mitigating effect given to bankruptcy in similar proceedings, however, t</w:t>
      </w:r>
      <w:r w:rsidRPr="003F6A38">
        <w:t>he plan of reorganization approved by the bankruptcy court</w:t>
      </w:r>
      <w:r>
        <w:t xml:space="preserve"> in this case did not operate as a defense against the</w:t>
      </w:r>
      <w:r w:rsidRPr="003F6A38">
        <w:t xml:space="preserve"> Commission</w:t>
      </w:r>
      <w:r>
        <w:t>’s exercise of its</w:t>
      </w:r>
      <w:r w:rsidRPr="003F6A38">
        <w:t xml:space="preserve"> regulatory or enforcement authority.  </w:t>
      </w:r>
      <w:r w:rsidRPr="003F6A38">
        <w:rPr>
          <w:i/>
        </w:rPr>
        <w:t>Cumulus Media</w:t>
      </w:r>
      <w:r>
        <w:rPr>
          <w:i/>
        </w:rPr>
        <w:t>,</w:t>
      </w:r>
      <w:r w:rsidRPr="003F6A38">
        <w:rPr>
          <w:i/>
        </w:rPr>
        <w:t xml:space="preserve"> Inc. et al.</w:t>
      </w:r>
      <w:r w:rsidRPr="003F6A38">
        <w:t>, Findings of Fact, Conclusions of Law, and Order Confirming the Debtors’ First Amended Joint Chapter 11 Plan of Reorganization, at 50, para. 105, Case No. 17-13381 (SCC) (</w:t>
      </w:r>
      <w:r w:rsidRPr="003F6A38">
        <w:t>Bankr</w:t>
      </w:r>
      <w:r w:rsidRPr="003F6A38">
        <w:t xml:space="preserve">. S.D.N.Y. May 10, 2018).  Moreover, Cumulus Media, Inc., the reorganized debtor, </w:t>
      </w:r>
      <w:r>
        <w:t>specifically</w:t>
      </w:r>
      <w:r w:rsidRPr="003F6A38">
        <w:t xml:space="preserve"> </w:t>
      </w:r>
      <w:r>
        <w:t>consented</w:t>
      </w:r>
      <w:r w:rsidRPr="003F6A38">
        <w:t xml:space="preserve"> that the Commission </w:t>
      </w:r>
      <w:r>
        <w:t>may</w:t>
      </w:r>
      <w:r w:rsidRPr="003F6A38">
        <w:t xml:space="preserve"> enforce </w:t>
      </w:r>
      <w:r>
        <w:t>any</w:t>
      </w:r>
      <w:r w:rsidRPr="003F6A38">
        <w:t xml:space="preserve"> </w:t>
      </w:r>
      <w:r>
        <w:t xml:space="preserve">provision of the </w:t>
      </w:r>
      <w:r w:rsidRPr="005F4170">
        <w:rPr>
          <w:i/>
          <w:iCs/>
        </w:rPr>
        <w:t>Consent Decree</w:t>
      </w:r>
      <w:r w:rsidRPr="003F6A38">
        <w:t xml:space="preserve"> as if the bankruptcy reorganization had never been filed.  </w:t>
      </w:r>
      <w:r w:rsidRPr="003F6A38">
        <w:rPr>
          <w:i/>
        </w:rPr>
        <w:t>CM Wind Down Topco Inc.</w:t>
      </w:r>
      <w:r w:rsidRPr="003F6A38">
        <w:t>, Stipulation and Order Resolving Reorganized Debtor’s Objection to Claims of the Federal Communications Commission, at 3, paras. 1, 3, Case No. 17-13381 (SCC) (</w:t>
      </w:r>
      <w:r w:rsidRPr="003F6A38">
        <w:t>Bankr</w:t>
      </w:r>
      <w:r w:rsidRPr="003F6A38">
        <w:t>. S.D.N.Y. May 20, 2019).</w:t>
      </w:r>
    </w:p>
  </w:footnote>
  <w:footnote w:id="16">
    <w:p w:rsidR="00CB1379" w:rsidRPr="003F6A38" w:rsidP="003F6A38" w14:paraId="2F4B31A9" w14:textId="77777777">
      <w:pPr>
        <w:pStyle w:val="FootnoteText"/>
      </w:pPr>
      <w:r w:rsidRPr="003F6A38">
        <w:rPr>
          <w:rStyle w:val="FootnoteReference"/>
        </w:rPr>
        <w:footnoteRef/>
      </w:r>
      <w:r w:rsidRPr="003F6A38">
        <w:t xml:space="preserve"> </w:t>
      </w:r>
      <w:r w:rsidRPr="005F4170">
        <w:rPr>
          <w:i/>
          <w:iCs/>
        </w:rPr>
        <w:t>Consent Decree</w:t>
      </w:r>
      <w:r w:rsidRPr="003F6A38">
        <w:t xml:space="preserve">, 31 FCC </w:t>
      </w:r>
      <w:r w:rsidRPr="003F6A38">
        <w:t>Rcd</w:t>
      </w:r>
      <w:r w:rsidRPr="003F6A38">
        <w:t xml:space="preserve"> at 10-11, paras. 13, 15.</w:t>
      </w:r>
    </w:p>
  </w:footnote>
  <w:footnote w:id="17">
    <w:p w:rsidR="00CB1379" w14:paraId="0562BCCC" w14:textId="2018A0B7">
      <w:pPr>
        <w:pStyle w:val="FootnoteText"/>
      </w:pPr>
      <w:r>
        <w:rPr>
          <w:rStyle w:val="FootnoteReference"/>
        </w:rPr>
        <w:footnoteRef/>
      </w:r>
      <w:r>
        <w:t xml:space="preserve"> The non-compliant spot was paid programming, sponsored by Relevant Sports LLC, that Radio License and Cumulus acknowledged did not comply with the Sponsorship Identification Laws.  </w:t>
      </w:r>
      <w:r w:rsidRPr="00864A14">
        <w:rPr>
          <w:i/>
          <w:iCs/>
        </w:rPr>
        <w:t>See</w:t>
      </w:r>
      <w:r>
        <w:t xml:space="preserve"> </w:t>
      </w:r>
      <w:r w:rsidRPr="003F6A38">
        <w:t xml:space="preserve">Letter from Andrew S. </w:t>
      </w:r>
      <w:r w:rsidRPr="003F6A38">
        <w:t>Kersting</w:t>
      </w:r>
      <w:r w:rsidRPr="003F6A38">
        <w:t xml:space="preserve">, Esq., Regulatory Counsel, Cumulus, to Jeffrey J. Gee, Chief, Investigations and Hearings Division, FCC Enforcement Bureau at 3, para. 4, Appx. A (Jan. 8, 2018) (on file in </w:t>
      </w:r>
      <w:r w:rsidRPr="003F6A38">
        <w:rPr>
          <w:spacing w:val="-2"/>
        </w:rPr>
        <w:t>EB-IHD-18-00027598).</w:t>
      </w:r>
    </w:p>
  </w:footnote>
  <w:footnote w:id="18">
    <w:p w:rsidR="00CB1379" w:rsidRPr="003F6A38" w:rsidP="003F6A38" w14:paraId="72BCF3A3" w14:textId="6AB44D45">
      <w:pPr>
        <w:pStyle w:val="FootnoteText"/>
      </w:pPr>
      <w:r w:rsidRPr="003F6A38">
        <w:rPr>
          <w:rStyle w:val="FootnoteReference"/>
        </w:rPr>
        <w:footnoteRef/>
      </w:r>
      <w:r w:rsidRPr="003F6A38">
        <w:t xml:space="preserve"> </w:t>
      </w:r>
      <w:r w:rsidRPr="00864A14">
        <w:rPr>
          <w:i/>
          <w:iCs/>
        </w:rPr>
        <w:t>Id</w:t>
      </w:r>
      <w:r w:rsidRPr="003F6A38">
        <w:rPr>
          <w:spacing w:val="-2"/>
        </w:rPr>
        <w:t xml:space="preserve">. </w:t>
      </w:r>
    </w:p>
  </w:footnote>
  <w:footnote w:id="19">
    <w:p w:rsidR="00CB1379" w:rsidRPr="003F6A38" w:rsidP="003F6A38" w14:paraId="55DBACD9" w14:textId="77777777">
      <w:pPr>
        <w:pStyle w:val="FootnoteText"/>
      </w:pPr>
      <w:r w:rsidRPr="003F6A38">
        <w:rPr>
          <w:rStyle w:val="FootnoteReference"/>
        </w:rPr>
        <w:footnoteRef/>
      </w:r>
      <w:r w:rsidRPr="003F6A38">
        <w:t xml:space="preserve"> </w:t>
      </w:r>
      <w:r w:rsidRPr="003F6A38">
        <w:rPr>
          <w:i/>
        </w:rPr>
        <w:t>Id</w:t>
      </w:r>
      <w:r w:rsidRPr="003F6A38">
        <w:t>. at Appx. A.</w:t>
      </w:r>
    </w:p>
  </w:footnote>
  <w:footnote w:id="20">
    <w:p w:rsidR="00CB1379" w:rsidRPr="003F6A38" w:rsidP="003F6A38" w14:paraId="6782EBC1" w14:textId="77777777">
      <w:pPr>
        <w:pStyle w:val="FootnoteText"/>
      </w:pPr>
      <w:r w:rsidRPr="003F6A38">
        <w:rPr>
          <w:rStyle w:val="FootnoteReference"/>
        </w:rPr>
        <w:footnoteRef/>
      </w:r>
      <w:r w:rsidRPr="003F6A38">
        <w:t xml:space="preserve"> Letter from Andrew S. </w:t>
      </w:r>
      <w:r w:rsidRPr="003F6A38">
        <w:t>Kersting</w:t>
      </w:r>
      <w:r w:rsidRPr="003F6A38">
        <w:t xml:space="preserve">, Esq., Regulatory Counsel, Cumulus, to Jeffrey J. Gee, Chief, Investigations and Hearings Division, FCC Enforcement Bureau (May 29, 2018) (on file in </w:t>
      </w:r>
      <w:r w:rsidRPr="003F6A38">
        <w:rPr>
          <w:spacing w:val="-2"/>
        </w:rPr>
        <w:t>EB-IHD-18-00027598) (May 2018 Filing).</w:t>
      </w:r>
    </w:p>
  </w:footnote>
  <w:footnote w:id="21">
    <w:p w:rsidR="00CB1379" w14:paraId="467649A8" w14:textId="1E747EB8">
      <w:pPr>
        <w:pStyle w:val="FootnoteText"/>
      </w:pPr>
      <w:r>
        <w:rPr>
          <w:rStyle w:val="FootnoteReference"/>
        </w:rPr>
        <w:footnoteRef/>
      </w:r>
      <w:r>
        <w:t xml:space="preserve"> The non-compliant spot was paid programming, sponsored in connection with gubernatorial candidate Casey Cagle, that Radio License and Cumulus acknowledged did not comply with the Sponsorship Identification Laws.  </w:t>
      </w:r>
      <w:r w:rsidRPr="00864A14">
        <w:rPr>
          <w:i/>
          <w:iCs/>
        </w:rPr>
        <w:t>See</w:t>
      </w:r>
      <w:r>
        <w:t xml:space="preserve"> May 2018 Filing at 2.</w:t>
      </w:r>
    </w:p>
  </w:footnote>
  <w:footnote w:id="22">
    <w:p w:rsidR="00CB1379" w:rsidRPr="003F6A38" w:rsidP="003F6A38" w14:paraId="249B2CAC" w14:textId="6942002F">
      <w:pPr>
        <w:pStyle w:val="FootnoteText"/>
      </w:pPr>
      <w:r w:rsidRPr="003F6A38">
        <w:rPr>
          <w:rStyle w:val="FootnoteReference"/>
        </w:rPr>
        <w:footnoteRef/>
      </w:r>
      <w:r w:rsidRPr="003F6A38">
        <w:t xml:space="preserve"> Declaration of Richard S. Denning, Senior Vice President, General Counsel and Secretary, Cumulus Media, Inc., Attach. to May 2018 Filing, </w:t>
      </w:r>
      <w:bookmarkStart w:id="52" w:name="_Hlk48817345"/>
      <w:r w:rsidRPr="003F6A38">
        <w:t>¶</w:t>
      </w:r>
      <w:bookmarkEnd w:id="52"/>
      <w:r w:rsidRPr="003F6A38">
        <w:t xml:space="preserve"> 2 (Denning Decl.)</w:t>
      </w:r>
      <w:r w:rsidRPr="003F6A38">
        <w:rPr>
          <w:spacing w:val="-2"/>
        </w:rPr>
        <w:t xml:space="preserve">.  </w:t>
      </w:r>
      <w:r w:rsidRPr="003F6A38">
        <w:rPr>
          <w:i/>
          <w:spacing w:val="-2"/>
        </w:rPr>
        <w:t>See</w:t>
      </w:r>
      <w:r w:rsidRPr="003F6A38">
        <w:rPr>
          <w:spacing w:val="-2"/>
        </w:rPr>
        <w:t xml:space="preserve"> </w:t>
      </w:r>
      <w:r w:rsidRPr="003F6A38">
        <w:t xml:space="preserve">Letter from Andrew S. </w:t>
      </w:r>
      <w:r w:rsidRPr="003F6A38">
        <w:t>Kersting</w:t>
      </w:r>
      <w:r w:rsidRPr="003F6A38">
        <w:t xml:space="preserve">, Esq., Regulatory Counsel, Cumulus Media, to Jeffrey J. Gee, Chief, Investigations and Hearings Division, FCC Enforcement Bureau at 3, para. 4 (Jan. 29, 2019) (on file in </w:t>
      </w:r>
      <w:r w:rsidRPr="003F6A38">
        <w:rPr>
          <w:spacing w:val="-2"/>
        </w:rPr>
        <w:t>EB-IHD-18-00027598) (referring to the violations and subsequent actions disclosed in the May 2018 Filing).</w:t>
      </w:r>
    </w:p>
  </w:footnote>
  <w:footnote w:id="23">
    <w:p w:rsidR="00CB1379" w:rsidRPr="003F6A38" w:rsidP="003F6A38" w14:paraId="700D88FD" w14:textId="77777777">
      <w:pPr>
        <w:pStyle w:val="FootnoteText"/>
      </w:pPr>
      <w:r w:rsidRPr="003F6A38">
        <w:rPr>
          <w:rStyle w:val="FootnoteReference"/>
        </w:rPr>
        <w:footnoteRef/>
      </w:r>
      <w:r w:rsidRPr="003F6A38">
        <w:t xml:space="preserve"> Denning Decl. ¶ 2.  </w:t>
      </w:r>
    </w:p>
  </w:footnote>
  <w:footnote w:id="24">
    <w:p w:rsidR="00CB1379" w:rsidRPr="003F6A38" w:rsidP="003F6A38" w14:paraId="524D4F31" w14:textId="3DD75BEA">
      <w:pPr>
        <w:pStyle w:val="FootnoteText"/>
      </w:pPr>
      <w:r w:rsidRPr="003F6A38">
        <w:rPr>
          <w:rStyle w:val="FootnoteReference"/>
        </w:rPr>
        <w:footnoteRef/>
      </w:r>
      <w:r w:rsidRPr="003F6A38">
        <w:t xml:space="preserve"> </w:t>
      </w:r>
      <w:r w:rsidRPr="00CB1379">
        <w:rPr>
          <w:i/>
          <w:iCs/>
        </w:rPr>
        <w:t>NAL</w:t>
      </w:r>
      <w:r w:rsidRPr="003F6A38">
        <w:t xml:space="preserve">, 34 FCC </w:t>
      </w:r>
      <w:r w:rsidRPr="003F6A38">
        <w:t>Rcd</w:t>
      </w:r>
      <w:r w:rsidRPr="003F6A38">
        <w:t xml:space="preserve"> at 7289-93, 7300, paras. 1 &amp; n.2, 4-10, Attach.  The </w:t>
      </w:r>
      <w:r w:rsidRPr="00CB1379">
        <w:rPr>
          <w:i/>
          <w:iCs/>
        </w:rPr>
        <w:t>NAL</w:t>
      </w:r>
      <w:r w:rsidRPr="003F6A38">
        <w:t xml:space="preserve"> includes a more complete discussion of the facts and history of this case and is incorporated </w:t>
      </w:r>
      <w:r>
        <w:t>in this Forfeiture Order</w:t>
      </w:r>
      <w:r w:rsidRPr="003F6A38">
        <w:t xml:space="preserve"> by reference.    </w:t>
      </w:r>
    </w:p>
  </w:footnote>
  <w:footnote w:id="25">
    <w:p w:rsidR="00CB1379" w:rsidRPr="003F6A38" w:rsidP="003F6A38" w14:paraId="7AE3D93F" w14:textId="77777777">
      <w:pPr>
        <w:pStyle w:val="FootnoteText"/>
      </w:pPr>
      <w:r w:rsidRPr="003F6A38">
        <w:rPr>
          <w:rStyle w:val="FootnoteReference"/>
        </w:rPr>
        <w:footnoteRef/>
      </w:r>
      <w:r w:rsidRPr="003F6A38">
        <w:t xml:space="preserve"> </w:t>
      </w:r>
      <w:r w:rsidRPr="003F6A38">
        <w:rPr>
          <w:i/>
          <w:iCs/>
        </w:rPr>
        <w:t>Id</w:t>
      </w:r>
      <w:r w:rsidRPr="003F6A38">
        <w:t>. at 7292-93, paras. 8-9.</w:t>
      </w:r>
    </w:p>
  </w:footnote>
  <w:footnote w:id="26">
    <w:p w:rsidR="00CB1379" w14:paraId="4A74F912" w14:textId="09EE01CB">
      <w:pPr>
        <w:pStyle w:val="FootnoteText"/>
      </w:pPr>
      <w:r>
        <w:rPr>
          <w:rStyle w:val="FootnoteReference"/>
        </w:rPr>
        <w:footnoteRef/>
      </w:r>
      <w:r>
        <w:t xml:space="preserve"> </w:t>
      </w:r>
      <w:r w:rsidRPr="00864A14">
        <w:rPr>
          <w:i/>
          <w:iCs/>
        </w:rPr>
        <w:t>Id.</w:t>
      </w:r>
      <w:r>
        <w:t xml:space="preserve"> at 7295, para. 16.</w:t>
      </w:r>
    </w:p>
  </w:footnote>
  <w:footnote w:id="27">
    <w:p w:rsidR="00CB1379" w:rsidRPr="003F6A38" w:rsidP="003F6A38" w14:paraId="12124CE9" w14:textId="2D217768">
      <w:pPr>
        <w:pStyle w:val="FootnoteText"/>
      </w:pPr>
      <w:r w:rsidRPr="003F6A38">
        <w:rPr>
          <w:rStyle w:val="FootnoteReference"/>
        </w:rPr>
        <w:footnoteRef/>
      </w:r>
      <w:r w:rsidRPr="003F6A38">
        <w:t xml:space="preserve"> </w:t>
      </w:r>
      <w:r w:rsidRPr="003F6A38">
        <w:rPr>
          <w:i/>
          <w:iCs/>
        </w:rPr>
        <w:t>Id.</w:t>
      </w:r>
      <w:r w:rsidRPr="003F6A38">
        <w:t xml:space="preserve"> at 7293, para. 10.  </w:t>
      </w:r>
      <w:r w:rsidR="009C24AC">
        <w:t xml:space="preserve">The NAL did not propose an upward adjustment for the </w:t>
      </w:r>
      <w:r w:rsidRPr="00E73A58" w:rsidR="00E73A58">
        <w:rPr>
          <w:i/>
          <w:iCs/>
        </w:rPr>
        <w:t>C</w:t>
      </w:r>
      <w:r w:rsidRPr="00E73A58" w:rsidR="009C24AC">
        <w:rPr>
          <w:i/>
          <w:iCs/>
        </w:rPr>
        <w:t xml:space="preserve">onsent </w:t>
      </w:r>
      <w:r w:rsidRPr="00E73A58" w:rsidR="00E73A58">
        <w:rPr>
          <w:i/>
          <w:iCs/>
        </w:rPr>
        <w:t>D</w:t>
      </w:r>
      <w:r w:rsidRPr="00E73A58" w:rsidR="009C24AC">
        <w:rPr>
          <w:i/>
          <w:iCs/>
        </w:rPr>
        <w:t>ecree</w:t>
      </w:r>
      <w:r w:rsidR="009C24AC">
        <w:t xml:space="preserve"> violation.</w:t>
      </w:r>
      <w:r w:rsidRPr="003F6A38">
        <w:t xml:space="preserve"> </w:t>
      </w:r>
    </w:p>
  </w:footnote>
  <w:footnote w:id="28">
    <w:p w:rsidR="00CB1379" w:rsidRPr="003F6A38" w:rsidP="003F6A38" w14:paraId="7522F3B9" w14:textId="77777777">
      <w:pPr>
        <w:pStyle w:val="FootnoteText"/>
      </w:pPr>
      <w:r w:rsidRPr="003F6A38">
        <w:rPr>
          <w:rStyle w:val="FootnoteReference"/>
        </w:rPr>
        <w:footnoteRef/>
      </w:r>
      <w:r w:rsidRPr="003F6A38">
        <w:t xml:space="preserve"> Response of Cumulus Radio LLC et al. to Notice of Apparent Liability (filed Sept. 5, 2019) (on file in </w:t>
      </w:r>
      <w:r w:rsidRPr="003F6A38">
        <w:rPr>
          <w:spacing w:val="-2"/>
        </w:rPr>
        <w:t>EB-IHD-18-00027598</w:t>
      </w:r>
      <w:r w:rsidRPr="003F6A38">
        <w:t xml:space="preserve">) (NAL Response).    </w:t>
      </w:r>
    </w:p>
  </w:footnote>
  <w:footnote w:id="29">
    <w:p w:rsidR="00CB1379" w:rsidRPr="003F6A38" w:rsidP="003F6A38" w14:paraId="58ECE848" w14:textId="77777777">
      <w:pPr>
        <w:pStyle w:val="FootnoteText"/>
      </w:pPr>
      <w:r w:rsidRPr="003F6A38">
        <w:rPr>
          <w:rStyle w:val="FootnoteReference"/>
        </w:rPr>
        <w:footnoteRef/>
      </w:r>
      <w:r w:rsidRPr="003F6A38">
        <w:t xml:space="preserve"> </w:t>
      </w:r>
      <w:r w:rsidRPr="003F6A38">
        <w:rPr>
          <w:i/>
        </w:rPr>
        <w:t>Id.</w:t>
      </w:r>
      <w:r w:rsidRPr="003F6A38">
        <w:t xml:space="preserve"> at </w:t>
      </w:r>
      <w:r w:rsidRPr="003F6A38">
        <w:t>i</w:t>
      </w:r>
      <w:r w:rsidRPr="003F6A38">
        <w:t>-ii, 4-17, paras. 6-32.</w:t>
      </w:r>
    </w:p>
  </w:footnote>
  <w:footnote w:id="30">
    <w:p w:rsidR="00CB1379" w:rsidRPr="003F6A38" w:rsidP="003F6A38" w14:paraId="1397F78A" w14:textId="0AC77DCD">
      <w:pPr>
        <w:pStyle w:val="FootnoteText"/>
      </w:pPr>
      <w:r w:rsidRPr="003F6A38">
        <w:rPr>
          <w:rStyle w:val="FootnoteReference"/>
        </w:rPr>
        <w:footnoteRef/>
      </w:r>
      <w:r w:rsidRPr="003F6A38">
        <w:rPr>
          <w:i/>
          <w:iCs/>
        </w:rPr>
        <w:t xml:space="preserve"> See </w:t>
      </w:r>
      <w:r w:rsidRPr="00CB1379">
        <w:rPr>
          <w:i/>
          <w:iCs/>
        </w:rPr>
        <w:t>NAL</w:t>
      </w:r>
      <w:r w:rsidRPr="003F6A38">
        <w:t xml:space="preserve">, 34 FCC </w:t>
      </w:r>
      <w:r w:rsidRPr="003F6A38">
        <w:t>Rcd</w:t>
      </w:r>
      <w:r w:rsidRPr="003F6A38">
        <w:t xml:space="preserve"> at 7289-90, para. 1 n.2;</w:t>
      </w:r>
      <w:r w:rsidRPr="003F6A38">
        <w:rPr>
          <w:i/>
        </w:rPr>
        <w:t xml:space="preserve"> </w:t>
      </w:r>
      <w:r w:rsidRPr="003F6A38">
        <w:rPr>
          <w:i/>
          <w:iCs/>
        </w:rPr>
        <w:t>2018 Transfer of Control</w:t>
      </w:r>
      <w:r w:rsidRPr="003F6A38">
        <w:t>.</w:t>
      </w:r>
    </w:p>
  </w:footnote>
  <w:footnote w:id="31">
    <w:p w:rsidR="00CB1379" w:rsidRPr="003F6A38" w:rsidP="003F6A38" w14:paraId="48001364" w14:textId="77777777">
      <w:pPr>
        <w:pStyle w:val="FootnoteText"/>
      </w:pPr>
      <w:r w:rsidRPr="003F6A38">
        <w:rPr>
          <w:rStyle w:val="FootnoteReference"/>
        </w:rPr>
        <w:footnoteRef/>
      </w:r>
      <w:r w:rsidRPr="003F6A38">
        <w:t xml:space="preserve"> NAL Response at </w:t>
      </w:r>
      <w:r w:rsidRPr="003F6A38">
        <w:t>i</w:t>
      </w:r>
      <w:r w:rsidRPr="003F6A38">
        <w:t>-ii, 4, para. 7.</w:t>
      </w:r>
    </w:p>
  </w:footnote>
  <w:footnote w:id="32">
    <w:p w:rsidR="00CB1379" w:rsidRPr="003F6A38" w:rsidP="003F6A38" w14:paraId="45F4CE40" w14:textId="77777777">
      <w:pPr>
        <w:pStyle w:val="FootnoteText"/>
      </w:pPr>
      <w:r w:rsidRPr="003F6A38">
        <w:rPr>
          <w:rStyle w:val="FootnoteReference"/>
        </w:rPr>
        <w:footnoteRef/>
      </w:r>
      <w:r w:rsidRPr="003F6A38">
        <w:t xml:space="preserve"> </w:t>
      </w:r>
      <w:r w:rsidRPr="003F6A38">
        <w:rPr>
          <w:i/>
        </w:rPr>
        <w:t>Id.</w:t>
      </w:r>
      <w:r w:rsidRPr="003F6A38">
        <w:t xml:space="preserve"> at 5-6, para. 8.</w:t>
      </w:r>
    </w:p>
  </w:footnote>
  <w:footnote w:id="33">
    <w:p w:rsidR="00CB1379" w:rsidRPr="003F6A38" w:rsidP="003F6A38" w14:paraId="5B994ECE" w14:textId="77777777">
      <w:pPr>
        <w:pStyle w:val="FootnoteText"/>
      </w:pPr>
      <w:r w:rsidRPr="003F6A38">
        <w:rPr>
          <w:rStyle w:val="FootnoteReference"/>
        </w:rPr>
        <w:footnoteRef/>
      </w:r>
      <w:r w:rsidRPr="003F6A38">
        <w:t xml:space="preserve"> </w:t>
      </w:r>
      <w:r w:rsidRPr="003F6A38">
        <w:rPr>
          <w:i/>
        </w:rPr>
        <w:t>Id.</w:t>
      </w:r>
      <w:r w:rsidRPr="003F6A38">
        <w:t xml:space="preserve"> at ii, 1, 8-10, paras. 13-16.</w:t>
      </w:r>
    </w:p>
  </w:footnote>
  <w:footnote w:id="34">
    <w:p w:rsidR="00CB1379" w:rsidRPr="003F6A38" w:rsidP="003F6A38" w14:paraId="237121B5" w14:textId="77777777">
      <w:pPr>
        <w:pStyle w:val="FootnoteText"/>
      </w:pPr>
      <w:r w:rsidRPr="003F6A38">
        <w:rPr>
          <w:rStyle w:val="FootnoteReference"/>
        </w:rPr>
        <w:footnoteRef/>
      </w:r>
      <w:r w:rsidRPr="003F6A38">
        <w:t xml:space="preserve"> </w:t>
      </w:r>
      <w:r w:rsidRPr="003F6A38">
        <w:rPr>
          <w:i/>
        </w:rPr>
        <w:t>Id.</w:t>
      </w:r>
      <w:r w:rsidRPr="003F6A38">
        <w:t xml:space="preserve"> at 10-13, paras. 16-23.</w:t>
      </w:r>
    </w:p>
  </w:footnote>
  <w:footnote w:id="35">
    <w:p w:rsidR="00CB1379" w:rsidRPr="003F6A38" w:rsidP="003F6A38" w14:paraId="4626F3AC" w14:textId="77777777">
      <w:pPr>
        <w:pStyle w:val="FootnoteText"/>
      </w:pPr>
      <w:r w:rsidRPr="003F6A38">
        <w:rPr>
          <w:rStyle w:val="FootnoteReference"/>
        </w:rPr>
        <w:footnoteRef/>
      </w:r>
      <w:r w:rsidRPr="003F6A38">
        <w:t xml:space="preserve"> </w:t>
      </w:r>
      <w:r w:rsidRPr="003F6A38">
        <w:rPr>
          <w:i/>
        </w:rPr>
        <w:t>Id.</w:t>
      </w:r>
      <w:r w:rsidRPr="003F6A38">
        <w:t xml:space="preserve"> at ii, 14-17, paras. 26-30, 32.</w:t>
      </w:r>
    </w:p>
  </w:footnote>
  <w:footnote w:id="36">
    <w:p w:rsidR="00CB1379" w:rsidRPr="003F6A38" w:rsidP="003F6A38" w14:paraId="5F5EDBEF" w14:textId="77777777">
      <w:pPr>
        <w:pStyle w:val="FootnoteText"/>
      </w:pPr>
      <w:r w:rsidRPr="003F6A38">
        <w:rPr>
          <w:rStyle w:val="FootnoteReference"/>
        </w:rPr>
        <w:footnoteRef/>
      </w:r>
      <w:r w:rsidRPr="003F6A38">
        <w:t xml:space="preserve"> </w:t>
      </w:r>
      <w:r w:rsidRPr="003F6A38">
        <w:rPr>
          <w:color w:val="000000"/>
        </w:rPr>
        <w:t>47 U.S.C. § 503(b).</w:t>
      </w:r>
    </w:p>
  </w:footnote>
  <w:footnote w:id="37">
    <w:p w:rsidR="00CB1379" w:rsidRPr="003F6A38" w:rsidP="003F6A38" w14:paraId="5528407B" w14:textId="77777777">
      <w:pPr>
        <w:pStyle w:val="FootnoteText"/>
      </w:pPr>
      <w:r w:rsidRPr="003F6A38">
        <w:rPr>
          <w:rStyle w:val="FootnoteReference"/>
        </w:rPr>
        <w:footnoteRef/>
      </w:r>
      <w:r w:rsidRPr="003F6A38">
        <w:t xml:space="preserve"> 47 CFR § 1.80.</w:t>
      </w:r>
    </w:p>
  </w:footnote>
  <w:footnote w:id="38">
    <w:p w:rsidR="00CB1379" w:rsidRPr="003F6A38" w:rsidP="003F6A38" w14:paraId="043E94AA" w14:textId="2231C5AA">
      <w:pPr>
        <w:pStyle w:val="FootnoteText"/>
      </w:pPr>
      <w:r w:rsidRPr="003F6A38">
        <w:rPr>
          <w:rStyle w:val="FootnoteReference"/>
        </w:rPr>
        <w:footnoteRef/>
      </w:r>
      <w:r w:rsidRPr="003F6A38">
        <w:rPr>
          <w:i/>
        </w:rPr>
        <w:t xml:space="preserve"> The Commission’s Forfeiture Policy Statement and Amendment of Section 1.80 of the Rules to Incorporate the Forfeiture Guidelines</w:t>
      </w:r>
      <w:r w:rsidRPr="003F6A38">
        <w:t xml:space="preserve">, Report and Order, 12 FCC </w:t>
      </w:r>
      <w:r w:rsidRPr="003F6A38">
        <w:t>Rcd</w:t>
      </w:r>
      <w:r w:rsidRPr="003F6A38">
        <w:t xml:space="preserve"> 17087 (1997) (</w:t>
      </w:r>
      <w:r w:rsidRPr="003F6A38">
        <w:rPr>
          <w:i/>
        </w:rPr>
        <w:t>Forfeiture Policy Statement</w:t>
      </w:r>
      <w:r w:rsidRPr="003F6A38">
        <w:t xml:space="preserve">), </w:t>
      </w:r>
      <w:r>
        <w:rPr>
          <w:i/>
        </w:rPr>
        <w:t>recons</w:t>
      </w:r>
      <w:r w:rsidRPr="003F6A38">
        <w:rPr>
          <w:i/>
        </w:rPr>
        <w:t>. denied</w:t>
      </w:r>
      <w:r w:rsidRPr="003F6A38">
        <w:t xml:space="preserve">, Memorandum Opinion and Order, 15 FCC </w:t>
      </w:r>
      <w:r w:rsidRPr="003F6A38">
        <w:t>Rcd</w:t>
      </w:r>
      <w:r w:rsidRPr="003F6A38">
        <w:t xml:space="preserve"> 303 (1999). </w:t>
      </w:r>
    </w:p>
  </w:footnote>
  <w:footnote w:id="39">
    <w:p w:rsidR="00CB1379" w:rsidRPr="003F6A38" w:rsidP="003F6A38" w14:paraId="6FD9F966" w14:textId="77777777">
      <w:pPr>
        <w:pStyle w:val="FootnoteText"/>
      </w:pPr>
      <w:r w:rsidRPr="003F6A38">
        <w:rPr>
          <w:rStyle w:val="FootnoteReference"/>
        </w:rPr>
        <w:footnoteRef/>
      </w:r>
      <w:r w:rsidRPr="003F6A38">
        <w:t xml:space="preserve"> 47 U.S.C. § 503(b)(2)(E).</w:t>
      </w:r>
    </w:p>
  </w:footnote>
  <w:footnote w:id="40">
    <w:p w:rsidR="00CB1379" w:rsidRPr="003F6A38" w:rsidP="003F6A38" w14:paraId="1841AE60" w14:textId="6A78DA54">
      <w:pPr>
        <w:pStyle w:val="FootnoteText"/>
      </w:pPr>
      <w:r w:rsidRPr="003F6A38">
        <w:rPr>
          <w:rStyle w:val="FootnoteReference"/>
        </w:rPr>
        <w:footnoteRef/>
      </w:r>
      <w:r w:rsidRPr="003F6A38">
        <w:t xml:space="preserve"> </w:t>
      </w:r>
      <w:r w:rsidRPr="003F6A38">
        <w:rPr>
          <w:i/>
          <w:iCs/>
        </w:rPr>
        <w:t>See</w:t>
      </w:r>
      <w:r w:rsidRPr="003F6A38">
        <w:t xml:space="preserve"> </w:t>
      </w:r>
      <w:r w:rsidRPr="00CB1379">
        <w:rPr>
          <w:i/>
          <w:iCs/>
        </w:rPr>
        <w:t>NAL</w:t>
      </w:r>
      <w:r w:rsidRPr="003F6A38">
        <w:t xml:space="preserve">, 34 FCC </w:t>
      </w:r>
      <w:r w:rsidRPr="003F6A38">
        <w:t>Rcd</w:t>
      </w:r>
      <w:r w:rsidRPr="003F6A38">
        <w:t xml:space="preserve"> at 7292-93, paras. 7-10. </w:t>
      </w:r>
    </w:p>
  </w:footnote>
  <w:footnote w:id="41">
    <w:p w:rsidR="00CB1379" w:rsidRPr="003F6A38" w:rsidP="003F6A38" w14:paraId="2ACB5724" w14:textId="77777777">
      <w:pPr>
        <w:pStyle w:val="FootnoteText"/>
      </w:pPr>
      <w:r w:rsidRPr="003F6A38">
        <w:rPr>
          <w:rStyle w:val="FootnoteReference"/>
        </w:rPr>
        <w:footnoteRef/>
      </w:r>
      <w:r w:rsidRPr="003F6A38">
        <w:t xml:space="preserve"> NAL Response at 2, 13-14, paras. 2, 24 (“On January 8, 2018, Cumulus reported that one advertisement aired on six (6) stations on . . . May 16, 2017, without the proper sponsorship ID.  The [Bureau] was not notified within the 15-day period. . . . Admittedly, the [Consent Decree] violation should have been reported to the Commission within 15 days.”). </w:t>
      </w:r>
    </w:p>
  </w:footnote>
  <w:footnote w:id="42">
    <w:p w:rsidR="00CB1379" w:rsidRPr="003F6A38" w:rsidP="003F6A38" w14:paraId="55DAD7BE" w14:textId="395CC4F9">
      <w:pPr>
        <w:pStyle w:val="FootnoteText"/>
      </w:pPr>
      <w:r w:rsidRPr="003F6A38">
        <w:rPr>
          <w:rStyle w:val="FootnoteReference"/>
        </w:rPr>
        <w:footnoteRef/>
      </w:r>
      <w:r w:rsidRPr="003F6A38">
        <w:t xml:space="preserve"> </w:t>
      </w:r>
      <w:r w:rsidRPr="00CB1379">
        <w:rPr>
          <w:i/>
          <w:iCs/>
        </w:rPr>
        <w:t>NAL</w:t>
      </w:r>
      <w:r w:rsidRPr="003F6A38">
        <w:t xml:space="preserve">, 34 FCC </w:t>
      </w:r>
      <w:r w:rsidRPr="003F6A38">
        <w:t>Rcd</w:t>
      </w:r>
      <w:r w:rsidRPr="003F6A38">
        <w:t xml:space="preserve"> at 7292-93, paras. 7-10. </w:t>
      </w:r>
    </w:p>
  </w:footnote>
  <w:footnote w:id="43">
    <w:p w:rsidR="00CB1379" w:rsidRPr="003F6A38" w:rsidP="003F6A38" w14:paraId="479381CB" w14:textId="77777777">
      <w:pPr>
        <w:pStyle w:val="FootnoteText"/>
      </w:pPr>
      <w:r w:rsidRPr="003F6A38">
        <w:rPr>
          <w:rStyle w:val="FootnoteReference"/>
        </w:rPr>
        <w:footnoteRef/>
      </w:r>
      <w:r w:rsidRPr="003F6A38">
        <w:t xml:space="preserve"> NAL Response at 4, para. 6.</w:t>
      </w:r>
    </w:p>
  </w:footnote>
  <w:footnote w:id="44">
    <w:p w:rsidR="00CB1379" w:rsidRPr="003F6A38" w:rsidP="003F6A38" w14:paraId="00E7268F" w14:textId="77777777">
      <w:pPr>
        <w:pStyle w:val="FootnoteText"/>
      </w:pPr>
      <w:r w:rsidRPr="003F6A38">
        <w:rPr>
          <w:rStyle w:val="FootnoteReference"/>
        </w:rPr>
        <w:footnoteRef/>
      </w:r>
      <w:r w:rsidRPr="003F6A38">
        <w:t xml:space="preserve"> </w:t>
      </w:r>
      <w:r w:rsidRPr="003F6A38">
        <w:rPr>
          <w:i/>
        </w:rPr>
        <w:t>Id</w:t>
      </w:r>
      <w:r w:rsidRPr="003F6A38">
        <w:t>. at 1, 4-13, paras. 6-23.</w:t>
      </w:r>
    </w:p>
  </w:footnote>
  <w:footnote w:id="45">
    <w:p w:rsidR="00CB1379" w:rsidRPr="003F6A38" w:rsidP="003F6A38" w14:paraId="3EBEFF4F" w14:textId="77777777">
      <w:pPr>
        <w:pStyle w:val="FootnoteText"/>
      </w:pPr>
      <w:r w:rsidRPr="003F6A38">
        <w:rPr>
          <w:rStyle w:val="FootnoteReference"/>
        </w:rPr>
        <w:footnoteRef/>
      </w:r>
      <w:r w:rsidRPr="003F6A38">
        <w:t xml:space="preserve"> </w:t>
      </w:r>
      <w:r w:rsidRPr="003F6A38">
        <w:rPr>
          <w:rStyle w:val="Emphasis"/>
          <w:bdr w:val="none" w:sz="0" w:space="0" w:color="auto" w:frame="1"/>
          <w:shd w:val="clear" w:color="auto" w:fill="FFFFFF"/>
        </w:rPr>
        <w:t>Forfeiture Policy Statement</w:t>
      </w:r>
      <w:r w:rsidRPr="003F6A38">
        <w:rPr>
          <w:bdr w:val="none" w:sz="0" w:space="0" w:color="auto" w:frame="1"/>
          <w:shd w:val="clear" w:color="auto" w:fill="FFFFFF"/>
        </w:rPr>
        <w:t xml:space="preserve">, 12 FCC </w:t>
      </w:r>
      <w:r w:rsidRPr="003F6A38">
        <w:rPr>
          <w:bdr w:val="none" w:sz="0" w:space="0" w:color="auto" w:frame="1"/>
          <w:shd w:val="clear" w:color="auto" w:fill="FFFFFF"/>
        </w:rPr>
        <w:t>Rcd</w:t>
      </w:r>
      <w:r w:rsidRPr="003F6A38">
        <w:rPr>
          <w:bdr w:val="none" w:sz="0" w:space="0" w:color="auto" w:frame="1"/>
          <w:shd w:val="clear" w:color="auto" w:fill="FFFFFF"/>
        </w:rPr>
        <w:t xml:space="preserve"> at 17098-99, para. 22 </w:t>
      </w:r>
      <w:r w:rsidRPr="003F6A38">
        <w:rPr>
          <w:shd w:val="clear" w:color="auto" w:fill="FFFFFF"/>
        </w:rPr>
        <w:t>(noting that “[a]</w:t>
      </w:r>
      <w:r w:rsidRPr="003F6A38">
        <w:rPr>
          <w:shd w:val="clear" w:color="auto" w:fill="FFFFFF"/>
        </w:rPr>
        <w:t>lthough</w:t>
      </w:r>
      <w:r w:rsidRPr="003F6A38">
        <w:rPr>
          <w:shd w:val="clear" w:color="auto" w:fill="FFFFFF"/>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p>
  </w:footnote>
  <w:footnote w:id="46">
    <w:p w:rsidR="00CB1379" w:rsidRPr="003F6A38" w:rsidP="003F6A38" w14:paraId="40555EDB" w14:textId="36FD52FC">
      <w:pPr>
        <w:pStyle w:val="FootnoteText"/>
      </w:pPr>
      <w:r w:rsidRPr="003F6A38">
        <w:rPr>
          <w:rStyle w:val="FootnoteReference"/>
        </w:rPr>
        <w:footnoteRef/>
      </w:r>
      <w:r w:rsidRPr="003F6A38">
        <w:t xml:space="preserve"> </w:t>
      </w:r>
      <w:r w:rsidRPr="00CB1379">
        <w:rPr>
          <w:i/>
          <w:iCs/>
        </w:rPr>
        <w:t>NAL</w:t>
      </w:r>
      <w:r w:rsidRPr="003F6A38">
        <w:t xml:space="preserve">, 34 FCC </w:t>
      </w:r>
      <w:r w:rsidRPr="003F6A38">
        <w:t>Rcd</w:t>
      </w:r>
      <w:r w:rsidRPr="003F6A38">
        <w:t xml:space="preserve"> at 7295-96, para. 16.  </w:t>
      </w:r>
    </w:p>
  </w:footnote>
  <w:footnote w:id="47">
    <w:p w:rsidR="00CB1379" w:rsidRPr="003F6A38" w:rsidP="003F6A38" w14:paraId="2624BEBE" w14:textId="6D74B929">
      <w:pPr>
        <w:pStyle w:val="FootnoteText"/>
      </w:pPr>
      <w:r w:rsidRPr="003F6A38">
        <w:rPr>
          <w:rStyle w:val="FootnoteReference"/>
        </w:rPr>
        <w:footnoteRef/>
      </w:r>
      <w:r w:rsidRPr="003F6A38">
        <w:t xml:space="preserve"> The statutory maximum here would be $1,331,772, which is the result of multiplying $51,222 by 26 for each one of the 26 sponsorship identification violations.  </w:t>
      </w:r>
      <w:r w:rsidRPr="003F6A38">
        <w:rPr>
          <w:i/>
          <w:iCs/>
          <w:snapToGrid w:val="0"/>
        </w:rPr>
        <w:t xml:space="preserve">See </w:t>
      </w:r>
      <w:r w:rsidRPr="003F6A38">
        <w:rPr>
          <w:snapToGrid w:val="0"/>
        </w:rPr>
        <w:t>47 CFR § 1.80(b)(9)(ii);</w:t>
      </w:r>
      <w:r w:rsidRPr="003F6A38">
        <w:rPr>
          <w:i/>
          <w:iCs/>
          <w:snapToGrid w:val="0"/>
        </w:rPr>
        <w:t xml:space="preserve"> Amendment of Section 1.80(b) of the Commission’s Rules, Adjustment of Civil Monetary Penalties to Reflect Inflation</w:t>
      </w:r>
      <w:r w:rsidRPr="003F6A38">
        <w:rPr>
          <w:snapToGrid w:val="0"/>
        </w:rPr>
        <w:t xml:space="preserve">, Order, </w:t>
      </w:r>
      <w:r w:rsidRPr="003F6A38">
        <w:rPr>
          <w:rStyle w:val="item-value"/>
        </w:rPr>
        <w:t xml:space="preserve">34 FCC </w:t>
      </w:r>
      <w:r w:rsidRPr="003F6A38">
        <w:rPr>
          <w:rStyle w:val="item-value"/>
        </w:rPr>
        <w:t>Rcd</w:t>
      </w:r>
      <w:r w:rsidRPr="003F6A38">
        <w:rPr>
          <w:rStyle w:val="item-value"/>
        </w:rPr>
        <w:t xml:space="preserve"> 12824, 12828</w:t>
      </w:r>
      <w:r w:rsidRPr="003F6A38">
        <w:rPr>
          <w:snapToGrid w:val="0"/>
        </w:rPr>
        <w:t xml:space="preserve"> (EB 2019) (increasing the section 503(b)(2)(A) of the Act forfeiture per violation up to $51,222 as the maximum penalty after 2020 annual inflation adjustment)</w:t>
      </w:r>
      <w:r>
        <w:rPr>
          <w:snapToGrid w:val="0"/>
        </w:rPr>
        <w:t xml:space="preserve">. </w:t>
      </w:r>
      <w:r w:rsidRPr="003F6A38">
        <w:rPr>
          <w:snapToGrid w:val="0"/>
        </w:rPr>
        <w:t xml:space="preserve"> </w:t>
      </w:r>
      <w:r>
        <w:rPr>
          <w:i/>
          <w:iCs/>
          <w:snapToGrid w:val="0"/>
        </w:rPr>
        <w:t>S</w:t>
      </w:r>
      <w:r w:rsidRPr="003F6A38">
        <w:rPr>
          <w:i/>
          <w:iCs/>
          <w:snapToGrid w:val="0"/>
        </w:rPr>
        <w:t xml:space="preserve">ee also </w:t>
      </w:r>
      <w:r w:rsidRPr="003F6A38">
        <w:rPr>
          <w:snapToGrid w:val="0"/>
        </w:rPr>
        <w:t>FCC, Annual Adjustment of Civil Monetary Penalties to Reflect Inflation, 85 Fed. Reg. 2318 (Jan. 15, 2020).</w:t>
      </w:r>
    </w:p>
  </w:footnote>
  <w:footnote w:id="48">
    <w:p w:rsidR="00CB1379" w:rsidRPr="003F6A38" w:rsidP="003F6A38" w14:paraId="6AB647ED" w14:textId="77777777">
      <w:pPr>
        <w:pStyle w:val="FootnoteText"/>
      </w:pPr>
      <w:r w:rsidRPr="003F6A38">
        <w:rPr>
          <w:rStyle w:val="FootnoteReference"/>
        </w:rPr>
        <w:footnoteRef/>
      </w:r>
      <w:r w:rsidRPr="003F6A38">
        <w:t xml:space="preserve"> NAL Response at </w:t>
      </w:r>
      <w:r w:rsidRPr="003F6A38">
        <w:t>i</w:t>
      </w:r>
      <w:r w:rsidRPr="003F6A38">
        <w:t>-ii, 4, para. 7.</w:t>
      </w:r>
    </w:p>
  </w:footnote>
  <w:footnote w:id="49">
    <w:p w:rsidR="00CB1379" w:rsidRPr="003F6A38" w:rsidP="003F6A38" w14:paraId="6DF2452F" w14:textId="77777777">
      <w:pPr>
        <w:pStyle w:val="FootnoteText"/>
      </w:pPr>
      <w:r w:rsidRPr="003F6A38">
        <w:rPr>
          <w:rStyle w:val="FootnoteReference"/>
        </w:rPr>
        <w:footnoteRef/>
      </w:r>
      <w:r w:rsidRPr="003F6A38">
        <w:t xml:space="preserve"> </w:t>
      </w:r>
      <w:r w:rsidRPr="003F6A38">
        <w:rPr>
          <w:i/>
          <w:iCs/>
        </w:rPr>
        <w:t>Id.</w:t>
      </w:r>
      <w:r w:rsidRPr="003F6A38">
        <w:t xml:space="preserve"> at 5-6, para. 8.</w:t>
      </w:r>
    </w:p>
  </w:footnote>
  <w:footnote w:id="50">
    <w:p w:rsidR="00CB1379" w:rsidRPr="003F6A38" w:rsidP="003F6A38" w14:paraId="0255001C" w14:textId="77777777">
      <w:pPr>
        <w:pStyle w:val="FootnoteText"/>
      </w:pPr>
      <w:r w:rsidRPr="003F6A38">
        <w:rPr>
          <w:rStyle w:val="FootnoteReference"/>
        </w:rPr>
        <w:footnoteRef/>
      </w:r>
      <w:r w:rsidRPr="003F6A38">
        <w:t xml:space="preserve"> </w:t>
      </w:r>
      <w:r w:rsidRPr="003F6A38">
        <w:rPr>
          <w:i/>
        </w:rPr>
        <w:t>Id</w:t>
      </w:r>
      <w:r w:rsidRPr="003F6A38">
        <w:t xml:space="preserve">. </w:t>
      </w:r>
    </w:p>
  </w:footnote>
  <w:footnote w:id="51">
    <w:p w:rsidR="00CB1379" w:rsidRPr="003F6A38" w:rsidP="00971F1B" w14:paraId="02B4E720" w14:textId="1798ACE8">
      <w:pPr>
        <w:pStyle w:val="FootnoteText"/>
      </w:pPr>
      <w:r w:rsidRPr="003F6A38">
        <w:rPr>
          <w:rStyle w:val="FootnoteReference"/>
        </w:rPr>
        <w:footnoteRef/>
      </w:r>
      <w:r w:rsidRPr="003F6A38">
        <w:t xml:space="preserve"> </w:t>
      </w:r>
      <w:r w:rsidRPr="003F6A38">
        <w:rPr>
          <w:i/>
        </w:rPr>
        <w:t>See, e.g.,</w:t>
      </w:r>
      <w:r w:rsidRPr="003F6A38">
        <w:t xml:space="preserve"> </w:t>
      </w:r>
      <w:r w:rsidRPr="00E73E68">
        <w:rPr>
          <w:i/>
          <w:iCs/>
        </w:rPr>
        <w:t xml:space="preserve">EZ Sacramento, Inc. and </w:t>
      </w:r>
      <w:r w:rsidRPr="009773A3">
        <w:rPr>
          <w:i/>
          <w:iCs/>
        </w:rPr>
        <w:t>I</w:t>
      </w:r>
      <w:r w:rsidRPr="003F6A38">
        <w:rPr>
          <w:i/>
          <w:iCs/>
        </w:rPr>
        <w:t>nfinity Broadcasting Corp. of Washington, D.C.</w:t>
      </w:r>
      <w:r w:rsidRPr="003F6A38">
        <w:t xml:space="preserve">, Memorandum Opinion and Order, 16 FCC </w:t>
      </w:r>
      <w:r w:rsidRPr="003F6A38">
        <w:t>Rcd</w:t>
      </w:r>
      <w:r w:rsidRPr="003F6A38">
        <w:t xml:space="preserve"> 4958, 4959, para. 3 (2001) (finding the fact ownership of the company changed hands does not affect the company’s liability)</w:t>
      </w:r>
      <w:r w:rsidR="00C63321">
        <w:t xml:space="preserve"> (</w:t>
      </w:r>
      <w:r w:rsidR="00C63321">
        <w:rPr>
          <w:i/>
          <w:iCs/>
        </w:rPr>
        <w:t>EZ Sacramento</w:t>
      </w:r>
      <w:r w:rsidR="00C63321">
        <w:t>)</w:t>
      </w:r>
      <w:r w:rsidRPr="003F6A38">
        <w:t xml:space="preserve">, </w:t>
      </w:r>
      <w:r>
        <w:rPr>
          <w:rStyle w:val="Emphasis"/>
          <w:bdr w:val="none" w:sz="0" w:space="0" w:color="auto" w:frame="1"/>
          <w:shd w:val="clear" w:color="auto" w:fill="FFFFFF"/>
        </w:rPr>
        <w:t>recons</w:t>
      </w:r>
      <w:r w:rsidRPr="003F6A38">
        <w:rPr>
          <w:rStyle w:val="Emphasis"/>
          <w:bdr w:val="none" w:sz="0" w:space="0" w:color="auto" w:frame="1"/>
          <w:shd w:val="clear" w:color="auto" w:fill="FFFFFF"/>
        </w:rPr>
        <w:t>. dismissed</w:t>
      </w:r>
      <w:r w:rsidRPr="003F6A38">
        <w:rPr>
          <w:shd w:val="clear" w:color="auto" w:fill="FFFFFF"/>
        </w:rPr>
        <w:t xml:space="preserve">, </w:t>
      </w:r>
      <w:r w:rsidRPr="003F6A38">
        <w:rPr>
          <w:color w:val="252525"/>
          <w:shd w:val="clear" w:color="auto" w:fill="FFFFFF"/>
        </w:rPr>
        <w:t>Memorandum Opinion and Order, </w:t>
      </w:r>
      <w:r w:rsidRPr="003F6A38">
        <w:rPr>
          <w:bdr w:val="none" w:sz="0" w:space="0" w:color="auto" w:frame="1"/>
          <w:shd w:val="clear" w:color="auto" w:fill="FFFFFF"/>
        </w:rPr>
        <w:t xml:space="preserve">16 FCC </w:t>
      </w:r>
      <w:r w:rsidRPr="003F6A38">
        <w:rPr>
          <w:bdr w:val="none" w:sz="0" w:space="0" w:color="auto" w:frame="1"/>
          <w:shd w:val="clear" w:color="auto" w:fill="FFFFFF"/>
        </w:rPr>
        <w:t>Rcd</w:t>
      </w:r>
      <w:r w:rsidRPr="003F6A38">
        <w:rPr>
          <w:bdr w:val="none" w:sz="0" w:space="0" w:color="auto" w:frame="1"/>
          <w:shd w:val="clear" w:color="auto" w:fill="FFFFFF"/>
        </w:rPr>
        <w:t xml:space="preserve"> 15605 (2001)</w:t>
      </w:r>
      <w:r w:rsidRPr="003F6A38">
        <w:rPr>
          <w:color w:val="252525"/>
          <w:shd w:val="clear" w:color="auto" w:fill="FFFFFF"/>
        </w:rPr>
        <w:t xml:space="preserve">; </w:t>
      </w:r>
      <w:r w:rsidRPr="003F6A38">
        <w:rPr>
          <w:i/>
        </w:rPr>
        <w:t>Winslow Communications, Inc</w:t>
      </w:r>
      <w:r w:rsidRPr="003F6A38">
        <w:t>., Memorandum Opinion and Order, 45 FCC2d 662 (1974) (rejecting licensee’s argument that it should not be liable for violation when violation occurred prior to transfer of control of licensee’s stock).</w:t>
      </w:r>
    </w:p>
  </w:footnote>
  <w:footnote w:id="52">
    <w:p w:rsidR="00CB1379" w14:paraId="5F8FA3B9" w14:textId="5337A70C">
      <w:pPr>
        <w:pStyle w:val="FootnoteText"/>
      </w:pPr>
      <w:r>
        <w:rPr>
          <w:rStyle w:val="FootnoteReference"/>
        </w:rPr>
        <w:footnoteRef/>
      </w:r>
      <w:r>
        <w:t xml:space="preserve"> </w:t>
      </w:r>
      <w:r w:rsidRPr="00864A14">
        <w:t>NAL Response</w:t>
      </w:r>
      <w:r w:rsidRPr="00CB1379">
        <w:t xml:space="preserve"> </w:t>
      </w:r>
      <w:r>
        <w:t xml:space="preserve">at </w:t>
      </w:r>
      <w:r>
        <w:t>i</w:t>
      </w:r>
      <w:r>
        <w:t xml:space="preserve">.  </w:t>
      </w:r>
    </w:p>
  </w:footnote>
  <w:footnote w:id="53">
    <w:p w:rsidR="00CB1379" w14:paraId="62DD33F6" w14:textId="7F64F7F4">
      <w:pPr>
        <w:pStyle w:val="FootnoteText"/>
      </w:pPr>
      <w:r>
        <w:rPr>
          <w:rStyle w:val="FootnoteReference"/>
        </w:rPr>
        <w:footnoteRef/>
      </w:r>
      <w:r>
        <w:t xml:space="preserve"> </w:t>
      </w:r>
      <w:r w:rsidRPr="003F6A38">
        <w:t xml:space="preserve">47 U.S.C. § </w:t>
      </w:r>
      <w:r>
        <w:t>503</w:t>
      </w:r>
      <w:r w:rsidRPr="003F6A38">
        <w:t>(</w:t>
      </w:r>
      <w:r>
        <w:t>b</w:t>
      </w:r>
      <w:r w:rsidRPr="003F6A38">
        <w:t>)(</w:t>
      </w:r>
      <w:r>
        <w:t>2</w:t>
      </w:r>
      <w:r w:rsidRPr="003F6A38">
        <w:t>)</w:t>
      </w:r>
      <w:r>
        <w:t xml:space="preserve">(E) (“In determining the amount of such a forfeiture penalty, the Commission or its designee shall take into account the nature, circumstances, extent, and gravity of the violation and, with respect to the violator, the degree of culpability, </w:t>
      </w:r>
      <w:r w:rsidRPr="005F4170">
        <w:rPr>
          <w:i/>
          <w:iCs/>
        </w:rPr>
        <w:t>any history of prior offenses</w:t>
      </w:r>
      <w:r>
        <w:t>, ability to pay, and such other matters as justice may require.”)</w:t>
      </w:r>
      <w:r w:rsidR="00467835">
        <w:t xml:space="preserve"> </w:t>
      </w:r>
      <w:r>
        <w:t>(</w:t>
      </w:r>
      <w:r w:rsidRPr="00180CE1">
        <w:t>emphasis added</w:t>
      </w:r>
      <w:r>
        <w:t>)</w:t>
      </w:r>
      <w:r w:rsidRPr="003F6A38">
        <w:t>.</w:t>
      </w:r>
    </w:p>
  </w:footnote>
  <w:footnote w:id="54">
    <w:p w:rsidR="00CB1379" w14:paraId="1CA18D70" w14:textId="7BF7D838">
      <w:pPr>
        <w:pStyle w:val="FootnoteText"/>
      </w:pPr>
      <w:r>
        <w:rPr>
          <w:rStyle w:val="FootnoteReference"/>
        </w:rPr>
        <w:footnoteRef/>
      </w:r>
      <w:r>
        <w:t xml:space="preserve"> </w:t>
      </w:r>
      <w:r w:rsidRPr="003F6A38">
        <w:rPr>
          <w:i/>
        </w:rPr>
        <w:t>See, e.g.,</w:t>
      </w:r>
      <w:r w:rsidRPr="003F6A38">
        <w:t xml:space="preserve"> </w:t>
      </w:r>
      <w:r w:rsidRPr="00E73E68">
        <w:rPr>
          <w:i/>
          <w:iCs/>
        </w:rPr>
        <w:t>EZ Sacramento</w:t>
      </w:r>
      <w:r w:rsidRPr="003F6A38">
        <w:t xml:space="preserve"> 16 FCC </w:t>
      </w:r>
      <w:r w:rsidRPr="003F6A38">
        <w:t>Rcd</w:t>
      </w:r>
      <w:r w:rsidRPr="003F6A38">
        <w:t xml:space="preserve"> </w:t>
      </w:r>
      <w:r w:rsidR="00C63321">
        <w:t>at</w:t>
      </w:r>
      <w:r w:rsidRPr="003F6A38">
        <w:t xml:space="preserve"> 4959, para. 3</w:t>
      </w:r>
      <w:r w:rsidR="00C63321">
        <w:t>.</w:t>
      </w:r>
      <w:r w:rsidRPr="003F6A38">
        <w:t xml:space="preserve"> </w:t>
      </w:r>
    </w:p>
  </w:footnote>
  <w:footnote w:id="55">
    <w:p w:rsidR="00CB1379" w14:paraId="03A75732" w14:textId="501EAF51">
      <w:pPr>
        <w:pStyle w:val="FootnoteText"/>
      </w:pPr>
      <w:r>
        <w:rPr>
          <w:rStyle w:val="FootnoteReference"/>
        </w:rPr>
        <w:footnoteRef/>
      </w:r>
      <w:r>
        <w:t xml:space="preserve"> </w:t>
      </w:r>
      <w:r w:rsidRPr="003F6A38">
        <w:rPr>
          <w:i/>
          <w:iCs/>
        </w:rPr>
        <w:t>See, e.g</w:t>
      </w:r>
      <w:r w:rsidRPr="003F6A38">
        <w:t xml:space="preserve">., </w:t>
      </w:r>
      <w:r w:rsidRPr="003F6A38">
        <w:rPr>
          <w:i/>
          <w:iCs/>
        </w:rPr>
        <w:t>2018 Transfer of Control</w:t>
      </w:r>
      <w:r w:rsidRPr="003F6A38">
        <w:t xml:space="preserve">, 33 FCC </w:t>
      </w:r>
      <w:r w:rsidRPr="003F6A38">
        <w:t>Rcd</w:t>
      </w:r>
      <w:r w:rsidRPr="003F6A38">
        <w:t xml:space="preserve"> at 5244, para.</w:t>
      </w:r>
      <w:r>
        <w:t xml:space="preserve"> 2.</w:t>
      </w:r>
    </w:p>
  </w:footnote>
  <w:footnote w:id="56">
    <w:p w:rsidR="00CB1379" w:rsidRPr="00A30D91" w:rsidP="00A30D91" w14:paraId="02E5466E" w14:textId="3A3FFEEB">
      <w:pPr>
        <w:pStyle w:val="FootnoteText"/>
      </w:pPr>
      <w:r w:rsidRPr="00B22B4C">
        <w:rPr>
          <w:rStyle w:val="FootnoteReference"/>
        </w:rPr>
        <w:footnoteRef/>
      </w:r>
      <w:r w:rsidRPr="005F4170">
        <w:t xml:space="preserve"> </w:t>
      </w:r>
      <w:r w:rsidRPr="005F4170">
        <w:rPr>
          <w:i/>
          <w:iCs/>
        </w:rPr>
        <w:t xml:space="preserve">See </w:t>
      </w:r>
      <w:r w:rsidRPr="00A30D91">
        <w:rPr>
          <w:rStyle w:val="FootnoteTextChar1CharCharCharCharCharChar"/>
          <w:i/>
          <w:iCs/>
        </w:rPr>
        <w:t>Emerging</w:t>
      </w:r>
      <w:r w:rsidRPr="00A30D91">
        <w:rPr>
          <w:i/>
          <w:iCs/>
        </w:rPr>
        <w:t xml:space="preserve"> </w:t>
      </w:r>
      <w:r w:rsidRPr="005F4170">
        <w:rPr>
          <w:i/>
          <w:iCs/>
        </w:rPr>
        <w:t>From Chapter 11, Cumulus Turns Page On New Chapter</w:t>
      </w:r>
      <w:r w:rsidRPr="005F4170">
        <w:t xml:space="preserve">, Inside Radio (June 5, 2018), </w:t>
      </w:r>
      <w:hyperlink r:id="rId1" w:history="1">
        <w:r w:rsidRPr="005F4170">
          <w:rPr>
            <w:rStyle w:val="Hyperlink"/>
          </w:rPr>
          <w:t>http://www.insideradio.com/emerging-from-chapter-11-cumulus-turns-page-on-new-chapter/article_b6193d3c-6882-11e8-85d1-0b7d91a4acdb.html?utm_medium=social&amp;utm_source=email&amp;utm_campaign=user-share</w:t>
        </w:r>
      </w:hyperlink>
      <w:r w:rsidRPr="005F4170">
        <w:t>.</w:t>
      </w:r>
    </w:p>
  </w:footnote>
  <w:footnote w:id="57">
    <w:p w:rsidR="00CB1379" w:rsidRPr="00D82441" w14:paraId="181222E0" w14:textId="012AC2A2">
      <w:pPr>
        <w:pStyle w:val="FootnoteText"/>
      </w:pPr>
      <w:r>
        <w:rPr>
          <w:rStyle w:val="FootnoteReference"/>
        </w:rPr>
        <w:footnoteRef/>
      </w:r>
      <w:r>
        <w:t xml:space="preserve"> </w:t>
      </w:r>
      <w:r w:rsidRPr="00864A14" w:rsidR="00DC0DF9">
        <w:rPr>
          <w:i/>
          <w:iCs/>
        </w:rPr>
        <w:t>See</w:t>
      </w:r>
      <w:r w:rsidR="00DC0DF9">
        <w:t xml:space="preserve"> </w:t>
      </w:r>
      <w:r>
        <w:rPr>
          <w:i/>
          <w:iCs/>
        </w:rPr>
        <w:t xml:space="preserve">Consent Decree </w:t>
      </w:r>
      <w:r>
        <w:t>at 14</w:t>
      </w:r>
      <w:r w:rsidR="00DC0DF9">
        <w:t xml:space="preserve"> (signature of Richard Denning </w:t>
      </w:r>
      <w:r w:rsidR="00813082">
        <w:t>as General Counsel of Cumulus and Radio License</w:t>
      </w:r>
      <w:r w:rsidR="00DC0DF9">
        <w:t xml:space="preserve">), and NAL Response (declaration </w:t>
      </w:r>
      <w:r w:rsidR="00813082">
        <w:t>of</w:t>
      </w:r>
      <w:r w:rsidR="00DC0DF9">
        <w:t xml:space="preserve"> Richard Denning as Executive Vice President, General Counsel and Secretary of Cumulus).</w:t>
      </w:r>
    </w:p>
  </w:footnote>
  <w:footnote w:id="58">
    <w:p w:rsidR="00CB1379" w:rsidRPr="003F6A38" w:rsidP="003F6A38" w14:paraId="65136B6B" w14:textId="77777777">
      <w:pPr>
        <w:pStyle w:val="FootnoteText"/>
      </w:pPr>
      <w:r w:rsidRPr="003F6A38">
        <w:rPr>
          <w:rStyle w:val="FootnoteReference"/>
        </w:rPr>
        <w:footnoteRef/>
      </w:r>
      <w:r w:rsidRPr="003F6A38">
        <w:t xml:space="preserve"> </w:t>
      </w:r>
      <w:r w:rsidRPr="003F6A38">
        <w:rPr>
          <w:i/>
        </w:rPr>
        <w:t>See, e.g</w:t>
      </w:r>
      <w:r w:rsidRPr="003F6A38">
        <w:t xml:space="preserve">., </w:t>
      </w:r>
      <w:r w:rsidRPr="003F6A38">
        <w:rPr>
          <w:rStyle w:val="Emphasis"/>
          <w:bdr w:val="none" w:sz="0" w:space="0" w:color="auto" w:frame="1"/>
          <w:shd w:val="clear" w:color="auto" w:fill="FFFFFF"/>
        </w:rPr>
        <w:t>Roadrunner Transportation, Inc. et al.</w:t>
      </w:r>
      <w:r w:rsidRPr="003F6A38">
        <w:rPr>
          <w:bdr w:val="none" w:sz="0" w:space="0" w:color="auto" w:frame="1"/>
          <w:shd w:val="clear" w:color="auto" w:fill="FFFFFF"/>
        </w:rPr>
        <w:t>, Forfeiture Order, </w:t>
      </w:r>
      <w:r w:rsidRPr="003F6A38">
        <w:rPr>
          <w:rStyle w:val="cosearchterm"/>
          <w:bCs/>
          <w:bdr w:val="none" w:sz="0" w:space="0" w:color="auto" w:frame="1"/>
          <w:shd w:val="clear" w:color="auto" w:fill="FFFFFF"/>
        </w:rPr>
        <w:t>15</w:t>
      </w:r>
      <w:r w:rsidRPr="003F6A38">
        <w:rPr>
          <w:bdr w:val="none" w:sz="0" w:space="0" w:color="auto" w:frame="1"/>
          <w:shd w:val="clear" w:color="auto" w:fill="FFFFFF"/>
        </w:rPr>
        <w:t> </w:t>
      </w:r>
      <w:r w:rsidRPr="003F6A38">
        <w:rPr>
          <w:rStyle w:val="cosearchterm"/>
          <w:bCs/>
          <w:bdr w:val="none" w:sz="0" w:space="0" w:color="auto" w:frame="1"/>
          <w:shd w:val="clear" w:color="auto" w:fill="FFFFFF"/>
        </w:rPr>
        <w:t>FCC</w:t>
      </w:r>
      <w:r w:rsidRPr="003F6A38">
        <w:rPr>
          <w:bdr w:val="none" w:sz="0" w:space="0" w:color="auto" w:frame="1"/>
          <w:shd w:val="clear" w:color="auto" w:fill="FFFFFF"/>
        </w:rPr>
        <w:t> </w:t>
      </w:r>
      <w:r w:rsidRPr="003F6A38">
        <w:rPr>
          <w:rStyle w:val="cosearchterm"/>
          <w:bCs/>
          <w:bdr w:val="none" w:sz="0" w:space="0" w:color="auto" w:frame="1"/>
          <w:shd w:val="clear" w:color="auto" w:fill="FFFFFF"/>
        </w:rPr>
        <w:t>Rcd</w:t>
      </w:r>
      <w:r w:rsidRPr="003F6A38">
        <w:rPr>
          <w:bdr w:val="none" w:sz="0" w:space="0" w:color="auto" w:frame="1"/>
          <w:shd w:val="clear" w:color="auto" w:fill="FFFFFF"/>
        </w:rPr>
        <w:t> </w:t>
      </w:r>
      <w:r w:rsidRPr="003F6A38">
        <w:rPr>
          <w:rStyle w:val="cosearchterm"/>
          <w:bCs/>
          <w:bdr w:val="none" w:sz="0" w:space="0" w:color="auto" w:frame="1"/>
          <w:shd w:val="clear" w:color="auto" w:fill="FFFFFF"/>
        </w:rPr>
        <w:t>9669</w:t>
      </w:r>
      <w:r w:rsidRPr="003F6A38">
        <w:rPr>
          <w:bdr w:val="none" w:sz="0" w:space="0" w:color="auto" w:frame="1"/>
          <w:shd w:val="clear" w:color="auto" w:fill="FFFFFF"/>
        </w:rPr>
        <w:t>, 9672-73, paras. 11-12 (2000)</w:t>
      </w:r>
      <w:r w:rsidRPr="003F6A38">
        <w:rPr>
          <w:shd w:val="clear" w:color="auto" w:fill="FFFFFF"/>
        </w:rPr>
        <w:t> (finding that admitted </w:t>
      </w:r>
      <w:r w:rsidRPr="003F6A38">
        <w:rPr>
          <w:rStyle w:val="cosearchterm"/>
          <w:bCs/>
          <w:bdr w:val="none" w:sz="0" w:space="0" w:color="auto" w:frame="1"/>
        </w:rPr>
        <w:t>prior</w:t>
      </w:r>
      <w:r w:rsidRPr="003F6A38">
        <w:rPr>
          <w:shd w:val="clear" w:color="auto" w:fill="FFFFFF"/>
        </w:rPr>
        <w:t> </w:t>
      </w:r>
      <w:r w:rsidRPr="003F6A38">
        <w:rPr>
          <w:rStyle w:val="cosearchterm"/>
          <w:bCs/>
          <w:bdr w:val="none" w:sz="0" w:space="0" w:color="auto" w:frame="1"/>
        </w:rPr>
        <w:t>violation of same rule</w:t>
      </w:r>
      <w:r w:rsidRPr="003F6A38">
        <w:rPr>
          <w:shd w:val="clear" w:color="auto" w:fill="FFFFFF"/>
        </w:rPr>
        <w:t xml:space="preserve"> is aggravating factor when considering present day forfeiture amount).</w:t>
      </w:r>
    </w:p>
  </w:footnote>
  <w:footnote w:id="59">
    <w:p w:rsidR="00CB1379" w:rsidRPr="003F6A38" w:rsidP="003F6A38" w14:paraId="350CD5B8" w14:textId="77777777">
      <w:pPr>
        <w:pStyle w:val="FootnoteText"/>
      </w:pPr>
      <w:r w:rsidRPr="003F6A38">
        <w:rPr>
          <w:rStyle w:val="FootnoteReference"/>
        </w:rPr>
        <w:footnoteRef/>
      </w:r>
      <w:r w:rsidRPr="003F6A38">
        <w:t xml:space="preserve"> </w:t>
      </w:r>
      <w:r w:rsidRPr="003F6A38">
        <w:rPr>
          <w:i/>
        </w:rPr>
        <w:t xml:space="preserve">See </w:t>
      </w:r>
      <w:r w:rsidRPr="00D44B19">
        <w:rPr>
          <w:i/>
        </w:rPr>
        <w:t>NAL</w:t>
      </w:r>
      <w:r w:rsidRPr="003F6A38">
        <w:t xml:space="preserve">, 34 FCC </w:t>
      </w:r>
      <w:r w:rsidRPr="003F6A38">
        <w:t>Rcd</w:t>
      </w:r>
      <w:r w:rsidRPr="003F6A38">
        <w:t xml:space="preserve"> at 7295-96, para. 16 &amp; n.43; </w:t>
      </w:r>
      <w:r w:rsidRPr="003F6A38">
        <w:rPr>
          <w:i/>
          <w:iCs/>
        </w:rPr>
        <w:t>Clear Channel Communications, Inc. et al.</w:t>
      </w:r>
      <w:r w:rsidRPr="003F6A38">
        <w:t xml:space="preserve">, Notice of Apparent Liability for Forfeiture, 27 FCC </w:t>
      </w:r>
      <w:r w:rsidRPr="003F6A38">
        <w:t>Rcd</w:t>
      </w:r>
      <w:r w:rsidRPr="003F6A38">
        <w:t xml:space="preserve"> 343, 347-48, para. 9 (EB-IHD 2012) (forfeiture paid) (proposing a 450% upward adjustment of the base forfeiture amount, due, in part, to negative prior history); </w:t>
      </w:r>
      <w:r w:rsidRPr="003F6A38">
        <w:rPr>
          <w:i/>
          <w:iCs/>
        </w:rPr>
        <w:t>Citicasters</w:t>
      </w:r>
      <w:r w:rsidRPr="003F6A38">
        <w:rPr>
          <w:i/>
          <w:iCs/>
        </w:rPr>
        <w:t xml:space="preserve"> Licenses, L.P.</w:t>
      </w:r>
      <w:r w:rsidRPr="003F6A38">
        <w:t xml:space="preserve">, Notice of Apparent Liability for Forfeiture, 22 FCC </w:t>
      </w:r>
      <w:r w:rsidRPr="003F6A38">
        <w:t>Rcd</w:t>
      </w:r>
      <w:r w:rsidRPr="003F6A38">
        <w:t xml:space="preserve"> 1633, 1635-36, paras. 9-10 (EB-IHD 2007) (forfeiture paid) (proposing a 150% upward adjustment of the base forfeiture amount due, in part, to negative prior history); </w:t>
      </w:r>
      <w:r w:rsidRPr="003F6A38">
        <w:rPr>
          <w:i/>
          <w:iCs/>
        </w:rPr>
        <w:t>Union Broadcasting, Inc.</w:t>
      </w:r>
      <w:r w:rsidRPr="003F6A38">
        <w:t xml:space="preserve">, Forfeiture Order, 19 FCC </w:t>
      </w:r>
      <w:r w:rsidRPr="003F6A38">
        <w:t>Rcd</w:t>
      </w:r>
      <w:r w:rsidRPr="003F6A38">
        <w:t xml:space="preserve"> 18588, 18590-91, paras. 10, 13 (EB 2004) (affirming proposed forfeiture that included a 100% upward adjustment of the base forfeiture due to, among other factors, a negative prior history).</w:t>
      </w:r>
    </w:p>
  </w:footnote>
  <w:footnote w:id="60">
    <w:p w:rsidR="00CB1379" w:rsidRPr="006600A6" w:rsidP="003F6A38" w14:paraId="486FB242" w14:textId="3E684228">
      <w:pPr>
        <w:pStyle w:val="FootnoteText"/>
      </w:pPr>
      <w:r w:rsidRPr="003F6A38">
        <w:rPr>
          <w:rStyle w:val="FootnoteReference"/>
        </w:rPr>
        <w:footnoteRef/>
      </w:r>
      <w:r>
        <w:t xml:space="preserve"> NAL Response at ii, 4, 8-10, 17, paras. 6, 13-16, 32.  </w:t>
      </w:r>
    </w:p>
  </w:footnote>
  <w:footnote w:id="61">
    <w:p w:rsidR="00CB1379" w14:paraId="15EC55F0" w14:textId="145D612A">
      <w:pPr>
        <w:pStyle w:val="FootnoteText"/>
      </w:pPr>
      <w:r>
        <w:rPr>
          <w:rStyle w:val="FootnoteReference"/>
        </w:rPr>
        <w:footnoteRef/>
      </w:r>
      <w:r>
        <w:t xml:space="preserve"> </w:t>
      </w:r>
      <w:r w:rsidRPr="3EAF0EDE">
        <w:rPr>
          <w:i/>
          <w:iCs/>
        </w:rPr>
        <w:t>Id</w:t>
      </w:r>
      <w:r>
        <w:t xml:space="preserve">. at 8-9, paras. 13-14.  </w:t>
      </w:r>
    </w:p>
  </w:footnote>
  <w:footnote w:id="62">
    <w:p w:rsidR="00CB1379" w14:paraId="12B0EA71" w14:textId="0DE6CC7B">
      <w:pPr>
        <w:pStyle w:val="FootnoteText"/>
      </w:pPr>
      <w:r>
        <w:rPr>
          <w:rStyle w:val="FootnoteReference"/>
        </w:rPr>
        <w:footnoteRef/>
      </w:r>
      <w:r>
        <w:t xml:space="preserve"> </w:t>
      </w:r>
      <w:r w:rsidRPr="3EAF0EDE">
        <w:rPr>
          <w:i/>
          <w:iCs/>
        </w:rPr>
        <w:t>See, e.g</w:t>
      </w:r>
      <w:r>
        <w:t xml:space="preserve">., </w:t>
      </w:r>
      <w:r w:rsidRPr="00100A83">
        <w:rPr>
          <w:rStyle w:val="Emphasis"/>
        </w:rPr>
        <w:t>Radio</w:t>
      </w:r>
      <w:r w:rsidRPr="00100A83">
        <w:rPr>
          <w:rStyle w:val="Emphasis"/>
          <w:u w:val="single"/>
        </w:rPr>
        <w:t xml:space="preserve"> </w:t>
      </w:r>
      <w:r w:rsidRPr="00100A83">
        <w:rPr>
          <w:rStyle w:val="Emphasis"/>
        </w:rPr>
        <w:t>License Holding</w:t>
      </w:r>
      <w:r w:rsidRPr="00864A14">
        <w:rPr>
          <w:rStyle w:val="Emphasis"/>
        </w:rPr>
        <w:t xml:space="preserve"> </w:t>
      </w:r>
      <w:r w:rsidRPr="3EAF0EDE">
        <w:rPr>
          <w:rStyle w:val="Emphasis"/>
        </w:rPr>
        <w:t>XI, LLC</w:t>
      </w:r>
      <w:r>
        <w:t xml:space="preserve">, Notice of Apparent Liability for Forfeiture, </w:t>
      </w:r>
      <w:r w:rsidRPr="3EAF0EDE">
        <w:rPr>
          <w:rStyle w:val="cosearchterm"/>
        </w:rPr>
        <w:t>27</w:t>
      </w:r>
      <w:r>
        <w:t> </w:t>
      </w:r>
      <w:r w:rsidRPr="3EAF0EDE">
        <w:rPr>
          <w:rStyle w:val="cosearchterm"/>
        </w:rPr>
        <w:t>FCC</w:t>
      </w:r>
      <w:r>
        <w:t> </w:t>
      </w:r>
      <w:r w:rsidRPr="3EAF0EDE">
        <w:rPr>
          <w:rStyle w:val="cosearchterm"/>
        </w:rPr>
        <w:t>Rcd</w:t>
      </w:r>
      <w:r>
        <w:t> </w:t>
      </w:r>
      <w:r w:rsidRPr="3EAF0EDE">
        <w:rPr>
          <w:rStyle w:val="cosearchterm"/>
        </w:rPr>
        <w:t>930</w:t>
      </w:r>
      <w:r>
        <w:t> (2012), </w:t>
      </w:r>
      <w:r w:rsidRPr="3EAF0EDE">
        <w:rPr>
          <w:rStyle w:val="Emphasis"/>
        </w:rPr>
        <w:t>aff’d</w:t>
      </w:r>
      <w:r>
        <w:t xml:space="preserve">, Forfeiture Order, 29 FCC </w:t>
      </w:r>
      <w:r>
        <w:t>Rcd</w:t>
      </w:r>
      <w:r>
        <w:t xml:space="preserve"> 1623, 1628, para. 12 (2014) (forfeiture paid) (where Commission found that eleven deficient broadcasts that failed to include required sponsorship disclosures constituted eleven discrete violations, not a single violation).</w:t>
      </w:r>
    </w:p>
  </w:footnote>
  <w:footnote w:id="63">
    <w:p w:rsidR="00CB1379" w14:paraId="600230AF" w14:textId="276F0C57">
      <w:pPr>
        <w:pStyle w:val="FootnoteText"/>
      </w:pPr>
      <w:r>
        <w:rPr>
          <w:rStyle w:val="FootnoteReference"/>
        </w:rPr>
        <w:footnoteRef/>
      </w:r>
      <w:r>
        <w:t xml:space="preserve"> NAL Response at 8-10, paras. 13-15.  </w:t>
      </w:r>
    </w:p>
  </w:footnote>
  <w:footnote w:id="64">
    <w:p w:rsidR="00CB1379" w14:paraId="0FF61A81" w14:textId="5F82F856">
      <w:pPr>
        <w:pStyle w:val="FootnoteText"/>
      </w:pPr>
      <w:r>
        <w:rPr>
          <w:rStyle w:val="FootnoteReference"/>
        </w:rPr>
        <w:footnoteRef/>
      </w:r>
      <w:r>
        <w:t xml:space="preserve"> </w:t>
      </w:r>
      <w:r w:rsidRPr="006600A6">
        <w:rPr>
          <w:i/>
          <w:iCs/>
        </w:rPr>
        <w:t>See</w:t>
      </w:r>
      <w:r w:rsidRPr="006600A6">
        <w:t xml:space="preserve"> 47 CFR § 1.80, note to para. (b)(</w:t>
      </w:r>
      <w:r>
        <w:t>9</w:t>
      </w:r>
      <w:r w:rsidRPr="006600A6">
        <w:t>) sec. II (listing “[p]</w:t>
      </w:r>
      <w:r w:rsidRPr="006600A6">
        <w:t>rior</w:t>
      </w:r>
      <w:r w:rsidRPr="006600A6">
        <w:t xml:space="preserve"> violations of any FCC requirements” as one upward adjustment factor for </w:t>
      </w:r>
      <w:r>
        <w:t>s</w:t>
      </w:r>
      <w:r w:rsidRPr="006600A6">
        <w:t>ection 503 forfeitures).</w:t>
      </w:r>
    </w:p>
  </w:footnote>
  <w:footnote w:id="65">
    <w:p w:rsidR="00CB1379" w:rsidRPr="003F6A38" w:rsidP="003F6A38" w14:paraId="00167395" w14:textId="4B095108">
      <w:pPr>
        <w:pStyle w:val="FootnoteText"/>
      </w:pPr>
      <w:r w:rsidRPr="003F6A38">
        <w:rPr>
          <w:rStyle w:val="FootnoteReference"/>
        </w:rPr>
        <w:footnoteRef/>
      </w:r>
      <w:r w:rsidRPr="003F6A38">
        <w:t xml:space="preserve"> NAL Response at 10-13, paras. 16-23.  </w:t>
      </w:r>
      <w:r>
        <w:t>Three</w:t>
      </w:r>
      <w:r w:rsidRPr="003F6A38">
        <w:t xml:space="preserve"> of </w:t>
      </w:r>
      <w:r>
        <w:t>the cases cited by Res</w:t>
      </w:r>
      <w:r w:rsidRPr="003F6A38">
        <w:t xml:space="preserve">pondent </w:t>
      </w:r>
      <w:r>
        <w:t xml:space="preserve">involved Unlicensed National Information Infrastructure violations.  </w:t>
      </w:r>
      <w:r w:rsidRPr="003210DB">
        <w:rPr>
          <w:i/>
          <w:iCs/>
        </w:rPr>
        <w:t>See</w:t>
      </w:r>
      <w:r>
        <w:t xml:space="preserve"> </w:t>
      </w:r>
      <w:r w:rsidRPr="003F6A38">
        <w:rPr>
          <w:i/>
        </w:rPr>
        <w:t>WinPR</w:t>
      </w:r>
      <w:r w:rsidRPr="003F6A38">
        <w:rPr>
          <w:i/>
        </w:rPr>
        <w:t>, Inc., San Juan, Puerto Rico</w:t>
      </w:r>
      <w:r w:rsidRPr="003F6A38">
        <w:t xml:space="preserve">, Notice of Apparent Liability for Forfeiture and Order, 34 FCC </w:t>
      </w:r>
      <w:r w:rsidRPr="003F6A38">
        <w:t>Rcd</w:t>
      </w:r>
      <w:r w:rsidRPr="003F6A38">
        <w:t xml:space="preserve"> 7250 (EB-Field 2019)</w:t>
      </w:r>
      <w:r w:rsidRPr="0056364A">
        <w:t xml:space="preserve">, </w:t>
      </w:r>
      <w:r w:rsidRPr="0056364A">
        <w:rPr>
          <w:i/>
          <w:iCs/>
        </w:rPr>
        <w:t>aff’d</w:t>
      </w:r>
      <w:r w:rsidRPr="0056364A">
        <w:t xml:space="preserve">, Forfeiture Order, 34 FCC </w:t>
      </w:r>
      <w:r w:rsidRPr="0056364A">
        <w:t>Rcd</w:t>
      </w:r>
      <w:r w:rsidRPr="0056364A">
        <w:t xml:space="preserve"> 10463 (EB-Field 2019)</w:t>
      </w:r>
      <w:r w:rsidRPr="003F6A38">
        <w:t xml:space="preserve">; </w:t>
      </w:r>
      <w:r w:rsidRPr="003F6A38">
        <w:rPr>
          <w:rStyle w:val="Emphasis"/>
          <w:bdr w:val="none" w:sz="0" w:space="0" w:color="auto" w:frame="1"/>
          <w:shd w:val="clear" w:color="auto" w:fill="FFFFFF"/>
        </w:rPr>
        <w:t>CA Solutions, Inc. (d/b/a Boom Solutions), Caguas, Puerto Rico, Boom Net, LLC (d/b/a Boom Solutions), Caguas, Puerto Rico</w:t>
      </w:r>
      <w:r w:rsidRPr="003F6A38">
        <w:rPr>
          <w:shd w:val="clear" w:color="auto" w:fill="FFFFFF"/>
        </w:rPr>
        <w:t xml:space="preserve">, Notice of Apparent Liability for Forfeiture and Order, 34 FCC </w:t>
      </w:r>
      <w:r w:rsidRPr="003F6A38">
        <w:rPr>
          <w:shd w:val="clear" w:color="auto" w:fill="FFFFFF"/>
        </w:rPr>
        <w:t>Rcd</w:t>
      </w:r>
      <w:r w:rsidRPr="003F6A38">
        <w:rPr>
          <w:shd w:val="clear" w:color="auto" w:fill="FFFFFF"/>
        </w:rPr>
        <w:t xml:space="preserve"> 7236 (EB-Field 2019)</w:t>
      </w:r>
      <w:r w:rsidRPr="0056364A">
        <w:t xml:space="preserve">, </w:t>
      </w:r>
      <w:r w:rsidRPr="0056364A">
        <w:rPr>
          <w:i/>
          <w:iCs/>
        </w:rPr>
        <w:t>aff’d</w:t>
      </w:r>
      <w:r w:rsidRPr="0056364A">
        <w:t xml:space="preserve">, Forfeiture Order, 35 FCC </w:t>
      </w:r>
      <w:r w:rsidRPr="0056364A">
        <w:t>Rcd</w:t>
      </w:r>
      <w:r w:rsidRPr="0056364A">
        <w:t xml:space="preserve"> 1549 (EB-Field 2020</w:t>
      </w:r>
      <w:r w:rsidRPr="00AA479F">
        <w:t>)</w:t>
      </w:r>
      <w:r w:rsidRPr="003F6A38">
        <w:rPr>
          <w:shd w:val="clear" w:color="auto" w:fill="FFFFFF"/>
        </w:rPr>
        <w:t>;</w:t>
      </w:r>
      <w:r w:rsidRPr="003F6A38">
        <w:t xml:space="preserve"> </w:t>
      </w:r>
      <w:r>
        <w:t xml:space="preserve">and </w:t>
      </w:r>
      <w:r w:rsidRPr="003F6A38">
        <w:rPr>
          <w:rStyle w:val="Emphasis"/>
          <w:bdr w:val="none" w:sz="0" w:space="0" w:color="auto" w:frame="1"/>
          <w:shd w:val="clear" w:color="auto" w:fill="FFFFFF"/>
        </w:rPr>
        <w:t>Broadband Telecommunications Network, Corp. (d/b/a Integra Wireless), San Juan, Puerto Rico</w:t>
      </w:r>
      <w:r w:rsidRPr="003F6A38">
        <w:rPr>
          <w:shd w:val="clear" w:color="auto" w:fill="FFFFFF"/>
        </w:rPr>
        <w:t xml:space="preserve">, Notice of Apparent Liability for Forfeiture and Order, </w:t>
      </w:r>
      <w:r w:rsidRPr="003F6A38">
        <w:rPr>
          <w:color w:val="1D2B3E"/>
        </w:rPr>
        <w:t xml:space="preserve">34 FCC </w:t>
      </w:r>
      <w:r w:rsidRPr="003F6A38">
        <w:rPr>
          <w:color w:val="1D2B3E"/>
        </w:rPr>
        <w:t>Rcd</w:t>
      </w:r>
      <w:r w:rsidRPr="003F6A38">
        <w:rPr>
          <w:color w:val="1D2B3E"/>
        </w:rPr>
        <w:t xml:space="preserve"> 7243 </w:t>
      </w:r>
      <w:r w:rsidRPr="003F6A38">
        <w:rPr>
          <w:shd w:val="clear" w:color="auto" w:fill="FFFFFF"/>
        </w:rPr>
        <w:t>(EB-Field 2019)</w:t>
      </w:r>
      <w:r w:rsidRPr="0056364A">
        <w:t xml:space="preserve">, </w:t>
      </w:r>
      <w:r w:rsidRPr="0056364A">
        <w:rPr>
          <w:i/>
          <w:iCs/>
        </w:rPr>
        <w:t>forfeiture reduced</w:t>
      </w:r>
      <w:r w:rsidRPr="0056364A">
        <w:t xml:space="preserve">, Forfeiture Order, 35 FCC </w:t>
      </w:r>
      <w:r w:rsidRPr="0056364A">
        <w:t>Rcd</w:t>
      </w:r>
      <w:r w:rsidRPr="0056364A">
        <w:t xml:space="preserve"> 1552 (EB-Field 2020</w:t>
      </w:r>
      <w:r w:rsidRPr="007B6D51">
        <w:t>)</w:t>
      </w:r>
      <w:r>
        <w:t>.  One case cited by Respondent concerned cellular phone jamming (</w:t>
      </w:r>
      <w:r w:rsidRPr="003F6A38">
        <w:rPr>
          <w:rStyle w:val="Emphasis"/>
          <w:bdr w:val="none" w:sz="0" w:space="0" w:color="auto" w:frame="1"/>
          <w:shd w:val="clear" w:color="auto" w:fill="FFFFFF"/>
        </w:rPr>
        <w:t>Ravi’s Import Warehouse Inc., Dallas, Texas</w:t>
      </w:r>
      <w:r w:rsidRPr="003F6A38">
        <w:rPr>
          <w:bdr w:val="none" w:sz="0" w:space="0" w:color="auto" w:frame="1"/>
          <w:shd w:val="clear" w:color="auto" w:fill="FFFFFF"/>
        </w:rPr>
        <w:t>, Notice of Apparent Liability for Forfeiture, </w:t>
      </w:r>
      <w:r w:rsidRPr="003F6A38">
        <w:rPr>
          <w:rStyle w:val="cosearchterm"/>
          <w:bCs/>
          <w:bdr w:val="none" w:sz="0" w:space="0" w:color="auto" w:frame="1"/>
          <w:shd w:val="clear" w:color="auto" w:fill="FFFFFF"/>
        </w:rPr>
        <w:t>32</w:t>
      </w:r>
      <w:r w:rsidRPr="003F6A38">
        <w:rPr>
          <w:bdr w:val="none" w:sz="0" w:space="0" w:color="auto" w:frame="1"/>
          <w:shd w:val="clear" w:color="auto" w:fill="FFFFFF"/>
        </w:rPr>
        <w:t> </w:t>
      </w:r>
      <w:r w:rsidRPr="003F6A38">
        <w:rPr>
          <w:rStyle w:val="cosearchterm"/>
          <w:bCs/>
          <w:bdr w:val="none" w:sz="0" w:space="0" w:color="auto" w:frame="1"/>
          <w:shd w:val="clear" w:color="auto" w:fill="FFFFFF"/>
        </w:rPr>
        <w:t>FCC</w:t>
      </w:r>
      <w:r w:rsidRPr="003F6A38">
        <w:rPr>
          <w:bdr w:val="none" w:sz="0" w:space="0" w:color="auto" w:frame="1"/>
          <w:shd w:val="clear" w:color="auto" w:fill="FFFFFF"/>
        </w:rPr>
        <w:t> </w:t>
      </w:r>
      <w:r w:rsidRPr="003F6A38">
        <w:rPr>
          <w:rStyle w:val="cosearchterm"/>
          <w:bCs/>
          <w:bdr w:val="none" w:sz="0" w:space="0" w:color="auto" w:frame="1"/>
          <w:shd w:val="clear" w:color="auto" w:fill="FFFFFF"/>
        </w:rPr>
        <w:t>Rcd</w:t>
      </w:r>
      <w:r w:rsidRPr="003F6A38">
        <w:rPr>
          <w:bdr w:val="none" w:sz="0" w:space="0" w:color="auto" w:frame="1"/>
          <w:shd w:val="clear" w:color="auto" w:fill="FFFFFF"/>
        </w:rPr>
        <w:t> </w:t>
      </w:r>
      <w:r w:rsidRPr="003F6A38">
        <w:rPr>
          <w:rStyle w:val="cosearchterm"/>
          <w:bCs/>
          <w:bdr w:val="none" w:sz="0" w:space="0" w:color="auto" w:frame="1"/>
          <w:shd w:val="clear" w:color="auto" w:fill="FFFFFF"/>
        </w:rPr>
        <w:t>5606</w:t>
      </w:r>
      <w:r w:rsidRPr="003F6A38">
        <w:rPr>
          <w:bdr w:val="none" w:sz="0" w:space="0" w:color="auto" w:frame="1"/>
          <w:shd w:val="clear" w:color="auto" w:fill="FFFFFF"/>
        </w:rPr>
        <w:t> (EB-Field 2017)</w:t>
      </w:r>
      <w:r w:rsidRPr="003F6A38">
        <w:t xml:space="preserve">, </w:t>
      </w:r>
      <w:r w:rsidRPr="003F6A38">
        <w:rPr>
          <w:i/>
        </w:rPr>
        <w:t>aff’d</w:t>
      </w:r>
      <w:r w:rsidRPr="003F6A38">
        <w:t xml:space="preserve">, Forfeiture Order, </w:t>
      </w:r>
      <w:r w:rsidRPr="003F6A38">
        <w:rPr>
          <w:shd w:val="clear" w:color="auto" w:fill="FFFFFF"/>
        </w:rPr>
        <w:t xml:space="preserve">33 FCC </w:t>
      </w:r>
      <w:r w:rsidRPr="003F6A38">
        <w:rPr>
          <w:shd w:val="clear" w:color="auto" w:fill="FFFFFF"/>
        </w:rPr>
        <w:t>Rcd</w:t>
      </w:r>
      <w:r w:rsidRPr="003F6A38">
        <w:rPr>
          <w:shd w:val="clear" w:color="auto" w:fill="FFFFFF"/>
        </w:rPr>
        <w:t xml:space="preserve"> 3913 (EB-Field 2018)</w:t>
      </w:r>
      <w:r>
        <w:rPr>
          <w:shd w:val="clear" w:color="auto" w:fill="FFFFFF"/>
        </w:rPr>
        <w:t>); and another case involved private land mobile radio violations (</w:t>
      </w:r>
      <w:r w:rsidRPr="003F6A38">
        <w:rPr>
          <w:rStyle w:val="Emphasis"/>
          <w:bdr w:val="none" w:sz="0" w:space="0" w:color="auto" w:frame="1"/>
          <w:shd w:val="clear" w:color="auto" w:fill="FFFFFF"/>
        </w:rPr>
        <w:t>Global Paratransit Inc.</w:t>
      </w:r>
      <w:r w:rsidRPr="003F6A38">
        <w:rPr>
          <w:shd w:val="clear" w:color="auto" w:fill="FFFFFF"/>
        </w:rPr>
        <w:t xml:space="preserve">, Notice of Apparent Liability for Forfeiture, 32 FCC </w:t>
      </w:r>
      <w:r w:rsidRPr="003F6A38">
        <w:rPr>
          <w:shd w:val="clear" w:color="auto" w:fill="FFFFFF"/>
        </w:rPr>
        <w:t>Rcd</w:t>
      </w:r>
      <w:r w:rsidRPr="003F6A38">
        <w:rPr>
          <w:shd w:val="clear" w:color="auto" w:fill="FFFFFF"/>
        </w:rPr>
        <w:t xml:space="preserve"> 1961 (EB-Field 2017)</w:t>
      </w:r>
      <w:r w:rsidRPr="003F6A38">
        <w:t xml:space="preserve">, </w:t>
      </w:r>
      <w:r w:rsidRPr="003F6A38">
        <w:rPr>
          <w:i/>
        </w:rPr>
        <w:t>aff’d</w:t>
      </w:r>
      <w:r w:rsidRPr="003F6A38">
        <w:t xml:space="preserve">, Forfeiture Order, </w:t>
      </w:r>
      <w:r w:rsidRPr="003F6A38">
        <w:rPr>
          <w:shd w:val="clear" w:color="auto" w:fill="FFFFFF"/>
        </w:rPr>
        <w:t xml:space="preserve">32 FCC </w:t>
      </w:r>
      <w:r w:rsidRPr="003F6A38">
        <w:rPr>
          <w:shd w:val="clear" w:color="auto" w:fill="FFFFFF"/>
        </w:rPr>
        <w:t>Rcd</w:t>
      </w:r>
      <w:r w:rsidRPr="003F6A38">
        <w:rPr>
          <w:shd w:val="clear" w:color="auto" w:fill="FFFFFF"/>
        </w:rPr>
        <w:t xml:space="preserve"> 6781 (EB-Field 2017)</w:t>
      </w:r>
      <w:r>
        <w:rPr>
          <w:shd w:val="clear" w:color="auto" w:fill="FFFFFF"/>
        </w:rPr>
        <w:t xml:space="preserve">).  Other cases cited by Respondent involved technical or operational issues.  </w:t>
      </w:r>
      <w:r w:rsidRPr="003210DB">
        <w:rPr>
          <w:i/>
          <w:iCs/>
          <w:shd w:val="clear" w:color="auto" w:fill="FFFFFF"/>
        </w:rPr>
        <w:t>See</w:t>
      </w:r>
      <w:r w:rsidRPr="003F6A38">
        <w:t xml:space="preserve"> </w:t>
      </w:r>
      <w:r w:rsidRPr="003F6A38">
        <w:rPr>
          <w:rStyle w:val="Emphasis"/>
          <w:bdr w:val="none" w:sz="0" w:space="0" w:color="auto" w:frame="1"/>
          <w:shd w:val="clear" w:color="auto" w:fill="FFFFFF"/>
        </w:rPr>
        <w:t>Drew Buckley, Bay Shore, New York</w:t>
      </w:r>
      <w:r w:rsidRPr="003F6A38">
        <w:rPr>
          <w:bdr w:val="none" w:sz="0" w:space="0" w:color="auto" w:frame="1"/>
          <w:shd w:val="clear" w:color="auto" w:fill="FFFFFF"/>
        </w:rPr>
        <w:t>, Notice of Apparent Liability for Forfeiture, </w:t>
      </w:r>
      <w:r w:rsidRPr="003F6A38">
        <w:rPr>
          <w:rStyle w:val="cosearchterm"/>
          <w:bCs/>
          <w:bdr w:val="none" w:sz="0" w:space="0" w:color="auto" w:frame="1"/>
          <w:shd w:val="clear" w:color="auto" w:fill="FFFFFF"/>
        </w:rPr>
        <w:t>29</w:t>
      </w:r>
      <w:r w:rsidRPr="003F6A38">
        <w:rPr>
          <w:bdr w:val="none" w:sz="0" w:space="0" w:color="auto" w:frame="1"/>
          <w:shd w:val="clear" w:color="auto" w:fill="FFFFFF"/>
        </w:rPr>
        <w:t> </w:t>
      </w:r>
      <w:r w:rsidRPr="003F6A38">
        <w:rPr>
          <w:rStyle w:val="cosearchterm"/>
          <w:bCs/>
          <w:bdr w:val="none" w:sz="0" w:space="0" w:color="auto" w:frame="1"/>
          <w:shd w:val="clear" w:color="auto" w:fill="FFFFFF"/>
        </w:rPr>
        <w:t>FCC</w:t>
      </w:r>
      <w:r w:rsidRPr="003F6A38">
        <w:rPr>
          <w:bdr w:val="none" w:sz="0" w:space="0" w:color="auto" w:frame="1"/>
          <w:shd w:val="clear" w:color="auto" w:fill="FFFFFF"/>
        </w:rPr>
        <w:t> </w:t>
      </w:r>
      <w:r w:rsidRPr="003F6A38">
        <w:rPr>
          <w:rStyle w:val="cosearchterm"/>
          <w:bCs/>
          <w:bdr w:val="none" w:sz="0" w:space="0" w:color="auto" w:frame="1"/>
          <w:shd w:val="clear" w:color="auto" w:fill="FFFFFF"/>
        </w:rPr>
        <w:t>Rcd</w:t>
      </w:r>
      <w:r w:rsidRPr="003F6A38">
        <w:rPr>
          <w:bdr w:val="none" w:sz="0" w:space="0" w:color="auto" w:frame="1"/>
          <w:shd w:val="clear" w:color="auto" w:fill="FFFFFF"/>
        </w:rPr>
        <w:t> </w:t>
      </w:r>
      <w:r w:rsidRPr="003F6A38">
        <w:rPr>
          <w:rStyle w:val="cosearchterm"/>
          <w:bCs/>
          <w:bdr w:val="none" w:sz="0" w:space="0" w:color="auto" w:frame="1"/>
          <w:shd w:val="clear" w:color="auto" w:fill="FFFFFF"/>
        </w:rPr>
        <w:t>7586</w:t>
      </w:r>
      <w:r w:rsidRPr="003F6A38">
        <w:rPr>
          <w:bdr w:val="none" w:sz="0" w:space="0" w:color="auto" w:frame="1"/>
          <w:shd w:val="clear" w:color="auto" w:fill="FFFFFF"/>
        </w:rPr>
        <w:t xml:space="preserve"> (EB-Field 2014)</w:t>
      </w:r>
      <w:r w:rsidRPr="003F6A38">
        <w:t>,</w:t>
      </w:r>
      <w:r w:rsidRPr="003F6A38">
        <w:rPr>
          <w:rStyle w:val="Emphasis"/>
          <w:bdr w:val="none" w:sz="0" w:space="0" w:color="auto" w:frame="1"/>
          <w:shd w:val="clear" w:color="auto" w:fill="FFFFFF"/>
        </w:rPr>
        <w:t xml:space="preserve"> aff’d</w:t>
      </w:r>
      <w:r w:rsidRPr="003F6A38">
        <w:rPr>
          <w:shd w:val="clear" w:color="auto" w:fill="FFFFFF"/>
        </w:rPr>
        <w:t>, Forfeiture Order, </w:t>
      </w:r>
      <w:r w:rsidRPr="003F6A38">
        <w:rPr>
          <w:bdr w:val="none" w:sz="0" w:space="0" w:color="auto" w:frame="1"/>
          <w:shd w:val="clear" w:color="auto" w:fill="FFFFFF"/>
        </w:rPr>
        <w:t xml:space="preserve">30 FCC </w:t>
      </w:r>
      <w:r w:rsidRPr="003F6A38">
        <w:rPr>
          <w:bdr w:val="none" w:sz="0" w:space="0" w:color="auto" w:frame="1"/>
          <w:shd w:val="clear" w:color="auto" w:fill="FFFFFF"/>
        </w:rPr>
        <w:t>Rcd</w:t>
      </w:r>
      <w:r w:rsidRPr="003F6A38">
        <w:rPr>
          <w:bdr w:val="none" w:sz="0" w:space="0" w:color="auto" w:frame="1"/>
          <w:shd w:val="clear" w:color="auto" w:fill="FFFFFF"/>
        </w:rPr>
        <w:t xml:space="preserve"> 165 (EB-Field 2015)</w:t>
      </w:r>
      <w:r>
        <w:rPr>
          <w:bdr w:val="none" w:sz="0" w:space="0" w:color="auto" w:frame="1"/>
          <w:shd w:val="clear" w:color="auto" w:fill="FFFFFF"/>
        </w:rPr>
        <w:t xml:space="preserve"> </w:t>
      </w:r>
      <w:r w:rsidRPr="0056364A">
        <w:rPr>
          <w:bdr w:val="none" w:sz="0" w:space="0" w:color="auto" w:frame="1"/>
          <w:shd w:val="clear" w:color="auto" w:fill="FFFFFF"/>
        </w:rPr>
        <w:t>(</w:t>
      </w:r>
      <w:r w:rsidRPr="0056364A">
        <w:rPr>
          <w:shd w:val="clear" w:color="auto" w:fill="FFFFFF"/>
        </w:rPr>
        <w:t>operation of a radio transmitter without a license and interference with the licensed radio communications system of the Melville Fire District of New York)</w:t>
      </w:r>
      <w:r w:rsidRPr="003F6A38">
        <w:rPr>
          <w:bdr w:val="none" w:sz="0" w:space="0" w:color="auto" w:frame="1"/>
          <w:shd w:val="clear" w:color="auto" w:fill="FFFFFF"/>
        </w:rPr>
        <w:t xml:space="preserve">; </w:t>
      </w:r>
      <w:r w:rsidRPr="003F6A38">
        <w:rPr>
          <w:rStyle w:val="Emphasis"/>
          <w:bdr w:val="none" w:sz="0" w:space="0" w:color="auto" w:frame="1"/>
          <w:shd w:val="clear" w:color="auto" w:fill="FFFFFF"/>
        </w:rPr>
        <w:t>Estevan J. Gutierrez</w:t>
      </w:r>
      <w:r w:rsidRPr="003F6A38">
        <w:rPr>
          <w:bdr w:val="none" w:sz="0" w:space="0" w:color="auto" w:frame="1"/>
          <w:shd w:val="clear" w:color="auto" w:fill="FFFFFF"/>
        </w:rPr>
        <w:t>, Notice of Apparent Liability for Forfeiture, </w:t>
      </w:r>
      <w:r w:rsidRPr="003F6A38">
        <w:rPr>
          <w:rStyle w:val="cosearchterm"/>
          <w:bCs/>
          <w:bdr w:val="none" w:sz="0" w:space="0" w:color="auto" w:frame="1"/>
          <w:shd w:val="clear" w:color="auto" w:fill="FFFFFF"/>
        </w:rPr>
        <w:t>26</w:t>
      </w:r>
      <w:r w:rsidRPr="003F6A38">
        <w:rPr>
          <w:bdr w:val="none" w:sz="0" w:space="0" w:color="auto" w:frame="1"/>
          <w:shd w:val="clear" w:color="auto" w:fill="FFFFFF"/>
        </w:rPr>
        <w:t> </w:t>
      </w:r>
      <w:r w:rsidRPr="003F6A38">
        <w:rPr>
          <w:rStyle w:val="cosearchterm"/>
          <w:bCs/>
          <w:bdr w:val="none" w:sz="0" w:space="0" w:color="auto" w:frame="1"/>
          <w:shd w:val="clear" w:color="auto" w:fill="FFFFFF"/>
        </w:rPr>
        <w:t>FCC</w:t>
      </w:r>
      <w:r w:rsidRPr="003F6A38">
        <w:rPr>
          <w:bdr w:val="none" w:sz="0" w:space="0" w:color="auto" w:frame="1"/>
          <w:shd w:val="clear" w:color="auto" w:fill="FFFFFF"/>
        </w:rPr>
        <w:t> </w:t>
      </w:r>
      <w:r w:rsidRPr="003F6A38">
        <w:rPr>
          <w:rStyle w:val="cosearchterm"/>
          <w:bCs/>
          <w:bdr w:val="none" w:sz="0" w:space="0" w:color="auto" w:frame="1"/>
          <w:shd w:val="clear" w:color="auto" w:fill="FFFFFF"/>
        </w:rPr>
        <w:t>Rcd</w:t>
      </w:r>
      <w:r w:rsidRPr="003F6A38">
        <w:rPr>
          <w:bdr w:val="none" w:sz="0" w:space="0" w:color="auto" w:frame="1"/>
          <w:shd w:val="clear" w:color="auto" w:fill="FFFFFF"/>
        </w:rPr>
        <w:t> </w:t>
      </w:r>
      <w:r w:rsidRPr="003F6A38">
        <w:rPr>
          <w:rStyle w:val="cosearchterm"/>
          <w:bCs/>
          <w:bdr w:val="none" w:sz="0" w:space="0" w:color="auto" w:frame="1"/>
          <w:shd w:val="clear" w:color="auto" w:fill="FFFFFF"/>
        </w:rPr>
        <w:t>12542</w:t>
      </w:r>
      <w:r w:rsidRPr="003F6A38">
        <w:rPr>
          <w:bdr w:val="none" w:sz="0" w:space="0" w:color="auto" w:frame="1"/>
          <w:shd w:val="clear" w:color="auto" w:fill="FFFFFF"/>
        </w:rPr>
        <w:t> (EB-Field 2011</w:t>
      </w:r>
      <w:r w:rsidRPr="003F6A38">
        <w:rPr>
          <w:shd w:val="clear" w:color="auto" w:fill="FFFFFF"/>
        </w:rPr>
        <w:t>)</w:t>
      </w:r>
      <w:r w:rsidRPr="003F6A38">
        <w:t>,</w:t>
      </w:r>
      <w:r w:rsidRPr="003F6A38">
        <w:rPr>
          <w:shd w:val="clear" w:color="auto" w:fill="FFFFFF"/>
        </w:rPr>
        <w:t> </w:t>
      </w:r>
      <w:r w:rsidRPr="003F6A38">
        <w:rPr>
          <w:rStyle w:val="Emphasis"/>
          <w:bdr w:val="none" w:sz="0" w:space="0" w:color="auto" w:frame="1"/>
          <w:shd w:val="clear" w:color="auto" w:fill="FFFFFF"/>
        </w:rPr>
        <w:t>aff'd</w:t>
      </w:r>
      <w:r w:rsidRPr="003F6A38">
        <w:rPr>
          <w:shd w:val="clear" w:color="auto" w:fill="FFFFFF"/>
        </w:rPr>
        <w:t>, </w:t>
      </w:r>
      <w:r w:rsidRPr="003F6A38">
        <w:rPr>
          <w:bdr w:val="none" w:sz="0" w:space="0" w:color="auto" w:frame="1"/>
          <w:shd w:val="clear" w:color="auto" w:fill="FFFFFF"/>
        </w:rPr>
        <w:t xml:space="preserve">Forfeiture Order, 28 FCC </w:t>
      </w:r>
      <w:r w:rsidRPr="003F6A38">
        <w:rPr>
          <w:bdr w:val="none" w:sz="0" w:space="0" w:color="auto" w:frame="1"/>
          <w:shd w:val="clear" w:color="auto" w:fill="FFFFFF"/>
        </w:rPr>
        <w:t>Rcd</w:t>
      </w:r>
      <w:r w:rsidRPr="003F6A38">
        <w:rPr>
          <w:bdr w:val="none" w:sz="0" w:space="0" w:color="auto" w:frame="1"/>
          <w:shd w:val="clear" w:color="auto" w:fill="FFFFFF"/>
        </w:rPr>
        <w:t xml:space="preserve"> 15486 (EB-Field 2013</w:t>
      </w:r>
      <w:r w:rsidRPr="003F6A38">
        <w:rPr>
          <w:shd w:val="clear" w:color="auto" w:fill="FFFFFF"/>
        </w:rPr>
        <w:t>)</w:t>
      </w:r>
      <w:r>
        <w:rPr>
          <w:shd w:val="clear" w:color="auto" w:fill="FFFFFF"/>
        </w:rPr>
        <w:t xml:space="preserve"> </w:t>
      </w:r>
      <w:r w:rsidRPr="0056364A">
        <w:rPr>
          <w:shd w:val="clear" w:color="auto" w:fill="FFFFFF"/>
        </w:rPr>
        <w:t>(operation on a frequency without authorization and willful and malicious interference with licensed operations)</w:t>
      </w:r>
      <w:r w:rsidRPr="003F6A38">
        <w:t xml:space="preserve">; </w:t>
      </w:r>
      <w:r w:rsidRPr="003F6A38">
        <w:rPr>
          <w:rStyle w:val="Emphasis"/>
          <w:bdr w:val="none" w:sz="0" w:space="0" w:color="auto" w:frame="1"/>
          <w:shd w:val="clear" w:color="auto" w:fill="FFFFFF"/>
        </w:rPr>
        <w:t>Gabriel A. Garcia</w:t>
      </w:r>
      <w:r w:rsidRPr="003F6A38">
        <w:rPr>
          <w:bdr w:val="none" w:sz="0" w:space="0" w:color="auto" w:frame="1"/>
          <w:shd w:val="clear" w:color="auto" w:fill="FFFFFF"/>
        </w:rPr>
        <w:t>, Notice of Apparent Liability for Forfeiture, </w:t>
      </w:r>
      <w:r w:rsidRPr="003F6A38">
        <w:rPr>
          <w:rStyle w:val="cosearchterm"/>
          <w:bCs/>
          <w:bdr w:val="none" w:sz="0" w:space="0" w:color="auto" w:frame="1"/>
          <w:shd w:val="clear" w:color="auto" w:fill="FFFFFF"/>
        </w:rPr>
        <w:t>26 FCC</w:t>
      </w:r>
      <w:r w:rsidRPr="003F6A38">
        <w:rPr>
          <w:bdr w:val="none" w:sz="0" w:space="0" w:color="auto" w:frame="1"/>
          <w:shd w:val="clear" w:color="auto" w:fill="FFFFFF"/>
        </w:rPr>
        <w:t> </w:t>
      </w:r>
      <w:r w:rsidRPr="003F6A38">
        <w:rPr>
          <w:rStyle w:val="cosearchterm"/>
          <w:bCs/>
          <w:bdr w:val="none" w:sz="0" w:space="0" w:color="auto" w:frame="1"/>
          <w:shd w:val="clear" w:color="auto" w:fill="FFFFFF"/>
        </w:rPr>
        <w:t>Rcd</w:t>
      </w:r>
      <w:r w:rsidRPr="003F6A38">
        <w:rPr>
          <w:bdr w:val="none" w:sz="0" w:space="0" w:color="auto" w:frame="1"/>
          <w:shd w:val="clear" w:color="auto" w:fill="FFFFFF"/>
        </w:rPr>
        <w:t> </w:t>
      </w:r>
      <w:r w:rsidRPr="003F6A38">
        <w:rPr>
          <w:rStyle w:val="cosearchterm"/>
          <w:bCs/>
          <w:bdr w:val="none" w:sz="0" w:space="0" w:color="auto" w:frame="1"/>
          <w:shd w:val="clear" w:color="auto" w:fill="FFFFFF"/>
        </w:rPr>
        <w:t xml:space="preserve">3750 </w:t>
      </w:r>
      <w:r w:rsidRPr="003F6A38">
        <w:rPr>
          <w:bdr w:val="none" w:sz="0" w:space="0" w:color="auto" w:frame="1"/>
          <w:shd w:val="clear" w:color="auto" w:fill="FFFFFF"/>
        </w:rPr>
        <w:t>(EB-Field 2011</w:t>
      </w:r>
      <w:r w:rsidRPr="003F6A38">
        <w:rPr>
          <w:shd w:val="clear" w:color="auto" w:fill="FFFFFF"/>
        </w:rPr>
        <w:t>)</w:t>
      </w:r>
      <w:r w:rsidRPr="003F6A38">
        <w:t xml:space="preserve">, </w:t>
      </w:r>
      <w:r w:rsidRPr="003F6A38">
        <w:rPr>
          <w:i/>
        </w:rPr>
        <w:t>aff’d</w:t>
      </w:r>
      <w:r w:rsidRPr="003F6A38">
        <w:t xml:space="preserve">, Forfeiture Order, </w:t>
      </w:r>
      <w:r w:rsidRPr="003F6A38">
        <w:rPr>
          <w:shd w:val="clear" w:color="auto" w:fill="FFFFFF"/>
        </w:rPr>
        <w:t xml:space="preserve">27 FCC </w:t>
      </w:r>
      <w:r w:rsidRPr="003F6A38">
        <w:rPr>
          <w:shd w:val="clear" w:color="auto" w:fill="FFFFFF"/>
        </w:rPr>
        <w:t>Rcd</w:t>
      </w:r>
      <w:r w:rsidRPr="003F6A38">
        <w:rPr>
          <w:shd w:val="clear" w:color="auto" w:fill="FFFFFF"/>
        </w:rPr>
        <w:t xml:space="preserve"> 2335 (EB-Field 2012)</w:t>
      </w:r>
      <w:r>
        <w:rPr>
          <w:shd w:val="clear" w:color="auto" w:fill="FFFFFF"/>
        </w:rPr>
        <w:t xml:space="preserve"> </w:t>
      </w:r>
      <w:r w:rsidRPr="0056364A">
        <w:rPr>
          <w:shd w:val="clear" w:color="auto" w:fill="FFFFFF"/>
        </w:rPr>
        <w:t>(operation of an unlicensed broadcast station on various FM broadcast band frequencies)</w:t>
      </w:r>
      <w:r w:rsidRPr="003F6A38">
        <w:rPr>
          <w:shd w:val="clear" w:color="auto" w:fill="FFFFFF"/>
        </w:rPr>
        <w:t xml:space="preserve">; and </w:t>
      </w:r>
      <w:r w:rsidRPr="003F6A38">
        <w:rPr>
          <w:rStyle w:val="Emphasis"/>
          <w:bdr w:val="none" w:sz="0" w:space="0" w:color="auto" w:frame="1"/>
          <w:shd w:val="clear" w:color="auto" w:fill="FFFFFF"/>
        </w:rPr>
        <w:t>Clear Channel Broadcasting Licenses, Inc.</w:t>
      </w:r>
      <w:r w:rsidRPr="003F6A38">
        <w:rPr>
          <w:bdr w:val="none" w:sz="0" w:space="0" w:color="auto" w:frame="1"/>
          <w:shd w:val="clear" w:color="auto" w:fill="FFFFFF"/>
        </w:rPr>
        <w:t>,</w:t>
      </w:r>
      <w:r w:rsidRPr="003F6A38">
        <w:rPr>
          <w:i/>
          <w:bdr w:val="none" w:sz="0" w:space="0" w:color="auto" w:frame="1"/>
          <w:shd w:val="clear" w:color="auto" w:fill="FFFFFF"/>
        </w:rPr>
        <w:t xml:space="preserve"> Licensee of Station WRUM(FM), Orlando, Florida</w:t>
      </w:r>
      <w:r w:rsidRPr="003F6A38">
        <w:rPr>
          <w:bdr w:val="none" w:sz="0" w:space="0" w:color="auto" w:frame="1"/>
          <w:shd w:val="clear" w:color="auto" w:fill="FFFFFF"/>
        </w:rPr>
        <w:t>, Notice of Apparent Liability for Forfeiture, </w:t>
      </w:r>
      <w:r w:rsidRPr="003F6A38">
        <w:rPr>
          <w:rStyle w:val="cosearchterm"/>
          <w:bCs/>
          <w:bdr w:val="none" w:sz="0" w:space="0" w:color="auto" w:frame="1"/>
          <w:shd w:val="clear" w:color="auto" w:fill="FFFFFF"/>
        </w:rPr>
        <w:t>21</w:t>
      </w:r>
      <w:r w:rsidRPr="003F6A38">
        <w:rPr>
          <w:bdr w:val="none" w:sz="0" w:space="0" w:color="auto" w:frame="1"/>
          <w:shd w:val="clear" w:color="auto" w:fill="FFFFFF"/>
        </w:rPr>
        <w:t> </w:t>
      </w:r>
      <w:r w:rsidRPr="003F6A38">
        <w:rPr>
          <w:rStyle w:val="cosearchterm"/>
          <w:bCs/>
          <w:bdr w:val="none" w:sz="0" w:space="0" w:color="auto" w:frame="1"/>
          <w:shd w:val="clear" w:color="auto" w:fill="FFFFFF"/>
        </w:rPr>
        <w:t>FCC</w:t>
      </w:r>
      <w:r w:rsidRPr="003F6A38">
        <w:rPr>
          <w:bdr w:val="none" w:sz="0" w:space="0" w:color="auto" w:frame="1"/>
          <w:shd w:val="clear" w:color="auto" w:fill="FFFFFF"/>
        </w:rPr>
        <w:t> </w:t>
      </w:r>
      <w:r w:rsidRPr="003F6A38">
        <w:rPr>
          <w:rStyle w:val="cosearchterm"/>
          <w:bCs/>
          <w:bdr w:val="none" w:sz="0" w:space="0" w:color="auto" w:frame="1"/>
          <w:shd w:val="clear" w:color="auto" w:fill="FFFFFF"/>
        </w:rPr>
        <w:t>Rcd</w:t>
      </w:r>
      <w:r w:rsidRPr="003F6A38">
        <w:rPr>
          <w:bdr w:val="none" w:sz="0" w:space="0" w:color="auto" w:frame="1"/>
          <w:shd w:val="clear" w:color="auto" w:fill="FFFFFF"/>
        </w:rPr>
        <w:t> </w:t>
      </w:r>
      <w:r w:rsidRPr="003F6A38">
        <w:rPr>
          <w:rStyle w:val="cosearchterm"/>
          <w:bCs/>
          <w:bdr w:val="none" w:sz="0" w:space="0" w:color="auto" w:frame="1"/>
          <w:shd w:val="clear" w:color="auto" w:fill="FFFFFF"/>
        </w:rPr>
        <w:t>6808</w:t>
      </w:r>
      <w:r w:rsidRPr="003F6A38">
        <w:rPr>
          <w:shd w:val="clear" w:color="auto" w:fill="FFFFFF"/>
        </w:rPr>
        <w:t> (EB-IHD 2006)</w:t>
      </w:r>
      <w:r w:rsidRPr="003F6A38">
        <w:t xml:space="preserve"> </w:t>
      </w:r>
      <w:r w:rsidRPr="007B6D51">
        <w:rPr>
          <w:shd w:val="clear" w:color="auto" w:fill="FFFFFF"/>
        </w:rPr>
        <w:t>(</w:t>
      </w:r>
      <w:r w:rsidRPr="0056364A">
        <w:rPr>
          <w:shd w:val="clear" w:color="auto" w:fill="FFFFFF"/>
        </w:rPr>
        <w:t xml:space="preserve">broadcast </w:t>
      </w:r>
      <w:r>
        <w:rPr>
          <w:shd w:val="clear" w:color="auto" w:fill="FFFFFF"/>
        </w:rPr>
        <w:t xml:space="preserve">of </w:t>
      </w:r>
      <w:r w:rsidRPr="0056364A">
        <w:rPr>
          <w:shd w:val="clear" w:color="auto" w:fill="FFFFFF"/>
        </w:rPr>
        <w:t>information about a contest without fully and accurately disclosing all material terms thereof and fail</w:t>
      </w:r>
      <w:r>
        <w:rPr>
          <w:shd w:val="clear" w:color="auto" w:fill="FFFFFF"/>
        </w:rPr>
        <w:t>ure</w:t>
      </w:r>
      <w:r w:rsidRPr="0056364A">
        <w:rPr>
          <w:shd w:val="clear" w:color="auto" w:fill="FFFFFF"/>
        </w:rPr>
        <w:t xml:space="preserve"> to conduct the contest substantially as announced or advertised)</w:t>
      </w:r>
      <w:r w:rsidRPr="0056364A">
        <w:t xml:space="preserve"> </w:t>
      </w:r>
      <w:r w:rsidRPr="003F6A38">
        <w:t>(forfeiture paid)</w:t>
      </w:r>
      <w:r w:rsidRPr="003F6A38">
        <w:rPr>
          <w:shd w:val="clear" w:color="auto" w:fill="FFFFFF"/>
        </w:rPr>
        <w:t>.</w:t>
      </w:r>
    </w:p>
  </w:footnote>
  <w:footnote w:id="66">
    <w:p w:rsidR="00CB1379" w:rsidRPr="003F6A38" w:rsidP="003F6A38" w14:paraId="785CDA4A" w14:textId="607971DA">
      <w:pPr>
        <w:pStyle w:val="FootnoteText"/>
      </w:pPr>
      <w:r w:rsidRPr="003F6A38">
        <w:rPr>
          <w:rStyle w:val="FootnoteReference"/>
        </w:rPr>
        <w:footnoteRef/>
      </w:r>
      <w:r w:rsidRPr="003F6A38">
        <w:t xml:space="preserve"> </w:t>
      </w:r>
      <w:r w:rsidRPr="003F6A38">
        <w:rPr>
          <w:i/>
          <w:iCs/>
        </w:rPr>
        <w:t>See</w:t>
      </w:r>
      <w:r w:rsidRPr="003F6A38">
        <w:t xml:space="preserve"> </w:t>
      </w:r>
      <w:r w:rsidRPr="00CB1379">
        <w:rPr>
          <w:i/>
          <w:iCs/>
        </w:rPr>
        <w:t>NAL</w:t>
      </w:r>
      <w:r w:rsidRPr="003F6A38">
        <w:t xml:space="preserve">, 34 FCC </w:t>
      </w:r>
      <w:r w:rsidRPr="003F6A38">
        <w:t>Rcd</w:t>
      </w:r>
      <w:r w:rsidRPr="003F6A38">
        <w:t xml:space="preserve"> at 7294-95, para. 14 n.38; </w:t>
      </w:r>
      <w:r w:rsidRPr="003F6A38">
        <w:rPr>
          <w:i/>
        </w:rPr>
        <w:t>A Radio NAL</w:t>
      </w:r>
      <w:r w:rsidRPr="00A01027">
        <w:rPr>
          <w:iCs/>
        </w:rPr>
        <w:t xml:space="preserve">, </w:t>
      </w:r>
      <w:r w:rsidRPr="003F6A38">
        <w:t xml:space="preserve">26 FCC </w:t>
      </w:r>
      <w:r w:rsidRPr="003F6A38">
        <w:t>Rcd</w:t>
      </w:r>
      <w:r w:rsidRPr="003F6A38">
        <w:t xml:space="preserve"> at 6562-63, paras. 5-6 (proposing a $25,000 forfeiture for </w:t>
      </w:r>
      <w:r w:rsidRPr="00100A83" w:rsidR="00E86181">
        <w:t>apparent</w:t>
      </w:r>
      <w:r w:rsidR="00E86181">
        <w:t xml:space="preserve"> </w:t>
      </w:r>
      <w:r w:rsidRPr="003F6A38">
        <w:t xml:space="preserve">failure to pay voluntary contribution and submit compliance report), </w:t>
      </w:r>
      <w:r w:rsidRPr="003F6A38">
        <w:rPr>
          <w:i/>
        </w:rPr>
        <w:t>aff’d</w:t>
      </w:r>
      <w:r w:rsidRPr="003F6A38">
        <w:t xml:space="preserve">, </w:t>
      </w:r>
      <w:r w:rsidRPr="003F6A38">
        <w:rPr>
          <w:i/>
          <w:iCs/>
        </w:rPr>
        <w:t>A Radio Forfeiture Order</w:t>
      </w:r>
      <w:r w:rsidRPr="003F6A38">
        <w:t xml:space="preserve">, 27 FCC </w:t>
      </w:r>
      <w:r w:rsidRPr="003F6A38">
        <w:t>Rcd</w:t>
      </w:r>
      <w:r w:rsidRPr="003F6A38">
        <w:t xml:space="preserve"> at 6337, para. 4; </w:t>
      </w:r>
      <w:r w:rsidRPr="003F6A38">
        <w:rPr>
          <w:i/>
        </w:rPr>
        <w:t>GPSPS, Inc</w:t>
      </w:r>
      <w:r w:rsidRPr="003F6A38">
        <w:t xml:space="preserve">., Notice of Apparent Liability for Forfeiture, 30 FCC </w:t>
      </w:r>
      <w:r w:rsidRPr="003F6A38">
        <w:t>Rcd</w:t>
      </w:r>
      <w:r w:rsidRPr="003F6A38">
        <w:t xml:space="preserve"> 2522, 2533, paras. 27-28 (2015) (proposing $25,000 forfeiture for </w:t>
      </w:r>
      <w:r w:rsidRPr="00100A83" w:rsidR="00E86181">
        <w:t>apparently</w:t>
      </w:r>
      <w:r w:rsidR="00E86181">
        <w:t xml:space="preserve"> </w:t>
      </w:r>
      <w:r w:rsidRPr="003F6A38">
        <w:t xml:space="preserve">failing to fully respond to an LOI), </w:t>
      </w:r>
      <w:r w:rsidRPr="003F6A38">
        <w:rPr>
          <w:i/>
        </w:rPr>
        <w:t>aff’d</w:t>
      </w:r>
      <w:r w:rsidRPr="003F6A38">
        <w:t xml:space="preserve">, Forfeiture Order, 30 FCC </w:t>
      </w:r>
      <w:r w:rsidRPr="003F6A38">
        <w:t>Rcd</w:t>
      </w:r>
      <w:r w:rsidRPr="003F6A38">
        <w:t xml:space="preserve"> 7814 (2015);</w:t>
      </w:r>
      <w:r w:rsidRPr="003F6A38">
        <w:rPr>
          <w:i/>
        </w:rPr>
        <w:t xml:space="preserve"> </w:t>
      </w:r>
      <w:r w:rsidRPr="003F6A38">
        <w:rPr>
          <w:i/>
          <w:iCs/>
        </w:rPr>
        <w:t>BigZoo.com Corporation</w:t>
      </w:r>
      <w:r w:rsidRPr="003F6A38">
        <w:t xml:space="preserve">, Notice of Apparent Liability for Forfeiture and Order, 19 FCC </w:t>
      </w:r>
      <w:r w:rsidRPr="003F6A38">
        <w:t>Rcd</w:t>
      </w:r>
      <w:r w:rsidRPr="003F6A38">
        <w:t xml:space="preserve"> 24437, 24440-41, paras. 12-13 (EB 2004), </w:t>
      </w:r>
      <w:r w:rsidRPr="003F6A38">
        <w:rPr>
          <w:i/>
        </w:rPr>
        <w:t>aff’d</w:t>
      </w:r>
      <w:r w:rsidRPr="003F6A38">
        <w:t xml:space="preserve">, Order of Forfeiture, 20 FCC </w:t>
      </w:r>
      <w:r w:rsidRPr="003F6A38">
        <w:t>Rcd</w:t>
      </w:r>
      <w:r w:rsidRPr="003F6A38">
        <w:t xml:space="preserve"> 3954 (EB 2005) (imposing $20,000 penalty for target’s failure to respond to an LOI).</w:t>
      </w:r>
    </w:p>
  </w:footnote>
  <w:footnote w:id="67">
    <w:p w:rsidR="00CB1379" w:rsidRPr="003F6A38" w:rsidP="003F6A38" w14:paraId="1D2F4DCF" w14:textId="77777777">
      <w:pPr>
        <w:pStyle w:val="FootnoteText"/>
      </w:pPr>
      <w:r w:rsidRPr="003F6A38">
        <w:rPr>
          <w:rStyle w:val="FootnoteReference"/>
        </w:rPr>
        <w:footnoteRef/>
      </w:r>
      <w:r w:rsidRPr="003F6A38">
        <w:t xml:space="preserve"> NAL Response at ii, 14-17, paras. 26-30, 32.</w:t>
      </w:r>
    </w:p>
  </w:footnote>
  <w:footnote w:id="68">
    <w:p w:rsidR="00CB1379" w:rsidRPr="003F6A38" w:rsidP="003F6A38" w14:paraId="3AC8C84E" w14:textId="2E11B075">
      <w:pPr>
        <w:pStyle w:val="FootnoteText"/>
      </w:pPr>
      <w:r w:rsidRPr="003F6A38">
        <w:rPr>
          <w:rStyle w:val="FootnoteReference"/>
        </w:rPr>
        <w:footnoteRef/>
      </w:r>
      <w:r w:rsidRPr="003F6A38">
        <w:t xml:space="preserve"> </w:t>
      </w:r>
      <w:r w:rsidRPr="00CB1379">
        <w:rPr>
          <w:i/>
          <w:iCs/>
        </w:rPr>
        <w:t>NAL</w:t>
      </w:r>
      <w:r w:rsidRPr="003F6A38">
        <w:t xml:space="preserve">, 34 FCC </w:t>
      </w:r>
      <w:r w:rsidRPr="003F6A38">
        <w:t>Rcd</w:t>
      </w:r>
      <w:r w:rsidRPr="003F6A38">
        <w:t xml:space="preserve"> at 7294-95, para. 14 &amp; n.36 (citing </w:t>
      </w:r>
      <w:r w:rsidRPr="003F6A38">
        <w:rPr>
          <w:i/>
        </w:rPr>
        <w:t>Forfeiture Policy Statement</w:t>
      </w:r>
      <w:r w:rsidRPr="003F6A38">
        <w:t xml:space="preserve">, 12 FCC </w:t>
      </w:r>
      <w:r w:rsidRPr="003F6A38">
        <w:t>Rcd</w:t>
      </w:r>
      <w:r w:rsidRPr="003F6A38">
        <w:t xml:space="preserve"> at 17098-99, para. 22).  </w:t>
      </w:r>
    </w:p>
  </w:footnote>
  <w:footnote w:id="69">
    <w:p w:rsidR="00CB1379" w:rsidRPr="003F6A38" w:rsidP="003F6A38" w14:paraId="43B92477" w14:textId="0D670114">
      <w:pPr>
        <w:pStyle w:val="FootnoteText"/>
      </w:pPr>
      <w:r w:rsidRPr="003F6A38">
        <w:rPr>
          <w:rStyle w:val="FootnoteReference"/>
        </w:rPr>
        <w:footnoteRef/>
      </w:r>
      <w:r w:rsidRPr="003F6A38">
        <w:t xml:space="preserve"> </w:t>
      </w:r>
      <w:r w:rsidRPr="003F6A38">
        <w:rPr>
          <w:i/>
        </w:rPr>
        <w:t>See A Radio Forfeiture Order</w:t>
      </w:r>
      <w:r w:rsidRPr="003F6A38">
        <w:t xml:space="preserve">, 27 FCC </w:t>
      </w:r>
      <w:r w:rsidRPr="003F6A38">
        <w:t>Rcd</w:t>
      </w:r>
      <w:r w:rsidRPr="003F6A38">
        <w:t xml:space="preserve"> at 6337, para. 4 (“</w:t>
      </w:r>
      <w:r>
        <w:t>[A]</w:t>
      </w:r>
      <w:r w:rsidRPr="003F6A38">
        <w:t xml:space="preserve"> consent decree violation, like misrepresentation, is particularly serious.”). </w:t>
      </w:r>
    </w:p>
  </w:footnote>
  <w:footnote w:id="70">
    <w:p w:rsidR="00CB1379" w:rsidRPr="003F6A38" w:rsidP="003F6A38" w14:paraId="30B8B1B0" w14:textId="77777777">
      <w:pPr>
        <w:pStyle w:val="FootnoteText"/>
      </w:pPr>
      <w:r w:rsidRPr="003F6A38">
        <w:rPr>
          <w:rStyle w:val="FootnoteReference"/>
        </w:rPr>
        <w:footnoteRef/>
      </w:r>
      <w:r w:rsidRPr="003F6A38">
        <w:t xml:space="preserve"> </w:t>
      </w:r>
      <w:r w:rsidRPr="005F4170">
        <w:rPr>
          <w:i/>
          <w:iCs/>
        </w:rPr>
        <w:t>Consent Decree</w:t>
      </w:r>
      <w:r w:rsidRPr="003F6A38">
        <w:t xml:space="preserve">, 31 FCC </w:t>
      </w:r>
      <w:r w:rsidRPr="003F6A38">
        <w:t>Rcd</w:t>
      </w:r>
      <w:r w:rsidRPr="003F6A38">
        <w:t xml:space="preserve"> at 10-11, paras. 13, 15.</w:t>
      </w:r>
    </w:p>
  </w:footnote>
  <w:footnote w:id="71">
    <w:p w:rsidR="00CB1379" w:rsidRPr="003F6A38" w:rsidP="003F6A38" w14:paraId="38857937" w14:textId="77777777">
      <w:pPr>
        <w:pStyle w:val="FootnoteText"/>
      </w:pPr>
      <w:r w:rsidRPr="003F6A38">
        <w:rPr>
          <w:rStyle w:val="FootnoteReference"/>
        </w:rPr>
        <w:footnoteRef/>
      </w:r>
      <w:r w:rsidRPr="003F6A38">
        <w:t xml:space="preserve"> </w:t>
      </w:r>
      <w:r w:rsidRPr="003F6A38">
        <w:rPr>
          <w:i/>
        </w:rPr>
        <w:t>See A Radio Forfeiture Order</w:t>
      </w:r>
      <w:r w:rsidRPr="003F6A38">
        <w:t xml:space="preserve">, 27 FCC </w:t>
      </w:r>
      <w:r w:rsidRPr="003F6A38">
        <w:t>Rcd</w:t>
      </w:r>
      <w:r w:rsidRPr="003F6A38">
        <w:t xml:space="preserve"> at 6337, para. 4.</w:t>
      </w:r>
    </w:p>
  </w:footnote>
  <w:footnote w:id="72">
    <w:p w:rsidR="00CB1379" w:rsidRPr="003F6A38" w:rsidP="002B4353" w14:paraId="7388095F" w14:textId="77777777">
      <w:pPr>
        <w:pStyle w:val="FootnoteText"/>
      </w:pPr>
      <w:r w:rsidRPr="003F6A38">
        <w:rPr>
          <w:rStyle w:val="FootnoteReference"/>
        </w:rPr>
        <w:footnoteRef/>
      </w:r>
      <w:r w:rsidRPr="003F6A38">
        <w:t xml:space="preserve"> </w:t>
      </w:r>
      <w:r w:rsidRPr="003F6A38">
        <w:rPr>
          <w:i/>
        </w:rPr>
        <w:t>See</w:t>
      </w:r>
      <w:r w:rsidRPr="003F6A38">
        <w:t xml:space="preserve"> </w:t>
      </w:r>
      <w:r w:rsidRPr="005F4170">
        <w:rPr>
          <w:i/>
          <w:iCs/>
        </w:rPr>
        <w:t>Consent Decree</w:t>
      </w:r>
      <w:r w:rsidRPr="003F6A38">
        <w:t xml:space="preserve">, 31 FCC </w:t>
      </w:r>
      <w:r w:rsidRPr="003F6A38">
        <w:t>Rcd</w:t>
      </w:r>
      <w:r w:rsidRPr="003F6A38">
        <w:t xml:space="preserve"> at 6, para. 2(k), 13, para. 23 (stating</w:t>
      </w:r>
      <w:r>
        <w:t xml:space="preserve"> that</w:t>
      </w:r>
      <w:r w:rsidRPr="003F6A38">
        <w:t xml:space="preserve"> “</w:t>
      </w:r>
      <w:r w:rsidRPr="003F6A38">
        <w:rPr>
          <w:color w:val="000000"/>
        </w:rPr>
        <w:t xml:space="preserve">Cumulus [which is defined to include Cumulus Radio Corporation] agrees that </w:t>
      </w:r>
      <w:r w:rsidRPr="003F6A38">
        <w:t>the</w:t>
      </w:r>
      <w:r w:rsidRPr="003F6A38">
        <w:rPr>
          <w:color w:val="000000"/>
        </w:rPr>
        <w:t xml:space="preserve"> provisions of this Consent Decree shall be binding on its successors, assigns, and transferees”)</w:t>
      </w:r>
      <w:r w:rsidRPr="003F6A38">
        <w:t>.</w:t>
      </w:r>
    </w:p>
  </w:footnote>
  <w:footnote w:id="73">
    <w:p w:rsidR="00CB1379" w:rsidRPr="003E5244" w14:paraId="44DC6BE9" w14:textId="77AB4BE5">
      <w:pPr>
        <w:pStyle w:val="FootnoteText"/>
      </w:pPr>
      <w:r w:rsidRPr="003E5244">
        <w:rPr>
          <w:rStyle w:val="FootnoteReference"/>
        </w:rPr>
        <w:footnoteRef/>
      </w:r>
      <w:r w:rsidRPr="003E5244">
        <w:t xml:space="preserve"> </w:t>
      </w:r>
      <w:r w:rsidRPr="003E5244">
        <w:rPr>
          <w:i/>
          <w:iCs/>
        </w:rPr>
        <w:t xml:space="preserve">See </w:t>
      </w:r>
      <w:r w:rsidRPr="00CB1379">
        <w:rPr>
          <w:i/>
          <w:iCs/>
        </w:rPr>
        <w:t>NAL</w:t>
      </w:r>
      <w:r w:rsidRPr="003E5244">
        <w:t xml:space="preserve">, </w:t>
      </w:r>
      <w:r>
        <w:t xml:space="preserve">34 FCC </w:t>
      </w:r>
      <w:r>
        <w:t>Rcd</w:t>
      </w:r>
      <w:r>
        <w:t xml:space="preserve"> at </w:t>
      </w:r>
      <w:r w:rsidRPr="003F6A38">
        <w:t>7289-90, para. 1 n.2</w:t>
      </w:r>
      <w:r w:rsidRPr="003E5244">
        <w:t xml:space="preserve"> (</w:t>
      </w:r>
      <w:r w:rsidRPr="00C518D4">
        <w:t>citing</w:t>
      </w:r>
      <w:r w:rsidRPr="003F0300">
        <w:rPr>
          <w:i/>
          <w:iCs/>
        </w:rPr>
        <w:t xml:space="preserve"> </w:t>
      </w:r>
      <w:r w:rsidRPr="00FB6E01">
        <w:rPr>
          <w:rStyle w:val="Emphasis"/>
          <w:bdr w:val="none" w:sz="0" w:space="0" w:color="auto" w:frame="1"/>
          <w:shd w:val="clear" w:color="auto" w:fill="FFFFFF"/>
        </w:rPr>
        <w:t>CM Wind Down Topco Inc.</w:t>
      </w:r>
      <w:r w:rsidRPr="00FB6E01">
        <w:rPr>
          <w:color w:val="3D3D3D"/>
          <w:shd w:val="clear" w:color="auto" w:fill="FFFFFF"/>
        </w:rPr>
        <w:t>, Stipulation and Order Resolving Reorganized Debtor’s Objection to Claims of the Federal Communications Commission, at 3, paras. 1, 3, Case No. 17-13381 (SCC) (</w:t>
      </w:r>
      <w:r w:rsidRPr="00FB6E01">
        <w:rPr>
          <w:color w:val="3D3D3D"/>
          <w:shd w:val="clear" w:color="auto" w:fill="FFFFFF"/>
        </w:rPr>
        <w:t>Bankr</w:t>
      </w:r>
      <w:r w:rsidRPr="00FB6E01">
        <w:rPr>
          <w:color w:val="3D3D3D"/>
          <w:shd w:val="clear" w:color="auto" w:fill="FFFFFF"/>
        </w:rPr>
        <w:t>. S.D.N.Y. May 20, 2019)).</w:t>
      </w:r>
    </w:p>
  </w:footnote>
  <w:footnote w:id="74">
    <w:p w:rsidR="00CB1379" w:rsidRPr="003F6A38" w:rsidP="003F6A38" w14:paraId="5724A0C9" w14:textId="77777777">
      <w:pPr>
        <w:pStyle w:val="FootnoteText"/>
      </w:pPr>
      <w:r w:rsidRPr="003F6A38">
        <w:rPr>
          <w:rStyle w:val="FootnoteReference"/>
        </w:rPr>
        <w:footnoteRef/>
      </w:r>
      <w:r w:rsidRPr="003F6A38">
        <w:t xml:space="preserve"> NAL Response at 7, para. 11.</w:t>
      </w:r>
    </w:p>
  </w:footnote>
  <w:footnote w:id="75">
    <w:p w:rsidR="00CB1379" w:rsidRPr="003F6A38" w:rsidP="003F6A38" w14:paraId="33392260" w14:textId="6323995E">
      <w:pPr>
        <w:pStyle w:val="FootnoteText"/>
      </w:pPr>
      <w:r w:rsidRPr="003F6A38">
        <w:rPr>
          <w:rStyle w:val="FootnoteReference"/>
        </w:rPr>
        <w:footnoteRef/>
      </w:r>
      <w:r w:rsidRPr="003F6A38">
        <w:t xml:space="preserve"> </w:t>
      </w:r>
      <w:r w:rsidRPr="003F6A38">
        <w:rPr>
          <w:i/>
        </w:rPr>
        <w:t>Id</w:t>
      </w:r>
      <w:r w:rsidRPr="003F6A38">
        <w:t xml:space="preserve">.  Citing a recent magazine article, Respondent notes that it was “singled out as one of the very broadcasters that ‘distances themselves from play for pay, mostly by refusing to work with Indie promoters.’”  </w:t>
      </w:r>
      <w:r w:rsidRPr="003F6A38">
        <w:rPr>
          <w:i/>
          <w:iCs/>
        </w:rPr>
        <w:t>Id</w:t>
      </w:r>
      <w:r w:rsidRPr="003F6A38">
        <w:t xml:space="preserve">. at 7-8, para. 12, </w:t>
      </w:r>
      <w:r w:rsidRPr="003F6A38">
        <w:t>Exh</w:t>
      </w:r>
      <w:r w:rsidRPr="003F6A38">
        <w:t xml:space="preserve">. 1 (citing Elias </w:t>
      </w:r>
      <w:r w:rsidRPr="003F6A38">
        <w:t>Leight</w:t>
      </w:r>
      <w:r w:rsidRPr="003F6A38">
        <w:t xml:space="preserve">, </w:t>
      </w:r>
      <w:r w:rsidRPr="003F6A38">
        <w:rPr>
          <w:i/>
        </w:rPr>
        <w:t xml:space="preserve">Want to Get on the Radio? Have $50,000? </w:t>
      </w:r>
      <w:r w:rsidRPr="003F6A38">
        <w:t xml:space="preserve">(Aug. 6, 2019), </w:t>
      </w:r>
      <w:hyperlink r:id="rId2" w:history="1">
        <w:r w:rsidRPr="003F6A38">
          <w:rPr>
            <w:rStyle w:val="Hyperlink"/>
          </w:rPr>
          <w:t>https://www.rollingstone.com/music/music-features/radio-stations-hit-pay-for-play-867825/</w:t>
        </w:r>
      </w:hyperlink>
      <w:r w:rsidR="00467835">
        <w:t>).</w:t>
      </w:r>
    </w:p>
  </w:footnote>
  <w:footnote w:id="76">
    <w:p w:rsidR="00CB1379" w:rsidRPr="003F6A38" w:rsidP="003F6A38" w14:paraId="31E8912C" w14:textId="77777777">
      <w:pPr>
        <w:pStyle w:val="FootnoteText"/>
      </w:pPr>
      <w:r w:rsidRPr="003F6A38">
        <w:rPr>
          <w:rStyle w:val="FootnoteReference"/>
        </w:rPr>
        <w:footnoteRef/>
      </w:r>
      <w:r w:rsidRPr="003F6A38">
        <w:t xml:space="preserve"> NAL Response at 6, 8, paras. 9, 12.</w:t>
      </w:r>
    </w:p>
  </w:footnote>
  <w:footnote w:id="77">
    <w:p w:rsidR="00CB1379" w:rsidRPr="003F6A38" w:rsidP="003F6A38" w14:paraId="421605B9" w14:textId="74BD578F">
      <w:pPr>
        <w:pStyle w:val="FootnoteText"/>
      </w:pPr>
      <w:r w:rsidRPr="003F6A38">
        <w:rPr>
          <w:rStyle w:val="FootnoteReference"/>
        </w:rPr>
        <w:footnoteRef/>
      </w:r>
      <w:r w:rsidRPr="003F6A38">
        <w:t xml:space="preserve"> </w:t>
      </w:r>
      <w:r w:rsidRPr="003F6A38">
        <w:rPr>
          <w:i/>
        </w:rPr>
        <w:t>Id</w:t>
      </w:r>
      <w:r w:rsidRPr="003F6A38">
        <w:t>. at ii.</w:t>
      </w:r>
    </w:p>
  </w:footnote>
  <w:footnote w:id="78">
    <w:p w:rsidR="00CB1379" w:rsidRPr="003F6A38" w:rsidP="003F6A38" w14:paraId="61E661A6" w14:textId="77777777">
      <w:pPr>
        <w:pStyle w:val="FootnoteText"/>
      </w:pPr>
      <w:r w:rsidRPr="003F6A38">
        <w:rPr>
          <w:rStyle w:val="FootnoteReference"/>
        </w:rPr>
        <w:footnoteRef/>
      </w:r>
      <w:r w:rsidRPr="003F6A38">
        <w:t xml:space="preserve"> </w:t>
      </w:r>
      <w:r w:rsidRPr="003F6A38">
        <w:rPr>
          <w:i/>
        </w:rPr>
        <w:t>Id</w:t>
      </w:r>
      <w:r w:rsidRPr="003F6A38">
        <w:t>. at 7, 16, paras. 11, 31.</w:t>
      </w:r>
    </w:p>
  </w:footnote>
  <w:footnote w:id="79">
    <w:p w:rsidR="00CB1379" w:rsidRPr="005F0C7B" w:rsidP="00F06550" w14:paraId="110D47E1" w14:textId="70CCFE35">
      <w:pPr>
        <w:pStyle w:val="FootnoteText"/>
        <w:rPr>
          <w:i/>
          <w:iCs/>
        </w:rPr>
      </w:pPr>
      <w:r w:rsidRPr="005F0C7B">
        <w:rPr>
          <w:rStyle w:val="FootnoteReference"/>
        </w:rPr>
        <w:footnoteRef/>
      </w:r>
      <w:r w:rsidRPr="005F0C7B">
        <w:t xml:space="preserve"> 47 CFR § 1.80, note to para. (b)(9) sec. II (listing “[history of overall compliance” as one downward adjustment factor for section 503 forfeitures).  </w:t>
      </w:r>
      <w:r w:rsidRPr="005F0C7B">
        <w:rPr>
          <w:i/>
          <w:iCs/>
        </w:rPr>
        <w:t>See, e.g., KGB, Inc</w:t>
      </w:r>
      <w:r w:rsidRPr="005F0C7B">
        <w:t xml:space="preserve">., Memorandum Opinion and Order and Forfeiture Order, 13 FCC </w:t>
      </w:r>
      <w:r w:rsidRPr="005F0C7B">
        <w:t>Rcd</w:t>
      </w:r>
      <w:r w:rsidRPr="005F0C7B">
        <w:t xml:space="preserve"> 16396, 16398, para. 8 (1998) (forfeiture paid) </w:t>
      </w:r>
      <w:r w:rsidRPr="005F0C7B">
        <w:rPr>
          <w:color w:val="3D3D3D"/>
          <w:shd w:val="clear" w:color="auto" w:fill="FFFFFF"/>
        </w:rPr>
        <w:t>(</w:t>
      </w:r>
      <w:r w:rsidRPr="00864A14">
        <w:rPr>
          <w:shd w:val="clear" w:color="auto" w:fill="FFFFFF"/>
        </w:rPr>
        <w:t>reducing the proposed forfeiture from $11,500 to $9,200 for airing indecent material due to the broadcast licensee’s “history of overall compliance prior to these broadcasts, and its apparent lack of violations in the period since these broadcasts”)</w:t>
      </w:r>
      <w:r w:rsidRPr="007E14C2">
        <w:t xml:space="preserve">; </w:t>
      </w:r>
      <w:r w:rsidRPr="006139A0">
        <w:rPr>
          <w:i/>
          <w:iCs/>
        </w:rPr>
        <w:t>South Central Communications Corp</w:t>
      </w:r>
      <w:r w:rsidRPr="007E14C2">
        <w:t xml:space="preserve">., Forfeiture Order, 18 FCC </w:t>
      </w:r>
      <w:r w:rsidRPr="007E14C2">
        <w:t>Rcd</w:t>
      </w:r>
      <w:r w:rsidRPr="007E14C2">
        <w:t xml:space="preserve"> 700, 702-03, para. 9 (EB 2003) (reducing the proposed forfeiture from $10,000 to $8,000 for antenna structure lighting violations due to the licensee’s history of overall compliance).</w:t>
      </w:r>
      <w:r w:rsidRPr="007E14C2">
        <w:rPr>
          <w:i/>
          <w:iCs/>
        </w:rPr>
        <w:t xml:space="preserve"> </w:t>
      </w:r>
    </w:p>
  </w:footnote>
  <w:footnote w:id="80">
    <w:p w:rsidR="00CB1379" w:rsidP="00F06550" w14:paraId="458B450D" w14:textId="054A4ED5">
      <w:pPr>
        <w:pStyle w:val="FootnoteText"/>
      </w:pPr>
      <w:r w:rsidRPr="005F0C7B">
        <w:rPr>
          <w:rStyle w:val="FootnoteReference"/>
        </w:rPr>
        <w:footnoteRef/>
      </w:r>
      <w:r w:rsidRPr="005F0C7B">
        <w:t xml:space="preserve"> </w:t>
      </w:r>
      <w:r w:rsidRPr="005F0C7B">
        <w:rPr>
          <w:i/>
          <w:snapToGrid w:val="0"/>
        </w:rPr>
        <w:t>See, e.g.</w:t>
      </w:r>
      <w:r w:rsidRPr="005F0C7B">
        <w:rPr>
          <w:snapToGrid w:val="0"/>
        </w:rPr>
        <w:t>,</w:t>
      </w:r>
      <w:r w:rsidRPr="005F0C7B">
        <w:rPr>
          <w:i/>
          <w:snapToGrid w:val="0"/>
        </w:rPr>
        <w:t xml:space="preserve"> </w:t>
      </w:r>
      <w:r w:rsidRPr="00864A14">
        <w:rPr>
          <w:i/>
          <w:iCs/>
          <w:snapToGrid w:val="0"/>
        </w:rPr>
        <w:t>Consent Decree</w:t>
      </w:r>
      <w:r w:rsidRPr="005F0C7B">
        <w:rPr>
          <w:snapToGrid w:val="0"/>
        </w:rPr>
        <w:t xml:space="preserve">, 31 FCC </w:t>
      </w:r>
      <w:r w:rsidRPr="005F0C7B">
        <w:rPr>
          <w:snapToGrid w:val="0"/>
        </w:rPr>
        <w:t>Rcd</w:t>
      </w:r>
      <w:r w:rsidRPr="005F0C7B">
        <w:rPr>
          <w:snapToGrid w:val="0"/>
        </w:rPr>
        <w:t xml:space="preserve"> at 9, para. 10 (Cumulus and Radio License admitting that their actions with respect to the broadcast of the 178 announcements referenced in </w:t>
      </w:r>
      <w:r w:rsidRPr="00100A83" w:rsidR="00E86181">
        <w:rPr>
          <w:snapToGrid w:val="0"/>
        </w:rPr>
        <w:t xml:space="preserve">the </w:t>
      </w:r>
      <w:r w:rsidRPr="00100A83">
        <w:rPr>
          <w:snapToGrid w:val="0"/>
        </w:rPr>
        <w:t>C</w:t>
      </w:r>
      <w:r w:rsidRPr="00100A83" w:rsidR="00E86181">
        <w:rPr>
          <w:snapToGrid w:val="0"/>
        </w:rPr>
        <w:t>onsent Decree</w:t>
      </w:r>
      <w:r w:rsidRPr="005F0C7B">
        <w:rPr>
          <w:snapToGrid w:val="0"/>
        </w:rPr>
        <w:t xml:space="preserve"> violated the </w:t>
      </w:r>
      <w:r>
        <w:rPr>
          <w:snapToGrid w:val="0"/>
        </w:rPr>
        <w:t>S</w:t>
      </w:r>
      <w:r w:rsidRPr="005F0C7B">
        <w:rPr>
          <w:snapToGrid w:val="0"/>
        </w:rPr>
        <w:t xml:space="preserve">ponsorship </w:t>
      </w:r>
      <w:r>
        <w:rPr>
          <w:snapToGrid w:val="0"/>
        </w:rPr>
        <w:t>I</w:t>
      </w:r>
      <w:r w:rsidRPr="005F0C7B">
        <w:rPr>
          <w:snapToGrid w:val="0"/>
        </w:rPr>
        <w:t xml:space="preserve">dentification </w:t>
      </w:r>
      <w:r>
        <w:rPr>
          <w:snapToGrid w:val="0"/>
        </w:rPr>
        <w:t>L</w:t>
      </w:r>
      <w:r w:rsidRPr="005F0C7B">
        <w:rPr>
          <w:snapToGrid w:val="0"/>
        </w:rPr>
        <w:t xml:space="preserve">aws); </w:t>
      </w:r>
      <w:r w:rsidRPr="005F0C7B">
        <w:rPr>
          <w:rStyle w:val="cosearchterm"/>
          <w:bCs/>
          <w:i/>
          <w:iCs/>
        </w:rPr>
        <w:t>Cumulus</w:t>
      </w:r>
      <w:r w:rsidRPr="005F0C7B">
        <w:rPr>
          <w:rStyle w:val="Emphasis"/>
        </w:rPr>
        <w:t> Licensing LLC</w:t>
      </w:r>
      <w:r w:rsidRPr="005F0C7B">
        <w:rPr>
          <w:snapToGrid w:val="0"/>
        </w:rPr>
        <w:t>, Notice of Apparent Liability for </w:t>
      </w:r>
      <w:r w:rsidRPr="005F0C7B">
        <w:rPr>
          <w:rStyle w:val="cosearchterm"/>
          <w:bCs/>
        </w:rPr>
        <w:t>Forfeiture</w:t>
      </w:r>
      <w:r w:rsidRPr="005F0C7B">
        <w:rPr>
          <w:snapToGrid w:val="0"/>
        </w:rPr>
        <w:t xml:space="preserve">, 24 FCC </w:t>
      </w:r>
      <w:r w:rsidRPr="005F0C7B">
        <w:rPr>
          <w:snapToGrid w:val="0"/>
        </w:rPr>
        <w:t>Rcd</w:t>
      </w:r>
      <w:r w:rsidRPr="005F0C7B">
        <w:rPr>
          <w:snapToGrid w:val="0"/>
        </w:rPr>
        <w:t xml:space="preserve"> 1667 (EB-IHD 2009) (forfeiture paid</w:t>
      </w:r>
      <w:r w:rsidRPr="005F0C7B">
        <w:rPr>
          <w:i/>
          <w:iCs/>
          <w:snapToGrid w:val="0"/>
        </w:rPr>
        <w:t>)</w:t>
      </w:r>
      <w:r w:rsidRPr="005F0C7B">
        <w:rPr>
          <w:rStyle w:val="Emphasis"/>
          <w:i w:val="0"/>
        </w:rPr>
        <w:t xml:space="preserve"> (imposing $6,000 forfeiture for Cumulus Licensing LLC’s apparent violation of section 73.1206 of the </w:t>
      </w:r>
      <w:r w:rsidRPr="00100A83" w:rsidR="00E86181">
        <w:rPr>
          <w:rStyle w:val="Emphasis"/>
          <w:i w:val="0"/>
        </w:rPr>
        <w:t>Commission’s r</w:t>
      </w:r>
      <w:r w:rsidRPr="00100A83">
        <w:rPr>
          <w:rStyle w:val="Emphasis"/>
          <w:i w:val="0"/>
        </w:rPr>
        <w:t>ules</w:t>
      </w:r>
      <w:r w:rsidRPr="005F0C7B">
        <w:rPr>
          <w:rStyle w:val="Emphasis"/>
          <w:i w:val="0"/>
        </w:rPr>
        <w:t>)</w:t>
      </w:r>
      <w:r w:rsidRPr="005F0C7B">
        <w:rPr>
          <w:i/>
          <w:iCs/>
          <w:snapToGrid w:val="0"/>
        </w:rPr>
        <w:t>;</w:t>
      </w:r>
      <w:r w:rsidRPr="005F0C7B">
        <w:rPr>
          <w:snapToGrid w:val="0"/>
        </w:rPr>
        <w:t> </w:t>
      </w:r>
      <w:r w:rsidRPr="005F0C7B">
        <w:rPr>
          <w:rStyle w:val="cosearchterm"/>
          <w:bCs/>
          <w:i/>
          <w:iCs/>
        </w:rPr>
        <w:t>Cumulus</w:t>
      </w:r>
      <w:r w:rsidRPr="005F0C7B">
        <w:rPr>
          <w:rStyle w:val="Emphasis"/>
        </w:rPr>
        <w:t> Licensing Corp.</w:t>
      </w:r>
      <w:r w:rsidRPr="005F0C7B">
        <w:rPr>
          <w:snapToGrid w:val="0"/>
        </w:rPr>
        <w:t xml:space="preserve">, Memorandum Opinion and Order, 23 FCC </w:t>
      </w:r>
      <w:r w:rsidRPr="005F0C7B">
        <w:rPr>
          <w:snapToGrid w:val="0"/>
        </w:rPr>
        <w:t>Rcd</w:t>
      </w:r>
      <w:r w:rsidRPr="005F0C7B">
        <w:rPr>
          <w:snapToGrid w:val="0"/>
        </w:rPr>
        <w:t xml:space="preserve"> 5286, 5292, para. 17 (2008) (affirming Memorandum Opinion and Order’s conclusion that Cumulus Licensing Corporation willfully and repeatedly violated section 17.50 of the </w:t>
      </w:r>
      <w:r w:rsidRPr="00100A83" w:rsidR="00E86181">
        <w:rPr>
          <w:snapToGrid w:val="0"/>
        </w:rPr>
        <w:t>Commission’s r</w:t>
      </w:r>
      <w:r w:rsidRPr="00100A83">
        <w:rPr>
          <w:snapToGrid w:val="0"/>
        </w:rPr>
        <w:t>ules</w:t>
      </w:r>
      <w:r w:rsidRPr="005F0C7B">
        <w:rPr>
          <w:snapToGrid w:val="0"/>
        </w:rPr>
        <w:t xml:space="preserve"> and that it is not entitled to a reduction in the assessed forfeiture amount)</w:t>
      </w:r>
      <w:r w:rsidRPr="005F0C7B">
        <w:rPr>
          <w:i/>
          <w:snapToGrid w:val="0"/>
        </w:rPr>
        <w:t xml:space="preserve">; </w:t>
      </w:r>
      <w:r w:rsidRPr="005F0C7B">
        <w:rPr>
          <w:rStyle w:val="Emphasis"/>
        </w:rPr>
        <w:t xml:space="preserve">Cumulus Licensing Corp., </w:t>
      </w:r>
      <w:r w:rsidRPr="005F0C7B">
        <w:rPr>
          <w:rStyle w:val="Emphasis"/>
          <w:i w:val="0"/>
          <w:iCs w:val="0"/>
        </w:rPr>
        <w:t xml:space="preserve">Notice of Apparent Liability for Forfeiture, 19 FCC </w:t>
      </w:r>
      <w:r w:rsidRPr="005F0C7B">
        <w:rPr>
          <w:rStyle w:val="Emphasis"/>
          <w:i w:val="0"/>
          <w:iCs w:val="0"/>
        </w:rPr>
        <w:t>Rcd</w:t>
      </w:r>
      <w:r w:rsidRPr="005F0C7B">
        <w:rPr>
          <w:rStyle w:val="Emphasis"/>
          <w:i w:val="0"/>
          <w:iCs w:val="0"/>
        </w:rPr>
        <w:t xml:space="preserve"> 2753 (EB 2004)</w:t>
      </w:r>
      <w:r w:rsidRPr="005F0C7B">
        <w:rPr>
          <w:rStyle w:val="Emphasis"/>
        </w:rPr>
        <w:t xml:space="preserve"> </w:t>
      </w:r>
      <w:r w:rsidRPr="005F0C7B">
        <w:rPr>
          <w:snapToGrid w:val="0"/>
        </w:rPr>
        <w:t>(forfeiture paid)</w:t>
      </w:r>
      <w:r w:rsidRPr="005F0C7B">
        <w:rPr>
          <w:rStyle w:val="Emphasis"/>
        </w:rPr>
        <w:t xml:space="preserve"> </w:t>
      </w:r>
      <w:r w:rsidRPr="005F0C7B">
        <w:rPr>
          <w:rStyle w:val="Emphasis"/>
          <w:i w:val="0"/>
          <w:iCs w:val="0"/>
        </w:rPr>
        <w:t xml:space="preserve">(imposing $4,000 forfeiture for Cumulus Licensing Corp.’s apparent violation of section 73.1206 of the </w:t>
      </w:r>
      <w:r w:rsidRPr="00100A83" w:rsidR="00E86181">
        <w:rPr>
          <w:rStyle w:val="Emphasis"/>
          <w:i w:val="0"/>
          <w:iCs w:val="0"/>
        </w:rPr>
        <w:t>Commission’s r</w:t>
      </w:r>
      <w:r w:rsidRPr="00100A83">
        <w:rPr>
          <w:rStyle w:val="Emphasis"/>
          <w:i w:val="0"/>
          <w:iCs w:val="0"/>
        </w:rPr>
        <w:t>ules</w:t>
      </w:r>
      <w:r w:rsidRPr="005F0C7B">
        <w:rPr>
          <w:rStyle w:val="Emphasis"/>
          <w:i w:val="0"/>
          <w:iCs w:val="0"/>
        </w:rPr>
        <w:t>)</w:t>
      </w:r>
      <w:r w:rsidRPr="005F0C7B">
        <w:rPr>
          <w:i/>
          <w:snapToGrid w:val="0"/>
        </w:rPr>
        <w:t>.</w:t>
      </w:r>
    </w:p>
  </w:footnote>
  <w:footnote w:id="81">
    <w:p w:rsidR="00CB1379" w:rsidRPr="003F6A38" w:rsidP="003F6A38" w14:paraId="5E3CF62B" w14:textId="0EBEEE44">
      <w:pPr>
        <w:pStyle w:val="FootnoteText"/>
      </w:pPr>
      <w:r w:rsidRPr="003F6A38">
        <w:rPr>
          <w:rStyle w:val="FootnoteReference"/>
        </w:rPr>
        <w:footnoteRef/>
      </w:r>
      <w:r w:rsidRPr="003F6A38">
        <w:t xml:space="preserve"> </w:t>
      </w:r>
      <w:r w:rsidRPr="00864A14">
        <w:t>NAL Response</w:t>
      </w:r>
      <w:r w:rsidRPr="003F6A38">
        <w:t xml:space="preserve"> at ii, 6</w:t>
      </w:r>
      <w:r w:rsidRPr="00100A83" w:rsidR="009F53E5">
        <w:t>-7</w:t>
      </w:r>
      <w:r w:rsidRPr="00100A83">
        <w:t>,</w:t>
      </w:r>
      <w:r w:rsidRPr="003F6A38">
        <w:t xml:space="preserve"> 16, paras. 9</w:t>
      </w:r>
      <w:r w:rsidRPr="00100A83" w:rsidR="009F53E5">
        <w:t>-10</w:t>
      </w:r>
      <w:r w:rsidRPr="003F6A38">
        <w:t>, 31.</w:t>
      </w:r>
    </w:p>
  </w:footnote>
  <w:footnote w:id="82">
    <w:p w:rsidR="00CB1379" w:rsidRPr="003F6A38" w:rsidP="003F6A38" w14:paraId="63BCB9CB" w14:textId="4FC300DB">
      <w:pPr>
        <w:pStyle w:val="FootnoteText"/>
      </w:pPr>
      <w:r w:rsidRPr="003F6A38">
        <w:rPr>
          <w:rStyle w:val="FootnoteReference"/>
        </w:rPr>
        <w:footnoteRef/>
      </w:r>
      <w:r w:rsidRPr="003F6A38">
        <w:t xml:space="preserve"> </w:t>
      </w:r>
      <w:r w:rsidRPr="003F6A38">
        <w:rPr>
          <w:i/>
          <w:iCs/>
          <w:bdr w:val="none" w:sz="0" w:space="0" w:color="auto" w:frame="1"/>
          <w:shd w:val="clear" w:color="auto" w:fill="FFFFFF"/>
        </w:rPr>
        <w:t>Seawest</w:t>
      </w:r>
      <w:r w:rsidRPr="003F6A38">
        <w:rPr>
          <w:i/>
          <w:iCs/>
          <w:bdr w:val="none" w:sz="0" w:space="0" w:color="auto" w:frame="1"/>
          <w:shd w:val="clear" w:color="auto" w:fill="FFFFFF"/>
        </w:rPr>
        <w:t xml:space="preserve"> Yacht Brokers</w:t>
      </w:r>
      <w:r w:rsidRPr="003F6A38">
        <w:rPr>
          <w:bdr w:val="none" w:sz="0" w:space="0" w:color="auto" w:frame="1"/>
          <w:shd w:val="clear" w:color="auto" w:fill="FFFFFF"/>
        </w:rPr>
        <w:t>, Notice of </w:t>
      </w:r>
      <w:r w:rsidRPr="003F6A38">
        <w:rPr>
          <w:bCs/>
          <w:bdr w:val="none" w:sz="0" w:space="0" w:color="auto" w:frame="1"/>
          <w:shd w:val="clear" w:color="auto" w:fill="FFFFFF"/>
        </w:rPr>
        <w:t>Forfeiture</w:t>
      </w:r>
      <w:r w:rsidRPr="003F6A38">
        <w:rPr>
          <w:bdr w:val="none" w:sz="0" w:space="0" w:color="auto" w:frame="1"/>
          <w:shd w:val="clear" w:color="auto" w:fill="FFFFFF"/>
        </w:rPr>
        <w:t xml:space="preserve">, 9 FCC </w:t>
      </w:r>
      <w:r w:rsidRPr="003F6A38">
        <w:rPr>
          <w:bdr w:val="none" w:sz="0" w:space="0" w:color="auto" w:frame="1"/>
          <w:shd w:val="clear" w:color="auto" w:fill="FFFFFF"/>
        </w:rPr>
        <w:t>Rcd</w:t>
      </w:r>
      <w:r w:rsidRPr="003F6A38">
        <w:rPr>
          <w:bdr w:val="none" w:sz="0" w:space="0" w:color="auto" w:frame="1"/>
          <w:shd w:val="clear" w:color="auto" w:fill="FFFFFF"/>
        </w:rPr>
        <w:t xml:space="preserve"> 6099, 6099, para. 7 (1994)</w:t>
      </w:r>
      <w:r>
        <w:rPr>
          <w:bdr w:val="none" w:sz="0" w:space="0" w:color="auto" w:frame="1"/>
          <w:shd w:val="clear" w:color="auto" w:fill="FFFFFF"/>
        </w:rPr>
        <w:t>.</w:t>
      </w:r>
      <w:r w:rsidRPr="003F6A38">
        <w:rPr>
          <w:shd w:val="clear" w:color="auto" w:fill="FFFFFF"/>
        </w:rPr>
        <w:t> </w:t>
      </w:r>
      <w:r>
        <w:rPr>
          <w:shd w:val="clear" w:color="auto" w:fill="FFFFFF"/>
        </w:rPr>
        <w:t xml:space="preserve"> </w:t>
      </w:r>
      <w:r>
        <w:rPr>
          <w:i/>
          <w:iCs/>
          <w:bdr w:val="none" w:sz="0" w:space="0" w:color="auto" w:frame="1"/>
          <w:shd w:val="clear" w:color="auto" w:fill="FFFFFF"/>
        </w:rPr>
        <w:t>S</w:t>
      </w:r>
      <w:r w:rsidRPr="003F6A38">
        <w:rPr>
          <w:i/>
          <w:iCs/>
          <w:bdr w:val="none" w:sz="0" w:space="0" w:color="auto" w:frame="1"/>
          <w:shd w:val="clear" w:color="auto" w:fill="FFFFFF"/>
        </w:rPr>
        <w:t>ee also BASF Corp.</w:t>
      </w:r>
      <w:r w:rsidRPr="003F6A38">
        <w:rPr>
          <w:bdr w:val="none" w:sz="0" w:space="0" w:color="auto" w:frame="1"/>
          <w:shd w:val="clear" w:color="auto" w:fill="FFFFFF"/>
        </w:rPr>
        <w:t>, Notice of Apparent Liability for </w:t>
      </w:r>
      <w:r w:rsidRPr="003F6A38">
        <w:rPr>
          <w:bCs/>
          <w:bdr w:val="none" w:sz="0" w:space="0" w:color="auto" w:frame="1"/>
          <w:shd w:val="clear" w:color="auto" w:fill="FFFFFF"/>
        </w:rPr>
        <w:t>Forfeiture</w:t>
      </w:r>
      <w:r w:rsidRPr="003F6A38">
        <w:rPr>
          <w:bdr w:val="none" w:sz="0" w:space="0" w:color="auto" w:frame="1"/>
          <w:shd w:val="clear" w:color="auto" w:fill="FFFFFF"/>
        </w:rPr>
        <w:t xml:space="preserve">, 25 FCC </w:t>
      </w:r>
      <w:r w:rsidRPr="003F6A38">
        <w:rPr>
          <w:bdr w:val="none" w:sz="0" w:space="0" w:color="auto" w:frame="1"/>
          <w:shd w:val="clear" w:color="auto" w:fill="FFFFFF"/>
        </w:rPr>
        <w:t>Rcd</w:t>
      </w:r>
      <w:r w:rsidRPr="003F6A38">
        <w:rPr>
          <w:bdr w:val="none" w:sz="0" w:space="0" w:color="auto" w:frame="1"/>
          <w:shd w:val="clear" w:color="auto" w:fill="FFFFFF"/>
        </w:rPr>
        <w:t xml:space="preserve"> 17300, 17303, para. 10 (EB 2010</w:t>
      </w:r>
      <w:r w:rsidRPr="003F6A38">
        <w:rPr>
          <w:shd w:val="clear" w:color="auto" w:fill="FFFFFF"/>
        </w:rPr>
        <w:t>) (forfeiture paid) (declining to reduce </w:t>
      </w:r>
      <w:r w:rsidRPr="003F6A38">
        <w:rPr>
          <w:bCs/>
          <w:bdr w:val="none" w:sz="0" w:space="0" w:color="auto" w:frame="1"/>
        </w:rPr>
        <w:t>forfeiture</w:t>
      </w:r>
      <w:r w:rsidRPr="003F6A38">
        <w:rPr>
          <w:shd w:val="clear" w:color="auto" w:fill="FFFFFF"/>
        </w:rPr>
        <w:t> based on post-</w:t>
      </w:r>
      <w:r w:rsidRPr="003F6A38">
        <w:rPr>
          <w:bCs/>
          <w:bdr w:val="none" w:sz="0" w:space="0" w:color="auto" w:frame="1"/>
        </w:rPr>
        <w:t>investigation</w:t>
      </w:r>
      <w:r w:rsidRPr="003F6A38">
        <w:rPr>
          <w:shd w:val="clear" w:color="auto" w:fill="FFFFFF"/>
        </w:rPr>
        <w:t> </w:t>
      </w:r>
      <w:r w:rsidRPr="003F6A38">
        <w:rPr>
          <w:bCs/>
          <w:bdr w:val="none" w:sz="0" w:space="0" w:color="auto" w:frame="1"/>
        </w:rPr>
        <w:t xml:space="preserve">remedial </w:t>
      </w:r>
      <w:r w:rsidRPr="003F6A38">
        <w:rPr>
          <w:shd w:val="clear" w:color="auto" w:fill="FFFFFF"/>
        </w:rPr>
        <w:t>efforts).</w:t>
      </w:r>
    </w:p>
  </w:footnote>
  <w:footnote w:id="83">
    <w:p w:rsidR="00CB1379" w:rsidRPr="003F6A38" w:rsidP="003F6A38" w14:paraId="5A308958" w14:textId="77777777">
      <w:pPr>
        <w:pStyle w:val="FootnoteText"/>
      </w:pPr>
      <w:r w:rsidRPr="003F6A38">
        <w:rPr>
          <w:rStyle w:val="FootnoteReference"/>
        </w:rPr>
        <w:footnoteRef/>
      </w:r>
      <w:r w:rsidRPr="003F6A38">
        <w:t xml:space="preserve"> </w:t>
      </w:r>
      <w:r w:rsidRPr="005F4170">
        <w:rPr>
          <w:rStyle w:val="cosearchterm"/>
          <w:bCs/>
          <w:i/>
          <w:iCs/>
          <w:bdr w:val="none" w:sz="0" w:space="0" w:color="auto" w:frame="1"/>
          <w:shd w:val="clear" w:color="auto" w:fill="FFFFFF"/>
        </w:rPr>
        <w:t>Consent</w:t>
      </w:r>
      <w:r w:rsidRPr="005F4170">
        <w:rPr>
          <w:i/>
          <w:iCs/>
          <w:bdr w:val="none" w:sz="0" w:space="0" w:color="auto" w:frame="1"/>
          <w:shd w:val="clear" w:color="auto" w:fill="FFFFFF"/>
        </w:rPr>
        <w:t> </w:t>
      </w:r>
      <w:r w:rsidRPr="005F4170">
        <w:rPr>
          <w:rStyle w:val="cosearchterm"/>
          <w:bCs/>
          <w:i/>
          <w:iCs/>
          <w:bdr w:val="none" w:sz="0" w:space="0" w:color="auto" w:frame="1"/>
          <w:shd w:val="clear" w:color="auto" w:fill="FFFFFF"/>
        </w:rPr>
        <w:t>Decree</w:t>
      </w:r>
      <w:r w:rsidRPr="003F6A38">
        <w:rPr>
          <w:bdr w:val="none" w:sz="0" w:space="0" w:color="auto" w:frame="1"/>
          <w:shd w:val="clear" w:color="auto" w:fill="FFFFFF"/>
        </w:rPr>
        <w:t xml:space="preserve">, 31 FCC </w:t>
      </w:r>
      <w:r w:rsidRPr="003F6A38">
        <w:rPr>
          <w:bdr w:val="none" w:sz="0" w:space="0" w:color="auto" w:frame="1"/>
          <w:shd w:val="clear" w:color="auto" w:fill="FFFFFF"/>
        </w:rPr>
        <w:t>Rcd</w:t>
      </w:r>
      <w:r w:rsidRPr="003F6A38">
        <w:rPr>
          <w:bdr w:val="none" w:sz="0" w:space="0" w:color="auto" w:frame="1"/>
          <w:shd w:val="clear" w:color="auto" w:fill="FFFFFF"/>
        </w:rPr>
        <w:t xml:space="preserve"> at 9, para. 12 </w:t>
      </w:r>
      <w:r w:rsidRPr="003F6A38">
        <w:rPr>
          <w:shd w:val="clear" w:color="auto" w:fill="FFFFFF"/>
        </w:rPr>
        <w:t>(stating for its compliance plan, “[w]</w:t>
      </w:r>
      <w:r w:rsidRPr="003F6A38">
        <w:rPr>
          <w:shd w:val="clear" w:color="auto" w:fill="FFFFFF"/>
        </w:rPr>
        <w:t>ith</w:t>
      </w:r>
      <w:r w:rsidRPr="003F6A38">
        <w:rPr>
          <w:shd w:val="clear" w:color="auto" w:fill="FFFFFF"/>
        </w:rPr>
        <w:t xml:space="preserve"> respect to the Sponsorship Identification Laws, Cumulus will implement, at a minimum, the following procedures </w:t>
      </w:r>
      <w:r w:rsidRPr="007B6D51">
        <w:rPr>
          <w:shd w:val="clear" w:color="auto" w:fill="FFFFFF"/>
        </w:rPr>
        <w:t>. . . .</w:t>
      </w:r>
      <w:r w:rsidRPr="003F6A38">
        <w:rPr>
          <w:shd w:val="clear" w:color="auto" w:fill="FFFFFF"/>
        </w:rPr>
        <w:t>”).</w:t>
      </w:r>
    </w:p>
  </w:footnote>
  <w:footnote w:id="84">
    <w:p w:rsidR="00CB1379" w:rsidRPr="003F6A38" w:rsidP="003F6A38" w14:paraId="1311E4B1" w14:textId="5C831372">
      <w:pPr>
        <w:pStyle w:val="FootnoteText"/>
      </w:pPr>
      <w:r w:rsidRPr="003F6A38">
        <w:rPr>
          <w:rStyle w:val="FootnoteReference"/>
        </w:rPr>
        <w:footnoteRef/>
      </w:r>
      <w:r w:rsidRPr="003F6A38">
        <w:t xml:space="preserve"> </w:t>
      </w:r>
      <w:r w:rsidRPr="00197E9F">
        <w:rPr>
          <w:i/>
          <w:iCs/>
        </w:rPr>
        <w:t>Id</w:t>
      </w:r>
      <w:r>
        <w:t>.</w:t>
      </w:r>
      <w:r w:rsidRPr="003F6A38">
        <w:t xml:space="preserve"> at 10-11, paras. 13, 15.</w:t>
      </w:r>
    </w:p>
  </w:footnote>
  <w:footnote w:id="85">
    <w:p w:rsidR="00CB1379" w:rsidRPr="003F6A38" w:rsidP="003F6A38" w14:paraId="307F071C" w14:textId="77777777">
      <w:pPr>
        <w:pStyle w:val="FootnoteText"/>
      </w:pPr>
      <w:r w:rsidRPr="003F6A38">
        <w:rPr>
          <w:rStyle w:val="FootnoteReference"/>
        </w:rPr>
        <w:footnoteRef/>
      </w:r>
      <w:r w:rsidRPr="003F6A38">
        <w:t xml:space="preserve"> NAL Response at 13-14, para. 24.</w:t>
      </w:r>
    </w:p>
  </w:footnote>
  <w:footnote w:id="86">
    <w:p w:rsidR="00CB1379" w:rsidRPr="003F6A38" w:rsidP="003F6A38" w14:paraId="1440887A" w14:textId="77777777">
      <w:pPr>
        <w:pStyle w:val="FootnoteText"/>
      </w:pPr>
      <w:r w:rsidRPr="003F6A38">
        <w:rPr>
          <w:rStyle w:val="FootnoteReference"/>
        </w:rPr>
        <w:footnoteRef/>
      </w:r>
      <w:r w:rsidRPr="003F6A38">
        <w:t xml:space="preserve"> </w:t>
      </w:r>
      <w:r w:rsidRPr="003F6A38">
        <w:rPr>
          <w:i/>
          <w:iCs/>
        </w:rPr>
        <w:t>Id</w:t>
      </w:r>
      <w:r w:rsidRPr="003F6A38">
        <w:t>.</w:t>
      </w:r>
    </w:p>
  </w:footnote>
  <w:footnote w:id="87">
    <w:p w:rsidR="00CB1379" w:rsidRPr="003F6A38" w:rsidP="003F6A38" w14:paraId="0AC078DB" w14:textId="77777777">
      <w:pPr>
        <w:pStyle w:val="FootnoteText"/>
      </w:pPr>
      <w:r w:rsidRPr="003F6A38">
        <w:rPr>
          <w:rStyle w:val="FootnoteReference"/>
        </w:rPr>
        <w:footnoteRef/>
      </w:r>
      <w:r w:rsidRPr="003F6A38">
        <w:t xml:space="preserve"> </w:t>
      </w:r>
      <w:r w:rsidRPr="003F6A38">
        <w:rPr>
          <w:i/>
        </w:rPr>
        <w:t>Id</w:t>
      </w:r>
      <w:r w:rsidRPr="003F6A38">
        <w:t>. at 16, para. 30.</w:t>
      </w:r>
    </w:p>
  </w:footnote>
  <w:footnote w:id="88">
    <w:p w:rsidR="00CB1379" w:rsidRPr="003F6A38" w:rsidP="003F6A38" w14:paraId="14E91672" w14:textId="77777777">
      <w:pPr>
        <w:pStyle w:val="FootnoteText"/>
      </w:pPr>
      <w:r w:rsidRPr="003F6A38">
        <w:rPr>
          <w:rStyle w:val="FootnoteReference"/>
        </w:rPr>
        <w:footnoteRef/>
      </w:r>
      <w:r w:rsidRPr="003F6A38">
        <w:t xml:space="preserve"> </w:t>
      </w:r>
      <w:r w:rsidRPr="003F6A38">
        <w:rPr>
          <w:rStyle w:val="Emphasis"/>
          <w:bdr w:val="none" w:sz="0" w:space="0" w:color="auto" w:frame="1"/>
          <w:shd w:val="clear" w:color="auto" w:fill="FFFFFF"/>
        </w:rPr>
        <w:t>See Profit Enterprises, Inc.</w:t>
      </w:r>
      <w:r w:rsidRPr="003F6A38">
        <w:rPr>
          <w:bdr w:val="none" w:sz="0" w:space="0" w:color="auto" w:frame="1"/>
          <w:shd w:val="clear" w:color="auto" w:fill="FFFFFF"/>
        </w:rPr>
        <w:t>, </w:t>
      </w:r>
      <w:r w:rsidRPr="003F6A38">
        <w:rPr>
          <w:rStyle w:val="cosearchterm"/>
          <w:bCs/>
          <w:bdr w:val="none" w:sz="0" w:space="0" w:color="auto" w:frame="1"/>
          <w:shd w:val="clear" w:color="auto" w:fill="FFFFFF"/>
        </w:rPr>
        <w:t>Forfeiture</w:t>
      </w:r>
      <w:r w:rsidRPr="003F6A38">
        <w:rPr>
          <w:bdr w:val="none" w:sz="0" w:space="0" w:color="auto" w:frame="1"/>
          <w:shd w:val="clear" w:color="auto" w:fill="FFFFFF"/>
        </w:rPr>
        <w:t xml:space="preserve"> Order, 8 FCC </w:t>
      </w:r>
      <w:r w:rsidRPr="003F6A38">
        <w:rPr>
          <w:bdr w:val="none" w:sz="0" w:space="0" w:color="auto" w:frame="1"/>
          <w:shd w:val="clear" w:color="auto" w:fill="FFFFFF"/>
        </w:rPr>
        <w:t>Rcd</w:t>
      </w:r>
      <w:r w:rsidRPr="003F6A38">
        <w:rPr>
          <w:bdr w:val="none" w:sz="0" w:space="0" w:color="auto" w:frame="1"/>
          <w:shd w:val="clear" w:color="auto" w:fill="FFFFFF"/>
        </w:rPr>
        <w:t xml:space="preserve"> 2846, 2846, para. 5 (1993)</w:t>
      </w:r>
      <w:r w:rsidRPr="003F6A38">
        <w:rPr>
          <w:shd w:val="clear" w:color="auto" w:fill="FFFFFF"/>
        </w:rPr>
        <w:t> (denying mitigation based on claim of ignorance of law); </w:t>
      </w:r>
      <w:r w:rsidRPr="003F6A38">
        <w:rPr>
          <w:rStyle w:val="Emphasis"/>
          <w:bdr w:val="none" w:sz="0" w:space="0" w:color="auto" w:frame="1"/>
          <w:shd w:val="clear" w:color="auto" w:fill="FFFFFF"/>
        </w:rPr>
        <w:t>Lakewood Broadcasting Service, Inc.</w:t>
      </w:r>
      <w:r w:rsidRPr="003F6A38">
        <w:rPr>
          <w:bdr w:val="none" w:sz="0" w:space="0" w:color="auto" w:frame="1"/>
          <w:shd w:val="clear" w:color="auto" w:fill="FFFFFF"/>
        </w:rPr>
        <w:t>, Memorandum Opinion and Order, 37 FCC 2d 437, 438, para. 6 (1972)</w:t>
      </w:r>
      <w:r w:rsidRPr="003F6A38">
        <w:rPr>
          <w:shd w:val="clear" w:color="auto" w:fill="FFFFFF"/>
        </w:rPr>
        <w:t> (same).</w:t>
      </w:r>
    </w:p>
  </w:footnote>
  <w:footnote w:id="89">
    <w:p w:rsidR="00CB1379" w:rsidRPr="003F6A38" w:rsidP="003F6A38" w14:paraId="4D0EBF52" w14:textId="77777777">
      <w:pPr>
        <w:pStyle w:val="FootnoteText"/>
      </w:pPr>
      <w:r w:rsidRPr="003F6A38">
        <w:rPr>
          <w:rStyle w:val="FootnoteReference"/>
        </w:rPr>
        <w:footnoteRef/>
      </w:r>
      <w:r w:rsidRPr="003F6A38">
        <w:t xml:space="preserve"> </w:t>
      </w:r>
      <w:r w:rsidRPr="003F6A38">
        <w:rPr>
          <w:i/>
        </w:rPr>
        <w:t>See, e.g</w:t>
      </w:r>
      <w:r w:rsidRPr="003F6A38">
        <w:t xml:space="preserve">., </w:t>
      </w:r>
      <w:r w:rsidRPr="003F6A38">
        <w:rPr>
          <w:rStyle w:val="Emphasis"/>
          <w:bdr w:val="none" w:sz="0" w:space="0" w:color="auto" w:frame="1"/>
          <w:shd w:val="clear" w:color="auto" w:fill="FFFFFF"/>
        </w:rPr>
        <w:t>Eure</w:t>
      </w:r>
      <w:r w:rsidRPr="003F6A38">
        <w:rPr>
          <w:rStyle w:val="Emphasis"/>
          <w:bdr w:val="none" w:sz="0" w:space="0" w:color="auto" w:frame="1"/>
          <w:shd w:val="clear" w:color="auto" w:fill="FFFFFF"/>
        </w:rPr>
        <w:t xml:space="preserve"> Family Limited Partnership</w:t>
      </w:r>
      <w:r w:rsidRPr="003F6A38">
        <w:rPr>
          <w:shd w:val="clear" w:color="auto" w:fill="FFFFFF"/>
        </w:rPr>
        <w:t>, Memorandum Opinion and Order, </w:t>
      </w:r>
      <w:r w:rsidRPr="003F6A38">
        <w:rPr>
          <w:bdr w:val="none" w:sz="0" w:space="0" w:color="auto" w:frame="1"/>
          <w:shd w:val="clear" w:color="auto" w:fill="FFFFFF"/>
        </w:rPr>
        <w:t xml:space="preserve">17 FCC </w:t>
      </w:r>
      <w:r w:rsidRPr="003F6A38">
        <w:rPr>
          <w:bdr w:val="none" w:sz="0" w:space="0" w:color="auto" w:frame="1"/>
          <w:shd w:val="clear" w:color="auto" w:fill="FFFFFF"/>
        </w:rPr>
        <w:t>Rcd</w:t>
      </w:r>
      <w:r w:rsidRPr="003F6A38">
        <w:rPr>
          <w:bdr w:val="none" w:sz="0" w:space="0" w:color="auto" w:frame="1"/>
          <w:shd w:val="clear" w:color="auto" w:fill="FFFFFF"/>
        </w:rPr>
        <w:t xml:space="preserve"> 21861, 21863-64, para. 7 (2002)</w:t>
      </w:r>
      <w:r w:rsidRPr="003F6A38">
        <w:rPr>
          <w:shd w:val="clear" w:color="auto" w:fill="FFFFFF"/>
        </w:rPr>
        <w:t>; </w:t>
      </w:r>
      <w:r w:rsidRPr="003F6A38">
        <w:rPr>
          <w:rStyle w:val="Emphasis"/>
          <w:bdr w:val="none" w:sz="0" w:space="0" w:color="auto" w:frame="1"/>
          <w:shd w:val="clear" w:color="auto" w:fill="FFFFFF"/>
        </w:rPr>
        <w:t>MTD, Inc.,</w:t>
      </w:r>
      <w:r w:rsidRPr="003F6A38">
        <w:rPr>
          <w:shd w:val="clear" w:color="auto" w:fill="FFFFFF"/>
        </w:rPr>
        <w:t> Memorandum Opinion and Order, </w:t>
      </w:r>
      <w:r w:rsidRPr="003F6A38">
        <w:rPr>
          <w:bdr w:val="none" w:sz="0" w:space="0" w:color="auto" w:frame="1"/>
          <w:shd w:val="clear" w:color="auto" w:fill="FFFFFF"/>
        </w:rPr>
        <w:t xml:space="preserve">6 FCC </w:t>
      </w:r>
      <w:r w:rsidRPr="003F6A38">
        <w:rPr>
          <w:bdr w:val="none" w:sz="0" w:space="0" w:color="auto" w:frame="1"/>
          <w:shd w:val="clear" w:color="auto" w:fill="FFFFFF"/>
        </w:rPr>
        <w:t>Rcd</w:t>
      </w:r>
      <w:r w:rsidRPr="003F6A38">
        <w:rPr>
          <w:bdr w:val="none" w:sz="0" w:space="0" w:color="auto" w:frame="1"/>
          <w:shd w:val="clear" w:color="auto" w:fill="FFFFFF"/>
        </w:rPr>
        <w:t xml:space="preserve"> 34 (1991) </w:t>
      </w:r>
      <w:r w:rsidRPr="003F6A38">
        <w:rPr>
          <w:shd w:val="clear" w:color="auto" w:fill="FFFFFF"/>
        </w:rPr>
        <w:t>(holding that a licensee’s reliance on independent </w:t>
      </w:r>
      <w:r w:rsidRPr="003F6A38">
        <w:rPr>
          <w:rStyle w:val="cosearchterm"/>
          <w:bCs/>
          <w:bdr w:val="none" w:sz="0" w:space="0" w:color="auto" w:frame="1"/>
        </w:rPr>
        <w:t>contractors</w:t>
      </w:r>
      <w:r w:rsidRPr="003F6A38">
        <w:rPr>
          <w:shd w:val="clear" w:color="auto" w:fill="FFFFFF"/>
        </w:rPr>
        <w:t> to ensure FCC rule compliance does not excuse licensee from liability in the event of breach); </w:t>
      </w:r>
      <w:r w:rsidRPr="003F6A38">
        <w:rPr>
          <w:rStyle w:val="Emphasis"/>
          <w:bdr w:val="none" w:sz="0" w:space="0" w:color="auto" w:frame="1"/>
          <w:shd w:val="clear" w:color="auto" w:fill="FFFFFF"/>
        </w:rPr>
        <w:t>Wagenvoord</w:t>
      </w:r>
      <w:r w:rsidRPr="003F6A38">
        <w:rPr>
          <w:rStyle w:val="Emphasis"/>
          <w:bdr w:val="none" w:sz="0" w:space="0" w:color="auto" w:frame="1"/>
          <w:shd w:val="clear" w:color="auto" w:fill="FFFFFF"/>
        </w:rPr>
        <w:t xml:space="preserve"> Broadcasting Co.</w:t>
      </w:r>
      <w:r w:rsidRPr="003F6A38">
        <w:rPr>
          <w:bdr w:val="none" w:sz="0" w:space="0" w:color="auto" w:frame="1"/>
          <w:shd w:val="clear" w:color="auto" w:fill="FFFFFF"/>
        </w:rPr>
        <w:t>, Memorandum Opinion and Order, 35 FCC 2d 361 (1972)</w:t>
      </w:r>
      <w:r w:rsidRPr="003F6A38">
        <w:rPr>
          <w:shd w:val="clear" w:color="auto" w:fill="FFFFFF"/>
        </w:rPr>
        <w:t> (same); </w:t>
      </w:r>
      <w:r w:rsidRPr="003F6A38">
        <w:rPr>
          <w:rStyle w:val="Emphasis"/>
          <w:bdr w:val="none" w:sz="0" w:space="0" w:color="auto" w:frame="1"/>
          <w:shd w:val="clear" w:color="auto" w:fill="FFFFFF"/>
        </w:rPr>
        <w:t>Petracom</w:t>
      </w:r>
      <w:r w:rsidRPr="003F6A38">
        <w:rPr>
          <w:rStyle w:val="Emphasis"/>
          <w:bdr w:val="none" w:sz="0" w:space="0" w:color="auto" w:frame="1"/>
          <w:shd w:val="clear" w:color="auto" w:fill="FFFFFF"/>
        </w:rPr>
        <w:t xml:space="preserve"> of Joplin, L.L.C.</w:t>
      </w:r>
      <w:r w:rsidRPr="003F6A38">
        <w:rPr>
          <w:bdr w:val="none" w:sz="0" w:space="0" w:color="auto" w:frame="1"/>
          <w:shd w:val="clear" w:color="auto" w:fill="FFFFFF"/>
        </w:rPr>
        <w:t xml:space="preserve">, Forfeiture Order, 19 FCC </w:t>
      </w:r>
      <w:r w:rsidRPr="003F6A38">
        <w:rPr>
          <w:bdr w:val="none" w:sz="0" w:space="0" w:color="auto" w:frame="1"/>
          <w:shd w:val="clear" w:color="auto" w:fill="FFFFFF"/>
        </w:rPr>
        <w:t>Rcd</w:t>
      </w:r>
      <w:r w:rsidRPr="003F6A38">
        <w:rPr>
          <w:bdr w:val="none" w:sz="0" w:space="0" w:color="auto" w:frame="1"/>
          <w:shd w:val="clear" w:color="auto" w:fill="FFFFFF"/>
        </w:rPr>
        <w:t xml:space="preserve"> 6248 (EB 2004)</w:t>
      </w:r>
      <w:r w:rsidRPr="003F6A38">
        <w:rPr>
          <w:shd w:val="clear" w:color="auto" w:fill="FFFFFF"/>
        </w:rPr>
        <w:t> (holding a licensee liable for its </w:t>
      </w:r>
      <w:r w:rsidRPr="003F6A38">
        <w:rPr>
          <w:rStyle w:val="cosearchterm"/>
          <w:bCs/>
          <w:bdr w:val="none" w:sz="0" w:space="0" w:color="auto" w:frame="1"/>
        </w:rPr>
        <w:t>employee's</w:t>
      </w:r>
      <w:r w:rsidRPr="003F6A38">
        <w:rPr>
          <w:shd w:val="clear" w:color="auto" w:fill="FFFFFF"/>
        </w:rPr>
        <w:t> lapses).</w:t>
      </w:r>
    </w:p>
  </w:footnote>
  <w:footnote w:id="90">
    <w:p w:rsidR="00CB1379" w:rsidRPr="003F6A38" w:rsidP="003F6A38" w14:paraId="49CE9790" w14:textId="77777777">
      <w:pPr>
        <w:pStyle w:val="FootnoteText"/>
      </w:pPr>
      <w:r w:rsidRPr="003F6A38">
        <w:rPr>
          <w:rStyle w:val="FootnoteReference"/>
        </w:rPr>
        <w:footnoteRef/>
      </w:r>
      <w:r w:rsidRPr="003F6A38">
        <w:t xml:space="preserve"> NAL Response at 13-14, para. 24.</w:t>
      </w:r>
    </w:p>
  </w:footnote>
  <w:footnote w:id="91">
    <w:p w:rsidR="00CB1379" w:rsidRPr="003F6A38" w:rsidP="003F6A38" w14:paraId="159942EF" w14:textId="77777777">
      <w:pPr>
        <w:pStyle w:val="FootnoteText"/>
      </w:pPr>
      <w:r w:rsidRPr="003F6A38">
        <w:rPr>
          <w:rStyle w:val="FootnoteReference"/>
        </w:rPr>
        <w:footnoteRef/>
      </w:r>
      <w:r w:rsidRPr="003F6A38">
        <w:t xml:space="preserve"> </w:t>
      </w:r>
      <w:r w:rsidRPr="003F6A38">
        <w:rPr>
          <w:i/>
          <w:iCs/>
        </w:rPr>
        <w:t>See</w:t>
      </w:r>
      <w:r w:rsidRPr="003F6A38">
        <w:t xml:space="preserve"> </w:t>
      </w:r>
      <w:r w:rsidRPr="003F6A38">
        <w:rPr>
          <w:i/>
          <w:iCs/>
        </w:rPr>
        <w:t>A Radio Forfeiture Order</w:t>
      </w:r>
      <w:r w:rsidRPr="003F6A38">
        <w:t xml:space="preserve">, 27 FCC </w:t>
      </w:r>
      <w:r w:rsidRPr="003F6A38">
        <w:t>Rcd</w:t>
      </w:r>
      <w:r w:rsidRPr="003F6A38">
        <w:t xml:space="preserve"> at 6337, para. 3 (finding that A Radio willfully and repeatedly violated a Bureau order by failing to comply with the terms of the Order and Consent Decree entered into between the Enforcement Bureau and A Radio).</w:t>
      </w:r>
    </w:p>
  </w:footnote>
  <w:footnote w:id="92">
    <w:p w:rsidR="00CB1379" w:rsidRPr="003F6A38" w:rsidP="003F6A38" w14:paraId="33A99993" w14:textId="7A2A5A04">
      <w:pPr>
        <w:pStyle w:val="FootnoteText"/>
      </w:pPr>
      <w:r w:rsidRPr="003F6A38">
        <w:rPr>
          <w:rStyle w:val="FootnoteReference"/>
        </w:rPr>
        <w:footnoteRef/>
      </w:r>
      <w:r w:rsidRPr="003F6A38">
        <w:t xml:space="preserve"> </w:t>
      </w:r>
      <w:r w:rsidRPr="003F6A38">
        <w:rPr>
          <w:rStyle w:val="Emphasis"/>
          <w:bdr w:val="none" w:sz="0" w:space="0" w:color="auto" w:frame="1"/>
          <w:shd w:val="clear" w:color="auto" w:fill="FFFFFF"/>
        </w:rPr>
        <w:t>See Southern California Broadcasting Co.</w:t>
      </w:r>
      <w:r w:rsidRPr="003F6A38">
        <w:rPr>
          <w:bdr w:val="none" w:sz="0" w:space="0" w:color="auto" w:frame="1"/>
          <w:shd w:val="clear" w:color="auto" w:fill="FFFFFF"/>
        </w:rPr>
        <w:t xml:space="preserve">, Memorandum Opinion and Order, 6 FCC </w:t>
      </w:r>
      <w:r w:rsidRPr="003F6A38">
        <w:rPr>
          <w:bdr w:val="none" w:sz="0" w:space="0" w:color="auto" w:frame="1"/>
          <w:shd w:val="clear" w:color="auto" w:fill="FFFFFF"/>
        </w:rPr>
        <w:t>Rcd</w:t>
      </w:r>
      <w:r w:rsidRPr="003F6A38">
        <w:rPr>
          <w:bdr w:val="none" w:sz="0" w:space="0" w:color="auto" w:frame="1"/>
          <w:shd w:val="clear" w:color="auto" w:fill="FFFFFF"/>
        </w:rPr>
        <w:t xml:space="preserve"> 4387, 4387, para. 3 (1991) (</w:t>
      </w:r>
      <w:r w:rsidRPr="003F6A38">
        <w:rPr>
          <w:i/>
          <w:bdr w:val="none" w:sz="0" w:space="0" w:color="auto" w:frame="1"/>
          <w:shd w:val="clear" w:color="auto" w:fill="FFFFFF"/>
        </w:rPr>
        <w:t>Southern Cal. Broad</w:t>
      </w:r>
      <w:r w:rsidRPr="003F6A38">
        <w:rPr>
          <w:bdr w:val="none" w:sz="0" w:space="0" w:color="auto" w:frame="1"/>
          <w:shd w:val="clear" w:color="auto" w:fill="FFFFFF"/>
        </w:rPr>
        <w:t>.)</w:t>
      </w:r>
      <w:r w:rsidRPr="003F6A38">
        <w:t xml:space="preserve"> </w:t>
      </w:r>
      <w:r w:rsidRPr="003F6A38">
        <w:rPr>
          <w:shd w:val="clear" w:color="auto" w:fill="FFFFFF"/>
        </w:rPr>
        <w:t>(finding that “inadvertence,” even if deemed “ignorance of the law,” is not mitigating), </w:t>
      </w:r>
      <w:r>
        <w:rPr>
          <w:rStyle w:val="Emphasis"/>
          <w:bdr w:val="none" w:sz="0" w:space="0" w:color="auto" w:frame="1"/>
          <w:shd w:val="clear" w:color="auto" w:fill="FFFFFF"/>
        </w:rPr>
        <w:t>recons</w:t>
      </w:r>
      <w:r w:rsidRPr="003F6A38">
        <w:rPr>
          <w:rStyle w:val="Emphasis"/>
          <w:bdr w:val="none" w:sz="0" w:space="0" w:color="auto" w:frame="1"/>
          <w:shd w:val="clear" w:color="auto" w:fill="FFFFFF"/>
        </w:rPr>
        <w:t>. denied</w:t>
      </w:r>
      <w:r w:rsidRPr="003F6A38">
        <w:rPr>
          <w:shd w:val="clear" w:color="auto" w:fill="FFFFFF"/>
        </w:rPr>
        <w:t>, </w:t>
      </w:r>
      <w:r w:rsidRPr="00100A83" w:rsidR="00C61CF9">
        <w:rPr>
          <w:shd w:val="clear" w:color="auto" w:fill="FFFFFF"/>
        </w:rPr>
        <w:t>Memorandum Opinion and Order</w:t>
      </w:r>
      <w:r w:rsidR="00C61CF9">
        <w:rPr>
          <w:shd w:val="clear" w:color="auto" w:fill="FFFFFF"/>
        </w:rPr>
        <w:t xml:space="preserve">, </w:t>
      </w:r>
      <w:r w:rsidRPr="003F6A38">
        <w:rPr>
          <w:bdr w:val="none" w:sz="0" w:space="0" w:color="auto" w:frame="1"/>
          <w:shd w:val="clear" w:color="auto" w:fill="FFFFFF"/>
        </w:rPr>
        <w:t xml:space="preserve">7 FCC </w:t>
      </w:r>
      <w:r w:rsidRPr="003F6A38">
        <w:rPr>
          <w:bdr w:val="none" w:sz="0" w:space="0" w:color="auto" w:frame="1"/>
          <w:shd w:val="clear" w:color="auto" w:fill="FFFFFF"/>
        </w:rPr>
        <w:t>Rcd</w:t>
      </w:r>
      <w:r w:rsidRPr="003F6A38">
        <w:rPr>
          <w:bdr w:val="none" w:sz="0" w:space="0" w:color="auto" w:frame="1"/>
          <w:shd w:val="clear" w:color="auto" w:fill="FFFFFF"/>
        </w:rPr>
        <w:t xml:space="preserve"> 3454 (1992);</w:t>
      </w:r>
      <w:r w:rsidRPr="003F6A38">
        <w:t xml:space="preserve"> </w:t>
      </w:r>
      <w:r w:rsidRPr="003F6A38">
        <w:rPr>
          <w:i/>
          <w:iCs/>
        </w:rPr>
        <w:t>Emery Telephone</w:t>
      </w:r>
      <w:r w:rsidRPr="003F6A38">
        <w:t xml:space="preserve">, Memorandum Opinion and Order, 13 FCC </w:t>
      </w:r>
      <w:r w:rsidRPr="003F6A38">
        <w:t>Rcd</w:t>
      </w:r>
      <w:r w:rsidRPr="003F6A38">
        <w:t xml:space="preserve"> 23854, 23859, para. 12 (1998) (same), </w:t>
      </w:r>
      <w:r>
        <w:rPr>
          <w:i/>
          <w:iCs/>
        </w:rPr>
        <w:t>recons</w:t>
      </w:r>
      <w:r w:rsidRPr="003F6A38">
        <w:rPr>
          <w:i/>
          <w:iCs/>
        </w:rPr>
        <w:t>. dismissed in part, denied in part</w:t>
      </w:r>
      <w:r w:rsidRPr="003F6A38">
        <w:t xml:space="preserve">, Memorandum Opinion and Order, </w:t>
      </w:r>
      <w:hyperlink r:id="rId3" w:history="1">
        <w:r w:rsidRPr="003F6A38">
          <w:t xml:space="preserve">15 FCC </w:t>
        </w:r>
        <w:r w:rsidRPr="003F6A38">
          <w:t>Rcd</w:t>
        </w:r>
        <w:r w:rsidRPr="003F6A38">
          <w:t xml:space="preserve"> 7181 (1999)</w:t>
        </w:r>
      </w:hyperlink>
      <w:r w:rsidRPr="003F6A38">
        <w:t xml:space="preserve">; </w:t>
      </w:r>
      <w:r w:rsidRPr="003F6A38">
        <w:rPr>
          <w:i/>
          <w:iCs/>
        </w:rPr>
        <w:t>Cascade Access, L.L.C.</w:t>
      </w:r>
      <w:r w:rsidRPr="003F6A38">
        <w:t xml:space="preserve">, Forfeiture Order, 28 FCC </w:t>
      </w:r>
      <w:r w:rsidRPr="003F6A38">
        <w:t>Rcd</w:t>
      </w:r>
      <w:r w:rsidRPr="003F6A38">
        <w:t xml:space="preserve"> 141, 145, para. 9 (EB 2013) (</w:t>
      </w:r>
      <w:r w:rsidRPr="003F6A38">
        <w:rPr>
          <w:color w:val="000000"/>
        </w:rPr>
        <w:t>rejecting argument that unintentional nature of the violation, even if true, justifies mitigation of the forfeiture amount).</w:t>
      </w:r>
    </w:p>
  </w:footnote>
  <w:footnote w:id="93">
    <w:p w:rsidR="00CB1379" w:rsidRPr="003F6A38" w:rsidP="003F6A38" w14:paraId="0C757293" w14:textId="77777777">
      <w:pPr>
        <w:pStyle w:val="FootnoteText"/>
      </w:pPr>
      <w:r w:rsidRPr="003F6A38">
        <w:rPr>
          <w:rStyle w:val="FootnoteReference"/>
        </w:rPr>
        <w:footnoteRef/>
      </w:r>
      <w:r w:rsidRPr="003F6A38">
        <w:t xml:space="preserve"> 47 U.S.C. § 312(f)(1).  The legislative history to section 312(f)(1) of the Act clarifies that this definition of willful applies to both sections 312 and 503(b) of the Act.  H.R. Rep. No. 97-765, at 51 (1982), </w:t>
      </w:r>
      <w:r w:rsidRPr="003F6A38">
        <w:rPr>
          <w:i/>
        </w:rPr>
        <w:t>as reprinted in</w:t>
      </w:r>
      <w:r w:rsidRPr="003F6A38">
        <w:t xml:space="preserve"> 1982 U.S.C.C.A.N. 2261, 2295.  The Commission has so interpreted the term in the section 503(b) context.  </w:t>
      </w:r>
      <w:r w:rsidRPr="003F6A38">
        <w:rPr>
          <w:i/>
        </w:rPr>
        <w:t>See, e.g.</w:t>
      </w:r>
      <w:r w:rsidRPr="003F6A38">
        <w:t xml:space="preserve">, </w:t>
      </w:r>
      <w:r w:rsidRPr="003F6A38">
        <w:rPr>
          <w:i/>
        </w:rPr>
        <w:t>Southern Cal. Broad.</w:t>
      </w:r>
      <w:r w:rsidRPr="003F6A38">
        <w:t xml:space="preserve">, 6 FCC </w:t>
      </w:r>
      <w:r w:rsidRPr="003F6A38">
        <w:t>Rcd</w:t>
      </w:r>
      <w:r w:rsidRPr="003F6A38">
        <w:t xml:space="preserve"> at 4387-88, para. 5.</w:t>
      </w:r>
    </w:p>
  </w:footnote>
  <w:footnote w:id="94">
    <w:p w:rsidR="00CB1379" w:rsidRPr="003F6A38" w:rsidP="003F6A38" w14:paraId="10B92089" w14:textId="77777777">
      <w:pPr>
        <w:pStyle w:val="FootnoteText"/>
      </w:pPr>
      <w:r w:rsidRPr="003F6A38">
        <w:rPr>
          <w:rStyle w:val="FootnoteReference"/>
        </w:rPr>
        <w:footnoteRef/>
      </w:r>
      <w:r w:rsidRPr="003F6A38">
        <w:t xml:space="preserve"> </w:t>
      </w:r>
      <w:r w:rsidRPr="003F6A38">
        <w:rPr>
          <w:rStyle w:val="Emphasis"/>
          <w:bdr w:val="none" w:sz="0" w:space="0" w:color="auto" w:frame="1"/>
          <w:shd w:val="clear" w:color="auto" w:fill="FFFFFF"/>
        </w:rPr>
        <w:t>See, e.g., </w:t>
      </w:r>
      <w:r w:rsidRPr="003F6A38">
        <w:rPr>
          <w:rStyle w:val="Emphasis"/>
          <w:bdr w:val="none" w:sz="0" w:space="0" w:color="auto" w:frame="1"/>
          <w:shd w:val="clear" w:color="auto" w:fill="FFFFFF"/>
        </w:rPr>
        <w:t>Sutro</w:t>
      </w:r>
      <w:r w:rsidRPr="003F6A38">
        <w:rPr>
          <w:rStyle w:val="Emphasis"/>
          <w:bdr w:val="none" w:sz="0" w:space="0" w:color="auto" w:frame="1"/>
          <w:shd w:val="clear" w:color="auto" w:fill="FFFFFF"/>
        </w:rPr>
        <w:t xml:space="preserve"> Corp.</w:t>
      </w:r>
      <w:r w:rsidRPr="003F6A38">
        <w:rPr>
          <w:bdr w:val="none" w:sz="0" w:space="0" w:color="auto" w:frame="1"/>
          <w:shd w:val="clear" w:color="auto" w:fill="FFFFFF"/>
        </w:rPr>
        <w:t>, Memorandum Opinion and Order, 19 </w:t>
      </w:r>
      <w:r w:rsidRPr="003F6A38">
        <w:rPr>
          <w:rStyle w:val="cosearchterm"/>
          <w:bCs/>
          <w:bdr w:val="none" w:sz="0" w:space="0" w:color="auto" w:frame="1"/>
          <w:shd w:val="clear" w:color="auto" w:fill="FFFFFF"/>
        </w:rPr>
        <w:t>FCC</w:t>
      </w:r>
      <w:r w:rsidRPr="003F6A38">
        <w:rPr>
          <w:bdr w:val="none" w:sz="0" w:space="0" w:color="auto" w:frame="1"/>
          <w:shd w:val="clear" w:color="auto" w:fill="FFFFFF"/>
        </w:rPr>
        <w:t> </w:t>
      </w:r>
      <w:r w:rsidRPr="003F6A38">
        <w:rPr>
          <w:bdr w:val="none" w:sz="0" w:space="0" w:color="auto" w:frame="1"/>
          <w:shd w:val="clear" w:color="auto" w:fill="FFFFFF"/>
        </w:rPr>
        <w:t>Rcd</w:t>
      </w:r>
      <w:r w:rsidRPr="003F6A38">
        <w:rPr>
          <w:bdr w:val="none" w:sz="0" w:space="0" w:color="auto" w:frame="1"/>
          <w:shd w:val="clear" w:color="auto" w:fill="FFFFFF"/>
        </w:rPr>
        <w:t xml:space="preserve"> 15274, 15277, para. 10 (2004)</w:t>
      </w:r>
      <w:r w:rsidRPr="003F6A38">
        <w:rPr>
          <w:shd w:val="clear" w:color="auto" w:fill="FFFFFF"/>
        </w:rPr>
        <w:t> (finding that the Commission may</w:t>
      </w:r>
      <w:r w:rsidRPr="003F6A38">
        <w:rPr>
          <w:rStyle w:val="cosearchterm"/>
          <w:bCs/>
          <w:bdr w:val="none" w:sz="0" w:space="0" w:color="auto" w:frame="1"/>
        </w:rPr>
        <w:t xml:space="preserve"> reduce</w:t>
      </w:r>
      <w:r w:rsidRPr="003F6A38">
        <w:rPr>
          <w:shd w:val="clear" w:color="auto" w:fill="FFFFFF"/>
        </w:rPr>
        <w:t> a </w:t>
      </w:r>
      <w:r w:rsidRPr="003F6A38">
        <w:rPr>
          <w:rStyle w:val="cosearchterm"/>
          <w:bCs/>
          <w:bdr w:val="none" w:sz="0" w:space="0" w:color="auto" w:frame="1"/>
        </w:rPr>
        <w:t>forfeiture</w:t>
      </w:r>
      <w:r w:rsidRPr="003F6A38">
        <w:rPr>
          <w:shd w:val="clear" w:color="auto" w:fill="FFFFFF"/>
        </w:rPr>
        <w:t> based on the good faith </w:t>
      </w:r>
      <w:r w:rsidRPr="003F6A38">
        <w:rPr>
          <w:rStyle w:val="cosearchterm"/>
          <w:bCs/>
          <w:bdr w:val="none" w:sz="0" w:space="0" w:color="auto" w:frame="1"/>
        </w:rPr>
        <w:t xml:space="preserve">corrective </w:t>
      </w:r>
      <w:r w:rsidRPr="003F6A38">
        <w:rPr>
          <w:shd w:val="clear" w:color="auto" w:fill="FFFFFF"/>
        </w:rPr>
        <w:t>efforts of a </w:t>
      </w:r>
      <w:r w:rsidRPr="003F6A38">
        <w:rPr>
          <w:rStyle w:val="cosearchterm"/>
          <w:bCs/>
          <w:bdr w:val="none" w:sz="0" w:space="0" w:color="auto" w:frame="1"/>
        </w:rPr>
        <w:t>violator</w:t>
      </w:r>
      <w:r w:rsidRPr="003F6A38">
        <w:rPr>
          <w:shd w:val="clear" w:color="auto" w:fill="FFFFFF"/>
        </w:rPr>
        <w:t> when those </w:t>
      </w:r>
      <w:r w:rsidRPr="003F6A38">
        <w:rPr>
          <w:rStyle w:val="cosearchterm"/>
          <w:bCs/>
          <w:bdr w:val="none" w:sz="0" w:space="0" w:color="auto" w:frame="1"/>
        </w:rPr>
        <w:t>corrective</w:t>
      </w:r>
      <w:r w:rsidRPr="003F6A38">
        <w:rPr>
          <w:shd w:val="clear" w:color="auto" w:fill="FFFFFF"/>
        </w:rPr>
        <w:t> efforts were taken </w:t>
      </w:r>
      <w:r w:rsidRPr="003F6A38">
        <w:rPr>
          <w:rStyle w:val="cosearchterm"/>
          <w:bCs/>
          <w:bdr w:val="none" w:sz="0" w:space="0" w:color="auto" w:frame="1"/>
        </w:rPr>
        <w:t>prior</w:t>
      </w:r>
      <w:r w:rsidRPr="003F6A38">
        <w:rPr>
          <w:shd w:val="clear" w:color="auto" w:fill="FFFFFF"/>
        </w:rPr>
        <w:t> </w:t>
      </w:r>
      <w:r w:rsidRPr="003F6A38">
        <w:rPr>
          <w:rStyle w:val="cosearchterm"/>
          <w:bCs/>
          <w:bdr w:val="none" w:sz="0" w:space="0" w:color="auto" w:frame="1"/>
        </w:rPr>
        <w:t>to</w:t>
      </w:r>
      <w:r w:rsidRPr="003F6A38">
        <w:rPr>
          <w:shd w:val="clear" w:color="auto" w:fill="FFFFFF"/>
        </w:rPr>
        <w:t> Commission notification of the </w:t>
      </w:r>
      <w:r w:rsidRPr="003F6A38">
        <w:rPr>
          <w:rStyle w:val="cosearchterm"/>
          <w:bCs/>
          <w:bdr w:val="none" w:sz="0" w:space="0" w:color="auto" w:frame="1"/>
        </w:rPr>
        <w:t>violation</w:t>
      </w:r>
      <w:r w:rsidRPr="003F6A38">
        <w:rPr>
          <w:shd w:val="clear" w:color="auto" w:fill="FFFFFF"/>
        </w:rPr>
        <w:t>)</w:t>
      </w:r>
      <w:r w:rsidRPr="003F6A38">
        <w:rPr>
          <w:rStyle w:val="Emphasis"/>
          <w:i w:val="0"/>
          <w:iCs w:val="0"/>
          <w:bdr w:val="none" w:sz="0" w:space="0" w:color="auto" w:frame="1"/>
          <w:shd w:val="clear" w:color="auto" w:fill="FFFFFF"/>
        </w:rPr>
        <w:t>;</w:t>
      </w:r>
      <w:r w:rsidRPr="003F6A38">
        <w:rPr>
          <w:shd w:val="clear" w:color="auto" w:fill="FFFFFF"/>
        </w:rPr>
        <w:t> </w:t>
      </w:r>
      <w:r w:rsidRPr="003F6A38">
        <w:rPr>
          <w:rStyle w:val="Emphasis"/>
          <w:bdr w:val="none" w:sz="0" w:space="0" w:color="auto" w:frame="1"/>
          <w:shd w:val="clear" w:color="auto" w:fill="FFFFFF"/>
        </w:rPr>
        <w:t>Catholic Radio Network of Loveland, Inc.</w:t>
      </w:r>
      <w:r w:rsidRPr="003F6A38">
        <w:rPr>
          <w:bdr w:val="none" w:sz="0" w:space="0" w:color="auto" w:frame="1"/>
          <w:shd w:val="clear" w:color="auto" w:fill="FFFFFF"/>
        </w:rPr>
        <w:t>, </w:t>
      </w:r>
      <w:r w:rsidRPr="003F6A38">
        <w:rPr>
          <w:rStyle w:val="cosearchterm"/>
          <w:bCs/>
          <w:bdr w:val="none" w:sz="0" w:space="0" w:color="auto" w:frame="1"/>
          <w:shd w:val="clear" w:color="auto" w:fill="FFFFFF"/>
        </w:rPr>
        <w:t>Forfeiture</w:t>
      </w:r>
      <w:r w:rsidRPr="003F6A38">
        <w:rPr>
          <w:bdr w:val="none" w:sz="0" w:space="0" w:color="auto" w:frame="1"/>
          <w:shd w:val="clear" w:color="auto" w:fill="FFFFFF"/>
        </w:rPr>
        <w:t> Order, 29 </w:t>
      </w:r>
      <w:r w:rsidRPr="003F6A38">
        <w:rPr>
          <w:rStyle w:val="cosearchterm"/>
          <w:bCs/>
          <w:bdr w:val="none" w:sz="0" w:space="0" w:color="auto" w:frame="1"/>
          <w:shd w:val="clear" w:color="auto" w:fill="FFFFFF"/>
        </w:rPr>
        <w:t>FCC</w:t>
      </w:r>
      <w:r w:rsidRPr="003F6A38">
        <w:rPr>
          <w:bdr w:val="none" w:sz="0" w:space="0" w:color="auto" w:frame="1"/>
          <w:shd w:val="clear" w:color="auto" w:fill="FFFFFF"/>
        </w:rPr>
        <w:t> </w:t>
      </w:r>
      <w:r w:rsidRPr="003F6A38">
        <w:rPr>
          <w:bdr w:val="none" w:sz="0" w:space="0" w:color="auto" w:frame="1"/>
          <w:shd w:val="clear" w:color="auto" w:fill="FFFFFF"/>
        </w:rPr>
        <w:t>Rcd</w:t>
      </w:r>
      <w:r w:rsidRPr="003F6A38">
        <w:rPr>
          <w:bdr w:val="none" w:sz="0" w:space="0" w:color="auto" w:frame="1"/>
          <w:shd w:val="clear" w:color="auto" w:fill="FFFFFF"/>
        </w:rPr>
        <w:t xml:space="preserve"> 121, 122-23, para. 5 (EB 2014</w:t>
      </w:r>
      <w:r w:rsidRPr="003F6A38">
        <w:rPr>
          <w:shd w:val="clear" w:color="auto" w:fill="FFFFFF"/>
        </w:rPr>
        <w:t>) (same); </w:t>
      </w:r>
      <w:r w:rsidRPr="003F6A38">
        <w:rPr>
          <w:rStyle w:val="Emphasis"/>
          <w:bdr w:val="none" w:sz="0" w:space="0" w:color="auto" w:frame="1"/>
          <w:shd w:val="clear" w:color="auto" w:fill="FFFFFF"/>
        </w:rPr>
        <w:t>cf. Bold Gold Media WBS, L.P</w:t>
      </w:r>
      <w:r w:rsidRPr="003F6A38">
        <w:rPr>
          <w:bdr w:val="none" w:sz="0" w:space="0" w:color="auto" w:frame="1"/>
          <w:shd w:val="clear" w:color="auto" w:fill="FFFFFF"/>
        </w:rPr>
        <w:t>., </w:t>
      </w:r>
      <w:r w:rsidRPr="003F6A38">
        <w:rPr>
          <w:rStyle w:val="cosearchterm"/>
          <w:bCs/>
          <w:bdr w:val="none" w:sz="0" w:space="0" w:color="auto" w:frame="1"/>
          <w:shd w:val="clear" w:color="auto" w:fill="FFFFFF"/>
        </w:rPr>
        <w:t>Forfeiture</w:t>
      </w:r>
      <w:r w:rsidRPr="003F6A38">
        <w:rPr>
          <w:bdr w:val="none" w:sz="0" w:space="0" w:color="auto" w:frame="1"/>
          <w:shd w:val="clear" w:color="auto" w:fill="FFFFFF"/>
        </w:rPr>
        <w:t> Order, 29 </w:t>
      </w:r>
      <w:r w:rsidRPr="003F6A38">
        <w:rPr>
          <w:rStyle w:val="cosearchterm"/>
          <w:bCs/>
          <w:bdr w:val="none" w:sz="0" w:space="0" w:color="auto" w:frame="1"/>
          <w:shd w:val="clear" w:color="auto" w:fill="FFFFFF"/>
        </w:rPr>
        <w:t>FCC</w:t>
      </w:r>
      <w:r w:rsidRPr="003F6A38">
        <w:rPr>
          <w:bdr w:val="none" w:sz="0" w:space="0" w:color="auto" w:frame="1"/>
          <w:shd w:val="clear" w:color="auto" w:fill="FFFFFF"/>
        </w:rPr>
        <w:t> </w:t>
      </w:r>
      <w:r w:rsidRPr="003F6A38">
        <w:rPr>
          <w:bdr w:val="none" w:sz="0" w:space="0" w:color="auto" w:frame="1"/>
          <w:shd w:val="clear" w:color="auto" w:fill="FFFFFF"/>
        </w:rPr>
        <w:t>Rcd</w:t>
      </w:r>
      <w:r w:rsidRPr="003F6A38">
        <w:rPr>
          <w:bdr w:val="none" w:sz="0" w:space="0" w:color="auto" w:frame="1"/>
          <w:shd w:val="clear" w:color="auto" w:fill="FFFFFF"/>
        </w:rPr>
        <w:t xml:space="preserve"> 6016 (EB 2014</w:t>
      </w:r>
      <w:r w:rsidRPr="003F6A38">
        <w:rPr>
          <w:shd w:val="clear" w:color="auto" w:fill="FFFFFF"/>
        </w:rPr>
        <w:t>) (granting a reduction where good faith efforts to comply were taken </w:t>
      </w:r>
      <w:r w:rsidRPr="003F6A38">
        <w:rPr>
          <w:rStyle w:val="cosearchterm"/>
          <w:bCs/>
          <w:bdr w:val="none" w:sz="0" w:space="0" w:color="auto" w:frame="1"/>
        </w:rPr>
        <w:t>prior</w:t>
      </w:r>
      <w:r w:rsidRPr="003F6A38">
        <w:rPr>
          <w:shd w:val="clear" w:color="auto" w:fill="FFFFFF"/>
        </w:rPr>
        <w:t> </w:t>
      </w:r>
      <w:r w:rsidRPr="003F6A38">
        <w:rPr>
          <w:rStyle w:val="cosearchterm"/>
          <w:bCs/>
          <w:bdr w:val="none" w:sz="0" w:space="0" w:color="auto" w:frame="1"/>
        </w:rPr>
        <w:t>to</w:t>
      </w:r>
      <w:r w:rsidRPr="003F6A38">
        <w:rPr>
          <w:shd w:val="clear" w:color="auto" w:fill="FFFFFF"/>
        </w:rPr>
        <w:t> Commission inspection).</w:t>
      </w:r>
    </w:p>
  </w:footnote>
  <w:footnote w:id="95">
    <w:p w:rsidR="00CB1379" w:rsidRPr="003F6A38" w:rsidP="003F6A38" w14:paraId="2921E4EA" w14:textId="4DC7529C">
      <w:pPr>
        <w:pStyle w:val="FootnoteText"/>
      </w:pPr>
      <w:r w:rsidRPr="003F6A38">
        <w:rPr>
          <w:rStyle w:val="FootnoteReference"/>
        </w:rPr>
        <w:footnoteRef/>
      </w:r>
      <w:r w:rsidRPr="003F6A38">
        <w:t xml:space="preserve"> </w:t>
      </w:r>
      <w:r w:rsidRPr="005F4170">
        <w:rPr>
          <w:rStyle w:val="cosearchterm"/>
          <w:bCs/>
          <w:i/>
          <w:iCs/>
          <w:bdr w:val="none" w:sz="0" w:space="0" w:color="auto" w:frame="1"/>
          <w:shd w:val="clear" w:color="auto" w:fill="FFFFFF"/>
        </w:rPr>
        <w:t>Consent</w:t>
      </w:r>
      <w:r w:rsidRPr="005F4170">
        <w:rPr>
          <w:i/>
          <w:iCs/>
          <w:bdr w:val="none" w:sz="0" w:space="0" w:color="auto" w:frame="1"/>
          <w:shd w:val="clear" w:color="auto" w:fill="FFFFFF"/>
        </w:rPr>
        <w:t> </w:t>
      </w:r>
      <w:r w:rsidRPr="005F4170">
        <w:rPr>
          <w:rStyle w:val="cosearchterm"/>
          <w:bCs/>
          <w:i/>
          <w:iCs/>
          <w:bdr w:val="none" w:sz="0" w:space="0" w:color="auto" w:frame="1"/>
          <w:shd w:val="clear" w:color="auto" w:fill="FFFFFF"/>
        </w:rPr>
        <w:t>Decree</w:t>
      </w:r>
      <w:r w:rsidRPr="003F6A38">
        <w:rPr>
          <w:bdr w:val="none" w:sz="0" w:space="0" w:color="auto" w:frame="1"/>
          <w:shd w:val="clear" w:color="auto" w:fill="FFFFFF"/>
        </w:rPr>
        <w:t xml:space="preserve">, 31 FCC </w:t>
      </w:r>
      <w:r w:rsidRPr="003F6A38">
        <w:rPr>
          <w:bdr w:val="none" w:sz="0" w:space="0" w:color="auto" w:frame="1"/>
          <w:shd w:val="clear" w:color="auto" w:fill="FFFFFF"/>
        </w:rPr>
        <w:t>Rcd</w:t>
      </w:r>
      <w:r w:rsidRPr="003F6A38">
        <w:rPr>
          <w:bdr w:val="none" w:sz="0" w:space="0" w:color="auto" w:frame="1"/>
          <w:shd w:val="clear" w:color="auto" w:fill="FFFFFF"/>
        </w:rPr>
        <w:t xml:space="preserve"> at 11, para. 14(a)</w:t>
      </w:r>
      <w:r w:rsidRPr="003F6A38">
        <w:rPr>
          <w:shd w:val="clear" w:color="auto" w:fill="FFFFFF"/>
        </w:rPr>
        <w:t xml:space="preserve"> (stating “[e]ach Compliance Report shall include a detailed description of Cumulus’ efforts during the relevant period to comply with the terms and conditions of this Consent Decree and the Sponsorship Identification Laws”).</w:t>
      </w:r>
    </w:p>
  </w:footnote>
  <w:footnote w:id="96">
    <w:p w:rsidR="00CB1379" w:rsidRPr="003F6A38" w:rsidP="003F6A38" w14:paraId="1457A0E1" w14:textId="77777777">
      <w:pPr>
        <w:pStyle w:val="FootnoteText"/>
      </w:pPr>
      <w:r w:rsidRPr="003F6A38">
        <w:rPr>
          <w:rStyle w:val="FootnoteReference"/>
        </w:rPr>
        <w:footnoteRef/>
      </w:r>
      <w:r w:rsidRPr="003F6A38">
        <w:t xml:space="preserve"> 47 U.S.C. § 503(b).</w:t>
      </w:r>
    </w:p>
  </w:footnote>
  <w:footnote w:id="97">
    <w:p w:rsidR="00CB1379" w:rsidRPr="003F6A38" w:rsidP="003F6A38" w14:paraId="00C3903D" w14:textId="77777777">
      <w:pPr>
        <w:pStyle w:val="FootnoteText"/>
      </w:pPr>
      <w:r w:rsidRPr="003F6A38">
        <w:rPr>
          <w:rStyle w:val="FootnoteReference"/>
        </w:rPr>
        <w:footnoteRef/>
      </w:r>
      <w:r w:rsidRPr="003F6A38">
        <w:t xml:space="preserve"> 47 CFR § 1.80.</w:t>
      </w:r>
    </w:p>
  </w:footnote>
  <w:footnote w:id="98">
    <w:p w:rsidR="00CB1379" w:rsidRPr="003F6A38" w:rsidP="003F6A38" w14:paraId="698125FC" w14:textId="77777777">
      <w:pPr>
        <w:pStyle w:val="FootnoteText"/>
      </w:pPr>
      <w:r w:rsidRPr="003F6A38">
        <w:rPr>
          <w:rStyle w:val="FootnoteReference"/>
        </w:rPr>
        <w:footnoteRef/>
      </w:r>
      <w:r w:rsidRPr="003F6A38">
        <w:t xml:space="preserve"> 47 U.S.C. § 317.</w:t>
      </w:r>
    </w:p>
  </w:footnote>
  <w:footnote w:id="99">
    <w:p w:rsidR="00CB1379" w:rsidRPr="003F6A38" w:rsidP="003F6A38" w14:paraId="1A9B2CBC" w14:textId="77777777">
      <w:pPr>
        <w:pStyle w:val="FootnoteText"/>
      </w:pPr>
      <w:r w:rsidRPr="003F6A38">
        <w:rPr>
          <w:rStyle w:val="FootnoteReference"/>
        </w:rPr>
        <w:footnoteRef/>
      </w:r>
      <w:r w:rsidRPr="003F6A38">
        <w:t xml:space="preserve"> 47 CFR § 73.1212.  </w:t>
      </w:r>
    </w:p>
  </w:footnote>
  <w:footnote w:id="100">
    <w:p w:rsidR="00CB1379" w:rsidRPr="003F6A38" w:rsidP="003F6A38" w14:paraId="4E0FF4B9" w14:textId="77777777">
      <w:pPr>
        <w:pStyle w:val="FootnoteText"/>
      </w:pPr>
      <w:r w:rsidRPr="003F6A38">
        <w:rPr>
          <w:rStyle w:val="FootnoteReference"/>
        </w:rPr>
        <w:footnoteRef/>
      </w:r>
      <w:r w:rsidRPr="003F6A38">
        <w:t xml:space="preserve"> 47 CFR § 1.80.</w:t>
      </w:r>
    </w:p>
  </w:footnote>
  <w:footnote w:id="101">
    <w:p w:rsidR="00CB1379" w:rsidRPr="003F6A38" w:rsidP="003F6A38" w14:paraId="552C4189" w14:textId="77777777">
      <w:pPr>
        <w:pStyle w:val="FootnoteText"/>
      </w:pPr>
      <w:r w:rsidRPr="003F6A38">
        <w:rPr>
          <w:rStyle w:val="FootnoteReference"/>
        </w:rPr>
        <w:footnoteRef/>
      </w:r>
      <w:r w:rsidRPr="003F6A38">
        <w:t xml:space="preserve"> 47 U.S.C. § 504(a).</w:t>
      </w:r>
    </w:p>
  </w:footnote>
  <w:footnote w:id="102">
    <w:p w:rsidR="00CB1379" w:rsidRPr="003F6A38" w:rsidP="003F6A38" w14:paraId="1DDB06EE" w14:textId="77777777">
      <w:pPr>
        <w:pStyle w:val="FootnoteText"/>
      </w:pPr>
      <w:r w:rsidRPr="003F6A38">
        <w:rPr>
          <w:rStyle w:val="FootnoteReference"/>
        </w:rPr>
        <w:footnoteRef/>
      </w:r>
      <w:r w:rsidRPr="003F6A38">
        <w:t xml:space="preserve"> Payments made using the Commission’s Fee Filer system do not require the submission of an FCC Form 159.</w:t>
      </w:r>
    </w:p>
  </w:footnote>
  <w:footnote w:id="103">
    <w:p w:rsidR="00CB1379" w:rsidRPr="003F6A38" w:rsidP="003F6A38" w14:paraId="76A589FC" w14:textId="77777777">
      <w:pPr>
        <w:pStyle w:val="FootnoteText"/>
      </w:pPr>
      <w:r w:rsidRPr="003F6A38">
        <w:rPr>
          <w:rStyle w:val="FootnoteReference"/>
        </w:rPr>
        <w:footnoteRef/>
      </w:r>
      <w:r w:rsidRPr="003F6A38">
        <w:t xml:space="preserve"> </w:t>
      </w:r>
      <w:r w:rsidRPr="003F6A38">
        <w:rPr>
          <w:i/>
        </w:rPr>
        <w:t>See</w:t>
      </w:r>
      <w:r w:rsidRPr="003F6A38">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B1379" w:rsidRPr="005F4170" w:rsidP="00D51827" w14:paraId="53B12A4F" w14:textId="57D2364F">
    <w:pPr>
      <w:pStyle w:val="Header"/>
      <w:spacing w:after="240"/>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55DCE">
      <w:tab/>
      <w:t>Federal Communications Commission</w:t>
    </w:r>
    <w:r w:rsidRPr="00855DCE">
      <w:tab/>
    </w:r>
    <w:r w:rsidRPr="005A2B29">
      <w:t xml:space="preserve">FCC </w:t>
    </w:r>
    <w:r w:rsidR="008040F6">
      <w:t>21</w:t>
    </w:r>
    <w:r w:rsidRPr="005A2B29">
      <w:t>-</w:t>
    </w:r>
    <w:r w:rsidR="008040F6">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B1379" w:rsidRPr="005F4170" w:rsidP="00D51827" w14:paraId="5F2EF790" w14:textId="31644C3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4579BA">
      <w:tab/>
      <w:t>Federal Communications Commission</w:t>
    </w:r>
    <w:r w:rsidRPr="004579BA">
      <w:tab/>
      <w:t xml:space="preserve">FCC </w:t>
    </w:r>
    <w:r w:rsidR="008040F6">
      <w:t>21</w:t>
    </w:r>
    <w:r w:rsidRPr="005A2B29">
      <w:t>-</w:t>
    </w:r>
    <w:r w:rsidR="008040F6">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FFFFFF7C"/>
    <w:multiLevelType w:val="singleLevel"/>
    <w:tmpl w:val="70666912"/>
    <w:lvl w:ilvl="0">
      <w:start w:val="1"/>
      <w:numFmt w:val="decimal"/>
      <w:lvlText w:val="%1."/>
      <w:lvlJc w:val="left"/>
      <w:pPr>
        <w:tabs>
          <w:tab w:val="num" w:pos="1800"/>
        </w:tabs>
        <w:ind w:left="1800" w:hanging="360"/>
      </w:pPr>
    </w:lvl>
  </w:abstractNum>
  <w:abstractNum w:abstractNumId="1">
    <w:nsid w:val="FFFFFF7D"/>
    <w:multiLevelType w:val="singleLevel"/>
    <w:tmpl w:val="E2FED768"/>
    <w:lvl w:ilvl="0">
      <w:start w:val="1"/>
      <w:numFmt w:val="decimal"/>
      <w:lvlText w:val="%1."/>
      <w:lvlJc w:val="left"/>
      <w:pPr>
        <w:tabs>
          <w:tab w:val="num" w:pos="1440"/>
        </w:tabs>
        <w:ind w:left="1440" w:hanging="360"/>
      </w:pPr>
    </w:lvl>
  </w:abstractNum>
  <w:abstractNum w:abstractNumId="2">
    <w:nsid w:val="FFFFFF7E"/>
    <w:multiLevelType w:val="singleLevel"/>
    <w:tmpl w:val="1542FF18"/>
    <w:lvl w:ilvl="0">
      <w:start w:val="1"/>
      <w:numFmt w:val="decimal"/>
      <w:lvlText w:val="%1."/>
      <w:lvlJc w:val="left"/>
      <w:pPr>
        <w:tabs>
          <w:tab w:val="num" w:pos="1080"/>
        </w:tabs>
        <w:ind w:left="1080" w:hanging="360"/>
      </w:pPr>
    </w:lvl>
  </w:abstractNum>
  <w:abstractNum w:abstractNumId="3">
    <w:nsid w:val="FFFFFF7F"/>
    <w:multiLevelType w:val="singleLevel"/>
    <w:tmpl w:val="0E3C89CE"/>
    <w:lvl w:ilvl="0">
      <w:start w:val="1"/>
      <w:numFmt w:val="decimal"/>
      <w:lvlText w:val="%1."/>
      <w:lvlJc w:val="left"/>
      <w:pPr>
        <w:tabs>
          <w:tab w:val="num" w:pos="720"/>
        </w:tabs>
        <w:ind w:left="720" w:hanging="360"/>
      </w:pPr>
    </w:lvl>
  </w:abstractNum>
  <w:abstractNum w:abstractNumId="4">
    <w:nsid w:val="FFFFFF80"/>
    <w:multiLevelType w:val="singleLevel"/>
    <w:tmpl w:val="431040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68F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9202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64B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B65BB2"/>
    <w:lvl w:ilvl="0">
      <w:start w:val="1"/>
      <w:numFmt w:val="decimal"/>
      <w:lvlText w:val="%1."/>
      <w:lvlJc w:val="left"/>
      <w:pPr>
        <w:tabs>
          <w:tab w:val="num" w:pos="360"/>
        </w:tabs>
        <w:ind w:left="360" w:hanging="360"/>
      </w:pPr>
    </w:lvl>
  </w:abstractNum>
  <w:abstractNum w:abstractNumId="9">
    <w:nsid w:val="FFFFFF89"/>
    <w:multiLevelType w:val="singleLevel"/>
    <w:tmpl w:val="C5C6C3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428EE0A"/>
    <w:lvl w:ilvl="0">
      <w:start w:val="0"/>
      <w:numFmt w:val="bullet"/>
      <w:pStyle w:val="par1"/>
      <w:lvlText w:val="*"/>
      <w:lvlJc w:val="left"/>
    </w:lvl>
  </w:abstractNum>
  <w:abstractNum w:abstractNumId="11">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4A92735"/>
    <w:multiLevelType w:val="hybridMultilevel"/>
    <w:tmpl w:val="7ACA1ACA"/>
    <w:lvl w:ilvl="0">
      <w:start w:val="500"/>
      <w:numFmt w:val="upperRoman"/>
      <w:lvlText w:val="%1."/>
      <w:lvlJc w:val="left"/>
      <w:pPr>
        <w:ind w:left="1440" w:hanging="72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2FAD365F"/>
    <w:multiLevelType w:val="hybridMultilevel"/>
    <w:tmpl w:val="F0A0B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20">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D63317B"/>
    <w:multiLevelType w:val="hybridMultilevel"/>
    <w:tmpl w:val="EE12F2A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736963FB"/>
    <w:multiLevelType w:val="hybridMultilevel"/>
    <w:tmpl w:val="D4D2F8E4"/>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1"/>
  </w:num>
  <w:num w:numId="2">
    <w:abstractNumId w:val="16"/>
  </w:num>
  <w:num w:numId="3">
    <w:abstractNumId w:val="10"/>
    <w:lvlOverride w:ilvl="0">
      <w:lvl w:ilvl="0">
        <w:start w:val="0"/>
        <w:numFmt w:val="bullet"/>
        <w:pStyle w:val="par1"/>
        <w:lvlText w:val=""/>
        <w:legacy w:legacy="1" w:legacySpace="0" w:legacyIndent="360"/>
        <w:lvlJc w:val="left"/>
        <w:rPr>
          <w:rFonts w:ascii="Symbol" w:hAnsi="Symbol" w:hint="default"/>
        </w:rPr>
      </w:lvl>
    </w:lvlOverride>
  </w:num>
  <w:num w:numId="4">
    <w:abstractNumId w:val="19"/>
  </w:num>
  <w:num w:numId="5">
    <w:abstractNumId w:val="20"/>
  </w:num>
  <w:num w:numId="6">
    <w:abstractNumId w:val="13"/>
  </w:num>
  <w:num w:numId="7">
    <w:abstractNumId w:val="18"/>
  </w:num>
  <w:num w:numId="8">
    <w:abstractNumId w:val="14"/>
  </w:num>
  <w:num w:numId="9">
    <w:abstractNumId w:val="12"/>
  </w:num>
  <w:num w:numId="10">
    <w:abstractNumId w:val="22"/>
  </w:num>
  <w:num w:numId="11">
    <w:abstractNumId w:val="15"/>
  </w:num>
  <w:num w:numId="12">
    <w:abstractNumId w:val="23"/>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281E"/>
    <w:rsid w:val="00002A0C"/>
    <w:rsid w:val="00002F4F"/>
    <w:rsid w:val="000035C1"/>
    <w:rsid w:val="0000408C"/>
    <w:rsid w:val="00005148"/>
    <w:rsid w:val="00005550"/>
    <w:rsid w:val="000055D2"/>
    <w:rsid w:val="00005C58"/>
    <w:rsid w:val="00005D00"/>
    <w:rsid w:val="0000624E"/>
    <w:rsid w:val="00007DB2"/>
    <w:rsid w:val="000120C6"/>
    <w:rsid w:val="0001440B"/>
    <w:rsid w:val="00014462"/>
    <w:rsid w:val="000145C6"/>
    <w:rsid w:val="00014F82"/>
    <w:rsid w:val="000161F4"/>
    <w:rsid w:val="00016EEE"/>
    <w:rsid w:val="000174F9"/>
    <w:rsid w:val="00021186"/>
    <w:rsid w:val="000211C4"/>
    <w:rsid w:val="00022DBF"/>
    <w:rsid w:val="00022E18"/>
    <w:rsid w:val="00024877"/>
    <w:rsid w:val="000264B4"/>
    <w:rsid w:val="000270F4"/>
    <w:rsid w:val="00027B00"/>
    <w:rsid w:val="00027CE9"/>
    <w:rsid w:val="0003112A"/>
    <w:rsid w:val="00031A0A"/>
    <w:rsid w:val="00031AE8"/>
    <w:rsid w:val="00031AE9"/>
    <w:rsid w:val="00031CA0"/>
    <w:rsid w:val="00032203"/>
    <w:rsid w:val="000329B8"/>
    <w:rsid w:val="00034C03"/>
    <w:rsid w:val="00036D58"/>
    <w:rsid w:val="000371E9"/>
    <w:rsid w:val="000373F2"/>
    <w:rsid w:val="00040FC8"/>
    <w:rsid w:val="00042E48"/>
    <w:rsid w:val="000431A8"/>
    <w:rsid w:val="00043C9B"/>
    <w:rsid w:val="000447F2"/>
    <w:rsid w:val="00045A27"/>
    <w:rsid w:val="00046801"/>
    <w:rsid w:val="0004738E"/>
    <w:rsid w:val="00051149"/>
    <w:rsid w:val="00054EAC"/>
    <w:rsid w:val="00055F95"/>
    <w:rsid w:val="0005638E"/>
    <w:rsid w:val="00056DE4"/>
    <w:rsid w:val="00060381"/>
    <w:rsid w:val="000604EB"/>
    <w:rsid w:val="000609E9"/>
    <w:rsid w:val="0006125B"/>
    <w:rsid w:val="00062C44"/>
    <w:rsid w:val="00063842"/>
    <w:rsid w:val="000649FE"/>
    <w:rsid w:val="00065382"/>
    <w:rsid w:val="00071E3F"/>
    <w:rsid w:val="0007227B"/>
    <w:rsid w:val="00072D7D"/>
    <w:rsid w:val="00074717"/>
    <w:rsid w:val="000751F2"/>
    <w:rsid w:val="0007571D"/>
    <w:rsid w:val="00076A83"/>
    <w:rsid w:val="00080535"/>
    <w:rsid w:val="00080632"/>
    <w:rsid w:val="00082649"/>
    <w:rsid w:val="0008304A"/>
    <w:rsid w:val="00083F01"/>
    <w:rsid w:val="000853AD"/>
    <w:rsid w:val="00085FCC"/>
    <w:rsid w:val="000866F4"/>
    <w:rsid w:val="00086824"/>
    <w:rsid w:val="00091AE4"/>
    <w:rsid w:val="00092506"/>
    <w:rsid w:val="000931B9"/>
    <w:rsid w:val="00093DA9"/>
    <w:rsid w:val="0009610D"/>
    <w:rsid w:val="000962DF"/>
    <w:rsid w:val="00096C28"/>
    <w:rsid w:val="00097F82"/>
    <w:rsid w:val="000A0F89"/>
    <w:rsid w:val="000A1C51"/>
    <w:rsid w:val="000A3E68"/>
    <w:rsid w:val="000A4776"/>
    <w:rsid w:val="000A6503"/>
    <w:rsid w:val="000B111D"/>
    <w:rsid w:val="000B14C3"/>
    <w:rsid w:val="000B1C04"/>
    <w:rsid w:val="000B1C2B"/>
    <w:rsid w:val="000B2724"/>
    <w:rsid w:val="000B29ED"/>
    <w:rsid w:val="000B2EAF"/>
    <w:rsid w:val="000B46C4"/>
    <w:rsid w:val="000B7657"/>
    <w:rsid w:val="000C092B"/>
    <w:rsid w:val="000C0A5F"/>
    <w:rsid w:val="000C4D1E"/>
    <w:rsid w:val="000C51EE"/>
    <w:rsid w:val="000C5A47"/>
    <w:rsid w:val="000C5E37"/>
    <w:rsid w:val="000C6050"/>
    <w:rsid w:val="000D03AE"/>
    <w:rsid w:val="000D08DE"/>
    <w:rsid w:val="000D1347"/>
    <w:rsid w:val="000D1391"/>
    <w:rsid w:val="000D2C8E"/>
    <w:rsid w:val="000D3B93"/>
    <w:rsid w:val="000D400F"/>
    <w:rsid w:val="000D4703"/>
    <w:rsid w:val="000D4F95"/>
    <w:rsid w:val="000D5AE4"/>
    <w:rsid w:val="000D6770"/>
    <w:rsid w:val="000E02E8"/>
    <w:rsid w:val="000E0573"/>
    <w:rsid w:val="000E0AB5"/>
    <w:rsid w:val="000E0B84"/>
    <w:rsid w:val="000E1951"/>
    <w:rsid w:val="000E20C3"/>
    <w:rsid w:val="000E2707"/>
    <w:rsid w:val="000E30CE"/>
    <w:rsid w:val="000E3525"/>
    <w:rsid w:val="000E4037"/>
    <w:rsid w:val="000E77C8"/>
    <w:rsid w:val="000E7AB0"/>
    <w:rsid w:val="000F1155"/>
    <w:rsid w:val="000F1A40"/>
    <w:rsid w:val="000F1F3D"/>
    <w:rsid w:val="000F37BD"/>
    <w:rsid w:val="000F404D"/>
    <w:rsid w:val="000F4C7B"/>
    <w:rsid w:val="000F6004"/>
    <w:rsid w:val="000F6E55"/>
    <w:rsid w:val="000F755F"/>
    <w:rsid w:val="000F7A4F"/>
    <w:rsid w:val="00100517"/>
    <w:rsid w:val="00100646"/>
    <w:rsid w:val="00100A83"/>
    <w:rsid w:val="00100BCE"/>
    <w:rsid w:val="00100D1C"/>
    <w:rsid w:val="0010107A"/>
    <w:rsid w:val="0010222A"/>
    <w:rsid w:val="00102BA3"/>
    <w:rsid w:val="001043E4"/>
    <w:rsid w:val="00105A35"/>
    <w:rsid w:val="00105AB1"/>
    <w:rsid w:val="001067B6"/>
    <w:rsid w:val="001108B2"/>
    <w:rsid w:val="00111929"/>
    <w:rsid w:val="00111B5D"/>
    <w:rsid w:val="001130E2"/>
    <w:rsid w:val="001132FF"/>
    <w:rsid w:val="0011337B"/>
    <w:rsid w:val="00115253"/>
    <w:rsid w:val="0011687C"/>
    <w:rsid w:val="001177D8"/>
    <w:rsid w:val="0012015F"/>
    <w:rsid w:val="001205FE"/>
    <w:rsid w:val="00121070"/>
    <w:rsid w:val="00121219"/>
    <w:rsid w:val="0012271D"/>
    <w:rsid w:val="00123034"/>
    <w:rsid w:val="0012427E"/>
    <w:rsid w:val="00124ACE"/>
    <w:rsid w:val="0012501B"/>
    <w:rsid w:val="00126C88"/>
    <w:rsid w:val="00126ED2"/>
    <w:rsid w:val="001270EA"/>
    <w:rsid w:val="001279A5"/>
    <w:rsid w:val="0013037C"/>
    <w:rsid w:val="00130788"/>
    <w:rsid w:val="001318A2"/>
    <w:rsid w:val="00133340"/>
    <w:rsid w:val="001336CE"/>
    <w:rsid w:val="001349C0"/>
    <w:rsid w:val="001357F7"/>
    <w:rsid w:val="00135F7F"/>
    <w:rsid w:val="00136476"/>
    <w:rsid w:val="001364DE"/>
    <w:rsid w:val="00136725"/>
    <w:rsid w:val="00136782"/>
    <w:rsid w:val="00140ABB"/>
    <w:rsid w:val="00140C92"/>
    <w:rsid w:val="00141FAF"/>
    <w:rsid w:val="001426F0"/>
    <w:rsid w:val="001434D3"/>
    <w:rsid w:val="00145E08"/>
    <w:rsid w:val="00146798"/>
    <w:rsid w:val="00151790"/>
    <w:rsid w:val="00152E54"/>
    <w:rsid w:val="001532B1"/>
    <w:rsid w:val="00153694"/>
    <w:rsid w:val="00153904"/>
    <w:rsid w:val="00153932"/>
    <w:rsid w:val="00153CE0"/>
    <w:rsid w:val="00154A5C"/>
    <w:rsid w:val="00156FC8"/>
    <w:rsid w:val="00162161"/>
    <w:rsid w:val="00163448"/>
    <w:rsid w:val="00164BA6"/>
    <w:rsid w:val="00164D9B"/>
    <w:rsid w:val="001659EF"/>
    <w:rsid w:val="00165EB2"/>
    <w:rsid w:val="00166BBB"/>
    <w:rsid w:val="0016775A"/>
    <w:rsid w:val="00167DF3"/>
    <w:rsid w:val="00170501"/>
    <w:rsid w:val="001706DB"/>
    <w:rsid w:val="001715BD"/>
    <w:rsid w:val="00172581"/>
    <w:rsid w:val="00172589"/>
    <w:rsid w:val="0017296B"/>
    <w:rsid w:val="00173C6F"/>
    <w:rsid w:val="00173ED9"/>
    <w:rsid w:val="001740BB"/>
    <w:rsid w:val="00176273"/>
    <w:rsid w:val="00176A1A"/>
    <w:rsid w:val="00180026"/>
    <w:rsid w:val="00180CE1"/>
    <w:rsid w:val="00180DBC"/>
    <w:rsid w:val="001819AF"/>
    <w:rsid w:val="00182B17"/>
    <w:rsid w:val="00182ECE"/>
    <w:rsid w:val="00182FBA"/>
    <w:rsid w:val="00184089"/>
    <w:rsid w:val="00185075"/>
    <w:rsid w:val="00185E06"/>
    <w:rsid w:val="00186362"/>
    <w:rsid w:val="00186E88"/>
    <w:rsid w:val="001870F9"/>
    <w:rsid w:val="00192FFD"/>
    <w:rsid w:val="00193CE1"/>
    <w:rsid w:val="00193F49"/>
    <w:rsid w:val="00195662"/>
    <w:rsid w:val="00196E93"/>
    <w:rsid w:val="00196ED6"/>
    <w:rsid w:val="00197169"/>
    <w:rsid w:val="00197E9F"/>
    <w:rsid w:val="001A29EF"/>
    <w:rsid w:val="001A2F40"/>
    <w:rsid w:val="001A379F"/>
    <w:rsid w:val="001A478B"/>
    <w:rsid w:val="001A50FF"/>
    <w:rsid w:val="001A5DFA"/>
    <w:rsid w:val="001A69BA"/>
    <w:rsid w:val="001A79FB"/>
    <w:rsid w:val="001A7A60"/>
    <w:rsid w:val="001A7A6A"/>
    <w:rsid w:val="001B048F"/>
    <w:rsid w:val="001B1DB9"/>
    <w:rsid w:val="001B4097"/>
    <w:rsid w:val="001C2280"/>
    <w:rsid w:val="001C2315"/>
    <w:rsid w:val="001C251B"/>
    <w:rsid w:val="001C3137"/>
    <w:rsid w:val="001C3156"/>
    <w:rsid w:val="001C3B35"/>
    <w:rsid w:val="001C42B3"/>
    <w:rsid w:val="001C5572"/>
    <w:rsid w:val="001C6910"/>
    <w:rsid w:val="001D083A"/>
    <w:rsid w:val="001D10F8"/>
    <w:rsid w:val="001D1918"/>
    <w:rsid w:val="001D1CEF"/>
    <w:rsid w:val="001D4186"/>
    <w:rsid w:val="001D4E0F"/>
    <w:rsid w:val="001D77A7"/>
    <w:rsid w:val="001D7D9A"/>
    <w:rsid w:val="001E0305"/>
    <w:rsid w:val="001E135C"/>
    <w:rsid w:val="001E1906"/>
    <w:rsid w:val="001E401B"/>
    <w:rsid w:val="001F190E"/>
    <w:rsid w:val="001F2B76"/>
    <w:rsid w:val="001F2E3D"/>
    <w:rsid w:val="001F3744"/>
    <w:rsid w:val="001F3946"/>
    <w:rsid w:val="001F44FB"/>
    <w:rsid w:val="001F5AA4"/>
    <w:rsid w:val="001F5C04"/>
    <w:rsid w:val="001F7EE0"/>
    <w:rsid w:val="00201217"/>
    <w:rsid w:val="002018FF"/>
    <w:rsid w:val="002037C2"/>
    <w:rsid w:val="00204558"/>
    <w:rsid w:val="002046BD"/>
    <w:rsid w:val="00206625"/>
    <w:rsid w:val="00206A18"/>
    <w:rsid w:val="00207963"/>
    <w:rsid w:val="002112AA"/>
    <w:rsid w:val="0021315C"/>
    <w:rsid w:val="00213AD0"/>
    <w:rsid w:val="00213C10"/>
    <w:rsid w:val="002146E2"/>
    <w:rsid w:val="00214DA1"/>
    <w:rsid w:val="00215570"/>
    <w:rsid w:val="00220539"/>
    <w:rsid w:val="002216F2"/>
    <w:rsid w:val="00222C16"/>
    <w:rsid w:val="00223173"/>
    <w:rsid w:val="002248C9"/>
    <w:rsid w:val="00225854"/>
    <w:rsid w:val="00225950"/>
    <w:rsid w:val="00226191"/>
    <w:rsid w:val="0022665A"/>
    <w:rsid w:val="002273D7"/>
    <w:rsid w:val="00231CF0"/>
    <w:rsid w:val="00233EFD"/>
    <w:rsid w:val="00235CB5"/>
    <w:rsid w:val="00236820"/>
    <w:rsid w:val="00237690"/>
    <w:rsid w:val="00241058"/>
    <w:rsid w:val="00241F70"/>
    <w:rsid w:val="0024494F"/>
    <w:rsid w:val="00244FFD"/>
    <w:rsid w:val="0024539D"/>
    <w:rsid w:val="00245AC0"/>
    <w:rsid w:val="00245B9B"/>
    <w:rsid w:val="00246222"/>
    <w:rsid w:val="0025029C"/>
    <w:rsid w:val="00250EDF"/>
    <w:rsid w:val="002510F4"/>
    <w:rsid w:val="002523B2"/>
    <w:rsid w:val="00252799"/>
    <w:rsid w:val="002532D0"/>
    <w:rsid w:val="00253389"/>
    <w:rsid w:val="00253B2D"/>
    <w:rsid w:val="00253DB6"/>
    <w:rsid w:val="00254981"/>
    <w:rsid w:val="0025563A"/>
    <w:rsid w:val="00255F55"/>
    <w:rsid w:val="00256904"/>
    <w:rsid w:val="00256B42"/>
    <w:rsid w:val="00261089"/>
    <w:rsid w:val="00262832"/>
    <w:rsid w:val="00264451"/>
    <w:rsid w:val="002659F3"/>
    <w:rsid w:val="00265FC9"/>
    <w:rsid w:val="00270CD1"/>
    <w:rsid w:val="002710C5"/>
    <w:rsid w:val="002718D7"/>
    <w:rsid w:val="00272FDF"/>
    <w:rsid w:val="00273717"/>
    <w:rsid w:val="00274984"/>
    <w:rsid w:val="00276A88"/>
    <w:rsid w:val="00276EFE"/>
    <w:rsid w:val="0027768B"/>
    <w:rsid w:val="00277C8B"/>
    <w:rsid w:val="0028118F"/>
    <w:rsid w:val="00281B93"/>
    <w:rsid w:val="00283A0F"/>
    <w:rsid w:val="00283E59"/>
    <w:rsid w:val="00285996"/>
    <w:rsid w:val="00285D3C"/>
    <w:rsid w:val="0028600D"/>
    <w:rsid w:val="00286A2F"/>
    <w:rsid w:val="00286FD7"/>
    <w:rsid w:val="00287564"/>
    <w:rsid w:val="00291098"/>
    <w:rsid w:val="0029165D"/>
    <w:rsid w:val="00291A4D"/>
    <w:rsid w:val="00293ACC"/>
    <w:rsid w:val="00295536"/>
    <w:rsid w:val="002966A1"/>
    <w:rsid w:val="00297424"/>
    <w:rsid w:val="00297FFE"/>
    <w:rsid w:val="002A1963"/>
    <w:rsid w:val="002A3548"/>
    <w:rsid w:val="002A4501"/>
    <w:rsid w:val="002A62A4"/>
    <w:rsid w:val="002A7C3E"/>
    <w:rsid w:val="002B0664"/>
    <w:rsid w:val="002B0D02"/>
    <w:rsid w:val="002B17E2"/>
    <w:rsid w:val="002B2A4D"/>
    <w:rsid w:val="002B2AE3"/>
    <w:rsid w:val="002B4353"/>
    <w:rsid w:val="002B5896"/>
    <w:rsid w:val="002B5E1C"/>
    <w:rsid w:val="002B5E86"/>
    <w:rsid w:val="002B60E0"/>
    <w:rsid w:val="002B7410"/>
    <w:rsid w:val="002B7493"/>
    <w:rsid w:val="002B7E4F"/>
    <w:rsid w:val="002C0133"/>
    <w:rsid w:val="002C079C"/>
    <w:rsid w:val="002C0A94"/>
    <w:rsid w:val="002C0D69"/>
    <w:rsid w:val="002C12AD"/>
    <w:rsid w:val="002C206A"/>
    <w:rsid w:val="002C2620"/>
    <w:rsid w:val="002C3265"/>
    <w:rsid w:val="002C4EFB"/>
    <w:rsid w:val="002C6316"/>
    <w:rsid w:val="002C66A2"/>
    <w:rsid w:val="002C670D"/>
    <w:rsid w:val="002C7C52"/>
    <w:rsid w:val="002D01CA"/>
    <w:rsid w:val="002D1BDE"/>
    <w:rsid w:val="002D283A"/>
    <w:rsid w:val="002D3790"/>
    <w:rsid w:val="002D3A88"/>
    <w:rsid w:val="002D4AD9"/>
    <w:rsid w:val="002D4CD9"/>
    <w:rsid w:val="002D5D6A"/>
    <w:rsid w:val="002D6493"/>
    <w:rsid w:val="002D6A81"/>
    <w:rsid w:val="002D6E24"/>
    <w:rsid w:val="002D74C4"/>
    <w:rsid w:val="002E046E"/>
    <w:rsid w:val="002E080F"/>
    <w:rsid w:val="002E1671"/>
    <w:rsid w:val="002E2C2B"/>
    <w:rsid w:val="002E3F3F"/>
    <w:rsid w:val="002E43B6"/>
    <w:rsid w:val="002E52EC"/>
    <w:rsid w:val="002E6027"/>
    <w:rsid w:val="002E66A9"/>
    <w:rsid w:val="002E774F"/>
    <w:rsid w:val="002F0E4D"/>
    <w:rsid w:val="002F2ACB"/>
    <w:rsid w:val="002F36D0"/>
    <w:rsid w:val="00300ECC"/>
    <w:rsid w:val="00301FFA"/>
    <w:rsid w:val="003020EB"/>
    <w:rsid w:val="00302E93"/>
    <w:rsid w:val="00305730"/>
    <w:rsid w:val="003061A5"/>
    <w:rsid w:val="0030661E"/>
    <w:rsid w:val="00306C34"/>
    <w:rsid w:val="00306C50"/>
    <w:rsid w:val="00311EA2"/>
    <w:rsid w:val="003128A6"/>
    <w:rsid w:val="003148A5"/>
    <w:rsid w:val="0031651A"/>
    <w:rsid w:val="003165F6"/>
    <w:rsid w:val="00317288"/>
    <w:rsid w:val="0031780E"/>
    <w:rsid w:val="00317B4A"/>
    <w:rsid w:val="00317C1C"/>
    <w:rsid w:val="0032053D"/>
    <w:rsid w:val="00320C52"/>
    <w:rsid w:val="003210DB"/>
    <w:rsid w:val="0032244D"/>
    <w:rsid w:val="003231C0"/>
    <w:rsid w:val="00324032"/>
    <w:rsid w:val="00324548"/>
    <w:rsid w:val="00325463"/>
    <w:rsid w:val="00325517"/>
    <w:rsid w:val="00327224"/>
    <w:rsid w:val="00331B47"/>
    <w:rsid w:val="00331D4E"/>
    <w:rsid w:val="003328E6"/>
    <w:rsid w:val="00332D97"/>
    <w:rsid w:val="00332E12"/>
    <w:rsid w:val="0033400A"/>
    <w:rsid w:val="003343CA"/>
    <w:rsid w:val="0033507E"/>
    <w:rsid w:val="0033511F"/>
    <w:rsid w:val="00335814"/>
    <w:rsid w:val="00335B5E"/>
    <w:rsid w:val="003368A3"/>
    <w:rsid w:val="003368E2"/>
    <w:rsid w:val="003400E9"/>
    <w:rsid w:val="00340246"/>
    <w:rsid w:val="003447FF"/>
    <w:rsid w:val="00344871"/>
    <w:rsid w:val="00344C0B"/>
    <w:rsid w:val="00345F40"/>
    <w:rsid w:val="00346DCB"/>
    <w:rsid w:val="0034709F"/>
    <w:rsid w:val="003472A7"/>
    <w:rsid w:val="00347397"/>
    <w:rsid w:val="00351FA1"/>
    <w:rsid w:val="003525D5"/>
    <w:rsid w:val="003532BA"/>
    <w:rsid w:val="0035346A"/>
    <w:rsid w:val="00353813"/>
    <w:rsid w:val="00353E9D"/>
    <w:rsid w:val="00354BA7"/>
    <w:rsid w:val="003563C1"/>
    <w:rsid w:val="00361070"/>
    <w:rsid w:val="00361B43"/>
    <w:rsid w:val="003623B1"/>
    <w:rsid w:val="00362DE8"/>
    <w:rsid w:val="003651E5"/>
    <w:rsid w:val="003679E5"/>
    <w:rsid w:val="003717A5"/>
    <w:rsid w:val="00373ACD"/>
    <w:rsid w:val="00374DBA"/>
    <w:rsid w:val="003752C0"/>
    <w:rsid w:val="00376212"/>
    <w:rsid w:val="00376C2F"/>
    <w:rsid w:val="00380413"/>
    <w:rsid w:val="0038055C"/>
    <w:rsid w:val="00380C1C"/>
    <w:rsid w:val="00380F46"/>
    <w:rsid w:val="0038136A"/>
    <w:rsid w:val="0038191D"/>
    <w:rsid w:val="00382DE7"/>
    <w:rsid w:val="003904E0"/>
    <w:rsid w:val="00390591"/>
    <w:rsid w:val="00393DF9"/>
    <w:rsid w:val="00394EDC"/>
    <w:rsid w:val="0039768C"/>
    <w:rsid w:val="00397E3F"/>
    <w:rsid w:val="003A07BF"/>
    <w:rsid w:val="003A1BCB"/>
    <w:rsid w:val="003A31C8"/>
    <w:rsid w:val="003A3DD6"/>
    <w:rsid w:val="003A4346"/>
    <w:rsid w:val="003A448B"/>
    <w:rsid w:val="003A45CF"/>
    <w:rsid w:val="003A4767"/>
    <w:rsid w:val="003A5530"/>
    <w:rsid w:val="003A5D5E"/>
    <w:rsid w:val="003A5FF9"/>
    <w:rsid w:val="003A636D"/>
    <w:rsid w:val="003A6E64"/>
    <w:rsid w:val="003A6F0A"/>
    <w:rsid w:val="003A75C8"/>
    <w:rsid w:val="003B29E9"/>
    <w:rsid w:val="003B37A3"/>
    <w:rsid w:val="003B4224"/>
    <w:rsid w:val="003B440E"/>
    <w:rsid w:val="003B4544"/>
    <w:rsid w:val="003B5341"/>
    <w:rsid w:val="003B58E5"/>
    <w:rsid w:val="003B5EF6"/>
    <w:rsid w:val="003B6421"/>
    <w:rsid w:val="003B643A"/>
    <w:rsid w:val="003B6F75"/>
    <w:rsid w:val="003B7089"/>
    <w:rsid w:val="003B70FF"/>
    <w:rsid w:val="003B72BA"/>
    <w:rsid w:val="003C0AF7"/>
    <w:rsid w:val="003C0BCF"/>
    <w:rsid w:val="003C0E2F"/>
    <w:rsid w:val="003C11ED"/>
    <w:rsid w:val="003C226D"/>
    <w:rsid w:val="003C25DA"/>
    <w:rsid w:val="003C28F0"/>
    <w:rsid w:val="003C51EE"/>
    <w:rsid w:val="003C5EF1"/>
    <w:rsid w:val="003C6299"/>
    <w:rsid w:val="003C6559"/>
    <w:rsid w:val="003C71E3"/>
    <w:rsid w:val="003C7554"/>
    <w:rsid w:val="003D024A"/>
    <w:rsid w:val="003D0F24"/>
    <w:rsid w:val="003D0FEE"/>
    <w:rsid w:val="003D1119"/>
    <w:rsid w:val="003D2AF6"/>
    <w:rsid w:val="003D2D6E"/>
    <w:rsid w:val="003D3992"/>
    <w:rsid w:val="003D3AED"/>
    <w:rsid w:val="003D5B63"/>
    <w:rsid w:val="003D5BD6"/>
    <w:rsid w:val="003D76F1"/>
    <w:rsid w:val="003E0DE0"/>
    <w:rsid w:val="003E0ED9"/>
    <w:rsid w:val="003E218C"/>
    <w:rsid w:val="003E36EC"/>
    <w:rsid w:val="003E37E1"/>
    <w:rsid w:val="003E38BC"/>
    <w:rsid w:val="003E3ADF"/>
    <w:rsid w:val="003E4BA1"/>
    <w:rsid w:val="003E5244"/>
    <w:rsid w:val="003E5857"/>
    <w:rsid w:val="003E5B5E"/>
    <w:rsid w:val="003E5CB1"/>
    <w:rsid w:val="003E7003"/>
    <w:rsid w:val="003F0300"/>
    <w:rsid w:val="003F2F66"/>
    <w:rsid w:val="003F4ED4"/>
    <w:rsid w:val="003F66F4"/>
    <w:rsid w:val="003F6A38"/>
    <w:rsid w:val="003F7BB2"/>
    <w:rsid w:val="003F7FED"/>
    <w:rsid w:val="0040044F"/>
    <w:rsid w:val="004016AD"/>
    <w:rsid w:val="00402CD9"/>
    <w:rsid w:val="00403291"/>
    <w:rsid w:val="00403B86"/>
    <w:rsid w:val="004042AA"/>
    <w:rsid w:val="004043E7"/>
    <w:rsid w:val="004062AE"/>
    <w:rsid w:val="004066A2"/>
    <w:rsid w:val="00410B17"/>
    <w:rsid w:val="004112C7"/>
    <w:rsid w:val="00412435"/>
    <w:rsid w:val="0041350E"/>
    <w:rsid w:val="0041363B"/>
    <w:rsid w:val="00414CBF"/>
    <w:rsid w:val="00415DD9"/>
    <w:rsid w:val="00416F51"/>
    <w:rsid w:val="00416F8E"/>
    <w:rsid w:val="00417D80"/>
    <w:rsid w:val="00417E28"/>
    <w:rsid w:val="004200CE"/>
    <w:rsid w:val="0042056B"/>
    <w:rsid w:val="00420A84"/>
    <w:rsid w:val="004215DF"/>
    <w:rsid w:val="0042371C"/>
    <w:rsid w:val="00423D46"/>
    <w:rsid w:val="00424E2F"/>
    <w:rsid w:val="00425E0A"/>
    <w:rsid w:val="004264A5"/>
    <w:rsid w:val="004279CA"/>
    <w:rsid w:val="00427FAF"/>
    <w:rsid w:val="004301FC"/>
    <w:rsid w:val="00431572"/>
    <w:rsid w:val="00433D36"/>
    <w:rsid w:val="0043434A"/>
    <w:rsid w:val="004346FC"/>
    <w:rsid w:val="00436A9E"/>
    <w:rsid w:val="00437AD2"/>
    <w:rsid w:val="004413A8"/>
    <w:rsid w:val="00441CED"/>
    <w:rsid w:val="00442121"/>
    <w:rsid w:val="00442C97"/>
    <w:rsid w:val="0044360F"/>
    <w:rsid w:val="00446C2B"/>
    <w:rsid w:val="004477F2"/>
    <w:rsid w:val="00447852"/>
    <w:rsid w:val="00452696"/>
    <w:rsid w:val="00452C14"/>
    <w:rsid w:val="004533CE"/>
    <w:rsid w:val="004535DB"/>
    <w:rsid w:val="00453E79"/>
    <w:rsid w:val="00454B87"/>
    <w:rsid w:val="00454EFD"/>
    <w:rsid w:val="0045782C"/>
    <w:rsid w:val="004579BA"/>
    <w:rsid w:val="00457AE7"/>
    <w:rsid w:val="00462A41"/>
    <w:rsid w:val="00462A5A"/>
    <w:rsid w:val="00462AAD"/>
    <w:rsid w:val="00463494"/>
    <w:rsid w:val="004636A0"/>
    <w:rsid w:val="00466614"/>
    <w:rsid w:val="00466CC6"/>
    <w:rsid w:val="00467835"/>
    <w:rsid w:val="004700FA"/>
    <w:rsid w:val="0047092C"/>
    <w:rsid w:val="00471C1D"/>
    <w:rsid w:val="004722BE"/>
    <w:rsid w:val="004731F7"/>
    <w:rsid w:val="0047322D"/>
    <w:rsid w:val="004736A1"/>
    <w:rsid w:val="00473985"/>
    <w:rsid w:val="00474E2C"/>
    <w:rsid w:val="004759B1"/>
    <w:rsid w:val="00475E14"/>
    <w:rsid w:val="004763D4"/>
    <w:rsid w:val="00476E32"/>
    <w:rsid w:val="00480BAA"/>
    <w:rsid w:val="004818DC"/>
    <w:rsid w:val="004825A4"/>
    <w:rsid w:val="00483619"/>
    <w:rsid w:val="004850B4"/>
    <w:rsid w:val="00485288"/>
    <w:rsid w:val="00485E5A"/>
    <w:rsid w:val="004907DA"/>
    <w:rsid w:val="00491730"/>
    <w:rsid w:val="00492C6F"/>
    <w:rsid w:val="00493253"/>
    <w:rsid w:val="00493B4C"/>
    <w:rsid w:val="00493B9B"/>
    <w:rsid w:val="00493EB0"/>
    <w:rsid w:val="004948FC"/>
    <w:rsid w:val="00497EC7"/>
    <w:rsid w:val="004A07E9"/>
    <w:rsid w:val="004A1F7E"/>
    <w:rsid w:val="004A3D4B"/>
    <w:rsid w:val="004A574F"/>
    <w:rsid w:val="004A59E5"/>
    <w:rsid w:val="004A5D02"/>
    <w:rsid w:val="004A6D45"/>
    <w:rsid w:val="004A7304"/>
    <w:rsid w:val="004B07B3"/>
    <w:rsid w:val="004B098B"/>
    <w:rsid w:val="004B3829"/>
    <w:rsid w:val="004B6E41"/>
    <w:rsid w:val="004B7AD9"/>
    <w:rsid w:val="004C0831"/>
    <w:rsid w:val="004C09B3"/>
    <w:rsid w:val="004C145E"/>
    <w:rsid w:val="004C1903"/>
    <w:rsid w:val="004C21CF"/>
    <w:rsid w:val="004C3C10"/>
    <w:rsid w:val="004C3EDB"/>
    <w:rsid w:val="004C3F18"/>
    <w:rsid w:val="004C429B"/>
    <w:rsid w:val="004C4957"/>
    <w:rsid w:val="004C5C22"/>
    <w:rsid w:val="004C5D4C"/>
    <w:rsid w:val="004C729A"/>
    <w:rsid w:val="004C77AF"/>
    <w:rsid w:val="004C79B9"/>
    <w:rsid w:val="004C7C5C"/>
    <w:rsid w:val="004D02B3"/>
    <w:rsid w:val="004D03ED"/>
    <w:rsid w:val="004D0955"/>
    <w:rsid w:val="004D20AC"/>
    <w:rsid w:val="004D36F4"/>
    <w:rsid w:val="004D3903"/>
    <w:rsid w:val="004D587A"/>
    <w:rsid w:val="004D7C9A"/>
    <w:rsid w:val="004D7EF7"/>
    <w:rsid w:val="004E0992"/>
    <w:rsid w:val="004E218D"/>
    <w:rsid w:val="004E24E4"/>
    <w:rsid w:val="004E4FD9"/>
    <w:rsid w:val="004E5BF2"/>
    <w:rsid w:val="004E5D01"/>
    <w:rsid w:val="004E759B"/>
    <w:rsid w:val="004E7BD7"/>
    <w:rsid w:val="004F0990"/>
    <w:rsid w:val="004F0B0A"/>
    <w:rsid w:val="004F180D"/>
    <w:rsid w:val="004F28C9"/>
    <w:rsid w:val="004F4F08"/>
    <w:rsid w:val="004F692E"/>
    <w:rsid w:val="00500FFE"/>
    <w:rsid w:val="005013AB"/>
    <w:rsid w:val="00502A40"/>
    <w:rsid w:val="00502FD3"/>
    <w:rsid w:val="00504885"/>
    <w:rsid w:val="00505616"/>
    <w:rsid w:val="00506548"/>
    <w:rsid w:val="00507643"/>
    <w:rsid w:val="00510968"/>
    <w:rsid w:val="00510BE4"/>
    <w:rsid w:val="005123B6"/>
    <w:rsid w:val="00512A5C"/>
    <w:rsid w:val="00512E3B"/>
    <w:rsid w:val="00514466"/>
    <w:rsid w:val="00514504"/>
    <w:rsid w:val="00514B5F"/>
    <w:rsid w:val="00514BBB"/>
    <w:rsid w:val="00515291"/>
    <w:rsid w:val="00515A60"/>
    <w:rsid w:val="0052115F"/>
    <w:rsid w:val="005214C9"/>
    <w:rsid w:val="00522727"/>
    <w:rsid w:val="00522E47"/>
    <w:rsid w:val="00523B6B"/>
    <w:rsid w:val="00524801"/>
    <w:rsid w:val="00526066"/>
    <w:rsid w:val="00526086"/>
    <w:rsid w:val="00526174"/>
    <w:rsid w:val="005309F5"/>
    <w:rsid w:val="0053154F"/>
    <w:rsid w:val="00531A1C"/>
    <w:rsid w:val="00531A47"/>
    <w:rsid w:val="00532B58"/>
    <w:rsid w:val="00533240"/>
    <w:rsid w:val="00533A28"/>
    <w:rsid w:val="005342A0"/>
    <w:rsid w:val="00535D18"/>
    <w:rsid w:val="00537EE6"/>
    <w:rsid w:val="005402CF"/>
    <w:rsid w:val="00540A2C"/>
    <w:rsid w:val="005415C8"/>
    <w:rsid w:val="00541DF6"/>
    <w:rsid w:val="0054220C"/>
    <w:rsid w:val="005427E7"/>
    <w:rsid w:val="005429DA"/>
    <w:rsid w:val="00542E10"/>
    <w:rsid w:val="00542F01"/>
    <w:rsid w:val="005432F4"/>
    <w:rsid w:val="005440C1"/>
    <w:rsid w:val="00544F5C"/>
    <w:rsid w:val="00545301"/>
    <w:rsid w:val="00545EF8"/>
    <w:rsid w:val="00547654"/>
    <w:rsid w:val="005476DC"/>
    <w:rsid w:val="00547D4C"/>
    <w:rsid w:val="00551253"/>
    <w:rsid w:val="0055207A"/>
    <w:rsid w:val="005526F5"/>
    <w:rsid w:val="00552923"/>
    <w:rsid w:val="005535B0"/>
    <w:rsid w:val="0055360F"/>
    <w:rsid w:val="00554EC9"/>
    <w:rsid w:val="005563E6"/>
    <w:rsid w:val="00557BF1"/>
    <w:rsid w:val="00560703"/>
    <w:rsid w:val="005613D5"/>
    <w:rsid w:val="00561E90"/>
    <w:rsid w:val="0056364A"/>
    <w:rsid w:val="00563D63"/>
    <w:rsid w:val="00566639"/>
    <w:rsid w:val="00566D23"/>
    <w:rsid w:val="0056704D"/>
    <w:rsid w:val="00567C95"/>
    <w:rsid w:val="00567D8D"/>
    <w:rsid w:val="00570A8B"/>
    <w:rsid w:val="00572C6F"/>
    <w:rsid w:val="00574D38"/>
    <w:rsid w:val="00575974"/>
    <w:rsid w:val="00580659"/>
    <w:rsid w:val="0058240D"/>
    <w:rsid w:val="00584097"/>
    <w:rsid w:val="005879B0"/>
    <w:rsid w:val="00591072"/>
    <w:rsid w:val="005917B9"/>
    <w:rsid w:val="00591A32"/>
    <w:rsid w:val="00594887"/>
    <w:rsid w:val="0059583B"/>
    <w:rsid w:val="0059615B"/>
    <w:rsid w:val="0059732E"/>
    <w:rsid w:val="00597F52"/>
    <w:rsid w:val="005A2B29"/>
    <w:rsid w:val="005A3217"/>
    <w:rsid w:val="005A6347"/>
    <w:rsid w:val="005A72DD"/>
    <w:rsid w:val="005A7C1A"/>
    <w:rsid w:val="005B239E"/>
    <w:rsid w:val="005B26F7"/>
    <w:rsid w:val="005B2F1B"/>
    <w:rsid w:val="005B30E1"/>
    <w:rsid w:val="005B3158"/>
    <w:rsid w:val="005B3F16"/>
    <w:rsid w:val="005B415A"/>
    <w:rsid w:val="005B4565"/>
    <w:rsid w:val="005B45BD"/>
    <w:rsid w:val="005B4CEA"/>
    <w:rsid w:val="005B5B95"/>
    <w:rsid w:val="005B67ED"/>
    <w:rsid w:val="005C02B3"/>
    <w:rsid w:val="005C2A5A"/>
    <w:rsid w:val="005C30D4"/>
    <w:rsid w:val="005C36B6"/>
    <w:rsid w:val="005C4742"/>
    <w:rsid w:val="005C7ACB"/>
    <w:rsid w:val="005C7DB7"/>
    <w:rsid w:val="005D250F"/>
    <w:rsid w:val="005D254C"/>
    <w:rsid w:val="005D364B"/>
    <w:rsid w:val="005D3655"/>
    <w:rsid w:val="005D3C12"/>
    <w:rsid w:val="005D40E4"/>
    <w:rsid w:val="005D4444"/>
    <w:rsid w:val="005D44CF"/>
    <w:rsid w:val="005D464B"/>
    <w:rsid w:val="005D48E4"/>
    <w:rsid w:val="005D4DCC"/>
    <w:rsid w:val="005D4F7D"/>
    <w:rsid w:val="005D5CA9"/>
    <w:rsid w:val="005D78B5"/>
    <w:rsid w:val="005E0473"/>
    <w:rsid w:val="005E0612"/>
    <w:rsid w:val="005E17D0"/>
    <w:rsid w:val="005E1AB9"/>
    <w:rsid w:val="005E1F83"/>
    <w:rsid w:val="005E3D31"/>
    <w:rsid w:val="005E3D9F"/>
    <w:rsid w:val="005E3F91"/>
    <w:rsid w:val="005E7BBE"/>
    <w:rsid w:val="005F06EF"/>
    <w:rsid w:val="005F09BB"/>
    <w:rsid w:val="005F0C7B"/>
    <w:rsid w:val="005F1C6E"/>
    <w:rsid w:val="005F27E3"/>
    <w:rsid w:val="005F3283"/>
    <w:rsid w:val="005F4170"/>
    <w:rsid w:val="005F42C8"/>
    <w:rsid w:val="005F5184"/>
    <w:rsid w:val="005F58C8"/>
    <w:rsid w:val="005F6C14"/>
    <w:rsid w:val="005F6D13"/>
    <w:rsid w:val="006003FE"/>
    <w:rsid w:val="00600A82"/>
    <w:rsid w:val="006020E8"/>
    <w:rsid w:val="00603106"/>
    <w:rsid w:val="00603CC2"/>
    <w:rsid w:val="00604C94"/>
    <w:rsid w:val="006052A8"/>
    <w:rsid w:val="0060600F"/>
    <w:rsid w:val="00606C6D"/>
    <w:rsid w:val="0060728C"/>
    <w:rsid w:val="00607617"/>
    <w:rsid w:val="006139A0"/>
    <w:rsid w:val="006154D5"/>
    <w:rsid w:val="00616198"/>
    <w:rsid w:val="006161FD"/>
    <w:rsid w:val="006168A4"/>
    <w:rsid w:val="00621E56"/>
    <w:rsid w:val="006220AD"/>
    <w:rsid w:val="00622396"/>
    <w:rsid w:val="00624603"/>
    <w:rsid w:val="00624EEA"/>
    <w:rsid w:val="00625B7B"/>
    <w:rsid w:val="006272E9"/>
    <w:rsid w:val="00627C80"/>
    <w:rsid w:val="006300D2"/>
    <w:rsid w:val="0063038A"/>
    <w:rsid w:val="00634F84"/>
    <w:rsid w:val="0063579D"/>
    <w:rsid w:val="00637D3F"/>
    <w:rsid w:val="00640363"/>
    <w:rsid w:val="00640EAA"/>
    <w:rsid w:val="00641414"/>
    <w:rsid w:val="00644783"/>
    <w:rsid w:val="00644983"/>
    <w:rsid w:val="0064498D"/>
    <w:rsid w:val="00644EEF"/>
    <w:rsid w:val="00645962"/>
    <w:rsid w:val="00645C19"/>
    <w:rsid w:val="006461A3"/>
    <w:rsid w:val="006472F4"/>
    <w:rsid w:val="0064767F"/>
    <w:rsid w:val="0064780F"/>
    <w:rsid w:val="00650C92"/>
    <w:rsid w:val="00652893"/>
    <w:rsid w:val="00653DFB"/>
    <w:rsid w:val="006549DA"/>
    <w:rsid w:val="006555AE"/>
    <w:rsid w:val="006557D7"/>
    <w:rsid w:val="00655B5D"/>
    <w:rsid w:val="0065677C"/>
    <w:rsid w:val="0065682F"/>
    <w:rsid w:val="006600A6"/>
    <w:rsid w:val="00660697"/>
    <w:rsid w:val="006606A3"/>
    <w:rsid w:val="006610EA"/>
    <w:rsid w:val="00661DE5"/>
    <w:rsid w:val="006620DA"/>
    <w:rsid w:val="00662D77"/>
    <w:rsid w:val="00663675"/>
    <w:rsid w:val="0066433D"/>
    <w:rsid w:val="00664976"/>
    <w:rsid w:val="00664CA1"/>
    <w:rsid w:val="0066537F"/>
    <w:rsid w:val="006664F2"/>
    <w:rsid w:val="00667044"/>
    <w:rsid w:val="00667DD4"/>
    <w:rsid w:val="0067079D"/>
    <w:rsid w:val="00671666"/>
    <w:rsid w:val="00671963"/>
    <w:rsid w:val="00672014"/>
    <w:rsid w:val="006733A8"/>
    <w:rsid w:val="00673674"/>
    <w:rsid w:val="00674B18"/>
    <w:rsid w:val="0067757A"/>
    <w:rsid w:val="00682C1E"/>
    <w:rsid w:val="00683E53"/>
    <w:rsid w:val="00684E42"/>
    <w:rsid w:val="00686968"/>
    <w:rsid w:val="006877E7"/>
    <w:rsid w:val="00690587"/>
    <w:rsid w:val="00692048"/>
    <w:rsid w:val="006A3239"/>
    <w:rsid w:val="006A4322"/>
    <w:rsid w:val="006A46D7"/>
    <w:rsid w:val="006A4F26"/>
    <w:rsid w:val="006A5E7E"/>
    <w:rsid w:val="006A6559"/>
    <w:rsid w:val="006A6617"/>
    <w:rsid w:val="006A6FD0"/>
    <w:rsid w:val="006A770A"/>
    <w:rsid w:val="006B080E"/>
    <w:rsid w:val="006B3ECE"/>
    <w:rsid w:val="006B5587"/>
    <w:rsid w:val="006B5CE4"/>
    <w:rsid w:val="006B5DD1"/>
    <w:rsid w:val="006B685D"/>
    <w:rsid w:val="006B6F43"/>
    <w:rsid w:val="006C2E6F"/>
    <w:rsid w:val="006C34E8"/>
    <w:rsid w:val="006C61F3"/>
    <w:rsid w:val="006D2212"/>
    <w:rsid w:val="006D2E74"/>
    <w:rsid w:val="006D44F1"/>
    <w:rsid w:val="006D4927"/>
    <w:rsid w:val="006D4D20"/>
    <w:rsid w:val="006D5224"/>
    <w:rsid w:val="006D5238"/>
    <w:rsid w:val="006D550A"/>
    <w:rsid w:val="006D632F"/>
    <w:rsid w:val="006D6450"/>
    <w:rsid w:val="006D6D95"/>
    <w:rsid w:val="006D7FF3"/>
    <w:rsid w:val="006D7FFA"/>
    <w:rsid w:val="006E0637"/>
    <w:rsid w:val="006E18FE"/>
    <w:rsid w:val="006E19E7"/>
    <w:rsid w:val="006E1F02"/>
    <w:rsid w:val="006E280F"/>
    <w:rsid w:val="006E2B2B"/>
    <w:rsid w:val="006E3B0D"/>
    <w:rsid w:val="006E555F"/>
    <w:rsid w:val="006E5AC1"/>
    <w:rsid w:val="006E5C1F"/>
    <w:rsid w:val="006E5FDC"/>
    <w:rsid w:val="006E6868"/>
    <w:rsid w:val="006E69DC"/>
    <w:rsid w:val="006E728E"/>
    <w:rsid w:val="006E7D8B"/>
    <w:rsid w:val="006F0160"/>
    <w:rsid w:val="006F05AD"/>
    <w:rsid w:val="006F0FFE"/>
    <w:rsid w:val="006F2096"/>
    <w:rsid w:val="006F2A75"/>
    <w:rsid w:val="006F2F80"/>
    <w:rsid w:val="006F3435"/>
    <w:rsid w:val="006F5649"/>
    <w:rsid w:val="006F6A41"/>
    <w:rsid w:val="006F6ACC"/>
    <w:rsid w:val="0070128F"/>
    <w:rsid w:val="00701E3D"/>
    <w:rsid w:val="00704843"/>
    <w:rsid w:val="00705405"/>
    <w:rsid w:val="00705930"/>
    <w:rsid w:val="007073ED"/>
    <w:rsid w:val="007112FE"/>
    <w:rsid w:val="007115F7"/>
    <w:rsid w:val="007127FA"/>
    <w:rsid w:val="00713083"/>
    <w:rsid w:val="0071324A"/>
    <w:rsid w:val="007144CA"/>
    <w:rsid w:val="00714FD7"/>
    <w:rsid w:val="007153A7"/>
    <w:rsid w:val="00715666"/>
    <w:rsid w:val="00717F70"/>
    <w:rsid w:val="007206FF"/>
    <w:rsid w:val="00720A5A"/>
    <w:rsid w:val="0072238E"/>
    <w:rsid w:val="00726BD7"/>
    <w:rsid w:val="0072776E"/>
    <w:rsid w:val="00727964"/>
    <w:rsid w:val="007279E4"/>
    <w:rsid w:val="00731211"/>
    <w:rsid w:val="007325C3"/>
    <w:rsid w:val="00732906"/>
    <w:rsid w:val="00732DAE"/>
    <w:rsid w:val="0073326F"/>
    <w:rsid w:val="0073332D"/>
    <w:rsid w:val="0073394E"/>
    <w:rsid w:val="00734B80"/>
    <w:rsid w:val="007418D1"/>
    <w:rsid w:val="00743885"/>
    <w:rsid w:val="00743CDB"/>
    <w:rsid w:val="00744894"/>
    <w:rsid w:val="00744FCC"/>
    <w:rsid w:val="0074508A"/>
    <w:rsid w:val="0074551A"/>
    <w:rsid w:val="00745616"/>
    <w:rsid w:val="00745AB4"/>
    <w:rsid w:val="00745FAB"/>
    <w:rsid w:val="007470E1"/>
    <w:rsid w:val="007479D6"/>
    <w:rsid w:val="007501B0"/>
    <w:rsid w:val="007504E8"/>
    <w:rsid w:val="00751076"/>
    <w:rsid w:val="00752208"/>
    <w:rsid w:val="0075287F"/>
    <w:rsid w:val="00752D0E"/>
    <w:rsid w:val="00752E6F"/>
    <w:rsid w:val="007546CD"/>
    <w:rsid w:val="007549D8"/>
    <w:rsid w:val="007550C2"/>
    <w:rsid w:val="00755564"/>
    <w:rsid w:val="00757E63"/>
    <w:rsid w:val="00760F9A"/>
    <w:rsid w:val="00761721"/>
    <w:rsid w:val="007628AB"/>
    <w:rsid w:val="007653DB"/>
    <w:rsid w:val="00765619"/>
    <w:rsid w:val="00766875"/>
    <w:rsid w:val="00766A8B"/>
    <w:rsid w:val="00767A6C"/>
    <w:rsid w:val="0077103F"/>
    <w:rsid w:val="00771260"/>
    <w:rsid w:val="00771698"/>
    <w:rsid w:val="00771938"/>
    <w:rsid w:val="007736D7"/>
    <w:rsid w:val="007739E9"/>
    <w:rsid w:val="007757C3"/>
    <w:rsid w:val="00775DDF"/>
    <w:rsid w:val="00775F3A"/>
    <w:rsid w:val="0077721C"/>
    <w:rsid w:val="0077795D"/>
    <w:rsid w:val="00780416"/>
    <w:rsid w:val="0078054E"/>
    <w:rsid w:val="00780F9B"/>
    <w:rsid w:val="00781BFC"/>
    <w:rsid w:val="00782149"/>
    <w:rsid w:val="00782257"/>
    <w:rsid w:val="0078388E"/>
    <w:rsid w:val="00783968"/>
    <w:rsid w:val="00783ED3"/>
    <w:rsid w:val="00784795"/>
    <w:rsid w:val="00784AC6"/>
    <w:rsid w:val="00785772"/>
    <w:rsid w:val="00786103"/>
    <w:rsid w:val="0078649E"/>
    <w:rsid w:val="007866D0"/>
    <w:rsid w:val="00787DBC"/>
    <w:rsid w:val="00787E5E"/>
    <w:rsid w:val="0079019B"/>
    <w:rsid w:val="00790B4B"/>
    <w:rsid w:val="00791577"/>
    <w:rsid w:val="0079271D"/>
    <w:rsid w:val="00792AD9"/>
    <w:rsid w:val="00793CF2"/>
    <w:rsid w:val="007957E8"/>
    <w:rsid w:val="007963F9"/>
    <w:rsid w:val="00797C4D"/>
    <w:rsid w:val="007A1DDD"/>
    <w:rsid w:val="007A2AF2"/>
    <w:rsid w:val="007A3343"/>
    <w:rsid w:val="007A400F"/>
    <w:rsid w:val="007A5AD8"/>
    <w:rsid w:val="007A6677"/>
    <w:rsid w:val="007A7446"/>
    <w:rsid w:val="007B01B3"/>
    <w:rsid w:val="007B06C4"/>
    <w:rsid w:val="007B1B20"/>
    <w:rsid w:val="007B1B6D"/>
    <w:rsid w:val="007B25BE"/>
    <w:rsid w:val="007B299B"/>
    <w:rsid w:val="007B3DC7"/>
    <w:rsid w:val="007B5766"/>
    <w:rsid w:val="007B5D4E"/>
    <w:rsid w:val="007B6CD0"/>
    <w:rsid w:val="007B6D51"/>
    <w:rsid w:val="007C0083"/>
    <w:rsid w:val="007C197B"/>
    <w:rsid w:val="007C2F58"/>
    <w:rsid w:val="007C3802"/>
    <w:rsid w:val="007C3FB4"/>
    <w:rsid w:val="007C416C"/>
    <w:rsid w:val="007C4C20"/>
    <w:rsid w:val="007C6116"/>
    <w:rsid w:val="007C6A5F"/>
    <w:rsid w:val="007D16E9"/>
    <w:rsid w:val="007D2BF1"/>
    <w:rsid w:val="007D5BA0"/>
    <w:rsid w:val="007D5CDC"/>
    <w:rsid w:val="007D5FE0"/>
    <w:rsid w:val="007D6A6A"/>
    <w:rsid w:val="007E068D"/>
    <w:rsid w:val="007E0D99"/>
    <w:rsid w:val="007E10B6"/>
    <w:rsid w:val="007E12A0"/>
    <w:rsid w:val="007E14C2"/>
    <w:rsid w:val="007E20E4"/>
    <w:rsid w:val="007E2F2D"/>
    <w:rsid w:val="007E39BB"/>
    <w:rsid w:val="007E5371"/>
    <w:rsid w:val="007E53DE"/>
    <w:rsid w:val="007E7CFA"/>
    <w:rsid w:val="007F29BF"/>
    <w:rsid w:val="007F2BDD"/>
    <w:rsid w:val="007F2D6C"/>
    <w:rsid w:val="007F353C"/>
    <w:rsid w:val="007F3C22"/>
    <w:rsid w:val="007F4D08"/>
    <w:rsid w:val="00801338"/>
    <w:rsid w:val="0080144D"/>
    <w:rsid w:val="00802082"/>
    <w:rsid w:val="00802316"/>
    <w:rsid w:val="00802A1F"/>
    <w:rsid w:val="008040F6"/>
    <w:rsid w:val="00804AA7"/>
    <w:rsid w:val="008058B7"/>
    <w:rsid w:val="00805D96"/>
    <w:rsid w:val="00806AEF"/>
    <w:rsid w:val="00807C17"/>
    <w:rsid w:val="00810591"/>
    <w:rsid w:val="00810C4D"/>
    <w:rsid w:val="008115AB"/>
    <w:rsid w:val="00811B0A"/>
    <w:rsid w:val="00811EEB"/>
    <w:rsid w:val="00813082"/>
    <w:rsid w:val="00813CEA"/>
    <w:rsid w:val="00813F43"/>
    <w:rsid w:val="00817123"/>
    <w:rsid w:val="00817D66"/>
    <w:rsid w:val="008218CC"/>
    <w:rsid w:val="00821B1F"/>
    <w:rsid w:val="00821FEE"/>
    <w:rsid w:val="00823395"/>
    <w:rsid w:val="008237F6"/>
    <w:rsid w:val="00824A4C"/>
    <w:rsid w:val="008264C4"/>
    <w:rsid w:val="00827F88"/>
    <w:rsid w:val="00830AF3"/>
    <w:rsid w:val="00830FCC"/>
    <w:rsid w:val="0083214E"/>
    <w:rsid w:val="0083273E"/>
    <w:rsid w:val="008332C1"/>
    <w:rsid w:val="008339FE"/>
    <w:rsid w:val="00834030"/>
    <w:rsid w:val="00834562"/>
    <w:rsid w:val="00836DF6"/>
    <w:rsid w:val="0083784D"/>
    <w:rsid w:val="00837CB2"/>
    <w:rsid w:val="00840B63"/>
    <w:rsid w:val="0084126D"/>
    <w:rsid w:val="008418B7"/>
    <w:rsid w:val="00844F78"/>
    <w:rsid w:val="00846F8B"/>
    <w:rsid w:val="00847076"/>
    <w:rsid w:val="00851BBB"/>
    <w:rsid w:val="0085397B"/>
    <w:rsid w:val="00854197"/>
    <w:rsid w:val="00855098"/>
    <w:rsid w:val="008558F5"/>
    <w:rsid w:val="00855DCE"/>
    <w:rsid w:val="00856262"/>
    <w:rsid w:val="008572E7"/>
    <w:rsid w:val="0085768C"/>
    <w:rsid w:val="008577A3"/>
    <w:rsid w:val="00857DD5"/>
    <w:rsid w:val="00860F71"/>
    <w:rsid w:val="00862090"/>
    <w:rsid w:val="00862B6D"/>
    <w:rsid w:val="008635E6"/>
    <w:rsid w:val="0086464A"/>
    <w:rsid w:val="00864A14"/>
    <w:rsid w:val="0086516A"/>
    <w:rsid w:val="008659FD"/>
    <w:rsid w:val="008666BC"/>
    <w:rsid w:val="00867A33"/>
    <w:rsid w:val="00871360"/>
    <w:rsid w:val="0087168E"/>
    <w:rsid w:val="008722F9"/>
    <w:rsid w:val="008742A5"/>
    <w:rsid w:val="008746EC"/>
    <w:rsid w:val="00874CFC"/>
    <w:rsid w:val="00875ADA"/>
    <w:rsid w:val="00876E1A"/>
    <w:rsid w:val="008803C8"/>
    <w:rsid w:val="00881A86"/>
    <w:rsid w:val="0088294D"/>
    <w:rsid w:val="00885129"/>
    <w:rsid w:val="00885BEA"/>
    <w:rsid w:val="00886B1B"/>
    <w:rsid w:val="0088792F"/>
    <w:rsid w:val="00887BE8"/>
    <w:rsid w:val="00890DC3"/>
    <w:rsid w:val="008913D0"/>
    <w:rsid w:val="00892026"/>
    <w:rsid w:val="008920A8"/>
    <w:rsid w:val="00892F2E"/>
    <w:rsid w:val="008932F6"/>
    <w:rsid w:val="008946E6"/>
    <w:rsid w:val="008956EA"/>
    <w:rsid w:val="00895F0B"/>
    <w:rsid w:val="008960CC"/>
    <w:rsid w:val="008A0B16"/>
    <w:rsid w:val="008A1A2C"/>
    <w:rsid w:val="008A2447"/>
    <w:rsid w:val="008A36E2"/>
    <w:rsid w:val="008A4783"/>
    <w:rsid w:val="008A4802"/>
    <w:rsid w:val="008A6672"/>
    <w:rsid w:val="008B0BCD"/>
    <w:rsid w:val="008B1964"/>
    <w:rsid w:val="008B1C4F"/>
    <w:rsid w:val="008B1C93"/>
    <w:rsid w:val="008B259C"/>
    <w:rsid w:val="008B3AA1"/>
    <w:rsid w:val="008B51EF"/>
    <w:rsid w:val="008B57D0"/>
    <w:rsid w:val="008B5E37"/>
    <w:rsid w:val="008B7EBE"/>
    <w:rsid w:val="008C1E67"/>
    <w:rsid w:val="008C2E26"/>
    <w:rsid w:val="008C3AC7"/>
    <w:rsid w:val="008C3F0D"/>
    <w:rsid w:val="008C7ACF"/>
    <w:rsid w:val="008D115E"/>
    <w:rsid w:val="008D1B9C"/>
    <w:rsid w:val="008D1BE7"/>
    <w:rsid w:val="008D1F04"/>
    <w:rsid w:val="008D276E"/>
    <w:rsid w:val="008D368D"/>
    <w:rsid w:val="008D3C89"/>
    <w:rsid w:val="008D3D20"/>
    <w:rsid w:val="008D6AFE"/>
    <w:rsid w:val="008E0BFF"/>
    <w:rsid w:val="008E0D87"/>
    <w:rsid w:val="008E15F9"/>
    <w:rsid w:val="008E2860"/>
    <w:rsid w:val="008E2A25"/>
    <w:rsid w:val="008E3E47"/>
    <w:rsid w:val="008E3EB9"/>
    <w:rsid w:val="008E4E50"/>
    <w:rsid w:val="008E5AC2"/>
    <w:rsid w:val="008E6D13"/>
    <w:rsid w:val="008E77A1"/>
    <w:rsid w:val="008F0D3D"/>
    <w:rsid w:val="008F0F79"/>
    <w:rsid w:val="008F4F8D"/>
    <w:rsid w:val="008F6B54"/>
    <w:rsid w:val="008F79B8"/>
    <w:rsid w:val="008F7BA7"/>
    <w:rsid w:val="008F7D62"/>
    <w:rsid w:val="009003E6"/>
    <w:rsid w:val="009012DC"/>
    <w:rsid w:val="00901EA9"/>
    <w:rsid w:val="009029DB"/>
    <w:rsid w:val="00902F9F"/>
    <w:rsid w:val="00904F52"/>
    <w:rsid w:val="00906527"/>
    <w:rsid w:val="00907579"/>
    <w:rsid w:val="00910008"/>
    <w:rsid w:val="009111BD"/>
    <w:rsid w:val="00912860"/>
    <w:rsid w:val="00913674"/>
    <w:rsid w:val="009150E9"/>
    <w:rsid w:val="009162C4"/>
    <w:rsid w:val="00917BFB"/>
    <w:rsid w:val="00920ACF"/>
    <w:rsid w:val="00920FB9"/>
    <w:rsid w:val="00921D39"/>
    <w:rsid w:val="00922BC7"/>
    <w:rsid w:val="00923467"/>
    <w:rsid w:val="00924198"/>
    <w:rsid w:val="009244C2"/>
    <w:rsid w:val="009244F0"/>
    <w:rsid w:val="00927C98"/>
    <w:rsid w:val="0093111E"/>
    <w:rsid w:val="00931449"/>
    <w:rsid w:val="00932FF9"/>
    <w:rsid w:val="00933957"/>
    <w:rsid w:val="00934B26"/>
    <w:rsid w:val="00935307"/>
    <w:rsid w:val="009355AE"/>
    <w:rsid w:val="00935D61"/>
    <w:rsid w:val="0093638C"/>
    <w:rsid w:val="009366DB"/>
    <w:rsid w:val="009372BA"/>
    <w:rsid w:val="00937A4E"/>
    <w:rsid w:val="009416FC"/>
    <w:rsid w:val="00943129"/>
    <w:rsid w:val="009453A1"/>
    <w:rsid w:val="009478FF"/>
    <w:rsid w:val="009479E7"/>
    <w:rsid w:val="00950DD1"/>
    <w:rsid w:val="009513A1"/>
    <w:rsid w:val="009537EC"/>
    <w:rsid w:val="009548F2"/>
    <w:rsid w:val="00955661"/>
    <w:rsid w:val="00957948"/>
    <w:rsid w:val="009609CB"/>
    <w:rsid w:val="00960F9C"/>
    <w:rsid w:val="0096133B"/>
    <w:rsid w:val="0096172C"/>
    <w:rsid w:val="00962D8E"/>
    <w:rsid w:val="009652BA"/>
    <w:rsid w:val="00965481"/>
    <w:rsid w:val="00966093"/>
    <w:rsid w:val="009708B5"/>
    <w:rsid w:val="009714F0"/>
    <w:rsid w:val="00971A27"/>
    <w:rsid w:val="00971F1B"/>
    <w:rsid w:val="00974A7D"/>
    <w:rsid w:val="00974A8A"/>
    <w:rsid w:val="0097616A"/>
    <w:rsid w:val="0097633D"/>
    <w:rsid w:val="009773A3"/>
    <w:rsid w:val="00980AA0"/>
    <w:rsid w:val="00980CAB"/>
    <w:rsid w:val="00980DA3"/>
    <w:rsid w:val="0098153B"/>
    <w:rsid w:val="00981A39"/>
    <w:rsid w:val="009835A8"/>
    <w:rsid w:val="009835EF"/>
    <w:rsid w:val="0098421E"/>
    <w:rsid w:val="009847FB"/>
    <w:rsid w:val="00984B9A"/>
    <w:rsid w:val="00985084"/>
    <w:rsid w:val="0098630B"/>
    <w:rsid w:val="00990196"/>
    <w:rsid w:val="009901D6"/>
    <w:rsid w:val="00991508"/>
    <w:rsid w:val="009917C8"/>
    <w:rsid w:val="00992A29"/>
    <w:rsid w:val="00993040"/>
    <w:rsid w:val="009951E5"/>
    <w:rsid w:val="00996949"/>
    <w:rsid w:val="009969C7"/>
    <w:rsid w:val="00996D46"/>
    <w:rsid w:val="00997D61"/>
    <w:rsid w:val="009A09C6"/>
    <w:rsid w:val="009A2403"/>
    <w:rsid w:val="009A323D"/>
    <w:rsid w:val="009A3AE5"/>
    <w:rsid w:val="009A4234"/>
    <w:rsid w:val="009A4C09"/>
    <w:rsid w:val="009A564B"/>
    <w:rsid w:val="009A6706"/>
    <w:rsid w:val="009A6C9D"/>
    <w:rsid w:val="009A6F1E"/>
    <w:rsid w:val="009B0223"/>
    <w:rsid w:val="009B1061"/>
    <w:rsid w:val="009B2338"/>
    <w:rsid w:val="009B234A"/>
    <w:rsid w:val="009B2C59"/>
    <w:rsid w:val="009B2D5A"/>
    <w:rsid w:val="009B3086"/>
    <w:rsid w:val="009B3457"/>
    <w:rsid w:val="009B39FC"/>
    <w:rsid w:val="009B3E58"/>
    <w:rsid w:val="009B5A36"/>
    <w:rsid w:val="009B5D72"/>
    <w:rsid w:val="009B6626"/>
    <w:rsid w:val="009B6F55"/>
    <w:rsid w:val="009B792C"/>
    <w:rsid w:val="009B7937"/>
    <w:rsid w:val="009C0332"/>
    <w:rsid w:val="009C0E58"/>
    <w:rsid w:val="009C2411"/>
    <w:rsid w:val="009C24AC"/>
    <w:rsid w:val="009C3321"/>
    <w:rsid w:val="009C3870"/>
    <w:rsid w:val="009C3FF5"/>
    <w:rsid w:val="009C449D"/>
    <w:rsid w:val="009C46AB"/>
    <w:rsid w:val="009C6AD9"/>
    <w:rsid w:val="009D0C63"/>
    <w:rsid w:val="009D0D82"/>
    <w:rsid w:val="009D12F6"/>
    <w:rsid w:val="009D1DD1"/>
    <w:rsid w:val="009D3569"/>
    <w:rsid w:val="009D364D"/>
    <w:rsid w:val="009D5355"/>
    <w:rsid w:val="009D56B5"/>
    <w:rsid w:val="009D78CC"/>
    <w:rsid w:val="009E0553"/>
    <w:rsid w:val="009E1C41"/>
    <w:rsid w:val="009E3442"/>
    <w:rsid w:val="009E3E2A"/>
    <w:rsid w:val="009E44EE"/>
    <w:rsid w:val="009E4AF1"/>
    <w:rsid w:val="009E5F44"/>
    <w:rsid w:val="009E708F"/>
    <w:rsid w:val="009E791B"/>
    <w:rsid w:val="009E7A91"/>
    <w:rsid w:val="009F12BC"/>
    <w:rsid w:val="009F1A7E"/>
    <w:rsid w:val="009F1A8C"/>
    <w:rsid w:val="009F3583"/>
    <w:rsid w:val="009F3D91"/>
    <w:rsid w:val="009F5198"/>
    <w:rsid w:val="009F53E5"/>
    <w:rsid w:val="009F65C4"/>
    <w:rsid w:val="00A002F4"/>
    <w:rsid w:val="00A00533"/>
    <w:rsid w:val="00A00AE0"/>
    <w:rsid w:val="00A01027"/>
    <w:rsid w:val="00A01D1A"/>
    <w:rsid w:val="00A02042"/>
    <w:rsid w:val="00A020A9"/>
    <w:rsid w:val="00A02148"/>
    <w:rsid w:val="00A031C2"/>
    <w:rsid w:val="00A0324A"/>
    <w:rsid w:val="00A047AF"/>
    <w:rsid w:val="00A0519A"/>
    <w:rsid w:val="00A0567A"/>
    <w:rsid w:val="00A06EBD"/>
    <w:rsid w:val="00A10460"/>
    <w:rsid w:val="00A113EA"/>
    <w:rsid w:val="00A11C1B"/>
    <w:rsid w:val="00A129EC"/>
    <w:rsid w:val="00A12BAD"/>
    <w:rsid w:val="00A149B6"/>
    <w:rsid w:val="00A14E35"/>
    <w:rsid w:val="00A16CB5"/>
    <w:rsid w:val="00A174D4"/>
    <w:rsid w:val="00A204BA"/>
    <w:rsid w:val="00A20570"/>
    <w:rsid w:val="00A208B0"/>
    <w:rsid w:val="00A208BA"/>
    <w:rsid w:val="00A20941"/>
    <w:rsid w:val="00A223C9"/>
    <w:rsid w:val="00A230E1"/>
    <w:rsid w:val="00A23F5B"/>
    <w:rsid w:val="00A24336"/>
    <w:rsid w:val="00A24CD1"/>
    <w:rsid w:val="00A261F8"/>
    <w:rsid w:val="00A26C54"/>
    <w:rsid w:val="00A27449"/>
    <w:rsid w:val="00A2762A"/>
    <w:rsid w:val="00A3094B"/>
    <w:rsid w:val="00A30D91"/>
    <w:rsid w:val="00A317ED"/>
    <w:rsid w:val="00A31A54"/>
    <w:rsid w:val="00A32330"/>
    <w:rsid w:val="00A326B7"/>
    <w:rsid w:val="00A3446A"/>
    <w:rsid w:val="00A346B0"/>
    <w:rsid w:val="00A36989"/>
    <w:rsid w:val="00A37072"/>
    <w:rsid w:val="00A3796D"/>
    <w:rsid w:val="00A41565"/>
    <w:rsid w:val="00A42341"/>
    <w:rsid w:val="00A426D0"/>
    <w:rsid w:val="00A444FB"/>
    <w:rsid w:val="00A45420"/>
    <w:rsid w:val="00A4688F"/>
    <w:rsid w:val="00A476CE"/>
    <w:rsid w:val="00A52CEE"/>
    <w:rsid w:val="00A53D0E"/>
    <w:rsid w:val="00A53F96"/>
    <w:rsid w:val="00A549E1"/>
    <w:rsid w:val="00A55FE8"/>
    <w:rsid w:val="00A56C2A"/>
    <w:rsid w:val="00A57A80"/>
    <w:rsid w:val="00A61367"/>
    <w:rsid w:val="00A6157E"/>
    <w:rsid w:val="00A64D7A"/>
    <w:rsid w:val="00A652C9"/>
    <w:rsid w:val="00A70249"/>
    <w:rsid w:val="00A70DD6"/>
    <w:rsid w:val="00A712BF"/>
    <w:rsid w:val="00A727B2"/>
    <w:rsid w:val="00A729E6"/>
    <w:rsid w:val="00A73388"/>
    <w:rsid w:val="00A753E5"/>
    <w:rsid w:val="00A760C3"/>
    <w:rsid w:val="00A7791D"/>
    <w:rsid w:val="00A81822"/>
    <w:rsid w:val="00A81EC0"/>
    <w:rsid w:val="00A830DE"/>
    <w:rsid w:val="00A833B3"/>
    <w:rsid w:val="00A83500"/>
    <w:rsid w:val="00A839CB"/>
    <w:rsid w:val="00A8572E"/>
    <w:rsid w:val="00A86676"/>
    <w:rsid w:val="00A86821"/>
    <w:rsid w:val="00A86D17"/>
    <w:rsid w:val="00A87074"/>
    <w:rsid w:val="00A8785D"/>
    <w:rsid w:val="00A910BE"/>
    <w:rsid w:val="00A933E9"/>
    <w:rsid w:val="00A93A68"/>
    <w:rsid w:val="00A93F0E"/>
    <w:rsid w:val="00A94E8B"/>
    <w:rsid w:val="00A95983"/>
    <w:rsid w:val="00A96D69"/>
    <w:rsid w:val="00A96D9A"/>
    <w:rsid w:val="00A9757F"/>
    <w:rsid w:val="00A9760C"/>
    <w:rsid w:val="00AA0804"/>
    <w:rsid w:val="00AA0B43"/>
    <w:rsid w:val="00AA19E7"/>
    <w:rsid w:val="00AA1C42"/>
    <w:rsid w:val="00AA2D63"/>
    <w:rsid w:val="00AA2E9C"/>
    <w:rsid w:val="00AA421D"/>
    <w:rsid w:val="00AA479F"/>
    <w:rsid w:val="00AA5A1F"/>
    <w:rsid w:val="00AA614F"/>
    <w:rsid w:val="00AA6B67"/>
    <w:rsid w:val="00AB2A81"/>
    <w:rsid w:val="00AB3FF0"/>
    <w:rsid w:val="00AB48D5"/>
    <w:rsid w:val="00AB6550"/>
    <w:rsid w:val="00AB6F56"/>
    <w:rsid w:val="00AC01F4"/>
    <w:rsid w:val="00AC08EF"/>
    <w:rsid w:val="00AC0A30"/>
    <w:rsid w:val="00AC173F"/>
    <w:rsid w:val="00AC1A2C"/>
    <w:rsid w:val="00AC1C75"/>
    <w:rsid w:val="00AC1DD1"/>
    <w:rsid w:val="00AC256D"/>
    <w:rsid w:val="00AC2B71"/>
    <w:rsid w:val="00AC6B56"/>
    <w:rsid w:val="00AC7682"/>
    <w:rsid w:val="00AC78E4"/>
    <w:rsid w:val="00AC7905"/>
    <w:rsid w:val="00AD1534"/>
    <w:rsid w:val="00AD1CDA"/>
    <w:rsid w:val="00AD35D3"/>
    <w:rsid w:val="00AD43D2"/>
    <w:rsid w:val="00AD525D"/>
    <w:rsid w:val="00AD78A8"/>
    <w:rsid w:val="00AE21D2"/>
    <w:rsid w:val="00AE342E"/>
    <w:rsid w:val="00AE4E71"/>
    <w:rsid w:val="00AE6ACD"/>
    <w:rsid w:val="00AE6CDF"/>
    <w:rsid w:val="00AE7C8C"/>
    <w:rsid w:val="00AF1F76"/>
    <w:rsid w:val="00AF2483"/>
    <w:rsid w:val="00AF3221"/>
    <w:rsid w:val="00AF6122"/>
    <w:rsid w:val="00AF724C"/>
    <w:rsid w:val="00B00934"/>
    <w:rsid w:val="00B02706"/>
    <w:rsid w:val="00B02A4D"/>
    <w:rsid w:val="00B03B4A"/>
    <w:rsid w:val="00B046DF"/>
    <w:rsid w:val="00B05F90"/>
    <w:rsid w:val="00B0601B"/>
    <w:rsid w:val="00B07C9E"/>
    <w:rsid w:val="00B07F46"/>
    <w:rsid w:val="00B102D9"/>
    <w:rsid w:val="00B106C6"/>
    <w:rsid w:val="00B1074A"/>
    <w:rsid w:val="00B10F7B"/>
    <w:rsid w:val="00B11124"/>
    <w:rsid w:val="00B11980"/>
    <w:rsid w:val="00B13B1B"/>
    <w:rsid w:val="00B14A0F"/>
    <w:rsid w:val="00B15346"/>
    <w:rsid w:val="00B16188"/>
    <w:rsid w:val="00B17367"/>
    <w:rsid w:val="00B20811"/>
    <w:rsid w:val="00B21753"/>
    <w:rsid w:val="00B22B4C"/>
    <w:rsid w:val="00B236FA"/>
    <w:rsid w:val="00B243D3"/>
    <w:rsid w:val="00B2456C"/>
    <w:rsid w:val="00B246DD"/>
    <w:rsid w:val="00B25616"/>
    <w:rsid w:val="00B2637A"/>
    <w:rsid w:val="00B26603"/>
    <w:rsid w:val="00B30632"/>
    <w:rsid w:val="00B307A4"/>
    <w:rsid w:val="00B32794"/>
    <w:rsid w:val="00B334F2"/>
    <w:rsid w:val="00B346A6"/>
    <w:rsid w:val="00B34721"/>
    <w:rsid w:val="00B3640F"/>
    <w:rsid w:val="00B37C10"/>
    <w:rsid w:val="00B404C9"/>
    <w:rsid w:val="00B4135E"/>
    <w:rsid w:val="00B47682"/>
    <w:rsid w:val="00B50352"/>
    <w:rsid w:val="00B5038E"/>
    <w:rsid w:val="00B5182F"/>
    <w:rsid w:val="00B51900"/>
    <w:rsid w:val="00B52F5E"/>
    <w:rsid w:val="00B55B56"/>
    <w:rsid w:val="00B55C78"/>
    <w:rsid w:val="00B56462"/>
    <w:rsid w:val="00B5770A"/>
    <w:rsid w:val="00B6080C"/>
    <w:rsid w:val="00B661C1"/>
    <w:rsid w:val="00B66308"/>
    <w:rsid w:val="00B66653"/>
    <w:rsid w:val="00B674BA"/>
    <w:rsid w:val="00B67D9B"/>
    <w:rsid w:val="00B70A0B"/>
    <w:rsid w:val="00B712A7"/>
    <w:rsid w:val="00B712BB"/>
    <w:rsid w:val="00B7385F"/>
    <w:rsid w:val="00B81C99"/>
    <w:rsid w:val="00B82893"/>
    <w:rsid w:val="00B829F3"/>
    <w:rsid w:val="00B83441"/>
    <w:rsid w:val="00B83873"/>
    <w:rsid w:val="00B84923"/>
    <w:rsid w:val="00B84DAA"/>
    <w:rsid w:val="00B857DC"/>
    <w:rsid w:val="00B85F37"/>
    <w:rsid w:val="00B860B2"/>
    <w:rsid w:val="00B86B94"/>
    <w:rsid w:val="00B872FA"/>
    <w:rsid w:val="00B91365"/>
    <w:rsid w:val="00B92397"/>
    <w:rsid w:val="00B97820"/>
    <w:rsid w:val="00BA0338"/>
    <w:rsid w:val="00BA0DEA"/>
    <w:rsid w:val="00BA1A53"/>
    <w:rsid w:val="00BA1AF1"/>
    <w:rsid w:val="00BA27B5"/>
    <w:rsid w:val="00BA3BAB"/>
    <w:rsid w:val="00BA3EE4"/>
    <w:rsid w:val="00BA4F8E"/>
    <w:rsid w:val="00BA56FD"/>
    <w:rsid w:val="00BB14B4"/>
    <w:rsid w:val="00BB18C9"/>
    <w:rsid w:val="00BB21A9"/>
    <w:rsid w:val="00BB299E"/>
    <w:rsid w:val="00BB2B10"/>
    <w:rsid w:val="00BB3AFD"/>
    <w:rsid w:val="00BB4888"/>
    <w:rsid w:val="00BB6D6F"/>
    <w:rsid w:val="00BC0E65"/>
    <w:rsid w:val="00BC2AF4"/>
    <w:rsid w:val="00BC2B97"/>
    <w:rsid w:val="00BC3C88"/>
    <w:rsid w:val="00BC3FB6"/>
    <w:rsid w:val="00BC5737"/>
    <w:rsid w:val="00BD0862"/>
    <w:rsid w:val="00BD2D17"/>
    <w:rsid w:val="00BD357A"/>
    <w:rsid w:val="00BD374F"/>
    <w:rsid w:val="00BD4343"/>
    <w:rsid w:val="00BD5C10"/>
    <w:rsid w:val="00BD747D"/>
    <w:rsid w:val="00BE041D"/>
    <w:rsid w:val="00BE13F1"/>
    <w:rsid w:val="00BE1E3A"/>
    <w:rsid w:val="00BE2A67"/>
    <w:rsid w:val="00BE31D2"/>
    <w:rsid w:val="00BE50A9"/>
    <w:rsid w:val="00BE65A4"/>
    <w:rsid w:val="00BE6BB4"/>
    <w:rsid w:val="00BE7D0E"/>
    <w:rsid w:val="00BF09CE"/>
    <w:rsid w:val="00BF0CB5"/>
    <w:rsid w:val="00BF33F7"/>
    <w:rsid w:val="00BF385E"/>
    <w:rsid w:val="00BF5D10"/>
    <w:rsid w:val="00BF689C"/>
    <w:rsid w:val="00C004A2"/>
    <w:rsid w:val="00C02572"/>
    <w:rsid w:val="00C03938"/>
    <w:rsid w:val="00C0630F"/>
    <w:rsid w:val="00C063BE"/>
    <w:rsid w:val="00C0681D"/>
    <w:rsid w:val="00C070E5"/>
    <w:rsid w:val="00C0780D"/>
    <w:rsid w:val="00C102E3"/>
    <w:rsid w:val="00C1131B"/>
    <w:rsid w:val="00C11396"/>
    <w:rsid w:val="00C114B0"/>
    <w:rsid w:val="00C11546"/>
    <w:rsid w:val="00C11CF4"/>
    <w:rsid w:val="00C12BAB"/>
    <w:rsid w:val="00C12C70"/>
    <w:rsid w:val="00C135FF"/>
    <w:rsid w:val="00C138D9"/>
    <w:rsid w:val="00C13AEE"/>
    <w:rsid w:val="00C147BA"/>
    <w:rsid w:val="00C14EBB"/>
    <w:rsid w:val="00C15447"/>
    <w:rsid w:val="00C1558E"/>
    <w:rsid w:val="00C16B62"/>
    <w:rsid w:val="00C16C03"/>
    <w:rsid w:val="00C1716A"/>
    <w:rsid w:val="00C178F9"/>
    <w:rsid w:val="00C20B6C"/>
    <w:rsid w:val="00C211BD"/>
    <w:rsid w:val="00C23262"/>
    <w:rsid w:val="00C23391"/>
    <w:rsid w:val="00C2400C"/>
    <w:rsid w:val="00C247C0"/>
    <w:rsid w:val="00C2483C"/>
    <w:rsid w:val="00C25EAE"/>
    <w:rsid w:val="00C26770"/>
    <w:rsid w:val="00C26850"/>
    <w:rsid w:val="00C27B45"/>
    <w:rsid w:val="00C30B5C"/>
    <w:rsid w:val="00C31017"/>
    <w:rsid w:val="00C32B5E"/>
    <w:rsid w:val="00C33947"/>
    <w:rsid w:val="00C339C4"/>
    <w:rsid w:val="00C36A2A"/>
    <w:rsid w:val="00C37DEA"/>
    <w:rsid w:val="00C4130B"/>
    <w:rsid w:val="00C419F8"/>
    <w:rsid w:val="00C43715"/>
    <w:rsid w:val="00C44A8A"/>
    <w:rsid w:val="00C46346"/>
    <w:rsid w:val="00C478BE"/>
    <w:rsid w:val="00C508DA"/>
    <w:rsid w:val="00C518D4"/>
    <w:rsid w:val="00C52135"/>
    <w:rsid w:val="00C526E8"/>
    <w:rsid w:val="00C53B0C"/>
    <w:rsid w:val="00C5575E"/>
    <w:rsid w:val="00C56226"/>
    <w:rsid w:val="00C564AA"/>
    <w:rsid w:val="00C565F5"/>
    <w:rsid w:val="00C5741A"/>
    <w:rsid w:val="00C6081D"/>
    <w:rsid w:val="00C61CF9"/>
    <w:rsid w:val="00C624CA"/>
    <w:rsid w:val="00C63321"/>
    <w:rsid w:val="00C6376A"/>
    <w:rsid w:val="00C65AB5"/>
    <w:rsid w:val="00C65CA9"/>
    <w:rsid w:val="00C70E01"/>
    <w:rsid w:val="00C710A4"/>
    <w:rsid w:val="00C72A78"/>
    <w:rsid w:val="00C745C0"/>
    <w:rsid w:val="00C7517B"/>
    <w:rsid w:val="00C7583B"/>
    <w:rsid w:val="00C7593B"/>
    <w:rsid w:val="00C76A03"/>
    <w:rsid w:val="00C76DEC"/>
    <w:rsid w:val="00C771F0"/>
    <w:rsid w:val="00C80AB7"/>
    <w:rsid w:val="00C81248"/>
    <w:rsid w:val="00C81DFC"/>
    <w:rsid w:val="00C820D8"/>
    <w:rsid w:val="00C8243A"/>
    <w:rsid w:val="00C829D3"/>
    <w:rsid w:val="00C82A24"/>
    <w:rsid w:val="00C8335A"/>
    <w:rsid w:val="00C835A2"/>
    <w:rsid w:val="00C84937"/>
    <w:rsid w:val="00C849ED"/>
    <w:rsid w:val="00C85140"/>
    <w:rsid w:val="00C855E5"/>
    <w:rsid w:val="00C8684A"/>
    <w:rsid w:val="00C879A6"/>
    <w:rsid w:val="00C90063"/>
    <w:rsid w:val="00C90207"/>
    <w:rsid w:val="00C928A6"/>
    <w:rsid w:val="00C9559E"/>
    <w:rsid w:val="00C95F58"/>
    <w:rsid w:val="00C9673A"/>
    <w:rsid w:val="00C96C7C"/>
    <w:rsid w:val="00C97F25"/>
    <w:rsid w:val="00CA0648"/>
    <w:rsid w:val="00CA24DD"/>
    <w:rsid w:val="00CA2C83"/>
    <w:rsid w:val="00CA37F9"/>
    <w:rsid w:val="00CA3916"/>
    <w:rsid w:val="00CA60E2"/>
    <w:rsid w:val="00CA74A0"/>
    <w:rsid w:val="00CA7F63"/>
    <w:rsid w:val="00CB0B51"/>
    <w:rsid w:val="00CB1379"/>
    <w:rsid w:val="00CB1758"/>
    <w:rsid w:val="00CB1C85"/>
    <w:rsid w:val="00CB28B7"/>
    <w:rsid w:val="00CB2C95"/>
    <w:rsid w:val="00CB2C9D"/>
    <w:rsid w:val="00CB43B6"/>
    <w:rsid w:val="00CB4B64"/>
    <w:rsid w:val="00CB540B"/>
    <w:rsid w:val="00CB5544"/>
    <w:rsid w:val="00CB6AC1"/>
    <w:rsid w:val="00CB6E37"/>
    <w:rsid w:val="00CB7283"/>
    <w:rsid w:val="00CB7968"/>
    <w:rsid w:val="00CB7C41"/>
    <w:rsid w:val="00CC07A5"/>
    <w:rsid w:val="00CC1E68"/>
    <w:rsid w:val="00CC35FB"/>
    <w:rsid w:val="00CC3E7E"/>
    <w:rsid w:val="00CC48B6"/>
    <w:rsid w:val="00CC660D"/>
    <w:rsid w:val="00CC663A"/>
    <w:rsid w:val="00CC6B2D"/>
    <w:rsid w:val="00CD01AA"/>
    <w:rsid w:val="00CD030D"/>
    <w:rsid w:val="00CD0972"/>
    <w:rsid w:val="00CD4F0A"/>
    <w:rsid w:val="00CD4F4E"/>
    <w:rsid w:val="00CD584B"/>
    <w:rsid w:val="00CD7852"/>
    <w:rsid w:val="00CD7A1B"/>
    <w:rsid w:val="00CE0089"/>
    <w:rsid w:val="00CE27E0"/>
    <w:rsid w:val="00CE2D71"/>
    <w:rsid w:val="00CE57A9"/>
    <w:rsid w:val="00CE6165"/>
    <w:rsid w:val="00CE652B"/>
    <w:rsid w:val="00CF0991"/>
    <w:rsid w:val="00CF0BCD"/>
    <w:rsid w:val="00CF0DA0"/>
    <w:rsid w:val="00CF1B19"/>
    <w:rsid w:val="00CF2340"/>
    <w:rsid w:val="00CF2351"/>
    <w:rsid w:val="00CF3868"/>
    <w:rsid w:val="00CF3FF3"/>
    <w:rsid w:val="00CF40F1"/>
    <w:rsid w:val="00CF537E"/>
    <w:rsid w:val="00CF6B67"/>
    <w:rsid w:val="00D0065A"/>
    <w:rsid w:val="00D00FB5"/>
    <w:rsid w:val="00D035D8"/>
    <w:rsid w:val="00D039A6"/>
    <w:rsid w:val="00D06CF8"/>
    <w:rsid w:val="00D077DA"/>
    <w:rsid w:val="00D10863"/>
    <w:rsid w:val="00D13199"/>
    <w:rsid w:val="00D137D5"/>
    <w:rsid w:val="00D14E8B"/>
    <w:rsid w:val="00D15BBC"/>
    <w:rsid w:val="00D15C2F"/>
    <w:rsid w:val="00D160A3"/>
    <w:rsid w:val="00D1756B"/>
    <w:rsid w:val="00D220B2"/>
    <w:rsid w:val="00D23755"/>
    <w:rsid w:val="00D23943"/>
    <w:rsid w:val="00D249F3"/>
    <w:rsid w:val="00D274D1"/>
    <w:rsid w:val="00D27735"/>
    <w:rsid w:val="00D279EC"/>
    <w:rsid w:val="00D33531"/>
    <w:rsid w:val="00D338C9"/>
    <w:rsid w:val="00D35651"/>
    <w:rsid w:val="00D3661E"/>
    <w:rsid w:val="00D37CE5"/>
    <w:rsid w:val="00D40E91"/>
    <w:rsid w:val="00D40FB0"/>
    <w:rsid w:val="00D417DA"/>
    <w:rsid w:val="00D438A4"/>
    <w:rsid w:val="00D44343"/>
    <w:rsid w:val="00D44B19"/>
    <w:rsid w:val="00D44DE9"/>
    <w:rsid w:val="00D45000"/>
    <w:rsid w:val="00D457C5"/>
    <w:rsid w:val="00D459C0"/>
    <w:rsid w:val="00D45E00"/>
    <w:rsid w:val="00D45FC5"/>
    <w:rsid w:val="00D466D7"/>
    <w:rsid w:val="00D51827"/>
    <w:rsid w:val="00D54633"/>
    <w:rsid w:val="00D55192"/>
    <w:rsid w:val="00D55C11"/>
    <w:rsid w:val="00D560CE"/>
    <w:rsid w:val="00D5611C"/>
    <w:rsid w:val="00D56C26"/>
    <w:rsid w:val="00D57C51"/>
    <w:rsid w:val="00D622A9"/>
    <w:rsid w:val="00D63AE5"/>
    <w:rsid w:val="00D65200"/>
    <w:rsid w:val="00D654BC"/>
    <w:rsid w:val="00D657C0"/>
    <w:rsid w:val="00D66F60"/>
    <w:rsid w:val="00D7088B"/>
    <w:rsid w:val="00D70FC6"/>
    <w:rsid w:val="00D71464"/>
    <w:rsid w:val="00D727DC"/>
    <w:rsid w:val="00D72DFB"/>
    <w:rsid w:val="00D73C31"/>
    <w:rsid w:val="00D73CB2"/>
    <w:rsid w:val="00D73EB7"/>
    <w:rsid w:val="00D73EF4"/>
    <w:rsid w:val="00D75D1C"/>
    <w:rsid w:val="00D770E5"/>
    <w:rsid w:val="00D77143"/>
    <w:rsid w:val="00D77223"/>
    <w:rsid w:val="00D77881"/>
    <w:rsid w:val="00D7790C"/>
    <w:rsid w:val="00D80DC1"/>
    <w:rsid w:val="00D80E5B"/>
    <w:rsid w:val="00D82441"/>
    <w:rsid w:val="00D8319E"/>
    <w:rsid w:val="00D8414E"/>
    <w:rsid w:val="00D8448C"/>
    <w:rsid w:val="00D84FA8"/>
    <w:rsid w:val="00D85D53"/>
    <w:rsid w:val="00D8619E"/>
    <w:rsid w:val="00D879C7"/>
    <w:rsid w:val="00D90E7A"/>
    <w:rsid w:val="00D9177F"/>
    <w:rsid w:val="00D93E45"/>
    <w:rsid w:val="00D9432C"/>
    <w:rsid w:val="00D979E7"/>
    <w:rsid w:val="00DA066D"/>
    <w:rsid w:val="00DA1044"/>
    <w:rsid w:val="00DA10FF"/>
    <w:rsid w:val="00DA16F6"/>
    <w:rsid w:val="00DA1ADA"/>
    <w:rsid w:val="00DA340E"/>
    <w:rsid w:val="00DA4A80"/>
    <w:rsid w:val="00DA59CA"/>
    <w:rsid w:val="00DA67BE"/>
    <w:rsid w:val="00DA6ACE"/>
    <w:rsid w:val="00DA7845"/>
    <w:rsid w:val="00DB04B0"/>
    <w:rsid w:val="00DB0FC1"/>
    <w:rsid w:val="00DB110F"/>
    <w:rsid w:val="00DB175E"/>
    <w:rsid w:val="00DB209B"/>
    <w:rsid w:val="00DB3686"/>
    <w:rsid w:val="00DB4FE6"/>
    <w:rsid w:val="00DB5538"/>
    <w:rsid w:val="00DB5565"/>
    <w:rsid w:val="00DB6196"/>
    <w:rsid w:val="00DB78F9"/>
    <w:rsid w:val="00DB7D44"/>
    <w:rsid w:val="00DC0DF9"/>
    <w:rsid w:val="00DC21B9"/>
    <w:rsid w:val="00DC37BD"/>
    <w:rsid w:val="00DC3862"/>
    <w:rsid w:val="00DC4571"/>
    <w:rsid w:val="00DC47CC"/>
    <w:rsid w:val="00DC610A"/>
    <w:rsid w:val="00DC68F5"/>
    <w:rsid w:val="00DD066D"/>
    <w:rsid w:val="00DD17B4"/>
    <w:rsid w:val="00DD355E"/>
    <w:rsid w:val="00DD550B"/>
    <w:rsid w:val="00DD5AD8"/>
    <w:rsid w:val="00DD5D3B"/>
    <w:rsid w:val="00DD70E8"/>
    <w:rsid w:val="00DD7B34"/>
    <w:rsid w:val="00DE0017"/>
    <w:rsid w:val="00DE1484"/>
    <w:rsid w:val="00DE349E"/>
    <w:rsid w:val="00DE41E6"/>
    <w:rsid w:val="00DE4CE8"/>
    <w:rsid w:val="00DE5C6D"/>
    <w:rsid w:val="00DE7515"/>
    <w:rsid w:val="00DE7A09"/>
    <w:rsid w:val="00DF1028"/>
    <w:rsid w:val="00DF1137"/>
    <w:rsid w:val="00DF195C"/>
    <w:rsid w:val="00DF2868"/>
    <w:rsid w:val="00DF2A4F"/>
    <w:rsid w:val="00DF2FC3"/>
    <w:rsid w:val="00DF3333"/>
    <w:rsid w:val="00DF3E97"/>
    <w:rsid w:val="00DF4482"/>
    <w:rsid w:val="00DF49C5"/>
    <w:rsid w:val="00DF5363"/>
    <w:rsid w:val="00DF5AF5"/>
    <w:rsid w:val="00DF78E1"/>
    <w:rsid w:val="00DF7CAA"/>
    <w:rsid w:val="00E0033D"/>
    <w:rsid w:val="00E009BF"/>
    <w:rsid w:val="00E03C5E"/>
    <w:rsid w:val="00E03D76"/>
    <w:rsid w:val="00E03DAC"/>
    <w:rsid w:val="00E0401A"/>
    <w:rsid w:val="00E0476B"/>
    <w:rsid w:val="00E053AF"/>
    <w:rsid w:val="00E07F06"/>
    <w:rsid w:val="00E11799"/>
    <w:rsid w:val="00E1180F"/>
    <w:rsid w:val="00E12146"/>
    <w:rsid w:val="00E136B4"/>
    <w:rsid w:val="00E160AC"/>
    <w:rsid w:val="00E20614"/>
    <w:rsid w:val="00E20AEE"/>
    <w:rsid w:val="00E216B3"/>
    <w:rsid w:val="00E22F77"/>
    <w:rsid w:val="00E24959"/>
    <w:rsid w:val="00E24E25"/>
    <w:rsid w:val="00E260D9"/>
    <w:rsid w:val="00E261D8"/>
    <w:rsid w:val="00E26BEA"/>
    <w:rsid w:val="00E26FD3"/>
    <w:rsid w:val="00E273E3"/>
    <w:rsid w:val="00E30C5A"/>
    <w:rsid w:val="00E316C6"/>
    <w:rsid w:val="00E31D69"/>
    <w:rsid w:val="00E32B89"/>
    <w:rsid w:val="00E33191"/>
    <w:rsid w:val="00E33EF2"/>
    <w:rsid w:val="00E35704"/>
    <w:rsid w:val="00E40344"/>
    <w:rsid w:val="00E41348"/>
    <w:rsid w:val="00E44329"/>
    <w:rsid w:val="00E44BA5"/>
    <w:rsid w:val="00E45EDA"/>
    <w:rsid w:val="00E51553"/>
    <w:rsid w:val="00E51BA7"/>
    <w:rsid w:val="00E51F9F"/>
    <w:rsid w:val="00E528C4"/>
    <w:rsid w:val="00E54C02"/>
    <w:rsid w:val="00E57D77"/>
    <w:rsid w:val="00E57ED1"/>
    <w:rsid w:val="00E6009E"/>
    <w:rsid w:val="00E61780"/>
    <w:rsid w:val="00E6198D"/>
    <w:rsid w:val="00E63B42"/>
    <w:rsid w:val="00E6437C"/>
    <w:rsid w:val="00E64A65"/>
    <w:rsid w:val="00E650AE"/>
    <w:rsid w:val="00E65DD7"/>
    <w:rsid w:val="00E6676D"/>
    <w:rsid w:val="00E66972"/>
    <w:rsid w:val="00E66BD3"/>
    <w:rsid w:val="00E6792A"/>
    <w:rsid w:val="00E70197"/>
    <w:rsid w:val="00E73A58"/>
    <w:rsid w:val="00E73E68"/>
    <w:rsid w:val="00E74600"/>
    <w:rsid w:val="00E76280"/>
    <w:rsid w:val="00E76E76"/>
    <w:rsid w:val="00E77038"/>
    <w:rsid w:val="00E77418"/>
    <w:rsid w:val="00E77C96"/>
    <w:rsid w:val="00E8204A"/>
    <w:rsid w:val="00E84D00"/>
    <w:rsid w:val="00E85E97"/>
    <w:rsid w:val="00E86181"/>
    <w:rsid w:val="00E86DA4"/>
    <w:rsid w:val="00E901A7"/>
    <w:rsid w:val="00E924D3"/>
    <w:rsid w:val="00E92590"/>
    <w:rsid w:val="00E92BF8"/>
    <w:rsid w:val="00E93466"/>
    <w:rsid w:val="00E9402D"/>
    <w:rsid w:val="00E947CE"/>
    <w:rsid w:val="00E95342"/>
    <w:rsid w:val="00E97625"/>
    <w:rsid w:val="00E97B26"/>
    <w:rsid w:val="00EA1A3A"/>
    <w:rsid w:val="00EA1B50"/>
    <w:rsid w:val="00EA2236"/>
    <w:rsid w:val="00EA3FA5"/>
    <w:rsid w:val="00EA5DC1"/>
    <w:rsid w:val="00EA7BC5"/>
    <w:rsid w:val="00EA7E00"/>
    <w:rsid w:val="00EB0751"/>
    <w:rsid w:val="00EB0978"/>
    <w:rsid w:val="00EB0BBD"/>
    <w:rsid w:val="00EB1A60"/>
    <w:rsid w:val="00EB3425"/>
    <w:rsid w:val="00EB5C8E"/>
    <w:rsid w:val="00EB64F5"/>
    <w:rsid w:val="00EB6BAF"/>
    <w:rsid w:val="00EB6E70"/>
    <w:rsid w:val="00EC01C8"/>
    <w:rsid w:val="00EC0A4F"/>
    <w:rsid w:val="00EC0B98"/>
    <w:rsid w:val="00EC1C4A"/>
    <w:rsid w:val="00EC389E"/>
    <w:rsid w:val="00EC501D"/>
    <w:rsid w:val="00EC59E9"/>
    <w:rsid w:val="00EC59F7"/>
    <w:rsid w:val="00EC6192"/>
    <w:rsid w:val="00EC6359"/>
    <w:rsid w:val="00ED001A"/>
    <w:rsid w:val="00ED013B"/>
    <w:rsid w:val="00ED0B64"/>
    <w:rsid w:val="00ED3027"/>
    <w:rsid w:val="00ED39D4"/>
    <w:rsid w:val="00ED4A7F"/>
    <w:rsid w:val="00ED50F4"/>
    <w:rsid w:val="00ED6ED8"/>
    <w:rsid w:val="00ED709C"/>
    <w:rsid w:val="00ED7880"/>
    <w:rsid w:val="00ED7F11"/>
    <w:rsid w:val="00EE05DB"/>
    <w:rsid w:val="00EE194C"/>
    <w:rsid w:val="00EE3D53"/>
    <w:rsid w:val="00EE5FE7"/>
    <w:rsid w:val="00EE6465"/>
    <w:rsid w:val="00EE6660"/>
    <w:rsid w:val="00EE7218"/>
    <w:rsid w:val="00EF1098"/>
    <w:rsid w:val="00EF23E9"/>
    <w:rsid w:val="00EF2961"/>
    <w:rsid w:val="00EF2CC9"/>
    <w:rsid w:val="00EF2D22"/>
    <w:rsid w:val="00EF3412"/>
    <w:rsid w:val="00EF36A8"/>
    <w:rsid w:val="00EF49F0"/>
    <w:rsid w:val="00EF57FF"/>
    <w:rsid w:val="00EF5B91"/>
    <w:rsid w:val="00EF7631"/>
    <w:rsid w:val="00F0262C"/>
    <w:rsid w:val="00F02DA3"/>
    <w:rsid w:val="00F0331C"/>
    <w:rsid w:val="00F03DF9"/>
    <w:rsid w:val="00F05507"/>
    <w:rsid w:val="00F05ACE"/>
    <w:rsid w:val="00F0648D"/>
    <w:rsid w:val="00F06550"/>
    <w:rsid w:val="00F06DA9"/>
    <w:rsid w:val="00F07903"/>
    <w:rsid w:val="00F07B95"/>
    <w:rsid w:val="00F07C8E"/>
    <w:rsid w:val="00F07E81"/>
    <w:rsid w:val="00F1011F"/>
    <w:rsid w:val="00F11EE6"/>
    <w:rsid w:val="00F122FD"/>
    <w:rsid w:val="00F13107"/>
    <w:rsid w:val="00F13468"/>
    <w:rsid w:val="00F13E81"/>
    <w:rsid w:val="00F14AA7"/>
    <w:rsid w:val="00F1564A"/>
    <w:rsid w:val="00F156C3"/>
    <w:rsid w:val="00F15E74"/>
    <w:rsid w:val="00F16485"/>
    <w:rsid w:val="00F20197"/>
    <w:rsid w:val="00F20F43"/>
    <w:rsid w:val="00F210F9"/>
    <w:rsid w:val="00F21DEF"/>
    <w:rsid w:val="00F22DB6"/>
    <w:rsid w:val="00F23904"/>
    <w:rsid w:val="00F23F1E"/>
    <w:rsid w:val="00F24972"/>
    <w:rsid w:val="00F24B4A"/>
    <w:rsid w:val="00F26109"/>
    <w:rsid w:val="00F26797"/>
    <w:rsid w:val="00F321A2"/>
    <w:rsid w:val="00F3305F"/>
    <w:rsid w:val="00F333D9"/>
    <w:rsid w:val="00F341FB"/>
    <w:rsid w:val="00F35991"/>
    <w:rsid w:val="00F368C8"/>
    <w:rsid w:val="00F3697E"/>
    <w:rsid w:val="00F36C0C"/>
    <w:rsid w:val="00F37934"/>
    <w:rsid w:val="00F41632"/>
    <w:rsid w:val="00F4391A"/>
    <w:rsid w:val="00F45956"/>
    <w:rsid w:val="00F4599F"/>
    <w:rsid w:val="00F500BC"/>
    <w:rsid w:val="00F51AF3"/>
    <w:rsid w:val="00F5224C"/>
    <w:rsid w:val="00F52697"/>
    <w:rsid w:val="00F5273F"/>
    <w:rsid w:val="00F53AF0"/>
    <w:rsid w:val="00F54418"/>
    <w:rsid w:val="00F54FA1"/>
    <w:rsid w:val="00F554B1"/>
    <w:rsid w:val="00F56D68"/>
    <w:rsid w:val="00F61438"/>
    <w:rsid w:val="00F617B2"/>
    <w:rsid w:val="00F62B58"/>
    <w:rsid w:val="00F63DE1"/>
    <w:rsid w:val="00F642F6"/>
    <w:rsid w:val="00F66198"/>
    <w:rsid w:val="00F74127"/>
    <w:rsid w:val="00F7623B"/>
    <w:rsid w:val="00F801AE"/>
    <w:rsid w:val="00F80BCB"/>
    <w:rsid w:val="00F81BAF"/>
    <w:rsid w:val="00F829F1"/>
    <w:rsid w:val="00F83821"/>
    <w:rsid w:val="00F83951"/>
    <w:rsid w:val="00F8419B"/>
    <w:rsid w:val="00F84343"/>
    <w:rsid w:val="00F86027"/>
    <w:rsid w:val="00F8613C"/>
    <w:rsid w:val="00F87EC7"/>
    <w:rsid w:val="00F90362"/>
    <w:rsid w:val="00F923BB"/>
    <w:rsid w:val="00F93126"/>
    <w:rsid w:val="00F9326A"/>
    <w:rsid w:val="00F937F9"/>
    <w:rsid w:val="00F942C7"/>
    <w:rsid w:val="00F944CC"/>
    <w:rsid w:val="00F95EEE"/>
    <w:rsid w:val="00F968BB"/>
    <w:rsid w:val="00FA0C30"/>
    <w:rsid w:val="00FA0C67"/>
    <w:rsid w:val="00FA16CA"/>
    <w:rsid w:val="00FA2BC9"/>
    <w:rsid w:val="00FA3463"/>
    <w:rsid w:val="00FA41C2"/>
    <w:rsid w:val="00FA5489"/>
    <w:rsid w:val="00FA581C"/>
    <w:rsid w:val="00FA6617"/>
    <w:rsid w:val="00FA6B76"/>
    <w:rsid w:val="00FA73EC"/>
    <w:rsid w:val="00FB20F6"/>
    <w:rsid w:val="00FB2FFC"/>
    <w:rsid w:val="00FB4458"/>
    <w:rsid w:val="00FB450C"/>
    <w:rsid w:val="00FB49C0"/>
    <w:rsid w:val="00FB4A0C"/>
    <w:rsid w:val="00FB4C26"/>
    <w:rsid w:val="00FB6019"/>
    <w:rsid w:val="00FB6E01"/>
    <w:rsid w:val="00FB746D"/>
    <w:rsid w:val="00FC06F9"/>
    <w:rsid w:val="00FC0DE1"/>
    <w:rsid w:val="00FC1C58"/>
    <w:rsid w:val="00FC345A"/>
    <w:rsid w:val="00FC3942"/>
    <w:rsid w:val="00FC4194"/>
    <w:rsid w:val="00FC4C4D"/>
    <w:rsid w:val="00FC5C0D"/>
    <w:rsid w:val="00FC6C46"/>
    <w:rsid w:val="00FC773F"/>
    <w:rsid w:val="00FD025D"/>
    <w:rsid w:val="00FD1A34"/>
    <w:rsid w:val="00FD2585"/>
    <w:rsid w:val="00FD44BE"/>
    <w:rsid w:val="00FD4559"/>
    <w:rsid w:val="00FD5ECC"/>
    <w:rsid w:val="00FD6E1E"/>
    <w:rsid w:val="00FD76C3"/>
    <w:rsid w:val="00FE00CB"/>
    <w:rsid w:val="00FE1505"/>
    <w:rsid w:val="00FE1CBC"/>
    <w:rsid w:val="00FE4312"/>
    <w:rsid w:val="00FE4385"/>
    <w:rsid w:val="00FE44F0"/>
    <w:rsid w:val="00FE4B70"/>
    <w:rsid w:val="00FE4B9B"/>
    <w:rsid w:val="00FE4D57"/>
    <w:rsid w:val="00FE58CD"/>
    <w:rsid w:val="00FE5D63"/>
    <w:rsid w:val="00FE71F5"/>
    <w:rsid w:val="00FE74AF"/>
    <w:rsid w:val="00FE79C3"/>
    <w:rsid w:val="00FF0865"/>
    <w:rsid w:val="00FF10F5"/>
    <w:rsid w:val="00FF33EF"/>
    <w:rsid w:val="00FF3641"/>
    <w:rsid w:val="00FF459F"/>
    <w:rsid w:val="00FF4BA7"/>
    <w:rsid w:val="00FF5098"/>
    <w:rsid w:val="00FF5E55"/>
    <w:rsid w:val="00FF77BE"/>
    <w:rsid w:val="3EAF0ED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C78D3BAF-934C-4C3D-B0C5-77444593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88"/>
    <w:pPr>
      <w:widowControl w:val="0"/>
    </w:pPr>
    <w:rPr>
      <w:snapToGrid w:val="0"/>
      <w:kern w:val="28"/>
      <w:sz w:val="22"/>
      <w:lang w:eastAsia="en-US"/>
    </w:rPr>
  </w:style>
  <w:style w:type="paragraph" w:styleId="Heading1">
    <w:name w:val="heading 1"/>
    <w:basedOn w:val="Normal"/>
    <w:next w:val="ParaNum"/>
    <w:link w:val="Heading1Char"/>
    <w:qFormat/>
    <w:rsid w:val="00186E8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86E88"/>
    <w:pPr>
      <w:keepNext/>
      <w:numPr>
        <w:ilvl w:val="1"/>
        <w:numId w:val="2"/>
      </w:numPr>
      <w:spacing w:after="120"/>
      <w:outlineLvl w:val="1"/>
    </w:pPr>
    <w:rPr>
      <w:b/>
    </w:rPr>
  </w:style>
  <w:style w:type="paragraph" w:styleId="Heading3">
    <w:name w:val="heading 3"/>
    <w:basedOn w:val="Normal"/>
    <w:next w:val="ParaNum"/>
    <w:link w:val="Heading3Char"/>
    <w:qFormat/>
    <w:rsid w:val="00186E8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86E8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86E8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86E8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86E8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86E8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86E8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6E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6E88"/>
  </w:style>
  <w:style w:type="character" w:customStyle="1" w:styleId="Heading1Char">
    <w:name w:val="Heading 1 Char"/>
    <w:link w:val="Heading1"/>
    <w:locked/>
    <w:rsid w:val="0011687C"/>
    <w:rPr>
      <w:rFonts w:ascii="Times New Roman Bold" w:hAnsi="Times New Roman Bold"/>
      <w:b/>
      <w:caps/>
      <w:snapToGrid w:val="0"/>
      <w:kern w:val="28"/>
      <w:sz w:val="22"/>
      <w:lang w:eastAsia="en-US"/>
    </w:rPr>
  </w:style>
  <w:style w:type="character" w:customStyle="1" w:styleId="Heading2Char">
    <w:name w:val="Heading 2 Char"/>
    <w:link w:val="Heading2"/>
    <w:locked/>
    <w:rsid w:val="007418D1"/>
    <w:rPr>
      <w:b/>
      <w:snapToGrid w:val="0"/>
      <w:kern w:val="28"/>
      <w:sz w:val="22"/>
      <w:lang w:eastAsia="en-US"/>
    </w:rPr>
  </w:style>
  <w:style w:type="character" w:customStyle="1" w:styleId="Heading3Char">
    <w:name w:val="Heading 3 Char"/>
    <w:link w:val="Heading3"/>
    <w:locked/>
    <w:rsid w:val="0011687C"/>
    <w:rPr>
      <w:b/>
      <w:snapToGrid w:val="0"/>
      <w:kern w:val="28"/>
      <w:sz w:val="22"/>
      <w:lang w:eastAsia="en-US"/>
    </w:rPr>
  </w:style>
  <w:style w:type="character" w:customStyle="1" w:styleId="Heading4Char">
    <w:name w:val="Heading 4 Char"/>
    <w:link w:val="Heading4"/>
    <w:locked/>
    <w:rsid w:val="0011687C"/>
    <w:rPr>
      <w:b/>
      <w:snapToGrid w:val="0"/>
      <w:kern w:val="28"/>
      <w:sz w:val="22"/>
      <w:lang w:eastAsia="en-US"/>
    </w:rPr>
  </w:style>
  <w:style w:type="character" w:customStyle="1" w:styleId="Heading5Char">
    <w:name w:val="Heading 5 Char"/>
    <w:link w:val="Heading5"/>
    <w:locked/>
    <w:rsid w:val="0011687C"/>
    <w:rPr>
      <w:b/>
      <w:snapToGrid w:val="0"/>
      <w:kern w:val="28"/>
      <w:sz w:val="22"/>
      <w:lang w:eastAsia="en-US"/>
    </w:rPr>
  </w:style>
  <w:style w:type="character" w:customStyle="1" w:styleId="Heading6Char">
    <w:name w:val="Heading 6 Char"/>
    <w:link w:val="Heading6"/>
    <w:locked/>
    <w:rsid w:val="0011687C"/>
    <w:rPr>
      <w:b/>
      <w:snapToGrid w:val="0"/>
      <w:kern w:val="28"/>
      <w:sz w:val="22"/>
      <w:lang w:eastAsia="en-US"/>
    </w:rPr>
  </w:style>
  <w:style w:type="character" w:customStyle="1" w:styleId="Heading7Char">
    <w:name w:val="Heading 7 Char"/>
    <w:link w:val="Heading7"/>
    <w:locked/>
    <w:rsid w:val="0011687C"/>
    <w:rPr>
      <w:b/>
      <w:snapToGrid w:val="0"/>
      <w:kern w:val="28"/>
      <w:sz w:val="22"/>
      <w:lang w:eastAsia="en-US"/>
    </w:rPr>
  </w:style>
  <w:style w:type="character" w:customStyle="1" w:styleId="Heading8Char">
    <w:name w:val="Heading 8 Char"/>
    <w:link w:val="Heading8"/>
    <w:locked/>
    <w:rsid w:val="0011687C"/>
    <w:rPr>
      <w:b/>
      <w:snapToGrid w:val="0"/>
      <w:kern w:val="28"/>
      <w:sz w:val="22"/>
      <w:lang w:eastAsia="en-US"/>
    </w:rPr>
  </w:style>
  <w:style w:type="character" w:customStyle="1" w:styleId="Heading9Char">
    <w:name w:val="Heading 9 Char"/>
    <w:link w:val="Heading9"/>
    <w:locked/>
    <w:rsid w:val="0011687C"/>
    <w:rPr>
      <w:b/>
      <w:snapToGrid w:val="0"/>
      <w:kern w:val="28"/>
      <w:sz w:val="22"/>
      <w:lang w:eastAsia="en-US"/>
    </w:rPr>
  </w:style>
  <w:style w:type="paragraph" w:styleId="BalloonText">
    <w:name w:val="Balloon Text"/>
    <w:basedOn w:val="Normal"/>
    <w:link w:val="BalloonTextChar"/>
    <w:uiPriority w:val="99"/>
    <w:semiHidden/>
    <w:rsid w:val="009B2C59"/>
    <w:rPr>
      <w:rFonts w:ascii="Tahoma" w:hAnsi="Tahoma" w:cs="Tahoma"/>
      <w:snapToGrid/>
      <w:sz w:val="16"/>
      <w:szCs w:val="16"/>
    </w:rPr>
  </w:style>
  <w:style w:type="character" w:customStyle="1" w:styleId="BalloonTextChar">
    <w:name w:val="Balloon Text Char"/>
    <w:link w:val="BalloonText"/>
    <w:uiPriority w:val="99"/>
    <w:semiHidden/>
    <w:locked/>
    <w:rsid w:val="0011687C"/>
    <w:rPr>
      <w:rFonts w:cs="Times New Roman"/>
      <w:kern w:val="28"/>
      <w:sz w:val="2"/>
    </w:rPr>
  </w:style>
  <w:style w:type="paragraph" w:customStyle="1" w:styleId="ParaNum">
    <w:name w:val="ParaNum"/>
    <w:basedOn w:val="Normal"/>
    <w:link w:val="ParaNumChar"/>
    <w:rsid w:val="00186E88"/>
    <w:pPr>
      <w:numPr>
        <w:numId w:val="1"/>
      </w:numPr>
      <w:tabs>
        <w:tab w:val="clear" w:pos="1080"/>
        <w:tab w:val="num" w:pos="1440"/>
      </w:tabs>
      <w:spacing w:after="120"/>
    </w:pPr>
  </w:style>
  <w:style w:type="paragraph" w:styleId="EndnoteText">
    <w:name w:val="endnote text"/>
    <w:basedOn w:val="Normal"/>
    <w:link w:val="EndnoteTextChar"/>
    <w:semiHidden/>
    <w:rsid w:val="00186E88"/>
    <w:rPr>
      <w:sz w:val="20"/>
    </w:rPr>
  </w:style>
  <w:style w:type="character" w:customStyle="1" w:styleId="EndnoteTextChar">
    <w:name w:val="Endnote Text Char"/>
    <w:link w:val="EndnoteText"/>
    <w:semiHidden/>
    <w:locked/>
    <w:rsid w:val="0011687C"/>
    <w:rPr>
      <w:snapToGrid w:val="0"/>
      <w:kern w:val="28"/>
      <w:lang w:eastAsia="en-US"/>
    </w:rPr>
  </w:style>
  <w:style w:type="character" w:styleId="EndnoteReference">
    <w:name w:val="endnote reference"/>
    <w:semiHidden/>
    <w:rsid w:val="00186E88"/>
    <w:rPr>
      <w:vertAlign w:val="superscript"/>
    </w:rPr>
  </w:style>
  <w:style w:type="paragraph" w:styleId="FootnoteText">
    <w:name w:val="footnote text"/>
    <w:aliases w:val="Foo... + Italic,Footnote Text Char Char,Footnote Text Char1"/>
    <w:link w:val="FootnoteTextChar"/>
    <w:rsid w:val="00186E88"/>
    <w:pPr>
      <w:spacing w:after="120"/>
    </w:pPr>
    <w:rPr>
      <w:lang w:eastAsia="en-US"/>
    </w:rPr>
  </w:style>
  <w:style w:type="character" w:customStyle="1" w:styleId="FootnoteTextChar">
    <w:name w:val="Footnote Text Char"/>
    <w:aliases w:val="Foo... + Italic Char,Footnote Text Char Char Char,Footnote Text Char1 Char"/>
    <w:link w:val="FootnoteText"/>
    <w:locked/>
    <w:rsid w:val="009B2C59"/>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86E88"/>
    <w:rPr>
      <w:rFonts w:ascii="Times New Roman" w:hAnsi="Times New Roman"/>
      <w:dstrike w:val="0"/>
      <w:color w:val="auto"/>
      <w:sz w:val="20"/>
      <w:vertAlign w:val="superscript"/>
    </w:rPr>
  </w:style>
  <w:style w:type="paragraph" w:styleId="TOC1">
    <w:name w:val="toc 1"/>
    <w:basedOn w:val="Normal"/>
    <w:next w:val="Normal"/>
    <w:rsid w:val="00186E88"/>
    <w:pPr>
      <w:tabs>
        <w:tab w:val="left" w:pos="360"/>
        <w:tab w:val="right" w:leader="dot" w:pos="9360"/>
      </w:tabs>
      <w:suppressAutoHyphens/>
      <w:ind w:left="360" w:right="720" w:hanging="360"/>
    </w:pPr>
    <w:rPr>
      <w:caps/>
      <w:noProof/>
    </w:rPr>
  </w:style>
  <w:style w:type="paragraph" w:styleId="TOC2">
    <w:name w:val="toc 2"/>
    <w:basedOn w:val="Normal"/>
    <w:next w:val="Normal"/>
    <w:rsid w:val="00186E88"/>
    <w:pPr>
      <w:tabs>
        <w:tab w:val="left" w:pos="720"/>
        <w:tab w:val="right" w:leader="dot" w:pos="9360"/>
      </w:tabs>
      <w:suppressAutoHyphens/>
      <w:ind w:left="720" w:right="720" w:hanging="360"/>
    </w:pPr>
    <w:rPr>
      <w:noProof/>
    </w:rPr>
  </w:style>
  <w:style w:type="paragraph" w:styleId="TOC3">
    <w:name w:val="toc 3"/>
    <w:basedOn w:val="Normal"/>
    <w:next w:val="Normal"/>
    <w:rsid w:val="00186E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86E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86E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6E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6E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6E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6E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6E88"/>
    <w:pPr>
      <w:tabs>
        <w:tab w:val="right" w:pos="9360"/>
      </w:tabs>
      <w:suppressAutoHyphens/>
    </w:pPr>
  </w:style>
  <w:style w:type="character" w:customStyle="1" w:styleId="EquationCaption">
    <w:name w:val="_Equation Caption"/>
    <w:rsid w:val="00186E88"/>
  </w:style>
  <w:style w:type="paragraph" w:styleId="Header">
    <w:name w:val="header"/>
    <w:basedOn w:val="Normal"/>
    <w:link w:val="HeaderChar"/>
    <w:autoRedefine/>
    <w:rsid w:val="00186E88"/>
    <w:pPr>
      <w:tabs>
        <w:tab w:val="center" w:pos="4680"/>
        <w:tab w:val="right" w:pos="9360"/>
      </w:tabs>
    </w:pPr>
    <w:rPr>
      <w:b/>
    </w:rPr>
  </w:style>
  <w:style w:type="character" w:customStyle="1" w:styleId="HeaderChar">
    <w:name w:val="Header Char"/>
    <w:link w:val="Header"/>
    <w:locked/>
    <w:rsid w:val="00D51827"/>
    <w:rPr>
      <w:b/>
      <w:snapToGrid w:val="0"/>
      <w:kern w:val="28"/>
      <w:sz w:val="22"/>
      <w:lang w:eastAsia="en-US"/>
    </w:rPr>
  </w:style>
  <w:style w:type="paragraph" w:styleId="Footer">
    <w:name w:val="footer"/>
    <w:basedOn w:val="Normal"/>
    <w:link w:val="FooterChar"/>
    <w:uiPriority w:val="99"/>
    <w:rsid w:val="00186E88"/>
    <w:pPr>
      <w:tabs>
        <w:tab w:val="center" w:pos="4320"/>
        <w:tab w:val="right" w:pos="8640"/>
      </w:tabs>
    </w:pPr>
  </w:style>
  <w:style w:type="character" w:customStyle="1" w:styleId="FooterChar">
    <w:name w:val="Footer Char"/>
    <w:link w:val="Footer"/>
    <w:uiPriority w:val="99"/>
    <w:locked/>
    <w:rsid w:val="00186E88"/>
    <w:rPr>
      <w:snapToGrid w:val="0"/>
      <w:kern w:val="28"/>
      <w:sz w:val="22"/>
      <w:lang w:eastAsia="en-US"/>
    </w:rPr>
  </w:style>
  <w:style w:type="character" w:styleId="PageNumber">
    <w:name w:val="page number"/>
    <w:basedOn w:val="DefaultParagraphFont"/>
    <w:rsid w:val="00186E88"/>
  </w:style>
  <w:style w:type="paragraph" w:styleId="BlockText">
    <w:name w:val="Block Text"/>
    <w:basedOn w:val="Normal"/>
    <w:rsid w:val="00186E88"/>
    <w:pPr>
      <w:spacing w:after="240"/>
      <w:ind w:left="1440" w:right="1440"/>
    </w:pPr>
  </w:style>
  <w:style w:type="paragraph" w:customStyle="1" w:styleId="Paratitle">
    <w:name w:val="Para title"/>
    <w:basedOn w:val="Normal"/>
    <w:rsid w:val="00186E88"/>
    <w:pPr>
      <w:tabs>
        <w:tab w:val="center" w:pos="9270"/>
      </w:tabs>
      <w:spacing w:after="240"/>
    </w:pPr>
    <w:rPr>
      <w:spacing w:val="-2"/>
    </w:rPr>
  </w:style>
  <w:style w:type="paragraph" w:customStyle="1" w:styleId="Bullet">
    <w:name w:val="Bullet"/>
    <w:basedOn w:val="Normal"/>
    <w:rsid w:val="00186E88"/>
    <w:pPr>
      <w:tabs>
        <w:tab w:val="left" w:pos="2160"/>
      </w:tabs>
      <w:spacing w:after="220"/>
      <w:ind w:left="2160" w:hanging="720"/>
    </w:pPr>
  </w:style>
  <w:style w:type="paragraph" w:customStyle="1" w:styleId="TableFormat">
    <w:name w:val="TableFormat"/>
    <w:basedOn w:val="Bullet"/>
    <w:rsid w:val="00186E88"/>
    <w:pPr>
      <w:tabs>
        <w:tab w:val="clear" w:pos="2160"/>
        <w:tab w:val="left" w:pos="5040"/>
      </w:tabs>
      <w:ind w:left="5040" w:hanging="3600"/>
    </w:pPr>
  </w:style>
  <w:style w:type="paragraph" w:customStyle="1" w:styleId="TOCTitle">
    <w:name w:val="TOC Title"/>
    <w:basedOn w:val="Normal"/>
    <w:rsid w:val="00186E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6E88"/>
    <w:pPr>
      <w:jc w:val="center"/>
    </w:pPr>
    <w:rPr>
      <w:rFonts w:ascii="Times New Roman Bold" w:hAnsi="Times New Roman Bold"/>
      <w:b/>
      <w:bCs/>
      <w:caps/>
      <w:szCs w:val="22"/>
    </w:rPr>
  </w:style>
  <w:style w:type="character" w:styleId="Hyperlink">
    <w:name w:val="Hyperlink"/>
    <w:rsid w:val="00186E88"/>
    <w:rPr>
      <w:color w:val="0000FF"/>
      <w:u w:val="single"/>
    </w:rPr>
  </w:style>
  <w:style w:type="character" w:styleId="FollowedHyperlink">
    <w:name w:val="FollowedHyperlink"/>
    <w:uiPriority w:val="99"/>
    <w:rsid w:val="009B2C59"/>
    <w:rPr>
      <w:rFonts w:cs="Times New Roman"/>
      <w:color w:val="800080"/>
      <w:u w:val="single"/>
    </w:rPr>
  </w:style>
  <w:style w:type="character" w:customStyle="1" w:styleId="ParaNumChar">
    <w:name w:val="ParaNum Char"/>
    <w:link w:val="ParaNum"/>
    <w:locked/>
    <w:rsid w:val="00226191"/>
    <w:rPr>
      <w:snapToGrid w:val="0"/>
      <w:kern w:val="28"/>
      <w:sz w:val="22"/>
      <w:lang w:eastAsia="en-US"/>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uiPriority w:val="99"/>
    <w:rsid w:val="009B2C59"/>
    <w:rPr>
      <w:rFonts w:cs="Times New Roman"/>
    </w:rPr>
  </w:style>
  <w:style w:type="character" w:customStyle="1" w:styleId="searchterm">
    <w:name w:val="searchterm"/>
    <w:uiPriority w:val="99"/>
    <w:rsid w:val="009B2C59"/>
    <w:rPr>
      <w:rFonts w:cs="Times New Roman"/>
    </w:rPr>
  </w:style>
  <w:style w:type="character" w:styleId="CommentReference">
    <w:name w:val="annotation reference"/>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style>
  <w:style w:type="paragraph" w:customStyle="1" w:styleId="par1">
    <w:name w:val="par1"/>
    <w:basedOn w:val="Normal"/>
    <w:link w:val="par1Char"/>
    <w:uiPriority w:val="99"/>
    <w:rsid w:val="003343CA"/>
    <w:pPr>
      <w:numPr>
        <w:numId w:val="3"/>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 w:val="22"/>
      <w:lang w:eastAsia="en-US"/>
    </w:rPr>
  </w:style>
  <w:style w:type="character" w:customStyle="1" w:styleId="FootnoteTextChar1CharCharCharCharCharChar">
    <w:name w:val="Footnote Text Char1 Char Char Char Char Char Char"/>
    <w:aliases w:val="Styl Char,Style 5 Char Char Char,fn Char,ft Char,rrfootnote Char Char Char"/>
    <w:locked/>
    <w:rsid w:val="00931449"/>
  </w:style>
  <w:style w:type="character" w:customStyle="1" w:styleId="UnresolvedMention">
    <w:name w:val="Unresolved Mention"/>
    <w:uiPriority w:val="99"/>
    <w:semiHidden/>
    <w:unhideWhenUsed/>
    <w:rsid w:val="00CA24DD"/>
    <w:rPr>
      <w:color w:val="605E5C"/>
      <w:shd w:val="clear" w:color="auto" w:fill="E1DFDD"/>
    </w:rPr>
  </w:style>
  <w:style w:type="character" w:styleId="Emphasis">
    <w:name w:val="Emphasis"/>
    <w:uiPriority w:val="20"/>
    <w:qFormat/>
    <w:locked/>
    <w:rsid w:val="00B66308"/>
    <w:rPr>
      <w:i/>
      <w:iCs/>
    </w:rPr>
  </w:style>
  <w:style w:type="character" w:customStyle="1" w:styleId="cosearchterm">
    <w:name w:val="co_searchterm"/>
    <w:basedOn w:val="DefaultParagraphFont"/>
    <w:rsid w:val="00C16B62"/>
  </w:style>
  <w:style w:type="character" w:customStyle="1" w:styleId="costarpage">
    <w:name w:val="co_starpage"/>
    <w:basedOn w:val="DefaultParagraphFont"/>
    <w:rsid w:val="003532BA"/>
  </w:style>
  <w:style w:type="character" w:customStyle="1" w:styleId="item-value">
    <w:name w:val="item-value"/>
    <w:basedOn w:val="DefaultParagraphFont"/>
    <w:rsid w:val="005D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FeeFiler/login.cfm" TargetMode="External" /><Relationship Id="rId11" Type="http://schemas.openxmlformats.org/officeDocument/2006/relationships/hyperlink" Target="mailto:ARINQUIRIES@fcc.gov" TargetMode="External" /><Relationship Id="rId12" Type="http://schemas.microsoft.com/office/2007/relationships/diagramDrawing" Target="diagrams/drawing1.xml" /><Relationship Id="rId13" Type="http://schemas.openxmlformats.org/officeDocument/2006/relationships/diagramData" Target="diagrams/data1.xml" /><Relationship Id="rId14" Type="http://schemas.openxmlformats.org/officeDocument/2006/relationships/diagramLayout" Target="diagrams/layout1.xml" /><Relationship Id="rId15" Type="http://schemas.openxmlformats.org/officeDocument/2006/relationships/diagramQuickStyle" Target="diagrams/quickStyle1.xml" /><Relationship Id="rId16" Type="http://schemas.openxmlformats.org/officeDocument/2006/relationships/diagramColors" Target="diagrams/colors1.xm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 TargetMode="External" /><Relationship Id="rId6" Type="http://schemas.openxmlformats.org/officeDocument/2006/relationships/hyperlink" Target="mailto:Christopher.Sova@fcc.gov" TargetMode="External" /><Relationship Id="rId7" Type="http://schemas.openxmlformats.org/officeDocument/2006/relationships/hyperlink" Target="mailto:Frederick.Giroux@fcc.gov" TargetMode="External" /><Relationship Id="rId8" Type="http://schemas.openxmlformats.org/officeDocument/2006/relationships/hyperlink" Target="mailto:RROGWireFaxes@fcc.gov" TargetMode="External" /><Relationship Id="rId9" Type="http://schemas.openxmlformats.org/officeDocument/2006/relationships/hyperlink" Target="https://www.fcc.gov/licensing-databases/fees/wire-transfer"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insideradio.com/emerging-from-chapter-11-cumulus-turns-page-on-new-chapter/article_b6193d3c-6882-11e8-85d1-0b7d91a4acdb.html?utm_medium=social&amp;utm_source=email&amp;utm_campaign=user-share" TargetMode="External" /><Relationship Id="rId2" Type="http://schemas.openxmlformats.org/officeDocument/2006/relationships/hyperlink" Target="https://www.rollingstone.com/music/music-features/radio-stations-hit-pay-for-play-867825/" TargetMode="External" /><Relationship Id="rId3" Type="http://schemas.openxmlformats.org/officeDocument/2006/relationships/hyperlink" Target="http://www.westlaw.com/Link/Document/FullText?findType=Y&amp;serNum=1999289283&amp;pubNum=0004493&amp;originatingDoc=Iaad0368db9a311e99b14f2ee541cf11a&amp;refType=CA&amp;originationContext=document&amp;vr=3.0&amp;rs=cblt1.0&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70015A-6122-4D36-B84B-B470728F8AF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7769DD47-BBAB-449B-8C33-D38E46220151}">
      <dgm:prSet phldrT="[Text]" custT="1"/>
      <dgm:spPr>
        <a:xfrm>
          <a:off x="1847029" y="931431"/>
          <a:ext cx="2312729" cy="407674"/>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lntermediate Holdings, Inc.</a:t>
          </a:r>
        </a:p>
      </dgm:t>
    </dgm:pt>
    <dgm:pt modelId="{5922E306-F28A-4F4E-AED1-A942B67CD9CD}" type="parTrans" cxnId="{6367FFD6-0CD7-4432-9FE2-2CE0AFC5825E}">
      <dgm:prSet/>
      <dgm:spPr>
        <a:xfrm>
          <a:off x="2957674" y="639292"/>
          <a:ext cx="91440" cy="292138"/>
        </a:xfrm>
        <a:custGeom>
          <a:avLst/>
          <a:gdLst/>
          <a:rect l="0" t="0" r="0" b="0"/>
          <a:pathLst>
            <a:path fill="norm" stroke="1">
              <a:moveTo>
                <a:pt x="47061" y="0"/>
              </a:moveTo>
              <a:lnTo>
                <a:pt x="47061" y="233193"/>
              </a:lnTo>
              <a:lnTo>
                <a:pt x="45720" y="233193"/>
              </a:lnTo>
              <a:lnTo>
                <a:pt x="45720" y="292138"/>
              </a:lnTo>
            </a:path>
          </a:pathLst>
        </a:custGeom>
        <a:noFill/>
        <a:ln w="12700">
          <a:solidFill>
            <a:sysClr val="windowText" lastClr="000000">
              <a:shade val="60000"/>
              <a:hueOff val="0"/>
              <a:satOff val="0"/>
              <a:lumOff val="0"/>
              <a:alphaOff val="0"/>
            </a:sysClr>
          </a:solidFill>
          <a:prstDash val="solid"/>
          <a:miter lim="800000"/>
        </a:ln>
        <a:effectLst/>
      </dgm:spPr>
      <dgm:t>
        <a:bodyPr/>
        <a:lstStyle/>
        <a:p>
          <a:endParaRPr lang="en-US"/>
        </a:p>
      </dgm:t>
    </dgm:pt>
    <dgm:pt modelId="{84880A34-87BB-4BDC-BE04-BEDFAE6B4644}" type="sibTrans" cxnId="{6367FFD6-0CD7-4432-9FE2-2CE0AFC5825E}">
      <dgm:prSet/>
      <dgm:spPr/>
      <dgm:t>
        <a:bodyPr/>
        <a:lstStyle/>
        <a:p>
          <a:endParaRPr lang="en-US"/>
        </a:p>
      </dgm:t>
    </dgm:pt>
    <dgm:pt modelId="{509C5E86-1302-400A-B47A-5C9245B72448}" type="asst">
      <dgm:prSet phldrT="[Text]" custT="1"/>
      <dgm:spPr>
        <a:xfrm>
          <a:off x="1049193" y="1732116"/>
          <a:ext cx="1503785" cy="607302"/>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Radio LLC, </a:t>
          </a:r>
        </a:p>
        <a:p>
          <a:pPr>
            <a:spcAft>
              <a:spcPct val="35000"/>
            </a:spcAft>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f/k/a Cumulus Radio Corporation</a:t>
          </a:r>
        </a:p>
      </dgm:t>
    </dgm:pt>
    <dgm:pt modelId="{2B4F1941-5B91-4DAD-A1B0-8F3284F573C9}" type="parTrans" cxnId="{395F4ED5-3FB8-468E-A7AB-23E72953AEC2}">
      <dgm:prSet/>
      <dgm:spPr>
        <a:xfrm>
          <a:off x="2552979" y="1339105"/>
          <a:ext cx="450415" cy="696662"/>
        </a:xfrm>
        <a:custGeom>
          <a:avLst/>
          <a:gdLst/>
          <a:rect l="0" t="0" r="0" b="0"/>
          <a:pathLst>
            <a:path fill="norm" stroke="1">
              <a:moveTo>
                <a:pt x="450415" y="0"/>
              </a:moveTo>
              <a:lnTo>
                <a:pt x="450415" y="696662"/>
              </a:lnTo>
              <a:lnTo>
                <a:pt x="0" y="696662"/>
              </a:lnTo>
            </a:path>
          </a:pathLst>
        </a:custGeom>
        <a:noFill/>
        <a:ln w="12700">
          <a:solidFill>
            <a:sysClr val="windowText" lastClr="000000">
              <a:shade val="80000"/>
              <a:hueOff val="0"/>
              <a:satOff val="0"/>
              <a:lumOff val="0"/>
              <a:alphaOff val="0"/>
            </a:sysClr>
          </a:solidFill>
          <a:prstDash val="solid"/>
          <a:miter lim="800000"/>
        </a:ln>
        <a:effectLst/>
      </dgm:spPr>
      <dgm:t>
        <a:bodyPr/>
        <a:lstStyle/>
        <a:p>
          <a:endParaRPr lang="en-US"/>
        </a:p>
      </dgm:t>
    </dgm:pt>
    <dgm:pt modelId="{1A1A3D3A-9279-45FC-84AB-8BA6C83BE0D2}" type="sibTrans" cxnId="{395F4ED5-3FB8-468E-A7AB-23E72953AEC2}">
      <dgm:prSet/>
      <dgm:spPr/>
      <dgm:t>
        <a:bodyPr/>
        <a:lstStyle/>
        <a:p>
          <a:endParaRPr lang="en-US"/>
        </a:p>
      </dgm:t>
    </dgm:pt>
    <dgm:pt modelId="{4788495C-5FAE-41B2-BFBB-14128C188BA5}">
      <dgm:prSet custT="1"/>
      <dgm:spPr>
        <a:xfrm>
          <a:off x="2155709" y="304808"/>
          <a:ext cx="1698052" cy="334484"/>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Media, Inc.</a:t>
          </a:r>
        </a:p>
      </dgm:t>
    </dgm:pt>
    <dgm:pt modelId="{476F969E-56FC-4B02-AB3D-381AB02C59BF}" type="parTrans" cxnId="{1CFF0E7A-9721-4C02-BC0B-B2E1242F9D03}">
      <dgm:prSet/>
      <dgm:spPr/>
      <dgm:t>
        <a:bodyPr/>
        <a:lstStyle/>
        <a:p>
          <a:endParaRPr lang="en-US"/>
        </a:p>
      </dgm:t>
    </dgm:pt>
    <dgm:pt modelId="{389EB641-7A1A-456A-A07E-021D53620F17}" type="sibTrans" cxnId="{1CFF0E7A-9721-4C02-BC0B-B2E1242F9D03}">
      <dgm:prSet/>
      <dgm:spPr/>
      <dgm:t>
        <a:bodyPr/>
        <a:lstStyle/>
        <a:p>
          <a:endParaRPr lang="en-US"/>
        </a:p>
      </dgm:t>
    </dgm:pt>
    <dgm:pt modelId="{13B27486-60C1-47AF-BB60-FEA08FA8FADE}" type="asst">
      <dgm:prSet custT="1"/>
      <dgm:spPr>
        <a:xfrm>
          <a:off x="4015986" y="1823162"/>
          <a:ext cx="1859776" cy="427912"/>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Network Holdings Inc.</a:t>
          </a:r>
        </a:p>
      </dgm:t>
    </dgm:pt>
    <dgm:pt modelId="{10642A41-F47B-49E8-A2D8-67B8716E563E}" type="parTrans" cxnId="{49662C8F-480B-425D-BE94-26D1BDBE890E}">
      <dgm:prSet/>
      <dgm:spPr>
        <a:xfrm>
          <a:off x="3003394" y="1339105"/>
          <a:ext cx="1012591" cy="698012"/>
        </a:xfrm>
        <a:custGeom>
          <a:avLst/>
          <a:gdLst/>
          <a:rect l="0" t="0" r="0" b="0"/>
          <a:pathLst>
            <a:path fill="norm" stroke="1">
              <a:moveTo>
                <a:pt x="0" y="0"/>
              </a:moveTo>
              <a:lnTo>
                <a:pt x="0" y="698012"/>
              </a:lnTo>
              <a:lnTo>
                <a:pt x="1012591" y="698012"/>
              </a:lnTo>
            </a:path>
          </a:pathLst>
        </a:custGeom>
        <a:noFill/>
        <a:ln w="12700">
          <a:solidFill>
            <a:sysClr val="windowText" lastClr="000000">
              <a:shade val="80000"/>
              <a:hueOff val="0"/>
              <a:satOff val="0"/>
              <a:lumOff val="0"/>
              <a:alphaOff val="0"/>
            </a:sysClr>
          </a:solidFill>
          <a:prstDash val="solid"/>
          <a:miter lim="800000"/>
        </a:ln>
        <a:effectLst/>
      </dgm:spPr>
      <dgm:t>
        <a:bodyPr/>
        <a:lstStyle/>
        <a:p>
          <a:endParaRPr lang="en-US"/>
        </a:p>
      </dgm:t>
    </dgm:pt>
    <dgm:pt modelId="{C6270E5F-9ED2-4655-B711-2B4DF0CF1261}" type="sibTrans" cxnId="{49662C8F-480B-425D-BE94-26D1BDBE890E}">
      <dgm:prSet/>
      <dgm:spPr/>
      <dgm:t>
        <a:bodyPr/>
        <a:lstStyle/>
        <a:p>
          <a:endParaRPr lang="en-US"/>
        </a:p>
      </dgm:t>
    </dgm:pt>
    <dgm:pt modelId="{61050F1C-6FA3-41CB-B0FE-2353C5E754B8}">
      <dgm:prSet custT="1"/>
      <dgm:spPr>
        <a:xfrm>
          <a:off x="65339" y="2572658"/>
          <a:ext cx="2060246" cy="867125"/>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gm:spPr>
      <dgm:t>
        <a:bodyPr/>
        <a:lstStyle/>
        <a:p>
          <a:pPr algn="ctr">
            <a:spcAft>
              <a:spcPts val="600"/>
            </a:spcAft>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*Radio License Holding CBC, LLC</a:t>
          </a:r>
        </a:p>
        <a:p>
          <a:pPr algn="ct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Licensee of: </a:t>
          </a:r>
        </a:p>
        <a:p>
          <a:pPr algn="ct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WFBE, Flint, MI </a:t>
          </a:r>
        </a:p>
        <a:p>
          <a:pPr algn="ct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WTRX, Flint, MI</a:t>
          </a:r>
        </a:p>
      </dgm:t>
    </dgm:pt>
    <dgm:pt modelId="{A14454E8-EC5C-431B-AEB8-8FE4881AFD1D}" type="parTrans" cxnId="{9661DEE8-401C-484C-859F-3B9D0DA62ED8}">
      <dgm:prSet/>
      <dgm:spPr>
        <a:xfrm>
          <a:off x="1095462" y="2339419"/>
          <a:ext cx="705623" cy="233238"/>
        </a:xfrm>
        <a:custGeom>
          <a:avLst/>
          <a:gdLst/>
          <a:rect l="0" t="0" r="0" b="0"/>
          <a:pathLst>
            <a:path fill="norm" stroke="1">
              <a:moveTo>
                <a:pt x="705623" y="0"/>
              </a:moveTo>
              <a:lnTo>
                <a:pt x="705623" y="174292"/>
              </a:lnTo>
              <a:lnTo>
                <a:pt x="0" y="174292"/>
              </a:lnTo>
              <a:lnTo>
                <a:pt x="0" y="233238"/>
              </a:lnTo>
            </a:path>
          </a:pathLst>
        </a:custGeom>
        <a:noFill/>
        <a:ln w="12700">
          <a:solidFill>
            <a:sysClr val="windowText" lastClr="000000">
              <a:shade val="80000"/>
              <a:hueOff val="0"/>
              <a:satOff val="0"/>
              <a:lumOff val="0"/>
              <a:alphaOff val="0"/>
            </a:sysClr>
          </a:solidFill>
          <a:prstDash val="solid"/>
          <a:miter lim="800000"/>
        </a:ln>
        <a:effectLst/>
      </dgm:spPr>
      <dgm:t>
        <a:bodyPr/>
        <a:lstStyle/>
        <a:p>
          <a:endParaRPr lang="en-US"/>
        </a:p>
      </dgm:t>
    </dgm:pt>
    <dgm:pt modelId="{48A9FF64-E76B-49AB-97DF-4EE134879395}" type="sibTrans" cxnId="{9661DEE8-401C-484C-859F-3B9D0DA62ED8}">
      <dgm:prSet/>
      <dgm:spPr/>
      <dgm:t>
        <a:bodyPr/>
        <a:lstStyle/>
        <a:p>
          <a:endParaRPr lang="en-US"/>
        </a:p>
      </dgm:t>
    </dgm:pt>
    <dgm:pt modelId="{13DC7861-B6F9-4887-8A2C-D4526E757296}">
      <dgm:prSet custT="1"/>
      <dgm:spPr>
        <a:xfrm>
          <a:off x="2193665" y="2582737"/>
          <a:ext cx="1669624" cy="464747"/>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Broadcasting, LLC</a:t>
          </a:r>
        </a:p>
      </dgm:t>
    </dgm:pt>
    <dgm:pt modelId="{37FE89F7-5CFF-42F4-8F12-436B1FB0D2B0}" type="parTrans" cxnId="{5C9E5ECD-6BA4-414D-BBFE-59CD3E5AC3C3}">
      <dgm:prSet/>
      <dgm:spPr>
        <a:xfrm>
          <a:off x="1801086" y="2339419"/>
          <a:ext cx="1227391" cy="243318"/>
        </a:xfrm>
        <a:custGeom>
          <a:avLst/>
          <a:gdLst/>
          <a:rect l="0" t="0" r="0" b="0"/>
          <a:pathLst>
            <a:path fill="norm" stroke="1">
              <a:moveTo>
                <a:pt x="0" y="0"/>
              </a:moveTo>
              <a:lnTo>
                <a:pt x="0" y="184372"/>
              </a:lnTo>
              <a:lnTo>
                <a:pt x="1227391" y="184372"/>
              </a:lnTo>
              <a:lnTo>
                <a:pt x="1227391" y="243318"/>
              </a:lnTo>
            </a:path>
          </a:pathLst>
        </a:custGeom>
        <a:noFill/>
        <a:ln w="12700">
          <a:solidFill>
            <a:sysClr val="windowText" lastClr="000000">
              <a:shade val="80000"/>
              <a:hueOff val="0"/>
              <a:satOff val="0"/>
              <a:lumOff val="0"/>
              <a:alphaOff val="0"/>
            </a:sysClr>
          </a:solidFill>
          <a:prstDash val="solid"/>
          <a:miter lim="800000"/>
        </a:ln>
        <a:effectLst/>
      </dgm:spPr>
      <dgm:t>
        <a:bodyPr/>
        <a:lstStyle/>
        <a:p>
          <a:endParaRPr lang="en-US"/>
        </a:p>
      </dgm:t>
    </dgm:pt>
    <dgm:pt modelId="{6A383962-AA0A-47A3-87C5-113C8555B2C7}" type="sibTrans" cxnId="{5C9E5ECD-6BA4-414D-BBFE-59CD3E5AC3C3}">
      <dgm:prSet/>
      <dgm:spPr/>
      <dgm:t>
        <a:bodyPr/>
        <a:lstStyle/>
        <a:p>
          <a:endParaRPr lang="en-US"/>
        </a:p>
      </dgm:t>
    </dgm:pt>
    <dgm:pt modelId="{8E30FDA4-EF77-49BB-A23D-7E0FB8DF5389}">
      <dgm:prSet custT="1"/>
      <dgm:spPr>
        <a:xfrm>
          <a:off x="4018226" y="2585233"/>
          <a:ext cx="1865345" cy="783038"/>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gm:spPr>
      <dgm:t>
        <a:bodyPr/>
        <a:lstStyle/>
        <a:p>
          <a:pPr>
            <a:spcAft>
              <a:spcPct val="35000"/>
            </a:spcAft>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*Radio License Holdings LLC </a:t>
          </a:r>
        </a:p>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Licensee of:</a:t>
          </a:r>
        </a:p>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WDVD, Detroit, MI     </a:t>
          </a:r>
        </a:p>
        <a:p>
          <a:pPr>
            <a:spcAft>
              <a:spcPct val="35000"/>
            </a:spcAft>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WDRQ, Detroit, MI</a:t>
          </a:r>
        </a:p>
      </dgm:t>
    </dgm:pt>
    <dgm:pt modelId="{3419B8A4-6D54-4D1D-9875-62F0B48C3E4E}" type="parTrans" cxnId="{06B97421-5158-404C-953C-016CE2427AE1}">
      <dgm:prSet/>
      <dgm:spPr>
        <a:xfrm>
          <a:off x="4900154" y="2251074"/>
          <a:ext cx="91440" cy="334158"/>
        </a:xfrm>
        <a:custGeom>
          <a:avLst/>
          <a:gdLst/>
          <a:rect l="0" t="0" r="0" b="0"/>
          <a:pathLst>
            <a:path fill="norm" stroke="1">
              <a:moveTo>
                <a:pt x="45720" y="0"/>
              </a:moveTo>
              <a:lnTo>
                <a:pt x="45720" y="275213"/>
              </a:lnTo>
              <a:lnTo>
                <a:pt x="50744" y="275213"/>
              </a:lnTo>
              <a:lnTo>
                <a:pt x="50744" y="334158"/>
              </a:lnTo>
            </a:path>
          </a:pathLst>
        </a:custGeom>
        <a:noFill/>
        <a:ln w="12700">
          <a:solidFill>
            <a:sysClr val="windowText" lastClr="000000">
              <a:shade val="80000"/>
              <a:hueOff val="0"/>
              <a:satOff val="0"/>
              <a:lumOff val="0"/>
              <a:alphaOff val="0"/>
            </a:sysClr>
          </a:solidFill>
          <a:prstDash val="solid"/>
          <a:miter lim="800000"/>
        </a:ln>
        <a:effectLst/>
      </dgm:spPr>
      <dgm:t>
        <a:bodyPr/>
        <a:lstStyle/>
        <a:p>
          <a:endParaRPr lang="en-US"/>
        </a:p>
      </dgm:t>
    </dgm:pt>
    <dgm:pt modelId="{854E31C6-1421-45D7-8BD2-0ADB429BCC83}" type="sibTrans" cxnId="{06B97421-5158-404C-953C-016CE2427AE1}">
      <dgm:prSet/>
      <dgm:spPr/>
      <dgm:t>
        <a:bodyPr/>
        <a:lstStyle/>
        <a:p>
          <a:endParaRPr lang="en-US"/>
        </a:p>
      </dgm:t>
    </dgm:pt>
    <dgm:pt modelId="{25BC70BC-C690-4E55-B17F-C0137E804DDD}">
      <dgm:prSet custT="1"/>
      <dgm:spPr>
        <a:xfrm>
          <a:off x="2135443" y="3746942"/>
          <a:ext cx="1778139" cy="866201"/>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gm:spPr>
      <dgm:t>
        <a:bodyPr/>
        <a:lstStyle/>
        <a:p>
          <a:pPr>
            <a:spcAft>
              <a:spcPct val="35000"/>
            </a:spcAft>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Licensing LLC</a:t>
          </a:r>
        </a:p>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Licensee of:</a:t>
          </a:r>
        </a:p>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WTKA, Ann Arbor, MI</a:t>
          </a:r>
        </a:p>
        <a:p>
          <a:pPr>
            <a:buNone/>
          </a:pPr>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WWWW-FM, Ann Arbor, MI WMAC, Macon, GA</a:t>
          </a:r>
        </a:p>
      </dgm:t>
    </dgm:pt>
    <dgm:pt modelId="{793D942F-FCE3-4F2A-99B9-78AF9BD51D9B}" type="parTrans" cxnId="{92DA6E92-57E1-4919-A8BC-936C63766DDD}">
      <dgm:prSet/>
      <dgm:spPr>
        <a:xfrm>
          <a:off x="2978793" y="3047485"/>
          <a:ext cx="91440" cy="699456"/>
        </a:xfrm>
        <a:custGeom>
          <a:avLst/>
          <a:gdLst/>
          <a:rect l="0" t="0" r="0" b="0"/>
          <a:pathLst>
            <a:path fill="norm" stroke="1">
              <a:moveTo>
                <a:pt x="49683" y="0"/>
              </a:moveTo>
              <a:lnTo>
                <a:pt x="49683" y="640511"/>
              </a:lnTo>
              <a:lnTo>
                <a:pt x="45720" y="640511"/>
              </a:lnTo>
              <a:lnTo>
                <a:pt x="45720" y="699456"/>
              </a:lnTo>
            </a:path>
          </a:pathLst>
        </a:custGeom>
        <a:noFill/>
        <a:ln w="12700">
          <a:solidFill>
            <a:sysClr val="windowText" lastClr="000000">
              <a:shade val="80000"/>
              <a:hueOff val="0"/>
              <a:satOff val="0"/>
              <a:lumOff val="0"/>
              <a:alphaOff val="0"/>
            </a:sysClr>
          </a:solidFill>
          <a:prstDash val="solid"/>
          <a:miter lim="800000"/>
        </a:ln>
        <a:effectLst/>
      </dgm:spPr>
      <dgm:t>
        <a:bodyPr/>
        <a:lstStyle/>
        <a:p>
          <a:endParaRPr lang="en-US"/>
        </a:p>
      </dgm:t>
    </dgm:pt>
    <dgm:pt modelId="{354EF726-EAA5-4767-AED3-369F467F5460}" type="sibTrans" cxnId="{92DA6E92-57E1-4919-A8BC-936C63766DDD}">
      <dgm:prSet/>
      <dgm:spPr/>
      <dgm:t>
        <a:bodyPr/>
        <a:lstStyle/>
        <a:p>
          <a:endParaRPr lang="en-US"/>
        </a:p>
      </dgm:t>
    </dgm:pt>
    <dgm:pt modelId="{8492DF3F-DBF9-4E2D-B610-7409AE0CA47A}" type="pres">
      <dgm:prSet presAssocID="{0770015A-6122-4D36-B84B-B470728F8AF0}" presName="hierChild1" presStyleCnt="0">
        <dgm:presLayoutVars>
          <dgm:orgChart val="1"/>
          <dgm:chPref val="1"/>
          <dgm:dir val="norm"/>
          <dgm:animOne val="branch"/>
          <dgm:animLvl val="lvl"/>
          <dgm:resizeHandles val="rel"/>
        </dgm:presLayoutVars>
      </dgm:prSet>
      <dgm:spPr/>
    </dgm:pt>
    <dgm:pt modelId="{2F24F759-BEA1-4EEA-A49F-9B791702C21A}" type="pres">
      <dgm:prSet presAssocID="{4788495C-5FAE-41B2-BFBB-14128C188BA5}" presName="hierRoot1" presStyleCnt="0">
        <dgm:presLayoutVars>
          <dgm:hierBranch val="init"/>
        </dgm:presLayoutVars>
      </dgm:prSet>
      <dgm:spPr/>
    </dgm:pt>
    <dgm:pt modelId="{5035AABD-3774-4E97-9F13-18774980FDAC}" type="pres">
      <dgm:prSet presAssocID="{4788495C-5FAE-41B2-BFBB-14128C188BA5}" presName="rootComposite1" presStyleCnt="0"/>
      <dgm:spPr/>
    </dgm:pt>
    <dgm:pt modelId="{262CE0F8-9511-4875-BEA9-DBAF1AF32B51}" type="pres">
      <dgm:prSet presAssocID="{4788495C-5FAE-41B2-BFBB-14128C188BA5}" presName="rootText1" presStyleLbl="node0" presStyleIdx="0" presStyleCnt="1" custScaleX="302476" custScaleY="119164" custLinFactX="-80363" custLinFactY="-100000" custLinFactNeighborX="-100000" custLinFactNeighborY="-156991">
        <dgm:presLayoutVars>
          <dgm:chPref val="3"/>
        </dgm:presLayoutVars>
      </dgm:prSet>
      <dgm:spPr/>
    </dgm:pt>
    <dgm:pt modelId="{6097810E-9A72-44E0-8F8C-CEF6D4C13FC3}" type="pres">
      <dgm:prSet presAssocID="{4788495C-5FAE-41B2-BFBB-14128C188BA5}" presName="rootConnector1" presStyleLbl="node1" presStyleIdx="0" presStyleCnt="0"/>
      <dgm:spPr/>
    </dgm:pt>
    <dgm:pt modelId="{A17A839E-49F7-42EF-A350-B74E23D5F6F1}" type="pres">
      <dgm:prSet presAssocID="{4788495C-5FAE-41B2-BFBB-14128C188BA5}" presName="hierChild2" presStyleCnt="0"/>
      <dgm:spPr/>
    </dgm:pt>
    <dgm:pt modelId="{8DBD079F-C68E-4233-9A61-5791CDB0F790}" type="pres">
      <dgm:prSet presAssocID="{5922E306-F28A-4F4E-AED1-A942B67CD9CD}" presName="Name37" presStyleLbl="parChTrans1D2" presStyleIdx="0" presStyleCnt="1"/>
      <dgm:spPr/>
    </dgm:pt>
    <dgm:pt modelId="{DE0433F8-E9F5-4201-BE86-4E02668DDB8A}" type="pres">
      <dgm:prSet presAssocID="{7769DD47-BBAB-449B-8C33-D38E46220151}" presName="hierRoot2" presStyleCnt="0">
        <dgm:presLayoutVars>
          <dgm:hierBranch val="init"/>
        </dgm:presLayoutVars>
      </dgm:prSet>
      <dgm:spPr/>
    </dgm:pt>
    <dgm:pt modelId="{C6450D45-9E0C-4F31-A14F-2F6C4E91C3BF}" type="pres">
      <dgm:prSet presAssocID="{7769DD47-BBAB-449B-8C33-D38E46220151}" presName="rootComposite" presStyleCnt="0"/>
      <dgm:spPr/>
    </dgm:pt>
    <dgm:pt modelId="{1B8680BF-CB29-405C-A802-4D6CD80B3079}" type="pres">
      <dgm:prSet presAssocID="{7769DD47-BBAB-449B-8C33-D38E46220151}" presName="rootText" presStyleLbl="node2" presStyleIdx="0" presStyleCnt="1" custScaleX="411969" custScaleY="145239" custLinFactX="-80602" custLinFactY="-94913" custLinFactNeighborX="-100000" custLinFactNeighborY="-100000">
        <dgm:presLayoutVars>
          <dgm:chPref val="3"/>
        </dgm:presLayoutVars>
      </dgm:prSet>
      <dgm:spPr/>
    </dgm:pt>
    <dgm:pt modelId="{6CF48A5C-317B-4A1F-A254-D987BD4752A2}" type="pres">
      <dgm:prSet presAssocID="{7769DD47-BBAB-449B-8C33-D38E46220151}" presName="rootConnector" presStyleLbl="node2" presStyleIdx="0" presStyleCnt="1"/>
      <dgm:spPr/>
    </dgm:pt>
    <dgm:pt modelId="{F974B916-7AE4-4AFC-AD10-EAA077C0D869}" type="pres">
      <dgm:prSet presAssocID="{7769DD47-BBAB-449B-8C33-D38E46220151}" presName="hierChild4" presStyleCnt="0"/>
      <dgm:spPr/>
    </dgm:pt>
    <dgm:pt modelId="{1EABE353-5D27-4E01-BFC0-D7AA21AFAB12}" type="pres">
      <dgm:prSet presAssocID="{7769DD47-BBAB-449B-8C33-D38E46220151}" presName="hierChild5" presStyleCnt="0"/>
      <dgm:spPr/>
    </dgm:pt>
    <dgm:pt modelId="{6138B4CE-FF51-48D4-901C-D9E9047D98B3}" type="pres">
      <dgm:prSet presAssocID="{2B4F1941-5B91-4DAD-A1B0-8F3284F573C9}" presName="Name111" presStyleLbl="parChTrans1D3" presStyleIdx="0" presStyleCnt="2"/>
      <dgm:spPr/>
    </dgm:pt>
    <dgm:pt modelId="{378C9098-880B-4853-9838-7318F5C51B8A}" type="pres">
      <dgm:prSet presAssocID="{509C5E86-1302-400A-B47A-5C9245B72448}" presName="hierRoot3" presStyleCnt="0">
        <dgm:presLayoutVars>
          <dgm:hierBranch val="init"/>
        </dgm:presLayoutVars>
      </dgm:prSet>
      <dgm:spPr/>
    </dgm:pt>
    <dgm:pt modelId="{C6C34D54-9F2D-4DAC-B7A3-3A58B47E87D5}" type="pres">
      <dgm:prSet presAssocID="{509C5E86-1302-400A-B47A-5C9245B72448}" presName="rootComposite3" presStyleCnt="0"/>
      <dgm:spPr/>
    </dgm:pt>
    <dgm:pt modelId="{A21F4A3C-61E7-4583-86C6-F722A588A941}" type="pres">
      <dgm:prSet presAssocID="{509C5E86-1302-400A-B47A-5C9245B72448}" presName="rootText3" presStyleLbl="asst2" presStyleIdx="0" presStyleCnt="2" custScaleX="267871" custScaleY="216359" custLinFactNeighborX="-27070" custLinFactNeighborY="-96898">
        <dgm:presLayoutVars>
          <dgm:chPref val="3"/>
        </dgm:presLayoutVars>
      </dgm:prSet>
      <dgm:spPr/>
    </dgm:pt>
    <dgm:pt modelId="{0A9E72FE-450D-489E-806B-522C29590E4A}" type="pres">
      <dgm:prSet presAssocID="{509C5E86-1302-400A-B47A-5C9245B72448}" presName="rootConnector3" presStyleLbl="asst2" presStyleIdx="0" presStyleCnt="2"/>
      <dgm:spPr/>
    </dgm:pt>
    <dgm:pt modelId="{4D309784-90D1-43BF-A76A-5114D4FBBCC0}" type="pres">
      <dgm:prSet presAssocID="{509C5E86-1302-400A-B47A-5C9245B72448}" presName="hierChild6" presStyleCnt="0"/>
      <dgm:spPr/>
    </dgm:pt>
    <dgm:pt modelId="{78F140D0-2411-4900-88F3-771319EB883D}" type="pres">
      <dgm:prSet presAssocID="{A14454E8-EC5C-431B-AEB8-8FE4881AFD1D}" presName="Name37" presStyleLbl="parChTrans1D4" presStyleIdx="0" presStyleCnt="4"/>
      <dgm:spPr/>
    </dgm:pt>
    <dgm:pt modelId="{C323C66B-E66F-48F5-9FA0-665A75238A90}" type="pres">
      <dgm:prSet presAssocID="{61050F1C-6FA3-41CB-B0FE-2353C5E754B8}" presName="hierRoot2" presStyleCnt="0">
        <dgm:presLayoutVars>
          <dgm:hierBranch val="init"/>
        </dgm:presLayoutVars>
      </dgm:prSet>
      <dgm:spPr/>
    </dgm:pt>
    <dgm:pt modelId="{439D9694-B52F-4133-B0C9-A1DD25F4A655}" type="pres">
      <dgm:prSet presAssocID="{61050F1C-6FA3-41CB-B0FE-2353C5E754B8}" presName="rootComposite" presStyleCnt="0"/>
      <dgm:spPr/>
    </dgm:pt>
    <dgm:pt modelId="{DE857670-AE93-4732-8DCE-7A53A1F9AD16}" type="pres">
      <dgm:prSet presAssocID="{61050F1C-6FA3-41CB-B0FE-2353C5E754B8}" presName="rootText" presStyleLbl="node4" presStyleIdx="0" presStyleCnt="4" custScaleX="366994" custScaleY="308924" custLinFactNeighborX="11275" custLinFactNeighborY="-55804">
        <dgm:presLayoutVars>
          <dgm:chPref val="3"/>
        </dgm:presLayoutVars>
      </dgm:prSet>
      <dgm:spPr/>
    </dgm:pt>
    <dgm:pt modelId="{467F0627-D3F1-4691-B38C-E1BA8AA08993}" type="pres">
      <dgm:prSet presAssocID="{61050F1C-6FA3-41CB-B0FE-2353C5E754B8}" presName="rootConnector" presStyleLbl="node4" presStyleIdx="0" presStyleCnt="4"/>
      <dgm:spPr/>
    </dgm:pt>
    <dgm:pt modelId="{BB10148D-1874-4E39-8A95-5B212F268038}" type="pres">
      <dgm:prSet presAssocID="{61050F1C-6FA3-41CB-B0FE-2353C5E754B8}" presName="hierChild4" presStyleCnt="0"/>
      <dgm:spPr/>
    </dgm:pt>
    <dgm:pt modelId="{DE2FB08F-7253-4EE7-A8BA-35C2E93A9F24}" type="pres">
      <dgm:prSet presAssocID="{61050F1C-6FA3-41CB-B0FE-2353C5E754B8}" presName="hierChild5" presStyleCnt="0"/>
      <dgm:spPr/>
    </dgm:pt>
    <dgm:pt modelId="{1AB584C5-F6FD-420C-8F44-E1CE512703CD}" type="pres">
      <dgm:prSet presAssocID="{37FE89F7-5CFF-42F4-8F12-436B1FB0D2B0}" presName="Name37" presStyleLbl="parChTrans1D4" presStyleIdx="1" presStyleCnt="4"/>
      <dgm:spPr/>
    </dgm:pt>
    <dgm:pt modelId="{23CC6CB5-139C-42A5-BE97-8F9CCA2629D4}" type="pres">
      <dgm:prSet presAssocID="{13DC7861-B6F9-4887-8A2C-D4526E757296}" presName="hierRoot2" presStyleCnt="0">
        <dgm:presLayoutVars>
          <dgm:hierBranch val="std"/>
        </dgm:presLayoutVars>
      </dgm:prSet>
      <dgm:spPr/>
    </dgm:pt>
    <dgm:pt modelId="{6C5D03B9-CA78-4C55-9818-B27728CACAEA}" type="pres">
      <dgm:prSet presAssocID="{13DC7861-B6F9-4887-8A2C-D4526E757296}" presName="rootComposite" presStyleCnt="0"/>
      <dgm:spPr/>
    </dgm:pt>
    <dgm:pt modelId="{6669C7C8-5566-4E16-A27B-B6C70B1C1960}" type="pres">
      <dgm:prSet presAssocID="{13DC7861-B6F9-4887-8A2C-D4526E757296}" presName="rootText" presStyleLbl="node4" presStyleIdx="1" presStyleCnt="4" custScaleX="297412" custScaleY="165572" custLinFactNeighborX="-7263" custLinFactNeighborY="-52213">
        <dgm:presLayoutVars>
          <dgm:chPref val="3"/>
        </dgm:presLayoutVars>
      </dgm:prSet>
      <dgm:spPr/>
    </dgm:pt>
    <dgm:pt modelId="{0FF3422F-80D4-406A-8293-FF07996374A5}" type="pres">
      <dgm:prSet presAssocID="{13DC7861-B6F9-4887-8A2C-D4526E757296}" presName="rootConnector" presStyleLbl="node4" presStyleIdx="1" presStyleCnt="4"/>
      <dgm:spPr/>
    </dgm:pt>
    <dgm:pt modelId="{C332ED76-C1E0-4C57-A0E3-E1DC29CCB835}" type="pres">
      <dgm:prSet presAssocID="{13DC7861-B6F9-4887-8A2C-D4526E757296}" presName="hierChild4" presStyleCnt="0"/>
      <dgm:spPr/>
    </dgm:pt>
    <dgm:pt modelId="{1943E900-86B2-44E8-8866-6C731A147964}" type="pres">
      <dgm:prSet presAssocID="{793D942F-FCE3-4F2A-99B9-78AF9BD51D9B}" presName="Name35" presStyleLbl="parChTrans1D4" presStyleIdx="2" presStyleCnt="4"/>
      <dgm:spPr/>
    </dgm:pt>
    <dgm:pt modelId="{E560A418-6E3B-4780-861F-E5B2D5F3E1E4}" type="pres">
      <dgm:prSet presAssocID="{25BC70BC-C690-4E55-B17F-C0137E804DDD}" presName="hierRoot2" presStyleCnt="0">
        <dgm:presLayoutVars>
          <dgm:hierBranch val="init"/>
        </dgm:presLayoutVars>
      </dgm:prSet>
      <dgm:spPr/>
    </dgm:pt>
    <dgm:pt modelId="{F0E16263-7E79-49D9-A490-0D77AA10CB54}" type="pres">
      <dgm:prSet presAssocID="{25BC70BC-C690-4E55-B17F-C0137E804DDD}" presName="rootComposite" presStyleCnt="0"/>
      <dgm:spPr/>
    </dgm:pt>
    <dgm:pt modelId="{2471A4E8-3448-404F-AE7E-D313BB428DBC}" type="pres">
      <dgm:prSet presAssocID="{25BC70BC-C690-4E55-B17F-C0137E804DDD}" presName="rootText" presStyleLbl="node4" presStyleIdx="2" presStyleCnt="4" custScaleX="316742" custScaleY="308595" custLinFactY="54977" custLinFactNeighborX="-7969" custLinFactNeighborY="100000">
        <dgm:presLayoutVars>
          <dgm:chPref val="3"/>
        </dgm:presLayoutVars>
      </dgm:prSet>
      <dgm:spPr/>
    </dgm:pt>
    <dgm:pt modelId="{CB071A1B-9124-439F-A9F3-508EA7ECEFD0}" type="pres">
      <dgm:prSet presAssocID="{25BC70BC-C690-4E55-B17F-C0137E804DDD}" presName="rootConnector" presStyleLbl="node4" presStyleIdx="2" presStyleCnt="4"/>
      <dgm:spPr/>
    </dgm:pt>
    <dgm:pt modelId="{FD2D19B4-4D5D-44B8-954E-F36568ACB193}" type="pres">
      <dgm:prSet presAssocID="{25BC70BC-C690-4E55-B17F-C0137E804DDD}" presName="hierChild4" presStyleCnt="0"/>
      <dgm:spPr/>
    </dgm:pt>
    <dgm:pt modelId="{ED4925D0-DFEF-4AEC-A8E8-28A4652D9F82}" type="pres">
      <dgm:prSet presAssocID="{25BC70BC-C690-4E55-B17F-C0137E804DDD}" presName="hierChild5" presStyleCnt="0"/>
      <dgm:spPr/>
    </dgm:pt>
    <dgm:pt modelId="{3C2F23E0-3BBE-4110-BC74-1BEBD40A40F1}" type="pres">
      <dgm:prSet presAssocID="{13DC7861-B6F9-4887-8A2C-D4526E757296}" presName="hierChild5" presStyleCnt="0"/>
      <dgm:spPr/>
    </dgm:pt>
    <dgm:pt modelId="{AF0EECAF-4FA8-4DAC-B4C6-10E9FDAD3B5C}" type="pres">
      <dgm:prSet presAssocID="{509C5E86-1302-400A-B47A-5C9245B72448}" presName="hierChild7" presStyleCnt="0"/>
      <dgm:spPr/>
    </dgm:pt>
    <dgm:pt modelId="{4C04EE81-2AE1-4EDB-B7E6-E9946E9E4646}" type="pres">
      <dgm:prSet presAssocID="{10642A41-F47B-49E8-A2D8-67B8716E563E}" presName="Name111" presStyleLbl="parChTrans1D3" presStyleIdx="1" presStyleCnt="2"/>
      <dgm:spPr/>
    </dgm:pt>
    <dgm:pt modelId="{BAF08241-15F4-4E9F-AA84-0294B04175C3}" type="pres">
      <dgm:prSet presAssocID="{13B27486-60C1-47AF-BB60-FEA08FA8FADE}" presName="hierRoot3" presStyleCnt="0">
        <dgm:presLayoutVars>
          <dgm:hierBranch val="std"/>
        </dgm:presLayoutVars>
      </dgm:prSet>
      <dgm:spPr/>
    </dgm:pt>
    <dgm:pt modelId="{60EECA4F-1548-4A81-A96F-961713A656BD}" type="pres">
      <dgm:prSet presAssocID="{13B27486-60C1-47AF-BB60-FEA08FA8FADE}" presName="rootComposite3" presStyleCnt="0"/>
      <dgm:spPr/>
    </dgm:pt>
    <dgm:pt modelId="{CFAB8793-01EC-42D9-8048-CB69F2F27933}" type="pres">
      <dgm:prSet presAssocID="{13B27486-60C1-47AF-BB60-FEA08FA8FADE}" presName="rootText3" presStyleLbl="asst2" presStyleIdx="1" presStyleCnt="2" custScaleX="331284" custScaleY="152449" custLinFactNeighborX="-11224" custLinFactNeighborY="-64462">
        <dgm:presLayoutVars>
          <dgm:chPref val="3"/>
        </dgm:presLayoutVars>
      </dgm:prSet>
      <dgm:spPr/>
    </dgm:pt>
    <dgm:pt modelId="{B1CD4366-CA59-4EBB-A343-20D4DC7FE418}" type="pres">
      <dgm:prSet presAssocID="{13B27486-60C1-47AF-BB60-FEA08FA8FADE}" presName="rootConnector3" presStyleLbl="asst2" presStyleIdx="1" presStyleCnt="2"/>
      <dgm:spPr/>
    </dgm:pt>
    <dgm:pt modelId="{591C3F76-30D4-4531-B957-3B62A4A02DDC}" type="pres">
      <dgm:prSet presAssocID="{13B27486-60C1-47AF-BB60-FEA08FA8FADE}" presName="hierChild6" presStyleCnt="0"/>
      <dgm:spPr/>
    </dgm:pt>
    <dgm:pt modelId="{C374CA55-9679-44B3-91BC-A7E4D41208D4}" type="pres">
      <dgm:prSet presAssocID="{3419B8A4-6D54-4D1D-9875-62F0B48C3E4E}" presName="Name35" presStyleLbl="parChTrans1D4" presStyleIdx="3" presStyleCnt="4"/>
      <dgm:spPr/>
    </dgm:pt>
    <dgm:pt modelId="{85D870A3-6972-401B-89C8-289966F61C7F}" type="pres">
      <dgm:prSet presAssocID="{8E30FDA4-EF77-49BB-A23D-7E0FB8DF5389}" presName="hierRoot2" presStyleCnt="0">
        <dgm:presLayoutVars>
          <dgm:hierBranch val="std"/>
        </dgm:presLayoutVars>
      </dgm:prSet>
      <dgm:spPr/>
    </dgm:pt>
    <dgm:pt modelId="{07989464-20E4-4680-97E4-096F8246F66D}" type="pres">
      <dgm:prSet presAssocID="{8E30FDA4-EF77-49BB-A23D-7E0FB8DF5389}" presName="rootComposite" presStyleCnt="0"/>
      <dgm:spPr/>
    </dgm:pt>
    <dgm:pt modelId="{37E448C2-0987-40F7-82E5-1740DFFF08B1}" type="pres">
      <dgm:prSet presAssocID="{8E30FDA4-EF77-49BB-A23D-7E0FB8DF5389}" presName="rootText" presStyleLbl="node4" presStyleIdx="3" presStyleCnt="4" custScaleX="332276" custScaleY="278967" custLinFactNeighborX="-10329" custLinFactNeighborY="12586">
        <dgm:presLayoutVars>
          <dgm:chPref val="3"/>
        </dgm:presLayoutVars>
      </dgm:prSet>
      <dgm:spPr/>
    </dgm:pt>
    <dgm:pt modelId="{6F0DF008-D6AC-419B-9348-EB108C3B1BB8}" type="pres">
      <dgm:prSet presAssocID="{8E30FDA4-EF77-49BB-A23D-7E0FB8DF5389}" presName="rootConnector" presStyleLbl="node4" presStyleIdx="3" presStyleCnt="4"/>
      <dgm:spPr/>
    </dgm:pt>
    <dgm:pt modelId="{3C0A9069-12DB-46CC-872B-B9190FBE5DD2}" type="pres">
      <dgm:prSet presAssocID="{8E30FDA4-EF77-49BB-A23D-7E0FB8DF5389}" presName="hierChild4" presStyleCnt="0"/>
      <dgm:spPr/>
    </dgm:pt>
    <dgm:pt modelId="{6BBB7E56-AE2E-4DEF-9943-CE7C3C39BD4D}" type="pres">
      <dgm:prSet presAssocID="{8E30FDA4-EF77-49BB-A23D-7E0FB8DF5389}" presName="hierChild5" presStyleCnt="0"/>
      <dgm:spPr/>
    </dgm:pt>
    <dgm:pt modelId="{574C4145-D901-4529-9E7F-689811BCCFA8}" type="pres">
      <dgm:prSet presAssocID="{13B27486-60C1-47AF-BB60-FEA08FA8FADE}" presName="hierChild7" presStyleCnt="0"/>
      <dgm:spPr/>
    </dgm:pt>
    <dgm:pt modelId="{67281DB3-DBB5-490D-9608-992B83054420}" type="pres">
      <dgm:prSet presAssocID="{4788495C-5FAE-41B2-BFBB-14128C188BA5}" presName="hierChild3" presStyleCnt="0"/>
      <dgm:spPr/>
    </dgm:pt>
  </dgm:ptLst>
  <dgm:cxnLst>
    <dgm:cxn modelId="{67C34315-31E7-4270-BD38-E9DB5D18BD0E}" type="presOf" srcId="{61050F1C-6FA3-41CB-B0FE-2353C5E754B8}" destId="{467F0627-D3F1-4691-B38C-E1BA8AA08993}" srcOrd="1" destOrd="0" presId="urn:microsoft.com/office/officeart/2005/8/layout/orgChart1"/>
    <dgm:cxn modelId="{0181751B-DBCB-4852-8BF3-ED9DE79168B6}" type="presOf" srcId="{4788495C-5FAE-41B2-BFBB-14128C188BA5}" destId="{262CE0F8-9511-4875-BEA9-DBAF1AF32B51}" srcOrd="0" destOrd="0" presId="urn:microsoft.com/office/officeart/2005/8/layout/orgChart1"/>
    <dgm:cxn modelId="{06B97421-5158-404C-953C-016CE2427AE1}" srcId="{13B27486-60C1-47AF-BB60-FEA08FA8FADE}" destId="{8E30FDA4-EF77-49BB-A23D-7E0FB8DF5389}" srcOrd="0" destOrd="0" parTransId="{3419B8A4-6D54-4D1D-9875-62F0B48C3E4E}" sibTransId="{854E31C6-1421-45D7-8BD2-0ADB429BCC83}"/>
    <dgm:cxn modelId="{CA07B221-509E-49E2-83BD-B1BEC0BABA1F}" type="presOf" srcId="{7769DD47-BBAB-449B-8C33-D38E46220151}" destId="{6CF48A5C-317B-4A1F-A254-D987BD4752A2}" srcOrd="1" destOrd="0" presId="urn:microsoft.com/office/officeart/2005/8/layout/orgChart1"/>
    <dgm:cxn modelId="{1DFC3028-1BD8-4843-A6B7-99025DB4CBFB}" type="presOf" srcId="{509C5E86-1302-400A-B47A-5C9245B72448}" destId="{A21F4A3C-61E7-4583-86C6-F722A588A941}" srcOrd="0" destOrd="0" presId="urn:microsoft.com/office/officeart/2005/8/layout/orgChart1"/>
    <dgm:cxn modelId="{07B48B41-C3E0-47C3-A432-23C99129EEF2}" type="presOf" srcId="{25BC70BC-C690-4E55-B17F-C0137E804DDD}" destId="{2471A4E8-3448-404F-AE7E-D313BB428DBC}" srcOrd="0" destOrd="0" presId="urn:microsoft.com/office/officeart/2005/8/layout/orgChart1"/>
    <dgm:cxn modelId="{C0E2F863-6DFE-497A-A45A-06ACE24C11C5}" type="presOf" srcId="{7769DD47-BBAB-449B-8C33-D38E46220151}" destId="{1B8680BF-CB29-405C-A802-4D6CD80B3079}" srcOrd="0" destOrd="0" presId="urn:microsoft.com/office/officeart/2005/8/layout/orgChart1"/>
    <dgm:cxn modelId="{81652145-46C7-4188-A9A9-6C73C9CF4BD7}" type="presOf" srcId="{8E30FDA4-EF77-49BB-A23D-7E0FB8DF5389}" destId="{6F0DF008-D6AC-419B-9348-EB108C3B1BB8}" srcOrd="1" destOrd="0" presId="urn:microsoft.com/office/officeart/2005/8/layout/orgChart1"/>
    <dgm:cxn modelId="{04A72D67-5EE0-4C15-BDEA-CCD94BF11245}" type="presOf" srcId="{13B27486-60C1-47AF-BB60-FEA08FA8FADE}" destId="{B1CD4366-CA59-4EBB-A343-20D4DC7FE418}" srcOrd="1" destOrd="0" presId="urn:microsoft.com/office/officeart/2005/8/layout/orgChart1"/>
    <dgm:cxn modelId="{B3FC8347-A92C-4D73-BA94-15DABC886D2E}" type="presOf" srcId="{3419B8A4-6D54-4D1D-9875-62F0B48C3E4E}" destId="{C374CA55-9679-44B3-91BC-A7E4D41208D4}" srcOrd="0" destOrd="0" presId="urn:microsoft.com/office/officeart/2005/8/layout/orgChart1"/>
    <dgm:cxn modelId="{00E2BA6B-F7B6-4867-9DCF-1C16FE793BFB}" type="presOf" srcId="{509C5E86-1302-400A-B47A-5C9245B72448}" destId="{0A9E72FE-450D-489E-806B-522C29590E4A}" srcOrd="1" destOrd="0" presId="urn:microsoft.com/office/officeart/2005/8/layout/orgChart1"/>
    <dgm:cxn modelId="{7A795C4D-CD72-489A-A312-0110FDA9D66C}" type="presOf" srcId="{793D942F-FCE3-4F2A-99B9-78AF9BD51D9B}" destId="{1943E900-86B2-44E8-8866-6C731A147964}" srcOrd="0" destOrd="0" presId="urn:microsoft.com/office/officeart/2005/8/layout/orgChart1"/>
    <dgm:cxn modelId="{FB200654-B378-4DEA-8634-327E41A793E5}" type="presOf" srcId="{13DC7861-B6F9-4887-8A2C-D4526E757296}" destId="{0FF3422F-80D4-406A-8293-FF07996374A5}" srcOrd="1" destOrd="0" presId="urn:microsoft.com/office/officeart/2005/8/layout/orgChart1"/>
    <dgm:cxn modelId="{1CFF0E7A-9721-4C02-BC0B-B2E1242F9D03}" srcId="{0770015A-6122-4D36-B84B-B470728F8AF0}" destId="{4788495C-5FAE-41B2-BFBB-14128C188BA5}" srcOrd="0" destOrd="0" parTransId="{476F969E-56FC-4B02-AB3D-381AB02C59BF}" sibTransId="{389EB641-7A1A-456A-A07E-021D53620F17}"/>
    <dgm:cxn modelId="{DEFF857A-66CC-46A2-97DD-D941CA719AF7}" type="presOf" srcId="{4788495C-5FAE-41B2-BFBB-14128C188BA5}" destId="{6097810E-9A72-44E0-8F8C-CEF6D4C13FC3}" srcOrd="1" destOrd="0" presId="urn:microsoft.com/office/officeart/2005/8/layout/orgChart1"/>
    <dgm:cxn modelId="{8FD2D083-B177-4258-AAB2-9B5D2BC798F0}" type="presOf" srcId="{13B27486-60C1-47AF-BB60-FEA08FA8FADE}" destId="{CFAB8793-01EC-42D9-8048-CB69F2F27933}" srcOrd="0" destOrd="0" presId="urn:microsoft.com/office/officeart/2005/8/layout/orgChart1"/>
    <dgm:cxn modelId="{13F90C84-4140-45C3-ABCE-CE86BAEA9538}" type="presOf" srcId="{A14454E8-EC5C-431B-AEB8-8FE4881AFD1D}" destId="{78F140D0-2411-4900-88F3-771319EB883D}" srcOrd="0" destOrd="0" presId="urn:microsoft.com/office/officeart/2005/8/layout/orgChart1"/>
    <dgm:cxn modelId="{49662C8F-480B-425D-BE94-26D1BDBE890E}" srcId="{7769DD47-BBAB-449B-8C33-D38E46220151}" destId="{13B27486-60C1-47AF-BB60-FEA08FA8FADE}" srcOrd="1" destOrd="0" parTransId="{10642A41-F47B-49E8-A2D8-67B8716E563E}" sibTransId="{C6270E5F-9ED2-4655-B711-2B4DF0CF1261}"/>
    <dgm:cxn modelId="{92DA6E92-57E1-4919-A8BC-936C63766DDD}" srcId="{13DC7861-B6F9-4887-8A2C-D4526E757296}" destId="{25BC70BC-C690-4E55-B17F-C0137E804DDD}" srcOrd="0" destOrd="0" parTransId="{793D942F-FCE3-4F2A-99B9-78AF9BD51D9B}" sibTransId="{354EF726-EAA5-4767-AED3-369F467F5460}"/>
    <dgm:cxn modelId="{03226CAE-05F1-4AA6-8E99-5C786E6B1CFE}" type="presOf" srcId="{8E30FDA4-EF77-49BB-A23D-7E0FB8DF5389}" destId="{37E448C2-0987-40F7-82E5-1740DFFF08B1}" srcOrd="0" destOrd="0" presId="urn:microsoft.com/office/officeart/2005/8/layout/orgChart1"/>
    <dgm:cxn modelId="{6E92C8BA-BEFE-43DE-B731-5F491C88057B}" type="presOf" srcId="{0770015A-6122-4D36-B84B-B470728F8AF0}" destId="{8492DF3F-DBF9-4E2D-B610-7409AE0CA47A}" srcOrd="0" destOrd="0" presId="urn:microsoft.com/office/officeart/2005/8/layout/orgChart1"/>
    <dgm:cxn modelId="{30894AC2-B6FB-43DB-B5FC-E043D2A0911D}" type="presOf" srcId="{61050F1C-6FA3-41CB-B0FE-2353C5E754B8}" destId="{DE857670-AE93-4732-8DCE-7A53A1F9AD16}" srcOrd="0" destOrd="0" presId="urn:microsoft.com/office/officeart/2005/8/layout/orgChart1"/>
    <dgm:cxn modelId="{5C9E5ECD-6BA4-414D-BBFE-59CD3E5AC3C3}" srcId="{509C5E86-1302-400A-B47A-5C9245B72448}" destId="{13DC7861-B6F9-4887-8A2C-D4526E757296}" srcOrd="1" destOrd="0" parTransId="{37FE89F7-5CFF-42F4-8F12-436B1FB0D2B0}" sibTransId="{6A383962-AA0A-47A3-87C5-113C8555B2C7}"/>
    <dgm:cxn modelId="{EC3F95CD-1D0D-4C10-B140-FA6F460BC76F}" type="presOf" srcId="{13DC7861-B6F9-4887-8A2C-D4526E757296}" destId="{6669C7C8-5566-4E16-A27B-B6C70B1C1960}" srcOrd="0" destOrd="0" presId="urn:microsoft.com/office/officeart/2005/8/layout/orgChart1"/>
    <dgm:cxn modelId="{251862CE-550F-4B42-ADCE-7CF97A873B03}" type="presOf" srcId="{10642A41-F47B-49E8-A2D8-67B8716E563E}" destId="{4C04EE81-2AE1-4EDB-B7E6-E9946E9E4646}" srcOrd="0" destOrd="0" presId="urn:microsoft.com/office/officeart/2005/8/layout/orgChart1"/>
    <dgm:cxn modelId="{395F4ED5-3FB8-468E-A7AB-23E72953AEC2}" srcId="{7769DD47-BBAB-449B-8C33-D38E46220151}" destId="{509C5E86-1302-400A-B47A-5C9245B72448}" srcOrd="0" destOrd="0" parTransId="{2B4F1941-5B91-4DAD-A1B0-8F3284F573C9}" sibTransId="{1A1A3D3A-9279-45FC-84AB-8BA6C83BE0D2}"/>
    <dgm:cxn modelId="{6367FFD6-0CD7-4432-9FE2-2CE0AFC5825E}" srcId="{4788495C-5FAE-41B2-BFBB-14128C188BA5}" destId="{7769DD47-BBAB-449B-8C33-D38E46220151}" srcOrd="0" destOrd="0" parTransId="{5922E306-F28A-4F4E-AED1-A942B67CD9CD}" sibTransId="{84880A34-87BB-4BDC-BE04-BEDFAE6B4644}"/>
    <dgm:cxn modelId="{260C8DD8-C07C-4138-8ADF-5203231541DB}" type="presOf" srcId="{25BC70BC-C690-4E55-B17F-C0137E804DDD}" destId="{CB071A1B-9124-439F-A9F3-508EA7ECEFD0}" srcOrd="1" destOrd="0" presId="urn:microsoft.com/office/officeart/2005/8/layout/orgChart1"/>
    <dgm:cxn modelId="{3A0D35E0-CCE3-4796-B6FF-DB07DA210B1C}" type="presOf" srcId="{2B4F1941-5B91-4DAD-A1B0-8F3284F573C9}" destId="{6138B4CE-FF51-48D4-901C-D9E9047D98B3}" srcOrd="0" destOrd="0" presId="urn:microsoft.com/office/officeart/2005/8/layout/orgChart1"/>
    <dgm:cxn modelId="{F0C89DE1-3675-4F4B-B2D2-4DD04549B95C}" type="presOf" srcId="{37FE89F7-5CFF-42F4-8F12-436B1FB0D2B0}" destId="{1AB584C5-F6FD-420C-8F44-E1CE512703CD}" srcOrd="0" destOrd="0" presId="urn:microsoft.com/office/officeart/2005/8/layout/orgChart1"/>
    <dgm:cxn modelId="{DC60DDE6-8079-408B-BBFB-E08DD44D2DEB}" type="presOf" srcId="{5922E306-F28A-4F4E-AED1-A942B67CD9CD}" destId="{8DBD079F-C68E-4233-9A61-5791CDB0F790}" srcOrd="0" destOrd="0" presId="urn:microsoft.com/office/officeart/2005/8/layout/orgChart1"/>
    <dgm:cxn modelId="{9661DEE8-401C-484C-859F-3B9D0DA62ED8}" srcId="{509C5E86-1302-400A-B47A-5C9245B72448}" destId="{61050F1C-6FA3-41CB-B0FE-2353C5E754B8}" srcOrd="0" destOrd="0" parTransId="{A14454E8-EC5C-431B-AEB8-8FE4881AFD1D}" sibTransId="{48A9FF64-E76B-49AB-97DF-4EE134879395}"/>
    <dgm:cxn modelId="{0F7908A5-E037-45FF-A5DB-247C82B36970}" type="presParOf" srcId="{8492DF3F-DBF9-4E2D-B610-7409AE0CA47A}" destId="{2F24F759-BEA1-4EEA-A49F-9B791702C21A}" srcOrd="0" destOrd="0" presId="urn:microsoft.com/office/officeart/2005/8/layout/orgChart1"/>
    <dgm:cxn modelId="{F016F821-F4C7-41C8-BAFA-295261F56EA9}" type="presParOf" srcId="{2F24F759-BEA1-4EEA-A49F-9B791702C21A}" destId="{5035AABD-3774-4E97-9F13-18774980FDAC}" srcOrd="0" destOrd="0" presId="urn:microsoft.com/office/officeart/2005/8/layout/orgChart1"/>
    <dgm:cxn modelId="{C6398123-D291-40E8-B742-1F428D8211FC}" type="presParOf" srcId="{5035AABD-3774-4E97-9F13-18774980FDAC}" destId="{262CE0F8-9511-4875-BEA9-DBAF1AF32B51}" srcOrd="0" destOrd="0" presId="urn:microsoft.com/office/officeart/2005/8/layout/orgChart1"/>
    <dgm:cxn modelId="{452AD2B5-1327-4953-B925-0C3937EA144A}" type="presParOf" srcId="{5035AABD-3774-4E97-9F13-18774980FDAC}" destId="{6097810E-9A72-44E0-8F8C-CEF6D4C13FC3}" srcOrd="1" destOrd="0" presId="urn:microsoft.com/office/officeart/2005/8/layout/orgChart1"/>
    <dgm:cxn modelId="{F50C03C7-A5EC-4332-85F0-148528ACBC77}" type="presParOf" srcId="{2F24F759-BEA1-4EEA-A49F-9B791702C21A}" destId="{A17A839E-49F7-42EF-A350-B74E23D5F6F1}" srcOrd="1" destOrd="0" presId="urn:microsoft.com/office/officeart/2005/8/layout/orgChart1"/>
    <dgm:cxn modelId="{A1B9BF80-D097-4B04-90FE-E74D8EC82044}" type="presParOf" srcId="{A17A839E-49F7-42EF-A350-B74E23D5F6F1}" destId="{8DBD079F-C68E-4233-9A61-5791CDB0F790}" srcOrd="0" destOrd="0" presId="urn:microsoft.com/office/officeart/2005/8/layout/orgChart1"/>
    <dgm:cxn modelId="{CDC34528-2CAA-488B-89B3-2DD52E0584E5}" type="presParOf" srcId="{A17A839E-49F7-42EF-A350-B74E23D5F6F1}" destId="{DE0433F8-E9F5-4201-BE86-4E02668DDB8A}" srcOrd="1" destOrd="0" presId="urn:microsoft.com/office/officeart/2005/8/layout/orgChart1"/>
    <dgm:cxn modelId="{FD917466-11DA-4114-B3B0-BFDEEBAE78B9}" type="presParOf" srcId="{DE0433F8-E9F5-4201-BE86-4E02668DDB8A}" destId="{C6450D45-9E0C-4F31-A14F-2F6C4E91C3BF}" srcOrd="0" destOrd="0" presId="urn:microsoft.com/office/officeart/2005/8/layout/orgChart1"/>
    <dgm:cxn modelId="{92089BBF-C87B-4E3C-892E-A854BEA9888C}" type="presParOf" srcId="{C6450D45-9E0C-4F31-A14F-2F6C4E91C3BF}" destId="{1B8680BF-CB29-405C-A802-4D6CD80B3079}" srcOrd="0" destOrd="0" presId="urn:microsoft.com/office/officeart/2005/8/layout/orgChart1"/>
    <dgm:cxn modelId="{EDA3760C-7F41-4457-A672-48FD23E6B0F4}" type="presParOf" srcId="{C6450D45-9E0C-4F31-A14F-2F6C4E91C3BF}" destId="{6CF48A5C-317B-4A1F-A254-D987BD4752A2}" srcOrd="1" destOrd="0" presId="urn:microsoft.com/office/officeart/2005/8/layout/orgChart1"/>
    <dgm:cxn modelId="{6190C6C9-C673-45FA-9631-40D3BF961230}" type="presParOf" srcId="{DE0433F8-E9F5-4201-BE86-4E02668DDB8A}" destId="{F974B916-7AE4-4AFC-AD10-EAA077C0D869}" srcOrd="1" destOrd="0" presId="urn:microsoft.com/office/officeart/2005/8/layout/orgChart1"/>
    <dgm:cxn modelId="{6589F7A6-F55E-4F17-9B3A-D454DC2CCF5C}" type="presParOf" srcId="{DE0433F8-E9F5-4201-BE86-4E02668DDB8A}" destId="{1EABE353-5D27-4E01-BFC0-D7AA21AFAB12}" srcOrd="2" destOrd="0" presId="urn:microsoft.com/office/officeart/2005/8/layout/orgChart1"/>
    <dgm:cxn modelId="{C681FB1E-88EA-43D5-BBEB-F88573DD4BE4}" type="presParOf" srcId="{1EABE353-5D27-4E01-BFC0-D7AA21AFAB12}" destId="{6138B4CE-FF51-48D4-901C-D9E9047D98B3}" srcOrd="0" destOrd="0" presId="urn:microsoft.com/office/officeart/2005/8/layout/orgChart1"/>
    <dgm:cxn modelId="{A4BAF6DD-64F2-43A8-91E9-73364A033751}" type="presParOf" srcId="{1EABE353-5D27-4E01-BFC0-D7AA21AFAB12}" destId="{378C9098-880B-4853-9838-7318F5C51B8A}" srcOrd="1" destOrd="0" presId="urn:microsoft.com/office/officeart/2005/8/layout/orgChart1"/>
    <dgm:cxn modelId="{344A9878-E9D9-40BE-B347-30DB591D10F8}" type="presParOf" srcId="{378C9098-880B-4853-9838-7318F5C51B8A}" destId="{C6C34D54-9F2D-4DAC-B7A3-3A58B47E87D5}" srcOrd="0" destOrd="0" presId="urn:microsoft.com/office/officeart/2005/8/layout/orgChart1"/>
    <dgm:cxn modelId="{0609175F-0608-4493-B430-77EB0B5CA70B}" type="presParOf" srcId="{C6C34D54-9F2D-4DAC-B7A3-3A58B47E87D5}" destId="{A21F4A3C-61E7-4583-86C6-F722A588A941}" srcOrd="0" destOrd="0" presId="urn:microsoft.com/office/officeart/2005/8/layout/orgChart1"/>
    <dgm:cxn modelId="{34C93864-E5AD-4205-B2BA-60B386147059}" type="presParOf" srcId="{C6C34D54-9F2D-4DAC-B7A3-3A58B47E87D5}" destId="{0A9E72FE-450D-489E-806B-522C29590E4A}" srcOrd="1" destOrd="0" presId="urn:microsoft.com/office/officeart/2005/8/layout/orgChart1"/>
    <dgm:cxn modelId="{2D6720DE-692F-45C4-B8F7-9683C44AEE44}" type="presParOf" srcId="{378C9098-880B-4853-9838-7318F5C51B8A}" destId="{4D309784-90D1-43BF-A76A-5114D4FBBCC0}" srcOrd="1" destOrd="0" presId="urn:microsoft.com/office/officeart/2005/8/layout/orgChart1"/>
    <dgm:cxn modelId="{505F7F3F-EC7F-4446-A8FF-44BC420BFF7A}" type="presParOf" srcId="{4D309784-90D1-43BF-A76A-5114D4FBBCC0}" destId="{78F140D0-2411-4900-88F3-771319EB883D}" srcOrd="0" destOrd="0" presId="urn:microsoft.com/office/officeart/2005/8/layout/orgChart1"/>
    <dgm:cxn modelId="{791E8B87-B010-4C76-996D-E292730C3856}" type="presParOf" srcId="{4D309784-90D1-43BF-A76A-5114D4FBBCC0}" destId="{C323C66B-E66F-48F5-9FA0-665A75238A90}" srcOrd="1" destOrd="0" presId="urn:microsoft.com/office/officeart/2005/8/layout/orgChart1"/>
    <dgm:cxn modelId="{AD693C5C-DA64-4B30-A756-B73EF87308C0}" type="presParOf" srcId="{C323C66B-E66F-48F5-9FA0-665A75238A90}" destId="{439D9694-B52F-4133-B0C9-A1DD25F4A655}" srcOrd="0" destOrd="0" presId="urn:microsoft.com/office/officeart/2005/8/layout/orgChart1"/>
    <dgm:cxn modelId="{DE141CCB-3F42-4553-8B48-2B5BD3C56173}" type="presParOf" srcId="{439D9694-B52F-4133-B0C9-A1DD25F4A655}" destId="{DE857670-AE93-4732-8DCE-7A53A1F9AD16}" srcOrd="0" destOrd="0" presId="urn:microsoft.com/office/officeart/2005/8/layout/orgChart1"/>
    <dgm:cxn modelId="{874C559D-EB32-47BF-AE34-F004F8A7BB94}" type="presParOf" srcId="{439D9694-B52F-4133-B0C9-A1DD25F4A655}" destId="{467F0627-D3F1-4691-B38C-E1BA8AA08993}" srcOrd="1" destOrd="0" presId="urn:microsoft.com/office/officeart/2005/8/layout/orgChart1"/>
    <dgm:cxn modelId="{643860E2-75C4-4BBC-B215-D9172FF80D6D}" type="presParOf" srcId="{C323C66B-E66F-48F5-9FA0-665A75238A90}" destId="{BB10148D-1874-4E39-8A95-5B212F268038}" srcOrd="1" destOrd="0" presId="urn:microsoft.com/office/officeart/2005/8/layout/orgChart1"/>
    <dgm:cxn modelId="{89711460-19C1-47F0-8612-00A8EA29FF0C}" type="presParOf" srcId="{C323C66B-E66F-48F5-9FA0-665A75238A90}" destId="{DE2FB08F-7253-4EE7-A8BA-35C2E93A9F24}" srcOrd="2" destOrd="0" presId="urn:microsoft.com/office/officeart/2005/8/layout/orgChart1"/>
    <dgm:cxn modelId="{EEBE68CF-FE83-4C30-8477-2509D977D1C0}" type="presParOf" srcId="{4D309784-90D1-43BF-A76A-5114D4FBBCC0}" destId="{1AB584C5-F6FD-420C-8F44-E1CE512703CD}" srcOrd="2" destOrd="0" presId="urn:microsoft.com/office/officeart/2005/8/layout/orgChart1"/>
    <dgm:cxn modelId="{94BF30BC-F952-46F6-BE3F-D985C7D58B04}" type="presParOf" srcId="{4D309784-90D1-43BF-A76A-5114D4FBBCC0}" destId="{23CC6CB5-139C-42A5-BE97-8F9CCA2629D4}" srcOrd="3" destOrd="0" presId="urn:microsoft.com/office/officeart/2005/8/layout/orgChart1"/>
    <dgm:cxn modelId="{377B2864-AD21-4835-833C-396025B68FE0}" type="presParOf" srcId="{23CC6CB5-139C-42A5-BE97-8F9CCA2629D4}" destId="{6C5D03B9-CA78-4C55-9818-B27728CACAEA}" srcOrd="0" destOrd="0" presId="urn:microsoft.com/office/officeart/2005/8/layout/orgChart1"/>
    <dgm:cxn modelId="{CE566489-C15F-4C86-B17A-DDADD07FB2EF}" type="presParOf" srcId="{6C5D03B9-CA78-4C55-9818-B27728CACAEA}" destId="{6669C7C8-5566-4E16-A27B-B6C70B1C1960}" srcOrd="0" destOrd="0" presId="urn:microsoft.com/office/officeart/2005/8/layout/orgChart1"/>
    <dgm:cxn modelId="{75786838-1FD1-4049-99F4-D443E92AE0BF}" type="presParOf" srcId="{6C5D03B9-CA78-4C55-9818-B27728CACAEA}" destId="{0FF3422F-80D4-406A-8293-FF07996374A5}" srcOrd="1" destOrd="0" presId="urn:microsoft.com/office/officeart/2005/8/layout/orgChart1"/>
    <dgm:cxn modelId="{BB27FC31-CF4A-4460-BD9F-82C8F0B415F8}" type="presParOf" srcId="{23CC6CB5-139C-42A5-BE97-8F9CCA2629D4}" destId="{C332ED76-C1E0-4C57-A0E3-E1DC29CCB835}" srcOrd="1" destOrd="0" presId="urn:microsoft.com/office/officeart/2005/8/layout/orgChart1"/>
    <dgm:cxn modelId="{3E1E9960-B5FA-4EA7-A4A5-F354043100CC}" type="presParOf" srcId="{C332ED76-C1E0-4C57-A0E3-E1DC29CCB835}" destId="{1943E900-86B2-44E8-8866-6C731A147964}" srcOrd="0" destOrd="0" presId="urn:microsoft.com/office/officeart/2005/8/layout/orgChart1"/>
    <dgm:cxn modelId="{4F468943-ED45-4AAE-B77E-E8FC35D3E2F1}" type="presParOf" srcId="{C332ED76-C1E0-4C57-A0E3-E1DC29CCB835}" destId="{E560A418-6E3B-4780-861F-E5B2D5F3E1E4}" srcOrd="1" destOrd="0" presId="urn:microsoft.com/office/officeart/2005/8/layout/orgChart1"/>
    <dgm:cxn modelId="{B5C19A13-7AE5-4AF1-9FB6-76FC9805B288}" type="presParOf" srcId="{E560A418-6E3B-4780-861F-E5B2D5F3E1E4}" destId="{F0E16263-7E79-49D9-A490-0D77AA10CB54}" srcOrd="0" destOrd="0" presId="urn:microsoft.com/office/officeart/2005/8/layout/orgChart1"/>
    <dgm:cxn modelId="{9884C921-CD93-456D-B221-3141FCFADB53}" type="presParOf" srcId="{F0E16263-7E79-49D9-A490-0D77AA10CB54}" destId="{2471A4E8-3448-404F-AE7E-D313BB428DBC}" srcOrd="0" destOrd="0" presId="urn:microsoft.com/office/officeart/2005/8/layout/orgChart1"/>
    <dgm:cxn modelId="{F9283532-CA28-40F3-8E7D-EC6993CFFCE2}" type="presParOf" srcId="{F0E16263-7E79-49D9-A490-0D77AA10CB54}" destId="{CB071A1B-9124-439F-A9F3-508EA7ECEFD0}" srcOrd="1" destOrd="0" presId="urn:microsoft.com/office/officeart/2005/8/layout/orgChart1"/>
    <dgm:cxn modelId="{B013D0D2-AC98-4518-AF5B-5F3B165D1228}" type="presParOf" srcId="{E560A418-6E3B-4780-861F-E5B2D5F3E1E4}" destId="{FD2D19B4-4D5D-44B8-954E-F36568ACB193}" srcOrd="1" destOrd="0" presId="urn:microsoft.com/office/officeart/2005/8/layout/orgChart1"/>
    <dgm:cxn modelId="{9960BF9D-ABA1-4430-826D-CF786B0846B1}" type="presParOf" srcId="{E560A418-6E3B-4780-861F-E5B2D5F3E1E4}" destId="{ED4925D0-DFEF-4AEC-A8E8-28A4652D9F82}" srcOrd="2" destOrd="0" presId="urn:microsoft.com/office/officeart/2005/8/layout/orgChart1"/>
    <dgm:cxn modelId="{65E4F8BE-FFC8-4AFC-9DD8-95FBFEEBE971}" type="presParOf" srcId="{23CC6CB5-139C-42A5-BE97-8F9CCA2629D4}" destId="{3C2F23E0-3BBE-4110-BC74-1BEBD40A40F1}" srcOrd="2" destOrd="0" presId="urn:microsoft.com/office/officeart/2005/8/layout/orgChart1"/>
    <dgm:cxn modelId="{41D6DD65-4C0C-4256-83B5-5BB475EC2E09}" type="presParOf" srcId="{378C9098-880B-4853-9838-7318F5C51B8A}" destId="{AF0EECAF-4FA8-4DAC-B4C6-10E9FDAD3B5C}" srcOrd="2" destOrd="0" presId="urn:microsoft.com/office/officeart/2005/8/layout/orgChart1"/>
    <dgm:cxn modelId="{BE9362DC-0F45-4E77-8384-23DE1F708353}" type="presParOf" srcId="{1EABE353-5D27-4E01-BFC0-D7AA21AFAB12}" destId="{4C04EE81-2AE1-4EDB-B7E6-E9946E9E4646}" srcOrd="2" destOrd="0" presId="urn:microsoft.com/office/officeart/2005/8/layout/orgChart1"/>
    <dgm:cxn modelId="{2807C263-E4BB-4DDE-A021-18C27C157B56}" type="presParOf" srcId="{1EABE353-5D27-4E01-BFC0-D7AA21AFAB12}" destId="{BAF08241-15F4-4E9F-AA84-0294B04175C3}" srcOrd="3" destOrd="0" presId="urn:microsoft.com/office/officeart/2005/8/layout/orgChart1"/>
    <dgm:cxn modelId="{0C8FAAC4-A15F-429C-AC60-7E69BCC38A46}" type="presParOf" srcId="{BAF08241-15F4-4E9F-AA84-0294B04175C3}" destId="{60EECA4F-1548-4A81-A96F-961713A656BD}" srcOrd="0" destOrd="0" presId="urn:microsoft.com/office/officeart/2005/8/layout/orgChart1"/>
    <dgm:cxn modelId="{681928C0-0C3B-4593-82AE-1E0079F7906E}" type="presParOf" srcId="{60EECA4F-1548-4A81-A96F-961713A656BD}" destId="{CFAB8793-01EC-42D9-8048-CB69F2F27933}" srcOrd="0" destOrd="0" presId="urn:microsoft.com/office/officeart/2005/8/layout/orgChart1"/>
    <dgm:cxn modelId="{2885C7E2-FAA9-408E-BCFA-DF24F030B468}" type="presParOf" srcId="{60EECA4F-1548-4A81-A96F-961713A656BD}" destId="{B1CD4366-CA59-4EBB-A343-20D4DC7FE418}" srcOrd="1" destOrd="0" presId="urn:microsoft.com/office/officeart/2005/8/layout/orgChart1"/>
    <dgm:cxn modelId="{114BB8B1-65A0-46DE-BE7E-76776B8FBFB0}" type="presParOf" srcId="{BAF08241-15F4-4E9F-AA84-0294B04175C3}" destId="{591C3F76-30D4-4531-B957-3B62A4A02DDC}" srcOrd="1" destOrd="0" presId="urn:microsoft.com/office/officeart/2005/8/layout/orgChart1"/>
    <dgm:cxn modelId="{C4AB332D-3382-42D2-ACE6-8FAD252A76AC}" type="presParOf" srcId="{591C3F76-30D4-4531-B957-3B62A4A02DDC}" destId="{C374CA55-9679-44B3-91BC-A7E4D41208D4}" srcOrd="0" destOrd="0" presId="urn:microsoft.com/office/officeart/2005/8/layout/orgChart1"/>
    <dgm:cxn modelId="{1170FFD1-3179-457A-8E9F-085FC0413118}" type="presParOf" srcId="{591C3F76-30D4-4531-B957-3B62A4A02DDC}" destId="{85D870A3-6972-401B-89C8-289966F61C7F}" srcOrd="1" destOrd="0" presId="urn:microsoft.com/office/officeart/2005/8/layout/orgChart1"/>
    <dgm:cxn modelId="{4EBA5ADA-109B-4C17-8E44-1C7DBF16E108}" type="presParOf" srcId="{85D870A3-6972-401B-89C8-289966F61C7F}" destId="{07989464-20E4-4680-97E4-096F8246F66D}" srcOrd="0" destOrd="0" presId="urn:microsoft.com/office/officeart/2005/8/layout/orgChart1"/>
    <dgm:cxn modelId="{7F92E7CB-56E9-4072-8DB1-7C331569F1E9}" type="presParOf" srcId="{07989464-20E4-4680-97E4-096F8246F66D}" destId="{37E448C2-0987-40F7-82E5-1740DFFF08B1}" srcOrd="0" destOrd="0" presId="urn:microsoft.com/office/officeart/2005/8/layout/orgChart1"/>
    <dgm:cxn modelId="{A52AACEE-31B7-419B-9607-690502921663}" type="presParOf" srcId="{07989464-20E4-4680-97E4-096F8246F66D}" destId="{6F0DF008-D6AC-419B-9348-EB108C3B1BB8}" srcOrd="1" destOrd="0" presId="urn:microsoft.com/office/officeart/2005/8/layout/orgChart1"/>
    <dgm:cxn modelId="{DFFA42B4-FD58-4A32-BBEE-4880E4FB4664}" type="presParOf" srcId="{85D870A3-6972-401B-89C8-289966F61C7F}" destId="{3C0A9069-12DB-46CC-872B-B9190FBE5DD2}" srcOrd="1" destOrd="0" presId="urn:microsoft.com/office/officeart/2005/8/layout/orgChart1"/>
    <dgm:cxn modelId="{6AB576E2-ACB2-4A58-A852-021773E2BDBE}" type="presParOf" srcId="{85D870A3-6972-401B-89C8-289966F61C7F}" destId="{6BBB7E56-AE2E-4DEF-9943-CE7C3C39BD4D}" srcOrd="2" destOrd="0" presId="urn:microsoft.com/office/officeart/2005/8/layout/orgChart1"/>
    <dgm:cxn modelId="{2C2D36AC-28EE-4318-9C93-0974CD90CEF5}" type="presParOf" srcId="{BAF08241-15F4-4E9F-AA84-0294B04175C3}" destId="{574C4145-D901-4529-9E7F-689811BCCFA8}" srcOrd="2" destOrd="0" presId="urn:microsoft.com/office/officeart/2005/8/layout/orgChart1"/>
    <dgm:cxn modelId="{13ADFA94-4E86-41A5-95B6-5E2C286DCDBD}" type="presParOf" srcId="{2F24F759-BEA1-4EEA-A49F-9B791702C21A}" destId="{67281DB3-DBB5-490D-9608-992B83054420}" srcOrd="2" destOrd="0" presId="urn:microsoft.com/office/officeart/2005/8/layout/orgChart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2"/>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4CA55-9679-44B3-91BC-A7E4D41208D4}">
      <dsp:nvSpPr>
        <dsp:cNvPr id="0" name=""/>
        <dsp:cNvSpPr/>
      </dsp:nvSpPr>
      <dsp:spPr>
        <a:xfrm>
          <a:off x="4900154" y="2251074"/>
          <a:ext cx="91440" cy="334158"/>
        </a:xfrm>
        <a:custGeom>
          <a:avLst/>
          <a:gdLst/>
          <a:rect l="0" t="0" r="0" b="0"/>
          <a:pathLst>
            <a:path fill="norm" stroke="1">
              <a:moveTo>
                <a:pt x="45720" y="0"/>
              </a:moveTo>
              <a:lnTo>
                <a:pt x="45720" y="275213"/>
              </a:lnTo>
              <a:lnTo>
                <a:pt x="50744" y="275213"/>
              </a:lnTo>
              <a:lnTo>
                <a:pt x="50744" y="334158"/>
              </a:lnTo>
            </a:path>
          </a:pathLst>
        </a:custGeom>
        <a:noFill/>
        <a:ln w="12700">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C04EE81-2AE1-4EDB-B7E6-E9946E9E4646}">
      <dsp:nvSpPr>
        <dsp:cNvPr id="0" name=""/>
        <dsp:cNvSpPr/>
      </dsp:nvSpPr>
      <dsp:spPr>
        <a:xfrm>
          <a:off x="3003394" y="1339105"/>
          <a:ext cx="1012591" cy="698012"/>
        </a:xfrm>
        <a:custGeom>
          <a:avLst/>
          <a:gdLst/>
          <a:rect l="0" t="0" r="0" b="0"/>
          <a:pathLst>
            <a:path fill="norm" stroke="1">
              <a:moveTo>
                <a:pt x="0" y="0"/>
              </a:moveTo>
              <a:lnTo>
                <a:pt x="0" y="698012"/>
              </a:lnTo>
              <a:lnTo>
                <a:pt x="1012591" y="698012"/>
              </a:lnTo>
            </a:path>
          </a:pathLst>
        </a:custGeom>
        <a:noFill/>
        <a:ln w="12700">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943E900-86B2-44E8-8866-6C731A147964}">
      <dsp:nvSpPr>
        <dsp:cNvPr id="0" name=""/>
        <dsp:cNvSpPr/>
      </dsp:nvSpPr>
      <dsp:spPr>
        <a:xfrm>
          <a:off x="2978793" y="3047485"/>
          <a:ext cx="91440" cy="699456"/>
        </a:xfrm>
        <a:custGeom>
          <a:avLst/>
          <a:gdLst/>
          <a:rect l="0" t="0" r="0" b="0"/>
          <a:pathLst>
            <a:path fill="norm" stroke="1">
              <a:moveTo>
                <a:pt x="49683" y="0"/>
              </a:moveTo>
              <a:lnTo>
                <a:pt x="49683" y="640511"/>
              </a:lnTo>
              <a:lnTo>
                <a:pt x="45720" y="640511"/>
              </a:lnTo>
              <a:lnTo>
                <a:pt x="45720" y="699456"/>
              </a:lnTo>
            </a:path>
          </a:pathLst>
        </a:custGeom>
        <a:noFill/>
        <a:ln w="12700">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AB584C5-F6FD-420C-8F44-E1CE512703CD}">
      <dsp:nvSpPr>
        <dsp:cNvPr id="0" name=""/>
        <dsp:cNvSpPr/>
      </dsp:nvSpPr>
      <dsp:spPr>
        <a:xfrm>
          <a:off x="1801086" y="2339419"/>
          <a:ext cx="1227391" cy="243318"/>
        </a:xfrm>
        <a:custGeom>
          <a:avLst/>
          <a:gdLst/>
          <a:rect l="0" t="0" r="0" b="0"/>
          <a:pathLst>
            <a:path fill="norm" stroke="1">
              <a:moveTo>
                <a:pt x="0" y="0"/>
              </a:moveTo>
              <a:lnTo>
                <a:pt x="0" y="184372"/>
              </a:lnTo>
              <a:lnTo>
                <a:pt x="1227391" y="184372"/>
              </a:lnTo>
              <a:lnTo>
                <a:pt x="1227391" y="243318"/>
              </a:lnTo>
            </a:path>
          </a:pathLst>
        </a:custGeom>
        <a:noFill/>
        <a:ln w="12700">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8F140D0-2411-4900-88F3-771319EB883D}">
      <dsp:nvSpPr>
        <dsp:cNvPr id="0" name=""/>
        <dsp:cNvSpPr/>
      </dsp:nvSpPr>
      <dsp:spPr>
        <a:xfrm>
          <a:off x="1095462" y="2339419"/>
          <a:ext cx="705623" cy="233238"/>
        </a:xfrm>
        <a:custGeom>
          <a:avLst/>
          <a:gdLst/>
          <a:rect l="0" t="0" r="0" b="0"/>
          <a:pathLst>
            <a:path fill="norm" stroke="1">
              <a:moveTo>
                <a:pt x="705623" y="0"/>
              </a:moveTo>
              <a:lnTo>
                <a:pt x="705623" y="174292"/>
              </a:lnTo>
              <a:lnTo>
                <a:pt x="0" y="174292"/>
              </a:lnTo>
              <a:lnTo>
                <a:pt x="0" y="233238"/>
              </a:lnTo>
            </a:path>
          </a:pathLst>
        </a:custGeom>
        <a:noFill/>
        <a:ln w="12700">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38B4CE-FF51-48D4-901C-D9E9047D98B3}">
      <dsp:nvSpPr>
        <dsp:cNvPr id="0" name=""/>
        <dsp:cNvSpPr/>
      </dsp:nvSpPr>
      <dsp:spPr>
        <a:xfrm>
          <a:off x="2552979" y="1339105"/>
          <a:ext cx="450415" cy="696662"/>
        </a:xfrm>
        <a:custGeom>
          <a:avLst/>
          <a:gdLst/>
          <a:rect l="0" t="0" r="0" b="0"/>
          <a:pathLst>
            <a:path fill="norm" stroke="1">
              <a:moveTo>
                <a:pt x="450415" y="0"/>
              </a:moveTo>
              <a:lnTo>
                <a:pt x="450415" y="696662"/>
              </a:lnTo>
              <a:lnTo>
                <a:pt x="0" y="696662"/>
              </a:lnTo>
            </a:path>
          </a:pathLst>
        </a:custGeom>
        <a:noFill/>
        <a:ln w="12700">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DBD079F-C68E-4233-9A61-5791CDB0F790}">
      <dsp:nvSpPr>
        <dsp:cNvPr id="0" name=""/>
        <dsp:cNvSpPr/>
      </dsp:nvSpPr>
      <dsp:spPr>
        <a:xfrm>
          <a:off x="2957674" y="639292"/>
          <a:ext cx="91440" cy="292138"/>
        </a:xfrm>
        <a:custGeom>
          <a:avLst/>
          <a:gdLst/>
          <a:rect l="0" t="0" r="0" b="0"/>
          <a:pathLst>
            <a:path fill="norm" stroke="1">
              <a:moveTo>
                <a:pt x="47061" y="0"/>
              </a:moveTo>
              <a:lnTo>
                <a:pt x="47061" y="233193"/>
              </a:lnTo>
              <a:lnTo>
                <a:pt x="45720" y="233193"/>
              </a:lnTo>
              <a:lnTo>
                <a:pt x="45720" y="292138"/>
              </a:lnTo>
            </a:path>
          </a:pathLst>
        </a:custGeom>
        <a:noFill/>
        <a:ln w="12700">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62CE0F8-9511-4875-BEA9-DBAF1AF32B51}">
      <dsp:nvSpPr>
        <dsp:cNvPr id="0" name=""/>
        <dsp:cNvSpPr/>
      </dsp:nvSpPr>
      <dsp:spPr>
        <a:xfrm>
          <a:off x="2155709" y="304808"/>
          <a:ext cx="1698052" cy="334484"/>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Media, Inc.</a:t>
          </a:r>
        </a:p>
      </dsp:txBody>
      <dsp:txXfrm>
        <a:off x="2155709" y="304808"/>
        <a:ext cx="1698052" cy="334484"/>
      </dsp:txXfrm>
    </dsp:sp>
    <dsp:sp modelId="{1B8680BF-CB29-405C-A802-4D6CD80B3079}">
      <dsp:nvSpPr>
        <dsp:cNvPr id="0" name=""/>
        <dsp:cNvSpPr/>
      </dsp:nvSpPr>
      <dsp:spPr>
        <a:xfrm>
          <a:off x="1847029" y="931431"/>
          <a:ext cx="2312729" cy="407674"/>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lntermediate Holdings, Inc.</a:t>
          </a:r>
        </a:p>
      </dsp:txBody>
      <dsp:txXfrm>
        <a:off x="1847029" y="931431"/>
        <a:ext cx="2312729" cy="407674"/>
      </dsp:txXfrm>
    </dsp:sp>
    <dsp:sp modelId="{A21F4A3C-61E7-4583-86C6-F722A588A941}">
      <dsp:nvSpPr>
        <dsp:cNvPr id="0" name=""/>
        <dsp:cNvSpPr/>
      </dsp:nvSpPr>
      <dsp:spPr>
        <a:xfrm>
          <a:off x="1049193" y="1732116"/>
          <a:ext cx="1503785" cy="607302"/>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Radio LLC, </a:t>
          </a:r>
        </a:p>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f/k/a Cumulus Radio Corporation</a:t>
          </a:r>
        </a:p>
      </dsp:txBody>
      <dsp:txXfrm>
        <a:off x="1049193" y="1732116"/>
        <a:ext cx="1503785" cy="607302"/>
      </dsp:txXfrm>
    </dsp:sp>
    <dsp:sp modelId="{DE857670-AE93-4732-8DCE-7A53A1F9AD16}">
      <dsp:nvSpPr>
        <dsp:cNvPr id="0" name=""/>
        <dsp:cNvSpPr/>
      </dsp:nvSpPr>
      <dsp:spPr>
        <a:xfrm>
          <a:off x="65339" y="2572658"/>
          <a:ext cx="2060246" cy="867125"/>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ts val="6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*Radio License Holding CBC, LLC</a:t>
          </a:r>
        </a:p>
        <a:p>
          <a:pPr marL="0" lvl="0" indent="0" algn="ctr" defTabSz="488950">
            <a:lnSpc>
              <a:spcPct val="90000"/>
            </a:lnSpc>
            <a:spcBef>
              <a:spcPct val="0"/>
            </a:spcBef>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Licensee of: </a:t>
          </a:r>
        </a:p>
        <a:p>
          <a:pPr marL="0" lvl="0" indent="0" algn="ctr" defTabSz="488950">
            <a:lnSpc>
              <a:spcPct val="90000"/>
            </a:lnSpc>
            <a:spcBef>
              <a:spcPct val="0"/>
            </a:spcBef>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WFBE, Flint, MI </a:t>
          </a:r>
        </a:p>
        <a:p>
          <a:pPr marL="0" lvl="0" indent="0" algn="ctr" defTabSz="488950">
            <a:lnSpc>
              <a:spcPct val="90000"/>
            </a:lnSpc>
            <a:spcBef>
              <a:spcPct val="0"/>
            </a:spcBef>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WTRX, Flint, MI</a:t>
          </a:r>
        </a:p>
      </dsp:txBody>
      <dsp:txXfrm>
        <a:off x="65339" y="2572658"/>
        <a:ext cx="2060246" cy="867125"/>
      </dsp:txXfrm>
    </dsp:sp>
    <dsp:sp modelId="{6669C7C8-5566-4E16-A27B-B6C70B1C1960}">
      <dsp:nvSpPr>
        <dsp:cNvPr id="0" name=""/>
        <dsp:cNvSpPr/>
      </dsp:nvSpPr>
      <dsp:spPr>
        <a:xfrm>
          <a:off x="2193665" y="2582737"/>
          <a:ext cx="1669624" cy="464747"/>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Broadcasting, LLC</a:t>
          </a:r>
        </a:p>
      </dsp:txBody>
      <dsp:txXfrm>
        <a:off x="2193665" y="2582737"/>
        <a:ext cx="1669624" cy="464747"/>
      </dsp:txXfrm>
    </dsp:sp>
    <dsp:sp modelId="{2471A4E8-3448-404F-AE7E-D313BB428DBC}">
      <dsp:nvSpPr>
        <dsp:cNvPr id="0" name=""/>
        <dsp:cNvSpPr/>
      </dsp:nvSpPr>
      <dsp:spPr>
        <a:xfrm>
          <a:off x="2135443" y="3746942"/>
          <a:ext cx="1778139" cy="866201"/>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Licensing LLC</a:t>
          </a:r>
        </a:p>
        <a:p>
          <a:pPr marL="0" lvl="0" indent="0" algn="ctr" defTabSz="488950">
            <a:lnSpc>
              <a:spcPct val="90000"/>
            </a:lnSpc>
            <a:spcBef>
              <a:spcPct val="0"/>
            </a:spcBef>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Licensee of:</a:t>
          </a:r>
        </a:p>
        <a:p>
          <a:pPr marL="0" lvl="0" indent="0" algn="ctr" defTabSz="488950">
            <a:lnSpc>
              <a:spcPct val="90000"/>
            </a:lnSpc>
            <a:spcBef>
              <a:spcPct val="0"/>
            </a:spcBef>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WTKA, Ann Arbor, MI</a:t>
          </a:r>
        </a:p>
        <a:p>
          <a:pPr marL="0" lvl="0" indent="0" algn="ctr" defTabSz="488950">
            <a:lnSpc>
              <a:spcPct val="90000"/>
            </a:lnSpc>
            <a:spcBef>
              <a:spcPct val="0"/>
            </a:spcBef>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WWWW-FM, Ann Arbor, MI WMAC, Macon, GA</a:t>
          </a:r>
        </a:p>
      </dsp:txBody>
      <dsp:txXfrm>
        <a:off x="2135443" y="3746942"/>
        <a:ext cx="1778139" cy="866201"/>
      </dsp:txXfrm>
    </dsp:sp>
    <dsp:sp modelId="{CFAB8793-01EC-42D9-8048-CB69F2F27933}">
      <dsp:nvSpPr>
        <dsp:cNvPr id="0" name=""/>
        <dsp:cNvSpPr/>
      </dsp:nvSpPr>
      <dsp:spPr>
        <a:xfrm>
          <a:off x="4015986" y="1823162"/>
          <a:ext cx="1859776" cy="427912"/>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Cumulus Network Holdings Inc.</a:t>
          </a:r>
        </a:p>
      </dsp:txBody>
      <dsp:txXfrm>
        <a:off x="4015986" y="1823162"/>
        <a:ext cx="1859776" cy="427912"/>
      </dsp:txXfrm>
    </dsp:sp>
    <dsp:sp modelId="{37E448C2-0987-40F7-82E5-1740DFFF08B1}">
      <dsp:nvSpPr>
        <dsp:cNvPr id="0" name=""/>
        <dsp:cNvSpPr/>
      </dsp:nvSpPr>
      <dsp:spPr>
        <a:xfrm>
          <a:off x="4018226" y="2585233"/>
          <a:ext cx="1865345" cy="783038"/>
        </a:xfrm>
        <a:prstGeom prst="rect">
          <a:avLst/>
        </a:prstGeom>
        <a:solidFill>
          <a:sysClr val="window" lastClr="FFFFFF">
            <a:hueOff val="0"/>
            <a:satOff val="0"/>
            <a:lumOff val="0"/>
            <a:alphaOff val="0"/>
          </a:sysClr>
        </a:solidFill>
        <a:ln w="12700">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*Radio License Holdings LLC </a:t>
          </a:r>
        </a:p>
        <a:p>
          <a:pPr marL="0" lvl="0" indent="0" algn="ctr" defTabSz="488950">
            <a:lnSpc>
              <a:spcPct val="90000"/>
            </a:lnSpc>
            <a:spcBef>
              <a:spcPct val="0"/>
            </a:spcBef>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Licensee of:</a:t>
          </a:r>
        </a:p>
        <a:p>
          <a:pPr marL="0" lvl="0" indent="0" algn="ctr" defTabSz="488950">
            <a:lnSpc>
              <a:spcPct val="90000"/>
            </a:lnSpc>
            <a:spcBef>
              <a:spcPct val="0"/>
            </a:spcBef>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WDVD, Detroit, MI     </a:t>
          </a:r>
        </a:p>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WDRQ, Detroit, MI</a:t>
          </a:r>
        </a:p>
      </dsp:txBody>
      <dsp:txXfrm>
        <a:off x="4018226" y="2585233"/>
        <a:ext cx="1865345" cy="7830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val="norm"/>
      <dgm:animOne val="branch"/>
      <dgm:animLvl val="lvl"/>
      <dgm:resizeHandles val="rel"/>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arg="none"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arg="none"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arg="none"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arg="none" op="lte" val="1">
                              <dgm:choose name="Name43">
                                <dgm:if name="Name44" axis="par ch" ptType="node asst" func="cnt" arg="none"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arg="none" op="lte" val="2">
                          <dgm:choose name="Name53">
                            <dgm:if name="Name54" axis="par ch" ptType="node asst" func="cnt" arg="none"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arg="none"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arg="none"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arg="none"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arg="none" op="lte" val="1">
                        <dgm:choose name="Name73">
                          <dgm:if name="Name74" axis="ch" ptType="asst" func="cnt" arg="none"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arg="none"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arg="none"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arg="none"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