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34756F" w:rsidRPr="00D8511F" w:rsidP="0034756F" w14:paraId="264DC960" w14:textId="20190563">
      <w:pPr>
        <w:pStyle w:val="Default"/>
        <w:spacing w:line="235" w:lineRule="auto"/>
        <w:rPr>
          <w:sz w:val="22"/>
          <w:szCs w:val="22"/>
        </w:rPr>
      </w:pPr>
    </w:p>
    <w:p w:rsidR="0034756F" w:rsidRPr="00027A7C" w:rsidP="00027A7C" w14:paraId="11331FA0" w14:textId="77777777">
      <w:pPr>
        <w:pStyle w:val="Default"/>
        <w:rPr>
          <w:sz w:val="22"/>
          <w:szCs w:val="22"/>
        </w:rPr>
      </w:pPr>
    </w:p>
    <w:p w:rsidR="002C68E3" w:rsidRPr="00AD6AA4" w:rsidP="00027A7C" w14:paraId="3C033D3F" w14:textId="77777777">
      <w:pPr>
        <w:jc w:val="center"/>
        <w:rPr>
          <w:b/>
          <w:sz w:val="22"/>
          <w:szCs w:val="22"/>
        </w:rPr>
      </w:pPr>
    </w:p>
    <w:p w:rsidR="00027A7C" w:rsidRPr="00AD6AA4" w:rsidP="00027A7C" w14:paraId="161131E2" w14:textId="77777777">
      <w:pPr>
        <w:jc w:val="center"/>
        <w:rPr>
          <w:b/>
          <w:bCs/>
          <w:sz w:val="22"/>
          <w:szCs w:val="22"/>
        </w:rPr>
      </w:pPr>
      <w:r w:rsidRPr="00AD6AA4">
        <w:rPr>
          <w:b/>
          <w:bCs/>
          <w:sz w:val="22"/>
          <w:szCs w:val="22"/>
        </w:rPr>
        <w:t>STATEMENT OF COMMISSIONER</w:t>
      </w:r>
    </w:p>
    <w:p w:rsidR="00027A7C" w:rsidRPr="00AD6AA4" w:rsidP="00027A7C" w14:paraId="76C01F8D" w14:textId="77777777">
      <w:pPr>
        <w:jc w:val="center"/>
        <w:rPr>
          <w:b/>
          <w:bCs/>
          <w:sz w:val="22"/>
          <w:szCs w:val="22"/>
        </w:rPr>
      </w:pPr>
      <w:r w:rsidRPr="00AD6AA4">
        <w:rPr>
          <w:b/>
          <w:bCs/>
          <w:sz w:val="22"/>
          <w:szCs w:val="22"/>
        </w:rPr>
        <w:t>NATHAN SIMINGTON</w:t>
      </w:r>
      <w:r w:rsidRPr="00AD6AA4" w:rsidR="00A251FC">
        <w:rPr>
          <w:b/>
          <w:bCs/>
          <w:sz w:val="22"/>
          <w:szCs w:val="22"/>
        </w:rPr>
        <w:t xml:space="preserve"> </w:t>
      </w:r>
    </w:p>
    <w:p w:rsidR="00D2293C" w:rsidRPr="00AD6AA4" w:rsidP="00027A7C" w14:paraId="6BFE59BE" w14:textId="2238C3E6">
      <w:pPr>
        <w:jc w:val="center"/>
        <w:rPr>
          <w:sz w:val="22"/>
          <w:szCs w:val="22"/>
        </w:rPr>
      </w:pPr>
      <w:r w:rsidRPr="00AD6AA4">
        <w:rPr>
          <w:b/>
          <w:bCs/>
          <w:sz w:val="22"/>
          <w:szCs w:val="22"/>
        </w:rPr>
        <w:t>CONCURRING</w:t>
      </w:r>
      <w:r w:rsidRPr="00AD6AA4">
        <w:rPr>
          <w:sz w:val="22"/>
          <w:szCs w:val="22"/>
        </w:rPr>
        <w:t xml:space="preserve"> </w:t>
      </w:r>
    </w:p>
    <w:p w:rsidR="00D2293C" w:rsidRPr="00AD6AA4" w:rsidP="00027A7C" w14:paraId="1B0992DF" w14:textId="77777777">
      <w:pPr>
        <w:jc w:val="center"/>
        <w:rPr>
          <w:sz w:val="22"/>
          <w:szCs w:val="22"/>
        </w:rPr>
      </w:pPr>
    </w:p>
    <w:p w:rsidR="00AD6AA4" w:rsidRPr="00AD6AA4" w:rsidP="00AD6AA4" w14:paraId="68797568" w14:textId="6398D387">
      <w:pPr>
        <w:tabs>
          <w:tab w:val="left" w:pos="720"/>
          <w:tab w:val="center" w:pos="4680"/>
        </w:tabs>
        <w:suppressAutoHyphens/>
        <w:rPr>
          <w:spacing w:val="-2"/>
          <w:sz w:val="22"/>
          <w:szCs w:val="22"/>
        </w:rPr>
      </w:pPr>
      <w:r w:rsidRPr="00AD6AA4">
        <w:rPr>
          <w:sz w:val="22"/>
          <w:szCs w:val="22"/>
        </w:rPr>
        <w:t xml:space="preserve">Re: </w:t>
      </w:r>
      <w:r w:rsidRPr="00AD6AA4">
        <w:rPr>
          <w:sz w:val="22"/>
          <w:szCs w:val="22"/>
        </w:rPr>
        <w:tab/>
      </w:r>
      <w:r w:rsidRPr="00AD6AA4">
        <w:rPr>
          <w:i/>
          <w:iCs/>
          <w:spacing w:val="-2"/>
          <w:sz w:val="22"/>
          <w:szCs w:val="22"/>
        </w:rPr>
        <w:t>LightSquared Technical Working Group Report</w:t>
      </w:r>
      <w:r w:rsidRPr="00AD6AA4">
        <w:rPr>
          <w:spacing w:val="-2"/>
          <w:sz w:val="22"/>
          <w:szCs w:val="22"/>
        </w:rPr>
        <w:t xml:space="preserve">, </w:t>
      </w:r>
      <w:r w:rsidR="001A1B9A">
        <w:rPr>
          <w:i/>
          <w:iCs/>
          <w:spacing w:val="-2"/>
          <w:sz w:val="22"/>
          <w:szCs w:val="22"/>
        </w:rPr>
        <w:t>et al.</w:t>
      </w:r>
      <w:r w:rsidR="001A1B9A">
        <w:rPr>
          <w:spacing w:val="-2"/>
          <w:sz w:val="22"/>
          <w:szCs w:val="22"/>
        </w:rPr>
        <w:t xml:space="preserve">, </w:t>
      </w:r>
      <w:r w:rsidRPr="00AD6AA4">
        <w:rPr>
          <w:spacing w:val="-2"/>
          <w:sz w:val="22"/>
          <w:szCs w:val="22"/>
        </w:rPr>
        <w:t xml:space="preserve">IB Docket No. 110-109, </w:t>
      </w:r>
      <w:r w:rsidRPr="001A1B9A">
        <w:rPr>
          <w:i/>
          <w:iCs/>
          <w:spacing w:val="-2"/>
          <w:sz w:val="22"/>
          <w:szCs w:val="22"/>
        </w:rPr>
        <w:t>et al</w:t>
      </w:r>
      <w:r w:rsidRPr="001A1B9A" w:rsidR="001A1B9A">
        <w:rPr>
          <w:i/>
          <w:iCs/>
          <w:spacing w:val="-2"/>
          <w:sz w:val="22"/>
          <w:szCs w:val="22"/>
        </w:rPr>
        <w:t>.</w:t>
      </w:r>
    </w:p>
    <w:p w:rsidR="002C68E3" w:rsidRPr="00AD6AA4" w:rsidP="00027A7C" w14:paraId="518E1BF2" w14:textId="3CBA12DF">
      <w:pPr>
        <w:tabs>
          <w:tab w:val="left" w:pos="720"/>
          <w:tab w:val="center" w:pos="4680"/>
        </w:tabs>
        <w:suppressAutoHyphens/>
        <w:rPr>
          <w:spacing w:val="-2"/>
          <w:sz w:val="22"/>
          <w:szCs w:val="22"/>
        </w:rPr>
      </w:pPr>
    </w:p>
    <w:p w:rsidR="00867653" w:rsidRPr="00AD6AA4" w:rsidP="00027A7C" w14:paraId="5D443F3C" w14:textId="6CD06BFD">
      <w:pPr>
        <w:ind w:firstLine="720"/>
        <w:rPr>
          <w:sz w:val="22"/>
          <w:szCs w:val="22"/>
        </w:rPr>
      </w:pPr>
      <w:r w:rsidRPr="00AD6AA4">
        <w:rPr>
          <w:sz w:val="22"/>
          <w:szCs w:val="22"/>
        </w:rPr>
        <w:t xml:space="preserve">I concur </w:t>
      </w:r>
      <w:r w:rsidRPr="00AD6AA4" w:rsidR="005E2045">
        <w:rPr>
          <w:sz w:val="22"/>
          <w:szCs w:val="22"/>
        </w:rPr>
        <w:t>with t</w:t>
      </w:r>
      <w:r w:rsidRPr="00AD6AA4">
        <w:rPr>
          <w:sz w:val="22"/>
          <w:szCs w:val="22"/>
        </w:rPr>
        <w:t>oday’s decision</w:t>
      </w:r>
      <w:r w:rsidRPr="00AD6AA4" w:rsidR="005E2045">
        <w:rPr>
          <w:sz w:val="22"/>
          <w:szCs w:val="22"/>
        </w:rPr>
        <w:t xml:space="preserve"> to deny NTIA’s petition for stay.  </w:t>
      </w:r>
      <w:r w:rsidRPr="00AD6AA4" w:rsidR="00F7322C">
        <w:rPr>
          <w:sz w:val="22"/>
          <w:szCs w:val="22"/>
        </w:rPr>
        <w:t>I agree with the Commission’s determination that</w:t>
      </w:r>
      <w:r w:rsidRPr="00AD6AA4" w:rsidR="00B215F4">
        <w:rPr>
          <w:sz w:val="22"/>
          <w:szCs w:val="22"/>
        </w:rPr>
        <w:t xml:space="preserve">, given the facts currently before it, </w:t>
      </w:r>
      <w:r w:rsidRPr="00AD6AA4" w:rsidR="00F7322C">
        <w:rPr>
          <w:sz w:val="22"/>
          <w:szCs w:val="22"/>
        </w:rPr>
        <w:t xml:space="preserve">the extraordinary equitable relief of a stay is not warranted. </w:t>
      </w:r>
      <w:r w:rsidRPr="00AD6AA4" w:rsidR="005D1FE6">
        <w:rPr>
          <w:sz w:val="22"/>
          <w:szCs w:val="22"/>
        </w:rPr>
        <w:t>To reach the high bar of a stay, the NTIA must show both i</w:t>
      </w:r>
      <w:bookmarkStart w:id="0" w:name="_GoBack"/>
      <w:bookmarkEnd w:id="0"/>
      <w:r w:rsidRPr="00AD6AA4" w:rsidR="005D1FE6">
        <w:rPr>
          <w:sz w:val="22"/>
          <w:szCs w:val="22"/>
        </w:rPr>
        <w:t>mminent, irreparable harm and a strong showing of likely success on the merits. As such, a stay is truly ex</w:t>
      </w:r>
      <w:r w:rsidRPr="00AD6AA4" w:rsidR="005F27C1">
        <w:rPr>
          <w:sz w:val="22"/>
          <w:szCs w:val="22"/>
        </w:rPr>
        <w:t>traordinary relief outside the ordinary course.</w:t>
      </w:r>
      <w:r w:rsidRPr="00AD6AA4" w:rsidR="005D1FE6">
        <w:rPr>
          <w:sz w:val="22"/>
          <w:szCs w:val="22"/>
        </w:rPr>
        <w:t xml:space="preserve"> </w:t>
      </w:r>
      <w:r w:rsidRPr="00AD6AA4" w:rsidR="00F7322C">
        <w:rPr>
          <w:sz w:val="22"/>
          <w:szCs w:val="22"/>
        </w:rPr>
        <w:t xml:space="preserve"> However,</w:t>
      </w:r>
      <w:r w:rsidRPr="00AD6AA4" w:rsidR="0054054C">
        <w:rPr>
          <w:sz w:val="22"/>
          <w:szCs w:val="22"/>
        </w:rPr>
        <w:t xml:space="preserve"> the denial of the petition for stay </w:t>
      </w:r>
      <w:r w:rsidRPr="00AD6AA4" w:rsidR="00F7322C">
        <w:rPr>
          <w:sz w:val="22"/>
          <w:szCs w:val="22"/>
        </w:rPr>
        <w:t>does not reflect a</w:t>
      </w:r>
      <w:r w:rsidRPr="00AD6AA4" w:rsidR="00B215F4">
        <w:rPr>
          <w:sz w:val="22"/>
          <w:szCs w:val="22"/>
        </w:rPr>
        <w:t xml:space="preserve">n evaluation of </w:t>
      </w:r>
      <w:r w:rsidRPr="00AD6AA4" w:rsidR="00F7322C">
        <w:rPr>
          <w:sz w:val="22"/>
          <w:szCs w:val="22"/>
        </w:rPr>
        <w:t xml:space="preserve">the merits of NTIA’s petition for reconsideration.  </w:t>
      </w:r>
    </w:p>
    <w:p w:rsidR="00867653" w:rsidRPr="00AD6AA4" w:rsidP="00027A7C" w14:paraId="4FF3FB6B" w14:textId="71C00CF2">
      <w:pPr>
        <w:ind w:firstLine="720"/>
        <w:rPr>
          <w:sz w:val="22"/>
          <w:szCs w:val="22"/>
        </w:rPr>
      </w:pPr>
    </w:p>
    <w:p w:rsidR="00543AC2" w:rsidRPr="00AD6AA4" w:rsidP="00027A7C" w14:paraId="6FBD9A92" w14:textId="4105C19C">
      <w:pPr>
        <w:ind w:firstLine="720"/>
        <w:rPr>
          <w:sz w:val="22"/>
          <w:szCs w:val="22"/>
        </w:rPr>
      </w:pPr>
      <w:r w:rsidRPr="00AD6AA4">
        <w:rPr>
          <w:sz w:val="22"/>
          <w:szCs w:val="22"/>
        </w:rPr>
        <w:t>It</w:t>
      </w:r>
      <w:r w:rsidRPr="00AD6AA4" w:rsidR="00E34EB1">
        <w:rPr>
          <w:sz w:val="22"/>
          <w:szCs w:val="22"/>
        </w:rPr>
        <w:t xml:space="preserve"> harms </w:t>
      </w:r>
      <w:r w:rsidRPr="00AD6AA4">
        <w:rPr>
          <w:sz w:val="22"/>
          <w:szCs w:val="22"/>
        </w:rPr>
        <w:t xml:space="preserve">neither </w:t>
      </w:r>
      <w:r w:rsidRPr="00AD6AA4" w:rsidR="00E34EB1">
        <w:rPr>
          <w:sz w:val="22"/>
          <w:szCs w:val="22"/>
        </w:rPr>
        <w:t xml:space="preserve">the public interest, </w:t>
      </w:r>
      <w:r w:rsidRPr="00AD6AA4">
        <w:rPr>
          <w:sz w:val="22"/>
          <w:szCs w:val="22"/>
        </w:rPr>
        <w:t>n</w:t>
      </w:r>
      <w:r w:rsidRPr="00AD6AA4" w:rsidR="00E34EB1">
        <w:rPr>
          <w:sz w:val="22"/>
          <w:szCs w:val="22"/>
        </w:rPr>
        <w:t>or Ligado’s interests, to delay action on the merits of NTIA’s petition for reconsideration until</w:t>
      </w:r>
      <w:r w:rsidRPr="00AD6AA4">
        <w:rPr>
          <w:sz w:val="22"/>
          <w:szCs w:val="22"/>
        </w:rPr>
        <w:t>, as mandated by Congress,</w:t>
      </w:r>
      <w:r w:rsidRPr="00AD6AA4" w:rsidR="0054054C">
        <w:rPr>
          <w:sz w:val="22"/>
          <w:szCs w:val="22"/>
        </w:rPr>
        <w:t xml:space="preserve"> an independent</w:t>
      </w:r>
      <w:r w:rsidRPr="00AD6AA4" w:rsidR="00070378">
        <w:rPr>
          <w:sz w:val="22"/>
          <w:szCs w:val="22"/>
        </w:rPr>
        <w:t xml:space="preserve"> and </w:t>
      </w:r>
      <w:r w:rsidRPr="00AD6AA4">
        <w:rPr>
          <w:sz w:val="22"/>
          <w:szCs w:val="22"/>
        </w:rPr>
        <w:t xml:space="preserve">definitive </w:t>
      </w:r>
      <w:r w:rsidRPr="00AD6AA4" w:rsidR="0054054C">
        <w:rPr>
          <w:sz w:val="22"/>
          <w:szCs w:val="22"/>
        </w:rPr>
        <w:t xml:space="preserve">technical review of the </w:t>
      </w:r>
      <w:r w:rsidRPr="00AD6AA4" w:rsidR="0054054C">
        <w:rPr>
          <w:i/>
          <w:iCs/>
          <w:sz w:val="22"/>
          <w:szCs w:val="22"/>
        </w:rPr>
        <w:t xml:space="preserve">Ligado Order </w:t>
      </w:r>
      <w:r w:rsidRPr="00AD6AA4" w:rsidR="0054054C">
        <w:rPr>
          <w:iCs/>
          <w:sz w:val="22"/>
          <w:szCs w:val="22"/>
        </w:rPr>
        <w:t>is</w:t>
      </w:r>
      <w:r w:rsidRPr="00AD6AA4" w:rsidR="0054054C">
        <w:rPr>
          <w:i/>
          <w:iCs/>
          <w:sz w:val="22"/>
          <w:szCs w:val="22"/>
        </w:rPr>
        <w:t xml:space="preserve"> </w:t>
      </w:r>
      <w:r w:rsidRPr="00AD6AA4" w:rsidR="00E34EB1">
        <w:rPr>
          <w:sz w:val="22"/>
          <w:szCs w:val="22"/>
        </w:rPr>
        <w:t>complete</w:t>
      </w:r>
      <w:r w:rsidRPr="00AD6AA4" w:rsidR="00070378">
        <w:rPr>
          <w:sz w:val="22"/>
          <w:szCs w:val="22"/>
        </w:rPr>
        <w:t>d by the</w:t>
      </w:r>
      <w:r w:rsidRPr="00AD6AA4" w:rsidR="00C0456D">
        <w:rPr>
          <w:sz w:val="22"/>
          <w:szCs w:val="22"/>
        </w:rPr>
        <w:t xml:space="preserve"> National Academies of Sciences</w:t>
      </w:r>
      <w:r w:rsidRPr="00AD6AA4" w:rsidR="005F27C1">
        <w:rPr>
          <w:sz w:val="22"/>
          <w:szCs w:val="22"/>
        </w:rPr>
        <w:t xml:space="preserve"> (NAS)</w:t>
      </w:r>
      <w:r w:rsidRPr="00AD6AA4" w:rsidR="00261F96">
        <w:rPr>
          <w:sz w:val="22"/>
          <w:szCs w:val="22"/>
        </w:rPr>
        <w:t xml:space="preserve">.  </w:t>
      </w:r>
      <w:r w:rsidRPr="00AD6AA4" w:rsidR="00E34EB1">
        <w:rPr>
          <w:sz w:val="22"/>
          <w:szCs w:val="22"/>
        </w:rPr>
        <w:t xml:space="preserve">The </w:t>
      </w:r>
      <w:r w:rsidRPr="00AD6AA4" w:rsidR="00E34EB1">
        <w:rPr>
          <w:i/>
          <w:iCs/>
          <w:sz w:val="22"/>
          <w:szCs w:val="22"/>
        </w:rPr>
        <w:t xml:space="preserve">Ligado Order </w:t>
      </w:r>
      <w:r w:rsidRPr="00AD6AA4" w:rsidR="00E34EB1">
        <w:rPr>
          <w:sz w:val="22"/>
          <w:szCs w:val="22"/>
        </w:rPr>
        <w:t xml:space="preserve">itself prevents any deployment until Ligado has </w:t>
      </w:r>
      <w:r w:rsidRPr="00AD6AA4" w:rsidR="005F27C1">
        <w:rPr>
          <w:sz w:val="22"/>
          <w:szCs w:val="22"/>
        </w:rPr>
        <w:t xml:space="preserve">both </w:t>
      </w:r>
      <w:r w:rsidRPr="00AD6AA4" w:rsidR="00E34EB1">
        <w:rPr>
          <w:sz w:val="22"/>
          <w:szCs w:val="22"/>
        </w:rPr>
        <w:t xml:space="preserve">engaged in information exchange and coordination with the U.S. Government and also provided six months advance notification to GPS device manufacturers. </w:t>
      </w:r>
      <w:r w:rsidRPr="00AD6AA4" w:rsidR="005F27C1">
        <w:rPr>
          <w:sz w:val="22"/>
          <w:szCs w:val="22"/>
        </w:rPr>
        <w:t xml:space="preserve">Both </w:t>
      </w:r>
      <w:r w:rsidRPr="00AD6AA4" w:rsidR="0013575B">
        <w:rPr>
          <w:sz w:val="22"/>
          <w:szCs w:val="22"/>
        </w:rPr>
        <w:t>the required independent review and the brakes on deployment</w:t>
      </w:r>
      <w:r w:rsidRPr="00AD6AA4" w:rsidR="005F27C1">
        <w:rPr>
          <w:sz w:val="22"/>
          <w:szCs w:val="22"/>
        </w:rPr>
        <w:t xml:space="preserve"> speak to the absence of imminent, irreparable harm; there is sufficient time to develop a conclusive scientific record on broadly accepted standards and thus to make disinterested, rigorous public policy.</w:t>
      </w:r>
      <w:r w:rsidRPr="00AD6AA4" w:rsidR="00E34EB1">
        <w:rPr>
          <w:sz w:val="22"/>
          <w:szCs w:val="22"/>
        </w:rPr>
        <w:t xml:space="preserve"> </w:t>
      </w:r>
      <w:r w:rsidRPr="00AD6AA4" w:rsidR="00261F96">
        <w:rPr>
          <w:sz w:val="22"/>
          <w:szCs w:val="22"/>
        </w:rPr>
        <w:t xml:space="preserve"> </w:t>
      </w:r>
    </w:p>
    <w:p w:rsidR="00603B5F" w:rsidRPr="00AD6AA4" w:rsidP="00027A7C" w14:paraId="584A951A" w14:textId="4046DC04">
      <w:pPr>
        <w:ind w:firstLine="720"/>
        <w:rPr>
          <w:sz w:val="22"/>
          <w:szCs w:val="22"/>
        </w:rPr>
      </w:pPr>
    </w:p>
    <w:p w:rsidR="00603B5F" w:rsidRPr="00AD6AA4" w:rsidP="00027A7C" w14:paraId="7973498F" w14:textId="2EE81F9C">
      <w:pPr>
        <w:ind w:firstLine="720"/>
        <w:rPr>
          <w:sz w:val="22"/>
          <w:szCs w:val="22"/>
        </w:rPr>
      </w:pPr>
      <w:r w:rsidRPr="00AD6AA4">
        <w:rPr>
          <w:sz w:val="22"/>
          <w:szCs w:val="22"/>
        </w:rPr>
        <w:t xml:space="preserve">I do not share my </w:t>
      </w:r>
      <w:r w:rsidRPr="00AD6AA4" w:rsidR="009335BC">
        <w:rPr>
          <w:sz w:val="22"/>
          <w:szCs w:val="22"/>
        </w:rPr>
        <w:t>colleague’s</w:t>
      </w:r>
      <w:r w:rsidRPr="00AD6AA4" w:rsidR="00BC0F15">
        <w:rPr>
          <w:sz w:val="22"/>
          <w:szCs w:val="22"/>
        </w:rPr>
        <w:t xml:space="preserve"> determination</w:t>
      </w:r>
      <w:r w:rsidRPr="00AD6AA4" w:rsidR="00A97F34">
        <w:rPr>
          <w:sz w:val="22"/>
          <w:szCs w:val="22"/>
        </w:rPr>
        <w:t xml:space="preserve"> that Ligado will </w:t>
      </w:r>
      <w:r w:rsidRPr="00AD6AA4" w:rsidR="0013575B">
        <w:rPr>
          <w:sz w:val="22"/>
          <w:szCs w:val="22"/>
        </w:rPr>
        <w:t>certainly</w:t>
      </w:r>
      <w:r w:rsidRPr="00AD6AA4" w:rsidR="005F27C1">
        <w:rPr>
          <w:sz w:val="22"/>
          <w:szCs w:val="22"/>
        </w:rPr>
        <w:t xml:space="preserve"> </w:t>
      </w:r>
      <w:r w:rsidRPr="00AD6AA4" w:rsidR="00A97F34">
        <w:rPr>
          <w:sz w:val="22"/>
          <w:szCs w:val="22"/>
        </w:rPr>
        <w:t xml:space="preserve">succeed on the merits </w:t>
      </w:r>
      <w:r w:rsidRPr="00AD6AA4" w:rsidR="005F27C1">
        <w:rPr>
          <w:sz w:val="22"/>
          <w:szCs w:val="22"/>
        </w:rPr>
        <w:t xml:space="preserve">with respect to </w:t>
      </w:r>
      <w:r w:rsidRPr="00AD6AA4" w:rsidR="00A97F34">
        <w:rPr>
          <w:sz w:val="22"/>
          <w:szCs w:val="22"/>
        </w:rPr>
        <w:t>NTIA’s petition for reconsideration</w:t>
      </w:r>
      <w:r w:rsidRPr="00AD6AA4" w:rsidR="008B315D">
        <w:rPr>
          <w:sz w:val="22"/>
          <w:szCs w:val="22"/>
        </w:rPr>
        <w:t xml:space="preserve">. </w:t>
      </w:r>
      <w:r w:rsidRPr="00AD6AA4" w:rsidR="0013575B">
        <w:rPr>
          <w:sz w:val="22"/>
          <w:szCs w:val="22"/>
        </w:rPr>
        <w:t>In my view, s</w:t>
      </w:r>
      <w:r w:rsidRPr="00AD6AA4" w:rsidR="005F27C1">
        <w:rPr>
          <w:sz w:val="22"/>
          <w:szCs w:val="22"/>
        </w:rPr>
        <w:t xml:space="preserve">uch </w:t>
      </w:r>
      <w:r w:rsidRPr="00AD6AA4" w:rsidR="0013575B">
        <w:rPr>
          <w:sz w:val="22"/>
          <w:szCs w:val="22"/>
        </w:rPr>
        <w:t>certainty</w:t>
      </w:r>
      <w:r w:rsidRPr="00AD6AA4" w:rsidR="005F27C1">
        <w:rPr>
          <w:sz w:val="22"/>
          <w:szCs w:val="22"/>
        </w:rPr>
        <w:t xml:space="preserve"> is premature because interference criteria relating to device performance have not been </w:t>
      </w:r>
      <w:r w:rsidRPr="00AD6AA4" w:rsidR="0013575B">
        <w:rPr>
          <w:sz w:val="22"/>
          <w:szCs w:val="22"/>
        </w:rPr>
        <w:t>conclusively addressed. As</w:t>
      </w:r>
      <w:r w:rsidRPr="00AD6AA4" w:rsidR="008B315D">
        <w:rPr>
          <w:sz w:val="22"/>
          <w:szCs w:val="22"/>
        </w:rPr>
        <w:t xml:space="preserve"> there is an opportunity for f</w:t>
      </w:r>
      <w:r w:rsidRPr="00AD6AA4" w:rsidR="00D3460A">
        <w:rPr>
          <w:sz w:val="22"/>
          <w:szCs w:val="22"/>
        </w:rPr>
        <w:t>urther testing, including</w:t>
      </w:r>
      <w:r w:rsidRPr="00AD6AA4" w:rsidR="005A2D95">
        <w:rPr>
          <w:sz w:val="22"/>
          <w:szCs w:val="22"/>
        </w:rPr>
        <w:t xml:space="preserve"> </w:t>
      </w:r>
      <w:r w:rsidRPr="00AD6AA4" w:rsidR="009063A2">
        <w:rPr>
          <w:sz w:val="22"/>
          <w:szCs w:val="22"/>
        </w:rPr>
        <w:t>performance-based testing</w:t>
      </w:r>
      <w:r w:rsidRPr="00AD6AA4" w:rsidR="00D3460A">
        <w:rPr>
          <w:sz w:val="22"/>
          <w:szCs w:val="22"/>
        </w:rPr>
        <w:t xml:space="preserve">, </w:t>
      </w:r>
      <w:r w:rsidRPr="00AD6AA4" w:rsidR="0013575B">
        <w:rPr>
          <w:sz w:val="22"/>
          <w:szCs w:val="22"/>
        </w:rPr>
        <w:t xml:space="preserve">there remains the possibility of a showing that </w:t>
      </w:r>
      <w:r w:rsidRPr="00AD6AA4" w:rsidR="00D3460A">
        <w:rPr>
          <w:sz w:val="22"/>
          <w:szCs w:val="22"/>
        </w:rPr>
        <w:t>will greatly bolster</w:t>
      </w:r>
      <w:r w:rsidRPr="00AD6AA4" w:rsidR="009335BC">
        <w:rPr>
          <w:sz w:val="22"/>
          <w:szCs w:val="22"/>
        </w:rPr>
        <w:t xml:space="preserve"> the </w:t>
      </w:r>
      <w:r w:rsidRPr="00AD6AA4" w:rsidR="00C61098">
        <w:rPr>
          <w:sz w:val="22"/>
          <w:szCs w:val="22"/>
        </w:rPr>
        <w:t xml:space="preserve">merits of NTIA’s petition for reconsideration.  </w:t>
      </w:r>
      <w:r w:rsidRPr="00AD6AA4" w:rsidR="0013575B">
        <w:rPr>
          <w:sz w:val="22"/>
          <w:szCs w:val="22"/>
        </w:rPr>
        <w:t xml:space="preserve">Such a showing would </w:t>
      </w:r>
      <w:r w:rsidRPr="00AD6AA4" w:rsidR="009335BC">
        <w:rPr>
          <w:sz w:val="22"/>
          <w:szCs w:val="22"/>
        </w:rPr>
        <w:t>also allow the Commission to better evaluate the entire record in this proceeding,</w:t>
      </w:r>
      <w:r w:rsidRPr="00AD6AA4" w:rsidR="008B315D">
        <w:rPr>
          <w:sz w:val="22"/>
          <w:szCs w:val="22"/>
        </w:rPr>
        <w:t xml:space="preserve"> including the </w:t>
      </w:r>
      <w:r w:rsidRPr="00AD6AA4" w:rsidR="005D1FE6">
        <w:rPr>
          <w:sz w:val="22"/>
          <w:szCs w:val="22"/>
        </w:rPr>
        <w:t xml:space="preserve">various </w:t>
      </w:r>
      <w:r w:rsidRPr="00AD6AA4" w:rsidR="008B315D">
        <w:rPr>
          <w:sz w:val="22"/>
          <w:szCs w:val="22"/>
        </w:rPr>
        <w:t xml:space="preserve">other petitions for reconsideration that were filed. </w:t>
      </w:r>
      <w:r w:rsidRPr="00AD6AA4" w:rsidR="009063B4">
        <w:rPr>
          <w:sz w:val="22"/>
          <w:szCs w:val="22"/>
        </w:rPr>
        <w:t>It is by doing so that we will adduce the best possible record in the service of disinterested policymaking in the public good.</w:t>
      </w:r>
      <w:r w:rsidRPr="00AD6AA4" w:rsidR="008B315D">
        <w:rPr>
          <w:sz w:val="22"/>
          <w:szCs w:val="22"/>
        </w:rPr>
        <w:t xml:space="preserve"> </w:t>
      </w:r>
    </w:p>
    <w:p w:rsidR="0013575B" w:rsidRPr="00AD6AA4" w:rsidP="00027A7C" w14:paraId="19130F02" w14:textId="06F7EA1D">
      <w:pPr>
        <w:ind w:firstLine="720"/>
        <w:rPr>
          <w:sz w:val="22"/>
          <w:szCs w:val="22"/>
        </w:rPr>
      </w:pPr>
    </w:p>
    <w:p w:rsidR="0013575B" w:rsidRPr="00AD6AA4" w:rsidP="00027A7C" w14:paraId="53105E72" w14:textId="77777777">
      <w:pPr>
        <w:ind w:firstLine="720"/>
        <w:rPr>
          <w:sz w:val="22"/>
          <w:szCs w:val="22"/>
        </w:rPr>
      </w:pPr>
    </w:p>
    <w:p w:rsidR="00D2293C" w:rsidRPr="00AD6AA4" w:rsidP="00027A7C" w14:paraId="1D420085" w14:textId="6B314FA0">
      <w:pPr>
        <w:ind w:firstLine="720"/>
        <w:rPr>
          <w:sz w:val="22"/>
          <w:szCs w:val="22"/>
        </w:rPr>
      </w:pPr>
      <w:r w:rsidRPr="00AD6AA4">
        <w:rPr>
          <w:sz w:val="22"/>
          <w:szCs w:val="22"/>
        </w:rPr>
        <w:t xml:space="preserve"> </w:t>
      </w:r>
    </w:p>
    <w:p w:rsidR="00CA0CF0" w:rsidRPr="00AD6AA4" w:rsidP="00027A7C" w14:paraId="6385FBAD" w14:textId="77777777">
      <w:pPr>
        <w:ind w:firstLine="720"/>
        <w:rPr>
          <w:sz w:val="22"/>
          <w:szCs w:val="22"/>
        </w:rPr>
      </w:pPr>
    </w:p>
    <w:p w:rsidR="00D641D3" w:rsidRPr="00027A7C" w:rsidP="00027A7C" w14:paraId="211FF257" w14:textId="62C32EDE">
      <w:pPr>
        <w:jc w:val="center"/>
        <w:rPr>
          <w:sz w:val="22"/>
          <w:szCs w:val="22"/>
        </w:rPr>
      </w:pPr>
    </w:p>
    <w:sectPr w:rsidSect="00B5371E">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56F"/>
    <w:rsid w:val="00013E89"/>
    <w:rsid w:val="00027A7C"/>
    <w:rsid w:val="0003205F"/>
    <w:rsid w:val="0006003F"/>
    <w:rsid w:val="00062DB3"/>
    <w:rsid w:val="00063DA0"/>
    <w:rsid w:val="00070378"/>
    <w:rsid w:val="00074C8B"/>
    <w:rsid w:val="0008248C"/>
    <w:rsid w:val="00082BE8"/>
    <w:rsid w:val="000C6B5A"/>
    <w:rsid w:val="000D5040"/>
    <w:rsid w:val="000E5621"/>
    <w:rsid w:val="000E7FD6"/>
    <w:rsid w:val="000F759C"/>
    <w:rsid w:val="00112976"/>
    <w:rsid w:val="0012233D"/>
    <w:rsid w:val="00130783"/>
    <w:rsid w:val="0013575B"/>
    <w:rsid w:val="001741B0"/>
    <w:rsid w:val="001A1B9A"/>
    <w:rsid w:val="001B7ED7"/>
    <w:rsid w:val="00231E6B"/>
    <w:rsid w:val="0023249B"/>
    <w:rsid w:val="00235EB2"/>
    <w:rsid w:val="00237AA9"/>
    <w:rsid w:val="00261F96"/>
    <w:rsid w:val="002673FB"/>
    <w:rsid w:val="002A1527"/>
    <w:rsid w:val="002C6635"/>
    <w:rsid w:val="002C68E3"/>
    <w:rsid w:val="002D7C67"/>
    <w:rsid w:val="002E3F6D"/>
    <w:rsid w:val="00325E5E"/>
    <w:rsid w:val="00341F9D"/>
    <w:rsid w:val="0034756F"/>
    <w:rsid w:val="003525B0"/>
    <w:rsid w:val="00352EFE"/>
    <w:rsid w:val="00361516"/>
    <w:rsid w:val="003718F1"/>
    <w:rsid w:val="003D4E3F"/>
    <w:rsid w:val="003F344F"/>
    <w:rsid w:val="00403957"/>
    <w:rsid w:val="004115F2"/>
    <w:rsid w:val="004130DA"/>
    <w:rsid w:val="00440D53"/>
    <w:rsid w:val="00445CA1"/>
    <w:rsid w:val="00461A0B"/>
    <w:rsid w:val="004679DD"/>
    <w:rsid w:val="0048240A"/>
    <w:rsid w:val="00485C54"/>
    <w:rsid w:val="004A2719"/>
    <w:rsid w:val="004A3965"/>
    <w:rsid w:val="004B1C10"/>
    <w:rsid w:val="004C3622"/>
    <w:rsid w:val="004C3B76"/>
    <w:rsid w:val="004D5AE9"/>
    <w:rsid w:val="004D6251"/>
    <w:rsid w:val="004D6255"/>
    <w:rsid w:val="004F101B"/>
    <w:rsid w:val="00502CEB"/>
    <w:rsid w:val="0050423A"/>
    <w:rsid w:val="005144E3"/>
    <w:rsid w:val="00516365"/>
    <w:rsid w:val="00520E2A"/>
    <w:rsid w:val="0054054C"/>
    <w:rsid w:val="00543AC2"/>
    <w:rsid w:val="005622A9"/>
    <w:rsid w:val="00571904"/>
    <w:rsid w:val="00585F81"/>
    <w:rsid w:val="005925F8"/>
    <w:rsid w:val="005931FF"/>
    <w:rsid w:val="005A2D95"/>
    <w:rsid w:val="005C4CAC"/>
    <w:rsid w:val="005C7377"/>
    <w:rsid w:val="005D117B"/>
    <w:rsid w:val="005D1FE6"/>
    <w:rsid w:val="005E2045"/>
    <w:rsid w:val="005F27C1"/>
    <w:rsid w:val="005F7561"/>
    <w:rsid w:val="005F7A3B"/>
    <w:rsid w:val="00603B5F"/>
    <w:rsid w:val="00613DAC"/>
    <w:rsid w:val="00632C4E"/>
    <w:rsid w:val="0065582D"/>
    <w:rsid w:val="006771C6"/>
    <w:rsid w:val="00685549"/>
    <w:rsid w:val="006C767A"/>
    <w:rsid w:val="006D35B0"/>
    <w:rsid w:val="00704954"/>
    <w:rsid w:val="00734215"/>
    <w:rsid w:val="00745C4B"/>
    <w:rsid w:val="007519A2"/>
    <w:rsid w:val="00756061"/>
    <w:rsid w:val="00790C08"/>
    <w:rsid w:val="00792EEE"/>
    <w:rsid w:val="007C4CC9"/>
    <w:rsid w:val="007C5EA9"/>
    <w:rsid w:val="007F5578"/>
    <w:rsid w:val="00820CE5"/>
    <w:rsid w:val="008278F8"/>
    <w:rsid w:val="00830AFF"/>
    <w:rsid w:val="00833DBE"/>
    <w:rsid w:val="00835079"/>
    <w:rsid w:val="00842D30"/>
    <w:rsid w:val="00847941"/>
    <w:rsid w:val="008616AB"/>
    <w:rsid w:val="00867653"/>
    <w:rsid w:val="00880E8C"/>
    <w:rsid w:val="00884F19"/>
    <w:rsid w:val="008B315D"/>
    <w:rsid w:val="008D02DD"/>
    <w:rsid w:val="008D20AF"/>
    <w:rsid w:val="008E305D"/>
    <w:rsid w:val="008F6488"/>
    <w:rsid w:val="009063A2"/>
    <w:rsid w:val="009063B4"/>
    <w:rsid w:val="009143BB"/>
    <w:rsid w:val="009335BC"/>
    <w:rsid w:val="00936EF6"/>
    <w:rsid w:val="00943DF2"/>
    <w:rsid w:val="0097414C"/>
    <w:rsid w:val="00974307"/>
    <w:rsid w:val="00985719"/>
    <w:rsid w:val="009B5079"/>
    <w:rsid w:val="009B63AF"/>
    <w:rsid w:val="009C5BB0"/>
    <w:rsid w:val="009E01AA"/>
    <w:rsid w:val="009E288B"/>
    <w:rsid w:val="009F0293"/>
    <w:rsid w:val="00A2312B"/>
    <w:rsid w:val="00A251FC"/>
    <w:rsid w:val="00A45C55"/>
    <w:rsid w:val="00A56F0C"/>
    <w:rsid w:val="00A61916"/>
    <w:rsid w:val="00A73912"/>
    <w:rsid w:val="00A74838"/>
    <w:rsid w:val="00A81B4A"/>
    <w:rsid w:val="00A97F34"/>
    <w:rsid w:val="00AA77B6"/>
    <w:rsid w:val="00AB5801"/>
    <w:rsid w:val="00AB5DE8"/>
    <w:rsid w:val="00AD6AA4"/>
    <w:rsid w:val="00AF01C9"/>
    <w:rsid w:val="00AF32AA"/>
    <w:rsid w:val="00B215F4"/>
    <w:rsid w:val="00B4069D"/>
    <w:rsid w:val="00B41CA8"/>
    <w:rsid w:val="00B5371E"/>
    <w:rsid w:val="00B56B99"/>
    <w:rsid w:val="00B63CDA"/>
    <w:rsid w:val="00B82468"/>
    <w:rsid w:val="00BA353A"/>
    <w:rsid w:val="00BB1FFC"/>
    <w:rsid w:val="00BC0F15"/>
    <w:rsid w:val="00BC2709"/>
    <w:rsid w:val="00BE2BEC"/>
    <w:rsid w:val="00C00D54"/>
    <w:rsid w:val="00C0456D"/>
    <w:rsid w:val="00C05380"/>
    <w:rsid w:val="00C3087A"/>
    <w:rsid w:val="00C42129"/>
    <w:rsid w:val="00C54089"/>
    <w:rsid w:val="00C61098"/>
    <w:rsid w:val="00C62303"/>
    <w:rsid w:val="00C716F9"/>
    <w:rsid w:val="00C81767"/>
    <w:rsid w:val="00C87747"/>
    <w:rsid w:val="00C918FB"/>
    <w:rsid w:val="00C976F3"/>
    <w:rsid w:val="00CA0655"/>
    <w:rsid w:val="00CA0CF0"/>
    <w:rsid w:val="00CA2B74"/>
    <w:rsid w:val="00CA3AC4"/>
    <w:rsid w:val="00CA4F80"/>
    <w:rsid w:val="00CB76F4"/>
    <w:rsid w:val="00CD7BAA"/>
    <w:rsid w:val="00CE2888"/>
    <w:rsid w:val="00CE5101"/>
    <w:rsid w:val="00CF2145"/>
    <w:rsid w:val="00CF4821"/>
    <w:rsid w:val="00D2293C"/>
    <w:rsid w:val="00D32596"/>
    <w:rsid w:val="00D3460A"/>
    <w:rsid w:val="00D35E01"/>
    <w:rsid w:val="00D361BF"/>
    <w:rsid w:val="00D641D3"/>
    <w:rsid w:val="00D67685"/>
    <w:rsid w:val="00D8511F"/>
    <w:rsid w:val="00D93A1D"/>
    <w:rsid w:val="00D970C2"/>
    <w:rsid w:val="00DA5AF8"/>
    <w:rsid w:val="00DB795F"/>
    <w:rsid w:val="00DD4FCA"/>
    <w:rsid w:val="00DF420A"/>
    <w:rsid w:val="00E00835"/>
    <w:rsid w:val="00E34EB1"/>
    <w:rsid w:val="00E47221"/>
    <w:rsid w:val="00E51C7E"/>
    <w:rsid w:val="00E52B29"/>
    <w:rsid w:val="00E57F1E"/>
    <w:rsid w:val="00E609D0"/>
    <w:rsid w:val="00E617A7"/>
    <w:rsid w:val="00E714AD"/>
    <w:rsid w:val="00E95004"/>
    <w:rsid w:val="00EA0D72"/>
    <w:rsid w:val="00EA4700"/>
    <w:rsid w:val="00EB255F"/>
    <w:rsid w:val="00ED39CE"/>
    <w:rsid w:val="00EE3D61"/>
    <w:rsid w:val="00EF63F6"/>
    <w:rsid w:val="00F36E4C"/>
    <w:rsid w:val="00F36FAF"/>
    <w:rsid w:val="00F564C5"/>
    <w:rsid w:val="00F7322C"/>
    <w:rsid w:val="00F846F1"/>
    <w:rsid w:val="00FC62A8"/>
    <w:rsid w:val="00FD035B"/>
    <w:rsid w:val="00FE4199"/>
    <w:rsid w:val="00FF14EC"/>
    <w:rsid w:val="00FF41F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F15871E1-AEB9-4923-B7E4-E6FE08442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5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756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347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75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56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3249B"/>
    <w:rPr>
      <w:sz w:val="16"/>
      <w:szCs w:val="16"/>
    </w:rPr>
  </w:style>
  <w:style w:type="paragraph" w:styleId="CommentText">
    <w:name w:val="annotation text"/>
    <w:basedOn w:val="Normal"/>
    <w:link w:val="CommentTextChar"/>
    <w:uiPriority w:val="99"/>
    <w:semiHidden/>
    <w:unhideWhenUsed/>
    <w:rsid w:val="0023249B"/>
    <w:rPr>
      <w:sz w:val="20"/>
      <w:szCs w:val="20"/>
    </w:rPr>
  </w:style>
  <w:style w:type="character" w:customStyle="1" w:styleId="CommentTextChar">
    <w:name w:val="Comment Text Char"/>
    <w:basedOn w:val="DefaultParagraphFont"/>
    <w:link w:val="CommentText"/>
    <w:uiPriority w:val="99"/>
    <w:semiHidden/>
    <w:rsid w:val="0023249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249B"/>
    <w:rPr>
      <w:b/>
      <w:bCs/>
    </w:rPr>
  </w:style>
  <w:style w:type="character" w:customStyle="1" w:styleId="CommentSubjectChar">
    <w:name w:val="Comment Subject Char"/>
    <w:basedOn w:val="CommentTextChar"/>
    <w:link w:val="CommentSubject"/>
    <w:uiPriority w:val="99"/>
    <w:semiHidden/>
    <w:rsid w:val="0023249B"/>
    <w:rPr>
      <w:rFonts w:ascii="Times New Roman" w:eastAsia="Times New Roman" w:hAnsi="Times New Roman" w:cs="Times New Roman"/>
      <w:b/>
      <w:bCs/>
      <w:sz w:val="20"/>
      <w:szCs w:val="20"/>
    </w:rPr>
  </w:style>
  <w:style w:type="paragraph" w:styleId="Revision">
    <w:name w:val="Revision"/>
    <w:hidden/>
    <w:uiPriority w:val="99"/>
    <w:semiHidden/>
    <w:rsid w:val="00734215"/>
    <w:pPr>
      <w:spacing w:after="0" w:line="240" w:lineRule="auto"/>
    </w:pPr>
    <w:rPr>
      <w:rFonts w:ascii="Times New Roman" w:eastAsia="Times New Roman" w:hAnsi="Times New Roman" w:cs="Times New Roman"/>
      <w:sz w:val="24"/>
      <w:szCs w:val="24"/>
    </w:rPr>
  </w:style>
  <w:style w:type="paragraph" w:styleId="FootnoteText">
    <w:name w:val="footnote text"/>
    <w:aliases w:val="ALTS FOOTNOTE,Footnote Text Char Char,Footnote Text Char Char1 Char Char,Footnote Text Char1,Footnote Text Char1 Char Char,Footnote Text Char1 Char Char Char Char Char,Footnote Text Char2 Char Char,Footnote Text Char2 Char Char Char Char,f"/>
    <w:link w:val="FootnoteTextChar"/>
    <w:uiPriority w:val="99"/>
    <w:rsid w:val="00261F96"/>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ALTS FOOTNOTE Char,Footnote Text Char Char Char,Footnote Text Char Char1 Char Char Char,Footnote Text Char1 Char,Footnote Text Char1 Char Char Char,Footnote Text Char1 Char Char Char Char Char Char,Footnote Text Char2 Char Char Char"/>
    <w:basedOn w:val="DefaultParagraphFont"/>
    <w:link w:val="FootnoteText"/>
    <w:uiPriority w:val="99"/>
    <w:rsid w:val="00261F96"/>
    <w:rPr>
      <w:rFonts w:ascii="Times New Roman" w:eastAsia="Times New Roman" w:hAnsi="Times New Roman" w:cs="Times New Roman"/>
      <w:sz w:val="20"/>
      <w:szCs w:val="20"/>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rsid w:val="00261F96"/>
    <w:rPr>
      <w:rFonts w:ascii="Times New Roman" w:hAnsi="Times New Roman"/>
      <w:dstrike w:val="0"/>
      <w:color w:val="auto"/>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