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2BCDD6C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2B531B7" w14:textId="77777777">
      <w:pPr>
        <w:pStyle w:val="StyleBoldCentered"/>
      </w:pPr>
      <w:r>
        <w:t>F</w:t>
      </w:r>
      <w:r>
        <w:rPr>
          <w:caps w:val="0"/>
        </w:rPr>
        <w:t>ederal Communications Commission</w:t>
      </w:r>
    </w:p>
    <w:p w:rsidR="004C2EE3" w:rsidP="00096D8C" w14:paraId="4C40ED68" w14:textId="77777777">
      <w:pPr>
        <w:pStyle w:val="StyleBoldCentered"/>
      </w:pPr>
      <w:r>
        <w:rPr>
          <w:caps w:val="0"/>
        </w:rPr>
        <w:t>Washington, D.C. 20554</w:t>
      </w:r>
    </w:p>
    <w:p w:rsidR="004C2EE3" w:rsidP="0070224F" w14:paraId="71E083E6" w14:textId="77777777"/>
    <w:p w:rsidR="004C2EE3" w:rsidP="0070224F" w14:paraId="4D30F595" w14:textId="77777777"/>
    <w:tbl>
      <w:tblPr>
        <w:tblW w:w="0" w:type="auto"/>
        <w:tblLayout w:type="fixed"/>
        <w:tblLook w:val="0000"/>
      </w:tblPr>
      <w:tblGrid>
        <w:gridCol w:w="4698"/>
        <w:gridCol w:w="630"/>
        <w:gridCol w:w="4248"/>
      </w:tblGrid>
      <w:tr w14:paraId="5AD87DC3" w14:textId="77777777">
        <w:tblPrEx>
          <w:tblW w:w="0" w:type="auto"/>
          <w:tblLayout w:type="fixed"/>
          <w:tblLook w:val="0000"/>
        </w:tblPrEx>
        <w:tc>
          <w:tcPr>
            <w:tcW w:w="4698" w:type="dxa"/>
          </w:tcPr>
          <w:p w:rsidR="004C2EE3" w14:paraId="6A4A25AD" w14:textId="77777777">
            <w:pPr>
              <w:tabs>
                <w:tab w:val="center" w:pos="4680"/>
              </w:tabs>
              <w:suppressAutoHyphens/>
              <w:rPr>
                <w:spacing w:val="-2"/>
              </w:rPr>
            </w:pPr>
            <w:r>
              <w:rPr>
                <w:spacing w:val="-2"/>
              </w:rPr>
              <w:t>In the Matter of</w:t>
            </w:r>
          </w:p>
          <w:p w:rsidR="004C2EE3" w14:paraId="399441CD" w14:textId="77777777">
            <w:pPr>
              <w:tabs>
                <w:tab w:val="center" w:pos="4680"/>
              </w:tabs>
              <w:suppressAutoHyphens/>
              <w:rPr>
                <w:spacing w:val="-2"/>
              </w:rPr>
            </w:pPr>
          </w:p>
          <w:p w:rsidR="004C2EE3" w:rsidRPr="007115F7" w:rsidP="007115F7" w14:paraId="07AD3B27" w14:textId="77777777">
            <w:pPr>
              <w:tabs>
                <w:tab w:val="center" w:pos="4680"/>
              </w:tabs>
              <w:suppressAutoHyphens/>
              <w:rPr>
                <w:spacing w:val="-2"/>
              </w:rPr>
            </w:pPr>
            <w:r>
              <w:rPr>
                <w:spacing w:val="-2"/>
              </w:rPr>
              <w:t>COVID-19 Telehealth Program</w:t>
            </w:r>
          </w:p>
        </w:tc>
        <w:tc>
          <w:tcPr>
            <w:tcW w:w="630" w:type="dxa"/>
          </w:tcPr>
          <w:p w:rsidR="004C2EE3" w14:paraId="1BC30D4E" w14:textId="77777777">
            <w:pPr>
              <w:tabs>
                <w:tab w:val="center" w:pos="4680"/>
              </w:tabs>
              <w:suppressAutoHyphens/>
              <w:rPr>
                <w:b/>
                <w:spacing w:val="-2"/>
              </w:rPr>
            </w:pPr>
            <w:r>
              <w:rPr>
                <w:b/>
                <w:spacing w:val="-2"/>
              </w:rPr>
              <w:t>)</w:t>
            </w:r>
          </w:p>
          <w:p w:rsidR="004C2EE3" w14:paraId="24E21D6A" w14:textId="77777777">
            <w:pPr>
              <w:tabs>
                <w:tab w:val="center" w:pos="4680"/>
              </w:tabs>
              <w:suppressAutoHyphens/>
              <w:rPr>
                <w:b/>
                <w:spacing w:val="-2"/>
              </w:rPr>
            </w:pPr>
            <w:r>
              <w:rPr>
                <w:b/>
                <w:spacing w:val="-2"/>
              </w:rPr>
              <w:t>)</w:t>
            </w:r>
          </w:p>
          <w:p w:rsidR="004C2EE3" w:rsidRPr="00CA1686" w14:paraId="37E3E198" w14:textId="605612B0">
            <w:pPr>
              <w:tabs>
                <w:tab w:val="center" w:pos="4680"/>
              </w:tabs>
              <w:suppressAutoHyphens/>
              <w:rPr>
                <w:b/>
                <w:spacing w:val="-2"/>
              </w:rPr>
            </w:pPr>
            <w:r>
              <w:rPr>
                <w:b/>
                <w:spacing w:val="-2"/>
              </w:rPr>
              <w:t>)</w:t>
            </w:r>
          </w:p>
        </w:tc>
        <w:tc>
          <w:tcPr>
            <w:tcW w:w="4248" w:type="dxa"/>
          </w:tcPr>
          <w:p w:rsidR="004C2EE3" w14:paraId="3C526567" w14:textId="77777777">
            <w:pPr>
              <w:tabs>
                <w:tab w:val="center" w:pos="4680"/>
              </w:tabs>
              <w:suppressAutoHyphens/>
              <w:rPr>
                <w:spacing w:val="-2"/>
              </w:rPr>
            </w:pPr>
          </w:p>
          <w:p w:rsidR="004C2EE3" w14:paraId="4008EA73" w14:textId="77777777">
            <w:pPr>
              <w:pStyle w:val="TOAHeading"/>
              <w:tabs>
                <w:tab w:val="center" w:pos="4680"/>
                <w:tab w:val="clear" w:pos="9360"/>
              </w:tabs>
              <w:rPr>
                <w:spacing w:val="-2"/>
              </w:rPr>
            </w:pPr>
          </w:p>
          <w:p w:rsidR="004C2EE3" w14:paraId="311702F0" w14:textId="77777777">
            <w:pPr>
              <w:tabs>
                <w:tab w:val="center" w:pos="4680"/>
              </w:tabs>
              <w:suppressAutoHyphens/>
              <w:rPr>
                <w:spacing w:val="-2"/>
              </w:rPr>
            </w:pPr>
            <w:r>
              <w:rPr>
                <w:spacing w:val="-2"/>
              </w:rPr>
              <w:t>WC Docket No. 20-89</w:t>
            </w:r>
          </w:p>
        </w:tc>
      </w:tr>
    </w:tbl>
    <w:p w:rsidR="004C2EE3" w:rsidP="0070224F" w14:paraId="3E5D941B" w14:textId="77777777"/>
    <w:p w:rsidR="00841AB1" w:rsidP="00F021FA" w14:paraId="2707A9B9" w14:textId="77777777">
      <w:pPr>
        <w:pStyle w:val="StyleBoldCentered"/>
      </w:pPr>
      <w:r>
        <w:t xml:space="preserve">REport and </w:t>
      </w:r>
      <w:r w:rsidR="00F604D2">
        <w:t>Order</w:t>
      </w:r>
    </w:p>
    <w:p w:rsidR="004C2EE3" w14:paraId="6C06F6D8" w14:textId="77777777">
      <w:pPr>
        <w:tabs>
          <w:tab w:val="left" w:pos="-720"/>
        </w:tabs>
        <w:suppressAutoHyphens/>
        <w:spacing w:line="227" w:lineRule="auto"/>
        <w:rPr>
          <w:spacing w:val="-2"/>
        </w:rPr>
      </w:pPr>
    </w:p>
    <w:p w:rsidR="004C2EE3" w:rsidP="00133F79" w14:paraId="6238B819" w14:textId="14C095DA">
      <w:pPr>
        <w:tabs>
          <w:tab w:val="left" w:pos="720"/>
          <w:tab w:val="right" w:pos="9360"/>
        </w:tabs>
        <w:suppressAutoHyphens/>
        <w:spacing w:line="227" w:lineRule="auto"/>
        <w:rPr>
          <w:spacing w:val="-2"/>
        </w:rPr>
      </w:pPr>
      <w:r>
        <w:rPr>
          <w:b/>
          <w:spacing w:val="-2"/>
        </w:rPr>
        <w:t xml:space="preserve">Adopted:  </w:t>
      </w:r>
      <w:r w:rsidR="00A95449">
        <w:rPr>
          <w:b/>
          <w:spacing w:val="-2"/>
        </w:rPr>
        <w:t>February 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95449">
        <w:rPr>
          <w:b/>
          <w:spacing w:val="-2"/>
        </w:rPr>
        <w:t>February 2, 2021</w:t>
      </w:r>
    </w:p>
    <w:p w:rsidR="00822CE0" w14:paraId="34FB8C32" w14:textId="77777777"/>
    <w:p w:rsidR="004C2EE3" w14:paraId="313E3055" w14:textId="77777777">
      <w:pPr>
        <w:rPr>
          <w:spacing w:val="-2"/>
        </w:rPr>
      </w:pPr>
      <w:r>
        <w:t xml:space="preserve">By </w:t>
      </w:r>
      <w:r w:rsidR="004E4A22">
        <w:t>the</w:t>
      </w:r>
      <w:r w:rsidR="002A2D2E">
        <w:t xml:space="preserve"> </w:t>
      </w:r>
      <w:r w:rsidR="00911655">
        <w:rPr>
          <w:spacing w:val="-2"/>
        </w:rPr>
        <w:t>Commission</w:t>
      </w:r>
      <w:r>
        <w:rPr>
          <w:spacing w:val="-2"/>
        </w:rPr>
        <w:t>:</w:t>
      </w:r>
    </w:p>
    <w:p w:rsidR="00822CE0" w14:paraId="39D1025F" w14:textId="77777777">
      <w:pPr>
        <w:rPr>
          <w:spacing w:val="-2"/>
        </w:rPr>
      </w:pPr>
    </w:p>
    <w:p w:rsidR="00412FC5" w:rsidP="00C36B4C" w14:paraId="2254DA05" w14:textId="77777777">
      <w:pPr>
        <w:pStyle w:val="Heading1"/>
      </w:pPr>
      <w:r>
        <w:t>Introduction</w:t>
      </w:r>
    </w:p>
    <w:p w:rsidR="003D3D61" w:rsidP="00033E7F" w14:paraId="2C3CADB0" w14:textId="5C061557">
      <w:pPr>
        <w:pStyle w:val="ParaNum"/>
      </w:pPr>
      <w:r>
        <w:t xml:space="preserve">In this Report and Order, we take the next step toward </w:t>
      </w:r>
      <w:r w:rsidR="009C7DFD">
        <w:t xml:space="preserve">committing </w:t>
      </w:r>
      <w:r w:rsidR="000F3263">
        <w:t xml:space="preserve">funding </w:t>
      </w:r>
      <w:r w:rsidR="00C25793">
        <w:t xml:space="preserve">through the COVID-19 Telehealth Program (Program) </w:t>
      </w:r>
      <w:r>
        <w:t xml:space="preserve">by finding it is in the public interest to expand </w:t>
      </w:r>
      <w:r w:rsidR="00C25793">
        <w:t xml:space="preserve">the </w:t>
      </w:r>
      <w:r>
        <w:t xml:space="preserve">administrative responsibilities </w:t>
      </w:r>
      <w:r w:rsidR="00C25793">
        <w:t xml:space="preserve">of the Universal Service Administrative Company (USAC) to include the </w:t>
      </w:r>
      <w:r w:rsidR="00830E4F">
        <w:t>Program</w:t>
      </w:r>
      <w:r>
        <w:t>.</w:t>
      </w:r>
      <w:r w:rsidR="00674EF4">
        <w:t xml:space="preserve"> </w:t>
      </w:r>
      <w:r w:rsidR="0064639B">
        <w:t xml:space="preserve"> </w:t>
      </w:r>
      <w:r w:rsidR="00C33776">
        <w:t>The ongoing COVID-19 pandemic</w:t>
      </w:r>
      <w:r w:rsidR="000759A8">
        <w:t xml:space="preserve"> has caused unprecedented stress on the Nation’s health</w:t>
      </w:r>
      <w:r w:rsidR="00CF584F">
        <w:t xml:space="preserve"> </w:t>
      </w:r>
      <w:r w:rsidR="000759A8">
        <w:t>care system.</w:t>
      </w:r>
      <w:r w:rsidR="000B617E">
        <w:t xml:space="preserve">  </w:t>
      </w:r>
      <w:r w:rsidR="0099180F">
        <w:t xml:space="preserve">As </w:t>
      </w:r>
      <w:r w:rsidR="00966FE7">
        <w:t>health</w:t>
      </w:r>
      <w:r w:rsidR="00C83463">
        <w:t xml:space="preserve"> </w:t>
      </w:r>
      <w:r w:rsidR="00966FE7">
        <w:t xml:space="preserve">care providers have struggled to provide urgently needed care, </w:t>
      </w:r>
      <w:r w:rsidR="003C7FC7">
        <w:t>telehealth</w:t>
      </w:r>
      <w:r w:rsidR="00966FE7">
        <w:t xml:space="preserve"> has emerged as an essential resource</w:t>
      </w:r>
      <w:r w:rsidR="008C5ABF">
        <w:t xml:space="preserve"> to combatting the pandemic.  </w:t>
      </w:r>
      <w:r w:rsidR="00D55CC9">
        <w:t>In March 2020</w:t>
      </w:r>
      <w:r w:rsidR="001A1FEE">
        <w:t xml:space="preserve">, </w:t>
      </w:r>
      <w:r w:rsidR="00FE67B9">
        <w:t>Congress</w:t>
      </w:r>
      <w:r w:rsidR="00E06EB0">
        <w:t xml:space="preserve"> </w:t>
      </w:r>
      <w:r w:rsidR="00FE67B9">
        <w:t>allocated $200 million</w:t>
      </w:r>
      <w:r w:rsidR="00666FCC">
        <w:t xml:space="preserve"> to the </w:t>
      </w:r>
      <w:r w:rsidR="005A23BE">
        <w:t>Commission</w:t>
      </w:r>
      <w:r w:rsidR="00CB3271">
        <w:t xml:space="preserve"> to </w:t>
      </w:r>
      <w:r w:rsidR="0063143F">
        <w:t xml:space="preserve">establish a program to </w:t>
      </w:r>
      <w:r w:rsidR="005E359E">
        <w:t>help</w:t>
      </w:r>
      <w:r w:rsidR="00CB3271">
        <w:t xml:space="preserve"> health</w:t>
      </w:r>
      <w:r w:rsidR="0063143F">
        <w:t xml:space="preserve"> </w:t>
      </w:r>
      <w:r w:rsidR="00CB3271">
        <w:t xml:space="preserve">care providers </w:t>
      </w:r>
      <w:r w:rsidR="005E359E">
        <w:t xml:space="preserve">offer telehealth and connected care services </w:t>
      </w:r>
      <w:r w:rsidR="004D78DB">
        <w:t xml:space="preserve">and </w:t>
      </w:r>
      <w:r w:rsidR="009A2911">
        <w:t xml:space="preserve">connected </w:t>
      </w:r>
      <w:r w:rsidR="004D78DB">
        <w:t xml:space="preserve">devices </w:t>
      </w:r>
      <w:r w:rsidR="005E359E">
        <w:t>to patients at their homes or mobile locations</w:t>
      </w:r>
      <w:r w:rsidR="00C83463">
        <w:t xml:space="preserve"> in response to the COVID-19 pandemic</w:t>
      </w:r>
      <w:r w:rsidR="006E07CB">
        <w:t>.</w:t>
      </w:r>
      <w:r>
        <w:rPr>
          <w:rStyle w:val="FootnoteReference"/>
        </w:rPr>
        <w:footnoteReference w:id="3"/>
      </w:r>
      <w:r w:rsidR="006E07CB">
        <w:t xml:space="preserve">  The Commission </w:t>
      </w:r>
      <w:r w:rsidR="00C83463">
        <w:t xml:space="preserve"> establish</w:t>
      </w:r>
      <w:r w:rsidR="6C27A224">
        <w:t>ed</w:t>
      </w:r>
      <w:r w:rsidR="0017242D">
        <w:t xml:space="preserve"> the </w:t>
      </w:r>
      <w:r w:rsidR="00CA55C7">
        <w:t>Program</w:t>
      </w:r>
      <w:r w:rsidR="00F33703">
        <w:t xml:space="preserve"> and commit</w:t>
      </w:r>
      <w:r w:rsidR="032CA2AD">
        <w:t>ted</w:t>
      </w:r>
      <w:r w:rsidR="00F33703">
        <w:t xml:space="preserve"> th</w:t>
      </w:r>
      <w:r w:rsidR="2EC5B65B">
        <w:t>is funding</w:t>
      </w:r>
      <w:r w:rsidR="0097749D">
        <w:t xml:space="preserve"> </w:t>
      </w:r>
      <w:r w:rsidR="00F33703">
        <w:t xml:space="preserve">to </w:t>
      </w:r>
      <w:r w:rsidR="00754603">
        <w:t>health care</w:t>
      </w:r>
      <w:r w:rsidR="00664E80">
        <w:t xml:space="preserve"> </w:t>
      </w:r>
      <w:r w:rsidR="00754603">
        <w:t>providers across the country</w:t>
      </w:r>
      <w:r w:rsidR="0017242D">
        <w:t>.</w:t>
      </w:r>
      <w:r>
        <w:rPr>
          <w:rStyle w:val="FootnoteReference"/>
        </w:rPr>
        <w:footnoteReference w:id="4"/>
      </w:r>
      <w:r w:rsidR="0017242D">
        <w:t xml:space="preserve">  </w:t>
      </w:r>
      <w:r w:rsidR="0098547D">
        <w:t>In December</w:t>
      </w:r>
      <w:r w:rsidR="0064639B">
        <w:t xml:space="preserve"> 2020</w:t>
      </w:r>
      <w:r w:rsidR="00CB4CD6">
        <w:t xml:space="preserve">, </w:t>
      </w:r>
      <w:r w:rsidR="00CA55C7">
        <w:t xml:space="preserve">Congress appropriated an additional $249.95 million for </w:t>
      </w:r>
      <w:r w:rsidR="000E6927">
        <w:t>a second round</w:t>
      </w:r>
      <w:r w:rsidR="0017242D">
        <w:t xml:space="preserve"> of </w:t>
      </w:r>
      <w:r w:rsidR="002A2B1B">
        <w:t xml:space="preserve">funding </w:t>
      </w:r>
      <w:r w:rsidR="00514D36">
        <w:t xml:space="preserve">for </w:t>
      </w:r>
      <w:r w:rsidR="00CA55C7">
        <w:t>the Program</w:t>
      </w:r>
      <w:r w:rsidRPr="00485E6C" w:rsidR="00485E6C">
        <w:t xml:space="preserve"> </w:t>
      </w:r>
      <w:r w:rsidR="009720C5">
        <w:t>under</w:t>
      </w:r>
      <w:r w:rsidR="00485E6C">
        <w:t xml:space="preserve"> the Consolidated Appropriations Act, 2021</w:t>
      </w:r>
      <w:r w:rsidR="00CA55C7">
        <w:t>.</w:t>
      </w:r>
      <w:r>
        <w:rPr>
          <w:rStyle w:val="FootnoteReference"/>
        </w:rPr>
        <w:footnoteReference w:id="5"/>
      </w:r>
      <w:r w:rsidR="00CA55C7">
        <w:t xml:space="preserve">  </w:t>
      </w:r>
    </w:p>
    <w:p w:rsidR="008225D5" w:rsidP="008225D5" w14:paraId="2EDFF16F" w14:textId="77777777">
      <w:pPr>
        <w:pStyle w:val="Heading1"/>
      </w:pPr>
      <w:r>
        <w:t>Background</w:t>
      </w:r>
    </w:p>
    <w:p w:rsidR="004306F1" w:rsidRPr="00F52274" w:rsidP="00F52274" w14:paraId="603E0783" w14:textId="769E0F55">
      <w:pPr>
        <w:pStyle w:val="ParaNum"/>
      </w:pPr>
      <w:r>
        <w:t xml:space="preserve">In addition to appropriating </w:t>
      </w:r>
      <w:r w:rsidR="003F501D">
        <w:t>additional funding</w:t>
      </w:r>
      <w:r w:rsidR="0098547D">
        <w:t xml:space="preserve"> to the Program</w:t>
      </w:r>
      <w:r w:rsidR="003F501D">
        <w:t xml:space="preserve">, the </w:t>
      </w:r>
      <w:r w:rsidR="00EA369A">
        <w:t xml:space="preserve">Consolidated Appropriations </w:t>
      </w:r>
      <w:r w:rsidR="00124768">
        <w:t>Act require</w:t>
      </w:r>
      <w:r w:rsidR="00074DD8">
        <w:t>d</w:t>
      </w:r>
      <w:r w:rsidR="00124768">
        <w:t xml:space="preserve"> the Commission to seek comment on “the metrics the Commission should use to evaluate applications for funding” and “how the Commission should treat applications filed during the funding rounds for awards from the Program using amounts appropriated under the CARES Act . . . .”</w:t>
      </w:r>
      <w:r>
        <w:rPr>
          <w:rStyle w:val="FootnoteReference"/>
        </w:rPr>
        <w:footnoteReference w:id="6"/>
      </w:r>
      <w:r w:rsidR="00CD5868">
        <w:t xml:space="preserve">  </w:t>
      </w:r>
      <w:r w:rsidR="001D4C2D">
        <w:t xml:space="preserve">On January 6, 2021, the </w:t>
      </w:r>
      <w:r w:rsidR="00557789">
        <w:t xml:space="preserve">Wireline Competition Bureau (Bureau) </w:t>
      </w:r>
      <w:r w:rsidR="00067BEC">
        <w:t>released</w:t>
      </w:r>
      <w:r w:rsidR="001D4C2D">
        <w:t xml:space="preserve"> a Public Notice seeking </w:t>
      </w:r>
      <w:r w:rsidR="001D4C2D">
        <w:t>comment</w:t>
      </w:r>
      <w:r w:rsidR="00AB37C3">
        <w:t xml:space="preserve"> on</w:t>
      </w:r>
      <w:r w:rsidR="00172935">
        <w:t xml:space="preserve"> </w:t>
      </w:r>
      <w:r w:rsidR="00074DD8">
        <w:t xml:space="preserve">these </w:t>
      </w:r>
      <w:r w:rsidR="00DA0E68">
        <w:t>matters</w:t>
      </w:r>
      <w:r w:rsidR="0098547D">
        <w:t>,</w:t>
      </w:r>
      <w:r w:rsidR="00DA0E68">
        <w:t xml:space="preserve"> as well as</w:t>
      </w:r>
      <w:r w:rsidR="000E569F">
        <w:t xml:space="preserve"> </w:t>
      </w:r>
      <w:r w:rsidR="0097749D">
        <w:t xml:space="preserve">on </w:t>
      </w:r>
      <w:r w:rsidR="000E569F">
        <w:t xml:space="preserve">how to meet the </w:t>
      </w:r>
      <w:r w:rsidR="00FB6925">
        <w:t xml:space="preserve">Consolidated Appropriations </w:t>
      </w:r>
      <w:r w:rsidR="000E569F">
        <w:t>Act’s other requirements for the Program</w:t>
      </w:r>
      <w:r w:rsidR="0098547D">
        <w:t>,</w:t>
      </w:r>
      <w:r w:rsidR="000E569F">
        <w:t xml:space="preserve"> and </w:t>
      </w:r>
      <w:r w:rsidR="0097749D">
        <w:t xml:space="preserve">on </w:t>
      </w:r>
      <w:r w:rsidR="000E569F">
        <w:t>improvements to the application, review, and invoicing processes</w:t>
      </w:r>
      <w:r w:rsidR="00172935">
        <w:t>.</w:t>
      </w:r>
      <w:r>
        <w:rPr>
          <w:rStyle w:val="FootnoteReference"/>
        </w:rPr>
        <w:footnoteReference w:id="7"/>
      </w:r>
      <w:r w:rsidR="003D4660">
        <w:t xml:space="preserve">  Among other things, the </w:t>
      </w:r>
      <w:r w:rsidRPr="00F52274" w:rsidR="003D4660">
        <w:rPr>
          <w:i/>
          <w:iCs/>
        </w:rPr>
        <w:t>January 6</w:t>
      </w:r>
      <w:r w:rsidRPr="00F52274" w:rsidR="003D4660">
        <w:rPr>
          <w:i/>
          <w:iCs/>
          <w:vertAlign w:val="superscript"/>
        </w:rPr>
        <w:t>th</w:t>
      </w:r>
      <w:r w:rsidRPr="00F52274" w:rsidR="003D4660">
        <w:rPr>
          <w:i/>
          <w:iCs/>
        </w:rPr>
        <w:t xml:space="preserve"> Public Notice</w:t>
      </w:r>
      <w:r w:rsidR="003D4660">
        <w:t xml:space="preserve"> </w:t>
      </w:r>
      <w:r w:rsidR="00B56BCC">
        <w:t>proposed</w:t>
      </w:r>
      <w:r w:rsidR="00BE67A0">
        <w:t xml:space="preserve"> using </w:t>
      </w:r>
      <w:r w:rsidR="009D2D8F">
        <w:t>USAC</w:t>
      </w:r>
      <w:r w:rsidR="00CF5708">
        <w:t xml:space="preserve"> to </w:t>
      </w:r>
      <w:r w:rsidRPr="00F52274" w:rsidR="00CF5708">
        <w:t xml:space="preserve">assist in </w:t>
      </w:r>
      <w:r w:rsidRPr="00B76CF8" w:rsidR="00CF5708">
        <w:t xml:space="preserve">the remaining work </w:t>
      </w:r>
      <w:r w:rsidRPr="009D6803" w:rsidR="007B0D4C">
        <w:t xml:space="preserve">needed </w:t>
      </w:r>
      <w:r w:rsidRPr="009D6803" w:rsidR="00CF5708">
        <w:t xml:space="preserve">to </w:t>
      </w:r>
      <w:r w:rsidRPr="009D6803" w:rsidR="007B0D4C">
        <w:t>administer</w:t>
      </w:r>
      <w:r w:rsidRPr="009D6803" w:rsidR="00C547C0">
        <w:t xml:space="preserve"> </w:t>
      </w:r>
      <w:r w:rsidRPr="009D6803" w:rsidR="00072C48">
        <w:t xml:space="preserve">the initial round </w:t>
      </w:r>
      <w:r w:rsidRPr="009D6803" w:rsidR="00C547C0">
        <w:t xml:space="preserve">of </w:t>
      </w:r>
      <w:r w:rsidRPr="009D6803" w:rsidR="007B0D4C">
        <w:t>funding</w:t>
      </w:r>
      <w:r w:rsidRPr="009D6803" w:rsidR="00072C48">
        <w:t xml:space="preserve"> appropriated </w:t>
      </w:r>
      <w:r w:rsidRPr="009D6803" w:rsidR="007B0D4C">
        <w:t xml:space="preserve">to the Program </w:t>
      </w:r>
      <w:r w:rsidRPr="009D6803" w:rsidR="00072C48">
        <w:t>by the CARES Act</w:t>
      </w:r>
      <w:r w:rsidRPr="009D6803" w:rsidR="007B0D4C">
        <w:t xml:space="preserve"> (</w:t>
      </w:r>
      <w:r w:rsidRPr="009D6803" w:rsidR="00CF5708">
        <w:t>Round 1</w:t>
      </w:r>
      <w:r w:rsidRPr="009D6803" w:rsidR="007B0D4C">
        <w:t>)</w:t>
      </w:r>
      <w:r w:rsidR="0098547D">
        <w:t>,</w:t>
      </w:r>
      <w:r w:rsidRPr="009D6803" w:rsidR="00CF5708">
        <w:t xml:space="preserve"> as</w:t>
      </w:r>
      <w:r w:rsidRPr="00F52274" w:rsidR="00CF5708">
        <w:t xml:space="preserve"> well as</w:t>
      </w:r>
      <w:r w:rsidRPr="00F52274" w:rsidR="00355257">
        <w:t xml:space="preserve"> </w:t>
      </w:r>
      <w:r w:rsidRPr="00F52274" w:rsidR="00C762B3">
        <w:t xml:space="preserve">to administer </w:t>
      </w:r>
      <w:r w:rsidRPr="00F52274" w:rsidR="00355257">
        <w:t xml:space="preserve">the second round </w:t>
      </w:r>
      <w:r w:rsidR="0098547D">
        <w:t xml:space="preserve">of </w:t>
      </w:r>
      <w:r w:rsidRPr="00F52274" w:rsidR="00355257">
        <w:t xml:space="preserve">funding appropriated to the Program through the </w:t>
      </w:r>
      <w:r w:rsidR="00F13564">
        <w:t xml:space="preserve">Consolidated Appropriations </w:t>
      </w:r>
      <w:r w:rsidRPr="00F52274" w:rsidR="00355257">
        <w:t>Act</w:t>
      </w:r>
      <w:r w:rsidRPr="009D6803" w:rsidR="00CF5708">
        <w:t xml:space="preserve"> </w:t>
      </w:r>
      <w:r w:rsidRPr="009D6803" w:rsidR="00355257">
        <w:t>(</w:t>
      </w:r>
      <w:r w:rsidRPr="009D6803" w:rsidR="00CF5708">
        <w:t>Round 2</w:t>
      </w:r>
      <w:r w:rsidR="00E36D6A">
        <w:t>)</w:t>
      </w:r>
      <w:r w:rsidRPr="009D6803" w:rsidR="007E5866">
        <w:t>.</w:t>
      </w:r>
      <w:r>
        <w:rPr>
          <w:rStyle w:val="FootnoteReference"/>
        </w:rPr>
        <w:footnoteReference w:id="8"/>
      </w:r>
    </w:p>
    <w:p w:rsidR="00033E7F" w:rsidP="00033E7F" w14:paraId="46B324C6" w14:textId="77777777">
      <w:pPr>
        <w:pStyle w:val="Heading1"/>
      </w:pPr>
      <w:r>
        <w:t>Discussion</w:t>
      </w:r>
    </w:p>
    <w:p w:rsidR="00777F93" w:rsidP="00EE6985" w14:paraId="6196A741" w14:textId="4FFAD4FA">
      <w:pPr>
        <w:pStyle w:val="ParaNum"/>
      </w:pPr>
      <w:r>
        <w:t>After carefu</w:t>
      </w:r>
      <w:r w:rsidR="000A6DEC">
        <w:t>l</w:t>
      </w:r>
      <w:r>
        <w:t xml:space="preserve"> review</w:t>
      </w:r>
      <w:r w:rsidR="00DE61E3">
        <w:t xml:space="preserve"> of</w:t>
      </w:r>
      <w:r>
        <w:t xml:space="preserve"> the record</w:t>
      </w:r>
      <w:r w:rsidR="00092770">
        <w:t>,</w:t>
      </w:r>
      <w:r w:rsidR="00FB44EC">
        <w:t xml:space="preserve"> and consideration of </w:t>
      </w:r>
      <w:r w:rsidR="00092770">
        <w:t xml:space="preserve">the Commission’s staff resources and </w:t>
      </w:r>
      <w:r w:rsidR="00FB44EC">
        <w:t>the need to expeditiously implement Round 2 of the Program</w:t>
      </w:r>
      <w:r>
        <w:t xml:space="preserve">, we adopt </w:t>
      </w:r>
      <w:r w:rsidR="00E31119">
        <w:t>the</w:t>
      </w:r>
      <w:r>
        <w:t xml:space="preserve"> proposal to </w:t>
      </w:r>
      <w:r w:rsidR="00DF266A">
        <w:t xml:space="preserve">direct </w:t>
      </w:r>
      <w:r>
        <w:t xml:space="preserve">USAC </w:t>
      </w:r>
      <w:r w:rsidR="008F239E">
        <w:t xml:space="preserve">to </w:t>
      </w:r>
      <w:r>
        <w:t>administer the remainder of Round 1</w:t>
      </w:r>
      <w:r w:rsidR="00924A50">
        <w:t xml:space="preserve">, </w:t>
      </w:r>
      <w:r w:rsidR="00831177">
        <w:t xml:space="preserve">which includes, but is not limited to, conducting </w:t>
      </w:r>
      <w:r w:rsidR="00D7278F">
        <w:t>an initial review of</w:t>
      </w:r>
      <w:r w:rsidR="001D2F54">
        <w:t xml:space="preserve"> invoice</w:t>
      </w:r>
      <w:r w:rsidR="00D7278F">
        <w:t>s</w:t>
      </w:r>
      <w:r w:rsidR="005B761D">
        <w:t>,</w:t>
      </w:r>
      <w:r w:rsidR="00D7278F">
        <w:t xml:space="preserve"> providing outreach and guidance to stakeholders about the invoicing processes</w:t>
      </w:r>
      <w:r w:rsidR="00153BB0">
        <w:t>, and processing post-program feedback reports</w:t>
      </w:r>
      <w:r w:rsidR="0097749D">
        <w:t xml:space="preserve">.  We similarly direct USAC to administer </w:t>
      </w:r>
      <w:r w:rsidR="00E5060F">
        <w:t>all of</w:t>
      </w:r>
      <w:r>
        <w:t xml:space="preserve"> Round 2 of the Program</w:t>
      </w:r>
      <w:r w:rsidR="00E56D09">
        <w:t>,</w:t>
      </w:r>
      <w:r w:rsidR="009C789E">
        <w:t xml:space="preserve"> </w:t>
      </w:r>
      <w:r w:rsidR="00280535">
        <w:t>which includes, but is not limited to, updating</w:t>
      </w:r>
      <w:r w:rsidR="00E41170">
        <w:t xml:space="preserve"> the portal that will be used by applicants</w:t>
      </w:r>
      <w:r w:rsidR="00413F7E">
        <w:t>, reviewing applications</w:t>
      </w:r>
      <w:r w:rsidR="006A0788">
        <w:t xml:space="preserve"> consistent with the metrics to be established by the Commission</w:t>
      </w:r>
      <w:r w:rsidR="002A0683">
        <w:t xml:space="preserve"> in a subsequent order</w:t>
      </w:r>
      <w:r w:rsidR="00413F7E">
        <w:t xml:space="preserve">, conducting an initial review of invoices, </w:t>
      </w:r>
      <w:r w:rsidR="0069180B">
        <w:t>providing outreach and guidance to stak</w:t>
      </w:r>
      <w:r w:rsidR="00924A50">
        <w:t>eholders</w:t>
      </w:r>
      <w:r w:rsidR="0069180B">
        <w:t xml:space="preserve"> about the application and invoicing processes</w:t>
      </w:r>
      <w:r w:rsidR="00153BB0">
        <w:t>, and administering any required audit and reporting requirements.</w:t>
      </w:r>
      <w:r w:rsidR="00C0466E">
        <w:t xml:space="preserve"> </w:t>
      </w:r>
      <w:r w:rsidR="00D7278F">
        <w:t xml:space="preserve"> For both </w:t>
      </w:r>
      <w:r w:rsidR="00DF266A">
        <w:t>the remainder of Round 1 and all of Round 2 of the Program</w:t>
      </w:r>
      <w:r w:rsidR="00D7278F">
        <w:t xml:space="preserve">, the Commission will retain the </w:t>
      </w:r>
      <w:r w:rsidR="00C0466E">
        <w:t xml:space="preserve">final </w:t>
      </w:r>
      <w:r w:rsidR="00ED5096">
        <w:t xml:space="preserve">funding </w:t>
      </w:r>
      <w:r w:rsidR="00C0466E">
        <w:t>decisi</w:t>
      </w:r>
      <w:r w:rsidR="00ED5096">
        <w:t>on-making authority.</w:t>
      </w:r>
      <w:r>
        <w:rPr>
          <w:rStyle w:val="FootnoteReference"/>
        </w:rPr>
        <w:footnoteReference w:id="9"/>
      </w:r>
    </w:p>
    <w:p w:rsidR="00B50DBF" w:rsidP="00EE6985" w14:paraId="6B9B54F5" w14:textId="73C1F7EB">
      <w:pPr>
        <w:pStyle w:val="ParaNum"/>
      </w:pPr>
      <w:r>
        <w:t>The CARES Act</w:t>
      </w:r>
      <w:r w:rsidR="00FB44EC">
        <w:t>, which authorized the Commission to create the Program,</w:t>
      </w:r>
      <w:r>
        <w:t xml:space="preserve"> allows the Commission to </w:t>
      </w:r>
      <w:r w:rsidR="00C44A3D">
        <w:t xml:space="preserve">rely on its rules under Part 54, </w:t>
      </w:r>
      <w:r w:rsidRPr="0002202D" w:rsidR="00C44A3D">
        <w:rPr>
          <w:i/>
          <w:iCs/>
        </w:rPr>
        <w:t>i.e.</w:t>
      </w:r>
      <w:r w:rsidR="00C44A3D">
        <w:t xml:space="preserve">, </w:t>
      </w:r>
      <w:r w:rsidR="005C11B7">
        <w:t xml:space="preserve">to </w:t>
      </w:r>
      <w:r>
        <w:t>use the services of USAC</w:t>
      </w:r>
      <w:r w:rsidR="00C44A3D">
        <w:t>,</w:t>
      </w:r>
      <w:r>
        <w:t xml:space="preserve"> if the Commission determines that doing so is in the public interest.</w:t>
      </w:r>
      <w:r>
        <w:rPr>
          <w:rStyle w:val="FootnoteReference"/>
        </w:rPr>
        <w:footnoteReference w:id="10"/>
      </w:r>
      <w:r>
        <w:t xml:space="preserve">  </w:t>
      </w:r>
      <w:r w:rsidR="00801198">
        <w:t>During Round 1</w:t>
      </w:r>
      <w:r w:rsidR="0098547D">
        <w:t xml:space="preserve"> of the Program</w:t>
      </w:r>
      <w:r w:rsidR="00801198">
        <w:t xml:space="preserve">, the Commission </w:t>
      </w:r>
      <w:r w:rsidR="003E4BC4">
        <w:t xml:space="preserve">made this public interest finding and </w:t>
      </w:r>
      <w:r w:rsidR="00801198">
        <w:t xml:space="preserve">directed USAC to </w:t>
      </w:r>
      <w:r w:rsidR="00900D41">
        <w:t xml:space="preserve">help administer </w:t>
      </w:r>
      <w:r w:rsidR="00C03D57">
        <w:t>a narrow portion of the Program</w:t>
      </w:r>
      <w:r w:rsidR="00923F6A">
        <w:t xml:space="preserve"> by </w:t>
      </w:r>
      <w:r w:rsidR="00801198">
        <w:t>process</w:t>
      </w:r>
      <w:r w:rsidR="00923F6A">
        <w:t>ing</w:t>
      </w:r>
      <w:r w:rsidR="00801198">
        <w:t xml:space="preserve"> eligibility determinations </w:t>
      </w:r>
      <w:r w:rsidR="00DB2D62">
        <w:t xml:space="preserve">and </w:t>
      </w:r>
      <w:r w:rsidR="007116DB">
        <w:t>promot</w:t>
      </w:r>
      <w:r w:rsidR="000721AA">
        <w:t>ing</w:t>
      </w:r>
      <w:r w:rsidR="007116DB">
        <w:t xml:space="preserve"> the Program to </w:t>
      </w:r>
      <w:r w:rsidR="00F07FF1">
        <w:t>interested stakeholders.</w:t>
      </w:r>
      <w:r>
        <w:rPr>
          <w:rStyle w:val="FootnoteReference"/>
        </w:rPr>
        <w:footnoteReference w:id="11"/>
      </w:r>
      <w:r w:rsidR="00DB2D62">
        <w:t xml:space="preserve"> </w:t>
      </w:r>
      <w:r w:rsidR="00801198">
        <w:t xml:space="preserve"> </w:t>
      </w:r>
      <w:r w:rsidRPr="0000696F" w:rsidR="0000696F">
        <w:t xml:space="preserve">Based on the lessons learned during Round 1, the need to complete Round 1 and swiftly implement Round 2 of the Program, USAC’s extensive experience, and the support of commenters in the record, we find it is in the public interest to </w:t>
      </w:r>
      <w:r w:rsidR="00DF266A">
        <w:t xml:space="preserve">direct </w:t>
      </w:r>
      <w:r w:rsidRPr="0000696F" w:rsidR="0000696F">
        <w:t xml:space="preserve">USAC </w:t>
      </w:r>
      <w:r w:rsidR="00DF266A">
        <w:t xml:space="preserve">to </w:t>
      </w:r>
      <w:r w:rsidRPr="0000696F" w:rsidR="0000696F">
        <w:t>administer the remainder of Round 1 and all of Round 2 of the Program under the Commission’s oversight</w:t>
      </w:r>
      <w:r w:rsidR="00766697">
        <w:t>.</w:t>
      </w:r>
      <w:r>
        <w:rPr>
          <w:rStyle w:val="FootnoteReference"/>
        </w:rPr>
        <w:footnoteReference w:id="12"/>
      </w:r>
    </w:p>
    <w:p w:rsidR="00EE6985" w:rsidP="00CA1686" w14:paraId="41172DDF" w14:textId="5922CFBA">
      <w:pPr>
        <w:pStyle w:val="ParaNum"/>
        <w:widowControl/>
      </w:pPr>
      <w:r>
        <w:t>USAC</w:t>
      </w:r>
      <w:r w:rsidR="00D449AC">
        <w:t xml:space="preserve"> ha</w:t>
      </w:r>
      <w:r>
        <w:t xml:space="preserve">s </w:t>
      </w:r>
      <w:r w:rsidR="00BB2F02">
        <w:t xml:space="preserve">more than </w:t>
      </w:r>
      <w:r w:rsidR="008F12C4">
        <w:t>20</w:t>
      </w:r>
      <w:r w:rsidR="00FD6E1B">
        <w:t xml:space="preserve"> </w:t>
      </w:r>
      <w:r w:rsidR="00BB2F02">
        <w:t xml:space="preserve">years of </w:t>
      </w:r>
      <w:r>
        <w:t xml:space="preserve">expertise </w:t>
      </w:r>
      <w:r w:rsidR="00B0678A">
        <w:t xml:space="preserve">developed </w:t>
      </w:r>
      <w:r w:rsidR="00DA2CCE">
        <w:t xml:space="preserve">from </w:t>
      </w:r>
      <w:r w:rsidR="003D6142">
        <w:t xml:space="preserve">administering </w:t>
      </w:r>
      <w:r w:rsidR="00766697">
        <w:t>the Commission’s</w:t>
      </w:r>
      <w:r w:rsidR="008F12C4">
        <w:t xml:space="preserve"> </w:t>
      </w:r>
      <w:r w:rsidR="007617DF">
        <w:t>U</w:t>
      </w:r>
      <w:r w:rsidR="003D6142">
        <w:t xml:space="preserve">niversal </w:t>
      </w:r>
      <w:r w:rsidR="007617DF">
        <w:t>S</w:t>
      </w:r>
      <w:r w:rsidR="003D6142">
        <w:t>ervi</w:t>
      </w:r>
      <w:r w:rsidR="00B0678A">
        <w:t>ce</w:t>
      </w:r>
      <w:r w:rsidR="00F90C78">
        <w:t xml:space="preserve"> </w:t>
      </w:r>
      <w:r w:rsidR="007617DF">
        <w:t>F</w:t>
      </w:r>
      <w:r w:rsidR="00F90C78">
        <w:t>und</w:t>
      </w:r>
      <w:r w:rsidR="003D6142">
        <w:t xml:space="preserve"> programs</w:t>
      </w:r>
      <w:r w:rsidR="00DA2CCE">
        <w:t xml:space="preserve">, </w:t>
      </w:r>
      <w:r w:rsidR="00FD6E1B">
        <w:t xml:space="preserve">which </w:t>
      </w:r>
      <w:r w:rsidR="00547E6B">
        <w:t>includ</w:t>
      </w:r>
      <w:r w:rsidR="00FD6E1B">
        <w:t>es</w:t>
      </w:r>
      <w:r w:rsidR="00547E6B">
        <w:t>, but</w:t>
      </w:r>
      <w:r w:rsidR="00FD6E1B">
        <w:t xml:space="preserve"> is</w:t>
      </w:r>
      <w:r w:rsidR="00547E6B">
        <w:t xml:space="preserve"> not limited to</w:t>
      </w:r>
      <w:r w:rsidR="00FD6E1B">
        <w:t>,</w:t>
      </w:r>
      <w:r w:rsidR="00547E6B">
        <w:t xml:space="preserve"> conducting applicant outreach,</w:t>
      </w:r>
      <w:r w:rsidR="009A3ADC">
        <w:t xml:space="preserve"> developing applica</w:t>
      </w:r>
      <w:r w:rsidR="00124E60">
        <w:t>tion systems,</w:t>
      </w:r>
      <w:r w:rsidR="00547E6B">
        <w:t xml:space="preserve"> reviewing funding requests</w:t>
      </w:r>
      <w:r w:rsidR="00B21FD8">
        <w:t xml:space="preserve">, </w:t>
      </w:r>
      <w:r w:rsidR="00547E6B">
        <w:t xml:space="preserve">and </w:t>
      </w:r>
      <w:r w:rsidR="009877BB">
        <w:t>pro</w:t>
      </w:r>
      <w:r w:rsidR="00442ADB">
        <w:t>cessing request</w:t>
      </w:r>
      <w:r w:rsidR="00B01688">
        <w:t>s</w:t>
      </w:r>
      <w:r w:rsidR="00442ADB">
        <w:t xml:space="preserve"> for</w:t>
      </w:r>
      <w:r w:rsidR="009877BB">
        <w:t xml:space="preserve"> </w:t>
      </w:r>
      <w:r w:rsidR="00547E6B">
        <w:t>disbursement</w:t>
      </w:r>
      <w:r w:rsidR="00766697">
        <w:t>.</w:t>
      </w:r>
      <w:r w:rsidR="007A1CD0">
        <w:t xml:space="preserve"> </w:t>
      </w:r>
      <w:r w:rsidR="00766697">
        <w:t xml:space="preserve"> </w:t>
      </w:r>
      <w:r w:rsidR="00CB0126">
        <w:t xml:space="preserve">Given </w:t>
      </w:r>
      <w:r w:rsidR="00766697">
        <w:t>USAC’s</w:t>
      </w:r>
      <w:r w:rsidR="00547E6B">
        <w:t xml:space="preserve"> </w:t>
      </w:r>
      <w:r w:rsidR="00CB0126">
        <w:t xml:space="preserve">long-standing, </w:t>
      </w:r>
      <w:r w:rsidR="00547E6B">
        <w:t>successful</w:t>
      </w:r>
      <w:r w:rsidR="00766697">
        <w:t xml:space="preserve"> record of admi</w:t>
      </w:r>
      <w:r w:rsidR="00547E6B">
        <w:t xml:space="preserve">nistering the Universal Service Fund programs, </w:t>
      </w:r>
      <w:r w:rsidR="00FD6E1B">
        <w:t>directing</w:t>
      </w:r>
      <w:r w:rsidR="00547E6B">
        <w:t xml:space="preserve"> USAC </w:t>
      </w:r>
      <w:r w:rsidR="00FD6E1B">
        <w:t xml:space="preserve">to </w:t>
      </w:r>
      <w:r w:rsidR="00547E6B">
        <w:t>administer th</w:t>
      </w:r>
      <w:r w:rsidR="00DC62E9">
        <w:t>is</w:t>
      </w:r>
      <w:r w:rsidR="00547E6B">
        <w:t xml:space="preserve"> Program would ensure the expeditious implementation of</w:t>
      </w:r>
      <w:r w:rsidR="00CB0126">
        <w:t xml:space="preserve"> Round 2</w:t>
      </w:r>
      <w:r w:rsidR="00C011F2">
        <w:t xml:space="preserve"> of the Program</w:t>
      </w:r>
      <w:r w:rsidR="00CB0126">
        <w:t xml:space="preserve"> and </w:t>
      </w:r>
      <w:r w:rsidR="007617DF">
        <w:t xml:space="preserve">efficient </w:t>
      </w:r>
      <w:r w:rsidR="00CB0126">
        <w:t xml:space="preserve">continuation of the remaining work </w:t>
      </w:r>
      <w:r w:rsidR="00D153A5">
        <w:t xml:space="preserve">of </w:t>
      </w:r>
      <w:r w:rsidR="00CB0126">
        <w:t>Round 1</w:t>
      </w:r>
      <w:r w:rsidR="00C011F2">
        <w:t xml:space="preserve"> of the Program</w:t>
      </w:r>
      <w:r w:rsidR="00CB0126">
        <w:t>.</w:t>
      </w:r>
      <w:r w:rsidR="00547E6B">
        <w:t xml:space="preserve">  </w:t>
      </w:r>
      <w:r w:rsidR="00547E6B">
        <w:t xml:space="preserve">In addition, </w:t>
      </w:r>
      <w:r w:rsidR="00D153A5">
        <w:t xml:space="preserve">using </w:t>
      </w:r>
      <w:r w:rsidR="00DF1397">
        <w:t xml:space="preserve">USAC </w:t>
      </w:r>
      <w:r w:rsidR="00D153A5">
        <w:t xml:space="preserve">in this manner </w:t>
      </w:r>
      <w:r w:rsidR="00ED5096">
        <w:t xml:space="preserve">will </w:t>
      </w:r>
      <w:r w:rsidR="00C12369">
        <w:t xml:space="preserve">allow for more efficient allocation of Commission </w:t>
      </w:r>
      <w:r w:rsidR="00CB0126">
        <w:t xml:space="preserve">staff </w:t>
      </w:r>
      <w:r w:rsidR="00C12369">
        <w:t>resources</w:t>
      </w:r>
      <w:r w:rsidR="00874168">
        <w:t>.</w:t>
      </w:r>
    </w:p>
    <w:p w:rsidR="00FC12F6" w:rsidP="00DB2D62" w14:paraId="31478906" w14:textId="74FD0401">
      <w:pPr>
        <w:pStyle w:val="ParaNum"/>
      </w:pPr>
      <w:r>
        <w:t>The record</w:t>
      </w:r>
      <w:r w:rsidR="00844CD1">
        <w:t xml:space="preserve"> </w:t>
      </w:r>
      <w:r w:rsidR="00CB0126">
        <w:t xml:space="preserve">further </w:t>
      </w:r>
      <w:r w:rsidR="00844CD1">
        <w:t>support</w:t>
      </w:r>
      <w:r w:rsidR="003059D1">
        <w:t>s</w:t>
      </w:r>
      <w:r w:rsidR="00CB0126">
        <w:t xml:space="preserve"> </w:t>
      </w:r>
      <w:r w:rsidR="00D153A5">
        <w:t xml:space="preserve">using </w:t>
      </w:r>
      <w:r w:rsidR="00CB0126">
        <w:t xml:space="preserve">USAC </w:t>
      </w:r>
      <w:r w:rsidR="00D153A5">
        <w:t xml:space="preserve">for the administration of the remainder of Round 1 and all of Round 2 </w:t>
      </w:r>
      <w:r w:rsidR="00CB0126">
        <w:t>of the Program</w:t>
      </w:r>
      <w:r w:rsidR="00374233">
        <w:t>.</w:t>
      </w:r>
      <w:r w:rsidR="00D24A8B">
        <w:t xml:space="preserve">  </w:t>
      </w:r>
      <w:r w:rsidR="00414468">
        <w:t xml:space="preserve">Commenters </w:t>
      </w:r>
      <w:r w:rsidR="003059D1">
        <w:t>that opined on this matter</w:t>
      </w:r>
      <w:r w:rsidR="00CD6690">
        <w:t xml:space="preserve"> supported</w:t>
      </w:r>
      <w:r w:rsidR="00E07C71">
        <w:t xml:space="preserve"> </w:t>
      </w:r>
      <w:r w:rsidR="00CD6690">
        <w:t>the</w:t>
      </w:r>
      <w:r w:rsidR="00E07C71">
        <w:t xml:space="preserve"> proposal to have USAC administer the </w:t>
      </w:r>
      <w:r w:rsidR="007617DF">
        <w:t>P</w:t>
      </w:r>
      <w:r w:rsidR="00E07C71">
        <w:t>rogram</w:t>
      </w:r>
      <w:r w:rsidR="00DC5A76">
        <w:t>,</w:t>
      </w:r>
      <w:r>
        <w:rPr>
          <w:rStyle w:val="FootnoteReference"/>
        </w:rPr>
        <w:footnoteReference w:id="13"/>
      </w:r>
      <w:r w:rsidR="00DC5A76">
        <w:t xml:space="preserve"> and </w:t>
      </w:r>
      <w:r w:rsidR="00C177F2">
        <w:t xml:space="preserve">at least one commenter </w:t>
      </w:r>
      <w:r w:rsidR="00DC5A76">
        <w:t>noted USAC’s successful administration of the Rural Health Care Program</w:t>
      </w:r>
      <w:r w:rsidR="00244EDB">
        <w:t>.</w:t>
      </w:r>
      <w:r>
        <w:rPr>
          <w:rStyle w:val="FootnoteReference"/>
        </w:rPr>
        <w:footnoteReference w:id="14"/>
      </w:r>
      <w:r w:rsidR="00531AD1">
        <w:t xml:space="preserve">  </w:t>
      </w:r>
      <w:r w:rsidR="00CB0126">
        <w:t xml:space="preserve">Although </w:t>
      </w:r>
      <w:r w:rsidR="00ED5A32">
        <w:t>another</w:t>
      </w:r>
      <w:r w:rsidR="00CB0126">
        <w:t xml:space="preserve"> commenter noted that USAC would need additional resources to accommodate this work,</w:t>
      </w:r>
      <w:r>
        <w:rPr>
          <w:rStyle w:val="FootnoteReference"/>
        </w:rPr>
        <w:footnoteReference w:id="15"/>
      </w:r>
      <w:r w:rsidR="00CB0126">
        <w:t xml:space="preserve"> </w:t>
      </w:r>
      <w:r w:rsidR="007A1CD0">
        <w:t xml:space="preserve">we </w:t>
      </w:r>
      <w:r w:rsidRPr="00EB669F" w:rsidR="00726B59">
        <w:t xml:space="preserve">intend to </w:t>
      </w:r>
      <w:r w:rsidRPr="00EB669F" w:rsidR="005D418E">
        <w:t xml:space="preserve">allocate </w:t>
      </w:r>
      <w:r w:rsidRPr="00EB669F" w:rsidR="003F4699">
        <w:t xml:space="preserve">a sufficient </w:t>
      </w:r>
      <w:r w:rsidRPr="00EB669F" w:rsidR="00EB2FFC">
        <w:t>amount of administrative expenses</w:t>
      </w:r>
      <w:r w:rsidRPr="00EB669F" w:rsidR="0057606D">
        <w:t xml:space="preserve"> </w:t>
      </w:r>
      <w:r w:rsidRPr="00EB669F" w:rsidR="00647862">
        <w:t xml:space="preserve">from our COVID-19 Telehealth appropriation </w:t>
      </w:r>
      <w:r w:rsidRPr="00EB669F" w:rsidR="0057606D">
        <w:t>to USAC</w:t>
      </w:r>
      <w:r w:rsidRPr="00EB669F" w:rsidR="00647862">
        <w:t xml:space="preserve"> so that it can</w:t>
      </w:r>
      <w:r w:rsidRPr="00EB669F" w:rsidR="005D418E">
        <w:t xml:space="preserve"> </w:t>
      </w:r>
      <w:r w:rsidR="005C11B7">
        <w:t xml:space="preserve">successfully </w:t>
      </w:r>
      <w:r w:rsidRPr="00EB669F" w:rsidR="007A1CD0">
        <w:t xml:space="preserve">mobilize the necessary resources to </w:t>
      </w:r>
      <w:r w:rsidRPr="00EB669F" w:rsidR="00706F80">
        <w:t>administer the Program.</w:t>
      </w:r>
    </w:p>
    <w:p w:rsidR="00874168" w:rsidP="00DB2D62" w14:paraId="206069D2" w14:textId="27DB757B">
      <w:pPr>
        <w:pStyle w:val="ParaNum"/>
      </w:pPr>
      <w:r w:rsidRPr="009D6A91">
        <w:t xml:space="preserve">Consistent with </w:t>
      </w:r>
      <w:r w:rsidR="00BD7D5F">
        <w:t xml:space="preserve">its </w:t>
      </w:r>
      <w:r w:rsidRPr="009D6A91">
        <w:t xml:space="preserve">role </w:t>
      </w:r>
      <w:r w:rsidR="00BD7D5F">
        <w:t xml:space="preserve">in </w:t>
      </w:r>
      <w:r>
        <w:t>administering</w:t>
      </w:r>
      <w:r w:rsidRPr="009D6A91">
        <w:t xml:space="preserve"> the Universal Service Fund </w:t>
      </w:r>
      <w:r w:rsidR="00D153A5">
        <w:t>p</w:t>
      </w:r>
      <w:r w:rsidRPr="009D6A91">
        <w:t xml:space="preserve">rograms, USAC’s role for the Program </w:t>
      </w:r>
      <w:r w:rsidR="00D962B0">
        <w:t xml:space="preserve">will be </w:t>
      </w:r>
      <w:r w:rsidRPr="009D6A91">
        <w:t>limited to program administration</w:t>
      </w:r>
      <w:r w:rsidR="00DF266A">
        <w:t>;</w:t>
      </w:r>
      <w:r w:rsidRPr="009D6A91">
        <w:t xml:space="preserve"> USAC </w:t>
      </w:r>
      <w:r w:rsidR="007E2C4D">
        <w:t xml:space="preserve">will not have </w:t>
      </w:r>
      <w:r w:rsidRPr="009D6A91">
        <w:t>authority to make policy decisions for the Program</w:t>
      </w:r>
      <w:r>
        <w:t>.</w:t>
      </w:r>
      <w:r>
        <w:rPr>
          <w:rStyle w:val="FootnoteReference"/>
        </w:rPr>
        <w:footnoteReference w:id="16"/>
      </w:r>
      <w:r w:rsidR="005028D3">
        <w:t xml:space="preserve">  </w:t>
      </w:r>
      <w:r w:rsidRPr="00EB669F" w:rsidR="00761AF8">
        <w:t xml:space="preserve">As indicated above, the </w:t>
      </w:r>
      <w:r w:rsidR="005D4EE3">
        <w:t xml:space="preserve">full </w:t>
      </w:r>
      <w:r w:rsidRPr="00EB669F" w:rsidR="00761AF8">
        <w:t xml:space="preserve">Commission will </w:t>
      </w:r>
      <w:r w:rsidRPr="00EB669F" w:rsidR="00C9606B">
        <w:t xml:space="preserve">establish </w:t>
      </w:r>
      <w:r w:rsidR="005D4EE3">
        <w:t xml:space="preserve">award </w:t>
      </w:r>
      <w:r w:rsidRPr="00EB669F" w:rsidR="00C9606B">
        <w:t xml:space="preserve">metrics </w:t>
      </w:r>
      <w:r w:rsidRPr="00EB669F" w:rsidR="00E143CA">
        <w:t>in a subsequent order</w:t>
      </w:r>
      <w:r w:rsidR="005D4EE3">
        <w:t>.  Thereafter,</w:t>
      </w:r>
      <w:r w:rsidR="00D50DC6">
        <w:t xml:space="preserve"> </w:t>
      </w:r>
      <w:r w:rsidR="00322E04">
        <w:t xml:space="preserve">Commission staff will provide USAC with additional guidance as necessary regarding remaining Round 1 responsibilities, the Round 2 application review process, the Round 2 application prioritization criteria, </w:t>
      </w:r>
      <w:r w:rsidR="00DB2E75">
        <w:t xml:space="preserve">the </w:t>
      </w:r>
      <w:r w:rsidR="00322E04">
        <w:t xml:space="preserve">Round 2 invoice review process, </w:t>
      </w:r>
      <w:r w:rsidR="00DF266A">
        <w:t xml:space="preserve">and </w:t>
      </w:r>
      <w:r w:rsidR="00322E04">
        <w:t xml:space="preserve">any other </w:t>
      </w:r>
      <w:r w:rsidR="00D50DC6">
        <w:t>related</w:t>
      </w:r>
      <w:r w:rsidR="00322E04">
        <w:t xml:space="preserve"> administrative functions</w:t>
      </w:r>
      <w:r w:rsidR="00D50DC6">
        <w:t xml:space="preserve"> required to implement the Program</w:t>
      </w:r>
      <w:r w:rsidRPr="00857CEF" w:rsidR="005028D3">
        <w:t>.</w:t>
      </w:r>
      <w:r w:rsidRPr="00857CEF" w:rsidR="002A09E4">
        <w:t xml:space="preserve">  </w:t>
      </w:r>
      <w:r w:rsidR="00DF266A">
        <w:t>G</w:t>
      </w:r>
      <w:r w:rsidRPr="00857CEF" w:rsidR="00B907D1">
        <w:t xml:space="preserve">iven the </w:t>
      </w:r>
      <w:r w:rsidR="00DF266A">
        <w:t xml:space="preserve">ongoing nature of the </w:t>
      </w:r>
      <w:r w:rsidRPr="00857CEF" w:rsidR="003E7B0C">
        <w:t>pandemic</w:t>
      </w:r>
      <w:r w:rsidR="00DF266A">
        <w:t xml:space="preserve">, </w:t>
      </w:r>
      <w:r w:rsidRPr="00857CEF" w:rsidR="003E7B0C">
        <w:t xml:space="preserve">and </w:t>
      </w:r>
      <w:r w:rsidRPr="00857CEF" w:rsidR="00900E02">
        <w:t xml:space="preserve">the urgent need </w:t>
      </w:r>
      <w:r w:rsidRPr="00857CEF" w:rsidR="00E1508F">
        <w:t>for</w:t>
      </w:r>
      <w:r w:rsidRPr="00857CEF" w:rsidR="00900E02">
        <w:t xml:space="preserve"> the </w:t>
      </w:r>
      <w:r w:rsidRPr="00857CEF" w:rsidR="00E1508F">
        <w:t>Program</w:t>
      </w:r>
      <w:r w:rsidRPr="00857CEF" w:rsidR="00900E02">
        <w:t>,</w:t>
      </w:r>
      <w:r w:rsidRPr="00857CEF" w:rsidR="00B907D1">
        <w:t xml:space="preserve"> </w:t>
      </w:r>
      <w:r w:rsidRPr="00857CEF" w:rsidR="002A09E4">
        <w:t xml:space="preserve">we find that it is in the public interest to </w:t>
      </w:r>
      <w:r w:rsidRPr="00857CEF" w:rsidR="00B907D1">
        <w:t xml:space="preserve">designate USAC as the administrator for the </w:t>
      </w:r>
      <w:r w:rsidRPr="00857CEF" w:rsidR="00E1508F">
        <w:t>P</w:t>
      </w:r>
      <w:r w:rsidRPr="00857CEF" w:rsidR="00B907D1">
        <w:t xml:space="preserve">rogram at this time so that </w:t>
      </w:r>
      <w:r w:rsidRPr="00857CEF" w:rsidR="00E1508F">
        <w:t>it</w:t>
      </w:r>
      <w:r w:rsidRPr="00857CEF" w:rsidR="00B907D1">
        <w:t xml:space="preserve"> can </w:t>
      </w:r>
      <w:r w:rsidRPr="00857CEF" w:rsidR="00E1508F">
        <w:t xml:space="preserve">expeditiously </w:t>
      </w:r>
      <w:r w:rsidRPr="00857CEF" w:rsidR="00394C4A">
        <w:t xml:space="preserve">put into </w:t>
      </w:r>
      <w:r w:rsidRPr="00857CEF" w:rsidR="00AF3854">
        <w:t xml:space="preserve">place </w:t>
      </w:r>
      <w:r w:rsidRPr="00857CEF" w:rsidR="006E347A">
        <w:t>any</w:t>
      </w:r>
      <w:r w:rsidRPr="00857CEF" w:rsidR="009448DA">
        <w:t xml:space="preserve"> </w:t>
      </w:r>
      <w:r w:rsidRPr="00857CEF" w:rsidR="006E347A">
        <w:t xml:space="preserve">necessary </w:t>
      </w:r>
      <w:r w:rsidRPr="00857CEF" w:rsidR="009448DA">
        <w:t xml:space="preserve">administrative </w:t>
      </w:r>
      <w:r w:rsidRPr="00857CEF" w:rsidR="00E65930">
        <w:t xml:space="preserve">resources and </w:t>
      </w:r>
      <w:r w:rsidRPr="00857CEF" w:rsidR="006E347A">
        <w:t xml:space="preserve">processes </w:t>
      </w:r>
      <w:r w:rsidRPr="00857CEF" w:rsidR="00E65930">
        <w:t xml:space="preserve">while the Commission and its staff </w:t>
      </w:r>
      <w:r w:rsidRPr="00857CEF" w:rsidR="000A46FB">
        <w:t xml:space="preserve">continue to </w:t>
      </w:r>
      <w:r w:rsidRPr="00857CEF" w:rsidR="005B58EF">
        <w:t xml:space="preserve">evaluate policy </w:t>
      </w:r>
      <w:r w:rsidRPr="00857CEF" w:rsidR="000A46FB">
        <w:t>questions</w:t>
      </w:r>
      <w:r w:rsidRPr="00857CEF" w:rsidR="006E347A">
        <w:t xml:space="preserve">.   </w:t>
      </w:r>
      <w:r w:rsidRPr="00EB669F" w:rsidR="00B907D1">
        <w:t xml:space="preserve"> </w:t>
      </w:r>
      <w:r w:rsidR="00900E02">
        <w:t xml:space="preserve"> </w:t>
      </w:r>
      <w:r w:rsidR="00B907D1">
        <w:t xml:space="preserve">  </w:t>
      </w:r>
    </w:p>
    <w:p w:rsidR="0040749B" w:rsidRPr="009517A6" w:rsidP="0040749B" w14:paraId="2DC8716F" w14:textId="706DA350">
      <w:pPr>
        <w:pStyle w:val="ParaNum"/>
        <w:rPr>
          <w:szCs w:val="22"/>
        </w:rPr>
      </w:pPr>
      <w:r w:rsidRPr="00940512">
        <w:rPr>
          <w:szCs w:val="22"/>
          <w:shd w:val="clear" w:color="auto" w:fill="FFFFFF"/>
        </w:rPr>
        <w:t>W</w:t>
      </w:r>
      <w:r w:rsidRPr="00940512" w:rsidR="00AF55A2">
        <w:rPr>
          <w:szCs w:val="22"/>
          <w:shd w:val="clear" w:color="auto" w:fill="FFFFFF"/>
        </w:rPr>
        <w:t>e</w:t>
      </w:r>
      <w:r w:rsidRPr="00940512" w:rsidR="00D50DC6">
        <w:rPr>
          <w:szCs w:val="22"/>
          <w:shd w:val="clear" w:color="auto" w:fill="FFFFFF"/>
        </w:rPr>
        <w:t xml:space="preserve"> </w:t>
      </w:r>
      <w:r w:rsidRPr="00940512">
        <w:rPr>
          <w:szCs w:val="22"/>
          <w:shd w:val="clear" w:color="auto" w:fill="FFFFFF"/>
        </w:rPr>
        <w:t xml:space="preserve">delegate </w:t>
      </w:r>
      <w:r w:rsidRPr="00940512" w:rsidR="00AF55A2">
        <w:rPr>
          <w:szCs w:val="22"/>
          <w:shd w:val="clear" w:color="auto" w:fill="FFFFFF"/>
        </w:rPr>
        <w:t xml:space="preserve">financial oversight of this program to the </w:t>
      </w:r>
      <w:r w:rsidRPr="00940512" w:rsidR="00BD7D5F">
        <w:rPr>
          <w:szCs w:val="22"/>
          <w:shd w:val="clear" w:color="auto" w:fill="FFFFFF"/>
        </w:rPr>
        <w:t xml:space="preserve">Commission’s </w:t>
      </w:r>
      <w:r w:rsidRPr="00940512" w:rsidR="00AF55A2">
        <w:rPr>
          <w:szCs w:val="22"/>
          <w:shd w:val="clear" w:color="auto" w:fill="FFFFFF"/>
        </w:rPr>
        <w:t xml:space="preserve">Managing Director and direct the </w:t>
      </w:r>
      <w:r w:rsidRPr="00940512" w:rsidR="00EF7D75">
        <w:rPr>
          <w:szCs w:val="22"/>
          <w:shd w:val="clear" w:color="auto" w:fill="FFFFFF"/>
        </w:rPr>
        <w:t xml:space="preserve">Office of the </w:t>
      </w:r>
      <w:r w:rsidRPr="00940512" w:rsidR="00AF55A2">
        <w:rPr>
          <w:szCs w:val="22"/>
          <w:shd w:val="clear" w:color="auto" w:fill="FFFFFF"/>
        </w:rPr>
        <w:t xml:space="preserve">Managing Director </w:t>
      </w:r>
      <w:r w:rsidRPr="00940512" w:rsidR="00EF7D75">
        <w:rPr>
          <w:szCs w:val="22"/>
          <w:shd w:val="clear" w:color="auto" w:fill="FFFFFF"/>
        </w:rPr>
        <w:t xml:space="preserve">(OMD) </w:t>
      </w:r>
      <w:r w:rsidRPr="00940512" w:rsidR="00AF55A2">
        <w:rPr>
          <w:szCs w:val="22"/>
          <w:shd w:val="clear" w:color="auto" w:fill="FFFFFF"/>
        </w:rPr>
        <w:t>to work in coordination with the</w:t>
      </w:r>
      <w:r w:rsidRPr="00940512" w:rsidR="00D50DC6">
        <w:rPr>
          <w:szCs w:val="22"/>
        </w:rPr>
        <w:t xml:space="preserve"> </w:t>
      </w:r>
      <w:r w:rsidRPr="00940512" w:rsidR="00AF55A2">
        <w:rPr>
          <w:szCs w:val="22"/>
          <w:shd w:val="clear" w:color="auto" w:fill="FFFFFF"/>
        </w:rPr>
        <w:t>Bureau to ensure that all financial aspects of the program have adequate internal controls.</w:t>
      </w:r>
      <w:r w:rsidRPr="00940512" w:rsidR="00B86784">
        <w:rPr>
          <w:szCs w:val="22"/>
          <w:shd w:val="clear" w:color="auto" w:fill="FFFFFF"/>
        </w:rPr>
        <w:t xml:space="preserve">  </w:t>
      </w:r>
      <w:r w:rsidRPr="00940512" w:rsidR="001437D4">
        <w:rPr>
          <w:szCs w:val="22"/>
          <w:shd w:val="clear" w:color="auto" w:fill="FFFFFF"/>
        </w:rPr>
        <w:t>These duties fall within</w:t>
      </w:r>
      <w:r w:rsidRPr="00940512" w:rsidR="00B86784">
        <w:rPr>
          <w:szCs w:val="22"/>
          <w:shd w:val="clear" w:color="auto" w:fill="FFFFFF"/>
        </w:rPr>
        <w:t xml:space="preserve"> </w:t>
      </w:r>
      <w:r w:rsidRPr="00940512" w:rsidR="001437D4">
        <w:rPr>
          <w:szCs w:val="22"/>
          <w:bdr w:val="none" w:sz="0" w:space="0" w:color="auto" w:frame="1"/>
        </w:rPr>
        <w:t>OMD</w:t>
      </w:r>
      <w:r w:rsidR="007C74CC">
        <w:rPr>
          <w:szCs w:val="22"/>
          <w:bdr w:val="none" w:sz="0" w:space="0" w:color="auto" w:frame="1"/>
        </w:rPr>
        <w:t>’</w:t>
      </w:r>
      <w:r w:rsidRPr="00502930" w:rsidR="001437D4">
        <w:rPr>
          <w:szCs w:val="22"/>
          <w:bdr w:val="none" w:sz="0" w:space="0" w:color="auto" w:frame="1"/>
        </w:rPr>
        <w:t>s</w:t>
      </w:r>
      <w:r w:rsidRPr="00502930" w:rsidR="00B86784">
        <w:rPr>
          <w:szCs w:val="22"/>
          <w:shd w:val="clear" w:color="auto" w:fill="FFFFFF"/>
        </w:rPr>
        <w:t xml:space="preserve"> </w:t>
      </w:r>
      <w:r w:rsidRPr="00502930" w:rsidR="001437D4">
        <w:rPr>
          <w:szCs w:val="22"/>
          <w:shd w:val="clear" w:color="auto" w:fill="FFFFFF"/>
        </w:rPr>
        <w:t>current delegated authority to ensure that the Commission operates in accordance with federal financial statutes and guidance.</w:t>
      </w:r>
      <w:r>
        <w:rPr>
          <w:rStyle w:val="FootnoteReference"/>
          <w:sz w:val="22"/>
          <w:szCs w:val="22"/>
          <w:shd w:val="clear" w:color="auto" w:fill="FFFFFF"/>
        </w:rPr>
        <w:footnoteReference w:id="17"/>
      </w:r>
      <w:r w:rsidRPr="00502930" w:rsidR="001437D4">
        <w:rPr>
          <w:szCs w:val="22"/>
          <w:shd w:val="clear" w:color="auto" w:fill="FFFFFF"/>
        </w:rPr>
        <w:t xml:space="preserve">  Such financial oversight must be consistent with the metrics to be established by the Commission in a subsequent order, and any Commission rules and policies to the extent these are applicable to the Program. </w:t>
      </w:r>
      <w:r w:rsidRPr="00502930" w:rsidR="00526381">
        <w:rPr>
          <w:szCs w:val="22"/>
          <w:shd w:val="clear" w:color="auto" w:fill="FFFFFF"/>
        </w:rPr>
        <w:t xml:space="preserve"> </w:t>
      </w:r>
      <w:r w:rsidRPr="00502930" w:rsidR="00E90566">
        <w:rPr>
          <w:szCs w:val="22"/>
          <w:shd w:val="clear" w:color="auto" w:fill="FFFFFF"/>
        </w:rPr>
        <w:t xml:space="preserve">OMD performs this role with respect to </w:t>
      </w:r>
      <w:r w:rsidRPr="00502930" w:rsidR="00924BDC">
        <w:rPr>
          <w:szCs w:val="22"/>
          <w:shd w:val="clear" w:color="auto" w:fill="FFFFFF"/>
        </w:rPr>
        <w:t>USAC</w:t>
      </w:r>
      <w:r w:rsidRPr="00502930" w:rsidR="00BE105D">
        <w:rPr>
          <w:szCs w:val="22"/>
          <w:shd w:val="clear" w:color="auto" w:fill="FFFFFF"/>
        </w:rPr>
        <w:t xml:space="preserve">’s administration of the </w:t>
      </w:r>
      <w:r w:rsidR="005071D5">
        <w:rPr>
          <w:szCs w:val="22"/>
          <w:shd w:val="clear" w:color="auto" w:fill="FFFFFF"/>
        </w:rPr>
        <w:t>Commission’s</w:t>
      </w:r>
      <w:r w:rsidRPr="000E170E" w:rsidR="005071D5">
        <w:rPr>
          <w:szCs w:val="22"/>
          <w:shd w:val="clear" w:color="auto" w:fill="FFFFFF"/>
        </w:rPr>
        <w:t xml:space="preserve"> </w:t>
      </w:r>
      <w:r w:rsidRPr="000E170E" w:rsidR="00BE105D">
        <w:rPr>
          <w:szCs w:val="22"/>
          <w:shd w:val="clear" w:color="auto" w:fill="FFFFFF"/>
        </w:rPr>
        <w:t>Universal Service programs</w:t>
      </w:r>
      <w:r>
        <w:rPr>
          <w:rStyle w:val="FootnoteReference"/>
          <w:szCs w:val="22"/>
          <w:shd w:val="clear" w:color="auto" w:fill="FFFFFF"/>
        </w:rPr>
        <w:footnoteReference w:id="18"/>
      </w:r>
      <w:r w:rsidRPr="002B6D46" w:rsidR="00BB1DD3">
        <w:rPr>
          <w:szCs w:val="22"/>
          <w:shd w:val="clear" w:color="auto" w:fill="FFFFFF"/>
        </w:rPr>
        <w:t xml:space="preserve"> and we anticipate that OMD will leverage existing policies </w:t>
      </w:r>
      <w:r w:rsidRPr="002B6D46" w:rsidR="00BB1DD3">
        <w:rPr>
          <w:szCs w:val="22"/>
          <w:shd w:val="clear" w:color="auto" w:fill="FFFFFF"/>
        </w:rPr>
        <w:t>and procedures</w:t>
      </w:r>
      <w:r w:rsidRPr="002B6D46" w:rsidR="00C9657A">
        <w:rPr>
          <w:szCs w:val="22"/>
          <w:shd w:val="clear" w:color="auto" w:fill="FFFFFF"/>
        </w:rPr>
        <w:t>,</w:t>
      </w:r>
      <w:r w:rsidRPr="002B6D46" w:rsidR="00BB1DD3">
        <w:rPr>
          <w:szCs w:val="22"/>
          <w:shd w:val="clear" w:color="auto" w:fill="FFFFFF"/>
        </w:rPr>
        <w:t xml:space="preserve"> to the exten</w:t>
      </w:r>
      <w:r w:rsidRPr="002B6D46" w:rsidR="00020441">
        <w:rPr>
          <w:szCs w:val="22"/>
          <w:shd w:val="clear" w:color="auto" w:fill="FFFFFF"/>
        </w:rPr>
        <w:t>t</w:t>
      </w:r>
      <w:r w:rsidRPr="002B6D46" w:rsidR="00BB1DD3">
        <w:rPr>
          <w:szCs w:val="22"/>
          <w:shd w:val="clear" w:color="auto" w:fill="FFFFFF"/>
        </w:rPr>
        <w:t xml:space="preserve"> pract</w:t>
      </w:r>
      <w:r w:rsidRPr="002B6D46" w:rsidR="00020441">
        <w:rPr>
          <w:szCs w:val="22"/>
          <w:shd w:val="clear" w:color="auto" w:fill="FFFFFF"/>
        </w:rPr>
        <w:t>icable</w:t>
      </w:r>
      <w:r w:rsidRPr="002B6D46" w:rsidR="001E1BE8">
        <w:rPr>
          <w:szCs w:val="22"/>
          <w:shd w:val="clear" w:color="auto" w:fill="FFFFFF"/>
        </w:rPr>
        <w:t xml:space="preserve"> and consistent with </w:t>
      </w:r>
      <w:r w:rsidRPr="002B6D46" w:rsidR="00020441">
        <w:rPr>
          <w:szCs w:val="22"/>
          <w:shd w:val="clear" w:color="auto" w:fill="FFFFFF"/>
        </w:rPr>
        <w:t>section</w:t>
      </w:r>
      <w:r w:rsidRPr="002B6D46" w:rsidR="001E1BE8">
        <w:rPr>
          <w:szCs w:val="22"/>
          <w:shd w:val="clear" w:color="auto" w:fill="FFFFFF"/>
        </w:rPr>
        <w:t xml:space="preserve"> 903</w:t>
      </w:r>
      <w:r w:rsidRPr="002B6D46" w:rsidR="00BD7D5F">
        <w:rPr>
          <w:szCs w:val="22"/>
          <w:shd w:val="clear" w:color="auto" w:fill="FFFFFF"/>
        </w:rPr>
        <w:t>,</w:t>
      </w:r>
      <w:r>
        <w:rPr>
          <w:rStyle w:val="FootnoteReference"/>
          <w:szCs w:val="22"/>
          <w:shd w:val="clear" w:color="auto" w:fill="FFFFFF"/>
        </w:rPr>
        <w:footnoteReference w:id="19"/>
      </w:r>
      <w:r w:rsidRPr="002B6D46" w:rsidR="00020441">
        <w:rPr>
          <w:szCs w:val="22"/>
          <w:shd w:val="clear" w:color="auto" w:fill="FFFFFF"/>
        </w:rPr>
        <w:t xml:space="preserve"> to ensure the efficient and effective manage</w:t>
      </w:r>
      <w:r w:rsidRPr="002B6D46" w:rsidR="00D61861">
        <w:rPr>
          <w:szCs w:val="22"/>
          <w:shd w:val="clear" w:color="auto" w:fill="FFFFFF"/>
        </w:rPr>
        <w:t>ment</w:t>
      </w:r>
      <w:r w:rsidRPr="002B6D46" w:rsidR="00020441">
        <w:rPr>
          <w:szCs w:val="22"/>
          <w:shd w:val="clear" w:color="auto" w:fill="FFFFFF"/>
        </w:rPr>
        <w:t xml:space="preserve"> of the program.</w:t>
      </w:r>
      <w:r w:rsidRPr="002B6D46" w:rsidR="0064157E">
        <w:rPr>
          <w:szCs w:val="22"/>
          <w:shd w:val="clear" w:color="auto" w:fill="FFFFFF"/>
        </w:rPr>
        <w:t xml:space="preserve">  </w:t>
      </w:r>
      <w:r w:rsidRPr="002B6D46" w:rsidR="00C9657A">
        <w:rPr>
          <w:szCs w:val="22"/>
          <w:shd w:val="clear" w:color="auto" w:fill="FFFFFF"/>
        </w:rPr>
        <w:t xml:space="preserve">We anticipate that among the first acts OMD will perform to ensure </w:t>
      </w:r>
      <w:r w:rsidRPr="002B6D46" w:rsidR="00A75654">
        <w:rPr>
          <w:szCs w:val="22"/>
          <w:shd w:val="clear" w:color="auto" w:fill="FFFFFF"/>
        </w:rPr>
        <w:t>satisfaction of its</w:t>
      </w:r>
      <w:r w:rsidRPr="002B6D46" w:rsidR="00C9657A">
        <w:rPr>
          <w:szCs w:val="22"/>
          <w:shd w:val="clear" w:color="auto" w:fill="FFFFFF"/>
        </w:rPr>
        <w:t xml:space="preserve"> financial </w:t>
      </w:r>
      <w:r w:rsidRPr="002B6D46" w:rsidR="00311198">
        <w:rPr>
          <w:szCs w:val="22"/>
          <w:shd w:val="clear" w:color="auto" w:fill="FFFFFF"/>
        </w:rPr>
        <w:t xml:space="preserve">management </w:t>
      </w:r>
      <w:r w:rsidRPr="002B6D46" w:rsidR="00A75654">
        <w:rPr>
          <w:szCs w:val="22"/>
          <w:shd w:val="clear" w:color="auto" w:fill="FFFFFF"/>
        </w:rPr>
        <w:t>obligations</w:t>
      </w:r>
      <w:r w:rsidRPr="002B6D46" w:rsidR="00C9657A">
        <w:rPr>
          <w:szCs w:val="22"/>
          <w:shd w:val="clear" w:color="auto" w:fill="FFFFFF"/>
        </w:rPr>
        <w:t xml:space="preserve"> is the execution of a memorandum of understanding, or similar agreement, with USAC.  </w:t>
      </w:r>
      <w:r w:rsidRPr="002B6D46" w:rsidR="00A75654">
        <w:rPr>
          <w:szCs w:val="22"/>
          <w:shd w:val="clear" w:color="auto" w:fill="FFFFFF"/>
        </w:rPr>
        <w:t xml:space="preserve">Finally, we note that </w:t>
      </w:r>
      <w:r w:rsidRPr="002B6D46" w:rsidR="00AF55A2">
        <w:rPr>
          <w:szCs w:val="22"/>
          <w:shd w:val="clear" w:color="auto" w:fill="FFFFFF"/>
        </w:rPr>
        <w:t xml:space="preserve">OMD is required to consult with </w:t>
      </w:r>
      <w:r w:rsidRPr="002B6D46" w:rsidR="00CB4695">
        <w:rPr>
          <w:szCs w:val="22"/>
          <w:shd w:val="clear" w:color="auto" w:fill="FFFFFF"/>
        </w:rPr>
        <w:t xml:space="preserve">the Bureau </w:t>
      </w:r>
      <w:r w:rsidRPr="002B6D46" w:rsidR="00AF55A2">
        <w:rPr>
          <w:szCs w:val="22"/>
          <w:shd w:val="clear" w:color="auto" w:fill="FFFFFF"/>
        </w:rPr>
        <w:t xml:space="preserve">on </w:t>
      </w:r>
      <w:r w:rsidRPr="002B6D46" w:rsidR="00FD1D4B">
        <w:rPr>
          <w:szCs w:val="22"/>
          <w:shd w:val="clear" w:color="auto" w:fill="FFFFFF"/>
        </w:rPr>
        <w:t xml:space="preserve">any policy matters affecting the program, consistent with </w:t>
      </w:r>
      <w:r w:rsidRPr="002B6D46" w:rsidR="00BD7D5F">
        <w:rPr>
          <w:szCs w:val="22"/>
          <w:shd w:val="clear" w:color="auto" w:fill="FFFFFF"/>
        </w:rPr>
        <w:t>s</w:t>
      </w:r>
      <w:r w:rsidRPr="002B6D46" w:rsidR="00FD1D4B">
        <w:rPr>
          <w:szCs w:val="22"/>
          <w:shd w:val="clear" w:color="auto" w:fill="FFFFFF"/>
        </w:rPr>
        <w:t xml:space="preserve">ection 0.91(a) of the Commission’s rules.  </w:t>
      </w:r>
    </w:p>
    <w:p w:rsidR="00C11ECE" w:rsidRPr="00584A02" w:rsidP="00DB2D62" w14:paraId="7DB4887C" w14:textId="6CC1D40D">
      <w:pPr>
        <w:pStyle w:val="ParaNum"/>
        <w:rPr>
          <w:szCs w:val="22"/>
        </w:rPr>
      </w:pPr>
      <w:r w:rsidRPr="00584A02">
        <w:rPr>
          <w:szCs w:val="22"/>
        </w:rPr>
        <w:t xml:space="preserve">In its </w:t>
      </w:r>
      <w:r w:rsidRPr="00584A02" w:rsidR="000F5260">
        <w:rPr>
          <w:szCs w:val="22"/>
        </w:rPr>
        <w:t>administration</w:t>
      </w:r>
      <w:r w:rsidRPr="00584A02">
        <w:rPr>
          <w:szCs w:val="22"/>
        </w:rPr>
        <w:t xml:space="preserve"> of the </w:t>
      </w:r>
      <w:r w:rsidR="004B7B5C">
        <w:rPr>
          <w:szCs w:val="22"/>
        </w:rPr>
        <w:t>P</w:t>
      </w:r>
      <w:r w:rsidRPr="00584A02">
        <w:rPr>
          <w:szCs w:val="22"/>
        </w:rPr>
        <w:t>rogram, USAC</w:t>
      </w:r>
      <w:r w:rsidRPr="00584A02" w:rsidR="000F5260">
        <w:rPr>
          <w:szCs w:val="22"/>
        </w:rPr>
        <w:t xml:space="preserve"> is directed to </w:t>
      </w:r>
      <w:r w:rsidRPr="00584A02">
        <w:rPr>
          <w:szCs w:val="22"/>
        </w:rPr>
        <w:t xml:space="preserve">comply with, on an ongoing basis, all applicable laws and Federal government guidance on privacy and information security </w:t>
      </w:r>
      <w:r w:rsidRPr="00ED3C64" w:rsidR="00384588">
        <w:rPr>
          <w:szCs w:val="22"/>
        </w:rPr>
        <w:t xml:space="preserve">standards and </w:t>
      </w:r>
      <w:r w:rsidRPr="00062197">
        <w:rPr>
          <w:szCs w:val="22"/>
        </w:rPr>
        <w:t>requirements</w:t>
      </w:r>
      <w:r w:rsidRPr="00062197" w:rsidR="008415FD">
        <w:rPr>
          <w:szCs w:val="22"/>
        </w:rPr>
        <w:t>,</w:t>
      </w:r>
      <w:r w:rsidRPr="00062197">
        <w:rPr>
          <w:szCs w:val="22"/>
        </w:rPr>
        <w:t xml:space="preserve"> such as </w:t>
      </w:r>
      <w:r w:rsidRPr="00ED3C64" w:rsidR="00643849">
        <w:rPr>
          <w:szCs w:val="22"/>
        </w:rPr>
        <w:t>the Privacy Act,</w:t>
      </w:r>
      <w:r>
        <w:rPr>
          <w:rStyle w:val="FootnoteReference"/>
          <w:szCs w:val="22"/>
        </w:rPr>
        <w:footnoteReference w:id="20"/>
      </w:r>
      <w:r w:rsidRPr="00ED3C64" w:rsidR="00643849">
        <w:rPr>
          <w:szCs w:val="22"/>
        </w:rPr>
        <w:t xml:space="preserve"> </w:t>
      </w:r>
      <w:r w:rsidRPr="00062197">
        <w:rPr>
          <w:szCs w:val="22"/>
        </w:rPr>
        <w:t>relevant provisions in the Federal Information Security M</w:t>
      </w:r>
      <w:r w:rsidRPr="00062197" w:rsidR="00F347ED">
        <w:rPr>
          <w:szCs w:val="22"/>
        </w:rPr>
        <w:t>odernization</w:t>
      </w:r>
      <w:r w:rsidRPr="00062197">
        <w:rPr>
          <w:szCs w:val="22"/>
        </w:rPr>
        <w:t xml:space="preserve"> Act</w:t>
      </w:r>
      <w:r w:rsidRPr="00062197" w:rsidR="00F347ED">
        <w:rPr>
          <w:szCs w:val="22"/>
        </w:rPr>
        <w:t xml:space="preserve"> of 2014</w:t>
      </w:r>
      <w:r w:rsidRPr="00062197">
        <w:rPr>
          <w:szCs w:val="22"/>
        </w:rPr>
        <w:t>,</w:t>
      </w:r>
      <w:r>
        <w:rPr>
          <w:rStyle w:val="FootnoteReference"/>
          <w:szCs w:val="22"/>
        </w:rPr>
        <w:footnoteReference w:id="21"/>
      </w:r>
      <w:r w:rsidRPr="00062197">
        <w:rPr>
          <w:szCs w:val="22"/>
        </w:rPr>
        <w:t xml:space="preserve"> National Institute</w:t>
      </w:r>
      <w:r w:rsidRPr="00584A02">
        <w:rPr>
          <w:szCs w:val="22"/>
        </w:rPr>
        <w:t xml:space="preserve"> of Standards and Technology publications, and Office of Management and Budget guidance.</w:t>
      </w:r>
    </w:p>
    <w:p w:rsidR="002E1623" w:rsidP="00EE6985" w14:paraId="11E50319" w14:textId="1EFFE121">
      <w:pPr>
        <w:pStyle w:val="ParaNum"/>
      </w:pPr>
      <w:r>
        <w:t>W</w:t>
      </w:r>
      <w:r w:rsidR="007A1E35">
        <w:t xml:space="preserve">e find that the </w:t>
      </w:r>
      <w:r w:rsidRPr="003D4660" w:rsidR="007A1E35">
        <w:rPr>
          <w:i/>
          <w:iCs/>
        </w:rPr>
        <w:t>January 6</w:t>
      </w:r>
      <w:r w:rsidRPr="003D4660" w:rsidR="007A1E35">
        <w:rPr>
          <w:i/>
          <w:iCs/>
          <w:vertAlign w:val="superscript"/>
        </w:rPr>
        <w:t>th</w:t>
      </w:r>
      <w:r w:rsidRPr="003D4660" w:rsidR="007A1E35">
        <w:rPr>
          <w:i/>
          <w:iCs/>
        </w:rPr>
        <w:t xml:space="preserve"> Public Notice</w:t>
      </w:r>
      <w:r w:rsidR="007A1E35">
        <w:t xml:space="preserve"> provided sufficient notice and </w:t>
      </w:r>
      <w:r w:rsidR="00AA1BE5">
        <w:t xml:space="preserve">allowed for suitable </w:t>
      </w:r>
      <w:r w:rsidR="0089054B">
        <w:t xml:space="preserve">public </w:t>
      </w:r>
      <w:r w:rsidR="007A1E35">
        <w:t xml:space="preserve">comment </w:t>
      </w:r>
      <w:r w:rsidR="004C0293">
        <w:t xml:space="preserve">on our proposal </w:t>
      </w:r>
      <w:r w:rsidR="00706F80">
        <w:t xml:space="preserve">to </w:t>
      </w:r>
      <w:r w:rsidR="00BE0C16">
        <w:t xml:space="preserve">allow </w:t>
      </w:r>
      <w:r w:rsidR="00706F80">
        <w:t xml:space="preserve">USAC </w:t>
      </w:r>
      <w:r w:rsidR="00BE0C16">
        <w:t xml:space="preserve">to </w:t>
      </w:r>
      <w:r w:rsidR="00706F80">
        <w:t>administer the Program</w:t>
      </w:r>
      <w:r w:rsidR="007A1E35">
        <w:t>.</w:t>
      </w:r>
      <w:r>
        <w:rPr>
          <w:rStyle w:val="FootnoteReference"/>
        </w:rPr>
        <w:footnoteReference w:id="22"/>
      </w:r>
      <w:r w:rsidR="007A1E35">
        <w:t xml:space="preserve">  </w:t>
      </w:r>
      <w:r w:rsidR="00706F80">
        <w:t xml:space="preserve">However, out of an abundance of caution, we </w:t>
      </w:r>
      <w:r w:rsidR="00262AEB">
        <w:t xml:space="preserve">also </w:t>
      </w:r>
      <w:r w:rsidR="00706F80">
        <w:t xml:space="preserve">determine that using additional notice and comment procedures for the administration of this emergency relief Program, and thereby delaying its effectiveness by at least several months, </w:t>
      </w:r>
      <w:r w:rsidRPr="002E1623" w:rsidR="005B69DA">
        <w:t>would be impracticable and contrary to the public</w:t>
      </w:r>
      <w:r w:rsidR="005B69DA">
        <w:t xml:space="preserve"> interest.</w:t>
      </w:r>
      <w:r>
        <w:rPr>
          <w:rStyle w:val="FootnoteReference"/>
        </w:rPr>
        <w:footnoteReference w:id="23"/>
      </w:r>
      <w:r w:rsidR="005B69DA">
        <w:t xml:space="preserve">  </w:t>
      </w:r>
      <w:r w:rsidRPr="005B69DA" w:rsidR="005B69DA">
        <w:t>The good cause exception to the notice and comment procedures of the Administrative Procedure Act “excuses notice and comment in emergency situations, or where delay could result in serious harm.”</w:t>
      </w:r>
      <w:r>
        <w:rPr>
          <w:rStyle w:val="FootnoteReference"/>
        </w:rPr>
        <w:footnoteReference w:id="24"/>
      </w:r>
      <w:r w:rsidR="00BD5310">
        <w:t xml:space="preserve">  </w:t>
      </w:r>
      <w:r w:rsidR="00C1438F">
        <w:t>“</w:t>
      </w:r>
      <w:r w:rsidR="00BD5310">
        <w:t>I</w:t>
      </w:r>
      <w:r w:rsidRPr="00BD5310" w:rsidR="00BD5310">
        <w:t>n determining whether good cause exists, an agency should ‘balance the necessity for immediate implementation against principles of fundamental fairness which</w:t>
      </w:r>
      <w:r w:rsidR="00A43A6B">
        <w:t xml:space="preserve"> </w:t>
      </w:r>
      <w:r w:rsidRPr="00A43A6B" w:rsidR="00A43A6B">
        <w:t>require that all affected persons be</w:t>
      </w:r>
      <w:r w:rsidR="00A43A6B">
        <w:t xml:space="preserve"> </w:t>
      </w:r>
      <w:r w:rsidRPr="00A43A6B" w:rsidR="00A43A6B">
        <w:t>afforded a reasonable amount of time to prepare for the effective date of its ruling.’</w:t>
      </w:r>
      <w:r w:rsidR="00C1438F">
        <w:t>”</w:t>
      </w:r>
      <w:r>
        <w:rPr>
          <w:rStyle w:val="FootnoteReference"/>
        </w:rPr>
        <w:footnoteReference w:id="25"/>
      </w:r>
    </w:p>
    <w:p w:rsidR="00837206" w:rsidP="00EE6985" w14:paraId="19B487E9" w14:textId="0EC7FA1E">
      <w:pPr>
        <w:pStyle w:val="ParaNum"/>
      </w:pPr>
      <w:r w:rsidRPr="00837206">
        <w:t xml:space="preserve">As a general matter, we believe that public notice </w:t>
      </w:r>
      <w:r w:rsidR="00D153A5">
        <w:t xml:space="preserve">and comment </w:t>
      </w:r>
      <w:r w:rsidRPr="00837206">
        <w:t xml:space="preserve">requirements are an essential component of our rulemaking process.  In this case, however, because of the unprecedented nature of this pandemic and the need for immediate action, we find there is good cause for </w:t>
      </w:r>
      <w:r w:rsidR="00DE45E5">
        <w:t>forgoing a formal Notice of Proposed Rulemaking here</w:t>
      </w:r>
      <w:r w:rsidRPr="00837206">
        <w:t xml:space="preserve">.  </w:t>
      </w:r>
      <w:r w:rsidR="3FED3EB5">
        <w:t>D</w:t>
      </w:r>
      <w:r w:rsidR="007C690F">
        <w:t>elaying</w:t>
      </w:r>
      <w:r w:rsidR="001659B3">
        <w:t xml:space="preserve"> </w:t>
      </w:r>
      <w:r w:rsidR="00A240CA">
        <w:t>USAC</w:t>
      </w:r>
      <w:r w:rsidR="00EB2603">
        <w:t>’s</w:t>
      </w:r>
      <w:r w:rsidR="00A240CA">
        <w:t xml:space="preserve"> </w:t>
      </w:r>
      <w:r w:rsidR="00D468D9">
        <w:t xml:space="preserve">ability to prepare for the </w:t>
      </w:r>
      <w:r w:rsidR="00EB2603">
        <w:t xml:space="preserve">administration of </w:t>
      </w:r>
      <w:r w:rsidR="00A240CA">
        <w:t>the Program would result in a delay</w:t>
      </w:r>
      <w:r w:rsidR="009D6803">
        <w:t xml:space="preserve"> </w:t>
      </w:r>
      <w:r w:rsidR="00543BA8">
        <w:t xml:space="preserve">in the commitment and </w:t>
      </w:r>
      <w:r w:rsidR="009D6803">
        <w:t xml:space="preserve">use of Program funds.  </w:t>
      </w:r>
      <w:r w:rsidRPr="00837206">
        <w:t xml:space="preserve">In light of the </w:t>
      </w:r>
      <w:r w:rsidR="00FB44EC">
        <w:t xml:space="preserve">continued spread and devastating impact of </w:t>
      </w:r>
      <w:r w:rsidRPr="00837206">
        <w:t>COVID-19</w:t>
      </w:r>
      <w:r w:rsidR="00E7307B">
        <w:t>,</w:t>
      </w:r>
      <w:r w:rsidRPr="00837206">
        <w:t xml:space="preserve"> and the </w:t>
      </w:r>
      <w:r w:rsidR="00FB44EC">
        <w:t>continued</w:t>
      </w:r>
      <w:r w:rsidR="007617DF">
        <w:t xml:space="preserve"> urgent</w:t>
      </w:r>
      <w:r w:rsidR="00FB44EC">
        <w:t xml:space="preserve"> </w:t>
      </w:r>
      <w:r w:rsidRPr="00837206">
        <w:t xml:space="preserve">need to address this </w:t>
      </w:r>
      <w:r w:rsidRPr="00837206">
        <w:t xml:space="preserve">public health crises, any further delay in the use of </w:t>
      </w:r>
      <w:r w:rsidR="004C18E2">
        <w:t>Program</w:t>
      </w:r>
      <w:r w:rsidRPr="00837206">
        <w:t xml:space="preserve"> funds to assist health care providers in meeting the health care needs of their patients could impede efforts to mitigate the spread of the disease</w:t>
      </w:r>
      <w:r w:rsidR="00183678">
        <w:t>, and would also frustrate Congress</w:t>
      </w:r>
      <w:r w:rsidR="00E31CFB">
        <w:t xml:space="preserve">’s </w:t>
      </w:r>
      <w:r w:rsidR="002129D5">
        <w:t>decision to declare an “emergency period” when it appropriated $200 million for Round 1 of the Program.</w:t>
      </w:r>
      <w:r>
        <w:rPr>
          <w:rStyle w:val="FootnoteReference"/>
        </w:rPr>
        <w:footnoteReference w:id="26"/>
      </w:r>
      <w:r w:rsidRPr="00837206">
        <w:t xml:space="preserve">  This emergency relief imposes a minimal regulatory burden on any parties </w:t>
      </w:r>
      <w:r w:rsidR="00234485">
        <w:t xml:space="preserve">and serves to expedite </w:t>
      </w:r>
      <w:r w:rsidR="00D02D1D">
        <w:t xml:space="preserve">the commitment of appropriated </w:t>
      </w:r>
      <w:r w:rsidRPr="00837206">
        <w:t>funds to help health care providers combat this global pandemic.</w:t>
      </w:r>
      <w:r w:rsidR="00C04E4C">
        <w:t xml:space="preserve">  </w:t>
      </w:r>
      <w:r w:rsidR="00216CC9">
        <w:t>For the same reasons,</w:t>
      </w:r>
      <w:r w:rsidR="00410BD7">
        <w:t xml:space="preserve"> and because USAC </w:t>
      </w:r>
      <w:r w:rsidR="006507FA">
        <w:t xml:space="preserve">must </w:t>
      </w:r>
      <w:r w:rsidR="00410BD7">
        <w:t xml:space="preserve">begin </w:t>
      </w:r>
      <w:r w:rsidR="008250D1">
        <w:t>preparations</w:t>
      </w:r>
      <w:r w:rsidR="00410BD7">
        <w:t xml:space="preserve"> </w:t>
      </w:r>
      <w:r w:rsidR="00225F98">
        <w:t>as soon as practicable</w:t>
      </w:r>
      <w:r w:rsidR="008250D1">
        <w:t xml:space="preserve"> </w:t>
      </w:r>
      <w:r w:rsidR="00C715CA">
        <w:t>to</w:t>
      </w:r>
      <w:r w:rsidR="00410BD7">
        <w:t xml:space="preserve"> </w:t>
      </w:r>
      <w:r w:rsidR="008721BC">
        <w:t>handle</w:t>
      </w:r>
      <w:r w:rsidR="00410BD7">
        <w:t xml:space="preserve"> the </w:t>
      </w:r>
      <w:r w:rsidR="008721BC">
        <w:t xml:space="preserve">tasks we have assigned to it, </w:t>
      </w:r>
      <w:r w:rsidR="00216CC9">
        <w:t>w</w:t>
      </w:r>
      <w:r w:rsidRPr="00C04E4C" w:rsidR="00C04E4C">
        <w:t xml:space="preserve">e </w:t>
      </w:r>
      <w:r w:rsidR="00216CC9">
        <w:t>also</w:t>
      </w:r>
      <w:r w:rsidRPr="00C04E4C" w:rsidR="00216CC9">
        <w:t xml:space="preserve"> </w:t>
      </w:r>
      <w:r w:rsidRPr="00C04E4C" w:rsidR="00C04E4C">
        <w:t xml:space="preserve">find good cause to make the rules granting this relief effective immediately upon </w:t>
      </w:r>
      <w:r w:rsidR="00EC7CAF">
        <w:t>release</w:t>
      </w:r>
      <w:r w:rsidRPr="00C04E4C" w:rsidR="00C04E4C">
        <w:t xml:space="preserve"> of this Report and Order</w:t>
      </w:r>
      <w:r w:rsidR="00C04E4C">
        <w:t>.</w:t>
      </w:r>
      <w:r>
        <w:rPr>
          <w:rStyle w:val="FootnoteReference"/>
        </w:rPr>
        <w:footnoteReference w:id="27"/>
      </w:r>
    </w:p>
    <w:p w:rsidR="0021367E" w:rsidP="00036C6A" w14:paraId="76198B90" w14:textId="4397A149">
      <w:pPr>
        <w:pStyle w:val="Heading1"/>
      </w:pPr>
      <w:r>
        <w:t>Procedural Matters</w:t>
      </w:r>
    </w:p>
    <w:p w:rsidR="0006405E" w:rsidRPr="0006405E" w:rsidP="00AC7941" w14:paraId="35DDB67B" w14:textId="3123B581">
      <w:pPr>
        <w:pStyle w:val="ParaNum"/>
      </w:pPr>
      <w:r w:rsidRPr="0006405E">
        <w:rPr>
          <w:i/>
          <w:iCs/>
        </w:rPr>
        <w:t>Paperwork Reduction Act Analysis</w:t>
      </w:r>
      <w:r>
        <w:t>.  This document contains no new information collection requirements subject to the Paperwork Reduction Act of 1995 (PRA), Public Law 104-13.</w:t>
      </w:r>
    </w:p>
    <w:p w:rsidR="00AC7941" w:rsidRPr="0006405E" w:rsidP="00AC7941" w14:paraId="584C8E7E" w14:textId="050542BB">
      <w:pPr>
        <w:pStyle w:val="ParaNum"/>
      </w:pPr>
      <w:r>
        <w:rPr>
          <w:i/>
          <w:iCs/>
        </w:rPr>
        <w:t>Congressional Review Act</w:t>
      </w:r>
      <w:r>
        <w:t>.  The Commission has determined, and the Administrator of the Office of Information and Regulatory Affairs, Office of Management and Budget (OMB), concurs that the rules adopted herein are “non-major” under the Congressional Review Act, 5 U.S.C. § 804(2).  Because we find for good cause that notice and public procedure on the rules adopted herein is impracticable, unnecessary, or contrary to the public interest, this Report and Order will become effective immediately upon release pursuant to 5 U.S.C. § 808(2).  The Commission will send a copy of this Report and Order to Congress and the Government Accountability Office pursuant to 5 U.S.C. § 801(a)(1)(A).</w:t>
      </w:r>
    </w:p>
    <w:p w:rsidR="00434AAD" w:rsidP="00434AAD" w14:paraId="3DCEC777" w14:textId="77777777">
      <w:pPr>
        <w:pStyle w:val="Heading1"/>
      </w:pPr>
      <w:r>
        <w:t>Ordering Clauses</w:t>
      </w:r>
    </w:p>
    <w:p w:rsidR="009460E5" w:rsidP="00ED3C64" w14:paraId="0E547938" w14:textId="30349047">
      <w:pPr>
        <w:pStyle w:val="ParaNum"/>
      </w:pPr>
      <w:r w:rsidRPr="0068020C">
        <w:t>Accordingly, IT IS ORDERED that, pursuant to the authority contained in</w:t>
      </w:r>
      <w:r>
        <w:t xml:space="preserve"> </w:t>
      </w:r>
      <w:r w:rsidRPr="0068020C">
        <w:t>sections 201, 254, 303(r), and 403 of the Communications Act of 1934, as amended, 47 U.S.C. §§ 201, 254, 303(r), and 403, DIVISION B of the Coronavirus Aid, Relief, and Economic Security Act, Pub. L. No 116-136, 134 Stat. 281,</w:t>
      </w:r>
      <w:r w:rsidR="00502930">
        <w:t xml:space="preserve"> and</w:t>
      </w:r>
      <w:r w:rsidRPr="0068020C">
        <w:t xml:space="preserve"> </w:t>
      </w:r>
      <w:r w:rsidR="00F975E3">
        <w:t xml:space="preserve">DIVISION N of </w:t>
      </w:r>
      <w:r w:rsidR="00142577">
        <w:t xml:space="preserve">the </w:t>
      </w:r>
      <w:r w:rsidRPr="00142577" w:rsidR="00142577">
        <w:t>Consolidated Appropriations Act, 2021, Pub. L. No. 116-260,</w:t>
      </w:r>
      <w:r w:rsidR="00CA3866">
        <w:t xml:space="preserve"> 134 Stat. 1182,</w:t>
      </w:r>
      <w:r w:rsidRPr="00142577" w:rsidR="00142577">
        <w:t xml:space="preserve"> </w:t>
      </w:r>
      <w:r w:rsidRPr="0068020C">
        <w:t>this Report and Order IS</w:t>
      </w:r>
      <w:r w:rsidR="0009665B">
        <w:t xml:space="preserve"> </w:t>
      </w:r>
      <w:r w:rsidRPr="0068020C">
        <w:t>ADOPTED</w:t>
      </w:r>
      <w:r>
        <w:t>.</w:t>
      </w:r>
    </w:p>
    <w:p w:rsidR="007B4037" w:rsidP="00ED3C64" w14:paraId="08773A2A" w14:textId="22927AAC">
      <w:pPr>
        <w:pStyle w:val="ParaNum"/>
      </w:pPr>
      <w:r>
        <w:t>IT IS FURTHER ORDERED that</w:t>
      </w:r>
      <w:r w:rsidR="00D64DE7">
        <w:t>, pursuant to</w:t>
      </w:r>
      <w:r w:rsidR="00C55622">
        <w:t xml:space="preserve"> </w:t>
      </w:r>
      <w:r w:rsidR="00CF1455">
        <w:t>the authority contained in</w:t>
      </w:r>
      <w:r w:rsidR="00C55622">
        <w:t xml:space="preserve"> </w:t>
      </w:r>
      <w:r>
        <w:t>section</w:t>
      </w:r>
      <w:r w:rsidR="00F23357">
        <w:t xml:space="preserve"> </w:t>
      </w:r>
      <w:r w:rsidR="00175F3A">
        <w:t>808(2</w:t>
      </w:r>
      <w:r w:rsidR="00F23357">
        <w:t>)</w:t>
      </w:r>
      <w:r w:rsidR="006E1BB8">
        <w:t xml:space="preserve"> of the </w:t>
      </w:r>
      <w:r w:rsidR="00175F3A">
        <w:t xml:space="preserve">Congressional Review Act, </w:t>
      </w:r>
      <w:r w:rsidR="006E1BB8">
        <w:t>5 U.S.C.</w:t>
      </w:r>
      <w:r w:rsidR="00175F3A">
        <w:t xml:space="preserve"> </w:t>
      </w:r>
      <w:r w:rsidRPr="0068020C" w:rsidR="00F23357">
        <w:t>§</w:t>
      </w:r>
      <w:r w:rsidR="00F23357">
        <w:t xml:space="preserve"> </w:t>
      </w:r>
      <w:r w:rsidR="00175F3A">
        <w:t>808</w:t>
      </w:r>
      <w:r w:rsidR="006E1BB8">
        <w:t>(2)</w:t>
      </w:r>
      <w:r w:rsidR="00D64DE7">
        <w:t>,</w:t>
      </w:r>
      <w:r w:rsidR="006E1BB8">
        <w:t xml:space="preserve"> </w:t>
      </w:r>
      <w:r w:rsidR="00C65752">
        <w:t>this Report and Order</w:t>
      </w:r>
      <w:r w:rsidRPr="0068020C" w:rsidR="0068020C">
        <w:t xml:space="preserve"> SHALL BECOME EFFECTIVE</w:t>
      </w:r>
      <w:r w:rsidR="00EB4EEF">
        <w:t xml:space="preserve"> i</w:t>
      </w:r>
      <w:r w:rsidRPr="00EB4EEF" w:rsidR="00EB4EEF">
        <w:t xml:space="preserve">mmediately upon </w:t>
      </w:r>
      <w:r w:rsidR="00EC7CAF">
        <w:t>release</w:t>
      </w:r>
      <w:r w:rsidR="0009665B">
        <w:t>.</w:t>
      </w:r>
    </w:p>
    <w:p w:rsidR="007B4037" w:rsidP="00E246E6" w14:paraId="33C1B303" w14:textId="77777777">
      <w:pPr>
        <w:pStyle w:val="ParaNum"/>
        <w:numPr>
          <w:ilvl w:val="0"/>
          <w:numId w:val="0"/>
        </w:numPr>
        <w:ind w:left="720"/>
      </w:pPr>
    </w:p>
    <w:p w:rsidR="00E246E6" w:rsidP="00ED3C64" w14:paraId="21F2D12D" w14:textId="5921098C">
      <w:r>
        <w:tab/>
      </w:r>
      <w:r>
        <w:tab/>
      </w:r>
      <w:r>
        <w:tab/>
      </w:r>
      <w:r>
        <w:tab/>
      </w:r>
      <w:r>
        <w:tab/>
      </w:r>
      <w:r w:rsidR="00BF66FB">
        <w:tab/>
      </w:r>
      <w:r>
        <w:t>FEDERAL COMMUNICATIONS COMMISSION</w:t>
      </w:r>
    </w:p>
    <w:p w:rsidR="00E246E6" w:rsidP="00ED3C64" w14:paraId="7B4F7BE4" w14:textId="77777777">
      <w:pPr>
        <w:pStyle w:val="ParaNum"/>
        <w:numPr>
          <w:ilvl w:val="0"/>
          <w:numId w:val="0"/>
        </w:numPr>
        <w:ind w:left="720"/>
      </w:pPr>
    </w:p>
    <w:p w:rsidR="00E246E6" w:rsidP="00ED3C64" w14:paraId="3350E426" w14:textId="77777777">
      <w:pPr>
        <w:pStyle w:val="ParaNum"/>
        <w:numPr>
          <w:ilvl w:val="0"/>
          <w:numId w:val="0"/>
        </w:numPr>
        <w:ind w:left="720"/>
      </w:pPr>
    </w:p>
    <w:p w:rsidR="00CA1686" w:rsidP="00ED3C64" w14:paraId="6F5DCF27" w14:textId="77777777"/>
    <w:p w:rsidR="00E246E6" w:rsidP="00CA1686" w14:paraId="2F7ADCEA" w14:textId="2DF01B8E">
      <w:pPr>
        <w:ind w:left="3600" w:firstLine="720"/>
      </w:pPr>
      <w:r>
        <w:t>Marlene H. Dortch</w:t>
      </w:r>
    </w:p>
    <w:p w:rsidR="00E246E6" w:rsidP="00ED3C64" w14:paraId="1779BA74" w14:textId="77777777">
      <w:r>
        <w:tab/>
      </w:r>
      <w:r>
        <w:tab/>
      </w:r>
      <w:r>
        <w:tab/>
      </w:r>
      <w:r>
        <w:tab/>
      </w:r>
      <w:r>
        <w:tab/>
      </w:r>
      <w:r>
        <w:tab/>
        <w:t>Secretary</w:t>
      </w:r>
    </w:p>
    <w:p w:rsidR="00543BA8" w:rsidRPr="0068020C" w:rsidP="00ED3C64" w14:paraId="5FC031D7" w14:textId="7A235772">
      <w:pPr>
        <w:pStyle w:val="ParaNum"/>
        <w:numPr>
          <w:ilvl w:val="0"/>
          <w:numId w:val="0"/>
        </w:numPr>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AD10E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86D81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A1686" w14:paraId="4153F922" w14:textId="7459BB84">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7DBF7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4A78" w14:paraId="28A4E214" w14:textId="77777777">
      <w:r>
        <w:separator/>
      </w:r>
    </w:p>
  </w:footnote>
  <w:footnote w:type="continuationSeparator" w:id="1">
    <w:p w:rsidR="00E74A78" w:rsidP="00C721AC" w14:paraId="0ACB7655" w14:textId="77777777">
      <w:pPr>
        <w:spacing w:before="120"/>
        <w:rPr>
          <w:sz w:val="20"/>
        </w:rPr>
      </w:pPr>
      <w:r>
        <w:rPr>
          <w:sz w:val="20"/>
        </w:rPr>
        <w:t xml:space="preserve">(Continued from previous page)  </w:t>
      </w:r>
      <w:r>
        <w:rPr>
          <w:sz w:val="20"/>
        </w:rPr>
        <w:separator/>
      </w:r>
    </w:p>
  </w:footnote>
  <w:footnote w:type="continuationNotice" w:id="2">
    <w:p w:rsidR="00E74A78" w:rsidP="00C721AC" w14:paraId="72C1D725" w14:textId="77777777">
      <w:pPr>
        <w:jc w:val="right"/>
        <w:rPr>
          <w:sz w:val="20"/>
        </w:rPr>
      </w:pPr>
      <w:r>
        <w:rPr>
          <w:sz w:val="20"/>
        </w:rPr>
        <w:t>(continued….)</w:t>
      </w:r>
    </w:p>
  </w:footnote>
  <w:footnote w:id="3">
    <w:p w:rsidR="006E3C84" w14:paraId="25B6045C" w14:textId="77777777">
      <w:pPr>
        <w:pStyle w:val="FootnoteText"/>
      </w:pPr>
      <w:r>
        <w:rPr>
          <w:rStyle w:val="FootnoteReference"/>
        </w:rPr>
        <w:footnoteRef/>
      </w:r>
      <w:r>
        <w:t xml:space="preserve"> </w:t>
      </w:r>
      <w:r w:rsidR="006074B8">
        <w:t xml:space="preserve">The Coronavirus Aid, Relief, and Economic Security Act, </w:t>
      </w:r>
      <w:r w:rsidRPr="000A7A08" w:rsidR="006074B8">
        <w:t xml:space="preserve">Pub. L. No 116-136, 134 Stat. </w:t>
      </w:r>
      <w:r w:rsidR="006074B8">
        <w:t>281</w:t>
      </w:r>
      <w:r w:rsidRPr="000A7A08" w:rsidR="006074B8">
        <w:t xml:space="preserve"> (2020)</w:t>
      </w:r>
      <w:r w:rsidR="006074B8">
        <w:t xml:space="preserve"> (CARES Act).</w:t>
      </w:r>
    </w:p>
  </w:footnote>
  <w:footnote w:id="4">
    <w:p w:rsidR="006E3C84" w14:paraId="52D1F64B" w14:textId="77777777">
      <w:pPr>
        <w:pStyle w:val="FootnoteText"/>
      </w:pPr>
      <w:r>
        <w:rPr>
          <w:rStyle w:val="FootnoteReference"/>
        </w:rPr>
        <w:footnoteRef/>
      </w:r>
      <w:r>
        <w:t xml:space="preserve"> </w:t>
      </w:r>
      <w:r w:rsidRPr="001A47C8" w:rsidR="001A47C8">
        <w:rPr>
          <w:i/>
          <w:iCs/>
        </w:rPr>
        <w:t>Promoting Telehealth for Low-Income Consumers</w:t>
      </w:r>
      <w:r w:rsidRPr="001A47C8" w:rsidR="001A47C8">
        <w:t xml:space="preserve">; </w:t>
      </w:r>
      <w:r w:rsidRPr="001A47C8" w:rsidR="001A47C8">
        <w:rPr>
          <w:i/>
          <w:iCs/>
        </w:rPr>
        <w:t>COVID-19 Telehealth Program</w:t>
      </w:r>
      <w:r w:rsidRPr="001A47C8" w:rsidR="001A47C8">
        <w:t>, Report and Order, 35 FCC Rcd 3366</w:t>
      </w:r>
      <w:r w:rsidRPr="001A47C8" w:rsidR="001A47C8">
        <w:rPr>
          <w:iCs/>
        </w:rPr>
        <w:t xml:space="preserve"> </w:t>
      </w:r>
      <w:r w:rsidRPr="001A47C8" w:rsidR="001A47C8">
        <w:t>(2020) (</w:t>
      </w:r>
      <w:r w:rsidRPr="001A47C8" w:rsidR="001A47C8">
        <w:rPr>
          <w:i/>
          <w:iCs/>
        </w:rPr>
        <w:t>COVID-19 Report and Order</w:t>
      </w:r>
      <w:r w:rsidRPr="001A47C8" w:rsidR="001A47C8">
        <w:t>)</w:t>
      </w:r>
      <w:r w:rsidRPr="001A47C8" w:rsidR="001A47C8">
        <w:rPr>
          <w:iCs/>
        </w:rPr>
        <w:t>.</w:t>
      </w:r>
    </w:p>
  </w:footnote>
  <w:footnote w:id="5">
    <w:p w:rsidR="006E3C84" w:rsidP="00CA55C7" w14:paraId="5BE26FEA" w14:textId="7DBC87F5">
      <w:pPr>
        <w:pStyle w:val="FootnoteText"/>
      </w:pPr>
      <w:r>
        <w:rPr>
          <w:rStyle w:val="FootnoteReference"/>
        </w:rPr>
        <w:footnoteRef/>
      </w:r>
      <w:r>
        <w:t xml:space="preserve"> Consolidated Appropriations Act, 2021, Pub. L. No</w:t>
      </w:r>
      <w:r w:rsidR="00957020">
        <w:t>.</w:t>
      </w:r>
      <w:r>
        <w:t xml:space="preserve"> </w:t>
      </w:r>
      <w:r w:rsidRPr="00006EAB">
        <w:t>116-260</w:t>
      </w:r>
      <w:r>
        <w:t xml:space="preserve">, </w:t>
      </w:r>
      <w:r w:rsidR="001B34AA">
        <w:t>134 Stat. 1182</w:t>
      </w:r>
      <w:r w:rsidR="00BE4BFD">
        <w:t>,</w:t>
      </w:r>
      <w:r w:rsidR="001B34AA">
        <w:t xml:space="preserve"> </w:t>
      </w:r>
      <w:r>
        <w:t>Division N-Additional Coronavirus Response and Relief, Title IX-Broadband Internet Access Service, § 903 “FCC COVID-19 Telehealth Program” (2020).</w:t>
      </w:r>
      <w:r w:rsidR="00E26105">
        <w:t xml:space="preserve"> </w:t>
      </w:r>
    </w:p>
  </w:footnote>
  <w:footnote w:id="6">
    <w:p w:rsidR="006E3C84" w:rsidP="00124768" w14:paraId="18EC4797" w14:textId="16FA86F6">
      <w:pPr>
        <w:pStyle w:val="FootnoteText"/>
      </w:pPr>
      <w:r>
        <w:rPr>
          <w:rStyle w:val="FootnoteReference"/>
        </w:rPr>
        <w:footnoteRef/>
      </w:r>
      <w:r>
        <w:t xml:space="preserve"> </w:t>
      </w:r>
      <w:r>
        <w:rPr>
          <w:i/>
          <w:iCs/>
        </w:rPr>
        <w:t>Id.</w:t>
      </w:r>
      <w:r w:rsidRPr="002F2823" w:rsidR="002F2823">
        <w:t xml:space="preserve"> </w:t>
      </w:r>
      <w:r w:rsidR="00B86784">
        <w:t xml:space="preserve"> </w:t>
      </w:r>
      <w:r w:rsidRPr="00B95C3E" w:rsidR="002F2823">
        <w:t xml:space="preserve">Section 903(b), </w:t>
      </w:r>
      <w:r w:rsidRPr="002F2823" w:rsidR="002F2823">
        <w:rPr>
          <w:i/>
          <w:iCs/>
        </w:rPr>
        <w:t>Additional Appropriation</w:t>
      </w:r>
      <w:r w:rsidRPr="00B95C3E" w:rsidR="002F2823">
        <w:t xml:space="preserve">, provides as follows: </w:t>
      </w:r>
      <w:r w:rsidR="00B86784">
        <w:t xml:space="preserve"> </w:t>
      </w:r>
      <w:r w:rsidRPr="00B95C3E" w:rsidR="002F2823">
        <w:t xml:space="preserve">“Out of amounts in the Treasury not otherwise appropriated, there is appropriated $249,950,000 in additional funds for the COVID-19 Telehealth Program, of which $50,000 shall be transferred by the Commission to the Inspector General of the Commission for oversight of the COVID-19 Telehealth Program.”  Section 903(a)(3), in turn, defines the term “COVID-19 Telehealth Program” to mean “the COVID-19 Telehealth Program established by the Commission under the authority provided under the heading </w:t>
      </w:r>
      <w:r w:rsidRPr="009F4E10" w:rsidR="002F2823">
        <w:t>‘</w:t>
      </w:r>
      <w:r w:rsidRPr="00B95C3E" w:rsidR="002F2823">
        <w:t>salaries and expenses</w:t>
      </w:r>
      <w:r w:rsidRPr="009F4E10" w:rsidR="002F2823">
        <w:t>’</w:t>
      </w:r>
      <w:r w:rsidRPr="00B95C3E" w:rsidR="002F2823">
        <w:t xml:space="preserve"> under the heading </w:t>
      </w:r>
      <w:r w:rsidRPr="009F4E10" w:rsidR="002F2823">
        <w:t>‘</w:t>
      </w:r>
      <w:r w:rsidRPr="00B95C3E" w:rsidR="002F2823">
        <w:t>Federal Communications Commission</w:t>
      </w:r>
      <w:r w:rsidRPr="009F4E10" w:rsidR="002F2823">
        <w:t>’</w:t>
      </w:r>
      <w:r w:rsidRPr="00B95C3E" w:rsidR="002F2823">
        <w:t xml:space="preserve"> under the heading </w:t>
      </w:r>
      <w:r w:rsidRPr="009F4E10" w:rsidR="002F2823">
        <w:t>‘</w:t>
      </w:r>
      <w:r w:rsidRPr="00B95C3E" w:rsidR="002F2823">
        <w:t>INDEPENDENT AGENCIES</w:t>
      </w:r>
      <w:r w:rsidRPr="009F4E10" w:rsidR="002F2823">
        <w:t>’</w:t>
      </w:r>
      <w:r w:rsidRPr="00B95C3E" w:rsidR="002F2823">
        <w:t xml:space="preserve"> in title V of Division B of the CARES Act (Public Law 116-136; 134 Stat. 531).” (case formatting in the statute).</w:t>
      </w:r>
    </w:p>
  </w:footnote>
  <w:footnote w:id="7">
    <w:p w:rsidR="006E3C84" w14:paraId="3B832EB1" w14:textId="4A2074CD">
      <w:pPr>
        <w:pStyle w:val="FootnoteText"/>
      </w:pPr>
      <w:r>
        <w:rPr>
          <w:rStyle w:val="FootnoteReference"/>
        </w:rPr>
        <w:footnoteRef/>
      </w:r>
      <w:r>
        <w:t xml:space="preserve"> </w:t>
      </w:r>
      <w:r w:rsidRPr="00F82667" w:rsidR="00C106F7">
        <w:rPr>
          <w:i/>
          <w:iCs/>
        </w:rPr>
        <w:t xml:space="preserve">Wireline </w:t>
      </w:r>
      <w:r w:rsidRPr="00F82667" w:rsidR="00562F20">
        <w:rPr>
          <w:i/>
          <w:iCs/>
        </w:rPr>
        <w:t>Competition</w:t>
      </w:r>
      <w:r w:rsidRPr="00F82667" w:rsidR="00C106F7">
        <w:rPr>
          <w:i/>
          <w:iCs/>
        </w:rPr>
        <w:t xml:space="preserve"> Bureau Seeks Comment </w:t>
      </w:r>
      <w:r w:rsidR="007C4C7F">
        <w:rPr>
          <w:i/>
          <w:iCs/>
        </w:rPr>
        <w:t>On</w:t>
      </w:r>
      <w:r w:rsidRPr="00F82667" w:rsidR="00C106F7">
        <w:rPr>
          <w:i/>
          <w:iCs/>
        </w:rPr>
        <w:t xml:space="preserve"> COVID-19 Telehealth Program Application Evaluation Metrics</w:t>
      </w:r>
      <w:r w:rsidR="00C106F7">
        <w:t xml:space="preserve">, WC Docket No. 20-89, </w:t>
      </w:r>
      <w:r w:rsidR="00562F20">
        <w:t xml:space="preserve">Public Notice, DA 21-14 (rel. </w:t>
      </w:r>
      <w:r w:rsidR="007C4C7F">
        <w:t xml:space="preserve">WCB </w:t>
      </w:r>
      <w:r w:rsidR="00562F20">
        <w:t>Jan. 6, 2021)</w:t>
      </w:r>
      <w:r w:rsidR="004062BE">
        <w:t xml:space="preserve"> </w:t>
      </w:r>
      <w:r w:rsidR="007C4C7F">
        <w:t>(</w:t>
      </w:r>
      <w:r w:rsidR="007C4C7F">
        <w:rPr>
          <w:i/>
          <w:iCs/>
        </w:rPr>
        <w:t>January 6</w:t>
      </w:r>
      <w:r w:rsidRPr="007C4C7F" w:rsidR="007C4C7F">
        <w:rPr>
          <w:i/>
          <w:iCs/>
          <w:vertAlign w:val="superscript"/>
        </w:rPr>
        <w:t>th</w:t>
      </w:r>
      <w:r w:rsidR="007C4C7F">
        <w:rPr>
          <w:i/>
          <w:iCs/>
        </w:rPr>
        <w:t xml:space="preserve"> Public Notice</w:t>
      </w:r>
      <w:r w:rsidR="007C4C7F">
        <w:t>).</w:t>
      </w:r>
      <w:r w:rsidR="006715EF">
        <w:t xml:space="preserve"> </w:t>
      </w:r>
      <w:r w:rsidR="00EE51FE">
        <w:t xml:space="preserve"> </w:t>
      </w:r>
      <w:r w:rsidR="004062BE">
        <w:t xml:space="preserve">We note that the </w:t>
      </w:r>
      <w:r w:rsidRPr="00DA12BA" w:rsidR="004062BE">
        <w:rPr>
          <w:i/>
          <w:iCs/>
        </w:rPr>
        <w:t>Januar</w:t>
      </w:r>
      <w:r w:rsidRPr="00DA12BA" w:rsidR="00EE51FE">
        <w:rPr>
          <w:i/>
          <w:iCs/>
        </w:rPr>
        <w:t>y</w:t>
      </w:r>
      <w:r w:rsidRPr="00DA12BA" w:rsidR="004062BE">
        <w:rPr>
          <w:i/>
          <w:iCs/>
        </w:rPr>
        <w:t xml:space="preserve"> 6</w:t>
      </w:r>
      <w:r w:rsidRPr="00DA12BA" w:rsidR="004062BE">
        <w:rPr>
          <w:i/>
          <w:iCs/>
          <w:vertAlign w:val="superscript"/>
        </w:rPr>
        <w:t>th</w:t>
      </w:r>
      <w:r w:rsidRPr="00DA12BA" w:rsidR="004062BE">
        <w:rPr>
          <w:i/>
          <w:iCs/>
        </w:rPr>
        <w:t xml:space="preserve"> Public Notice</w:t>
      </w:r>
      <w:r w:rsidR="004062BE">
        <w:t xml:space="preserve"> raised additional </w:t>
      </w:r>
      <w:r w:rsidR="009E03A3">
        <w:t>matters</w:t>
      </w:r>
      <w:r w:rsidR="004062BE">
        <w:t xml:space="preserve"> </w:t>
      </w:r>
      <w:r w:rsidR="00DA12BA">
        <w:t>that</w:t>
      </w:r>
      <w:r w:rsidR="004062BE">
        <w:t xml:space="preserve"> </w:t>
      </w:r>
      <w:r w:rsidR="00F82667">
        <w:t>we anticipate will</w:t>
      </w:r>
      <w:r w:rsidR="004062BE">
        <w:t xml:space="preserve"> be </w:t>
      </w:r>
      <w:r w:rsidR="00F82667">
        <w:t>resolved</w:t>
      </w:r>
      <w:r w:rsidR="004062BE">
        <w:t xml:space="preserve"> in </w:t>
      </w:r>
      <w:r w:rsidR="00DA12BA">
        <w:t>the near future</w:t>
      </w:r>
      <w:r w:rsidR="00694366">
        <w:t>.</w:t>
      </w:r>
    </w:p>
  </w:footnote>
  <w:footnote w:id="8">
    <w:p w:rsidR="006E3C84" w14:paraId="32A3170A" w14:textId="77777777">
      <w:pPr>
        <w:pStyle w:val="FootnoteText"/>
      </w:pPr>
      <w:r>
        <w:rPr>
          <w:rStyle w:val="FootnoteReference"/>
        </w:rPr>
        <w:footnoteRef/>
      </w:r>
      <w:r w:rsidR="006715EF">
        <w:t xml:space="preserve"> </w:t>
      </w:r>
      <w:r w:rsidR="007C4C7F">
        <w:rPr>
          <w:i/>
          <w:iCs/>
        </w:rPr>
        <w:t>January 6</w:t>
      </w:r>
      <w:r w:rsidRPr="007C4C7F" w:rsidR="007C4C7F">
        <w:rPr>
          <w:i/>
          <w:iCs/>
          <w:vertAlign w:val="superscript"/>
        </w:rPr>
        <w:t>th</w:t>
      </w:r>
      <w:r>
        <w:rPr>
          <w:i/>
        </w:rPr>
        <w:t xml:space="preserve"> </w:t>
      </w:r>
      <w:r>
        <w:rPr>
          <w:i/>
          <w:iCs/>
        </w:rPr>
        <w:t>Public Notice</w:t>
      </w:r>
      <w:r w:rsidR="007C4C7F">
        <w:rPr>
          <w:i/>
          <w:iCs/>
        </w:rPr>
        <w:t xml:space="preserve"> </w:t>
      </w:r>
      <w:r w:rsidR="007C4C7F">
        <w:t>at 6</w:t>
      </w:r>
      <w:r>
        <w:t>, para</w:t>
      </w:r>
      <w:r w:rsidR="00EC706A">
        <w:t>.</w:t>
      </w:r>
      <w:r>
        <w:t xml:space="preserve"> 18.</w:t>
      </w:r>
    </w:p>
  </w:footnote>
  <w:footnote w:id="9">
    <w:p w:rsidR="006E3C84" w14:paraId="35B7B333" w14:textId="77777777">
      <w:pPr>
        <w:pStyle w:val="FootnoteText"/>
      </w:pPr>
      <w:r>
        <w:rPr>
          <w:rStyle w:val="FootnoteReference"/>
        </w:rPr>
        <w:footnoteRef/>
      </w:r>
      <w:r w:rsidR="006715EF">
        <w:t xml:space="preserve"> </w:t>
      </w:r>
      <w:r w:rsidR="00DA12BA">
        <w:rPr>
          <w:i/>
          <w:iCs/>
        </w:rPr>
        <w:t>Id.</w:t>
      </w:r>
    </w:p>
  </w:footnote>
  <w:footnote w:id="10">
    <w:p w:rsidR="006E3C84" w:rsidP="00F90C78" w14:paraId="636279D3" w14:textId="504784DF">
      <w:pPr>
        <w:pStyle w:val="FootnoteText"/>
      </w:pPr>
      <w:r>
        <w:rPr>
          <w:rStyle w:val="FootnoteReference"/>
        </w:rPr>
        <w:footnoteRef/>
      </w:r>
      <w:r>
        <w:t xml:space="preserve"> CARES Act, </w:t>
      </w:r>
      <w:r w:rsidRPr="000A7A08">
        <w:t xml:space="preserve">Pub. L. No 116-136, 134 Stat. </w:t>
      </w:r>
      <w:r>
        <w:t>281,</w:t>
      </w:r>
      <w:r w:rsidRPr="000A7A08">
        <w:t xml:space="preserve"> </w:t>
      </w:r>
      <w:r>
        <w:t>531</w:t>
      </w:r>
      <w:r w:rsidRPr="000A7A08">
        <w:t xml:space="preserve"> (2020) (“[T]he Federal Communications Commission may rely on the rules of the Commission under part 54 of title 47, Code of</w:t>
      </w:r>
      <w:r w:rsidR="00BD1CE9">
        <w:t xml:space="preserve"> </w:t>
      </w:r>
      <w:r w:rsidRPr="000A7A08">
        <w:t>Federal Regulations, in administering the amount provided under the heading in this Act if the Commission determines that such administration is in the public interest.”).</w:t>
      </w:r>
      <w:r w:rsidR="00301FCE">
        <w:t xml:space="preserve">  </w:t>
      </w:r>
      <w:r w:rsidRPr="00EB669F" w:rsidR="00301FCE">
        <w:rPr>
          <w:i/>
          <w:iCs/>
        </w:rPr>
        <w:t xml:space="preserve">See </w:t>
      </w:r>
      <w:r w:rsidRPr="00EB669F" w:rsidR="004B3C78">
        <w:t xml:space="preserve">47 CFR </w:t>
      </w:r>
      <w:r w:rsidRPr="00EB669F" w:rsidR="004B081D">
        <w:t>Subpart H (Administration) (</w:t>
      </w:r>
      <w:r w:rsidRPr="00EB669F" w:rsidR="00C47CC9">
        <w:t>designating USAC as</w:t>
      </w:r>
      <w:r w:rsidRPr="00EB669F" w:rsidR="004B081D">
        <w:t xml:space="preserve"> the </w:t>
      </w:r>
      <w:r w:rsidRPr="00EB669F" w:rsidR="007D06B8">
        <w:t xml:space="preserve">administrator of the Universal Service Fund and </w:t>
      </w:r>
      <w:r w:rsidRPr="00EB669F" w:rsidR="009E546E">
        <w:t>describing USAC’s role).</w:t>
      </w:r>
    </w:p>
  </w:footnote>
  <w:footnote w:id="11">
    <w:p w:rsidR="006E3C84" w14:paraId="53E88CBC" w14:textId="77777777">
      <w:pPr>
        <w:pStyle w:val="FootnoteText"/>
      </w:pPr>
      <w:r>
        <w:rPr>
          <w:rStyle w:val="FootnoteReference"/>
        </w:rPr>
        <w:footnoteRef/>
      </w:r>
      <w:r>
        <w:t xml:space="preserve"> </w:t>
      </w:r>
      <w:r w:rsidR="00310DFF">
        <w:rPr>
          <w:i/>
          <w:iCs/>
        </w:rPr>
        <w:t>COVID-19 Report and Order</w:t>
      </w:r>
      <w:r w:rsidR="00310DFF">
        <w:t xml:space="preserve">, 35 FCC Rcd at </w:t>
      </w:r>
      <w:r w:rsidR="00A04691">
        <w:t xml:space="preserve">3378-79, </w:t>
      </w:r>
      <w:r w:rsidR="002F1681">
        <w:t>3383</w:t>
      </w:r>
      <w:r w:rsidR="00F153DB">
        <w:t>, para</w:t>
      </w:r>
      <w:r w:rsidR="00BB32DB">
        <w:t>s</w:t>
      </w:r>
      <w:r w:rsidR="00F153DB">
        <w:t>.</w:t>
      </w:r>
      <w:r w:rsidR="00BB32DB">
        <w:t xml:space="preserve"> 22,</w:t>
      </w:r>
      <w:r w:rsidR="00F153DB">
        <w:t xml:space="preserve"> </w:t>
      </w:r>
      <w:r w:rsidR="00155E24">
        <w:t>33</w:t>
      </w:r>
      <w:r w:rsidR="00BB32DB">
        <w:t>.</w:t>
      </w:r>
    </w:p>
  </w:footnote>
  <w:footnote w:id="12">
    <w:p w:rsidR="006E3C84" w14:paraId="1B6BF685" w14:textId="21EF9167">
      <w:pPr>
        <w:pStyle w:val="FootnoteText"/>
      </w:pPr>
      <w:r>
        <w:rPr>
          <w:rStyle w:val="FootnoteReference"/>
        </w:rPr>
        <w:footnoteRef/>
      </w:r>
      <w:r>
        <w:t xml:space="preserve"> </w:t>
      </w:r>
      <w:r>
        <w:rPr>
          <w:i/>
          <w:iCs/>
        </w:rPr>
        <w:t>See, e.g.</w:t>
      </w:r>
      <w:r w:rsidR="000F1A26">
        <w:t>,</w:t>
      </w:r>
      <w:r>
        <w:rPr>
          <w:i/>
          <w:iCs/>
        </w:rPr>
        <w:t xml:space="preserve"> </w:t>
      </w:r>
      <w:r>
        <w:t>Duke Health Comments at 4; UnityPoint Comments at 2, University of Alabama Comments at 11, Virginia Telehealth Network Comments at 6.</w:t>
      </w:r>
    </w:p>
  </w:footnote>
  <w:footnote w:id="13">
    <w:p w:rsidR="006E3C84" w:rsidP="003059D1" w14:paraId="17DD0736" w14:textId="1CC41EE1">
      <w:pPr>
        <w:pStyle w:val="FootnoteText"/>
      </w:pPr>
      <w:r>
        <w:rPr>
          <w:rStyle w:val="FootnoteReference"/>
        </w:rPr>
        <w:footnoteRef/>
      </w:r>
      <w:r>
        <w:t xml:space="preserve"> </w:t>
      </w:r>
      <w:r w:rsidR="000F1A26">
        <w:rPr>
          <w:i/>
          <w:iCs/>
        </w:rPr>
        <w:t>See, e.g.</w:t>
      </w:r>
      <w:r w:rsidR="000F1A26">
        <w:t>,</w:t>
      </w:r>
      <w:r w:rsidR="000F1A26">
        <w:rPr>
          <w:i/>
          <w:iCs/>
        </w:rPr>
        <w:t xml:space="preserve"> </w:t>
      </w:r>
      <w:r w:rsidR="000F1A26">
        <w:t>Duke Health Comments at 4; UnityPoint Comments at 2, University of Alabama Comments at 11, Virginia Telehealth Network Comments at 6</w:t>
      </w:r>
      <w:r w:rsidR="00483AEA">
        <w:rPr>
          <w:i/>
          <w:iCs/>
        </w:rPr>
        <w:t>.</w:t>
      </w:r>
    </w:p>
  </w:footnote>
  <w:footnote w:id="14">
    <w:p w:rsidR="006E3C84" w:rsidP="003059D1" w14:paraId="156A739E" w14:textId="77777777">
      <w:pPr>
        <w:pStyle w:val="FootnoteText"/>
      </w:pPr>
      <w:r>
        <w:rPr>
          <w:rStyle w:val="FootnoteReference"/>
        </w:rPr>
        <w:footnoteRef/>
      </w:r>
      <w:r w:rsidR="00790783">
        <w:t xml:space="preserve"> </w:t>
      </w:r>
      <w:r w:rsidR="00DC5A76">
        <w:t>Unity</w:t>
      </w:r>
      <w:r w:rsidR="00790783">
        <w:t>Point Health Comments at 2</w:t>
      </w:r>
      <w:r w:rsidR="008B6949">
        <w:t>.</w:t>
      </w:r>
    </w:p>
  </w:footnote>
  <w:footnote w:id="15">
    <w:p w:rsidR="006E3C84" w:rsidP="00CB0126" w14:paraId="2FE23570" w14:textId="77777777">
      <w:pPr>
        <w:pStyle w:val="FootnoteText"/>
      </w:pPr>
      <w:r>
        <w:rPr>
          <w:rStyle w:val="FootnoteReference"/>
        </w:rPr>
        <w:footnoteRef/>
      </w:r>
      <w:r>
        <w:t xml:space="preserve"> </w:t>
      </w:r>
      <w:r>
        <w:rPr>
          <w:i/>
          <w:iCs/>
        </w:rPr>
        <w:t>See, e.g.</w:t>
      </w:r>
      <w:r w:rsidR="00483AEA">
        <w:rPr>
          <w:i/>
          <w:iCs/>
        </w:rPr>
        <w:t>,</w:t>
      </w:r>
      <w:r>
        <w:rPr>
          <w:i/>
          <w:iCs/>
        </w:rPr>
        <w:t xml:space="preserve"> </w:t>
      </w:r>
      <w:r>
        <w:t>SHLB Comments at 7.</w:t>
      </w:r>
    </w:p>
  </w:footnote>
  <w:footnote w:id="16">
    <w:p w:rsidR="006E3C84" w14:paraId="1428D6A4" w14:textId="77777777">
      <w:pPr>
        <w:pStyle w:val="FootnoteText"/>
      </w:pPr>
      <w:r>
        <w:rPr>
          <w:rStyle w:val="FootnoteReference"/>
        </w:rPr>
        <w:footnoteRef/>
      </w:r>
      <w:r>
        <w:t xml:space="preserve"> </w:t>
      </w:r>
      <w:r w:rsidR="00F0100F">
        <w:t xml:space="preserve">47 CFR </w:t>
      </w:r>
      <w:r w:rsidRPr="00F0100F" w:rsidR="00F0100F">
        <w:t>§</w:t>
      </w:r>
      <w:r w:rsidR="00F0100F">
        <w:t xml:space="preserve"> 54.702</w:t>
      </w:r>
      <w:r w:rsidR="00D962B0">
        <w:t>(c).</w:t>
      </w:r>
    </w:p>
  </w:footnote>
  <w:footnote w:id="17">
    <w:p w:rsidR="006E3C84" w:rsidP="001437D4" w14:paraId="7DBF19F5" w14:textId="5D5A8105">
      <w:pPr>
        <w:pStyle w:val="FootnoteText"/>
      </w:pPr>
      <w:r>
        <w:rPr>
          <w:rStyle w:val="FootnoteReference"/>
        </w:rPr>
        <w:footnoteRef/>
      </w:r>
      <w:r>
        <w:t xml:space="preserve"> </w:t>
      </w:r>
      <w:r w:rsidRPr="001E6C56">
        <w:t xml:space="preserve">47 CFR § 0.11(a)(3)-(4) (stating that </w:t>
      </w:r>
      <w:r w:rsidRPr="001E6C56">
        <w:t>OMD</w:t>
      </w:r>
      <w:r w:rsidRPr="001E6C56">
        <w:t xml:space="preserve"> will “[a]</w:t>
      </w:r>
      <w:r w:rsidRPr="001E6C56">
        <w:t>ssist</w:t>
      </w:r>
      <w:r w:rsidRPr="001E6C56">
        <w:t xml:space="preserve"> the Chairman in carrying out the administrative and executive responsibilities” and “[a]</w:t>
      </w:r>
      <w:r w:rsidRPr="001E6C56">
        <w:t>dvise</w:t>
      </w:r>
      <w:r w:rsidRPr="001E6C56">
        <w:t xml:space="preserve"> the Chairman and Commission on management, administrative, and related matters; review and evaluate the programs and procedures of the Commission; initiate action or make recommendations as may be necessary to administer the Communications Act most effectively in the public interest”); 47 CFR § 0.11(a)(8) (stating that OMD's current responsibility is to “[p]</w:t>
      </w:r>
      <w:r w:rsidRPr="001E6C56">
        <w:t>lan</w:t>
      </w:r>
      <w:r w:rsidRPr="001E6C56">
        <w:t xml:space="preserve"> and manage the administrative affairs of the Commission with respect to the functions of</w:t>
      </w:r>
      <w:r w:rsidR="00FD4CBD">
        <w:t xml:space="preserve"> . . .</w:t>
      </w:r>
      <w:r w:rsidRPr="001E6C56">
        <w:t xml:space="preserve"> </w:t>
      </w:r>
      <w:bookmarkStart w:id="0" w:name="_GoBack"/>
      <w:bookmarkEnd w:id="0"/>
      <w:r w:rsidRPr="001E6C56">
        <w:t>budget and financial management”); 47 CFR § 0.5(e) (requiring Bureau</w:t>
      </w:r>
      <w:r w:rsidR="00BD7D5F">
        <w:t xml:space="preserve"> and </w:t>
      </w:r>
      <w:r w:rsidRPr="001E6C56">
        <w:t>Office coordination with OMD on recommendations “that may affect agency compliance with Federal financial management requirements”)</w:t>
      </w:r>
      <w:r>
        <w:t xml:space="preserve">.  </w:t>
      </w:r>
    </w:p>
  </w:footnote>
  <w:footnote w:id="18">
    <w:p w:rsidR="006E3C84" w14:paraId="2753B7AD" w14:textId="2CF3B880">
      <w:pPr>
        <w:pStyle w:val="FootnoteText"/>
      </w:pPr>
      <w:r>
        <w:rPr>
          <w:rStyle w:val="FootnoteReference"/>
        </w:rPr>
        <w:footnoteRef/>
      </w:r>
      <w:r>
        <w:t xml:space="preserve"> </w:t>
      </w:r>
      <w:r w:rsidRPr="00B95C3E" w:rsidR="000E26C5">
        <w:rPr>
          <w:i/>
          <w:iCs/>
        </w:rPr>
        <w:t>See</w:t>
      </w:r>
      <w:r w:rsidR="009517A6">
        <w:rPr>
          <w:i/>
          <w:iCs/>
        </w:rPr>
        <w:t>,</w:t>
      </w:r>
      <w:r w:rsidRPr="00B95C3E" w:rsidR="000E26C5">
        <w:rPr>
          <w:i/>
          <w:iCs/>
        </w:rPr>
        <w:t xml:space="preserve"> e.g</w:t>
      </w:r>
      <w:r w:rsidR="000E26C5">
        <w:t xml:space="preserve">., </w:t>
      </w:r>
      <w:r w:rsidR="00F95DCC">
        <w:t xml:space="preserve">Memorandum of Understanding Between the Federal Communications Commission and the Universal Service Administrative Company (Dec. </w:t>
      </w:r>
      <w:r w:rsidR="00175F3A">
        <w:t>19, 2018)</w:t>
      </w:r>
      <w:r w:rsidRPr="00746308" w:rsidR="00746308">
        <w:t xml:space="preserve"> </w:t>
      </w:r>
      <w:hyperlink r:id="rId1" w:history="1">
        <w:r w:rsidRPr="0050280C" w:rsidR="00746308">
          <w:rPr>
            <w:rStyle w:val="Hyperlink"/>
          </w:rPr>
          <w:t>https://www.fcc.gov/sites/default/files/usac-mou.pdf</w:t>
        </w:r>
      </w:hyperlink>
      <w:r w:rsidR="00746308">
        <w:t xml:space="preserve"> </w:t>
      </w:r>
      <w:r w:rsidR="00175F3A">
        <w:t xml:space="preserve"> (stating that the Commission is responsible for the effective and efficient management and oversight of the USF, including USF policy decisions, and USAC is responsible for the effective administration of the programs). </w:t>
      </w:r>
    </w:p>
  </w:footnote>
  <w:footnote w:id="19">
    <w:p w:rsidR="006E3C84" w14:paraId="51BA426F" w14:textId="7622D43A">
      <w:pPr>
        <w:pStyle w:val="FootnoteText"/>
      </w:pPr>
      <w:r>
        <w:rPr>
          <w:rStyle w:val="FootnoteReference"/>
        </w:rPr>
        <w:footnoteRef/>
      </w:r>
      <w:r>
        <w:t xml:space="preserve"> </w:t>
      </w:r>
      <w:r w:rsidR="00867488">
        <w:t>Examples of differences between the programs with respect to fiscal matters include the fact that w</w:t>
      </w:r>
      <w:r w:rsidR="00F774F5">
        <w:t>hile the U</w:t>
      </w:r>
      <w:r w:rsidR="00BD7D5F">
        <w:t xml:space="preserve">niversal </w:t>
      </w:r>
      <w:r w:rsidR="00F774F5">
        <w:t>S</w:t>
      </w:r>
      <w:r w:rsidR="00BD7D5F">
        <w:t xml:space="preserve">ervice </w:t>
      </w:r>
      <w:r w:rsidR="00F774F5">
        <w:t>F</w:t>
      </w:r>
      <w:r w:rsidR="00BD7D5F">
        <w:t>und</w:t>
      </w:r>
      <w:r w:rsidR="00F774F5">
        <w:t xml:space="preserve"> is a permanent indefinite appropriation and has a temporary exemption </w:t>
      </w:r>
      <w:r w:rsidR="004E541D">
        <w:t xml:space="preserve">from the </w:t>
      </w:r>
      <w:r w:rsidRPr="73BC34A7" w:rsidR="003878E5">
        <w:rPr>
          <w:color w:val="000000" w:themeColor="text1"/>
        </w:rPr>
        <w:t>Antideficiency</w:t>
      </w:r>
      <w:r w:rsidRPr="73BC34A7" w:rsidR="003878E5">
        <w:rPr>
          <w:color w:val="000000" w:themeColor="text1"/>
        </w:rPr>
        <w:t xml:space="preserve"> Act</w:t>
      </w:r>
      <w:r w:rsidR="003878E5">
        <w:rPr>
          <w:color w:val="000000" w:themeColor="text1"/>
        </w:rPr>
        <w:t xml:space="preserve">, the funds </w:t>
      </w:r>
      <w:r w:rsidR="00512F81">
        <w:rPr>
          <w:color w:val="000000" w:themeColor="text1"/>
        </w:rPr>
        <w:t>appr</w:t>
      </w:r>
      <w:r w:rsidR="005C1341">
        <w:rPr>
          <w:color w:val="000000" w:themeColor="text1"/>
        </w:rPr>
        <w:t xml:space="preserve">opriated for the </w:t>
      </w:r>
      <w:r w:rsidRPr="003F18C4" w:rsidR="005C1341">
        <w:t>COVID-19 Telehealth Program</w:t>
      </w:r>
      <w:r w:rsidR="005C1341">
        <w:t xml:space="preserve"> </w:t>
      </w:r>
      <w:r w:rsidR="004E13E2">
        <w:t xml:space="preserve">are </w:t>
      </w:r>
      <w:r w:rsidR="00867488">
        <w:t xml:space="preserve">definite in amount and are subject to the </w:t>
      </w:r>
      <w:r w:rsidR="00867488">
        <w:t>Antideficiency</w:t>
      </w:r>
      <w:r w:rsidR="00867488">
        <w:t xml:space="preserve"> Act</w:t>
      </w:r>
      <w:r w:rsidR="00F975E3">
        <w:t>, which is c</w:t>
      </w:r>
      <w:r w:rsidRPr="004135D7" w:rsidR="00BF32B7">
        <w:t>odified as amended at 31 U.S.C. §§ 1341, 1342, 1351, and 1517.</w:t>
      </w:r>
      <w:r w:rsidRPr="00BF32B7" w:rsidR="00BF32B7">
        <w:t xml:space="preserve"> </w:t>
      </w:r>
      <w:r w:rsidR="00CD60AD">
        <w:t xml:space="preserve"> </w:t>
      </w:r>
      <w:r w:rsidRPr="00584A02" w:rsidR="00FC0F4C">
        <w:t xml:space="preserve">In </w:t>
      </w:r>
      <w:r w:rsidR="00F95DCC">
        <w:t>addition</w:t>
      </w:r>
      <w:r w:rsidRPr="00584A02" w:rsidR="00FC0F4C">
        <w:t xml:space="preserve">, the CARES Act oversight provisions have been incorporated by reference in the Consolidated Appropriations Act </w:t>
      </w:r>
      <w:r w:rsidRPr="00584A02" w:rsidR="00CD60AD">
        <w:t>and would apply</w:t>
      </w:r>
      <w:r w:rsidR="00CD60AD">
        <w:t xml:space="preserve"> </w:t>
      </w:r>
      <w:r w:rsidRPr="00584A02" w:rsidR="00CD60AD">
        <w:t xml:space="preserve">to this program. </w:t>
      </w:r>
      <w:r w:rsidRPr="00584A02" w:rsidR="00FC0F4C">
        <w:t xml:space="preserve"> Consolidated Appropriations Act, 2021, H.R. 133, div. O, tit. VIII—Pandemic Response Accountability Committee Amendments § 801, Amendment to the Pandemic Response Accountability Committee (2020).</w:t>
      </w:r>
      <w:r w:rsidR="0064157E">
        <w:t xml:space="preserve"> </w:t>
      </w:r>
      <w:r w:rsidRPr="00BF32B7" w:rsidR="00BF32B7">
        <w:t xml:space="preserve"> </w:t>
      </w:r>
      <w:r w:rsidRPr="00584A02" w:rsidR="002B386B">
        <w:t xml:space="preserve">Moreover, Congress </w:t>
      </w:r>
      <w:r w:rsidRPr="009F4E10" w:rsidR="00922360">
        <w:t>has speci</w:t>
      </w:r>
      <w:r w:rsidRPr="009F4E10" w:rsidR="00D94C05">
        <w:t>fied that</w:t>
      </w:r>
      <w:r w:rsidRPr="009F4E10" w:rsidR="00D37E53">
        <w:t xml:space="preserve"> </w:t>
      </w:r>
      <w:r w:rsidRPr="00584A02" w:rsidR="00BF35FD">
        <w:t>“</w:t>
      </w:r>
      <w:r w:rsidRPr="00584A02" w:rsidR="00A8342B">
        <w:t>not later than 15 days before the Commission first commits funds under</w:t>
      </w:r>
      <w:r w:rsidRPr="00584A02" w:rsidR="00D35ED4">
        <w:t xml:space="preserve"> this</w:t>
      </w:r>
      <w:r w:rsidRPr="00584A02" w:rsidR="00A8342B">
        <w:t xml:space="preserve"> section </w:t>
      </w:r>
      <w:r w:rsidRPr="00584A02" w:rsidR="00D35ED4">
        <w:t>[903], the</w:t>
      </w:r>
      <w:r w:rsidRPr="00584A02" w:rsidR="002B386B">
        <w:t xml:space="preserve"> Commission shall provide notice to the appropriate congressional committees of the metrics the Commission plans to use to evaluate applications for those funds.</w:t>
      </w:r>
      <w:r w:rsidRPr="00584A02" w:rsidR="00BF35FD">
        <w:t xml:space="preserve">”  </w:t>
      </w:r>
      <w:r w:rsidRPr="00584A02" w:rsidR="0010364D">
        <w:t>Consolidated Appropriations Act, 2021, at § 903(c)(1)(B)</w:t>
      </w:r>
      <w:r w:rsidRPr="00584A02" w:rsidR="00324365">
        <w:t>.</w:t>
      </w:r>
      <w:r w:rsidR="00324365">
        <w:t xml:space="preserve"> </w:t>
      </w:r>
    </w:p>
  </w:footnote>
  <w:footnote w:id="20">
    <w:p w:rsidR="006E3C84" w14:paraId="71938D50" w14:textId="77777777">
      <w:pPr>
        <w:pStyle w:val="FootnoteText"/>
      </w:pPr>
      <w:r>
        <w:rPr>
          <w:rStyle w:val="FootnoteReference"/>
        </w:rPr>
        <w:footnoteRef/>
      </w:r>
      <w:r>
        <w:t xml:space="preserve"> </w:t>
      </w:r>
      <w:r w:rsidR="00605464">
        <w:t xml:space="preserve">5 U.S.C. </w:t>
      </w:r>
      <w:r w:rsidRPr="00BF32B7" w:rsidR="00605464">
        <w:t>§</w:t>
      </w:r>
      <w:r w:rsidR="00605464">
        <w:t xml:space="preserve"> 552a.</w:t>
      </w:r>
    </w:p>
  </w:footnote>
  <w:footnote w:id="21">
    <w:p w:rsidR="006E3C84" w14:paraId="44A132F8" w14:textId="7A3F4419">
      <w:pPr>
        <w:pStyle w:val="FootnoteText"/>
      </w:pPr>
      <w:r>
        <w:rPr>
          <w:rStyle w:val="FootnoteReference"/>
        </w:rPr>
        <w:footnoteRef/>
      </w:r>
      <w:r>
        <w:t xml:space="preserve"> </w:t>
      </w:r>
      <w:r w:rsidRPr="00590779" w:rsidR="00590779">
        <w:t>The Federal Information Security Management Act of 2002 (FISMA</w:t>
      </w:r>
      <w:r w:rsidR="00590779">
        <w:t>)</w:t>
      </w:r>
      <w:r w:rsidRPr="00590779" w:rsidR="00590779">
        <w:t>, enacted as Title III, E-Government Act of 2002, Pub. L. No. 107-347, 116 Stat. 2899, 2946 (Dec. 17, 2002)</w:t>
      </w:r>
      <w:r w:rsidR="000F1A26">
        <w:t>,</w:t>
      </w:r>
      <w:r w:rsidRPr="00590779" w:rsidR="00590779">
        <w:t xml:space="preserve"> was subsequently modified by the Federal Information Security Modernization Act of 2014 (Pub. L. No. 113-283, Dec. 18, 2014).  As modified, FISMA is codified at 44 U.S.C. §</w:t>
      </w:r>
      <w:r w:rsidRPr="00590779" w:rsidR="000F1A26">
        <w:t>§</w:t>
      </w:r>
      <w:r w:rsidRPr="00590779" w:rsidR="00590779">
        <w:t xml:space="preserve"> 3551 </w:t>
      </w:r>
      <w:r w:rsidRPr="00036C6A" w:rsidR="00590779">
        <w:rPr>
          <w:i/>
          <w:iCs/>
        </w:rPr>
        <w:t>et seq</w:t>
      </w:r>
      <w:r w:rsidRPr="00590779" w:rsidR="00590779">
        <w:t xml:space="preserve">.   </w:t>
      </w:r>
    </w:p>
  </w:footnote>
  <w:footnote w:id="22">
    <w:p w:rsidR="006E3C84" w14:paraId="772D2623" w14:textId="77777777">
      <w:pPr>
        <w:pStyle w:val="FootnoteText"/>
      </w:pPr>
      <w:r>
        <w:rPr>
          <w:rStyle w:val="FootnoteReference"/>
        </w:rPr>
        <w:footnoteRef/>
      </w:r>
      <w:r>
        <w:t xml:space="preserve"> </w:t>
      </w:r>
      <w:r>
        <w:rPr>
          <w:i/>
          <w:iCs/>
        </w:rPr>
        <w:t>January 6</w:t>
      </w:r>
      <w:r w:rsidRPr="007C4C7F">
        <w:rPr>
          <w:i/>
          <w:iCs/>
          <w:vertAlign w:val="superscript"/>
        </w:rPr>
        <w:t>th</w:t>
      </w:r>
      <w:r>
        <w:rPr>
          <w:i/>
        </w:rPr>
        <w:t xml:space="preserve"> </w:t>
      </w:r>
      <w:r>
        <w:rPr>
          <w:i/>
          <w:iCs/>
        </w:rPr>
        <w:t xml:space="preserve">Public Notice </w:t>
      </w:r>
      <w:r>
        <w:t>at 6, para. 18.</w:t>
      </w:r>
    </w:p>
  </w:footnote>
  <w:footnote w:id="23">
    <w:p w:rsidR="006E3C84" w:rsidP="005B69DA" w14:paraId="1A1D08F3" w14:textId="77777777">
      <w:pPr>
        <w:pStyle w:val="FootnoteText"/>
      </w:pPr>
      <w:r>
        <w:rPr>
          <w:rStyle w:val="FootnoteReference"/>
        </w:rPr>
        <w:footnoteRef/>
      </w:r>
      <w:r>
        <w:t xml:space="preserve"> </w:t>
      </w:r>
      <w:r w:rsidRPr="00AC0C52" w:rsidR="00F20D5F">
        <w:t>5 U.S.C. § 553(b).</w:t>
      </w:r>
    </w:p>
  </w:footnote>
  <w:footnote w:id="24">
    <w:p w:rsidR="006E3C84" w14:paraId="66ED0C0C" w14:textId="77777777">
      <w:pPr>
        <w:pStyle w:val="FootnoteText"/>
      </w:pPr>
      <w:r>
        <w:rPr>
          <w:rStyle w:val="FootnoteReference"/>
        </w:rPr>
        <w:footnoteRef/>
      </w:r>
      <w:r>
        <w:t xml:space="preserve"> </w:t>
      </w:r>
      <w:r w:rsidR="001148D0">
        <w:rPr>
          <w:i/>
          <w:iCs/>
        </w:rPr>
        <w:t>J</w:t>
      </w:r>
      <w:r w:rsidRPr="001148D0" w:rsidR="001148D0">
        <w:rPr>
          <w:i/>
          <w:iCs/>
        </w:rPr>
        <w:t>ifry</w:t>
      </w:r>
      <w:r w:rsidRPr="001148D0" w:rsidR="001148D0">
        <w:rPr>
          <w:i/>
          <w:iCs/>
        </w:rPr>
        <w:t xml:space="preserve"> v. FAA</w:t>
      </w:r>
      <w:r w:rsidRPr="001148D0" w:rsidR="001148D0">
        <w:t>, 370 F.3d 1174, 1179 (D.C. Cir. 2004) (citations omitted).</w:t>
      </w:r>
    </w:p>
  </w:footnote>
  <w:footnote w:id="25">
    <w:p w:rsidR="006E3C84" w14:paraId="2EF403EC" w14:textId="77777777">
      <w:pPr>
        <w:pStyle w:val="FootnoteText"/>
      </w:pPr>
      <w:r>
        <w:rPr>
          <w:rStyle w:val="FootnoteReference"/>
        </w:rPr>
        <w:footnoteRef/>
      </w:r>
      <w:r>
        <w:t xml:space="preserve"> </w:t>
      </w:r>
      <w:r w:rsidRPr="00732FD7" w:rsidR="00732FD7">
        <w:rPr>
          <w:i/>
          <w:iCs/>
        </w:rPr>
        <w:t>Omnipoint</w:t>
      </w:r>
      <w:r w:rsidRPr="00732FD7" w:rsidR="00732FD7">
        <w:rPr>
          <w:i/>
          <w:iCs/>
        </w:rPr>
        <w:t xml:space="preserve"> Corp. v. FCC</w:t>
      </w:r>
      <w:r w:rsidRPr="00732FD7" w:rsidR="00732FD7">
        <w:t>, 78 F.3d 620, 630 (D.C. Cir. 1996) (citation omitted)</w:t>
      </w:r>
      <w:r w:rsidR="00732FD7">
        <w:t>.</w:t>
      </w:r>
    </w:p>
  </w:footnote>
  <w:footnote w:id="26">
    <w:p w:rsidR="00BD1CE9" w14:paraId="62DF43B4" w14:textId="5E312B79">
      <w:pPr>
        <w:pStyle w:val="FootnoteText"/>
      </w:pPr>
      <w:r>
        <w:rPr>
          <w:rStyle w:val="FootnoteReference"/>
        </w:rPr>
        <w:footnoteRef/>
      </w:r>
      <w:r>
        <w:t xml:space="preserve"> CARES Act, </w:t>
      </w:r>
      <w:r w:rsidRPr="000A7A08">
        <w:t xml:space="preserve">Pub. L. No 116-136, 134 Stat. </w:t>
      </w:r>
      <w:r>
        <w:t>281,</w:t>
      </w:r>
      <w:r w:rsidRPr="000A7A08">
        <w:t xml:space="preserve"> </w:t>
      </w:r>
      <w:r>
        <w:t>531</w:t>
      </w:r>
      <w:r w:rsidRPr="000A7A08">
        <w:t xml:space="preserve"> (2020)</w:t>
      </w:r>
      <w:r w:rsidR="00296883">
        <w:t xml:space="preserve"> (“For an additional amount for ‘Salaries and Expenses’, $200,000,000, to remain available until expended, to prevent, prepare for, and respond to coronavirus, domestically or internationally, including to support efforts of health care providers to address coronavirus by providing telecommunications services, information services, and devices necessary to enable the provision of telehealth services </w:t>
      </w:r>
      <w:r w:rsidRPr="006466D0" w:rsidR="00296883">
        <w:rPr>
          <w:b/>
          <w:bCs/>
        </w:rPr>
        <w:t>during an emergency period</w:t>
      </w:r>
      <w:r w:rsidRPr="00CA1686" w:rsidR="00296883">
        <w:t>, as</w:t>
      </w:r>
      <w:r w:rsidR="00296883">
        <w:t xml:space="preserve"> defined in section 1135(g)(1) of the Social Security Act (42 U.S.C. 1320b–5(g)(1))”)</w:t>
      </w:r>
      <w:r w:rsidR="00DE59C1">
        <w:t xml:space="preserve"> (emphasis added).</w:t>
      </w:r>
    </w:p>
  </w:footnote>
  <w:footnote w:id="27">
    <w:p w:rsidR="006E3C84" w14:paraId="62474D39" w14:textId="77777777">
      <w:pPr>
        <w:pStyle w:val="FootnoteText"/>
      </w:pPr>
      <w:r>
        <w:rPr>
          <w:rStyle w:val="FootnoteReference"/>
        </w:rPr>
        <w:footnoteRef/>
      </w:r>
      <w:r>
        <w:t xml:space="preserve"> </w:t>
      </w:r>
      <w:r w:rsidRPr="00103CF9" w:rsidR="00103CF9">
        <w:t>5 U.S.C. § 553(d)</w:t>
      </w:r>
      <w:r w:rsidR="00483AEA">
        <w:t xml:space="preserve">; </w:t>
      </w:r>
      <w:r w:rsidR="00483AEA">
        <w:rPr>
          <w:i/>
          <w:iCs/>
        </w:rPr>
        <w:t xml:space="preserve">see also </w:t>
      </w:r>
      <w:r w:rsidRPr="00103CF9" w:rsidR="00103CF9">
        <w:t>47 CFR §§ 1.103(a),</w:t>
      </w:r>
      <w:r w:rsidR="006628F0">
        <w:t xml:space="preserve"> </w:t>
      </w:r>
      <w:r w:rsidRPr="00103CF9" w:rsidR="00103CF9">
        <w:t>1.427(b</w:t>
      </w:r>
      <w:r w:rsidR="00103CF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E40CA3" w14:textId="5C0EBDA1">
    <w:pPr>
      <w:pStyle w:val="Header"/>
      <w:rPr>
        <w:b w:val="0"/>
      </w:rPr>
    </w:pPr>
    <w:r>
      <w:tab/>
      <w:t>Federal Communications Commission</w:t>
    </w:r>
    <w:r>
      <w:tab/>
    </w:r>
    <w:r w:rsidR="00A95449">
      <w:rPr>
        <w:spacing w:val="-2"/>
      </w:rPr>
      <w:t>FCC 21-24</w:t>
    </w:r>
  </w:p>
  <w:p w:rsidR="00D25FB5" w14:paraId="7BC59F74" w14:textId="1BB0A41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678327F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B8AF6E" w14:textId="33649BD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A95449">
      <w:rPr>
        <w:spacing w:val="-2"/>
      </w:rPr>
      <w:t>FCC 21-24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B2"/>
    <w:rsid w:val="00000EC7"/>
    <w:rsid w:val="00001149"/>
    <w:rsid w:val="00001206"/>
    <w:rsid w:val="00001F97"/>
    <w:rsid w:val="0000382A"/>
    <w:rsid w:val="000047F3"/>
    <w:rsid w:val="0000696F"/>
    <w:rsid w:val="00006EAB"/>
    <w:rsid w:val="00007B46"/>
    <w:rsid w:val="000121F4"/>
    <w:rsid w:val="00014DA3"/>
    <w:rsid w:val="00020441"/>
    <w:rsid w:val="0002202D"/>
    <w:rsid w:val="00023809"/>
    <w:rsid w:val="00024105"/>
    <w:rsid w:val="000248A2"/>
    <w:rsid w:val="000254EE"/>
    <w:rsid w:val="000277CF"/>
    <w:rsid w:val="00030E32"/>
    <w:rsid w:val="00031197"/>
    <w:rsid w:val="00031D83"/>
    <w:rsid w:val="00031FE6"/>
    <w:rsid w:val="00032801"/>
    <w:rsid w:val="00033E7F"/>
    <w:rsid w:val="00035698"/>
    <w:rsid w:val="00035CDA"/>
    <w:rsid w:val="00036039"/>
    <w:rsid w:val="00036206"/>
    <w:rsid w:val="000362E4"/>
    <w:rsid w:val="00036C6A"/>
    <w:rsid w:val="00037F90"/>
    <w:rsid w:val="00042550"/>
    <w:rsid w:val="00043F94"/>
    <w:rsid w:val="00044894"/>
    <w:rsid w:val="000457D4"/>
    <w:rsid w:val="00046CC9"/>
    <w:rsid w:val="000513B0"/>
    <w:rsid w:val="000514DF"/>
    <w:rsid w:val="00052E2F"/>
    <w:rsid w:val="00056266"/>
    <w:rsid w:val="00062197"/>
    <w:rsid w:val="0006220A"/>
    <w:rsid w:val="00063C29"/>
    <w:rsid w:val="0006405E"/>
    <w:rsid w:val="00064450"/>
    <w:rsid w:val="00064FF0"/>
    <w:rsid w:val="00065253"/>
    <w:rsid w:val="00067BEC"/>
    <w:rsid w:val="00070A72"/>
    <w:rsid w:val="0007145E"/>
    <w:rsid w:val="000721AA"/>
    <w:rsid w:val="000723FC"/>
    <w:rsid w:val="00072C48"/>
    <w:rsid w:val="000734CE"/>
    <w:rsid w:val="000739E5"/>
    <w:rsid w:val="000744AB"/>
    <w:rsid w:val="00074DD8"/>
    <w:rsid w:val="000759A8"/>
    <w:rsid w:val="00081079"/>
    <w:rsid w:val="00083415"/>
    <w:rsid w:val="000868D2"/>
    <w:rsid w:val="000875BF"/>
    <w:rsid w:val="000900EE"/>
    <w:rsid w:val="00090EE0"/>
    <w:rsid w:val="00092376"/>
    <w:rsid w:val="00092770"/>
    <w:rsid w:val="000928B3"/>
    <w:rsid w:val="000953AE"/>
    <w:rsid w:val="000955F0"/>
    <w:rsid w:val="0009665B"/>
    <w:rsid w:val="00096D8C"/>
    <w:rsid w:val="000A1BC5"/>
    <w:rsid w:val="000A2DF4"/>
    <w:rsid w:val="000A3F88"/>
    <w:rsid w:val="000A46FB"/>
    <w:rsid w:val="000A5140"/>
    <w:rsid w:val="000A6DEC"/>
    <w:rsid w:val="000A7A08"/>
    <w:rsid w:val="000B38F7"/>
    <w:rsid w:val="000B4DDF"/>
    <w:rsid w:val="000B4EAC"/>
    <w:rsid w:val="000B5015"/>
    <w:rsid w:val="000B5D16"/>
    <w:rsid w:val="000B617E"/>
    <w:rsid w:val="000B6339"/>
    <w:rsid w:val="000B76D4"/>
    <w:rsid w:val="000B7EE3"/>
    <w:rsid w:val="000C0B65"/>
    <w:rsid w:val="000C2CEA"/>
    <w:rsid w:val="000C4005"/>
    <w:rsid w:val="000C552D"/>
    <w:rsid w:val="000C77BD"/>
    <w:rsid w:val="000C7ECC"/>
    <w:rsid w:val="000D0DE0"/>
    <w:rsid w:val="000D29FF"/>
    <w:rsid w:val="000D7BA2"/>
    <w:rsid w:val="000E05FE"/>
    <w:rsid w:val="000E1593"/>
    <w:rsid w:val="000E170E"/>
    <w:rsid w:val="000E26C5"/>
    <w:rsid w:val="000E3260"/>
    <w:rsid w:val="000E3CE8"/>
    <w:rsid w:val="000E3D42"/>
    <w:rsid w:val="000E4BC0"/>
    <w:rsid w:val="000E569F"/>
    <w:rsid w:val="000E6927"/>
    <w:rsid w:val="000E6D60"/>
    <w:rsid w:val="000E7F82"/>
    <w:rsid w:val="000F178A"/>
    <w:rsid w:val="000F1858"/>
    <w:rsid w:val="000F1A26"/>
    <w:rsid w:val="000F3263"/>
    <w:rsid w:val="000F4431"/>
    <w:rsid w:val="000F5260"/>
    <w:rsid w:val="00101647"/>
    <w:rsid w:val="0010364D"/>
    <w:rsid w:val="00103CF9"/>
    <w:rsid w:val="00105567"/>
    <w:rsid w:val="00106294"/>
    <w:rsid w:val="00107409"/>
    <w:rsid w:val="0011177F"/>
    <w:rsid w:val="001127FF"/>
    <w:rsid w:val="001148D0"/>
    <w:rsid w:val="00116031"/>
    <w:rsid w:val="00117D1C"/>
    <w:rsid w:val="001211A7"/>
    <w:rsid w:val="0012260F"/>
    <w:rsid w:val="00122BD5"/>
    <w:rsid w:val="00124768"/>
    <w:rsid w:val="00124E60"/>
    <w:rsid w:val="00126917"/>
    <w:rsid w:val="00133F79"/>
    <w:rsid w:val="0013468D"/>
    <w:rsid w:val="00135E62"/>
    <w:rsid w:val="00137BA7"/>
    <w:rsid w:val="00141616"/>
    <w:rsid w:val="0014193A"/>
    <w:rsid w:val="00142577"/>
    <w:rsid w:val="001436DD"/>
    <w:rsid w:val="001437D4"/>
    <w:rsid w:val="00144359"/>
    <w:rsid w:val="00145713"/>
    <w:rsid w:val="00145C30"/>
    <w:rsid w:val="00145DF5"/>
    <w:rsid w:val="00146937"/>
    <w:rsid w:val="001474AD"/>
    <w:rsid w:val="00151CCB"/>
    <w:rsid w:val="00152001"/>
    <w:rsid w:val="0015202C"/>
    <w:rsid w:val="00153BB0"/>
    <w:rsid w:val="00155E24"/>
    <w:rsid w:val="0015693F"/>
    <w:rsid w:val="00156EF0"/>
    <w:rsid w:val="001571D6"/>
    <w:rsid w:val="00161A35"/>
    <w:rsid w:val="00162B8F"/>
    <w:rsid w:val="00163913"/>
    <w:rsid w:val="00164CCA"/>
    <w:rsid w:val="001659B3"/>
    <w:rsid w:val="00166F89"/>
    <w:rsid w:val="0017242D"/>
    <w:rsid w:val="00172935"/>
    <w:rsid w:val="00174A56"/>
    <w:rsid w:val="00174B18"/>
    <w:rsid w:val="00174F67"/>
    <w:rsid w:val="00175867"/>
    <w:rsid w:val="00175F3A"/>
    <w:rsid w:val="00176058"/>
    <w:rsid w:val="00177492"/>
    <w:rsid w:val="001818CF"/>
    <w:rsid w:val="001820A4"/>
    <w:rsid w:val="001823E9"/>
    <w:rsid w:val="00182582"/>
    <w:rsid w:val="00183678"/>
    <w:rsid w:val="00183775"/>
    <w:rsid w:val="001839C6"/>
    <w:rsid w:val="00184ADD"/>
    <w:rsid w:val="00185DFE"/>
    <w:rsid w:val="001875B4"/>
    <w:rsid w:val="0019055E"/>
    <w:rsid w:val="001938AB"/>
    <w:rsid w:val="0019486F"/>
    <w:rsid w:val="00194A66"/>
    <w:rsid w:val="00194E27"/>
    <w:rsid w:val="00195B12"/>
    <w:rsid w:val="001A1FEE"/>
    <w:rsid w:val="001A256A"/>
    <w:rsid w:val="001A2E7F"/>
    <w:rsid w:val="001A37B0"/>
    <w:rsid w:val="001A3807"/>
    <w:rsid w:val="001A47C8"/>
    <w:rsid w:val="001A707D"/>
    <w:rsid w:val="001A7FFA"/>
    <w:rsid w:val="001B0842"/>
    <w:rsid w:val="001B1EF6"/>
    <w:rsid w:val="001B34AA"/>
    <w:rsid w:val="001B57EA"/>
    <w:rsid w:val="001B6376"/>
    <w:rsid w:val="001B64B0"/>
    <w:rsid w:val="001B6A2F"/>
    <w:rsid w:val="001C099A"/>
    <w:rsid w:val="001C1A4E"/>
    <w:rsid w:val="001C2CBA"/>
    <w:rsid w:val="001C586D"/>
    <w:rsid w:val="001C6321"/>
    <w:rsid w:val="001C6AE9"/>
    <w:rsid w:val="001C787C"/>
    <w:rsid w:val="001D02C7"/>
    <w:rsid w:val="001D09F2"/>
    <w:rsid w:val="001D0C33"/>
    <w:rsid w:val="001D0ECD"/>
    <w:rsid w:val="001D2F54"/>
    <w:rsid w:val="001D3194"/>
    <w:rsid w:val="001D4B50"/>
    <w:rsid w:val="001D4C2D"/>
    <w:rsid w:val="001D4E78"/>
    <w:rsid w:val="001D5DC6"/>
    <w:rsid w:val="001D6BCF"/>
    <w:rsid w:val="001E01CA"/>
    <w:rsid w:val="001E1BE8"/>
    <w:rsid w:val="001E2481"/>
    <w:rsid w:val="001E45B5"/>
    <w:rsid w:val="001E53CD"/>
    <w:rsid w:val="001E6C56"/>
    <w:rsid w:val="001E7FDE"/>
    <w:rsid w:val="001F0A7E"/>
    <w:rsid w:val="001F6A76"/>
    <w:rsid w:val="00200127"/>
    <w:rsid w:val="0020041C"/>
    <w:rsid w:val="00201391"/>
    <w:rsid w:val="0020181C"/>
    <w:rsid w:val="00201E4D"/>
    <w:rsid w:val="0020253C"/>
    <w:rsid w:val="00203A0A"/>
    <w:rsid w:val="00204524"/>
    <w:rsid w:val="00206ABE"/>
    <w:rsid w:val="002129D5"/>
    <w:rsid w:val="00213037"/>
    <w:rsid w:val="0021367E"/>
    <w:rsid w:val="002138BD"/>
    <w:rsid w:val="00216CC9"/>
    <w:rsid w:val="00217EC0"/>
    <w:rsid w:val="00220CBC"/>
    <w:rsid w:val="00221E69"/>
    <w:rsid w:val="00224D71"/>
    <w:rsid w:val="002255AB"/>
    <w:rsid w:val="00225F98"/>
    <w:rsid w:val="002328E9"/>
    <w:rsid w:val="00234485"/>
    <w:rsid w:val="00234A53"/>
    <w:rsid w:val="00234FB5"/>
    <w:rsid w:val="002415C5"/>
    <w:rsid w:val="00243054"/>
    <w:rsid w:val="00244914"/>
    <w:rsid w:val="00244B21"/>
    <w:rsid w:val="00244EDB"/>
    <w:rsid w:val="00246ECA"/>
    <w:rsid w:val="002506A9"/>
    <w:rsid w:val="00251FA6"/>
    <w:rsid w:val="00252878"/>
    <w:rsid w:val="0025470B"/>
    <w:rsid w:val="00256456"/>
    <w:rsid w:val="0026116E"/>
    <w:rsid w:val="00261D49"/>
    <w:rsid w:val="002629F2"/>
    <w:rsid w:val="00262AEB"/>
    <w:rsid w:val="00264AA2"/>
    <w:rsid w:val="00270888"/>
    <w:rsid w:val="00273195"/>
    <w:rsid w:val="00275CF5"/>
    <w:rsid w:val="00275FA7"/>
    <w:rsid w:val="00280535"/>
    <w:rsid w:val="00282F11"/>
    <w:rsid w:val="0028301F"/>
    <w:rsid w:val="0028407D"/>
    <w:rsid w:val="00285017"/>
    <w:rsid w:val="00285E03"/>
    <w:rsid w:val="00286F83"/>
    <w:rsid w:val="00287CAA"/>
    <w:rsid w:val="00290F9B"/>
    <w:rsid w:val="00292626"/>
    <w:rsid w:val="0029275C"/>
    <w:rsid w:val="00295440"/>
    <w:rsid w:val="00295F1D"/>
    <w:rsid w:val="00296883"/>
    <w:rsid w:val="002A0683"/>
    <w:rsid w:val="002A09E4"/>
    <w:rsid w:val="002A2B1B"/>
    <w:rsid w:val="002A2D2E"/>
    <w:rsid w:val="002A3CDD"/>
    <w:rsid w:val="002A4C6A"/>
    <w:rsid w:val="002A4F4B"/>
    <w:rsid w:val="002B0429"/>
    <w:rsid w:val="002B11BE"/>
    <w:rsid w:val="002B2240"/>
    <w:rsid w:val="002B386B"/>
    <w:rsid w:val="002B6128"/>
    <w:rsid w:val="002B6D46"/>
    <w:rsid w:val="002B7E6C"/>
    <w:rsid w:val="002C00E8"/>
    <w:rsid w:val="002C01E0"/>
    <w:rsid w:val="002C03E0"/>
    <w:rsid w:val="002C125D"/>
    <w:rsid w:val="002C1343"/>
    <w:rsid w:val="002C14CA"/>
    <w:rsid w:val="002C32DE"/>
    <w:rsid w:val="002C5933"/>
    <w:rsid w:val="002C7781"/>
    <w:rsid w:val="002D1A45"/>
    <w:rsid w:val="002D3515"/>
    <w:rsid w:val="002D4175"/>
    <w:rsid w:val="002D494E"/>
    <w:rsid w:val="002D787A"/>
    <w:rsid w:val="002E0AC9"/>
    <w:rsid w:val="002E1623"/>
    <w:rsid w:val="002E2BDD"/>
    <w:rsid w:val="002E2CFC"/>
    <w:rsid w:val="002E349F"/>
    <w:rsid w:val="002E5B18"/>
    <w:rsid w:val="002E6B56"/>
    <w:rsid w:val="002F1681"/>
    <w:rsid w:val="002F2823"/>
    <w:rsid w:val="002F2C16"/>
    <w:rsid w:val="002F3DB7"/>
    <w:rsid w:val="002F6E3D"/>
    <w:rsid w:val="003009BE"/>
    <w:rsid w:val="00301FCE"/>
    <w:rsid w:val="003035A9"/>
    <w:rsid w:val="00305589"/>
    <w:rsid w:val="003059D1"/>
    <w:rsid w:val="00310203"/>
    <w:rsid w:val="00310DFF"/>
    <w:rsid w:val="00311198"/>
    <w:rsid w:val="00312147"/>
    <w:rsid w:val="003128D1"/>
    <w:rsid w:val="00313427"/>
    <w:rsid w:val="00314948"/>
    <w:rsid w:val="00315548"/>
    <w:rsid w:val="00315596"/>
    <w:rsid w:val="00322A97"/>
    <w:rsid w:val="00322E04"/>
    <w:rsid w:val="00323BEE"/>
    <w:rsid w:val="00324365"/>
    <w:rsid w:val="0032552E"/>
    <w:rsid w:val="003262B1"/>
    <w:rsid w:val="003269B1"/>
    <w:rsid w:val="00327760"/>
    <w:rsid w:val="00327852"/>
    <w:rsid w:val="00332967"/>
    <w:rsid w:val="003336FB"/>
    <w:rsid w:val="00335AF3"/>
    <w:rsid w:val="003401D4"/>
    <w:rsid w:val="00340B2A"/>
    <w:rsid w:val="00343749"/>
    <w:rsid w:val="003467A2"/>
    <w:rsid w:val="00351A0D"/>
    <w:rsid w:val="00352049"/>
    <w:rsid w:val="00355257"/>
    <w:rsid w:val="00355702"/>
    <w:rsid w:val="0035572B"/>
    <w:rsid w:val="0035720B"/>
    <w:rsid w:val="00362AE5"/>
    <w:rsid w:val="00363A44"/>
    <w:rsid w:val="00365768"/>
    <w:rsid w:val="003660ED"/>
    <w:rsid w:val="00370A3E"/>
    <w:rsid w:val="00373C43"/>
    <w:rsid w:val="00374233"/>
    <w:rsid w:val="0037528A"/>
    <w:rsid w:val="00375AC5"/>
    <w:rsid w:val="00376D57"/>
    <w:rsid w:val="00381C79"/>
    <w:rsid w:val="00382528"/>
    <w:rsid w:val="00382927"/>
    <w:rsid w:val="00383597"/>
    <w:rsid w:val="00383B12"/>
    <w:rsid w:val="00384588"/>
    <w:rsid w:val="00385426"/>
    <w:rsid w:val="00385A12"/>
    <w:rsid w:val="003878E5"/>
    <w:rsid w:val="00394C4A"/>
    <w:rsid w:val="00395871"/>
    <w:rsid w:val="003A4FC8"/>
    <w:rsid w:val="003A61EA"/>
    <w:rsid w:val="003B0550"/>
    <w:rsid w:val="003B1718"/>
    <w:rsid w:val="003B453E"/>
    <w:rsid w:val="003B5001"/>
    <w:rsid w:val="003B5C30"/>
    <w:rsid w:val="003B694F"/>
    <w:rsid w:val="003C1ECC"/>
    <w:rsid w:val="003C2BEF"/>
    <w:rsid w:val="003C3987"/>
    <w:rsid w:val="003C3A43"/>
    <w:rsid w:val="003C7BE5"/>
    <w:rsid w:val="003C7FC7"/>
    <w:rsid w:val="003D04AA"/>
    <w:rsid w:val="003D23D9"/>
    <w:rsid w:val="003D3343"/>
    <w:rsid w:val="003D3D61"/>
    <w:rsid w:val="003D4660"/>
    <w:rsid w:val="003D4DBB"/>
    <w:rsid w:val="003D58FC"/>
    <w:rsid w:val="003D5FA3"/>
    <w:rsid w:val="003D5FAD"/>
    <w:rsid w:val="003D6142"/>
    <w:rsid w:val="003D619A"/>
    <w:rsid w:val="003D6531"/>
    <w:rsid w:val="003D67A3"/>
    <w:rsid w:val="003D72C2"/>
    <w:rsid w:val="003E3301"/>
    <w:rsid w:val="003E4927"/>
    <w:rsid w:val="003E4BC4"/>
    <w:rsid w:val="003E5430"/>
    <w:rsid w:val="003E5DA8"/>
    <w:rsid w:val="003E6109"/>
    <w:rsid w:val="003E6304"/>
    <w:rsid w:val="003E67C3"/>
    <w:rsid w:val="003E7B0C"/>
    <w:rsid w:val="003F171C"/>
    <w:rsid w:val="003F18C4"/>
    <w:rsid w:val="003F27EB"/>
    <w:rsid w:val="003F448A"/>
    <w:rsid w:val="003F4699"/>
    <w:rsid w:val="003F501D"/>
    <w:rsid w:val="003F565D"/>
    <w:rsid w:val="003F5A17"/>
    <w:rsid w:val="003F694F"/>
    <w:rsid w:val="00400F08"/>
    <w:rsid w:val="00401C86"/>
    <w:rsid w:val="00402C78"/>
    <w:rsid w:val="0040319D"/>
    <w:rsid w:val="0040570B"/>
    <w:rsid w:val="004062BE"/>
    <w:rsid w:val="0040749B"/>
    <w:rsid w:val="004102A0"/>
    <w:rsid w:val="00410BD7"/>
    <w:rsid w:val="004128C5"/>
    <w:rsid w:val="00412FC5"/>
    <w:rsid w:val="004135D7"/>
    <w:rsid w:val="004137C5"/>
    <w:rsid w:val="00413F7E"/>
    <w:rsid w:val="00414468"/>
    <w:rsid w:val="00421F8F"/>
    <w:rsid w:val="00422276"/>
    <w:rsid w:val="00422D9E"/>
    <w:rsid w:val="004242F1"/>
    <w:rsid w:val="0042615C"/>
    <w:rsid w:val="00427A8E"/>
    <w:rsid w:val="004306F1"/>
    <w:rsid w:val="004309B0"/>
    <w:rsid w:val="00433BB4"/>
    <w:rsid w:val="0043422D"/>
    <w:rsid w:val="00434AAD"/>
    <w:rsid w:val="00435D4F"/>
    <w:rsid w:val="0043647F"/>
    <w:rsid w:val="00436624"/>
    <w:rsid w:val="00436816"/>
    <w:rsid w:val="00437EED"/>
    <w:rsid w:val="00442ADB"/>
    <w:rsid w:val="00444B18"/>
    <w:rsid w:val="00445A00"/>
    <w:rsid w:val="004468A8"/>
    <w:rsid w:val="0044692A"/>
    <w:rsid w:val="0044703F"/>
    <w:rsid w:val="0045160C"/>
    <w:rsid w:val="00451B0F"/>
    <w:rsid w:val="00454E55"/>
    <w:rsid w:val="004569D2"/>
    <w:rsid w:val="00460705"/>
    <w:rsid w:val="00461F76"/>
    <w:rsid w:val="00462452"/>
    <w:rsid w:val="004649AF"/>
    <w:rsid w:val="00470CC9"/>
    <w:rsid w:val="00470F5D"/>
    <w:rsid w:val="00471EE4"/>
    <w:rsid w:val="0047586F"/>
    <w:rsid w:val="00475EB2"/>
    <w:rsid w:val="00477804"/>
    <w:rsid w:val="0047787A"/>
    <w:rsid w:val="00480441"/>
    <w:rsid w:val="00480BD1"/>
    <w:rsid w:val="004815D3"/>
    <w:rsid w:val="0048236D"/>
    <w:rsid w:val="00482CA2"/>
    <w:rsid w:val="00483AEA"/>
    <w:rsid w:val="00485CF0"/>
    <w:rsid w:val="00485E6C"/>
    <w:rsid w:val="00486B7E"/>
    <w:rsid w:val="00487722"/>
    <w:rsid w:val="00491BF5"/>
    <w:rsid w:val="0049312F"/>
    <w:rsid w:val="00493589"/>
    <w:rsid w:val="00493719"/>
    <w:rsid w:val="00493F0E"/>
    <w:rsid w:val="004959FF"/>
    <w:rsid w:val="004978A5"/>
    <w:rsid w:val="004A0B20"/>
    <w:rsid w:val="004A49F6"/>
    <w:rsid w:val="004A58F0"/>
    <w:rsid w:val="004A7E0C"/>
    <w:rsid w:val="004B081D"/>
    <w:rsid w:val="004B17B4"/>
    <w:rsid w:val="004B28AE"/>
    <w:rsid w:val="004B303D"/>
    <w:rsid w:val="004B37F6"/>
    <w:rsid w:val="004B3C78"/>
    <w:rsid w:val="004B52AF"/>
    <w:rsid w:val="004B60AA"/>
    <w:rsid w:val="004B7B5C"/>
    <w:rsid w:val="004C0293"/>
    <w:rsid w:val="004C0BFE"/>
    <w:rsid w:val="004C15B8"/>
    <w:rsid w:val="004C18E2"/>
    <w:rsid w:val="004C2310"/>
    <w:rsid w:val="004C2EE3"/>
    <w:rsid w:val="004C318A"/>
    <w:rsid w:val="004C3219"/>
    <w:rsid w:val="004C61A2"/>
    <w:rsid w:val="004C6C32"/>
    <w:rsid w:val="004C72EF"/>
    <w:rsid w:val="004C78DB"/>
    <w:rsid w:val="004D05C7"/>
    <w:rsid w:val="004D0731"/>
    <w:rsid w:val="004D50DD"/>
    <w:rsid w:val="004D6476"/>
    <w:rsid w:val="004D6F75"/>
    <w:rsid w:val="004D78DB"/>
    <w:rsid w:val="004E13E2"/>
    <w:rsid w:val="004E2AC3"/>
    <w:rsid w:val="004E36F0"/>
    <w:rsid w:val="004E382D"/>
    <w:rsid w:val="004E4A22"/>
    <w:rsid w:val="004E541D"/>
    <w:rsid w:val="004E6060"/>
    <w:rsid w:val="004E6E51"/>
    <w:rsid w:val="004E74A0"/>
    <w:rsid w:val="004F03B2"/>
    <w:rsid w:val="004F0BA0"/>
    <w:rsid w:val="004F3971"/>
    <w:rsid w:val="004F4E7F"/>
    <w:rsid w:val="004F6508"/>
    <w:rsid w:val="00500CB3"/>
    <w:rsid w:val="00501AA8"/>
    <w:rsid w:val="0050280C"/>
    <w:rsid w:val="005028D3"/>
    <w:rsid w:val="00502930"/>
    <w:rsid w:val="00502B32"/>
    <w:rsid w:val="0050572B"/>
    <w:rsid w:val="00506880"/>
    <w:rsid w:val="005071D5"/>
    <w:rsid w:val="00507797"/>
    <w:rsid w:val="00511968"/>
    <w:rsid w:val="00512F81"/>
    <w:rsid w:val="005130E5"/>
    <w:rsid w:val="005139A3"/>
    <w:rsid w:val="00514611"/>
    <w:rsid w:val="00514D36"/>
    <w:rsid w:val="005156A0"/>
    <w:rsid w:val="00521413"/>
    <w:rsid w:val="00523601"/>
    <w:rsid w:val="005239B5"/>
    <w:rsid w:val="00523B45"/>
    <w:rsid w:val="00524A2D"/>
    <w:rsid w:val="005251B9"/>
    <w:rsid w:val="00526381"/>
    <w:rsid w:val="00527E9A"/>
    <w:rsid w:val="0053027F"/>
    <w:rsid w:val="00530660"/>
    <w:rsid w:val="005311D8"/>
    <w:rsid w:val="005314FB"/>
    <w:rsid w:val="00531AD1"/>
    <w:rsid w:val="00532301"/>
    <w:rsid w:val="00532ABB"/>
    <w:rsid w:val="00533AE4"/>
    <w:rsid w:val="00536519"/>
    <w:rsid w:val="00537FBC"/>
    <w:rsid w:val="00541C4C"/>
    <w:rsid w:val="0054258A"/>
    <w:rsid w:val="00542BB1"/>
    <w:rsid w:val="00543BA8"/>
    <w:rsid w:val="005442CB"/>
    <w:rsid w:val="00546105"/>
    <w:rsid w:val="00546E26"/>
    <w:rsid w:val="00547E6B"/>
    <w:rsid w:val="00550777"/>
    <w:rsid w:val="005537A7"/>
    <w:rsid w:val="00555F46"/>
    <w:rsid w:val="0055614C"/>
    <w:rsid w:val="00557789"/>
    <w:rsid w:val="00560BC7"/>
    <w:rsid w:val="0056124F"/>
    <w:rsid w:val="00562F20"/>
    <w:rsid w:val="00563BF8"/>
    <w:rsid w:val="00566D06"/>
    <w:rsid w:val="00570449"/>
    <w:rsid w:val="00571463"/>
    <w:rsid w:val="00572697"/>
    <w:rsid w:val="00573F77"/>
    <w:rsid w:val="00573FBC"/>
    <w:rsid w:val="005748D7"/>
    <w:rsid w:val="00574ED7"/>
    <w:rsid w:val="0057576F"/>
    <w:rsid w:val="0057606D"/>
    <w:rsid w:val="005778F2"/>
    <w:rsid w:val="00584A02"/>
    <w:rsid w:val="0058710B"/>
    <w:rsid w:val="0058724B"/>
    <w:rsid w:val="00590779"/>
    <w:rsid w:val="00590DB5"/>
    <w:rsid w:val="00591465"/>
    <w:rsid w:val="00591B7B"/>
    <w:rsid w:val="0059433D"/>
    <w:rsid w:val="0059596A"/>
    <w:rsid w:val="0059668E"/>
    <w:rsid w:val="00596EB9"/>
    <w:rsid w:val="00596EEC"/>
    <w:rsid w:val="005973C4"/>
    <w:rsid w:val="005A08ED"/>
    <w:rsid w:val="005A0923"/>
    <w:rsid w:val="005A23BE"/>
    <w:rsid w:val="005A4BB5"/>
    <w:rsid w:val="005A6FD3"/>
    <w:rsid w:val="005B09C0"/>
    <w:rsid w:val="005B1981"/>
    <w:rsid w:val="005B58EF"/>
    <w:rsid w:val="005B69DA"/>
    <w:rsid w:val="005B761D"/>
    <w:rsid w:val="005C03F6"/>
    <w:rsid w:val="005C11B7"/>
    <w:rsid w:val="005C1341"/>
    <w:rsid w:val="005C186A"/>
    <w:rsid w:val="005C56B5"/>
    <w:rsid w:val="005C64CA"/>
    <w:rsid w:val="005D40B1"/>
    <w:rsid w:val="005D418E"/>
    <w:rsid w:val="005D4EE3"/>
    <w:rsid w:val="005D68FF"/>
    <w:rsid w:val="005E14C2"/>
    <w:rsid w:val="005E1D75"/>
    <w:rsid w:val="005E2C7A"/>
    <w:rsid w:val="005E359E"/>
    <w:rsid w:val="005E5964"/>
    <w:rsid w:val="005F11B1"/>
    <w:rsid w:val="005F175F"/>
    <w:rsid w:val="005F4F08"/>
    <w:rsid w:val="005F72FB"/>
    <w:rsid w:val="006032B8"/>
    <w:rsid w:val="006049C2"/>
    <w:rsid w:val="00605404"/>
    <w:rsid w:val="00605464"/>
    <w:rsid w:val="006056C2"/>
    <w:rsid w:val="00606CCB"/>
    <w:rsid w:val="00606E5D"/>
    <w:rsid w:val="006074B8"/>
    <w:rsid w:val="00607BA5"/>
    <w:rsid w:val="00611627"/>
    <w:rsid w:val="0061180A"/>
    <w:rsid w:val="00611860"/>
    <w:rsid w:val="006132CD"/>
    <w:rsid w:val="00613FD4"/>
    <w:rsid w:val="00615A41"/>
    <w:rsid w:val="00616922"/>
    <w:rsid w:val="006251E3"/>
    <w:rsid w:val="00626EB6"/>
    <w:rsid w:val="00627667"/>
    <w:rsid w:val="00627874"/>
    <w:rsid w:val="0063143F"/>
    <w:rsid w:val="00631792"/>
    <w:rsid w:val="006328AA"/>
    <w:rsid w:val="00632B69"/>
    <w:rsid w:val="0063343C"/>
    <w:rsid w:val="0063454F"/>
    <w:rsid w:val="0063516A"/>
    <w:rsid w:val="0064157E"/>
    <w:rsid w:val="00641EFF"/>
    <w:rsid w:val="00643443"/>
    <w:rsid w:val="00643849"/>
    <w:rsid w:val="006438D4"/>
    <w:rsid w:val="00644AAD"/>
    <w:rsid w:val="006455AF"/>
    <w:rsid w:val="0064578F"/>
    <w:rsid w:val="00645FDD"/>
    <w:rsid w:val="0064639B"/>
    <w:rsid w:val="006466D0"/>
    <w:rsid w:val="0064673A"/>
    <w:rsid w:val="006474E0"/>
    <w:rsid w:val="00647862"/>
    <w:rsid w:val="006507FA"/>
    <w:rsid w:val="00655D03"/>
    <w:rsid w:val="006561C0"/>
    <w:rsid w:val="0066067C"/>
    <w:rsid w:val="00660FB6"/>
    <w:rsid w:val="006624B7"/>
    <w:rsid w:val="006628F0"/>
    <w:rsid w:val="0066474F"/>
    <w:rsid w:val="0066486D"/>
    <w:rsid w:val="00664C59"/>
    <w:rsid w:val="00664E80"/>
    <w:rsid w:val="00666FCC"/>
    <w:rsid w:val="00670F01"/>
    <w:rsid w:val="00670FA2"/>
    <w:rsid w:val="006715EF"/>
    <w:rsid w:val="00673AAE"/>
    <w:rsid w:val="00673EDC"/>
    <w:rsid w:val="006741B2"/>
    <w:rsid w:val="00674B88"/>
    <w:rsid w:val="00674EF4"/>
    <w:rsid w:val="006751C8"/>
    <w:rsid w:val="0068020C"/>
    <w:rsid w:val="00681CA2"/>
    <w:rsid w:val="00681CAC"/>
    <w:rsid w:val="00683388"/>
    <w:rsid w:val="006833C7"/>
    <w:rsid w:val="0068378F"/>
    <w:rsid w:val="00683CA8"/>
    <w:rsid w:val="00683F84"/>
    <w:rsid w:val="00690B89"/>
    <w:rsid w:val="0069180B"/>
    <w:rsid w:val="00694366"/>
    <w:rsid w:val="00696B2E"/>
    <w:rsid w:val="00697164"/>
    <w:rsid w:val="006977B5"/>
    <w:rsid w:val="00697C94"/>
    <w:rsid w:val="006A0788"/>
    <w:rsid w:val="006A4283"/>
    <w:rsid w:val="006A46F4"/>
    <w:rsid w:val="006A6A81"/>
    <w:rsid w:val="006A7ADD"/>
    <w:rsid w:val="006B04B9"/>
    <w:rsid w:val="006B072E"/>
    <w:rsid w:val="006B1C0E"/>
    <w:rsid w:val="006B2DD5"/>
    <w:rsid w:val="006B3B18"/>
    <w:rsid w:val="006B462D"/>
    <w:rsid w:val="006B6170"/>
    <w:rsid w:val="006B7FFA"/>
    <w:rsid w:val="006C1DD6"/>
    <w:rsid w:val="006C274F"/>
    <w:rsid w:val="006C2A5B"/>
    <w:rsid w:val="006D3B4E"/>
    <w:rsid w:val="006D55F4"/>
    <w:rsid w:val="006D6E35"/>
    <w:rsid w:val="006D7314"/>
    <w:rsid w:val="006D794B"/>
    <w:rsid w:val="006E07CB"/>
    <w:rsid w:val="006E1755"/>
    <w:rsid w:val="006E1BB8"/>
    <w:rsid w:val="006E2651"/>
    <w:rsid w:val="006E2991"/>
    <w:rsid w:val="006E347A"/>
    <w:rsid w:val="006E3C84"/>
    <w:rsid w:val="006E453D"/>
    <w:rsid w:val="006E5349"/>
    <w:rsid w:val="006F38C7"/>
    <w:rsid w:val="006F53BC"/>
    <w:rsid w:val="006F6CA4"/>
    <w:rsid w:val="006F7393"/>
    <w:rsid w:val="0070224F"/>
    <w:rsid w:val="007035EB"/>
    <w:rsid w:val="0070525C"/>
    <w:rsid w:val="00706F80"/>
    <w:rsid w:val="00707D56"/>
    <w:rsid w:val="00710F0D"/>
    <w:rsid w:val="007115F7"/>
    <w:rsid w:val="007116DB"/>
    <w:rsid w:val="0071450B"/>
    <w:rsid w:val="0071694D"/>
    <w:rsid w:val="007205F0"/>
    <w:rsid w:val="0072332F"/>
    <w:rsid w:val="00725B2A"/>
    <w:rsid w:val="00726997"/>
    <w:rsid w:val="00726A10"/>
    <w:rsid w:val="00726B59"/>
    <w:rsid w:val="007272A3"/>
    <w:rsid w:val="007272B5"/>
    <w:rsid w:val="0072749C"/>
    <w:rsid w:val="00727CC3"/>
    <w:rsid w:val="00727DCC"/>
    <w:rsid w:val="00732FD7"/>
    <w:rsid w:val="00733B01"/>
    <w:rsid w:val="0073498E"/>
    <w:rsid w:val="00737BC5"/>
    <w:rsid w:val="00740195"/>
    <w:rsid w:val="00741D4A"/>
    <w:rsid w:val="00741FE5"/>
    <w:rsid w:val="00742A5F"/>
    <w:rsid w:val="00742B60"/>
    <w:rsid w:val="00746308"/>
    <w:rsid w:val="00747A0D"/>
    <w:rsid w:val="00747E06"/>
    <w:rsid w:val="00751933"/>
    <w:rsid w:val="00752C67"/>
    <w:rsid w:val="00754423"/>
    <w:rsid w:val="00754603"/>
    <w:rsid w:val="00755475"/>
    <w:rsid w:val="0076106B"/>
    <w:rsid w:val="007617DF"/>
    <w:rsid w:val="00761AF8"/>
    <w:rsid w:val="00761B22"/>
    <w:rsid w:val="0076317C"/>
    <w:rsid w:val="00765A07"/>
    <w:rsid w:val="00766697"/>
    <w:rsid w:val="00766D99"/>
    <w:rsid w:val="00766EEF"/>
    <w:rsid w:val="0077136D"/>
    <w:rsid w:val="00774644"/>
    <w:rsid w:val="00777F93"/>
    <w:rsid w:val="00781764"/>
    <w:rsid w:val="0078247F"/>
    <w:rsid w:val="00783B51"/>
    <w:rsid w:val="00783FCF"/>
    <w:rsid w:val="00785689"/>
    <w:rsid w:val="00790783"/>
    <w:rsid w:val="00791766"/>
    <w:rsid w:val="0079292C"/>
    <w:rsid w:val="00794195"/>
    <w:rsid w:val="00796F66"/>
    <w:rsid w:val="0079754B"/>
    <w:rsid w:val="007A0D87"/>
    <w:rsid w:val="007A1CD0"/>
    <w:rsid w:val="007A1E35"/>
    <w:rsid w:val="007A1E6D"/>
    <w:rsid w:val="007A2290"/>
    <w:rsid w:val="007A5A95"/>
    <w:rsid w:val="007A5CB0"/>
    <w:rsid w:val="007A5E3F"/>
    <w:rsid w:val="007A60ED"/>
    <w:rsid w:val="007B0D4C"/>
    <w:rsid w:val="007B0EB2"/>
    <w:rsid w:val="007B0FE9"/>
    <w:rsid w:val="007B4037"/>
    <w:rsid w:val="007B481F"/>
    <w:rsid w:val="007B4AD0"/>
    <w:rsid w:val="007C062D"/>
    <w:rsid w:val="007C07EF"/>
    <w:rsid w:val="007C149E"/>
    <w:rsid w:val="007C2172"/>
    <w:rsid w:val="007C2866"/>
    <w:rsid w:val="007C4971"/>
    <w:rsid w:val="007C4C7F"/>
    <w:rsid w:val="007C690F"/>
    <w:rsid w:val="007C74CC"/>
    <w:rsid w:val="007D0353"/>
    <w:rsid w:val="007D06B8"/>
    <w:rsid w:val="007D1E17"/>
    <w:rsid w:val="007D32C3"/>
    <w:rsid w:val="007D36A7"/>
    <w:rsid w:val="007D5FFF"/>
    <w:rsid w:val="007E15B1"/>
    <w:rsid w:val="007E2C4D"/>
    <w:rsid w:val="007E510F"/>
    <w:rsid w:val="007E5866"/>
    <w:rsid w:val="007E5F38"/>
    <w:rsid w:val="007F3A0E"/>
    <w:rsid w:val="007F5C16"/>
    <w:rsid w:val="007F7246"/>
    <w:rsid w:val="00801198"/>
    <w:rsid w:val="00801F82"/>
    <w:rsid w:val="00802CF4"/>
    <w:rsid w:val="00802FB5"/>
    <w:rsid w:val="00810B6F"/>
    <w:rsid w:val="008119D9"/>
    <w:rsid w:val="00811F9D"/>
    <w:rsid w:val="00812307"/>
    <w:rsid w:val="00812BFD"/>
    <w:rsid w:val="00813955"/>
    <w:rsid w:val="008145BE"/>
    <w:rsid w:val="00814699"/>
    <w:rsid w:val="00815319"/>
    <w:rsid w:val="00816872"/>
    <w:rsid w:val="00817776"/>
    <w:rsid w:val="008225D5"/>
    <w:rsid w:val="00822B1B"/>
    <w:rsid w:val="00822CE0"/>
    <w:rsid w:val="008250D1"/>
    <w:rsid w:val="0082572E"/>
    <w:rsid w:val="008257A3"/>
    <w:rsid w:val="00827D78"/>
    <w:rsid w:val="00827EBC"/>
    <w:rsid w:val="00830E4F"/>
    <w:rsid w:val="00831177"/>
    <w:rsid w:val="00832A26"/>
    <w:rsid w:val="008342FC"/>
    <w:rsid w:val="00837206"/>
    <w:rsid w:val="008415FD"/>
    <w:rsid w:val="00841AB1"/>
    <w:rsid w:val="00842AD3"/>
    <w:rsid w:val="00842BA6"/>
    <w:rsid w:val="00844060"/>
    <w:rsid w:val="00844CD1"/>
    <w:rsid w:val="008452DA"/>
    <w:rsid w:val="00847E4B"/>
    <w:rsid w:val="00851C15"/>
    <w:rsid w:val="0085388D"/>
    <w:rsid w:val="00853913"/>
    <w:rsid w:val="0085529B"/>
    <w:rsid w:val="008557A4"/>
    <w:rsid w:val="00857CEF"/>
    <w:rsid w:val="00860FB5"/>
    <w:rsid w:val="00860FE7"/>
    <w:rsid w:val="00862B40"/>
    <w:rsid w:val="008639A8"/>
    <w:rsid w:val="00863D8F"/>
    <w:rsid w:val="008668C3"/>
    <w:rsid w:val="008672C1"/>
    <w:rsid w:val="00867488"/>
    <w:rsid w:val="00871B88"/>
    <w:rsid w:val="00871C83"/>
    <w:rsid w:val="008721BC"/>
    <w:rsid w:val="00872E81"/>
    <w:rsid w:val="00874168"/>
    <w:rsid w:val="008750F9"/>
    <w:rsid w:val="008751E1"/>
    <w:rsid w:val="0087717C"/>
    <w:rsid w:val="0088696C"/>
    <w:rsid w:val="0089054B"/>
    <w:rsid w:val="0089485C"/>
    <w:rsid w:val="008A1D9E"/>
    <w:rsid w:val="008A1FC2"/>
    <w:rsid w:val="008A423B"/>
    <w:rsid w:val="008A475C"/>
    <w:rsid w:val="008A6F04"/>
    <w:rsid w:val="008A71AA"/>
    <w:rsid w:val="008B1B38"/>
    <w:rsid w:val="008B3311"/>
    <w:rsid w:val="008B4B21"/>
    <w:rsid w:val="008B4D15"/>
    <w:rsid w:val="008B4F35"/>
    <w:rsid w:val="008B5917"/>
    <w:rsid w:val="008B6949"/>
    <w:rsid w:val="008B70EA"/>
    <w:rsid w:val="008B7485"/>
    <w:rsid w:val="008B7B1E"/>
    <w:rsid w:val="008C1A6C"/>
    <w:rsid w:val="008C36FB"/>
    <w:rsid w:val="008C511E"/>
    <w:rsid w:val="008C5ABF"/>
    <w:rsid w:val="008C68F1"/>
    <w:rsid w:val="008C7A7B"/>
    <w:rsid w:val="008D0C72"/>
    <w:rsid w:val="008D2142"/>
    <w:rsid w:val="008D2A7D"/>
    <w:rsid w:val="008D2AB1"/>
    <w:rsid w:val="008D3D93"/>
    <w:rsid w:val="008D6C5E"/>
    <w:rsid w:val="008E0C23"/>
    <w:rsid w:val="008E27F9"/>
    <w:rsid w:val="008E44DD"/>
    <w:rsid w:val="008E53B5"/>
    <w:rsid w:val="008E5574"/>
    <w:rsid w:val="008E6FD3"/>
    <w:rsid w:val="008E7524"/>
    <w:rsid w:val="008F0730"/>
    <w:rsid w:val="008F12C4"/>
    <w:rsid w:val="008F169B"/>
    <w:rsid w:val="008F239E"/>
    <w:rsid w:val="008F2BAB"/>
    <w:rsid w:val="008F3AEC"/>
    <w:rsid w:val="008F5565"/>
    <w:rsid w:val="008F6F95"/>
    <w:rsid w:val="00900D41"/>
    <w:rsid w:val="00900E02"/>
    <w:rsid w:val="00902384"/>
    <w:rsid w:val="00903B0A"/>
    <w:rsid w:val="0090789A"/>
    <w:rsid w:val="009102ED"/>
    <w:rsid w:val="00911655"/>
    <w:rsid w:val="0091266C"/>
    <w:rsid w:val="00914AA3"/>
    <w:rsid w:val="00914E41"/>
    <w:rsid w:val="00914F1B"/>
    <w:rsid w:val="00917056"/>
    <w:rsid w:val="00917D36"/>
    <w:rsid w:val="009203AE"/>
    <w:rsid w:val="00921803"/>
    <w:rsid w:val="00922360"/>
    <w:rsid w:val="00923F6A"/>
    <w:rsid w:val="00924A50"/>
    <w:rsid w:val="00924BA8"/>
    <w:rsid w:val="00924BDC"/>
    <w:rsid w:val="00926503"/>
    <w:rsid w:val="009278B8"/>
    <w:rsid w:val="0093032A"/>
    <w:rsid w:val="009324C8"/>
    <w:rsid w:val="0093398B"/>
    <w:rsid w:val="00933AA9"/>
    <w:rsid w:val="00934217"/>
    <w:rsid w:val="00940512"/>
    <w:rsid w:val="00941C20"/>
    <w:rsid w:val="00943B06"/>
    <w:rsid w:val="00943D09"/>
    <w:rsid w:val="009448DA"/>
    <w:rsid w:val="00944CEB"/>
    <w:rsid w:val="009450FA"/>
    <w:rsid w:val="0094598F"/>
    <w:rsid w:val="009460E5"/>
    <w:rsid w:val="009474F6"/>
    <w:rsid w:val="00947B33"/>
    <w:rsid w:val="009517A6"/>
    <w:rsid w:val="00951D5F"/>
    <w:rsid w:val="009551F5"/>
    <w:rsid w:val="00956B56"/>
    <w:rsid w:val="00957020"/>
    <w:rsid w:val="00957D99"/>
    <w:rsid w:val="00957FD1"/>
    <w:rsid w:val="00960CCC"/>
    <w:rsid w:val="00963F42"/>
    <w:rsid w:val="00966870"/>
    <w:rsid w:val="00966B20"/>
    <w:rsid w:val="00966FE7"/>
    <w:rsid w:val="00967DB4"/>
    <w:rsid w:val="0097173B"/>
    <w:rsid w:val="00971E33"/>
    <w:rsid w:val="009720C5"/>
    <w:rsid w:val="009726D8"/>
    <w:rsid w:val="0097508E"/>
    <w:rsid w:val="00976E1D"/>
    <w:rsid w:val="0097749D"/>
    <w:rsid w:val="0098164A"/>
    <w:rsid w:val="00981C7F"/>
    <w:rsid w:val="00982DB8"/>
    <w:rsid w:val="0098547D"/>
    <w:rsid w:val="009877BB"/>
    <w:rsid w:val="0099180F"/>
    <w:rsid w:val="00993C5A"/>
    <w:rsid w:val="00993C6D"/>
    <w:rsid w:val="00995CAB"/>
    <w:rsid w:val="0099749E"/>
    <w:rsid w:val="009A1E90"/>
    <w:rsid w:val="009A2911"/>
    <w:rsid w:val="009A29CD"/>
    <w:rsid w:val="009A3ADC"/>
    <w:rsid w:val="009A412A"/>
    <w:rsid w:val="009A65BA"/>
    <w:rsid w:val="009A67F9"/>
    <w:rsid w:val="009A6E2A"/>
    <w:rsid w:val="009B073D"/>
    <w:rsid w:val="009B0F44"/>
    <w:rsid w:val="009B14A3"/>
    <w:rsid w:val="009B1631"/>
    <w:rsid w:val="009B1D28"/>
    <w:rsid w:val="009B21E7"/>
    <w:rsid w:val="009B236B"/>
    <w:rsid w:val="009B47BF"/>
    <w:rsid w:val="009B6F33"/>
    <w:rsid w:val="009C2919"/>
    <w:rsid w:val="009C540A"/>
    <w:rsid w:val="009C61A5"/>
    <w:rsid w:val="009C68B6"/>
    <w:rsid w:val="009C789E"/>
    <w:rsid w:val="009C7DFD"/>
    <w:rsid w:val="009D1803"/>
    <w:rsid w:val="009D2D8F"/>
    <w:rsid w:val="009D37DF"/>
    <w:rsid w:val="009D49B6"/>
    <w:rsid w:val="009D5495"/>
    <w:rsid w:val="009D60E1"/>
    <w:rsid w:val="009D6803"/>
    <w:rsid w:val="009D6A91"/>
    <w:rsid w:val="009D7308"/>
    <w:rsid w:val="009E03A3"/>
    <w:rsid w:val="009E0C40"/>
    <w:rsid w:val="009E18A0"/>
    <w:rsid w:val="009E546E"/>
    <w:rsid w:val="009E6EF4"/>
    <w:rsid w:val="009E7B55"/>
    <w:rsid w:val="009F01BF"/>
    <w:rsid w:val="009F127C"/>
    <w:rsid w:val="009F2787"/>
    <w:rsid w:val="009F307B"/>
    <w:rsid w:val="009F31B7"/>
    <w:rsid w:val="009F46C8"/>
    <w:rsid w:val="009F4E10"/>
    <w:rsid w:val="009F5063"/>
    <w:rsid w:val="009F76DB"/>
    <w:rsid w:val="00A01713"/>
    <w:rsid w:val="00A033DA"/>
    <w:rsid w:val="00A041C3"/>
    <w:rsid w:val="00A04691"/>
    <w:rsid w:val="00A07530"/>
    <w:rsid w:val="00A11576"/>
    <w:rsid w:val="00A12276"/>
    <w:rsid w:val="00A1259C"/>
    <w:rsid w:val="00A126DE"/>
    <w:rsid w:val="00A13988"/>
    <w:rsid w:val="00A13C9B"/>
    <w:rsid w:val="00A165A9"/>
    <w:rsid w:val="00A17130"/>
    <w:rsid w:val="00A17FCA"/>
    <w:rsid w:val="00A206C1"/>
    <w:rsid w:val="00A20B12"/>
    <w:rsid w:val="00A21D4F"/>
    <w:rsid w:val="00A233BF"/>
    <w:rsid w:val="00A23B44"/>
    <w:rsid w:val="00A240CA"/>
    <w:rsid w:val="00A24C8C"/>
    <w:rsid w:val="00A26A15"/>
    <w:rsid w:val="00A2789E"/>
    <w:rsid w:val="00A31A52"/>
    <w:rsid w:val="00A31B4E"/>
    <w:rsid w:val="00A32C3B"/>
    <w:rsid w:val="00A351DE"/>
    <w:rsid w:val="00A37829"/>
    <w:rsid w:val="00A41ACB"/>
    <w:rsid w:val="00A430F0"/>
    <w:rsid w:val="00A43A6B"/>
    <w:rsid w:val="00A45F4F"/>
    <w:rsid w:val="00A52AF7"/>
    <w:rsid w:val="00A53162"/>
    <w:rsid w:val="00A53619"/>
    <w:rsid w:val="00A53816"/>
    <w:rsid w:val="00A54870"/>
    <w:rsid w:val="00A572E2"/>
    <w:rsid w:val="00A57B2A"/>
    <w:rsid w:val="00A600A9"/>
    <w:rsid w:val="00A60647"/>
    <w:rsid w:val="00A60D6E"/>
    <w:rsid w:val="00A62123"/>
    <w:rsid w:val="00A63915"/>
    <w:rsid w:val="00A670D5"/>
    <w:rsid w:val="00A714EC"/>
    <w:rsid w:val="00A717F0"/>
    <w:rsid w:val="00A748AC"/>
    <w:rsid w:val="00A74D22"/>
    <w:rsid w:val="00A75654"/>
    <w:rsid w:val="00A76135"/>
    <w:rsid w:val="00A8043D"/>
    <w:rsid w:val="00A804A2"/>
    <w:rsid w:val="00A80578"/>
    <w:rsid w:val="00A827B2"/>
    <w:rsid w:val="00A8342B"/>
    <w:rsid w:val="00A86CB8"/>
    <w:rsid w:val="00A93412"/>
    <w:rsid w:val="00A939AB"/>
    <w:rsid w:val="00A948FB"/>
    <w:rsid w:val="00A95449"/>
    <w:rsid w:val="00A970BE"/>
    <w:rsid w:val="00AA1BE5"/>
    <w:rsid w:val="00AA33C0"/>
    <w:rsid w:val="00AA55B7"/>
    <w:rsid w:val="00AA5B9E"/>
    <w:rsid w:val="00AA7A14"/>
    <w:rsid w:val="00AB2407"/>
    <w:rsid w:val="00AB2B67"/>
    <w:rsid w:val="00AB37C3"/>
    <w:rsid w:val="00AB53DF"/>
    <w:rsid w:val="00AB5EB8"/>
    <w:rsid w:val="00AB7302"/>
    <w:rsid w:val="00AB7C1C"/>
    <w:rsid w:val="00AC0AAB"/>
    <w:rsid w:val="00AC0C52"/>
    <w:rsid w:val="00AC38DC"/>
    <w:rsid w:val="00AC7348"/>
    <w:rsid w:val="00AC7941"/>
    <w:rsid w:val="00AC7C37"/>
    <w:rsid w:val="00AD0716"/>
    <w:rsid w:val="00AD2847"/>
    <w:rsid w:val="00AD2C59"/>
    <w:rsid w:val="00AD3800"/>
    <w:rsid w:val="00AD61E1"/>
    <w:rsid w:val="00AE4F29"/>
    <w:rsid w:val="00AE561A"/>
    <w:rsid w:val="00AE6855"/>
    <w:rsid w:val="00AE745A"/>
    <w:rsid w:val="00AF1665"/>
    <w:rsid w:val="00AF2B8B"/>
    <w:rsid w:val="00AF3854"/>
    <w:rsid w:val="00AF55A2"/>
    <w:rsid w:val="00B01688"/>
    <w:rsid w:val="00B02D65"/>
    <w:rsid w:val="00B0594E"/>
    <w:rsid w:val="00B05DB9"/>
    <w:rsid w:val="00B0605B"/>
    <w:rsid w:val="00B0678A"/>
    <w:rsid w:val="00B07E5C"/>
    <w:rsid w:val="00B11A4C"/>
    <w:rsid w:val="00B12145"/>
    <w:rsid w:val="00B1475B"/>
    <w:rsid w:val="00B21379"/>
    <w:rsid w:val="00B21FD8"/>
    <w:rsid w:val="00B230BC"/>
    <w:rsid w:val="00B23F1F"/>
    <w:rsid w:val="00B271AF"/>
    <w:rsid w:val="00B27B92"/>
    <w:rsid w:val="00B30700"/>
    <w:rsid w:val="00B30D92"/>
    <w:rsid w:val="00B30F71"/>
    <w:rsid w:val="00B32C30"/>
    <w:rsid w:val="00B335D7"/>
    <w:rsid w:val="00B33EE5"/>
    <w:rsid w:val="00B37E52"/>
    <w:rsid w:val="00B40507"/>
    <w:rsid w:val="00B42375"/>
    <w:rsid w:val="00B44963"/>
    <w:rsid w:val="00B45079"/>
    <w:rsid w:val="00B466E8"/>
    <w:rsid w:val="00B50DBF"/>
    <w:rsid w:val="00B518B9"/>
    <w:rsid w:val="00B54B1F"/>
    <w:rsid w:val="00B554FC"/>
    <w:rsid w:val="00B56BCC"/>
    <w:rsid w:val="00B60893"/>
    <w:rsid w:val="00B6222D"/>
    <w:rsid w:val="00B6500C"/>
    <w:rsid w:val="00B66081"/>
    <w:rsid w:val="00B70906"/>
    <w:rsid w:val="00B72148"/>
    <w:rsid w:val="00B724EC"/>
    <w:rsid w:val="00B74C98"/>
    <w:rsid w:val="00B7651F"/>
    <w:rsid w:val="00B76CF8"/>
    <w:rsid w:val="00B80562"/>
    <w:rsid w:val="00B811F7"/>
    <w:rsid w:val="00B83BDB"/>
    <w:rsid w:val="00B84256"/>
    <w:rsid w:val="00B848BB"/>
    <w:rsid w:val="00B85691"/>
    <w:rsid w:val="00B86784"/>
    <w:rsid w:val="00B8712D"/>
    <w:rsid w:val="00B87BE4"/>
    <w:rsid w:val="00B87E79"/>
    <w:rsid w:val="00B907D1"/>
    <w:rsid w:val="00B90E9F"/>
    <w:rsid w:val="00B94F82"/>
    <w:rsid w:val="00B95C3E"/>
    <w:rsid w:val="00B95CCD"/>
    <w:rsid w:val="00B975E5"/>
    <w:rsid w:val="00B97EFC"/>
    <w:rsid w:val="00BA51C1"/>
    <w:rsid w:val="00BA564B"/>
    <w:rsid w:val="00BA5DC6"/>
    <w:rsid w:val="00BA6196"/>
    <w:rsid w:val="00BA77A6"/>
    <w:rsid w:val="00BA7C17"/>
    <w:rsid w:val="00BB084D"/>
    <w:rsid w:val="00BB12C5"/>
    <w:rsid w:val="00BB15BA"/>
    <w:rsid w:val="00BB1BF8"/>
    <w:rsid w:val="00BB1DD3"/>
    <w:rsid w:val="00BB2BD6"/>
    <w:rsid w:val="00BB2F02"/>
    <w:rsid w:val="00BB32DB"/>
    <w:rsid w:val="00BB560B"/>
    <w:rsid w:val="00BB59B8"/>
    <w:rsid w:val="00BB68D8"/>
    <w:rsid w:val="00BB6A2A"/>
    <w:rsid w:val="00BB6F5C"/>
    <w:rsid w:val="00BC0473"/>
    <w:rsid w:val="00BC1706"/>
    <w:rsid w:val="00BC1B5C"/>
    <w:rsid w:val="00BC3A91"/>
    <w:rsid w:val="00BC4103"/>
    <w:rsid w:val="00BC526B"/>
    <w:rsid w:val="00BC6D8C"/>
    <w:rsid w:val="00BC723F"/>
    <w:rsid w:val="00BC7FBF"/>
    <w:rsid w:val="00BD1CE9"/>
    <w:rsid w:val="00BD1D99"/>
    <w:rsid w:val="00BD1DE2"/>
    <w:rsid w:val="00BD242A"/>
    <w:rsid w:val="00BD24DB"/>
    <w:rsid w:val="00BD5310"/>
    <w:rsid w:val="00BD7683"/>
    <w:rsid w:val="00BD7D5F"/>
    <w:rsid w:val="00BE0C16"/>
    <w:rsid w:val="00BE105D"/>
    <w:rsid w:val="00BE1A28"/>
    <w:rsid w:val="00BE2B77"/>
    <w:rsid w:val="00BE3525"/>
    <w:rsid w:val="00BE4BFD"/>
    <w:rsid w:val="00BE63F8"/>
    <w:rsid w:val="00BE67A0"/>
    <w:rsid w:val="00BE7990"/>
    <w:rsid w:val="00BF011E"/>
    <w:rsid w:val="00BF0786"/>
    <w:rsid w:val="00BF2074"/>
    <w:rsid w:val="00BF20B6"/>
    <w:rsid w:val="00BF32B7"/>
    <w:rsid w:val="00BF35FD"/>
    <w:rsid w:val="00BF36DE"/>
    <w:rsid w:val="00BF3B3D"/>
    <w:rsid w:val="00BF66FB"/>
    <w:rsid w:val="00C011F2"/>
    <w:rsid w:val="00C01913"/>
    <w:rsid w:val="00C022E0"/>
    <w:rsid w:val="00C030A5"/>
    <w:rsid w:val="00C03916"/>
    <w:rsid w:val="00C03D57"/>
    <w:rsid w:val="00C0466E"/>
    <w:rsid w:val="00C04E4C"/>
    <w:rsid w:val="00C106F7"/>
    <w:rsid w:val="00C10C54"/>
    <w:rsid w:val="00C10EFC"/>
    <w:rsid w:val="00C11BE6"/>
    <w:rsid w:val="00C11C09"/>
    <w:rsid w:val="00C11ECE"/>
    <w:rsid w:val="00C12369"/>
    <w:rsid w:val="00C137D5"/>
    <w:rsid w:val="00C1438F"/>
    <w:rsid w:val="00C15C7C"/>
    <w:rsid w:val="00C16C31"/>
    <w:rsid w:val="00C177F2"/>
    <w:rsid w:val="00C21C75"/>
    <w:rsid w:val="00C25793"/>
    <w:rsid w:val="00C272D8"/>
    <w:rsid w:val="00C331FF"/>
    <w:rsid w:val="00C33776"/>
    <w:rsid w:val="00C34006"/>
    <w:rsid w:val="00C34A71"/>
    <w:rsid w:val="00C34E03"/>
    <w:rsid w:val="00C3573D"/>
    <w:rsid w:val="00C36B4C"/>
    <w:rsid w:val="00C37029"/>
    <w:rsid w:val="00C404C7"/>
    <w:rsid w:val="00C40853"/>
    <w:rsid w:val="00C426B1"/>
    <w:rsid w:val="00C43F42"/>
    <w:rsid w:val="00C447BC"/>
    <w:rsid w:val="00C44A3D"/>
    <w:rsid w:val="00C455F9"/>
    <w:rsid w:val="00C4640A"/>
    <w:rsid w:val="00C46AEF"/>
    <w:rsid w:val="00C47CC9"/>
    <w:rsid w:val="00C5100C"/>
    <w:rsid w:val="00C5397C"/>
    <w:rsid w:val="00C53C3F"/>
    <w:rsid w:val="00C53D65"/>
    <w:rsid w:val="00C547C0"/>
    <w:rsid w:val="00C55622"/>
    <w:rsid w:val="00C6055C"/>
    <w:rsid w:val="00C61D5F"/>
    <w:rsid w:val="00C64D42"/>
    <w:rsid w:val="00C65752"/>
    <w:rsid w:val="00C65952"/>
    <w:rsid w:val="00C65D85"/>
    <w:rsid w:val="00C66160"/>
    <w:rsid w:val="00C6639E"/>
    <w:rsid w:val="00C715CA"/>
    <w:rsid w:val="00C721AC"/>
    <w:rsid w:val="00C72488"/>
    <w:rsid w:val="00C730C8"/>
    <w:rsid w:val="00C73A2C"/>
    <w:rsid w:val="00C740EB"/>
    <w:rsid w:val="00C741F5"/>
    <w:rsid w:val="00C74709"/>
    <w:rsid w:val="00C7549D"/>
    <w:rsid w:val="00C762B3"/>
    <w:rsid w:val="00C8034C"/>
    <w:rsid w:val="00C82700"/>
    <w:rsid w:val="00C83030"/>
    <w:rsid w:val="00C83463"/>
    <w:rsid w:val="00C8750B"/>
    <w:rsid w:val="00C901B1"/>
    <w:rsid w:val="00C90D6A"/>
    <w:rsid w:val="00C90FFA"/>
    <w:rsid w:val="00C917F0"/>
    <w:rsid w:val="00C940A9"/>
    <w:rsid w:val="00C94E48"/>
    <w:rsid w:val="00C95380"/>
    <w:rsid w:val="00C9606B"/>
    <w:rsid w:val="00C9657A"/>
    <w:rsid w:val="00C9678C"/>
    <w:rsid w:val="00CA1686"/>
    <w:rsid w:val="00CA1A3F"/>
    <w:rsid w:val="00CA1E11"/>
    <w:rsid w:val="00CA20DB"/>
    <w:rsid w:val="00CA247E"/>
    <w:rsid w:val="00CA3866"/>
    <w:rsid w:val="00CA55C7"/>
    <w:rsid w:val="00CA5B99"/>
    <w:rsid w:val="00CA6D21"/>
    <w:rsid w:val="00CB0126"/>
    <w:rsid w:val="00CB0FBF"/>
    <w:rsid w:val="00CB2725"/>
    <w:rsid w:val="00CB3271"/>
    <w:rsid w:val="00CB3348"/>
    <w:rsid w:val="00CB4695"/>
    <w:rsid w:val="00CB4CD6"/>
    <w:rsid w:val="00CB5536"/>
    <w:rsid w:val="00CC0D3C"/>
    <w:rsid w:val="00CC3AC4"/>
    <w:rsid w:val="00CC3B1B"/>
    <w:rsid w:val="00CC72B6"/>
    <w:rsid w:val="00CD3808"/>
    <w:rsid w:val="00CD5868"/>
    <w:rsid w:val="00CD60AD"/>
    <w:rsid w:val="00CD6690"/>
    <w:rsid w:val="00CE0503"/>
    <w:rsid w:val="00CE28C0"/>
    <w:rsid w:val="00CE319F"/>
    <w:rsid w:val="00CE366D"/>
    <w:rsid w:val="00CE5B13"/>
    <w:rsid w:val="00CF046D"/>
    <w:rsid w:val="00CF1455"/>
    <w:rsid w:val="00CF1D94"/>
    <w:rsid w:val="00CF205B"/>
    <w:rsid w:val="00CF4910"/>
    <w:rsid w:val="00CF5708"/>
    <w:rsid w:val="00CF584F"/>
    <w:rsid w:val="00CF7836"/>
    <w:rsid w:val="00D01116"/>
    <w:rsid w:val="00D0218D"/>
    <w:rsid w:val="00D02D1D"/>
    <w:rsid w:val="00D02F50"/>
    <w:rsid w:val="00D037DC"/>
    <w:rsid w:val="00D03B5F"/>
    <w:rsid w:val="00D043AB"/>
    <w:rsid w:val="00D04D06"/>
    <w:rsid w:val="00D04E3A"/>
    <w:rsid w:val="00D07C61"/>
    <w:rsid w:val="00D10811"/>
    <w:rsid w:val="00D10E66"/>
    <w:rsid w:val="00D11B2D"/>
    <w:rsid w:val="00D138CE"/>
    <w:rsid w:val="00D13F9A"/>
    <w:rsid w:val="00D153A5"/>
    <w:rsid w:val="00D16695"/>
    <w:rsid w:val="00D172E0"/>
    <w:rsid w:val="00D21DB8"/>
    <w:rsid w:val="00D2268C"/>
    <w:rsid w:val="00D24A8B"/>
    <w:rsid w:val="00D25FB5"/>
    <w:rsid w:val="00D30C89"/>
    <w:rsid w:val="00D32C0A"/>
    <w:rsid w:val="00D342ED"/>
    <w:rsid w:val="00D34D19"/>
    <w:rsid w:val="00D35ED4"/>
    <w:rsid w:val="00D36A57"/>
    <w:rsid w:val="00D371D0"/>
    <w:rsid w:val="00D37E53"/>
    <w:rsid w:val="00D40F10"/>
    <w:rsid w:val="00D44172"/>
    <w:rsid w:val="00D44223"/>
    <w:rsid w:val="00D449AC"/>
    <w:rsid w:val="00D468D9"/>
    <w:rsid w:val="00D50DC6"/>
    <w:rsid w:val="00D5106E"/>
    <w:rsid w:val="00D5234C"/>
    <w:rsid w:val="00D54E20"/>
    <w:rsid w:val="00D55CC9"/>
    <w:rsid w:val="00D56720"/>
    <w:rsid w:val="00D607D2"/>
    <w:rsid w:val="00D611EB"/>
    <w:rsid w:val="00D61861"/>
    <w:rsid w:val="00D62DC1"/>
    <w:rsid w:val="00D6313C"/>
    <w:rsid w:val="00D6395C"/>
    <w:rsid w:val="00D64B3E"/>
    <w:rsid w:val="00D64DE7"/>
    <w:rsid w:val="00D71626"/>
    <w:rsid w:val="00D7278F"/>
    <w:rsid w:val="00D72B44"/>
    <w:rsid w:val="00D7371A"/>
    <w:rsid w:val="00D80655"/>
    <w:rsid w:val="00D83668"/>
    <w:rsid w:val="00D83A6B"/>
    <w:rsid w:val="00D84226"/>
    <w:rsid w:val="00D8469D"/>
    <w:rsid w:val="00D84B80"/>
    <w:rsid w:val="00D84F3A"/>
    <w:rsid w:val="00D84FF3"/>
    <w:rsid w:val="00D92859"/>
    <w:rsid w:val="00D93E4B"/>
    <w:rsid w:val="00D94C05"/>
    <w:rsid w:val="00D94DEF"/>
    <w:rsid w:val="00D954B5"/>
    <w:rsid w:val="00D962B0"/>
    <w:rsid w:val="00DA0DD3"/>
    <w:rsid w:val="00DA0E68"/>
    <w:rsid w:val="00DA12BA"/>
    <w:rsid w:val="00DA24FC"/>
    <w:rsid w:val="00DA2529"/>
    <w:rsid w:val="00DA2CCE"/>
    <w:rsid w:val="00DA40F7"/>
    <w:rsid w:val="00DA6D31"/>
    <w:rsid w:val="00DA7A3E"/>
    <w:rsid w:val="00DA7CFB"/>
    <w:rsid w:val="00DB002E"/>
    <w:rsid w:val="00DB130A"/>
    <w:rsid w:val="00DB2646"/>
    <w:rsid w:val="00DB2D62"/>
    <w:rsid w:val="00DB2E75"/>
    <w:rsid w:val="00DB2EBB"/>
    <w:rsid w:val="00DB31CA"/>
    <w:rsid w:val="00DB3B2F"/>
    <w:rsid w:val="00DB4946"/>
    <w:rsid w:val="00DC10A1"/>
    <w:rsid w:val="00DC575E"/>
    <w:rsid w:val="00DC5A76"/>
    <w:rsid w:val="00DC62E9"/>
    <w:rsid w:val="00DC655F"/>
    <w:rsid w:val="00DC690F"/>
    <w:rsid w:val="00DC6C29"/>
    <w:rsid w:val="00DC7537"/>
    <w:rsid w:val="00DC77E6"/>
    <w:rsid w:val="00DD0B59"/>
    <w:rsid w:val="00DD143A"/>
    <w:rsid w:val="00DD1915"/>
    <w:rsid w:val="00DD31B0"/>
    <w:rsid w:val="00DD33B1"/>
    <w:rsid w:val="00DD4E1B"/>
    <w:rsid w:val="00DD530C"/>
    <w:rsid w:val="00DD7EBD"/>
    <w:rsid w:val="00DE0700"/>
    <w:rsid w:val="00DE0C41"/>
    <w:rsid w:val="00DE2850"/>
    <w:rsid w:val="00DE45E5"/>
    <w:rsid w:val="00DE4CE8"/>
    <w:rsid w:val="00DE59C1"/>
    <w:rsid w:val="00DE5A0B"/>
    <w:rsid w:val="00DE61E3"/>
    <w:rsid w:val="00DE7357"/>
    <w:rsid w:val="00DE7C1C"/>
    <w:rsid w:val="00DE7E1F"/>
    <w:rsid w:val="00DF076C"/>
    <w:rsid w:val="00DF1397"/>
    <w:rsid w:val="00DF21CC"/>
    <w:rsid w:val="00DF266A"/>
    <w:rsid w:val="00DF2B9E"/>
    <w:rsid w:val="00DF4B82"/>
    <w:rsid w:val="00DF62B6"/>
    <w:rsid w:val="00DF75DF"/>
    <w:rsid w:val="00E01EB0"/>
    <w:rsid w:val="00E02B29"/>
    <w:rsid w:val="00E04E5D"/>
    <w:rsid w:val="00E05868"/>
    <w:rsid w:val="00E05A60"/>
    <w:rsid w:val="00E06EB0"/>
    <w:rsid w:val="00E071C3"/>
    <w:rsid w:val="00E07225"/>
    <w:rsid w:val="00E07C71"/>
    <w:rsid w:val="00E143CA"/>
    <w:rsid w:val="00E1508F"/>
    <w:rsid w:val="00E1521E"/>
    <w:rsid w:val="00E16371"/>
    <w:rsid w:val="00E20368"/>
    <w:rsid w:val="00E21D57"/>
    <w:rsid w:val="00E23356"/>
    <w:rsid w:val="00E23994"/>
    <w:rsid w:val="00E23D40"/>
    <w:rsid w:val="00E246E6"/>
    <w:rsid w:val="00E26105"/>
    <w:rsid w:val="00E26286"/>
    <w:rsid w:val="00E270D6"/>
    <w:rsid w:val="00E273D5"/>
    <w:rsid w:val="00E2756F"/>
    <w:rsid w:val="00E27B5B"/>
    <w:rsid w:val="00E304A9"/>
    <w:rsid w:val="00E31119"/>
    <w:rsid w:val="00E3129F"/>
    <w:rsid w:val="00E31CFB"/>
    <w:rsid w:val="00E3226B"/>
    <w:rsid w:val="00E32FA8"/>
    <w:rsid w:val="00E33E01"/>
    <w:rsid w:val="00E350FA"/>
    <w:rsid w:val="00E36D6A"/>
    <w:rsid w:val="00E37399"/>
    <w:rsid w:val="00E41170"/>
    <w:rsid w:val="00E4169A"/>
    <w:rsid w:val="00E45376"/>
    <w:rsid w:val="00E45662"/>
    <w:rsid w:val="00E47D7A"/>
    <w:rsid w:val="00E5060F"/>
    <w:rsid w:val="00E50F9A"/>
    <w:rsid w:val="00E52ECE"/>
    <w:rsid w:val="00E5409F"/>
    <w:rsid w:val="00E54C30"/>
    <w:rsid w:val="00E55387"/>
    <w:rsid w:val="00E56D09"/>
    <w:rsid w:val="00E6046A"/>
    <w:rsid w:val="00E64F89"/>
    <w:rsid w:val="00E655F5"/>
    <w:rsid w:val="00E65930"/>
    <w:rsid w:val="00E674CF"/>
    <w:rsid w:val="00E67E1E"/>
    <w:rsid w:val="00E717B3"/>
    <w:rsid w:val="00E723D8"/>
    <w:rsid w:val="00E7307B"/>
    <w:rsid w:val="00E74381"/>
    <w:rsid w:val="00E74A78"/>
    <w:rsid w:val="00E7505C"/>
    <w:rsid w:val="00E75DF0"/>
    <w:rsid w:val="00E76BD9"/>
    <w:rsid w:val="00E80B22"/>
    <w:rsid w:val="00E811A1"/>
    <w:rsid w:val="00E81771"/>
    <w:rsid w:val="00E81E1F"/>
    <w:rsid w:val="00E82844"/>
    <w:rsid w:val="00E8366E"/>
    <w:rsid w:val="00E85024"/>
    <w:rsid w:val="00E90566"/>
    <w:rsid w:val="00E90EE7"/>
    <w:rsid w:val="00EA0C46"/>
    <w:rsid w:val="00EA2E5E"/>
    <w:rsid w:val="00EA3103"/>
    <w:rsid w:val="00EA369A"/>
    <w:rsid w:val="00EB0AFA"/>
    <w:rsid w:val="00EB178B"/>
    <w:rsid w:val="00EB2603"/>
    <w:rsid w:val="00EB2FFC"/>
    <w:rsid w:val="00EB4EEF"/>
    <w:rsid w:val="00EB669F"/>
    <w:rsid w:val="00EB76AA"/>
    <w:rsid w:val="00EB7A86"/>
    <w:rsid w:val="00EC0C9A"/>
    <w:rsid w:val="00EC2938"/>
    <w:rsid w:val="00EC3AB2"/>
    <w:rsid w:val="00EC706A"/>
    <w:rsid w:val="00EC7CAF"/>
    <w:rsid w:val="00ED1AD1"/>
    <w:rsid w:val="00ED2C8D"/>
    <w:rsid w:val="00ED3C11"/>
    <w:rsid w:val="00ED3C64"/>
    <w:rsid w:val="00ED3CFE"/>
    <w:rsid w:val="00ED5096"/>
    <w:rsid w:val="00ED5A32"/>
    <w:rsid w:val="00ED7859"/>
    <w:rsid w:val="00EE0DC9"/>
    <w:rsid w:val="00EE17C9"/>
    <w:rsid w:val="00EE3C5D"/>
    <w:rsid w:val="00EE51FE"/>
    <w:rsid w:val="00EE6202"/>
    <w:rsid w:val="00EE63A9"/>
    <w:rsid w:val="00EE6488"/>
    <w:rsid w:val="00EE6985"/>
    <w:rsid w:val="00EE7693"/>
    <w:rsid w:val="00EE77ED"/>
    <w:rsid w:val="00EE7B40"/>
    <w:rsid w:val="00EF162C"/>
    <w:rsid w:val="00EF3058"/>
    <w:rsid w:val="00EF3F51"/>
    <w:rsid w:val="00EF3FBA"/>
    <w:rsid w:val="00EF5DA3"/>
    <w:rsid w:val="00EF5E7E"/>
    <w:rsid w:val="00EF7800"/>
    <w:rsid w:val="00EF786C"/>
    <w:rsid w:val="00EF7A13"/>
    <w:rsid w:val="00EF7D75"/>
    <w:rsid w:val="00F009DE"/>
    <w:rsid w:val="00F0100F"/>
    <w:rsid w:val="00F01E5B"/>
    <w:rsid w:val="00F021FA"/>
    <w:rsid w:val="00F025A2"/>
    <w:rsid w:val="00F03293"/>
    <w:rsid w:val="00F051DC"/>
    <w:rsid w:val="00F056C6"/>
    <w:rsid w:val="00F07FF1"/>
    <w:rsid w:val="00F106DB"/>
    <w:rsid w:val="00F132D1"/>
    <w:rsid w:val="00F13564"/>
    <w:rsid w:val="00F13A92"/>
    <w:rsid w:val="00F153DB"/>
    <w:rsid w:val="00F20D5F"/>
    <w:rsid w:val="00F20EF0"/>
    <w:rsid w:val="00F22CA1"/>
    <w:rsid w:val="00F23357"/>
    <w:rsid w:val="00F24264"/>
    <w:rsid w:val="00F2535D"/>
    <w:rsid w:val="00F257BC"/>
    <w:rsid w:val="00F3269D"/>
    <w:rsid w:val="00F33703"/>
    <w:rsid w:val="00F33B0B"/>
    <w:rsid w:val="00F33F71"/>
    <w:rsid w:val="00F347ED"/>
    <w:rsid w:val="00F3524B"/>
    <w:rsid w:val="00F36728"/>
    <w:rsid w:val="00F36EB7"/>
    <w:rsid w:val="00F40181"/>
    <w:rsid w:val="00F4018E"/>
    <w:rsid w:val="00F41C6C"/>
    <w:rsid w:val="00F43B78"/>
    <w:rsid w:val="00F45135"/>
    <w:rsid w:val="00F4553D"/>
    <w:rsid w:val="00F47205"/>
    <w:rsid w:val="00F47214"/>
    <w:rsid w:val="00F4733C"/>
    <w:rsid w:val="00F51860"/>
    <w:rsid w:val="00F52274"/>
    <w:rsid w:val="00F53494"/>
    <w:rsid w:val="00F547F2"/>
    <w:rsid w:val="00F56397"/>
    <w:rsid w:val="00F56AE5"/>
    <w:rsid w:val="00F57784"/>
    <w:rsid w:val="00F604D2"/>
    <w:rsid w:val="00F60887"/>
    <w:rsid w:val="00F62842"/>
    <w:rsid w:val="00F62E97"/>
    <w:rsid w:val="00F6388A"/>
    <w:rsid w:val="00F64209"/>
    <w:rsid w:val="00F72254"/>
    <w:rsid w:val="00F73CF8"/>
    <w:rsid w:val="00F75ADB"/>
    <w:rsid w:val="00F7610C"/>
    <w:rsid w:val="00F774F5"/>
    <w:rsid w:val="00F809DB"/>
    <w:rsid w:val="00F80A09"/>
    <w:rsid w:val="00F8195E"/>
    <w:rsid w:val="00F82667"/>
    <w:rsid w:val="00F82D4A"/>
    <w:rsid w:val="00F86D46"/>
    <w:rsid w:val="00F87B90"/>
    <w:rsid w:val="00F9083C"/>
    <w:rsid w:val="00F90C78"/>
    <w:rsid w:val="00F92732"/>
    <w:rsid w:val="00F92A89"/>
    <w:rsid w:val="00F93612"/>
    <w:rsid w:val="00F93BF5"/>
    <w:rsid w:val="00F9437E"/>
    <w:rsid w:val="00F9483A"/>
    <w:rsid w:val="00F95DCC"/>
    <w:rsid w:val="00F969BA"/>
    <w:rsid w:val="00F975E3"/>
    <w:rsid w:val="00FA02F5"/>
    <w:rsid w:val="00FA0658"/>
    <w:rsid w:val="00FA456C"/>
    <w:rsid w:val="00FA62AC"/>
    <w:rsid w:val="00FA6649"/>
    <w:rsid w:val="00FB2A87"/>
    <w:rsid w:val="00FB44EC"/>
    <w:rsid w:val="00FB53FB"/>
    <w:rsid w:val="00FB5AF9"/>
    <w:rsid w:val="00FB6925"/>
    <w:rsid w:val="00FC0F4C"/>
    <w:rsid w:val="00FC12F6"/>
    <w:rsid w:val="00FC4573"/>
    <w:rsid w:val="00FC7B61"/>
    <w:rsid w:val="00FC7E44"/>
    <w:rsid w:val="00FD151C"/>
    <w:rsid w:val="00FD1D4B"/>
    <w:rsid w:val="00FD4CBD"/>
    <w:rsid w:val="00FD4FEF"/>
    <w:rsid w:val="00FD6235"/>
    <w:rsid w:val="00FD6E1B"/>
    <w:rsid w:val="00FD6E91"/>
    <w:rsid w:val="00FE1258"/>
    <w:rsid w:val="00FE31AB"/>
    <w:rsid w:val="00FE396C"/>
    <w:rsid w:val="00FE4A50"/>
    <w:rsid w:val="00FE5D71"/>
    <w:rsid w:val="00FE67B9"/>
    <w:rsid w:val="00FE69B9"/>
    <w:rsid w:val="00FE7EB2"/>
    <w:rsid w:val="00FF270B"/>
    <w:rsid w:val="00FF2E4F"/>
    <w:rsid w:val="00FF3321"/>
    <w:rsid w:val="00FF36F3"/>
    <w:rsid w:val="00FF4E6B"/>
    <w:rsid w:val="00FF6FF4"/>
    <w:rsid w:val="00FF7DE3"/>
    <w:rsid w:val="0259908E"/>
    <w:rsid w:val="032CA2AD"/>
    <w:rsid w:val="04939253"/>
    <w:rsid w:val="072BB7FC"/>
    <w:rsid w:val="079217CE"/>
    <w:rsid w:val="0A3D5049"/>
    <w:rsid w:val="0B500C3B"/>
    <w:rsid w:val="0D784405"/>
    <w:rsid w:val="0DB0AC7F"/>
    <w:rsid w:val="115627A4"/>
    <w:rsid w:val="14F8777E"/>
    <w:rsid w:val="156A0982"/>
    <w:rsid w:val="158BAEAD"/>
    <w:rsid w:val="17665160"/>
    <w:rsid w:val="17679434"/>
    <w:rsid w:val="180BC601"/>
    <w:rsid w:val="18E91C2B"/>
    <w:rsid w:val="198B684C"/>
    <w:rsid w:val="19E45B03"/>
    <w:rsid w:val="1AE2C38E"/>
    <w:rsid w:val="1F741E43"/>
    <w:rsid w:val="225CF9F9"/>
    <w:rsid w:val="24213014"/>
    <w:rsid w:val="299AC767"/>
    <w:rsid w:val="2AA38215"/>
    <w:rsid w:val="2AB4A2EA"/>
    <w:rsid w:val="2C8F4F17"/>
    <w:rsid w:val="2CF32F05"/>
    <w:rsid w:val="2E15E528"/>
    <w:rsid w:val="2E7706D3"/>
    <w:rsid w:val="2EC5B65B"/>
    <w:rsid w:val="30E96398"/>
    <w:rsid w:val="365F8A25"/>
    <w:rsid w:val="3A04C1D1"/>
    <w:rsid w:val="3C3707A4"/>
    <w:rsid w:val="3EC934EB"/>
    <w:rsid w:val="3FED3EB5"/>
    <w:rsid w:val="41A5B80F"/>
    <w:rsid w:val="4B6A1A0E"/>
    <w:rsid w:val="4DBF5BDD"/>
    <w:rsid w:val="4F78F46F"/>
    <w:rsid w:val="529D2BAB"/>
    <w:rsid w:val="542C7926"/>
    <w:rsid w:val="5C4A41A1"/>
    <w:rsid w:val="620C5B19"/>
    <w:rsid w:val="6374536A"/>
    <w:rsid w:val="65C6711A"/>
    <w:rsid w:val="669A383F"/>
    <w:rsid w:val="66A748A1"/>
    <w:rsid w:val="66FDC4FE"/>
    <w:rsid w:val="67035A01"/>
    <w:rsid w:val="6A236220"/>
    <w:rsid w:val="6A9C8FB6"/>
    <w:rsid w:val="6B189C12"/>
    <w:rsid w:val="6C27A224"/>
    <w:rsid w:val="6ECBC751"/>
    <w:rsid w:val="70473EBE"/>
    <w:rsid w:val="70ED0446"/>
    <w:rsid w:val="7354DADB"/>
    <w:rsid w:val="73BC34A7"/>
    <w:rsid w:val="73F5F186"/>
    <w:rsid w:val="7400BD8A"/>
    <w:rsid w:val="7410DA95"/>
    <w:rsid w:val="752EBD40"/>
    <w:rsid w:val="7B175104"/>
    <w:rsid w:val="7ED70A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5:docId w15:val="{2ABDA8C7-103C-4022-AD71-04AC8AF3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26"/>
    <w:pPr>
      <w:widowControl w:val="0"/>
    </w:pPr>
    <w:rPr>
      <w:snapToGrid w:val="0"/>
      <w:kern w:val="28"/>
      <w:sz w:val="22"/>
    </w:rPr>
  </w:style>
  <w:style w:type="paragraph" w:styleId="Heading1">
    <w:name w:val="heading 1"/>
    <w:basedOn w:val="Normal"/>
    <w:next w:val="ParaNum"/>
    <w:link w:val="Heading1Char"/>
    <w:qFormat/>
    <w:rsid w:val="000F1A2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F1A26"/>
    <w:pPr>
      <w:keepNext/>
      <w:numPr>
        <w:ilvl w:val="1"/>
        <w:numId w:val="3"/>
      </w:numPr>
      <w:spacing w:after="120"/>
      <w:outlineLvl w:val="1"/>
    </w:pPr>
    <w:rPr>
      <w:b/>
    </w:rPr>
  </w:style>
  <w:style w:type="paragraph" w:styleId="Heading3">
    <w:name w:val="heading 3"/>
    <w:basedOn w:val="Normal"/>
    <w:next w:val="ParaNum"/>
    <w:link w:val="Heading3Char"/>
    <w:qFormat/>
    <w:rsid w:val="000F1A2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F1A2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0F1A26"/>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F1A2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F1A2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0F1A2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F1A2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1A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1A26"/>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2Char">
    <w:name w:val="Heading 2 Char"/>
    <w:basedOn w:val="DefaultParagraphFont"/>
    <w:link w:val="Heading2"/>
    <w:rPr>
      <w:b/>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paragraph" w:customStyle="1" w:styleId="ParaNum">
    <w:name w:val="ParaNum"/>
    <w:basedOn w:val="Normal"/>
    <w:link w:val="ParaNumChar"/>
    <w:rsid w:val="000F1A26"/>
    <w:pPr>
      <w:numPr>
        <w:numId w:val="2"/>
      </w:numPr>
      <w:tabs>
        <w:tab w:val="clear" w:pos="1080"/>
        <w:tab w:val="num" w:pos="1440"/>
      </w:tabs>
      <w:spacing w:after="120"/>
    </w:pPr>
  </w:style>
  <w:style w:type="paragraph" w:styleId="EndnoteText">
    <w:name w:val="endnote text"/>
    <w:basedOn w:val="Normal"/>
    <w:link w:val="EndnoteTextChar"/>
    <w:semiHidden/>
    <w:rsid w:val="000F1A26"/>
    <w:rPr>
      <w:sz w:val="20"/>
    </w:rPr>
  </w:style>
  <w:style w:type="character" w:customStyle="1" w:styleId="EndnoteTextChar">
    <w:name w:val="Endnote Text Char"/>
    <w:basedOn w:val="DefaultParagraphFont"/>
    <w:link w:val="EndnoteText"/>
    <w:semiHidden/>
    <w:rPr>
      <w:snapToGrid w:val="0"/>
      <w:kern w:val="28"/>
    </w:rPr>
  </w:style>
  <w:style w:type="character" w:styleId="EndnoteReference">
    <w:name w:val="endnote reference"/>
    <w:semiHidden/>
    <w:rsid w:val="000F1A26"/>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rsid w:val="000F1A26"/>
    <w:pPr>
      <w:spacing w:after="120"/>
    </w:pPr>
  </w:style>
  <w:style w:type="character" w:customStyle="1" w:styleId="FootnoteTextChar">
    <w:name w:val="Footnote Text Char"/>
    <w:aliases w:val="ALTS FOOTNOTE Char,Footnote Text Char Char1 Char Char,Footnote Text Char Char1 Char Char Char1 Char,Footnote Text Char1 Char Char,Footnote Text Char1 Char Char Char1 Char Char Char,Footnote Text Char1 Char1,f Char,fn Char1"/>
    <w:basedOn w:val="DefaultParagraphFont"/>
    <w:link w:val="FootnoteText"/>
    <w:locked/>
    <w:rsid w:val="00124768"/>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F1A26"/>
    <w:rPr>
      <w:rFonts w:ascii="Times New Roman" w:hAnsi="Times New Roman"/>
      <w:dstrike w:val="0"/>
      <w:color w:val="auto"/>
      <w:sz w:val="20"/>
      <w:vertAlign w:val="superscript"/>
    </w:rPr>
  </w:style>
  <w:style w:type="paragraph" w:styleId="TOC1">
    <w:name w:val="toc 1"/>
    <w:basedOn w:val="Normal"/>
    <w:next w:val="Normal"/>
    <w:semiHidden/>
    <w:rsid w:val="000F1A2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1A26"/>
    <w:pPr>
      <w:tabs>
        <w:tab w:val="left" w:pos="720"/>
        <w:tab w:val="right" w:leader="dot" w:pos="9360"/>
      </w:tabs>
      <w:suppressAutoHyphens/>
      <w:ind w:left="720" w:right="720" w:hanging="360"/>
    </w:pPr>
    <w:rPr>
      <w:noProof/>
    </w:rPr>
  </w:style>
  <w:style w:type="paragraph" w:styleId="TOC3">
    <w:name w:val="toc 3"/>
    <w:basedOn w:val="Normal"/>
    <w:next w:val="Normal"/>
    <w:semiHidden/>
    <w:rsid w:val="000F1A2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1A2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1A2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1A2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1A2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1A2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1A2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1A26"/>
    <w:pPr>
      <w:tabs>
        <w:tab w:val="right" w:pos="9360"/>
      </w:tabs>
      <w:suppressAutoHyphens/>
    </w:pPr>
  </w:style>
  <w:style w:type="character" w:customStyle="1" w:styleId="EquationCaption">
    <w:name w:val="_Equation Caption"/>
    <w:rsid w:val="000F1A26"/>
  </w:style>
  <w:style w:type="paragraph" w:styleId="Header">
    <w:name w:val="header"/>
    <w:basedOn w:val="Normal"/>
    <w:link w:val="HeaderChar"/>
    <w:autoRedefine/>
    <w:rsid w:val="000F1A26"/>
    <w:pPr>
      <w:tabs>
        <w:tab w:val="center" w:pos="4680"/>
        <w:tab w:val="right" w:pos="9360"/>
      </w:tabs>
    </w:pPr>
    <w:rPr>
      <w:b/>
    </w:rPr>
  </w:style>
  <w:style w:type="character" w:customStyle="1" w:styleId="HeaderChar">
    <w:name w:val="Header Char"/>
    <w:basedOn w:val="DefaultParagraphFont"/>
    <w:link w:val="Header"/>
    <w:rPr>
      <w:b/>
      <w:snapToGrid w:val="0"/>
      <w:kern w:val="28"/>
      <w:sz w:val="22"/>
    </w:rPr>
  </w:style>
  <w:style w:type="paragraph" w:styleId="Footer">
    <w:name w:val="footer"/>
    <w:basedOn w:val="Normal"/>
    <w:link w:val="FooterChar"/>
    <w:uiPriority w:val="99"/>
    <w:rsid w:val="000F1A26"/>
    <w:pPr>
      <w:tabs>
        <w:tab w:val="center" w:pos="4320"/>
        <w:tab w:val="right" w:pos="8640"/>
      </w:tabs>
    </w:pPr>
  </w:style>
  <w:style w:type="character" w:customStyle="1" w:styleId="FooterChar">
    <w:name w:val="Footer Char"/>
    <w:link w:val="Footer"/>
    <w:uiPriority w:val="99"/>
    <w:locked/>
    <w:rsid w:val="000F1A26"/>
    <w:rPr>
      <w:snapToGrid w:val="0"/>
      <w:kern w:val="28"/>
      <w:sz w:val="22"/>
    </w:rPr>
  </w:style>
  <w:style w:type="character" w:styleId="PageNumber">
    <w:name w:val="page number"/>
    <w:basedOn w:val="DefaultParagraphFont"/>
    <w:rsid w:val="000F1A26"/>
  </w:style>
  <w:style w:type="paragraph" w:styleId="BlockText">
    <w:name w:val="Block Text"/>
    <w:basedOn w:val="Normal"/>
    <w:rsid w:val="000F1A26"/>
    <w:pPr>
      <w:spacing w:after="240"/>
      <w:ind w:left="1440" w:right="1440"/>
    </w:pPr>
  </w:style>
  <w:style w:type="paragraph" w:customStyle="1" w:styleId="Paratitle">
    <w:name w:val="Para title"/>
    <w:basedOn w:val="Normal"/>
    <w:rsid w:val="000F1A26"/>
    <w:pPr>
      <w:tabs>
        <w:tab w:val="center" w:pos="9270"/>
      </w:tabs>
      <w:spacing w:after="240"/>
    </w:pPr>
    <w:rPr>
      <w:spacing w:val="-2"/>
    </w:rPr>
  </w:style>
  <w:style w:type="paragraph" w:customStyle="1" w:styleId="Bullet">
    <w:name w:val="Bullet"/>
    <w:basedOn w:val="Normal"/>
    <w:rsid w:val="000F1A26"/>
    <w:pPr>
      <w:tabs>
        <w:tab w:val="left" w:pos="2160"/>
      </w:tabs>
      <w:spacing w:after="220"/>
      <w:ind w:left="2160" w:hanging="720"/>
    </w:pPr>
  </w:style>
  <w:style w:type="paragraph" w:customStyle="1" w:styleId="TableFormat">
    <w:name w:val="TableFormat"/>
    <w:basedOn w:val="Bullet"/>
    <w:rsid w:val="000F1A26"/>
    <w:pPr>
      <w:tabs>
        <w:tab w:val="clear" w:pos="2160"/>
        <w:tab w:val="left" w:pos="5040"/>
      </w:tabs>
      <w:ind w:left="5040" w:hanging="3600"/>
    </w:pPr>
  </w:style>
  <w:style w:type="paragraph" w:customStyle="1" w:styleId="TOCTitle">
    <w:name w:val="TOC Title"/>
    <w:basedOn w:val="Normal"/>
    <w:rsid w:val="000F1A2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1A26"/>
    <w:pPr>
      <w:jc w:val="center"/>
    </w:pPr>
    <w:rPr>
      <w:rFonts w:ascii="Times New Roman Bold" w:hAnsi="Times New Roman Bold"/>
      <w:b/>
      <w:bCs/>
      <w:caps/>
      <w:szCs w:val="22"/>
    </w:rPr>
  </w:style>
  <w:style w:type="character" w:styleId="Hyperlink">
    <w:name w:val="Hyperlink"/>
    <w:rsid w:val="000F1A26"/>
    <w:rPr>
      <w:color w:val="0000FF"/>
      <w:u w:val="single"/>
    </w:rPr>
  </w:style>
  <w:style w:type="character" w:styleId="CommentReference">
    <w:name w:val="annotation reference"/>
    <w:basedOn w:val="DefaultParagraphFont"/>
    <w:rsid w:val="001C2CBA"/>
    <w:rPr>
      <w:sz w:val="16"/>
    </w:rPr>
  </w:style>
  <w:style w:type="paragraph" w:styleId="CommentText">
    <w:name w:val="annotation text"/>
    <w:basedOn w:val="Normal"/>
    <w:link w:val="CommentTextChar"/>
    <w:rsid w:val="001C2CBA"/>
    <w:rPr>
      <w:sz w:val="20"/>
    </w:rPr>
  </w:style>
  <w:style w:type="character" w:customStyle="1" w:styleId="CommentTextChar">
    <w:name w:val="Comment Text Char"/>
    <w:basedOn w:val="DefaultParagraphFont"/>
    <w:link w:val="CommentText"/>
    <w:locked/>
    <w:rsid w:val="001C2CBA"/>
    <w:rPr>
      <w:kern w:val="28"/>
    </w:rPr>
  </w:style>
  <w:style w:type="paragraph" w:styleId="CommentSubject">
    <w:name w:val="annotation subject"/>
    <w:basedOn w:val="CommentText"/>
    <w:next w:val="CommentText"/>
    <w:link w:val="CommentSubjectChar"/>
    <w:uiPriority w:val="99"/>
    <w:rsid w:val="001C2CBA"/>
    <w:rPr>
      <w:b/>
      <w:bCs/>
    </w:rPr>
  </w:style>
  <w:style w:type="character" w:customStyle="1" w:styleId="CommentSubjectChar">
    <w:name w:val="Comment Subject Char"/>
    <w:basedOn w:val="CommentTextChar"/>
    <w:link w:val="CommentSubject"/>
    <w:uiPriority w:val="99"/>
    <w:locked/>
    <w:rsid w:val="001C2CBA"/>
    <w:rPr>
      <w:b/>
      <w:kern w:val="28"/>
    </w:rPr>
  </w:style>
  <w:style w:type="paragraph" w:styleId="NormalWeb">
    <w:name w:val="Normal (Web)"/>
    <w:basedOn w:val="Normal"/>
    <w:uiPriority w:val="99"/>
    <w:unhideWhenUsed/>
    <w:rsid w:val="00AF2B8B"/>
    <w:pPr>
      <w:widowControl/>
      <w:spacing w:before="100" w:beforeAutospacing="1" w:after="100" w:afterAutospacing="1"/>
    </w:pPr>
    <w:rPr>
      <w:kern w:val="0"/>
      <w:sz w:val="24"/>
      <w:szCs w:val="24"/>
    </w:rPr>
  </w:style>
  <w:style w:type="paragraph" w:styleId="BalloonText">
    <w:name w:val="Balloon Text"/>
    <w:basedOn w:val="Normal"/>
    <w:link w:val="BalloonTextChar"/>
    <w:uiPriority w:val="99"/>
    <w:rsid w:val="00FC7E44"/>
    <w:rPr>
      <w:rFonts w:ascii="Segoe UI" w:hAnsi="Segoe UI" w:cs="Segoe UI"/>
      <w:sz w:val="18"/>
      <w:szCs w:val="18"/>
    </w:rPr>
  </w:style>
  <w:style w:type="character" w:customStyle="1" w:styleId="BalloonTextChar">
    <w:name w:val="Balloon Text Char"/>
    <w:basedOn w:val="DefaultParagraphFont"/>
    <w:link w:val="BalloonText"/>
    <w:uiPriority w:val="99"/>
    <w:locked/>
    <w:rsid w:val="00FC7E44"/>
    <w:rPr>
      <w:rFonts w:ascii="Segoe UI" w:hAnsi="Segoe UI"/>
      <w:kern w:val="28"/>
      <w:sz w:val="18"/>
    </w:rPr>
  </w:style>
  <w:style w:type="paragraph" w:styleId="Revision">
    <w:name w:val="Revision"/>
    <w:hidden/>
    <w:uiPriority w:val="99"/>
    <w:semiHidden/>
    <w:rsid w:val="00042550"/>
    <w:rPr>
      <w:kern w:val="28"/>
      <w:sz w:val="22"/>
    </w:rPr>
  </w:style>
  <w:style w:type="character" w:customStyle="1" w:styleId="UnresolvedMention">
    <w:name w:val="Unresolved Mention"/>
    <w:basedOn w:val="DefaultParagraphFont"/>
    <w:uiPriority w:val="99"/>
    <w:unhideWhenUsed/>
    <w:rsid w:val="00BB2BD6"/>
    <w:rPr>
      <w:rFonts w:cs="Times New Roman"/>
      <w:color w:val="605E5C"/>
      <w:shd w:val="clear" w:color="auto" w:fill="E1DFDD"/>
    </w:rPr>
  </w:style>
  <w:style w:type="character" w:customStyle="1" w:styleId="Mention">
    <w:name w:val="Mention"/>
    <w:basedOn w:val="DefaultParagraphFont"/>
    <w:uiPriority w:val="99"/>
    <w:unhideWhenUsed/>
    <w:rsid w:val="00BB2BD6"/>
    <w:rPr>
      <w:rFonts w:cs="Times New Roman"/>
      <w:color w:val="2B579A"/>
      <w:shd w:val="clear" w:color="auto" w:fill="E1DFDD"/>
    </w:rPr>
  </w:style>
  <w:style w:type="character" w:styleId="FollowedHyperlink">
    <w:name w:val="FollowedHyperlink"/>
    <w:basedOn w:val="DefaultParagraphFont"/>
    <w:rsid w:val="00F975E3"/>
    <w:rPr>
      <w:color w:val="954F72" w:themeColor="followedHyperlink"/>
      <w:u w:val="single"/>
    </w:rPr>
  </w:style>
  <w:style w:type="character" w:customStyle="1" w:styleId="ParaNumChar">
    <w:name w:val="ParaNum Char"/>
    <w:basedOn w:val="DefaultParagraphFont"/>
    <w:link w:val="ParaNum"/>
    <w:locked/>
    <w:rsid w:val="007A5E3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sites/default/files/usac-mou.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