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F02C3C" w:rsidP="00E75371" w14:paraId="2C33CF85" w14:textId="355EAA8E">
      <w:pPr>
        <w:ind w:left="7920"/>
        <w:jc w:val="right"/>
        <w:rPr>
          <w:b/>
          <w:sz w:val="24"/>
        </w:rPr>
      </w:pPr>
      <w:bookmarkStart w:id="0" w:name="_Hlk69893872"/>
      <w:r w:rsidRPr="00F02C3C">
        <w:rPr>
          <w:b/>
          <w:sz w:val="24"/>
        </w:rPr>
        <w:t>FCC 2</w:t>
      </w:r>
      <w:r w:rsidRPr="00F02C3C" w:rsidR="009C2C05">
        <w:rPr>
          <w:b/>
          <w:sz w:val="24"/>
        </w:rPr>
        <w:t>1</w:t>
      </w:r>
      <w:r w:rsidRPr="00F02C3C">
        <w:rPr>
          <w:b/>
          <w:sz w:val="24"/>
        </w:rPr>
        <w:t>-</w:t>
      </w:r>
      <w:r w:rsidRPr="00F02C3C" w:rsidR="00174102">
        <w:rPr>
          <w:b/>
          <w:sz w:val="24"/>
        </w:rPr>
        <w:t>43</w:t>
      </w:r>
    </w:p>
    <w:p w:rsidR="00013A8B" w:rsidRPr="00F02C3C" w:rsidP="00013A8B" w14:paraId="5AACF250" w14:textId="0367D918">
      <w:pPr>
        <w:spacing w:before="60"/>
        <w:jc w:val="right"/>
        <w:rPr>
          <w:b/>
          <w:sz w:val="24"/>
        </w:rPr>
      </w:pPr>
      <w:r w:rsidRPr="00F02C3C">
        <w:rPr>
          <w:b/>
          <w:sz w:val="24"/>
        </w:rPr>
        <w:t xml:space="preserve">Released: </w:t>
      </w:r>
      <w:r w:rsidRPr="00F02C3C" w:rsidR="003E3FD3">
        <w:rPr>
          <w:b/>
          <w:sz w:val="24"/>
        </w:rPr>
        <w:t>April 21, 2021</w:t>
      </w:r>
    </w:p>
    <w:p w:rsidR="00013A8B" w:rsidRPr="00F02C3C" w:rsidP="00013A8B" w14:paraId="37D8CE77" w14:textId="77777777">
      <w:pPr>
        <w:jc w:val="right"/>
        <w:rPr>
          <w:sz w:val="24"/>
        </w:rPr>
      </w:pPr>
    </w:p>
    <w:p w:rsidR="00C904BD" w:rsidRPr="00F02C3C" w:rsidP="00A15E4B" w14:paraId="1D314E98" w14:textId="0CA1D093">
      <w:pPr>
        <w:jc w:val="center"/>
        <w:outlineLvl w:val="0"/>
        <w:rPr>
          <w:b/>
          <w:szCs w:val="22"/>
        </w:rPr>
      </w:pPr>
      <w:bookmarkStart w:id="1" w:name="TOChere"/>
      <w:r w:rsidRPr="00F02C3C">
        <w:rPr>
          <w:b/>
          <w:szCs w:val="22"/>
        </w:rPr>
        <w:t xml:space="preserve">FCC ADOPTS </w:t>
      </w:r>
      <w:r w:rsidRPr="00F02C3C" w:rsidR="00D809E8">
        <w:rPr>
          <w:b/>
          <w:szCs w:val="22"/>
        </w:rPr>
        <w:t>10</w:t>
      </w:r>
      <w:r w:rsidRPr="00F02C3C" w:rsidR="00982078">
        <w:rPr>
          <w:b/>
          <w:szCs w:val="22"/>
        </w:rPr>
        <w:t>-</w:t>
      </w:r>
      <w:r w:rsidRPr="00F02C3C" w:rsidR="00F627E9">
        <w:rPr>
          <w:b/>
          <w:szCs w:val="22"/>
        </w:rPr>
        <w:t xml:space="preserve">APPLICATION </w:t>
      </w:r>
      <w:r w:rsidRPr="00F02C3C">
        <w:rPr>
          <w:b/>
          <w:szCs w:val="22"/>
        </w:rPr>
        <w:t>LIMIT FOR NCE FM NEW STATION</w:t>
      </w:r>
      <w:r w:rsidRPr="00F02C3C" w:rsidR="00D809E8">
        <w:rPr>
          <w:b/>
          <w:szCs w:val="22"/>
        </w:rPr>
        <w:t>S</w:t>
      </w:r>
      <w:r w:rsidRPr="00F02C3C">
        <w:rPr>
          <w:b/>
          <w:szCs w:val="22"/>
        </w:rPr>
        <w:t xml:space="preserve"> IN </w:t>
      </w:r>
      <w:r w:rsidRPr="00F02C3C" w:rsidR="0059418A">
        <w:rPr>
          <w:b/>
          <w:szCs w:val="22"/>
        </w:rPr>
        <w:t>UPCOMING 2021 FILING</w:t>
      </w:r>
      <w:r w:rsidRPr="00F02C3C">
        <w:rPr>
          <w:b/>
          <w:szCs w:val="22"/>
        </w:rPr>
        <w:t xml:space="preserve"> WINDOW</w:t>
      </w:r>
    </w:p>
    <w:p w:rsidR="00C904BD" w:rsidRPr="00F02C3C" w:rsidP="00A15E4B" w14:paraId="431C242D" w14:textId="77777777">
      <w:pPr>
        <w:jc w:val="center"/>
        <w:outlineLvl w:val="0"/>
        <w:rPr>
          <w:b/>
          <w:szCs w:val="22"/>
        </w:rPr>
      </w:pPr>
    </w:p>
    <w:p w:rsidR="00A15E4B" w:rsidRPr="00F02C3C" w:rsidP="00A15E4B" w14:paraId="24F3E651" w14:textId="7063D144">
      <w:pPr>
        <w:jc w:val="center"/>
        <w:outlineLvl w:val="0"/>
        <w:rPr>
          <w:szCs w:val="22"/>
        </w:rPr>
      </w:pPr>
      <w:r w:rsidRPr="00F02C3C">
        <w:rPr>
          <w:szCs w:val="22"/>
        </w:rPr>
        <w:t>MB Docket No. 20-</w:t>
      </w:r>
      <w:r w:rsidRPr="00F02C3C" w:rsidR="00F627E9">
        <w:rPr>
          <w:szCs w:val="22"/>
        </w:rPr>
        <w:t>343</w:t>
      </w:r>
    </w:p>
    <w:p w:rsidR="00E94064" w:rsidRPr="00F02C3C" w:rsidP="00457393" w14:paraId="40601417" w14:textId="137509AF">
      <w:pPr>
        <w:tabs>
          <w:tab w:val="left" w:pos="7770"/>
        </w:tabs>
        <w:outlineLvl w:val="0"/>
        <w:rPr>
          <w:szCs w:val="22"/>
        </w:rPr>
      </w:pPr>
      <w:r w:rsidRPr="00F02C3C">
        <w:rPr>
          <w:szCs w:val="22"/>
        </w:rPr>
        <w:tab/>
      </w:r>
    </w:p>
    <w:p w:rsidR="00E94064" w:rsidRPr="00F02C3C" w:rsidP="00E94064" w14:paraId="05960693" w14:textId="77777777">
      <w:pPr>
        <w:jc w:val="center"/>
        <w:outlineLvl w:val="0"/>
        <w:rPr>
          <w:szCs w:val="22"/>
        </w:rPr>
      </w:pPr>
    </w:p>
    <w:p w:rsidR="00E94064" w:rsidP="00E94064" w14:paraId="6786DBC3" w14:textId="76468EB0">
      <w:pPr>
        <w:pStyle w:val="Heading1"/>
        <w:rPr>
          <w:rFonts w:ascii="Times New Roman" w:hAnsi="Times New Roman"/>
          <w:szCs w:val="22"/>
        </w:rPr>
      </w:pPr>
      <w:r w:rsidRPr="00F02C3C">
        <w:rPr>
          <w:rFonts w:ascii="Times New Roman" w:hAnsi="Times New Roman"/>
          <w:szCs w:val="22"/>
        </w:rPr>
        <w:t>introduction</w:t>
      </w:r>
    </w:p>
    <w:p w:rsidR="00E94064" w:rsidRPr="001C52BD" w:rsidP="001C52BD" w14:paraId="09432186" w14:textId="05DB3339">
      <w:pPr>
        <w:pStyle w:val="ParaNum"/>
      </w:pPr>
      <w:r w:rsidRPr="00F02C3C">
        <w:t xml:space="preserve">The Commission recently </w:t>
      </w:r>
      <w:r w:rsidRPr="00F02C3C" w:rsidR="007B365C">
        <w:t>announced the intention</w:t>
      </w:r>
      <w:r w:rsidRPr="00F02C3C">
        <w:t xml:space="preserve"> to open a 2021 filing window for FM reserved band (channels 201 – 220) applications for new noncommercial educational (NCE) FM radio stations</w:t>
      </w:r>
      <w:r w:rsidRPr="00F02C3C" w:rsidR="007C7BE6">
        <w:t xml:space="preserve"> and sought</w:t>
      </w:r>
      <w:r w:rsidRPr="00F02C3C" w:rsidR="00DF728C">
        <w:t xml:space="preserve"> comment on a proposed limit of </w:t>
      </w:r>
      <w:r w:rsidRPr="00F02C3C" w:rsidR="001F421E">
        <w:t>10</w:t>
      </w:r>
      <w:r w:rsidRPr="00F02C3C" w:rsidR="00DF728C">
        <w:t xml:space="preserve"> applications filed by any party during the upcoming window.</w:t>
      </w:r>
      <w:r>
        <w:rPr>
          <w:rStyle w:val="FootnoteReference"/>
          <w:szCs w:val="22"/>
        </w:rPr>
        <w:footnoteReference w:id="3"/>
      </w:r>
      <w:r w:rsidRPr="00F02C3C" w:rsidR="00DF728C">
        <w:t xml:space="preserve">  For the reasons stated below, </w:t>
      </w:r>
      <w:r w:rsidRPr="00F02C3C" w:rsidR="007C7BE6">
        <w:t>we adopt</w:t>
      </w:r>
      <w:r w:rsidRPr="00F02C3C" w:rsidR="00DF728C">
        <w:t xml:space="preserve"> the proposed </w:t>
      </w:r>
      <w:r w:rsidRPr="00F02C3C" w:rsidR="00982078">
        <w:t>10</w:t>
      </w:r>
      <w:r w:rsidRPr="00F02C3C" w:rsidR="00DF728C">
        <w:t xml:space="preserve">-application </w:t>
      </w:r>
      <w:r w:rsidRPr="00F02C3C" w:rsidR="009F3346">
        <w:t>cap</w:t>
      </w:r>
      <w:r w:rsidRPr="00F02C3C" w:rsidR="00DF728C">
        <w:t xml:space="preserve"> on NCE FM new station applications.</w:t>
      </w:r>
      <w:r w:rsidRPr="00F02C3C">
        <w:t xml:space="preserve">   </w:t>
      </w:r>
    </w:p>
    <w:p w:rsidR="00E94064" w:rsidRPr="00F02C3C" w:rsidP="00E94064" w14:paraId="7B6C1FAA" w14:textId="0757C4E7">
      <w:pPr>
        <w:pStyle w:val="Heading1"/>
        <w:rPr>
          <w:rFonts w:ascii="Times New Roman" w:hAnsi="Times New Roman"/>
          <w:szCs w:val="22"/>
        </w:rPr>
      </w:pPr>
      <w:r w:rsidRPr="00F02C3C">
        <w:rPr>
          <w:rFonts w:ascii="Times New Roman" w:hAnsi="Times New Roman"/>
          <w:szCs w:val="22"/>
        </w:rPr>
        <w:t>Background</w:t>
      </w:r>
      <w:r w:rsidRPr="00F02C3C" w:rsidR="005A1E39">
        <w:rPr>
          <w:rFonts w:ascii="Times New Roman" w:hAnsi="Times New Roman"/>
          <w:szCs w:val="22"/>
        </w:rPr>
        <w:t xml:space="preserve"> and </w:t>
      </w:r>
      <w:r w:rsidRPr="00F02C3C" w:rsidR="00C96CBC">
        <w:rPr>
          <w:rFonts w:ascii="Times New Roman" w:hAnsi="Times New Roman"/>
          <w:szCs w:val="22"/>
        </w:rPr>
        <w:t xml:space="preserve">summary of </w:t>
      </w:r>
      <w:r w:rsidRPr="00F02C3C" w:rsidR="005A1E39">
        <w:rPr>
          <w:rFonts w:ascii="Times New Roman" w:hAnsi="Times New Roman"/>
          <w:szCs w:val="22"/>
        </w:rPr>
        <w:t>comments</w:t>
      </w:r>
    </w:p>
    <w:p w:rsidR="00E94064" w:rsidRPr="00F02C3C" w:rsidP="00E94064" w14:paraId="7E07BC82" w14:textId="43592F07">
      <w:pPr>
        <w:pStyle w:val="ParaNum"/>
        <w:rPr>
          <w:szCs w:val="22"/>
        </w:rPr>
      </w:pPr>
      <w:r w:rsidRPr="00F02C3C">
        <w:rPr>
          <w:szCs w:val="22"/>
        </w:rPr>
        <w:t xml:space="preserve">In 2007, before </w:t>
      </w:r>
      <w:r w:rsidRPr="00F02C3C" w:rsidR="00F820A2">
        <w:rPr>
          <w:szCs w:val="22"/>
        </w:rPr>
        <w:t xml:space="preserve">the </w:t>
      </w:r>
      <w:r w:rsidRPr="00F02C3C" w:rsidR="00C96CBC">
        <w:rPr>
          <w:szCs w:val="22"/>
        </w:rPr>
        <w:t>first NCE FM filing</w:t>
      </w:r>
      <w:r w:rsidRPr="00F02C3C">
        <w:rPr>
          <w:szCs w:val="22"/>
        </w:rPr>
        <w:t xml:space="preserve"> window opened, the Commission sought comment on an application cap</w:t>
      </w:r>
      <w:r>
        <w:rPr>
          <w:rStyle w:val="FootnoteReference"/>
          <w:szCs w:val="22"/>
        </w:rPr>
        <w:footnoteReference w:id="4"/>
      </w:r>
      <w:r w:rsidRPr="00F02C3C">
        <w:rPr>
          <w:szCs w:val="22"/>
        </w:rPr>
        <w:t xml:space="preserve"> and subsequently established a limit of </w:t>
      </w:r>
      <w:r w:rsidRPr="00F02C3C" w:rsidR="001F421E">
        <w:rPr>
          <w:szCs w:val="22"/>
        </w:rPr>
        <w:t>10</w:t>
      </w:r>
      <w:r w:rsidRPr="00F02C3C">
        <w:rPr>
          <w:szCs w:val="22"/>
        </w:rPr>
        <w:t xml:space="preserve"> NCE FM new station applications filed by any party during the October 2007 filing window.</w:t>
      </w:r>
      <w:r>
        <w:rPr>
          <w:rStyle w:val="FootnoteReference"/>
          <w:szCs w:val="22"/>
        </w:rPr>
        <w:footnoteReference w:id="5"/>
      </w:r>
      <w:r w:rsidRPr="00F02C3C">
        <w:rPr>
          <w:szCs w:val="22"/>
        </w:rPr>
        <w:t xml:space="preserve">  This application limit helped </w:t>
      </w:r>
      <w:r w:rsidRPr="00F02C3C" w:rsidR="009E2E65">
        <w:t>foster the goals of localism and diversity as reflected in the NCE FM point system, while also</w:t>
      </w:r>
      <w:r w:rsidRPr="00F02C3C" w:rsidR="009E2E65">
        <w:rPr>
          <w:szCs w:val="22"/>
        </w:rPr>
        <w:t xml:space="preserve"> </w:t>
      </w:r>
      <w:r w:rsidRPr="00F02C3C">
        <w:rPr>
          <w:szCs w:val="22"/>
        </w:rPr>
        <w:t>restrict</w:t>
      </w:r>
      <w:r w:rsidRPr="00F02C3C" w:rsidR="009E2E65">
        <w:rPr>
          <w:szCs w:val="22"/>
        </w:rPr>
        <w:t>ing</w:t>
      </w:r>
      <w:r w:rsidRPr="00F02C3C">
        <w:rPr>
          <w:szCs w:val="22"/>
        </w:rPr>
        <w:t xml:space="preserve"> the number of </w:t>
      </w:r>
      <w:r w:rsidRPr="00F02C3C" w:rsidR="009E2E65">
        <w:rPr>
          <w:szCs w:val="22"/>
        </w:rPr>
        <w:t xml:space="preserve">speculative or </w:t>
      </w:r>
      <w:r w:rsidRPr="00F02C3C">
        <w:rPr>
          <w:szCs w:val="22"/>
        </w:rPr>
        <w:t>mutually exclusive applications (including “daisy chains” of mutually exclusive applications)</w:t>
      </w:r>
      <w:r w:rsidRPr="00F02C3C" w:rsidR="009E2E65">
        <w:rPr>
          <w:szCs w:val="22"/>
        </w:rPr>
        <w:t>.</w:t>
      </w:r>
      <w:r>
        <w:rPr>
          <w:rStyle w:val="FootnoteReference"/>
          <w:szCs w:val="22"/>
        </w:rPr>
        <w:footnoteReference w:id="6"/>
      </w:r>
      <w:r w:rsidRPr="00F02C3C">
        <w:rPr>
          <w:szCs w:val="22"/>
        </w:rPr>
        <w:t xml:space="preserve"> </w:t>
      </w:r>
      <w:r w:rsidRPr="00F02C3C" w:rsidR="00C77F20">
        <w:rPr>
          <w:szCs w:val="22"/>
        </w:rPr>
        <w:t xml:space="preserve"> </w:t>
      </w:r>
      <w:r w:rsidRPr="00F02C3C" w:rsidR="009E2E65">
        <w:rPr>
          <w:szCs w:val="22"/>
        </w:rPr>
        <w:t>This, in turn,</w:t>
      </w:r>
      <w:r w:rsidRPr="00F02C3C">
        <w:rPr>
          <w:szCs w:val="22"/>
        </w:rPr>
        <w:t xml:space="preserve"> minimized the delay caused by processing complicated application chains.  The </w:t>
      </w:r>
      <w:r w:rsidRPr="00F02C3C" w:rsidR="001F421E">
        <w:rPr>
          <w:szCs w:val="22"/>
        </w:rPr>
        <w:t>10-</w:t>
      </w:r>
      <w:r w:rsidRPr="00F02C3C">
        <w:rPr>
          <w:szCs w:val="22"/>
        </w:rPr>
        <w:t xml:space="preserve">application cap </w:t>
      </w:r>
      <w:r w:rsidRPr="00F02C3C" w:rsidR="00422973">
        <w:rPr>
          <w:szCs w:val="22"/>
        </w:rPr>
        <w:t xml:space="preserve">also </w:t>
      </w:r>
      <w:r w:rsidRPr="00F02C3C">
        <w:rPr>
          <w:szCs w:val="22"/>
        </w:rPr>
        <w:t xml:space="preserve">allowed the Commission to expeditiously process and grant </w:t>
      </w:r>
      <w:r w:rsidRPr="00F02C3C">
        <w:rPr>
          <w:szCs w:val="22"/>
        </w:rPr>
        <w:t>thousands of applications to a wide range of local and diverse applicants,</w:t>
      </w:r>
      <w:r>
        <w:rPr>
          <w:rStyle w:val="FootnoteReference"/>
          <w:szCs w:val="22"/>
        </w:rPr>
        <w:footnoteReference w:id="7"/>
      </w:r>
      <w:r w:rsidRPr="00F02C3C">
        <w:rPr>
          <w:szCs w:val="22"/>
        </w:rPr>
        <w:t xml:space="preserve"> therefore promoting the rapid expansion of new NCE FM service throughout the country.</w:t>
      </w:r>
      <w:r>
        <w:rPr>
          <w:rStyle w:val="FootnoteReference"/>
          <w:szCs w:val="22"/>
        </w:rPr>
        <w:footnoteReference w:id="8"/>
      </w:r>
      <w:r w:rsidRPr="00F02C3C" w:rsidR="00C96CBC">
        <w:rPr>
          <w:szCs w:val="22"/>
        </w:rPr>
        <w:t xml:space="preserve">  In the recent </w:t>
      </w:r>
      <w:r w:rsidRPr="00F02C3C" w:rsidR="00F820A2">
        <w:rPr>
          <w:i/>
          <w:iCs/>
          <w:szCs w:val="22"/>
        </w:rPr>
        <w:t>Cap Comment Notice</w:t>
      </w:r>
      <w:r w:rsidRPr="00F02C3C" w:rsidR="00C96CBC">
        <w:rPr>
          <w:szCs w:val="22"/>
        </w:rPr>
        <w:t xml:space="preserve">, the Commission tentatively concluded that it should </w:t>
      </w:r>
      <w:r w:rsidRPr="00F02C3C" w:rsidR="00F820A2">
        <w:rPr>
          <w:szCs w:val="22"/>
        </w:rPr>
        <w:t xml:space="preserve">also </w:t>
      </w:r>
      <w:r w:rsidRPr="00F02C3C" w:rsidR="00C96CBC">
        <w:rPr>
          <w:szCs w:val="22"/>
        </w:rPr>
        <w:t xml:space="preserve">establish a </w:t>
      </w:r>
      <w:r w:rsidRPr="00F02C3C" w:rsidR="001F421E">
        <w:rPr>
          <w:szCs w:val="22"/>
        </w:rPr>
        <w:t>10</w:t>
      </w:r>
      <w:r w:rsidRPr="00F02C3C" w:rsidR="00C96CBC">
        <w:rPr>
          <w:szCs w:val="22"/>
        </w:rPr>
        <w:t xml:space="preserve">-application limit </w:t>
      </w:r>
      <w:r w:rsidRPr="00F02C3C" w:rsidR="00F820A2">
        <w:rPr>
          <w:szCs w:val="22"/>
        </w:rPr>
        <w:t>for</w:t>
      </w:r>
      <w:r w:rsidRPr="00F02C3C" w:rsidR="00C96CBC">
        <w:rPr>
          <w:szCs w:val="22"/>
        </w:rPr>
        <w:t xml:space="preserve"> the upcoming </w:t>
      </w:r>
      <w:r w:rsidRPr="00F02C3C" w:rsidR="003640CD">
        <w:rPr>
          <w:szCs w:val="22"/>
        </w:rPr>
        <w:t xml:space="preserve">2021 </w:t>
      </w:r>
      <w:r w:rsidRPr="00F02C3C" w:rsidR="00C96CBC">
        <w:rPr>
          <w:szCs w:val="22"/>
        </w:rPr>
        <w:t>NCE FM filing window</w:t>
      </w:r>
      <w:r w:rsidRPr="00F02C3C" w:rsidR="0081316C">
        <w:rPr>
          <w:szCs w:val="22"/>
        </w:rPr>
        <w:t>, finding that</w:t>
      </w:r>
      <w:r w:rsidRPr="00F02C3C" w:rsidR="009E2E65">
        <w:t xml:space="preserve"> the cap supports the goals of localism and diversity reflected in the NCE FM point system.  The Commission also found that</w:t>
      </w:r>
      <w:r w:rsidRPr="00F02C3C" w:rsidR="0081316C">
        <w:rPr>
          <w:szCs w:val="22"/>
        </w:rPr>
        <w:t xml:space="preserve"> it</w:t>
      </w:r>
      <w:r w:rsidRPr="00F02C3C" w:rsidR="00C96CBC">
        <w:t xml:space="preserve"> </w:t>
      </w:r>
      <w:r w:rsidRPr="00F02C3C" w:rsidR="004E73AA">
        <w:t>remains</w:t>
      </w:r>
      <w:r w:rsidRPr="00F02C3C" w:rsidR="00C96CBC">
        <w:t xml:space="preserve"> a reasonable limit to prevent mass filings by speculators and to permit the efficient and expeditious processing of window-filed applications</w:t>
      </w:r>
      <w:r w:rsidRPr="00F02C3C" w:rsidR="00350C74">
        <w:t>.</w:t>
      </w:r>
      <w:r>
        <w:rPr>
          <w:rStyle w:val="FootnoteReference"/>
        </w:rPr>
        <w:footnoteReference w:id="9"/>
      </w:r>
      <w:r w:rsidRPr="00F02C3C" w:rsidR="00C96CBC">
        <w:t xml:space="preserve"> </w:t>
      </w:r>
      <w:r w:rsidRPr="00F02C3C" w:rsidR="00C96CBC">
        <w:rPr>
          <w:szCs w:val="22"/>
        </w:rPr>
        <w:t xml:space="preserve"> </w:t>
      </w:r>
      <w:r w:rsidRPr="00F02C3C">
        <w:rPr>
          <w:szCs w:val="22"/>
        </w:rPr>
        <w:t xml:space="preserve">  </w:t>
      </w:r>
    </w:p>
    <w:p w:rsidR="004E73AA" w:rsidRPr="00F02C3C" w:rsidP="00E94064" w14:paraId="6BAA753B" w14:textId="02529D4A">
      <w:pPr>
        <w:pStyle w:val="ParaNum"/>
        <w:rPr>
          <w:szCs w:val="22"/>
        </w:rPr>
      </w:pPr>
      <w:r w:rsidRPr="00F02C3C">
        <w:rPr>
          <w:szCs w:val="22"/>
        </w:rPr>
        <w:t xml:space="preserve">In the </w:t>
      </w:r>
      <w:r w:rsidRPr="00F02C3C" w:rsidR="00F820A2">
        <w:rPr>
          <w:i/>
          <w:iCs/>
          <w:szCs w:val="22"/>
        </w:rPr>
        <w:t>Cap Comment Notice</w:t>
      </w:r>
      <w:r w:rsidRPr="00F02C3C" w:rsidR="00422973">
        <w:rPr>
          <w:szCs w:val="22"/>
        </w:rPr>
        <w:t>,</w:t>
      </w:r>
      <w:r w:rsidRPr="00F02C3C">
        <w:rPr>
          <w:szCs w:val="22"/>
        </w:rPr>
        <w:t xml:space="preserve"> the Commission sought comment </w:t>
      </w:r>
      <w:r w:rsidRPr="00F02C3C">
        <w:t xml:space="preserve">on whether </w:t>
      </w:r>
      <w:r w:rsidRPr="00F02C3C" w:rsidR="001F421E">
        <w:t>10</w:t>
      </w:r>
      <w:r w:rsidRPr="00F02C3C">
        <w:t xml:space="preserve"> applications is the appropriate limit to enable the efficient processing of applications and initiation of new NCE FM service, whether a different number would be more appropriate, or whether </w:t>
      </w:r>
      <w:r w:rsidRPr="00F02C3C" w:rsidR="00945DF5">
        <w:t>it</w:t>
      </w:r>
      <w:r w:rsidRPr="00F02C3C">
        <w:t xml:space="preserve"> should establish </w:t>
      </w:r>
      <w:r w:rsidRPr="00F02C3C" w:rsidR="00C74304">
        <w:t xml:space="preserve">any </w:t>
      </w:r>
      <w:r w:rsidRPr="00F02C3C">
        <w:t>limit at all.</w:t>
      </w:r>
      <w:r w:rsidRPr="00F02C3C" w:rsidR="00F820A2">
        <w:t xml:space="preserve">  </w:t>
      </w:r>
      <w:r w:rsidRPr="00F02C3C" w:rsidR="00945DF5">
        <w:t>Although t</w:t>
      </w:r>
      <w:r w:rsidRPr="00F02C3C" w:rsidR="00F820A2">
        <w:t xml:space="preserve">he commenters addressing the proposed cap </w:t>
      </w:r>
      <w:r w:rsidRPr="00F02C3C" w:rsidR="00945DF5">
        <w:t xml:space="preserve">agree that some limit </w:t>
      </w:r>
      <w:r w:rsidRPr="00F02C3C" w:rsidR="00D52257">
        <w:t>is</w:t>
      </w:r>
      <w:r w:rsidRPr="00F02C3C" w:rsidR="00945DF5">
        <w:t xml:space="preserve"> </w:t>
      </w:r>
      <w:r w:rsidRPr="00F02C3C" w:rsidR="00D52257">
        <w:t>advisable</w:t>
      </w:r>
      <w:r w:rsidRPr="00F02C3C" w:rsidR="00945DF5">
        <w:t xml:space="preserve">, they </w:t>
      </w:r>
      <w:r w:rsidRPr="00F02C3C" w:rsidR="00D52257">
        <w:t>are</w:t>
      </w:r>
      <w:r w:rsidRPr="00F02C3C" w:rsidR="00F820A2">
        <w:t xml:space="preserve"> not in agreement on what </w:t>
      </w:r>
      <w:r w:rsidRPr="00F02C3C" w:rsidR="00945DF5">
        <w:t xml:space="preserve">specific </w:t>
      </w:r>
      <w:r w:rsidRPr="00F02C3C" w:rsidR="00F820A2">
        <w:t xml:space="preserve">limit would be most </w:t>
      </w:r>
      <w:r w:rsidRPr="00F02C3C" w:rsidR="007D4557">
        <w:t xml:space="preserve">appropriate and </w:t>
      </w:r>
      <w:r w:rsidRPr="00F02C3C" w:rsidR="00F820A2">
        <w:t>beneficial.</w:t>
      </w:r>
      <w:r w:rsidRPr="00F02C3C" w:rsidR="007D4557">
        <w:t xml:space="preserve">  Specifically, while National Public Radio</w:t>
      </w:r>
      <w:r w:rsidRPr="00F02C3C" w:rsidR="00570ACF">
        <w:t>, Inc.</w:t>
      </w:r>
      <w:r w:rsidRPr="00F02C3C" w:rsidR="007D4557">
        <w:t xml:space="preserve"> (NPR) endorses the Commission’s proposed </w:t>
      </w:r>
      <w:r w:rsidRPr="00F02C3C" w:rsidR="001F421E">
        <w:t>10</w:t>
      </w:r>
      <w:r w:rsidRPr="00F02C3C" w:rsidR="007D4557">
        <w:t xml:space="preserve">-application cap, </w:t>
      </w:r>
      <w:r w:rsidRPr="00F02C3C" w:rsidR="00570ACF">
        <w:t xml:space="preserve">REC Networks (REC) </w:t>
      </w:r>
      <w:r w:rsidRPr="00F02C3C" w:rsidR="00074132">
        <w:t>proposes</w:t>
      </w:r>
      <w:r w:rsidRPr="00F02C3C" w:rsidR="00570ACF">
        <w:t xml:space="preserve"> a lower five-application limit</w:t>
      </w:r>
      <w:r w:rsidRPr="00F02C3C" w:rsidR="00945DF5">
        <w:t>,</w:t>
      </w:r>
      <w:r w:rsidRPr="00F02C3C" w:rsidR="00570ACF">
        <w:t xml:space="preserve"> and Educational Media Foundation (EMF) recommends allowing parties to file more than </w:t>
      </w:r>
      <w:r w:rsidRPr="00F02C3C" w:rsidR="001F421E">
        <w:t>10</w:t>
      </w:r>
      <w:r w:rsidRPr="00F02C3C" w:rsidR="00570ACF">
        <w:t xml:space="preserve"> applications if the additional applications are for areas outside the home counties of Nielsen Audio markets.</w:t>
      </w:r>
      <w:r>
        <w:rPr>
          <w:rStyle w:val="FootnoteReference"/>
        </w:rPr>
        <w:footnoteReference w:id="10"/>
      </w:r>
      <w:r w:rsidRPr="00F02C3C" w:rsidR="00570ACF">
        <w:t xml:space="preserve"> </w:t>
      </w:r>
    </w:p>
    <w:p w:rsidR="00BE22C3" w:rsidRPr="00F02C3C" w:rsidP="00F30CBA" w14:paraId="03915161" w14:textId="6FB79115">
      <w:pPr>
        <w:pStyle w:val="ParaNum"/>
        <w:widowControl/>
      </w:pPr>
      <w:r w:rsidRPr="00F02C3C">
        <w:t>REC argues that “due to the limited opportunities in this window,</w:t>
      </w:r>
      <w:r w:rsidRPr="00F02C3C" w:rsidR="00824A84">
        <w:t>”</w:t>
      </w:r>
      <w:r>
        <w:rPr>
          <w:rStyle w:val="FootnoteReference"/>
        </w:rPr>
        <w:footnoteReference w:id="11"/>
      </w:r>
      <w:r w:rsidRPr="00F02C3C">
        <w:t xml:space="preserve"> it is necessary to set a limit of five applications per organization.</w:t>
      </w:r>
      <w:r>
        <w:rPr>
          <w:rStyle w:val="FootnoteReference"/>
        </w:rPr>
        <w:footnoteReference w:id="12"/>
      </w:r>
      <w:r w:rsidRPr="00F02C3C">
        <w:t xml:space="preserve">  </w:t>
      </w:r>
      <w:r w:rsidRPr="00F02C3C" w:rsidR="00750740">
        <w:t>According to REC, s</w:t>
      </w:r>
      <w:r w:rsidRPr="00F02C3C" w:rsidR="00C74304">
        <w:t>uch a limit</w:t>
      </w:r>
      <w:r w:rsidRPr="00F02C3C" w:rsidR="00A97BBC">
        <w:t xml:space="preserve"> is beneficial because “it would be less attractive to national chain broadcasters and increase the opportunities for more local ownership through reducing the number of MX groups as well as </w:t>
      </w:r>
      <w:r w:rsidRPr="00F02C3C" w:rsidR="00B57C37">
        <w:t>t</w:t>
      </w:r>
      <w:r w:rsidRPr="00F02C3C" w:rsidR="00A97BBC">
        <w:t>he sizes of those groups.”</w:t>
      </w:r>
      <w:r>
        <w:rPr>
          <w:rStyle w:val="FootnoteReference"/>
        </w:rPr>
        <w:footnoteReference w:id="13"/>
      </w:r>
      <w:r w:rsidRPr="00F02C3C" w:rsidR="00A97BBC">
        <w:t xml:space="preserve">  According to REC, a smaller </w:t>
      </w:r>
      <w:r w:rsidRPr="00F02C3C" w:rsidR="00C24FDB">
        <w:t>number of applicants and MX groups “substantially reduces the burden on staff for processing applications and will bring us closer to the next LPFM filing window.”</w:t>
      </w:r>
      <w:r>
        <w:rPr>
          <w:rStyle w:val="FootnoteReference"/>
        </w:rPr>
        <w:footnoteReference w:id="14"/>
      </w:r>
      <w:r w:rsidRPr="00F02C3C" w:rsidR="00A97BBC">
        <w:t xml:space="preserve">  </w:t>
      </w:r>
      <w:r w:rsidRPr="00F02C3C" w:rsidR="004949FA">
        <w:t xml:space="preserve">Common Frequency </w:t>
      </w:r>
      <w:r w:rsidRPr="00F02C3C" w:rsidR="004949FA">
        <w:t>and t</w:t>
      </w:r>
      <w:r w:rsidRPr="00F02C3C">
        <w:t>hree individual commenters also advocate for a five-application limit</w:t>
      </w:r>
      <w:r w:rsidRPr="00F02C3C" w:rsidR="002B0463">
        <w:t>;</w:t>
      </w:r>
      <w:r>
        <w:rPr>
          <w:rStyle w:val="FootnoteReference"/>
        </w:rPr>
        <w:footnoteReference w:id="15"/>
      </w:r>
      <w:r w:rsidRPr="00F02C3C" w:rsidR="002B0463">
        <w:t xml:space="preserve"> EMF and NPR each oppose REC’s proposal.</w:t>
      </w:r>
      <w:r>
        <w:rPr>
          <w:rStyle w:val="FootnoteReference"/>
        </w:rPr>
        <w:footnoteReference w:id="16"/>
      </w:r>
    </w:p>
    <w:p w:rsidR="00A914CF" w:rsidRPr="00F02C3C" w:rsidP="004E73AA" w14:paraId="3E311162" w14:textId="3317545E">
      <w:pPr>
        <w:pStyle w:val="ParaNum"/>
      </w:pPr>
      <w:r w:rsidRPr="00F02C3C">
        <w:t>EMF</w:t>
      </w:r>
      <w:r w:rsidRPr="00F02C3C" w:rsidR="00D52257">
        <w:t xml:space="preserve"> </w:t>
      </w:r>
      <w:r w:rsidRPr="00F02C3C" w:rsidR="00CF3E16">
        <w:t xml:space="preserve">instead </w:t>
      </w:r>
      <w:r w:rsidRPr="00F02C3C" w:rsidR="00315A6E">
        <w:t xml:space="preserve">urges </w:t>
      </w:r>
      <w:r w:rsidRPr="00F02C3C" w:rsidR="00D52257">
        <w:t xml:space="preserve">the Commission </w:t>
      </w:r>
      <w:r w:rsidRPr="00F02C3C" w:rsidR="00315A6E">
        <w:t xml:space="preserve">to </w:t>
      </w:r>
      <w:r w:rsidRPr="00F02C3C" w:rsidR="00D52257">
        <w:t xml:space="preserve">adopt the following approach: (1) allow an applicant to designate </w:t>
      </w:r>
      <w:r w:rsidRPr="00F02C3C" w:rsidR="004B3702">
        <w:t>10</w:t>
      </w:r>
      <w:r w:rsidRPr="00F02C3C" w:rsidR="00D52257">
        <w:t xml:space="preserve"> applications that it </w:t>
      </w:r>
      <w:r w:rsidRPr="00F02C3C" w:rsidR="001049D9">
        <w:t xml:space="preserve">asks </w:t>
      </w:r>
      <w:r w:rsidRPr="00F02C3C" w:rsidR="00D52257">
        <w:t xml:space="preserve">the Commission consider as its “primary applications”; (2) allow additional </w:t>
      </w:r>
      <w:r w:rsidRPr="00F02C3C" w:rsidR="00F959C5">
        <w:t xml:space="preserve">“non-primary” </w:t>
      </w:r>
      <w:r w:rsidRPr="00F02C3C" w:rsidR="00D52257">
        <w:t xml:space="preserve">applications beyond the </w:t>
      </w:r>
      <w:r w:rsidRPr="00F02C3C" w:rsidR="004B3702">
        <w:t>10</w:t>
      </w:r>
      <w:r w:rsidRPr="00F02C3C" w:rsidR="00D52257">
        <w:t xml:space="preserve"> primary applications only if </w:t>
      </w:r>
      <w:r w:rsidRPr="00F02C3C" w:rsidR="00315A6E">
        <w:t>t</w:t>
      </w:r>
      <w:r w:rsidRPr="00F02C3C" w:rsidR="00D52257">
        <w:t>hose applications are for areas outside the home counties of Nielsen Audio markets; and (3) only dismiss non-primary applications out</w:t>
      </w:r>
      <w:r w:rsidRPr="00F02C3C" w:rsidR="00697E11">
        <w:t>side a rated Nielsen Audio market if those applications are MX and the MX cannot be cured by a technical amendment during the settlement period.</w:t>
      </w:r>
      <w:r>
        <w:rPr>
          <w:rStyle w:val="FootnoteReference"/>
        </w:rPr>
        <w:footnoteReference w:id="17"/>
      </w:r>
      <w:r w:rsidRPr="00F02C3C" w:rsidR="00623A38">
        <w:t xml:space="preserve">  </w:t>
      </w:r>
      <w:r w:rsidRPr="00F02C3C" w:rsidR="00D75BC8">
        <w:t xml:space="preserve">EMF </w:t>
      </w:r>
      <w:r w:rsidRPr="00F02C3C" w:rsidR="00D11840">
        <w:t>asserts</w:t>
      </w:r>
      <w:r w:rsidRPr="00F02C3C" w:rsidR="00D75BC8">
        <w:t xml:space="preserve"> that its approach will help </w:t>
      </w:r>
      <w:r w:rsidRPr="00F02C3C" w:rsidR="00315A6E">
        <w:t>t</w:t>
      </w:r>
      <w:r w:rsidRPr="00F02C3C" w:rsidR="00D75BC8">
        <w:t>he Commission’s stated desire to provide more broadcast program choices to residents of rural areas</w:t>
      </w:r>
      <w:r>
        <w:rPr>
          <w:rStyle w:val="FootnoteReference"/>
        </w:rPr>
        <w:footnoteReference w:id="18"/>
      </w:r>
      <w:r w:rsidRPr="00F02C3C" w:rsidR="00D75BC8">
        <w:t xml:space="preserve"> and has the added benefit of “allowing parties, like EMF, who have shown their interest in serving rural areas through </w:t>
      </w:r>
      <w:r w:rsidRPr="00F02C3C" w:rsidR="00315A6E">
        <w:t>t</w:t>
      </w:r>
      <w:r w:rsidRPr="00F02C3C" w:rsidR="00D75BC8">
        <w:t>he operations of FM translators to file to convert a translator to a full-power station.”</w:t>
      </w:r>
      <w:r>
        <w:rPr>
          <w:rStyle w:val="FootnoteReference"/>
        </w:rPr>
        <w:footnoteReference w:id="19"/>
      </w:r>
      <w:r w:rsidRPr="00F02C3C" w:rsidR="00D75BC8">
        <w:t xml:space="preserve"> </w:t>
      </w:r>
      <w:r w:rsidRPr="00F02C3C" w:rsidR="00502491">
        <w:t xml:space="preserve"> </w:t>
      </w:r>
      <w:r w:rsidRPr="00F02C3C" w:rsidR="00623A38">
        <w:t xml:space="preserve">According to EMF, a rigid </w:t>
      </w:r>
      <w:r w:rsidRPr="00F02C3C" w:rsidR="004B3702">
        <w:t>10</w:t>
      </w:r>
      <w:r w:rsidRPr="00F02C3C" w:rsidR="00623A38">
        <w:t>-application limit</w:t>
      </w:r>
      <w:r w:rsidRPr="00F02C3C" w:rsidR="00D75BC8">
        <w:t xml:space="preserve">, </w:t>
      </w:r>
      <w:r w:rsidRPr="00F02C3C" w:rsidR="00CF3E16">
        <w:t xml:space="preserve">in contrast, </w:t>
      </w:r>
      <w:r w:rsidRPr="00F02C3C" w:rsidR="00D75BC8">
        <w:t>has the disadvantages of hindering “the ability of EMF and other applicants to expand service to rural communities”</w:t>
      </w:r>
      <w:r>
        <w:rPr>
          <w:rStyle w:val="FootnoteReference"/>
        </w:rPr>
        <w:footnoteReference w:id="20"/>
      </w:r>
      <w:r w:rsidRPr="00F02C3C" w:rsidR="00D75BC8">
        <w:t xml:space="preserve"> </w:t>
      </w:r>
      <w:r w:rsidRPr="00F02C3C" w:rsidR="0031471C">
        <w:t>and causing applications to cluster in larger markets and rarely reach the more rural areas.</w:t>
      </w:r>
      <w:r>
        <w:rPr>
          <w:rStyle w:val="FootnoteReference"/>
        </w:rPr>
        <w:footnoteReference w:id="21"/>
      </w:r>
      <w:r w:rsidRPr="00F02C3C" w:rsidR="002B0463">
        <w:t xml:space="preserve">  REC, White, and NPR each oppose EMF’s </w:t>
      </w:r>
      <w:r w:rsidRPr="00F02C3C" w:rsidR="00B946EB">
        <w:t>proposal</w:t>
      </w:r>
      <w:r w:rsidRPr="00F02C3C" w:rsidR="002B0463">
        <w:t>.</w:t>
      </w:r>
      <w:r>
        <w:rPr>
          <w:rStyle w:val="FootnoteReference"/>
        </w:rPr>
        <w:footnoteReference w:id="22"/>
      </w:r>
      <w:r w:rsidRPr="00F02C3C" w:rsidR="00D231BA">
        <w:t xml:space="preserve"> </w:t>
      </w:r>
      <w:r w:rsidRPr="00F02C3C" w:rsidR="00697E11">
        <w:t xml:space="preserve"> </w:t>
      </w:r>
      <w:r w:rsidRPr="00F02C3C">
        <w:t xml:space="preserve"> </w:t>
      </w:r>
    </w:p>
    <w:p w:rsidR="00A914CF" w:rsidRPr="00F02C3C" w:rsidP="004E73AA" w14:paraId="69B0F305" w14:textId="210C6D52">
      <w:pPr>
        <w:pStyle w:val="ParaNum"/>
      </w:pPr>
      <w:r w:rsidRPr="00F02C3C">
        <w:t>NPR</w:t>
      </w:r>
      <w:r w:rsidRPr="00F02C3C" w:rsidR="00CF3E16">
        <w:t>, in contrast,</w:t>
      </w:r>
      <w:r w:rsidRPr="00F02C3C" w:rsidR="002B0463">
        <w:t xml:space="preserve"> </w:t>
      </w:r>
      <w:r w:rsidRPr="00F02C3C" w:rsidR="00CF3E16">
        <w:t>recommends that</w:t>
      </w:r>
      <w:r w:rsidRPr="00F02C3C" w:rsidR="00567562">
        <w:t xml:space="preserve"> the</w:t>
      </w:r>
      <w:r w:rsidRPr="00F02C3C">
        <w:t xml:space="preserve"> Commission</w:t>
      </w:r>
      <w:r w:rsidRPr="00F02C3C" w:rsidR="00567562">
        <w:t xml:space="preserve"> adopt </w:t>
      </w:r>
      <w:r w:rsidRPr="00F02C3C" w:rsidR="00315A6E">
        <w:t>the</w:t>
      </w:r>
      <w:r w:rsidRPr="00F02C3C">
        <w:t xml:space="preserve"> proposed </w:t>
      </w:r>
      <w:r w:rsidRPr="00F02C3C" w:rsidR="004B3702">
        <w:t>10</w:t>
      </w:r>
      <w:r w:rsidRPr="00F02C3C">
        <w:t xml:space="preserve">-application cap, which it </w:t>
      </w:r>
      <w:r w:rsidRPr="00F02C3C" w:rsidR="00D11840">
        <w:t>contends</w:t>
      </w:r>
      <w:r w:rsidRPr="00F02C3C">
        <w:t xml:space="preserve"> </w:t>
      </w:r>
      <w:r w:rsidRPr="00F02C3C" w:rsidR="00567562">
        <w:t>will “provide a meaningful opportunity for new NCE service, while deterring speculation and facilitatin</w:t>
      </w:r>
      <w:r w:rsidRPr="00F02C3C" w:rsidR="00315A6E">
        <w:t>g</w:t>
      </w:r>
      <w:r w:rsidRPr="00F02C3C" w:rsidR="00567562">
        <w:t xml:space="preserve"> the expeditious processing of applications.”</w:t>
      </w:r>
      <w:r>
        <w:rPr>
          <w:rStyle w:val="FootnoteReference"/>
        </w:rPr>
        <w:footnoteReference w:id="23"/>
      </w:r>
      <w:r w:rsidRPr="00F02C3C" w:rsidR="00567562">
        <w:t xml:space="preserve">  According to NPR, the “proposals to reduce or increase </w:t>
      </w:r>
      <w:r w:rsidRPr="00F02C3C" w:rsidR="00DE3146">
        <w:t>t</w:t>
      </w:r>
      <w:r w:rsidRPr="00F02C3C" w:rsidR="00567562">
        <w:t>he application limit fail to offer a demonstrably better balancing of the relevant objectives and should be rejected.”</w:t>
      </w:r>
      <w:r>
        <w:rPr>
          <w:rStyle w:val="FootnoteReference"/>
        </w:rPr>
        <w:footnoteReference w:id="24"/>
      </w:r>
    </w:p>
    <w:p w:rsidR="00E94064" w:rsidRPr="00F02C3C" w:rsidP="00E94064" w14:paraId="09D7BBE5" w14:textId="77777777">
      <w:pPr>
        <w:pStyle w:val="Heading1"/>
        <w:rPr>
          <w:rFonts w:ascii="Times New Roman" w:hAnsi="Times New Roman"/>
          <w:szCs w:val="22"/>
        </w:rPr>
      </w:pPr>
      <w:r w:rsidRPr="00F02C3C">
        <w:rPr>
          <w:rFonts w:ascii="Times New Roman" w:hAnsi="Times New Roman"/>
          <w:szCs w:val="22"/>
        </w:rPr>
        <w:t xml:space="preserve">Discussion </w:t>
      </w:r>
    </w:p>
    <w:p w:rsidR="004532C2" w:rsidRPr="00F02C3C" w:rsidP="00636EE5" w14:paraId="0706FEDC" w14:textId="56EFC001">
      <w:pPr>
        <w:pStyle w:val="ParaNum"/>
        <w:widowControl/>
        <w:rPr>
          <w:szCs w:val="22"/>
        </w:rPr>
      </w:pPr>
      <w:r w:rsidRPr="00F02C3C">
        <w:rPr>
          <w:szCs w:val="22"/>
        </w:rPr>
        <w:t xml:space="preserve">We </w:t>
      </w:r>
      <w:r w:rsidRPr="00F02C3C" w:rsidR="00CD26CA">
        <w:rPr>
          <w:szCs w:val="22"/>
        </w:rPr>
        <w:t xml:space="preserve">adopt </w:t>
      </w:r>
      <w:r w:rsidRPr="00F02C3C" w:rsidR="00AD7E00">
        <w:rPr>
          <w:szCs w:val="22"/>
        </w:rPr>
        <w:t>the</w:t>
      </w:r>
      <w:r w:rsidRPr="00F02C3C" w:rsidR="00CD26CA">
        <w:rPr>
          <w:szCs w:val="22"/>
        </w:rPr>
        <w:t xml:space="preserve"> proposal from the </w:t>
      </w:r>
      <w:r w:rsidRPr="00F02C3C" w:rsidR="00CD26CA">
        <w:rPr>
          <w:i/>
          <w:iCs/>
          <w:szCs w:val="22"/>
        </w:rPr>
        <w:t xml:space="preserve">Cap Comment Notice </w:t>
      </w:r>
      <w:r w:rsidRPr="00F02C3C" w:rsidR="00CD26CA">
        <w:rPr>
          <w:szCs w:val="22"/>
        </w:rPr>
        <w:t xml:space="preserve">to </w:t>
      </w:r>
      <w:r w:rsidRPr="00F02C3C" w:rsidR="00B702A7">
        <w:rPr>
          <w:szCs w:val="22"/>
        </w:rPr>
        <w:t xml:space="preserve">establish a </w:t>
      </w:r>
      <w:r w:rsidRPr="00F02C3C" w:rsidR="005B09E0">
        <w:rPr>
          <w:szCs w:val="22"/>
        </w:rPr>
        <w:t xml:space="preserve">limit of </w:t>
      </w:r>
      <w:r w:rsidRPr="00F02C3C" w:rsidR="004B3702">
        <w:rPr>
          <w:szCs w:val="22"/>
        </w:rPr>
        <w:t>10</w:t>
      </w:r>
      <w:r w:rsidRPr="00F02C3C" w:rsidR="005B09E0">
        <w:rPr>
          <w:szCs w:val="22"/>
        </w:rPr>
        <w:t xml:space="preserve"> NCE FM new station applications filed by any party during the upcoming filing window.  </w:t>
      </w:r>
      <w:r w:rsidRPr="00F02C3C" w:rsidR="00EA10C1">
        <w:rPr>
          <w:szCs w:val="22"/>
        </w:rPr>
        <w:t>We</w:t>
      </w:r>
      <w:r w:rsidRPr="00F02C3C" w:rsidR="00B24028">
        <w:rPr>
          <w:szCs w:val="22"/>
        </w:rPr>
        <w:t xml:space="preserve"> find</w:t>
      </w:r>
      <w:r w:rsidRPr="00F02C3C">
        <w:rPr>
          <w:szCs w:val="22"/>
        </w:rPr>
        <w:t xml:space="preserve"> </w:t>
      </w:r>
      <w:r w:rsidRPr="00F02C3C" w:rsidR="00CD26CA">
        <w:rPr>
          <w:szCs w:val="22"/>
        </w:rPr>
        <w:t xml:space="preserve">a </w:t>
      </w:r>
      <w:r w:rsidRPr="00F02C3C" w:rsidR="004B3702">
        <w:rPr>
          <w:szCs w:val="22"/>
        </w:rPr>
        <w:t>10</w:t>
      </w:r>
      <w:r w:rsidRPr="00F02C3C" w:rsidR="00CD26CA">
        <w:rPr>
          <w:szCs w:val="22"/>
        </w:rPr>
        <w:t xml:space="preserve">-application cap </w:t>
      </w:r>
      <w:r w:rsidRPr="00F02C3C">
        <w:rPr>
          <w:szCs w:val="22"/>
        </w:rPr>
        <w:t>w</w:t>
      </w:r>
      <w:r w:rsidRPr="00F02C3C">
        <w:rPr>
          <w:szCs w:val="22"/>
        </w:rPr>
        <w:t>ill best</w:t>
      </w:r>
      <w:r w:rsidRPr="00F02C3C">
        <w:rPr>
          <w:szCs w:val="22"/>
        </w:rPr>
        <w:t xml:space="preserve"> deter speculative filings, permit the expeditious processing of the applications filed in the window, and provide interested parties with a meaningful opportunity to file for and obtain new NCE FM station license</w:t>
      </w:r>
      <w:r w:rsidRPr="00F02C3C" w:rsidR="00AD7E00">
        <w:rPr>
          <w:szCs w:val="22"/>
        </w:rPr>
        <w:t>s</w:t>
      </w:r>
      <w:r w:rsidRPr="00F02C3C">
        <w:rPr>
          <w:szCs w:val="22"/>
        </w:rPr>
        <w:t>.</w:t>
      </w:r>
      <w:r w:rsidRPr="00F02C3C" w:rsidR="00ED6EE9">
        <w:rPr>
          <w:szCs w:val="22"/>
        </w:rPr>
        <w:t xml:space="preserve">  We agree with NPR that the alternative REC and EMF proposals “fail to offer a demonstrably better balancing of the relevant objectives.”</w:t>
      </w:r>
      <w:r>
        <w:rPr>
          <w:rStyle w:val="FootnoteReference"/>
          <w:szCs w:val="22"/>
        </w:rPr>
        <w:footnoteReference w:id="25"/>
      </w:r>
    </w:p>
    <w:p w:rsidR="00B1500D" w:rsidRPr="00F02C3C" w:rsidP="00DC7A12" w14:paraId="73C5885A" w14:textId="206E671F">
      <w:pPr>
        <w:pStyle w:val="ParaNum"/>
        <w:widowControl/>
      </w:pPr>
      <w:r w:rsidRPr="00F02C3C">
        <w:rPr>
          <w:szCs w:val="22"/>
        </w:rPr>
        <w:t>W</w:t>
      </w:r>
      <w:r w:rsidRPr="00F02C3C" w:rsidR="0025450F">
        <w:rPr>
          <w:szCs w:val="22"/>
        </w:rPr>
        <w:t>e</w:t>
      </w:r>
      <w:r w:rsidRPr="00F02C3C" w:rsidR="00595C9E">
        <w:rPr>
          <w:szCs w:val="22"/>
        </w:rPr>
        <w:t xml:space="preserve"> </w:t>
      </w:r>
      <w:r w:rsidRPr="00F02C3C" w:rsidR="00407688">
        <w:rPr>
          <w:szCs w:val="22"/>
        </w:rPr>
        <w:t>acknowledge</w:t>
      </w:r>
      <w:r w:rsidRPr="00F02C3C" w:rsidR="00407688">
        <w:rPr>
          <w:szCs w:val="22"/>
        </w:rPr>
        <w:t xml:space="preserve"> </w:t>
      </w:r>
      <w:r w:rsidRPr="00F02C3C" w:rsidR="0025450F">
        <w:rPr>
          <w:szCs w:val="22"/>
        </w:rPr>
        <w:t xml:space="preserve">that </w:t>
      </w:r>
      <w:r w:rsidRPr="00F02C3C" w:rsidR="00595C9E">
        <w:rPr>
          <w:szCs w:val="22"/>
        </w:rPr>
        <w:t xml:space="preserve">REC’s proposed five-application cap </w:t>
      </w:r>
      <w:r w:rsidRPr="00F02C3C" w:rsidR="00407688">
        <w:rPr>
          <w:szCs w:val="22"/>
        </w:rPr>
        <w:t>c</w:t>
      </w:r>
      <w:r w:rsidRPr="00F02C3C" w:rsidR="0025450F">
        <w:rPr>
          <w:szCs w:val="22"/>
        </w:rPr>
        <w:t xml:space="preserve">ould </w:t>
      </w:r>
      <w:r w:rsidRPr="00F02C3C" w:rsidR="006A3A63">
        <w:rPr>
          <w:szCs w:val="22"/>
        </w:rPr>
        <w:t>theoretically curb</w:t>
      </w:r>
      <w:r w:rsidRPr="00F02C3C" w:rsidR="006A3A63">
        <w:rPr>
          <w:szCs w:val="22"/>
        </w:rPr>
        <w:t xml:space="preserve"> </w:t>
      </w:r>
      <w:r w:rsidRPr="00F02C3C" w:rsidR="0025450F">
        <w:rPr>
          <w:szCs w:val="22"/>
        </w:rPr>
        <w:t xml:space="preserve">the number of MX applications, and therefore, </w:t>
      </w:r>
      <w:r w:rsidRPr="00F02C3C" w:rsidR="00407688">
        <w:rPr>
          <w:szCs w:val="22"/>
        </w:rPr>
        <w:t xml:space="preserve">have the benefit of </w:t>
      </w:r>
      <w:r w:rsidRPr="00F02C3C" w:rsidR="0025450F">
        <w:rPr>
          <w:szCs w:val="22"/>
        </w:rPr>
        <w:t>simplify</w:t>
      </w:r>
      <w:r w:rsidRPr="00F02C3C" w:rsidR="00407688">
        <w:rPr>
          <w:szCs w:val="22"/>
        </w:rPr>
        <w:t>ing</w:t>
      </w:r>
      <w:r w:rsidRPr="00F02C3C" w:rsidR="0025450F">
        <w:rPr>
          <w:szCs w:val="22"/>
        </w:rPr>
        <w:t xml:space="preserve"> and expedit</w:t>
      </w:r>
      <w:r w:rsidRPr="00F02C3C" w:rsidR="00407688">
        <w:rPr>
          <w:szCs w:val="22"/>
        </w:rPr>
        <w:t>ing</w:t>
      </w:r>
      <w:r w:rsidRPr="00F02C3C" w:rsidR="0025450F">
        <w:rPr>
          <w:szCs w:val="22"/>
        </w:rPr>
        <w:t xml:space="preserve"> the processing of applications</w:t>
      </w:r>
      <w:r w:rsidRPr="00F02C3C">
        <w:rPr>
          <w:szCs w:val="22"/>
        </w:rPr>
        <w:t>.</w:t>
      </w:r>
      <w:r>
        <w:rPr>
          <w:rStyle w:val="FootnoteReference"/>
          <w:szCs w:val="22"/>
        </w:rPr>
        <w:footnoteReference w:id="26"/>
      </w:r>
      <w:r w:rsidRPr="00F02C3C">
        <w:rPr>
          <w:szCs w:val="22"/>
        </w:rPr>
        <w:t xml:space="preserve"> </w:t>
      </w:r>
      <w:r w:rsidRPr="00F02C3C" w:rsidR="00CF3E16">
        <w:rPr>
          <w:szCs w:val="22"/>
        </w:rPr>
        <w:t xml:space="preserve"> </w:t>
      </w:r>
      <w:r w:rsidRPr="00F02C3C">
        <w:rPr>
          <w:szCs w:val="22"/>
        </w:rPr>
        <w:t xml:space="preserve">We find, however, that this benefit is outweighed by the </w:t>
      </w:r>
      <w:r w:rsidRPr="00F02C3C" w:rsidR="006C5F3A">
        <w:rPr>
          <w:szCs w:val="22"/>
        </w:rPr>
        <w:t>fact that a five-application limit will also</w:t>
      </w:r>
      <w:r w:rsidRPr="00F02C3C">
        <w:rPr>
          <w:szCs w:val="22"/>
        </w:rPr>
        <w:t xml:space="preserve"> curtail</w:t>
      </w:r>
      <w:r w:rsidRPr="00F02C3C" w:rsidR="006C5F3A">
        <w:rPr>
          <w:szCs w:val="22"/>
        </w:rPr>
        <w:t xml:space="preserve"> </w:t>
      </w:r>
      <w:r w:rsidRPr="00F02C3C">
        <w:rPr>
          <w:szCs w:val="22"/>
        </w:rPr>
        <w:t>the expansion of new NCE FM service</w:t>
      </w:r>
      <w:r w:rsidRPr="00F02C3C" w:rsidR="006C5F3A">
        <w:rPr>
          <w:szCs w:val="22"/>
        </w:rPr>
        <w:t>, and therefore, disserve the public interest.</w:t>
      </w:r>
      <w:r>
        <w:rPr>
          <w:rStyle w:val="FootnoteReference"/>
          <w:szCs w:val="22"/>
        </w:rPr>
        <w:footnoteReference w:id="27"/>
      </w:r>
      <w:r w:rsidRPr="00F02C3C">
        <w:rPr>
          <w:szCs w:val="22"/>
        </w:rPr>
        <w:t xml:space="preserve">  </w:t>
      </w:r>
      <w:r w:rsidRPr="00F02C3C" w:rsidR="006138CD">
        <w:rPr>
          <w:szCs w:val="22"/>
        </w:rPr>
        <w:t>As NPR notes, “while a 5-application limit may deter speculation and simplify the processing of mutually exclusive applications to some extent, it would do so only by limiting opportunities to expand NCE service.”</w:t>
      </w:r>
      <w:r>
        <w:rPr>
          <w:rStyle w:val="FootnoteReference"/>
          <w:szCs w:val="22"/>
        </w:rPr>
        <w:footnoteReference w:id="28"/>
      </w:r>
      <w:r w:rsidRPr="00F02C3C" w:rsidR="006138CD">
        <w:rPr>
          <w:szCs w:val="22"/>
        </w:rPr>
        <w:t xml:space="preserve">  </w:t>
      </w:r>
      <w:r w:rsidRPr="00F02C3C">
        <w:rPr>
          <w:szCs w:val="22"/>
        </w:rPr>
        <w:t xml:space="preserve">The last NCE FM filing window was over 13 years ago, and accordingly, there is pent-up demand for new NCE FM channels, which is unlikely to be satisfied with a lower five-application cap.  </w:t>
      </w:r>
      <w:r w:rsidRPr="00F02C3C" w:rsidR="00C8773E">
        <w:rPr>
          <w:szCs w:val="22"/>
        </w:rPr>
        <w:t>Due to the historically long period between</w:t>
      </w:r>
      <w:r w:rsidRPr="00F02C3C" w:rsidR="00EA1020">
        <w:rPr>
          <w:szCs w:val="22"/>
        </w:rPr>
        <w:t xml:space="preserve"> NCE FM </w:t>
      </w:r>
      <w:r w:rsidRPr="00F02C3C">
        <w:rPr>
          <w:szCs w:val="22"/>
        </w:rPr>
        <w:t>filing window</w:t>
      </w:r>
      <w:r w:rsidRPr="00F02C3C" w:rsidR="00C8773E">
        <w:rPr>
          <w:szCs w:val="22"/>
        </w:rPr>
        <w:t>s</w:t>
      </w:r>
      <w:r w:rsidRPr="00F02C3C" w:rsidR="00EA1020">
        <w:rPr>
          <w:szCs w:val="22"/>
        </w:rPr>
        <w:t>,</w:t>
      </w:r>
      <w:r w:rsidRPr="00F02C3C">
        <w:rPr>
          <w:szCs w:val="22"/>
        </w:rPr>
        <w:t xml:space="preserve"> we believe that applicants should have meaningful opportunities </w:t>
      </w:r>
      <w:r w:rsidRPr="00F02C3C" w:rsidR="00E87FAA">
        <w:rPr>
          <w:szCs w:val="22"/>
        </w:rPr>
        <w:t xml:space="preserve">in the 2021 window </w:t>
      </w:r>
      <w:r w:rsidRPr="00F02C3C">
        <w:rPr>
          <w:szCs w:val="22"/>
        </w:rPr>
        <w:t xml:space="preserve">to expand NCE FM service and submit more than five applications.      </w:t>
      </w:r>
    </w:p>
    <w:p w:rsidR="00454E22" w:rsidRPr="00F02C3C" w:rsidP="00574E58" w14:paraId="058266B2" w14:textId="744858BE">
      <w:pPr>
        <w:pStyle w:val="ParaNum"/>
      </w:pPr>
      <w:r w:rsidRPr="00F02C3C">
        <w:t>Although EMF presents a</w:t>
      </w:r>
      <w:r w:rsidRPr="00F02C3C" w:rsidR="00E002DF">
        <w:t xml:space="preserve"> novel proposal, which </w:t>
      </w:r>
      <w:r w:rsidRPr="00F02C3C" w:rsidR="005A001E">
        <w:t>might</w:t>
      </w:r>
      <w:r w:rsidRPr="00F02C3C" w:rsidR="00E002DF">
        <w:t xml:space="preserve"> ultimately allow us to license more NCE FM stations to rural and underserved areas</w:t>
      </w:r>
      <w:r w:rsidRPr="00F02C3C">
        <w:t>, w</w:t>
      </w:r>
      <w:r w:rsidRPr="00F02C3C" w:rsidR="00E002DF">
        <w:t>e find</w:t>
      </w:r>
      <w:r w:rsidRPr="00F02C3C" w:rsidR="00B76F4C">
        <w:t xml:space="preserve"> </w:t>
      </w:r>
      <w:r w:rsidRPr="00F02C3C" w:rsidR="00E002DF">
        <w:t>that the logistical and administrative challenges of implementing EMF’s two-tiered approach are simply too cumbersome and create the potential for extraordinary procedural delays and the ultimate delay of new NCE FM service to the public</w:t>
      </w:r>
      <w:r w:rsidRPr="00F02C3C">
        <w:t>.</w:t>
      </w:r>
      <w:r>
        <w:rPr>
          <w:rStyle w:val="FootnoteReference"/>
        </w:rPr>
        <w:footnoteReference w:id="29"/>
      </w:r>
      <w:r w:rsidRPr="00F02C3C" w:rsidR="00A31ABB">
        <w:t xml:space="preserve">  </w:t>
      </w:r>
      <w:r w:rsidRPr="00F02C3C" w:rsidR="00205E4A">
        <w:t>W</w:t>
      </w:r>
      <w:r w:rsidRPr="00F02C3C" w:rsidR="00985D09">
        <w:t xml:space="preserve">e find that adopting EMF’s approach, which would allow an applicant to designate </w:t>
      </w:r>
      <w:r w:rsidRPr="00F02C3C" w:rsidR="004B3702">
        <w:t>10</w:t>
      </w:r>
      <w:r w:rsidRPr="00F02C3C" w:rsidR="00985D09">
        <w:t xml:space="preserve"> “primary” applications and file an unlimited number of additional applications beyond the </w:t>
      </w:r>
      <w:r w:rsidRPr="00F02C3C" w:rsidR="004B3702">
        <w:t>10</w:t>
      </w:r>
      <w:r w:rsidRPr="00F02C3C" w:rsidR="00985D09">
        <w:t xml:space="preserve"> “primary” if the applications are for areas outside the home counties of all Nielsen Audio markets, is not administratively feasible at this time.</w:t>
      </w:r>
      <w:r>
        <w:rPr>
          <w:rStyle w:val="FootnoteReference"/>
        </w:rPr>
        <w:footnoteReference w:id="30"/>
      </w:r>
      <w:r w:rsidRPr="00F02C3C" w:rsidR="00D068C0">
        <w:t xml:space="preserve">  </w:t>
      </w:r>
      <w:r w:rsidRPr="00F02C3C" w:rsidR="00205E4A">
        <w:t>Th</w:t>
      </w:r>
      <w:r w:rsidRPr="00F02C3C" w:rsidR="00370A90">
        <w:t xml:space="preserve">e </w:t>
      </w:r>
      <w:r w:rsidRPr="00F02C3C" w:rsidR="00D068C0">
        <w:t xml:space="preserve">time </w:t>
      </w:r>
      <w:r w:rsidRPr="00F02C3C" w:rsidR="00370A90">
        <w:t xml:space="preserve">required </w:t>
      </w:r>
      <w:r w:rsidRPr="00F02C3C" w:rsidR="00C67CA9">
        <w:t xml:space="preserve">to </w:t>
      </w:r>
      <w:r w:rsidRPr="00F02C3C" w:rsidR="006E7837">
        <w:t xml:space="preserve">further </w:t>
      </w:r>
      <w:r w:rsidRPr="00F02C3C" w:rsidR="00C67CA9">
        <w:t xml:space="preserve">revise </w:t>
      </w:r>
      <w:r w:rsidRPr="00F02C3C" w:rsidR="00370A90">
        <w:t xml:space="preserve">our </w:t>
      </w:r>
      <w:r w:rsidRPr="00F02C3C" w:rsidR="0002764E">
        <w:t xml:space="preserve">rules and </w:t>
      </w:r>
      <w:r w:rsidRPr="00F02C3C" w:rsidR="00C67CA9">
        <w:t>form</w:t>
      </w:r>
      <w:r w:rsidRPr="00F02C3C" w:rsidR="00370A90">
        <w:t>s</w:t>
      </w:r>
      <w:r w:rsidRPr="00F02C3C" w:rsidR="00330E16">
        <w:t xml:space="preserve"> </w:t>
      </w:r>
      <w:r w:rsidRPr="00F02C3C" w:rsidR="0073377D">
        <w:t xml:space="preserve">to adopt </w:t>
      </w:r>
      <w:r w:rsidRPr="00F02C3C" w:rsidR="0073377D">
        <w:t xml:space="preserve">the EMF proposal would </w:t>
      </w:r>
      <w:r w:rsidRPr="00F02C3C" w:rsidR="002C6784">
        <w:t xml:space="preserve">significantly </w:t>
      </w:r>
      <w:r w:rsidRPr="00F02C3C" w:rsidR="00C67CA9">
        <w:t xml:space="preserve">delay the initiation of the </w:t>
      </w:r>
      <w:r w:rsidRPr="00F02C3C" w:rsidR="00A03CCD">
        <w:t>filing window</w:t>
      </w:r>
      <w:r w:rsidRPr="00F02C3C" w:rsidR="0073377D">
        <w:t xml:space="preserve"> and service to the public</w:t>
      </w:r>
      <w:r w:rsidRPr="00F02C3C" w:rsidR="003A5505">
        <w:t xml:space="preserve"> and</w:t>
      </w:r>
      <w:r w:rsidRPr="00F02C3C" w:rsidR="0073377D">
        <w:t xml:space="preserve"> </w:t>
      </w:r>
      <w:r w:rsidRPr="00F02C3C" w:rsidR="008243D8">
        <w:t>outweigh any benefit from the EMF proposal</w:t>
      </w:r>
      <w:r w:rsidRPr="00F02C3C" w:rsidR="00A03CCD">
        <w:t>.</w:t>
      </w:r>
      <w:r>
        <w:rPr>
          <w:rStyle w:val="FootnoteReference"/>
        </w:rPr>
        <w:footnoteReference w:id="31"/>
      </w:r>
      <w:r w:rsidRPr="00F02C3C" w:rsidR="00914AB2">
        <w:t xml:space="preserve">  Moreover, we are concerned that this expansion of filing opportunities will undercut our goal of deterring speculative applications.</w:t>
      </w:r>
      <w:r>
        <w:rPr>
          <w:rStyle w:val="FootnoteReference"/>
        </w:rPr>
        <w:footnoteReference w:id="32"/>
      </w:r>
      <w:r w:rsidRPr="00F02C3C" w:rsidR="00914AB2">
        <w:t xml:space="preserve">  </w:t>
      </w:r>
      <w:r w:rsidRPr="00F02C3C" w:rsidR="00330E16">
        <w:t xml:space="preserve">  </w:t>
      </w:r>
      <w:r w:rsidRPr="00F02C3C" w:rsidR="00D068C0">
        <w:t xml:space="preserve"> </w:t>
      </w:r>
    </w:p>
    <w:p w:rsidR="00574E58" w:rsidRPr="00F02C3C" w:rsidP="00DC7A12" w14:paraId="10D57D01" w14:textId="136CEB84">
      <w:pPr>
        <w:pStyle w:val="ParaNum"/>
        <w:widowControl/>
      </w:pPr>
      <w:r w:rsidRPr="00F02C3C">
        <w:t xml:space="preserve">We recognize </w:t>
      </w:r>
      <w:r w:rsidRPr="00F02C3C" w:rsidR="00454E22">
        <w:t>EMF</w:t>
      </w:r>
      <w:r w:rsidRPr="00F02C3C" w:rsidR="00AD7E00">
        <w:t>’s</w:t>
      </w:r>
      <w:r w:rsidRPr="00F02C3C" w:rsidR="00314EFE">
        <w:t xml:space="preserve"> claim</w:t>
      </w:r>
      <w:r w:rsidRPr="00F02C3C" w:rsidR="00AD7E00">
        <w:t xml:space="preserve"> that </w:t>
      </w:r>
      <w:r w:rsidRPr="00F02C3C" w:rsidR="00314EFE">
        <w:t>its</w:t>
      </w:r>
      <w:r w:rsidRPr="00F02C3C" w:rsidR="00454E22">
        <w:t xml:space="preserve"> proposal </w:t>
      </w:r>
      <w:r w:rsidRPr="00F02C3C" w:rsidR="00314EFE">
        <w:t>would</w:t>
      </w:r>
      <w:r w:rsidRPr="00F02C3C" w:rsidR="00454E22">
        <w:t xml:space="preserve"> increas</w:t>
      </w:r>
      <w:r w:rsidRPr="00F02C3C" w:rsidR="00314EFE">
        <w:t>e</w:t>
      </w:r>
      <w:r w:rsidRPr="00F02C3C" w:rsidR="00454E22">
        <w:t xml:space="preserve"> NCE FM service to rural areas</w:t>
      </w:r>
      <w:r w:rsidRPr="00F02C3C">
        <w:t xml:space="preserve"> and</w:t>
      </w:r>
      <w:r w:rsidRPr="00F02C3C" w:rsidR="00B6540E">
        <w:t xml:space="preserve"> allow parties to </w:t>
      </w:r>
      <w:r w:rsidRPr="00F02C3C" w:rsidR="002C6784">
        <w:t>f</w:t>
      </w:r>
      <w:r w:rsidRPr="00F02C3C" w:rsidR="00B6540E">
        <w:t>il</w:t>
      </w:r>
      <w:r w:rsidRPr="00F02C3C" w:rsidR="002C6784">
        <w:t>e</w:t>
      </w:r>
      <w:r w:rsidRPr="00F02C3C" w:rsidR="00B6540E">
        <w:t xml:space="preserve"> more applications to </w:t>
      </w:r>
      <w:r w:rsidRPr="00F02C3C" w:rsidR="007F07AD">
        <w:t>upgrade</w:t>
      </w:r>
      <w:r w:rsidRPr="00F02C3C" w:rsidR="00B6540E">
        <w:t xml:space="preserve"> FM translators serving rural areas to protected full-power stations.  </w:t>
      </w:r>
      <w:r w:rsidRPr="00F02C3C">
        <w:t xml:space="preserve">We note, however, that </w:t>
      </w:r>
      <w:r w:rsidRPr="00F02C3C" w:rsidR="00C06299">
        <w:t>EMF’s proposal</w:t>
      </w:r>
      <w:r w:rsidRPr="00F02C3C" w:rsidR="00056FF2">
        <w:t>, which was not endorsed by any of the commenters,</w:t>
      </w:r>
      <w:r>
        <w:rPr>
          <w:rStyle w:val="FootnoteReference"/>
        </w:rPr>
        <w:footnoteReference w:id="33"/>
      </w:r>
      <w:r w:rsidRPr="00F02C3C" w:rsidR="00056FF2">
        <w:t xml:space="preserve"> </w:t>
      </w:r>
      <w:r w:rsidRPr="00F02C3C" w:rsidR="00454E22">
        <w:t>also has the drawback of increasing the potential for more MX groups, created by the secondary application filings, larger MX groups, and complicated application chains</w:t>
      </w:r>
      <w:r w:rsidRPr="00F02C3C" w:rsidR="006700C0">
        <w:t>,</w:t>
      </w:r>
      <w:r>
        <w:rPr>
          <w:rStyle w:val="FootnoteReference"/>
        </w:rPr>
        <w:footnoteReference w:id="34"/>
      </w:r>
      <w:r w:rsidRPr="00F02C3C" w:rsidR="00454E22">
        <w:t xml:space="preserve"> which could </w:t>
      </w:r>
      <w:r w:rsidRPr="00F02C3C" w:rsidR="00DA74F9">
        <w:t xml:space="preserve">lead to </w:t>
      </w:r>
      <w:r w:rsidRPr="00F02C3C" w:rsidR="002C6784">
        <w:t>p</w:t>
      </w:r>
      <w:r w:rsidRPr="00F02C3C" w:rsidR="00454E22">
        <w:t xml:space="preserve">rocessing </w:t>
      </w:r>
      <w:r w:rsidRPr="00F02C3C" w:rsidR="00DA74F9">
        <w:t>delays</w:t>
      </w:r>
      <w:r w:rsidRPr="00F02C3C" w:rsidR="00D25ACA">
        <w:t>,</w:t>
      </w:r>
      <w:r>
        <w:rPr>
          <w:rStyle w:val="FootnoteReference"/>
        </w:rPr>
        <w:footnoteReference w:id="35"/>
      </w:r>
      <w:r w:rsidRPr="00F02C3C" w:rsidR="00DA74F9">
        <w:t xml:space="preserve"> and ultimately, delay</w:t>
      </w:r>
      <w:r w:rsidRPr="00F02C3C" w:rsidR="00454E22">
        <w:t xml:space="preserve"> the initiation of new NCE FM service to the public.</w:t>
      </w:r>
      <w:r w:rsidRPr="00F02C3C" w:rsidR="00FE353B">
        <w:t xml:space="preserve">  We also agree with NPR that “EMF’s arguments in support of its proposal do little to address the prospect of the Commission again being overwhelmed by an avalanche of applications.”</w:t>
      </w:r>
      <w:r>
        <w:rPr>
          <w:rStyle w:val="FootnoteReference"/>
        </w:rPr>
        <w:footnoteReference w:id="36"/>
      </w:r>
      <w:r w:rsidRPr="00F02C3C">
        <w:t xml:space="preserve">  </w:t>
      </w:r>
    </w:p>
    <w:p w:rsidR="009255AC" w:rsidRPr="00F02C3C" w:rsidP="00E94064" w14:paraId="0F7C4008" w14:textId="2B68C878">
      <w:pPr>
        <w:pStyle w:val="ParaNum"/>
        <w:rPr>
          <w:szCs w:val="22"/>
        </w:rPr>
      </w:pPr>
      <w:r w:rsidRPr="00F02C3C">
        <w:rPr>
          <w:szCs w:val="22"/>
        </w:rPr>
        <w:t>After reviewing and considering the comments in this proceeding, w</w:t>
      </w:r>
      <w:r w:rsidRPr="00F02C3C" w:rsidR="006521E6">
        <w:rPr>
          <w:szCs w:val="22"/>
        </w:rPr>
        <w:t xml:space="preserve">e </w:t>
      </w:r>
      <w:r w:rsidRPr="00F02C3C">
        <w:rPr>
          <w:szCs w:val="22"/>
        </w:rPr>
        <w:t>find</w:t>
      </w:r>
      <w:r w:rsidRPr="00F02C3C" w:rsidR="006521E6">
        <w:rPr>
          <w:szCs w:val="22"/>
        </w:rPr>
        <w:t xml:space="preserve"> that </w:t>
      </w:r>
      <w:r w:rsidRPr="00F02C3C" w:rsidR="00190093">
        <w:rPr>
          <w:szCs w:val="22"/>
        </w:rPr>
        <w:t xml:space="preserve">the proven </w:t>
      </w:r>
      <w:r w:rsidRPr="00F02C3C" w:rsidR="004B3702">
        <w:rPr>
          <w:szCs w:val="22"/>
        </w:rPr>
        <w:t>10</w:t>
      </w:r>
      <w:r w:rsidRPr="00F02C3C" w:rsidR="006521E6">
        <w:rPr>
          <w:szCs w:val="22"/>
        </w:rPr>
        <w:t>-application cap strike</w:t>
      </w:r>
      <w:r w:rsidRPr="00F02C3C" w:rsidR="00CF20F2">
        <w:rPr>
          <w:szCs w:val="22"/>
        </w:rPr>
        <w:t>s</w:t>
      </w:r>
      <w:r w:rsidRPr="00F02C3C" w:rsidR="006521E6">
        <w:rPr>
          <w:szCs w:val="22"/>
        </w:rPr>
        <w:t xml:space="preserve"> </w:t>
      </w:r>
      <w:r w:rsidRPr="00F02C3C" w:rsidR="00CF20F2">
        <w:rPr>
          <w:szCs w:val="22"/>
        </w:rPr>
        <w:t>the best</w:t>
      </w:r>
      <w:r w:rsidRPr="00F02C3C" w:rsidR="006521E6">
        <w:rPr>
          <w:szCs w:val="22"/>
        </w:rPr>
        <w:t xml:space="preserve"> balance of our </w:t>
      </w:r>
      <w:r w:rsidRPr="00F02C3C" w:rsidR="003907C6">
        <w:rPr>
          <w:szCs w:val="22"/>
        </w:rPr>
        <w:t xml:space="preserve">multiple </w:t>
      </w:r>
      <w:r w:rsidRPr="00F02C3C" w:rsidR="006521E6">
        <w:rPr>
          <w:szCs w:val="22"/>
        </w:rPr>
        <w:t>objectives of providing a meaningful opportunity for applicants to file for new NCE FM stations and expanding service</w:t>
      </w:r>
      <w:r w:rsidRPr="00F02C3C" w:rsidR="00CF20F2">
        <w:rPr>
          <w:szCs w:val="22"/>
        </w:rPr>
        <w:t xml:space="preserve"> while, at the same time, deterring speculative applications and procedural delays.</w:t>
      </w:r>
      <w:r w:rsidRPr="00F02C3C" w:rsidR="0021391C">
        <w:rPr>
          <w:szCs w:val="22"/>
        </w:rPr>
        <w:t xml:space="preserve">  </w:t>
      </w:r>
      <w:r w:rsidRPr="00F02C3C" w:rsidR="00914C0A">
        <w:rPr>
          <w:szCs w:val="22"/>
        </w:rPr>
        <w:t xml:space="preserve">Although we acknowledge that there are indeed benefits to both REC’s five-application proposal and EMF’s two-tiered approach, </w:t>
      </w:r>
      <w:r w:rsidRPr="00F02C3C" w:rsidR="00E154FC">
        <w:rPr>
          <w:szCs w:val="22"/>
        </w:rPr>
        <w:t xml:space="preserve">they are outweighed by </w:t>
      </w:r>
      <w:r w:rsidRPr="00F02C3C" w:rsidR="00914C0A">
        <w:rPr>
          <w:szCs w:val="22"/>
        </w:rPr>
        <w:t>t</w:t>
      </w:r>
      <w:r w:rsidRPr="00F02C3C" w:rsidR="00E154FC">
        <w:rPr>
          <w:szCs w:val="22"/>
        </w:rPr>
        <w:t>he</w:t>
      </w:r>
      <w:r w:rsidRPr="00F02C3C" w:rsidR="00914C0A">
        <w:rPr>
          <w:szCs w:val="22"/>
        </w:rPr>
        <w:t xml:space="preserve"> drawbacks noted above</w:t>
      </w:r>
      <w:r w:rsidRPr="00F02C3C" w:rsidR="00A75203">
        <w:rPr>
          <w:szCs w:val="22"/>
        </w:rPr>
        <w:t>.</w:t>
      </w:r>
      <w:r w:rsidRPr="00F02C3C" w:rsidR="00914C0A">
        <w:rPr>
          <w:szCs w:val="22"/>
        </w:rPr>
        <w:t xml:space="preserve">  </w:t>
      </w:r>
      <w:r w:rsidRPr="00F02C3C" w:rsidR="0021391C">
        <w:rPr>
          <w:szCs w:val="22"/>
        </w:rPr>
        <w:t xml:space="preserve">The </w:t>
      </w:r>
      <w:r w:rsidRPr="00F02C3C" w:rsidR="004B3702">
        <w:rPr>
          <w:szCs w:val="22"/>
        </w:rPr>
        <w:t>10</w:t>
      </w:r>
      <w:r w:rsidRPr="00F02C3C" w:rsidR="0021391C">
        <w:rPr>
          <w:szCs w:val="22"/>
        </w:rPr>
        <w:t>-application cap, employed during the 2007 NCE FM filing window,</w:t>
      </w:r>
      <w:r w:rsidRPr="00F02C3C" w:rsidR="00363FFD">
        <w:rPr>
          <w:szCs w:val="22"/>
        </w:rPr>
        <w:t xml:space="preserve"> has proven, in practice, to be very effective.  </w:t>
      </w:r>
      <w:r w:rsidRPr="00F02C3C" w:rsidR="00E60180">
        <w:rPr>
          <w:szCs w:val="22"/>
        </w:rPr>
        <w:t>The 10-application limit</w:t>
      </w:r>
      <w:r w:rsidRPr="00F02C3C" w:rsidR="0021391C">
        <w:rPr>
          <w:szCs w:val="22"/>
        </w:rPr>
        <w:t xml:space="preserve"> facilitated the processing and grant </w:t>
      </w:r>
      <w:r w:rsidRPr="00F02C3C" w:rsidR="00D11840">
        <w:rPr>
          <w:szCs w:val="22"/>
        </w:rPr>
        <w:t xml:space="preserve">of </w:t>
      </w:r>
      <w:r w:rsidRPr="00F02C3C" w:rsidR="0021391C">
        <w:rPr>
          <w:szCs w:val="22"/>
        </w:rPr>
        <w:t>thousands of new NCE FM applications to a wide range of local applicants</w:t>
      </w:r>
      <w:r w:rsidRPr="00F02C3C" w:rsidR="00EB744F">
        <w:rPr>
          <w:szCs w:val="22"/>
        </w:rPr>
        <w:t xml:space="preserve">, </w:t>
      </w:r>
      <w:r w:rsidRPr="00F02C3C" w:rsidR="00AE7FE4">
        <w:rPr>
          <w:szCs w:val="22"/>
        </w:rPr>
        <w:t>discourage</w:t>
      </w:r>
      <w:r w:rsidRPr="00F02C3C" w:rsidR="00363FFD">
        <w:rPr>
          <w:szCs w:val="22"/>
        </w:rPr>
        <w:t>d</w:t>
      </w:r>
      <w:r w:rsidRPr="00F02C3C" w:rsidR="00AE7FE4">
        <w:rPr>
          <w:szCs w:val="22"/>
        </w:rPr>
        <w:t xml:space="preserve"> speculation</w:t>
      </w:r>
      <w:r w:rsidRPr="00F02C3C" w:rsidR="00363FFD">
        <w:rPr>
          <w:szCs w:val="22"/>
        </w:rPr>
        <w:t>,</w:t>
      </w:r>
      <w:r w:rsidRPr="00F02C3C" w:rsidR="00AE7FE4">
        <w:rPr>
          <w:szCs w:val="22"/>
        </w:rPr>
        <w:t xml:space="preserve"> and force</w:t>
      </w:r>
      <w:r w:rsidRPr="00F02C3C" w:rsidR="00363FFD">
        <w:rPr>
          <w:szCs w:val="22"/>
        </w:rPr>
        <w:t>d</w:t>
      </w:r>
      <w:r w:rsidRPr="00F02C3C" w:rsidR="00AE7FE4">
        <w:rPr>
          <w:szCs w:val="22"/>
        </w:rPr>
        <w:t xml:space="preserve"> applicants with a large number of potential applications to concentrate on proposals and markets where they ha</w:t>
      </w:r>
      <w:r w:rsidRPr="00F02C3C" w:rsidR="00363FFD">
        <w:rPr>
          <w:szCs w:val="22"/>
        </w:rPr>
        <w:t>d</w:t>
      </w:r>
      <w:r w:rsidRPr="00F02C3C" w:rsidR="00AE7FE4">
        <w:rPr>
          <w:szCs w:val="22"/>
        </w:rPr>
        <w:t xml:space="preserve"> legitimate service plans.</w:t>
      </w:r>
      <w:r>
        <w:rPr>
          <w:rStyle w:val="FootnoteReference"/>
          <w:szCs w:val="22"/>
        </w:rPr>
        <w:footnoteReference w:id="37"/>
      </w:r>
      <w:r w:rsidRPr="00F02C3C" w:rsidR="00AE7FE4">
        <w:rPr>
          <w:szCs w:val="22"/>
        </w:rPr>
        <w:t xml:space="preserve">  </w:t>
      </w:r>
    </w:p>
    <w:p w:rsidR="002901FD" w:rsidRPr="00F02C3C" w:rsidP="00E94064" w14:paraId="49E213F7" w14:textId="462201AE">
      <w:pPr>
        <w:pStyle w:val="ParaNum"/>
      </w:pPr>
      <w:r w:rsidRPr="00F02C3C">
        <w:t xml:space="preserve">Accordingly, we adopt the </w:t>
      </w:r>
      <w:r w:rsidRPr="00F02C3C" w:rsidR="00E154FC">
        <w:t xml:space="preserve">proposal that </w:t>
      </w:r>
      <w:r w:rsidRPr="00F02C3C">
        <w:t xml:space="preserve">an applicant may file no more than a total of </w:t>
      </w:r>
      <w:r w:rsidRPr="00F02C3C" w:rsidR="004B3702">
        <w:t>10</w:t>
      </w:r>
      <w:r w:rsidRPr="00F02C3C">
        <w:t xml:space="preserve"> applications in the 2021 NCE FM filing window.  </w:t>
      </w:r>
      <w:r w:rsidRPr="00F02C3C" w:rsidR="00A2496B">
        <w:t xml:space="preserve">Under existing precedent, this means that </w:t>
      </w:r>
      <w:r w:rsidRPr="00F02C3C">
        <w:t xml:space="preserve">a party to an </w:t>
      </w:r>
      <w:r w:rsidRPr="00F02C3C">
        <w:t xml:space="preserve">application filed in </w:t>
      </w:r>
      <w:r w:rsidRPr="00F02C3C" w:rsidR="002C6784">
        <w:t>t</w:t>
      </w:r>
      <w:r w:rsidRPr="00F02C3C">
        <w:t xml:space="preserve">he 2021 NCE FM filing window may hold attributable interests in no more than a total of </w:t>
      </w:r>
      <w:r w:rsidRPr="00F02C3C" w:rsidR="004B3702">
        <w:t>10</w:t>
      </w:r>
      <w:r w:rsidRPr="00F02C3C">
        <w:t xml:space="preserve"> applications filed in the window.</w:t>
      </w:r>
      <w:r>
        <w:rPr>
          <w:rStyle w:val="FootnoteReference"/>
        </w:rPr>
        <w:footnoteReference w:id="38"/>
      </w:r>
      <w:r w:rsidRPr="00F02C3C">
        <w:t xml:space="preserve"> </w:t>
      </w:r>
      <w:r w:rsidRPr="00F02C3C" w:rsidR="00990344">
        <w:t xml:space="preserve"> </w:t>
      </w:r>
      <w:r w:rsidRPr="00F02C3C">
        <w:t xml:space="preserve">If it is determined that any party to an application has an attributable interest in more than </w:t>
      </w:r>
      <w:r w:rsidRPr="00F02C3C" w:rsidR="004B3702">
        <w:t>10</w:t>
      </w:r>
      <w:r w:rsidRPr="00F02C3C">
        <w:t xml:space="preserve"> applications, the </w:t>
      </w:r>
      <w:r w:rsidRPr="00F02C3C" w:rsidR="007B365C">
        <w:t xml:space="preserve">Media </w:t>
      </w:r>
      <w:r w:rsidRPr="00F02C3C">
        <w:t xml:space="preserve">Bureau will retain the </w:t>
      </w:r>
      <w:r w:rsidRPr="00F02C3C" w:rsidR="004B3702">
        <w:t>10</w:t>
      </w:r>
      <w:r w:rsidRPr="00F02C3C">
        <w:t xml:space="preserve"> applications that were filed first – based on the date of application receipt – and dismiss all other applications.</w:t>
      </w:r>
      <w:r w:rsidRPr="00F02C3C" w:rsidR="00140144">
        <w:rPr>
          <w:color w:val="3D3D3D"/>
          <w:sz w:val="25"/>
          <w:szCs w:val="25"/>
          <w:shd w:val="clear" w:color="auto" w:fill="FFFFFF"/>
        </w:rPr>
        <w:t> </w:t>
      </w:r>
    </w:p>
    <w:p w:rsidR="00E94064" w:rsidRPr="00F02C3C" w:rsidP="00E94064" w14:paraId="6B27455E" w14:textId="77777777">
      <w:pPr>
        <w:pStyle w:val="Heading1"/>
        <w:rPr>
          <w:rFonts w:ascii="Times New Roman" w:hAnsi="Times New Roman"/>
        </w:rPr>
      </w:pPr>
      <w:r w:rsidRPr="00F02C3C">
        <w:rPr>
          <w:rFonts w:ascii="Times New Roman" w:hAnsi="Times New Roman"/>
        </w:rPr>
        <w:t>PROCEDURAL MATTERs</w:t>
      </w:r>
    </w:p>
    <w:p w:rsidR="00E94064" w:rsidRPr="00F02C3C" w:rsidP="00DC7A12" w14:paraId="5C9D1BCF" w14:textId="77777777">
      <w:pPr>
        <w:pStyle w:val="ParaNum"/>
        <w:widowControl/>
      </w:pPr>
      <w:r w:rsidRPr="00F02C3C">
        <w:rPr>
          <w:i/>
          <w:iCs/>
        </w:rPr>
        <w:t>Statement of Legal Authority</w:t>
      </w:r>
      <w:r w:rsidRPr="00F02C3C">
        <w:t>.  The Commission’s legal authority for limiting the number of applications a party may file during a broadcast filing window is found in 47 U.S.C. §§ 151, 152(a), 154(</w:t>
      </w:r>
      <w:r w:rsidRPr="00F02C3C">
        <w:t>i</w:t>
      </w:r>
      <w:r w:rsidRPr="00F02C3C">
        <w:t>) and (j), 301, 303(g) and (r), 308(b), and 309(j).</w:t>
      </w:r>
      <w:r w:rsidRPr="00F02C3C">
        <w:tab/>
      </w:r>
    </w:p>
    <w:p w:rsidR="00AD6976" w:rsidRPr="00F02C3C" w:rsidP="00E94064" w14:paraId="03F707C7" w14:textId="1A015DF0">
      <w:pPr>
        <w:pStyle w:val="ParaNum"/>
        <w:rPr>
          <w:szCs w:val="22"/>
        </w:rPr>
      </w:pPr>
      <w:r w:rsidRPr="00F02C3C">
        <w:rPr>
          <w:i/>
          <w:iCs/>
          <w:szCs w:val="22"/>
        </w:rPr>
        <w:t>Effective Date</w:t>
      </w:r>
      <w:r w:rsidRPr="00F02C3C">
        <w:rPr>
          <w:szCs w:val="22"/>
        </w:rPr>
        <w:t xml:space="preserve">.  </w:t>
      </w:r>
      <w:r w:rsidRPr="00F02C3C">
        <w:t>The Commission’s rules are amended</w:t>
      </w:r>
      <w:r w:rsidRPr="00F02C3C">
        <w:rPr>
          <w:b/>
        </w:rPr>
        <w:t xml:space="preserve"> </w:t>
      </w:r>
      <w:r w:rsidRPr="00F02C3C">
        <w:t>as set forth in Appendix A, effective thirty (30) days after publication of the text or a summary thereof in the Federal Register.</w:t>
      </w:r>
    </w:p>
    <w:p w:rsidR="00E94064" w:rsidRPr="00F02C3C" w:rsidP="00E94064" w14:paraId="1240CD5D" w14:textId="0C4A0904">
      <w:pPr>
        <w:pStyle w:val="ParaNum"/>
        <w:rPr>
          <w:szCs w:val="22"/>
        </w:rPr>
      </w:pPr>
      <w:r w:rsidRPr="00F02C3C">
        <w:rPr>
          <w:i/>
        </w:rPr>
        <w:t>Fi</w:t>
      </w:r>
      <w:r w:rsidRPr="00F02C3C" w:rsidR="009F37F8">
        <w:rPr>
          <w:i/>
        </w:rPr>
        <w:t>nal Regulatory Flexibility Act</w:t>
      </w:r>
      <w:r w:rsidRPr="00F02C3C">
        <w:t xml:space="preserve">.  </w:t>
      </w:r>
      <w:r w:rsidRPr="00F02C3C" w:rsidR="009F37F8">
        <w:rPr>
          <w:szCs w:val="22"/>
          <w:shd w:val="clear" w:color="auto" w:fill="FFFFFF"/>
        </w:rPr>
        <w:t>As required by the Regulatory Flexibility Act of 1980, as amended (RFA),</w:t>
      </w:r>
      <w:r>
        <w:rPr>
          <w:rStyle w:val="FootnoteReference"/>
          <w:szCs w:val="22"/>
          <w:shd w:val="clear" w:color="auto" w:fill="FFFFFF"/>
        </w:rPr>
        <w:footnoteReference w:id="39"/>
      </w:r>
      <w:r w:rsidRPr="00F02C3C" w:rsidR="009F37F8">
        <w:rPr>
          <w:szCs w:val="22"/>
          <w:shd w:val="clear" w:color="auto" w:fill="FFFFFF"/>
        </w:rPr>
        <w:t xml:space="preserve"> the Commission has prepared a Final Regulatory Flexibility Analysis (FRFA) relating to this </w:t>
      </w:r>
      <w:r w:rsidRPr="00F02C3C" w:rsidR="00087120">
        <w:rPr>
          <w:szCs w:val="22"/>
          <w:shd w:val="clear" w:color="auto" w:fill="FFFFFF"/>
        </w:rPr>
        <w:t>Public Notice</w:t>
      </w:r>
      <w:r w:rsidRPr="00F02C3C" w:rsidR="009F37F8">
        <w:rPr>
          <w:szCs w:val="22"/>
          <w:shd w:val="clear" w:color="auto" w:fill="FFFFFF"/>
        </w:rPr>
        <w:t>. The FRFA is set forth in Appendix B.</w:t>
      </w:r>
      <w:r w:rsidRPr="00F02C3C">
        <w:rPr>
          <w:szCs w:val="22"/>
        </w:rPr>
        <w:t xml:space="preserve">  </w:t>
      </w:r>
    </w:p>
    <w:p w:rsidR="003605ED" w:rsidRPr="00F02C3C" w:rsidP="00E94064" w14:paraId="0F48A1F8" w14:textId="147ECEE8">
      <w:pPr>
        <w:pStyle w:val="ParaNum"/>
        <w:rPr>
          <w:szCs w:val="22"/>
        </w:rPr>
      </w:pPr>
      <w:r w:rsidRPr="00F02C3C">
        <w:t>The Commission’s Consumer and Governmental Affairs Bureau, Reference Information Center, shall send</w:t>
      </w:r>
      <w:r w:rsidRPr="00F02C3C">
        <w:rPr>
          <w:b/>
        </w:rPr>
        <w:t xml:space="preserve"> </w:t>
      </w:r>
      <w:r w:rsidRPr="00F02C3C">
        <w:t xml:space="preserve">a copy of this </w:t>
      </w:r>
      <w:r w:rsidRPr="00F02C3C" w:rsidR="003B1D4A">
        <w:t>Public Notice</w:t>
      </w:r>
      <w:r w:rsidRPr="00F02C3C">
        <w:t>, including the Final Regulatory Flexibility Analysis, to the Chief Counsel for Advocacy of the Small Business Administration.</w:t>
      </w:r>
    </w:p>
    <w:p w:rsidR="006B3782" w:rsidRPr="00F02C3C" w:rsidP="00E94064" w14:paraId="2C68376A" w14:textId="237FEF35">
      <w:pPr>
        <w:pStyle w:val="ParaNum"/>
        <w:rPr>
          <w:szCs w:val="22"/>
        </w:rPr>
      </w:pPr>
      <w:r w:rsidRPr="00F02C3C">
        <w:rPr>
          <w:rStyle w:val="Emphasis"/>
          <w:szCs w:val="22"/>
          <w:bdr w:val="none" w:sz="0" w:space="0" w:color="auto" w:frame="1"/>
          <w:shd w:val="clear" w:color="auto" w:fill="FFFFFF"/>
        </w:rPr>
        <w:t>Paperwork Reduction Act Analysis</w:t>
      </w:r>
      <w:r w:rsidRPr="00F02C3C">
        <w:rPr>
          <w:szCs w:val="22"/>
          <w:shd w:val="clear" w:color="auto" w:fill="FFFFFF"/>
        </w:rPr>
        <w:t xml:space="preserve">. 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F02C3C">
        <w:rPr>
          <w:i/>
          <w:iCs/>
          <w:szCs w:val="22"/>
          <w:shd w:val="clear" w:color="auto" w:fill="FFFFFF"/>
        </w:rPr>
        <w:t xml:space="preserve">see </w:t>
      </w:r>
      <w:r w:rsidRPr="00F02C3C">
        <w:rPr>
          <w:szCs w:val="22"/>
          <w:shd w:val="clear" w:color="auto" w:fill="FFFFFF"/>
        </w:rPr>
        <w:t>44 U.S.C. 3506(c)(4).</w:t>
      </w:r>
    </w:p>
    <w:p w:rsidR="006B3782" w:rsidRPr="00F02C3C" w:rsidP="006B3782" w14:paraId="118E639F" w14:textId="2F73538F">
      <w:pPr>
        <w:pStyle w:val="ParaNum"/>
      </w:pPr>
      <w:r w:rsidRPr="00F02C3C">
        <w:rPr>
          <w:rStyle w:val="Emphasis"/>
          <w:szCs w:val="22"/>
          <w:bdr w:val="none" w:sz="0" w:space="0" w:color="auto" w:frame="1"/>
          <w:shd w:val="clear" w:color="auto" w:fill="FFFFFF"/>
        </w:rPr>
        <w:t>Congressional Review Act</w:t>
      </w:r>
      <w:r w:rsidRPr="00F02C3C">
        <w:rPr>
          <w:szCs w:val="22"/>
          <w:shd w:val="clear" w:color="auto" w:fill="FFFFFF"/>
        </w:rPr>
        <w:t xml:space="preserve">. The Commission has determined, and the Administrator of the Office of Information and Regulatory Affairs, Office of Management and Budget concurs, that this rule is “non-major” under the Congressional Review Act, 5 U.S.C. § 804(2).  The Commission will send a copy of this </w:t>
      </w:r>
      <w:r w:rsidRPr="00F02C3C" w:rsidR="005378F4">
        <w:rPr>
          <w:szCs w:val="22"/>
          <w:shd w:val="clear" w:color="auto" w:fill="FFFFFF"/>
        </w:rPr>
        <w:t>Public Notice</w:t>
      </w:r>
      <w:r w:rsidRPr="00F02C3C">
        <w:rPr>
          <w:szCs w:val="22"/>
          <w:shd w:val="clear" w:color="auto" w:fill="FFFFFF"/>
        </w:rPr>
        <w:t xml:space="preserve"> to Congress and the Government Accountability Office pursuant to 5 U.S.C. § 801(a)(1)(A).  </w:t>
      </w:r>
    </w:p>
    <w:p w:rsidR="00E94064" w:rsidRPr="00F02C3C" w:rsidP="00E94064" w14:paraId="2BF3C35F" w14:textId="259DEFE9">
      <w:pPr>
        <w:pStyle w:val="ParaNum"/>
        <w:rPr>
          <w:spacing w:val="-2"/>
          <w:szCs w:val="22"/>
        </w:rPr>
      </w:pPr>
      <w:r w:rsidRPr="00F02C3C">
        <w:rPr>
          <w:spacing w:val="-2"/>
          <w:szCs w:val="22"/>
        </w:rPr>
        <w:t xml:space="preserve">For further information, </w:t>
      </w:r>
      <w:r w:rsidRPr="00F02C3C">
        <w:rPr>
          <w:szCs w:val="22"/>
        </w:rPr>
        <w:t xml:space="preserve">contact </w:t>
      </w:r>
      <w:r w:rsidRPr="00F02C3C">
        <w:rPr>
          <w:szCs w:val="24"/>
        </w:rPr>
        <w:t xml:space="preserve">Amy Van de Kerckhove, </w:t>
      </w:r>
      <w:hyperlink r:id="rId5" w:history="1">
        <w:r w:rsidRPr="00F02C3C" w:rsidR="006B3782">
          <w:rPr>
            <w:rStyle w:val="Hyperlink"/>
            <w:szCs w:val="24"/>
          </w:rPr>
          <w:t>Amy.Vandekerckhove@fcc.gov</w:t>
        </w:r>
      </w:hyperlink>
      <w:r w:rsidRPr="00F02C3C">
        <w:rPr>
          <w:rStyle w:val="Hyperlink"/>
          <w:szCs w:val="24"/>
        </w:rPr>
        <w:t>;</w:t>
      </w:r>
      <w:r w:rsidRPr="00F02C3C">
        <w:rPr>
          <w:szCs w:val="24"/>
        </w:rPr>
        <w:t xml:space="preserve"> James Bradshaw, </w:t>
      </w:r>
      <w:hyperlink r:id="rId6" w:history="1">
        <w:r w:rsidRPr="00F02C3C">
          <w:rPr>
            <w:rStyle w:val="Hyperlink"/>
            <w:szCs w:val="24"/>
          </w:rPr>
          <w:t>James.Bradshaw@fcc.gov</w:t>
        </w:r>
      </w:hyperlink>
      <w:r w:rsidRPr="00F02C3C">
        <w:rPr>
          <w:szCs w:val="24"/>
        </w:rPr>
        <w:t xml:space="preserve">; or Lisa Scanlan, </w:t>
      </w:r>
      <w:hyperlink r:id="rId7" w:history="1">
        <w:r w:rsidRPr="00F02C3C">
          <w:rPr>
            <w:rStyle w:val="Hyperlink"/>
            <w:szCs w:val="24"/>
          </w:rPr>
          <w:t>Lisa.Scanlan@fcc.gov</w:t>
        </w:r>
      </w:hyperlink>
      <w:r w:rsidRPr="00F02C3C">
        <w:rPr>
          <w:szCs w:val="24"/>
        </w:rPr>
        <w:t xml:space="preserve">, of the Media Bureau, Audio Division, (202) 418-2700.  Direct press inquiries to Janice Wise, </w:t>
      </w:r>
      <w:hyperlink r:id="rId8" w:history="1">
        <w:r w:rsidRPr="00F02C3C">
          <w:rPr>
            <w:rStyle w:val="Hyperlink"/>
            <w:szCs w:val="24"/>
          </w:rPr>
          <w:t>Janice.Wise@fcc.gov</w:t>
        </w:r>
      </w:hyperlink>
      <w:r w:rsidRPr="00F02C3C">
        <w:rPr>
          <w:szCs w:val="24"/>
        </w:rPr>
        <w:t xml:space="preserve">, (202) 418-8165.  </w:t>
      </w:r>
    </w:p>
    <w:p w:rsidR="00E94064" w:rsidRPr="00F02C3C" w:rsidP="00E94064" w14:paraId="419AD021" w14:textId="77777777"/>
    <w:p w:rsidR="00E94064" w:rsidRPr="00F02C3C" w:rsidP="00E94064" w14:paraId="6B2F59CD" w14:textId="00366AA5">
      <w:r w:rsidRPr="00F02C3C">
        <w:t xml:space="preserve">Action by the Commission, </w:t>
      </w:r>
      <w:r w:rsidRPr="00F02C3C" w:rsidR="009E355F">
        <w:t>April 21, 2021</w:t>
      </w:r>
      <w:r w:rsidRPr="00F02C3C">
        <w:t>.</w:t>
      </w:r>
    </w:p>
    <w:p w:rsidR="00E94064" w:rsidRPr="00F02C3C" w:rsidP="00E94064" w14:paraId="1295092F" w14:textId="77777777"/>
    <w:p w:rsidR="00E94064" w:rsidRPr="00F02C3C" w:rsidP="00E94064" w14:paraId="7A8DFF5A" w14:textId="77777777">
      <w:pPr>
        <w:jc w:val="center"/>
        <w:rPr>
          <w:b/>
        </w:rPr>
        <w:sectPr w:rsidSect="000E5884">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630" w:footer="720" w:gutter="0"/>
          <w:pgNumType w:start="1"/>
          <w:cols w:space="720"/>
          <w:noEndnote/>
          <w:titlePg/>
        </w:sectPr>
      </w:pPr>
      <w:r w:rsidRPr="00F02C3C">
        <w:rPr>
          <w:b/>
        </w:rPr>
        <w:t>-FCC-</w:t>
      </w:r>
    </w:p>
    <w:p w:rsidR="009C5325" w:rsidRPr="00F02C3C" w:rsidP="004532C2" w14:paraId="3A949615" w14:textId="6148CA0A">
      <w:pPr>
        <w:tabs>
          <w:tab w:val="left" w:pos="1215"/>
        </w:tabs>
        <w:jc w:val="center"/>
        <w:outlineLvl w:val="0"/>
        <w:rPr>
          <w:b/>
          <w:szCs w:val="22"/>
        </w:rPr>
      </w:pPr>
      <w:r w:rsidRPr="00F02C3C">
        <w:rPr>
          <w:b/>
          <w:szCs w:val="22"/>
        </w:rPr>
        <w:t>A</w:t>
      </w:r>
      <w:r w:rsidRPr="00F02C3C">
        <w:rPr>
          <w:b/>
          <w:szCs w:val="22"/>
        </w:rPr>
        <w:t>PPENDIX A</w:t>
      </w:r>
    </w:p>
    <w:p w:rsidR="00C70F6A" w:rsidRPr="00F02C3C" w:rsidP="004532C2" w14:paraId="407BCF7A" w14:textId="77777777">
      <w:pPr>
        <w:tabs>
          <w:tab w:val="left" w:pos="1215"/>
        </w:tabs>
        <w:jc w:val="center"/>
        <w:outlineLvl w:val="0"/>
        <w:rPr>
          <w:b/>
          <w:szCs w:val="22"/>
        </w:rPr>
      </w:pPr>
    </w:p>
    <w:p w:rsidR="009C5325" w:rsidRPr="00F02C3C" w:rsidP="009C5325" w14:paraId="714E8316" w14:textId="2EEF09C2">
      <w:pPr>
        <w:spacing w:after="120"/>
        <w:jc w:val="center"/>
        <w:rPr>
          <w:b/>
          <w:szCs w:val="22"/>
        </w:rPr>
      </w:pPr>
      <w:r w:rsidRPr="00F02C3C">
        <w:rPr>
          <w:b/>
          <w:szCs w:val="22"/>
        </w:rPr>
        <w:t>Rule Changes</w:t>
      </w:r>
    </w:p>
    <w:p w:rsidR="009C5325" w:rsidRPr="00F02C3C" w:rsidP="009C5325" w14:paraId="6C07CC90" w14:textId="77777777">
      <w:pPr>
        <w:spacing w:after="120"/>
        <w:jc w:val="center"/>
        <w:rPr>
          <w:b/>
          <w:szCs w:val="22"/>
        </w:rPr>
      </w:pPr>
    </w:p>
    <w:p w:rsidR="009C5325" w:rsidRPr="00F02C3C" w:rsidP="009C5325" w14:paraId="023FADF9" w14:textId="07246A2F">
      <w:pPr>
        <w:tabs>
          <w:tab w:val="left" w:pos="720"/>
          <w:tab w:val="left" w:pos="1440"/>
        </w:tabs>
        <w:spacing w:after="120"/>
        <w:rPr>
          <w:b/>
          <w:szCs w:val="22"/>
        </w:rPr>
      </w:pPr>
      <w:r w:rsidRPr="00F02C3C">
        <w:rPr>
          <w:b/>
          <w:szCs w:val="22"/>
        </w:rPr>
        <w:t>Part 73 of Chapter 1 of Title 47 of the Code of Federal Regulations is amended as follows:</w:t>
      </w:r>
    </w:p>
    <w:p w:rsidR="009C5325" w:rsidRPr="00F02C3C" w:rsidP="009C5325" w14:paraId="6001CE18" w14:textId="77777777">
      <w:pPr>
        <w:tabs>
          <w:tab w:val="left" w:pos="720"/>
        </w:tabs>
        <w:spacing w:after="120"/>
        <w:rPr>
          <w:szCs w:val="22"/>
        </w:rPr>
      </w:pPr>
      <w:r w:rsidRPr="00F02C3C">
        <w:rPr>
          <w:szCs w:val="22"/>
        </w:rPr>
        <w:t xml:space="preserve">1. </w:t>
      </w:r>
      <w:r w:rsidRPr="00F02C3C">
        <w:rPr>
          <w:szCs w:val="22"/>
        </w:rPr>
        <w:tab/>
        <w:t>The authority citation for part 73 continues to read as follows:</w:t>
      </w:r>
    </w:p>
    <w:p w:rsidR="009C5325" w:rsidRPr="00F02C3C" w:rsidP="009C5325" w14:paraId="404C681B" w14:textId="77777777">
      <w:pPr>
        <w:tabs>
          <w:tab w:val="left" w:pos="720"/>
        </w:tabs>
        <w:spacing w:after="120"/>
        <w:rPr>
          <w:szCs w:val="22"/>
        </w:rPr>
      </w:pPr>
      <w:r w:rsidRPr="00F02C3C">
        <w:rPr>
          <w:szCs w:val="22"/>
        </w:rPr>
        <w:tab/>
        <w:t>Authority:  47 U.S.C. 154, 155, 301, 303, 307, 309, 310, 334, 336, 339.</w:t>
      </w:r>
    </w:p>
    <w:p w:rsidR="009C5325" w:rsidRPr="00F02C3C" w:rsidP="009C5325" w14:paraId="4E42A82D" w14:textId="77777777">
      <w:pPr>
        <w:tabs>
          <w:tab w:val="left" w:pos="720"/>
        </w:tabs>
        <w:spacing w:after="120"/>
        <w:rPr>
          <w:szCs w:val="22"/>
        </w:rPr>
      </w:pPr>
    </w:p>
    <w:p w:rsidR="009C5325" w:rsidRPr="00F02C3C" w:rsidP="009C5325" w14:paraId="6E3AB46A" w14:textId="77777777">
      <w:pPr>
        <w:tabs>
          <w:tab w:val="left" w:pos="720"/>
        </w:tabs>
        <w:spacing w:after="120"/>
        <w:rPr>
          <w:szCs w:val="22"/>
        </w:rPr>
      </w:pPr>
      <w:r w:rsidRPr="00F02C3C">
        <w:rPr>
          <w:szCs w:val="22"/>
        </w:rPr>
        <w:t>2.</w:t>
      </w:r>
      <w:r w:rsidRPr="00F02C3C">
        <w:rPr>
          <w:szCs w:val="22"/>
        </w:rPr>
        <w:tab/>
        <w:t>Section 73.503 is amended by adding a new paragraph (g) to read as follows:</w:t>
      </w:r>
    </w:p>
    <w:p w:rsidR="009C5325" w:rsidRPr="00F02C3C" w:rsidP="009C5325" w14:paraId="5D284031" w14:textId="77777777">
      <w:pPr>
        <w:tabs>
          <w:tab w:val="left" w:pos="720"/>
        </w:tabs>
        <w:spacing w:after="120"/>
        <w:ind w:left="720"/>
        <w:rPr>
          <w:b/>
          <w:szCs w:val="22"/>
        </w:rPr>
      </w:pPr>
      <w:r w:rsidRPr="00F02C3C">
        <w:rPr>
          <w:b/>
          <w:szCs w:val="22"/>
        </w:rPr>
        <w:t xml:space="preserve">§ </w:t>
      </w:r>
      <w:r w:rsidRPr="00F02C3C">
        <w:rPr>
          <w:b/>
          <w:szCs w:val="22"/>
        </w:rPr>
        <w:t>73.503  Licensing</w:t>
      </w:r>
      <w:r w:rsidRPr="00F02C3C">
        <w:rPr>
          <w:b/>
          <w:szCs w:val="22"/>
        </w:rPr>
        <w:t xml:space="preserve"> requirements and service. </w:t>
      </w:r>
    </w:p>
    <w:p w:rsidR="009C5325" w:rsidRPr="00F02C3C" w:rsidP="009C5325" w14:paraId="6C33710A" w14:textId="77777777">
      <w:pPr>
        <w:tabs>
          <w:tab w:val="left" w:pos="720"/>
        </w:tabs>
        <w:spacing w:after="120"/>
        <w:ind w:left="720"/>
        <w:rPr>
          <w:szCs w:val="22"/>
        </w:rPr>
      </w:pPr>
      <w:r w:rsidRPr="00F02C3C">
        <w:rPr>
          <w:szCs w:val="22"/>
        </w:rPr>
        <w:t>* * * * *</w:t>
      </w:r>
    </w:p>
    <w:p w:rsidR="009C5325" w:rsidRPr="00F02C3C" w:rsidP="009C5325" w14:paraId="6A8DA397" w14:textId="3346C5D7">
      <w:pPr>
        <w:spacing w:after="120"/>
        <w:ind w:left="720"/>
        <w:rPr>
          <w:szCs w:val="22"/>
        </w:rPr>
        <w:sectPr w:rsidSect="009C5325">
          <w:footerReference w:type="default" r:id="rId14"/>
          <w:headerReference w:type="first" r:id="rId15"/>
          <w:footnotePr>
            <w:numRestart w:val="eachSect"/>
          </w:footnotePr>
          <w:endnotePr>
            <w:numFmt w:val="decimal"/>
          </w:endnotePr>
          <w:pgSz w:w="12240" w:h="15840"/>
          <w:pgMar w:top="1440" w:right="1440" w:bottom="720" w:left="1440" w:header="630" w:footer="720" w:gutter="0"/>
          <w:cols w:space="720"/>
          <w:noEndnote/>
          <w:docGrid w:linePitch="299"/>
        </w:sectPr>
      </w:pPr>
      <w:r w:rsidRPr="00F02C3C">
        <w:rPr>
          <w:rFonts w:eastAsia="Calibri"/>
          <w:szCs w:val="22"/>
        </w:rPr>
        <w:t xml:space="preserve">(g) </w:t>
      </w:r>
      <w:r w:rsidRPr="00F02C3C">
        <w:rPr>
          <w:rFonts w:eastAsia="Calibri"/>
          <w:i/>
          <w:iCs/>
          <w:szCs w:val="22"/>
        </w:rPr>
        <w:t>Application Limit</w:t>
      </w:r>
      <w:r w:rsidRPr="00F02C3C">
        <w:rPr>
          <w:rFonts w:eastAsia="Calibri"/>
          <w:szCs w:val="22"/>
        </w:rPr>
        <w:t xml:space="preserve">.  </w:t>
      </w:r>
      <w:r w:rsidRPr="00F02C3C">
        <w:rPr>
          <w:szCs w:val="22"/>
        </w:rPr>
        <w:t xml:space="preserve">An applicant may file no more than a total of </w:t>
      </w:r>
      <w:r w:rsidRPr="00F02C3C" w:rsidR="0017653A">
        <w:rPr>
          <w:szCs w:val="22"/>
        </w:rPr>
        <w:t>10</w:t>
      </w:r>
      <w:r w:rsidRPr="00F02C3C">
        <w:rPr>
          <w:szCs w:val="22"/>
        </w:rPr>
        <w:t xml:space="preserve"> applications in the 2021 NCE FM filing window.  A party to an application filed in the 2021 NCE FM filing window may hold attributable interests, as defined in § 73.7000, in no more than a total of </w:t>
      </w:r>
      <w:r w:rsidRPr="00F02C3C" w:rsidR="0017653A">
        <w:rPr>
          <w:szCs w:val="22"/>
        </w:rPr>
        <w:t>10</w:t>
      </w:r>
      <w:r w:rsidRPr="00F02C3C">
        <w:rPr>
          <w:szCs w:val="22"/>
        </w:rPr>
        <w:t xml:space="preserve"> applications filed in the window.  If it is determined that any party to an application has an attributable interest in more than </w:t>
      </w:r>
      <w:r w:rsidRPr="00F02C3C" w:rsidR="0017653A">
        <w:rPr>
          <w:szCs w:val="22"/>
        </w:rPr>
        <w:t>10</w:t>
      </w:r>
      <w:r w:rsidRPr="00F02C3C">
        <w:rPr>
          <w:szCs w:val="22"/>
        </w:rPr>
        <w:t xml:space="preserve"> applications, the Media Bureau will retain the </w:t>
      </w:r>
      <w:r w:rsidRPr="00F02C3C" w:rsidR="0017653A">
        <w:rPr>
          <w:szCs w:val="22"/>
        </w:rPr>
        <w:t>10</w:t>
      </w:r>
      <w:r w:rsidRPr="00F02C3C">
        <w:rPr>
          <w:szCs w:val="22"/>
        </w:rPr>
        <w:t xml:space="preserve"> applications that were filed first – based on the date of application receipt – and dismiss all other applications.</w:t>
      </w:r>
    </w:p>
    <w:p w:rsidR="009C5325" w:rsidRPr="00F02C3C" w:rsidP="009C5325" w14:paraId="53EDBF29" w14:textId="1628BF78">
      <w:pPr>
        <w:pageBreakBefore/>
        <w:tabs>
          <w:tab w:val="left" w:pos="720"/>
        </w:tabs>
        <w:spacing w:after="120"/>
        <w:jc w:val="center"/>
        <w:outlineLvl w:val="0"/>
        <w:rPr>
          <w:b/>
          <w:szCs w:val="22"/>
        </w:rPr>
      </w:pPr>
      <w:r w:rsidRPr="00F02C3C">
        <w:rPr>
          <w:b/>
          <w:szCs w:val="22"/>
        </w:rPr>
        <w:t>APPENDIX B</w:t>
      </w:r>
    </w:p>
    <w:p w:rsidR="009C5325" w:rsidRPr="00F02C3C" w:rsidP="009C5325" w14:paraId="2639A47B" w14:textId="77777777">
      <w:pPr>
        <w:jc w:val="center"/>
        <w:rPr>
          <w:b/>
          <w:szCs w:val="22"/>
        </w:rPr>
      </w:pPr>
    </w:p>
    <w:p w:rsidR="009C5325" w:rsidRPr="00F02C3C" w:rsidP="009C5325" w14:paraId="0C67D110" w14:textId="236F7CA5">
      <w:pPr>
        <w:jc w:val="center"/>
        <w:rPr>
          <w:b/>
          <w:caps/>
          <w:szCs w:val="22"/>
        </w:rPr>
      </w:pPr>
      <w:r w:rsidRPr="00F02C3C">
        <w:rPr>
          <w:b/>
          <w:szCs w:val="22"/>
        </w:rPr>
        <w:t>Final</w:t>
      </w:r>
      <w:r w:rsidRPr="00F02C3C">
        <w:rPr>
          <w:b/>
          <w:szCs w:val="22"/>
        </w:rPr>
        <w:t xml:space="preserve"> Regulatory Flexibility Analysis</w:t>
      </w:r>
    </w:p>
    <w:p w:rsidR="009C5325" w:rsidRPr="00F02C3C" w:rsidP="009C5325" w14:paraId="05CC0624" w14:textId="77777777">
      <w:pPr>
        <w:jc w:val="center"/>
        <w:rPr>
          <w:b/>
          <w:szCs w:val="22"/>
        </w:rPr>
      </w:pPr>
    </w:p>
    <w:p w:rsidR="005378F4" w:rsidRPr="00F02C3C" w:rsidP="00F8546E" w14:paraId="01DA9A09" w14:textId="099AE9BD">
      <w:pPr>
        <w:pStyle w:val="ParaNum"/>
        <w:numPr>
          <w:ilvl w:val="0"/>
          <w:numId w:val="12"/>
        </w:numPr>
        <w:rPr>
          <w:szCs w:val="22"/>
        </w:rPr>
      </w:pPr>
      <w:r>
        <w:rPr>
          <w:szCs w:val="22"/>
        </w:rPr>
        <w:t xml:space="preserve">      </w:t>
      </w:r>
      <w:r w:rsidRPr="00F02C3C" w:rsidR="009C5325">
        <w:rPr>
          <w:szCs w:val="22"/>
        </w:rPr>
        <w:t xml:space="preserve">As required by </w:t>
      </w:r>
      <w:r w:rsidRPr="00F02C3C">
        <w:rPr>
          <w:szCs w:val="22"/>
          <w:shd w:val="clear" w:color="auto" w:fill="FFFFFF"/>
        </w:rPr>
        <w:t>the Regulatory Flexibility Act of 1980, as amended (RFA),</w:t>
      </w:r>
      <w:r>
        <w:rPr>
          <w:rStyle w:val="FootnoteReference"/>
          <w:szCs w:val="22"/>
          <w:shd w:val="clear" w:color="auto" w:fill="FFFFFF"/>
        </w:rPr>
        <w:footnoteReference w:id="40"/>
      </w:r>
      <w:r w:rsidRPr="00F02C3C">
        <w:rPr>
          <w:szCs w:val="22"/>
          <w:shd w:val="clear" w:color="auto" w:fill="FFFFFF"/>
        </w:rPr>
        <w:t> an Initial Regulatory Flexibility Analysis (IRFA) was incorporated in the </w:t>
      </w:r>
      <w:r w:rsidRPr="00F02C3C" w:rsidR="00E37789">
        <w:rPr>
          <w:szCs w:val="22"/>
          <w:shd w:val="clear" w:color="auto" w:fill="FFFFFF"/>
        </w:rPr>
        <w:t xml:space="preserve">initial Public Notice, </w:t>
      </w:r>
      <w:r w:rsidRPr="00F02C3C" w:rsidR="00E37789">
        <w:rPr>
          <w:i/>
          <w:szCs w:val="22"/>
        </w:rPr>
        <w:t>FCC Seeks Comment on Proposed Application Limit for NCE FM New Station Applications in Upcoming 2021 Window</w:t>
      </w:r>
      <w:r w:rsidRPr="00F02C3C" w:rsidR="00E37789">
        <w:rPr>
          <w:szCs w:val="22"/>
        </w:rPr>
        <w:t xml:space="preserve">, </w:t>
      </w:r>
      <w:r w:rsidRPr="00F02C3C" w:rsidR="00DB18EC">
        <w:rPr>
          <w:szCs w:val="22"/>
        </w:rPr>
        <w:t>FCC 20-145</w:t>
      </w:r>
      <w:r w:rsidRPr="00F02C3C" w:rsidR="00E37789">
        <w:rPr>
          <w:szCs w:val="22"/>
        </w:rPr>
        <w:t xml:space="preserve">, </w:t>
      </w:r>
      <w:r w:rsidRPr="00F02C3C">
        <w:rPr>
          <w:szCs w:val="22"/>
          <w:shd w:val="clear" w:color="auto" w:fill="FFFFFF"/>
        </w:rPr>
        <w:t>in this proceeding</w:t>
      </w:r>
      <w:r w:rsidRPr="00F02C3C" w:rsidR="00E37789">
        <w:rPr>
          <w:szCs w:val="22"/>
          <w:shd w:val="clear" w:color="auto" w:fill="FFFFFF"/>
        </w:rPr>
        <w:t xml:space="preserve"> (Public Notice)</w:t>
      </w:r>
      <w:r w:rsidRPr="00F02C3C">
        <w:rPr>
          <w:szCs w:val="22"/>
          <w:shd w:val="clear" w:color="auto" w:fill="FFFFFF"/>
        </w:rPr>
        <w:t>.</w:t>
      </w:r>
      <w:r>
        <w:rPr>
          <w:rStyle w:val="FootnoteReference"/>
          <w:szCs w:val="22"/>
          <w:shd w:val="clear" w:color="auto" w:fill="FFFFFF"/>
        </w:rPr>
        <w:footnoteReference w:id="41"/>
      </w:r>
      <w:r w:rsidRPr="00F02C3C">
        <w:rPr>
          <w:szCs w:val="22"/>
          <w:shd w:val="clear" w:color="auto" w:fill="FFFFFF"/>
        </w:rPr>
        <w:t> </w:t>
      </w:r>
      <w:r w:rsidRPr="00F02C3C" w:rsidR="00E37789">
        <w:rPr>
          <w:szCs w:val="22"/>
          <w:shd w:val="clear" w:color="auto" w:fill="FFFFFF"/>
        </w:rPr>
        <w:t xml:space="preserve"> </w:t>
      </w:r>
      <w:r w:rsidRPr="00F02C3C">
        <w:rPr>
          <w:szCs w:val="22"/>
          <w:shd w:val="clear" w:color="auto" w:fill="FFFFFF"/>
        </w:rPr>
        <w:t>The Commission sought written public comment on the proposal in the </w:t>
      </w:r>
      <w:r w:rsidRPr="00F02C3C" w:rsidR="00E37789">
        <w:rPr>
          <w:szCs w:val="22"/>
          <w:shd w:val="clear" w:color="auto" w:fill="FFFFFF"/>
        </w:rPr>
        <w:t>Public Notice</w:t>
      </w:r>
      <w:r w:rsidRPr="00F02C3C">
        <w:rPr>
          <w:szCs w:val="22"/>
          <w:shd w:val="clear" w:color="auto" w:fill="FFFFFF"/>
        </w:rPr>
        <w:t>, including comment on the IRFA. We received no comments specifically directed toward the IRFA. This</w:t>
      </w:r>
      <w:r w:rsidRPr="00F02C3C" w:rsidR="00E37789">
        <w:rPr>
          <w:szCs w:val="22"/>
          <w:shd w:val="clear" w:color="auto" w:fill="FFFFFF"/>
        </w:rPr>
        <w:t xml:space="preserve"> present Final Regulatory Flexibility Analysis (FRFA) conforms to the RFA.</w:t>
      </w:r>
      <w:r>
        <w:rPr>
          <w:rStyle w:val="FootnoteReference"/>
          <w:szCs w:val="22"/>
          <w:shd w:val="clear" w:color="auto" w:fill="FFFFFF"/>
        </w:rPr>
        <w:footnoteReference w:id="42"/>
      </w:r>
      <w:r w:rsidRPr="00F02C3C" w:rsidR="00E37789">
        <w:rPr>
          <w:szCs w:val="22"/>
        </w:rPr>
        <w:t xml:space="preserve"> </w:t>
      </w:r>
    </w:p>
    <w:p w:rsidR="009C5325" w:rsidRPr="00F02C3C" w:rsidP="00F8546E" w14:paraId="581EF71F" w14:textId="3D209D40">
      <w:pPr>
        <w:pStyle w:val="Heading2"/>
      </w:pPr>
      <w:bookmarkStart w:id="3" w:name="_Toc138607734"/>
      <w:r w:rsidRPr="00F02C3C">
        <w:t xml:space="preserve">Need for, and Objectives of, the </w:t>
      </w:r>
      <w:r w:rsidRPr="00F02C3C" w:rsidR="0017653A">
        <w:t>10</w:t>
      </w:r>
      <w:r w:rsidRPr="00F02C3C" w:rsidR="002956E0">
        <w:t>-Application</w:t>
      </w:r>
      <w:r w:rsidRPr="00F02C3C">
        <w:t xml:space="preserve"> </w:t>
      </w:r>
      <w:bookmarkEnd w:id="3"/>
      <w:r w:rsidRPr="00F02C3C">
        <w:t>Limit</w:t>
      </w:r>
    </w:p>
    <w:p w:rsidR="009C5325" w:rsidRPr="00F02C3C" w:rsidP="00F8546E" w14:paraId="78788AB6" w14:textId="39BE5E32">
      <w:pPr>
        <w:pStyle w:val="ParaNum"/>
        <w:numPr>
          <w:ilvl w:val="0"/>
          <w:numId w:val="12"/>
        </w:numPr>
        <w:rPr>
          <w:szCs w:val="22"/>
        </w:rPr>
      </w:pPr>
      <w:r>
        <w:rPr>
          <w:spacing w:val="-2"/>
          <w:szCs w:val="22"/>
        </w:rPr>
        <w:t xml:space="preserve">      </w:t>
      </w:r>
      <w:r w:rsidRPr="00F02C3C" w:rsidR="002956E0">
        <w:rPr>
          <w:spacing w:val="-2"/>
          <w:szCs w:val="22"/>
        </w:rPr>
        <w:t xml:space="preserve">In this Public Notice, the Commission adopts a limit </w:t>
      </w:r>
      <w:r w:rsidRPr="00F02C3C" w:rsidR="00151E1B">
        <w:rPr>
          <w:spacing w:val="-2"/>
          <w:szCs w:val="22"/>
        </w:rPr>
        <w:t xml:space="preserve">of </w:t>
      </w:r>
      <w:r w:rsidRPr="00F02C3C" w:rsidR="0017653A">
        <w:rPr>
          <w:spacing w:val="-2"/>
          <w:szCs w:val="22"/>
        </w:rPr>
        <w:t>10</w:t>
      </w:r>
      <w:r w:rsidRPr="00F02C3C" w:rsidR="00151E1B">
        <w:rPr>
          <w:spacing w:val="-2"/>
          <w:szCs w:val="22"/>
        </w:rPr>
        <w:t xml:space="preserve"> noncommercial educational (NCE) FM radio station applications filed by any party during the upcoming 2021 filing window.  </w:t>
      </w:r>
      <w:r w:rsidRPr="00F02C3C">
        <w:rPr>
          <w:spacing w:val="-2"/>
          <w:szCs w:val="22"/>
        </w:rPr>
        <w:t xml:space="preserve">The Commission has determined that, absent a limit on the number of applications that a party may file in the </w:t>
      </w:r>
      <w:r w:rsidRPr="00F02C3C" w:rsidR="00151E1B">
        <w:rPr>
          <w:spacing w:val="-2"/>
          <w:szCs w:val="22"/>
        </w:rPr>
        <w:t xml:space="preserve">upcoming </w:t>
      </w:r>
      <w:r w:rsidRPr="00F02C3C">
        <w:rPr>
          <w:spacing w:val="-2"/>
          <w:szCs w:val="22"/>
        </w:rPr>
        <w:t>filing window, some parties may file a large number of speculative applications, including applications that are mutually exclusive with each other</w:t>
      </w:r>
      <w:r w:rsidRPr="00F02C3C" w:rsidR="00532CB3">
        <w:rPr>
          <w:spacing w:val="-2"/>
          <w:szCs w:val="22"/>
        </w:rPr>
        <w:t>, resulting in procedural delays and the delay of new NCE FM service to the public.</w:t>
      </w:r>
      <w:r w:rsidRPr="00F02C3C">
        <w:rPr>
          <w:spacing w:val="-2"/>
          <w:szCs w:val="22"/>
        </w:rPr>
        <w:t xml:space="preserve">  </w:t>
      </w:r>
      <w:r w:rsidRPr="00F02C3C" w:rsidR="00532CB3">
        <w:rPr>
          <w:spacing w:val="-2"/>
          <w:szCs w:val="22"/>
        </w:rPr>
        <w:t>T</w:t>
      </w:r>
      <w:r w:rsidRPr="00F02C3C">
        <w:rPr>
          <w:spacing w:val="-2"/>
          <w:szCs w:val="22"/>
        </w:rPr>
        <w:t xml:space="preserve">he Commission has </w:t>
      </w:r>
      <w:r w:rsidRPr="00F02C3C" w:rsidR="002956E0">
        <w:rPr>
          <w:spacing w:val="-2"/>
          <w:szCs w:val="22"/>
        </w:rPr>
        <w:t>concluded</w:t>
      </w:r>
      <w:r w:rsidRPr="00F02C3C">
        <w:rPr>
          <w:spacing w:val="-2"/>
          <w:szCs w:val="22"/>
        </w:rPr>
        <w:t xml:space="preserve"> that a limit of </w:t>
      </w:r>
      <w:r w:rsidRPr="00F02C3C" w:rsidR="0017653A">
        <w:rPr>
          <w:spacing w:val="-2"/>
          <w:szCs w:val="22"/>
        </w:rPr>
        <w:t>10</w:t>
      </w:r>
      <w:r w:rsidRPr="00F02C3C">
        <w:rPr>
          <w:spacing w:val="-2"/>
          <w:szCs w:val="22"/>
        </w:rPr>
        <w:t xml:space="preserve"> applications for new NCE FM construction permits in the filing window is an appropriate procedural safeguard to deter speculation and permit the expeditious processing of the NCE FM applications </w:t>
      </w:r>
      <w:r w:rsidRPr="00F02C3C" w:rsidR="00532CB3">
        <w:rPr>
          <w:spacing w:val="-2"/>
          <w:szCs w:val="22"/>
        </w:rPr>
        <w:t xml:space="preserve">while still allowing </w:t>
      </w:r>
      <w:r w:rsidRPr="00F02C3C" w:rsidR="00161F72">
        <w:rPr>
          <w:spacing w:val="-2"/>
          <w:szCs w:val="22"/>
        </w:rPr>
        <w:t>applicants meaningful opportunities to expand NCE FM service</w:t>
      </w:r>
      <w:r w:rsidRPr="00F02C3C">
        <w:rPr>
          <w:spacing w:val="-2"/>
          <w:szCs w:val="22"/>
        </w:rPr>
        <w:t xml:space="preserve">.  The Commission believes that the </w:t>
      </w:r>
      <w:r w:rsidRPr="00F02C3C" w:rsidR="002956E0">
        <w:rPr>
          <w:spacing w:val="-2"/>
          <w:szCs w:val="22"/>
        </w:rPr>
        <w:t>adopted</w:t>
      </w:r>
      <w:r w:rsidRPr="00F02C3C">
        <w:rPr>
          <w:spacing w:val="-2"/>
          <w:szCs w:val="22"/>
        </w:rPr>
        <w:t xml:space="preserve"> limit will benefit small entities, as defined below.</w:t>
      </w:r>
      <w:r w:rsidRPr="00F02C3C">
        <w:rPr>
          <w:szCs w:val="22"/>
        </w:rPr>
        <w:t xml:space="preserve"> </w:t>
      </w:r>
    </w:p>
    <w:p w:rsidR="009C5325" w:rsidRPr="00F02C3C" w:rsidP="00F8546E" w14:paraId="436E683F" w14:textId="77CDA24B">
      <w:pPr>
        <w:pStyle w:val="Heading2"/>
      </w:pPr>
      <w:r w:rsidRPr="00F02C3C">
        <w:t>Summary of Significant Issues Raised by Public Comments in Response to the IRFA</w:t>
      </w:r>
    </w:p>
    <w:p w:rsidR="009C5325" w:rsidRPr="00F02C3C" w:rsidP="00F8546E" w14:paraId="7DA203BD" w14:textId="5E2533A3">
      <w:pPr>
        <w:pStyle w:val="ParaNum"/>
        <w:rPr>
          <w:szCs w:val="22"/>
        </w:rPr>
      </w:pPr>
      <w:r w:rsidRPr="00F02C3C">
        <w:rPr>
          <w:szCs w:val="22"/>
        </w:rPr>
        <w:t>The</w:t>
      </w:r>
      <w:r w:rsidRPr="00F02C3C" w:rsidR="00C3044E">
        <w:rPr>
          <w:szCs w:val="22"/>
        </w:rPr>
        <w:t>re were no comments filed in response to the IRFA.</w:t>
      </w:r>
    </w:p>
    <w:p w:rsidR="004409DC" w:rsidRPr="00F02C3C" w:rsidP="00F8546E" w14:paraId="543AD133" w14:textId="345D4458">
      <w:pPr>
        <w:pStyle w:val="Heading2"/>
      </w:pPr>
      <w:r w:rsidRPr="00F02C3C">
        <w:t>Response to Comments by the Chief Counsel for Advocacy of the Small Business Administration</w:t>
      </w:r>
    </w:p>
    <w:p w:rsidR="00C3044E" w:rsidRPr="00F02C3C" w:rsidP="00F8546E" w14:paraId="1DEBE0D1" w14:textId="2DCBA1EC">
      <w:pPr>
        <w:pStyle w:val="ParaNum"/>
        <w:rPr>
          <w:szCs w:val="22"/>
        </w:rPr>
      </w:pPr>
      <w:r w:rsidRPr="00F02C3C">
        <w:rPr>
          <w:szCs w:val="22"/>
          <w:shd w:val="clear" w:color="auto" w:fill="FFFFFF"/>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Cs w:val="22"/>
          <w:shd w:val="clear" w:color="auto" w:fill="FFFFFF"/>
        </w:rPr>
        <w:footnoteReference w:id="43"/>
      </w:r>
      <w:r w:rsidRPr="00F02C3C">
        <w:rPr>
          <w:szCs w:val="22"/>
          <w:bdr w:val="none" w:sz="0" w:space="0" w:color="auto" w:frame="1"/>
          <w:shd w:val="clear" w:color="auto" w:fill="FFFFFF"/>
          <w:vertAlign w:val="superscript"/>
        </w:rPr>
        <w:t xml:space="preserve">  </w:t>
      </w:r>
      <w:r w:rsidRPr="00F02C3C">
        <w:rPr>
          <w:szCs w:val="22"/>
          <w:shd w:val="clear" w:color="auto" w:fill="FFFFFF"/>
        </w:rPr>
        <w:t>The Chief Counsel did not file any comments in response to the proposed rule in this proceeding.</w:t>
      </w:r>
    </w:p>
    <w:p w:rsidR="009C5325" w:rsidRPr="00F02C3C" w:rsidP="00F8546E" w14:paraId="4B76551B" w14:textId="7394D0ED">
      <w:pPr>
        <w:pStyle w:val="Heading2"/>
      </w:pPr>
      <w:bookmarkStart w:id="4" w:name="_Toc138607736"/>
      <w:r w:rsidRPr="00F02C3C">
        <w:t xml:space="preserve">Description and Estimate of the Number of Small Entities </w:t>
      </w:r>
      <w:r w:rsidRPr="00F02C3C">
        <w:t>To</w:t>
      </w:r>
      <w:r w:rsidRPr="00F02C3C">
        <w:t xml:space="preserve"> Which the Proposed Procedures Will Apply</w:t>
      </w:r>
      <w:bookmarkEnd w:id="4"/>
    </w:p>
    <w:p w:rsidR="009C5325" w:rsidRPr="00F02C3C" w:rsidP="00F8546E" w14:paraId="15ABD8EF" w14:textId="77777777">
      <w:pPr>
        <w:pStyle w:val="ParaNum"/>
        <w:widowControl/>
        <w:rPr>
          <w:szCs w:val="22"/>
        </w:rPr>
      </w:pPr>
      <w:r w:rsidRPr="00F02C3C">
        <w:rPr>
          <w:szCs w:val="22"/>
        </w:rPr>
        <w:t>The RFA directs agencies to provide a description of, and, where feasible, an estimate of the number of small entities that may be affected by the proposed procedures, if adopted.</w:t>
      </w:r>
      <w:r>
        <w:rPr>
          <w:rStyle w:val="FootnoteReference"/>
          <w:spacing w:val="-2"/>
          <w:szCs w:val="22"/>
        </w:rPr>
        <w:footnoteReference w:id="44"/>
      </w:r>
      <w:r w:rsidRPr="00F02C3C">
        <w:rPr>
          <w:szCs w:val="22"/>
        </w:rPr>
        <w:t xml:space="preserve">  The RFA defines the term “small entity” as having the same meaning as the terms “small business,” “small </w:t>
      </w:r>
      <w:r w:rsidRPr="00F02C3C">
        <w:rPr>
          <w:szCs w:val="22"/>
        </w:rPr>
        <w:t>organization,” and “small governmental entity” under Section 3 of the Small Business Act.</w:t>
      </w:r>
      <w:r>
        <w:rPr>
          <w:rStyle w:val="FootnoteReference"/>
          <w:spacing w:val="-2"/>
          <w:szCs w:val="22"/>
        </w:rPr>
        <w:footnoteReference w:id="45"/>
      </w:r>
      <w:r w:rsidRPr="00F02C3C">
        <w:rPr>
          <w:szCs w:val="22"/>
        </w:rPr>
        <w:t xml:space="preserve">  In addition, the term “small business” has the same meaning as the term “small business concern” under the Small Business Act.</w:t>
      </w:r>
      <w:r>
        <w:rPr>
          <w:rStyle w:val="FootnoteReference"/>
          <w:spacing w:val="-2"/>
          <w:szCs w:val="22"/>
        </w:rPr>
        <w:footnoteReference w:id="46"/>
      </w:r>
      <w:r w:rsidRPr="00F02C3C">
        <w:rPr>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47"/>
      </w:r>
    </w:p>
    <w:p w:rsidR="009C5325" w:rsidRPr="00F02C3C" w:rsidP="00F8546E" w14:paraId="1372C62B" w14:textId="079C079B">
      <w:pPr>
        <w:pStyle w:val="ParaNum"/>
        <w:rPr>
          <w:szCs w:val="22"/>
        </w:rPr>
      </w:pPr>
      <w:r w:rsidRPr="00F02C3C">
        <w:rPr>
          <w:rStyle w:val="Emphasis"/>
          <w:szCs w:val="22"/>
          <w:bdr w:val="none" w:sz="0" w:space="0" w:color="auto" w:frame="1"/>
          <w:shd w:val="clear" w:color="auto" w:fill="FFFFFF"/>
        </w:rPr>
        <w:t>NCE FM Radio Stations</w:t>
      </w:r>
      <w:r w:rsidRPr="00F02C3C">
        <w:rPr>
          <w:szCs w:val="22"/>
          <w:shd w:val="clear" w:color="auto" w:fill="FFFFFF"/>
        </w:rPr>
        <w:t>.  The application limit appl</w:t>
      </w:r>
      <w:r w:rsidRPr="00F02C3C" w:rsidR="00CC2C44">
        <w:rPr>
          <w:szCs w:val="22"/>
          <w:shd w:val="clear" w:color="auto" w:fill="FFFFFF"/>
        </w:rPr>
        <w:t>ies</w:t>
      </w:r>
      <w:r w:rsidRPr="00F02C3C">
        <w:rPr>
          <w:szCs w:val="22"/>
          <w:shd w:val="clear" w:color="auto" w:fill="FFFFFF"/>
        </w:rPr>
        <w:t xml:space="preserve"> to potential licensees of the NCE FM radio service. This Economic Census category “comprises establishments primarily engaged in broadcasting aural programs by radio to the public.”</w:t>
      </w:r>
      <w:r>
        <w:rPr>
          <w:rStyle w:val="FootnoteReference"/>
          <w:szCs w:val="22"/>
          <w:shd w:val="clear" w:color="auto" w:fill="FFFFFF"/>
        </w:rPr>
        <w:footnoteReference w:id="48"/>
      </w:r>
      <w:r w:rsidRPr="00F02C3C">
        <w:rPr>
          <w:szCs w:val="22"/>
          <w:shd w:val="clear" w:color="auto" w:fill="FFFFFF"/>
        </w:rPr>
        <w:t>  The SBA has created the following small business size standard for this category:  those having $41.5 million or less in annual receipts.</w:t>
      </w:r>
      <w:r>
        <w:rPr>
          <w:rStyle w:val="FootnoteReference"/>
          <w:szCs w:val="22"/>
          <w:shd w:val="clear" w:color="auto" w:fill="FFFFFF"/>
        </w:rPr>
        <w:footnoteReference w:id="49"/>
      </w:r>
      <w:r w:rsidRPr="00F02C3C">
        <w:rPr>
          <w:szCs w:val="22"/>
          <w:shd w:val="clear" w:color="auto" w:fill="FFFFFF"/>
        </w:rPr>
        <w:t>  Census data for 2012 show that 2,849 firms in this category operated in that year.</w:t>
      </w:r>
      <w:r>
        <w:rPr>
          <w:rStyle w:val="FootnoteReference"/>
          <w:szCs w:val="22"/>
          <w:shd w:val="clear" w:color="auto" w:fill="FFFFFF"/>
        </w:rPr>
        <w:footnoteReference w:id="50"/>
      </w:r>
      <w:r w:rsidRPr="00F02C3C">
        <w:rPr>
          <w:szCs w:val="22"/>
          <w:shd w:val="clear" w:color="auto" w:fill="FFFFFF"/>
        </w:rPr>
        <w:t>  Of this number, 2,806 firms had annual receipts of less than $25 million, and 43 firms had annual receipts of $25 million or more.</w:t>
      </w:r>
      <w:r>
        <w:rPr>
          <w:rStyle w:val="FootnoteReference"/>
          <w:szCs w:val="22"/>
          <w:shd w:val="clear" w:color="auto" w:fill="FFFFFF"/>
        </w:rPr>
        <w:footnoteReference w:id="51"/>
      </w:r>
      <w:r w:rsidRPr="00F02C3C">
        <w:rPr>
          <w:szCs w:val="22"/>
          <w:shd w:val="clear" w:color="auto" w:fill="FFFFFF"/>
        </w:rPr>
        <w:t>  Because the Census has no additional classifications that could serve as a basis for determining the number of stations whose receipts exceeded $41.5 million in that year, we conclude that the majority of radio broadcast stations were small entities under the applicable SBA size standard.  In addition, the Commission has estimated the number of NCE FM radio stations to be 4,19</w:t>
      </w:r>
      <w:r w:rsidRPr="00F02C3C" w:rsidR="00CB717A">
        <w:rPr>
          <w:szCs w:val="22"/>
          <w:shd w:val="clear" w:color="auto" w:fill="FFFFFF"/>
        </w:rPr>
        <w:t>5</w:t>
      </w:r>
      <w:r w:rsidRPr="00F02C3C">
        <w:rPr>
          <w:szCs w:val="22"/>
          <w:shd w:val="clear" w:color="auto" w:fill="FFFFFF"/>
        </w:rPr>
        <w:t>.</w:t>
      </w:r>
      <w:r>
        <w:rPr>
          <w:rStyle w:val="FootnoteReference"/>
          <w:szCs w:val="22"/>
          <w:shd w:val="clear" w:color="auto" w:fill="FFFFFF"/>
        </w:rPr>
        <w:footnoteReference w:id="52"/>
      </w:r>
      <w:r w:rsidRPr="00F02C3C">
        <w:rPr>
          <w:szCs w:val="22"/>
          <w:shd w:val="clear" w:color="auto" w:fill="FFFFFF"/>
        </w:rPr>
        <w:t>  Because NCE licensees must be non-profit, we will presume that all are small entities.</w:t>
      </w:r>
    </w:p>
    <w:p w:rsidR="009C5325" w:rsidRPr="00F02C3C" w:rsidP="00F8546E" w14:paraId="61651A0B" w14:textId="77777777">
      <w:pPr>
        <w:pStyle w:val="Heading2"/>
      </w:pPr>
      <w:bookmarkStart w:id="5" w:name="_Toc138607737"/>
      <w:r w:rsidRPr="00F02C3C">
        <w:t>Description of Projected Reporting, Recordkeeping, and Other Compliance Requirements</w:t>
      </w:r>
      <w:bookmarkEnd w:id="5"/>
    </w:p>
    <w:p w:rsidR="009C5325" w:rsidRPr="00F02C3C" w:rsidP="00F8546E" w14:paraId="778E6C20" w14:textId="16FE6F71">
      <w:pPr>
        <w:pStyle w:val="ParaNum"/>
        <w:rPr>
          <w:szCs w:val="22"/>
        </w:rPr>
      </w:pPr>
      <w:r w:rsidRPr="00F02C3C">
        <w:rPr>
          <w:snapToGrid/>
          <w:szCs w:val="22"/>
        </w:rPr>
        <w:t xml:space="preserve">We anticipate that none of the changes adopted </w:t>
      </w:r>
      <w:r w:rsidRPr="00F02C3C">
        <w:rPr>
          <w:snapToGrid/>
          <w:szCs w:val="22"/>
        </w:rPr>
        <w:t>as a result of</w:t>
      </w:r>
      <w:r w:rsidRPr="00F02C3C">
        <w:rPr>
          <w:snapToGrid/>
          <w:szCs w:val="22"/>
        </w:rPr>
        <w:t xml:space="preserve"> the Public Notice w</w:t>
      </w:r>
      <w:r w:rsidRPr="00F02C3C" w:rsidR="004B4BBE">
        <w:rPr>
          <w:snapToGrid/>
          <w:szCs w:val="22"/>
        </w:rPr>
        <w:t>ill</w:t>
      </w:r>
      <w:r w:rsidRPr="00F02C3C">
        <w:rPr>
          <w:snapToGrid/>
          <w:szCs w:val="22"/>
        </w:rPr>
        <w:t xml:space="preserve"> result in an increase to the reporting and recordkeeping requirements of broadcast stations or applicants for NCE FM authorizations.  </w:t>
      </w:r>
      <w:bookmarkStart w:id="6" w:name="_Toc138607738"/>
    </w:p>
    <w:p w:rsidR="009C5325" w:rsidRPr="00F02C3C" w:rsidP="00F8546E" w14:paraId="2DD6F3BF" w14:textId="395F3AC2">
      <w:pPr>
        <w:pStyle w:val="Heading2"/>
      </w:pPr>
      <w:r w:rsidRPr="00F02C3C">
        <w:t>Steps Taken to Minimize Significant Impact on Small Entities, and Significant Alternatives Considered</w:t>
      </w:r>
      <w:bookmarkEnd w:id="6"/>
      <w:r w:rsidRPr="00F02C3C">
        <w:t xml:space="preserve"> </w:t>
      </w:r>
    </w:p>
    <w:p w:rsidR="009C5325" w:rsidRPr="00F02C3C" w:rsidP="00F8546E" w14:paraId="27DF072C" w14:textId="77777777">
      <w:pPr>
        <w:pStyle w:val="ParaNum"/>
        <w:widowControl/>
        <w:rPr>
          <w:szCs w:val="22"/>
        </w:rPr>
      </w:pPr>
      <w:r w:rsidRPr="00F02C3C">
        <w:rPr>
          <w:szCs w:val="22"/>
        </w:rPr>
        <w:t xml:space="preserve">The RFA requires an agency to describe any significant alternatives that it has considered in reaching its proposed approach, which may include the following four alternatives (among others): (a) the establishment of differing compliance or reporting requirements or timetables that take into account the resources available to small entities; (b) the clarification, consolidation, or simplification of compliance or reporting requirements under the rule for small entities; (c) the use of performance, rather </w:t>
      </w:r>
      <w:r w:rsidRPr="00F02C3C">
        <w:rPr>
          <w:szCs w:val="22"/>
        </w:rPr>
        <w:t>than design, standards; and (d) an exemption from coverage of the rule, or any part thereof, for small entities.</w:t>
      </w:r>
      <w:r>
        <w:rPr>
          <w:rStyle w:val="FootnoteReference"/>
          <w:kern w:val="0"/>
          <w:szCs w:val="22"/>
        </w:rPr>
        <w:footnoteReference w:id="53"/>
      </w:r>
    </w:p>
    <w:p w:rsidR="009C5325" w:rsidRPr="00F02C3C" w:rsidP="00F8546E" w14:paraId="1DE93B81" w14:textId="3908C43A">
      <w:pPr>
        <w:pStyle w:val="ParaNum"/>
        <w:rPr>
          <w:szCs w:val="22"/>
        </w:rPr>
      </w:pPr>
      <w:r w:rsidRPr="00F02C3C">
        <w:rPr>
          <w:kern w:val="0"/>
          <w:szCs w:val="22"/>
        </w:rPr>
        <w:t xml:space="preserve">We are directed under law to </w:t>
      </w:r>
      <w:r w:rsidRPr="00F02C3C">
        <w:rPr>
          <w:szCs w:val="22"/>
        </w:rPr>
        <w:t>describe</w:t>
      </w:r>
      <w:r w:rsidRPr="00F02C3C">
        <w:rPr>
          <w:kern w:val="0"/>
          <w:szCs w:val="22"/>
        </w:rPr>
        <w:t xml:space="preserve"> any alternatives we consider</w:t>
      </w:r>
      <w:r w:rsidRPr="00F02C3C" w:rsidR="001456E3">
        <w:rPr>
          <w:kern w:val="0"/>
          <w:szCs w:val="22"/>
        </w:rPr>
        <w:t>ed</w:t>
      </w:r>
      <w:r w:rsidRPr="00F02C3C">
        <w:rPr>
          <w:kern w:val="0"/>
          <w:szCs w:val="22"/>
        </w:rPr>
        <w:t>, including alternatives not explicitly listed above.</w:t>
      </w:r>
      <w:r>
        <w:rPr>
          <w:rStyle w:val="FootnoteReference"/>
          <w:kern w:val="0"/>
          <w:szCs w:val="22"/>
        </w:rPr>
        <w:footnoteReference w:id="54"/>
      </w:r>
      <w:r w:rsidRPr="00F02C3C">
        <w:rPr>
          <w:kern w:val="0"/>
          <w:szCs w:val="22"/>
        </w:rPr>
        <w:t xml:space="preserve">  The </w:t>
      </w:r>
      <w:r w:rsidRPr="00F02C3C" w:rsidR="001456E3">
        <w:rPr>
          <w:kern w:val="0"/>
          <w:szCs w:val="22"/>
        </w:rPr>
        <w:t xml:space="preserve">adopted </w:t>
      </w:r>
      <w:r w:rsidRPr="00F02C3C" w:rsidR="0017653A">
        <w:rPr>
          <w:kern w:val="0"/>
          <w:szCs w:val="22"/>
        </w:rPr>
        <w:t>10</w:t>
      </w:r>
      <w:r w:rsidRPr="00F02C3C" w:rsidR="001456E3">
        <w:rPr>
          <w:kern w:val="0"/>
          <w:szCs w:val="22"/>
        </w:rPr>
        <w:t xml:space="preserve">-application </w:t>
      </w:r>
      <w:r w:rsidRPr="00F02C3C">
        <w:rPr>
          <w:kern w:val="0"/>
          <w:szCs w:val="22"/>
        </w:rPr>
        <w:t>limit is intended to benefit all small NCE entities seeking to establish a new NCE FM service on a local or regional basis by preventing mass filings of speculative applications.  Th</w:t>
      </w:r>
      <w:r w:rsidRPr="00F02C3C" w:rsidR="001456E3">
        <w:rPr>
          <w:kern w:val="0"/>
          <w:szCs w:val="22"/>
        </w:rPr>
        <w:t>is</w:t>
      </w:r>
      <w:r w:rsidRPr="00F02C3C">
        <w:rPr>
          <w:kern w:val="0"/>
          <w:szCs w:val="22"/>
        </w:rPr>
        <w:t xml:space="preserve"> </w:t>
      </w:r>
      <w:r w:rsidRPr="00F02C3C" w:rsidR="001456E3">
        <w:rPr>
          <w:kern w:val="0"/>
          <w:szCs w:val="22"/>
        </w:rPr>
        <w:t xml:space="preserve">limit </w:t>
      </w:r>
      <w:r w:rsidRPr="00F02C3C">
        <w:rPr>
          <w:kern w:val="0"/>
          <w:szCs w:val="22"/>
        </w:rPr>
        <w:t xml:space="preserve">should benefit </w:t>
      </w:r>
      <w:r w:rsidRPr="00F02C3C" w:rsidR="001456E3">
        <w:rPr>
          <w:kern w:val="0"/>
          <w:szCs w:val="22"/>
        </w:rPr>
        <w:t xml:space="preserve">all </w:t>
      </w:r>
      <w:r w:rsidRPr="00F02C3C">
        <w:rPr>
          <w:kern w:val="0"/>
          <w:szCs w:val="22"/>
        </w:rPr>
        <w:t xml:space="preserve">applicants by expediting the review and processing of applications filed during the window.  </w:t>
      </w:r>
      <w:r w:rsidRPr="00F02C3C" w:rsidR="001456E3">
        <w:t xml:space="preserve">Based on the record in this proceeding, we have concluded that a lower limit would not effectively meet the demand </w:t>
      </w:r>
      <w:r w:rsidRPr="00F02C3C" w:rsidR="00985D09">
        <w:t>f</w:t>
      </w:r>
      <w:r w:rsidRPr="00F02C3C" w:rsidR="001456E3">
        <w:t xml:space="preserve">or new NCE FM channels, whereas a higher limit would impose unacceptable processing delays on all applicants, overriding any potential benefits to </w:t>
      </w:r>
      <w:r w:rsidRPr="00F02C3C" w:rsidR="00985D09">
        <w:t>the</w:t>
      </w:r>
      <w:r w:rsidRPr="00F02C3C" w:rsidR="001456E3">
        <w:t xml:space="preserve"> few applicants interested in filing more than </w:t>
      </w:r>
      <w:r w:rsidRPr="00F02C3C" w:rsidR="00ED6EE9">
        <w:t>10</w:t>
      </w:r>
      <w:r w:rsidRPr="00F02C3C" w:rsidR="001456E3">
        <w:t xml:space="preserve"> applications in this window.  </w:t>
      </w:r>
      <w:r w:rsidRPr="00F02C3C">
        <w:rPr>
          <w:kern w:val="0"/>
          <w:szCs w:val="22"/>
        </w:rPr>
        <w:t xml:space="preserve">The </w:t>
      </w:r>
      <w:r w:rsidRPr="00F02C3C" w:rsidR="00985D09">
        <w:rPr>
          <w:kern w:val="0"/>
          <w:szCs w:val="22"/>
        </w:rPr>
        <w:t>adopted</w:t>
      </w:r>
      <w:r w:rsidRPr="00F02C3C">
        <w:rPr>
          <w:kern w:val="0"/>
          <w:szCs w:val="22"/>
        </w:rPr>
        <w:t xml:space="preserve"> limit does not impose any significant compliance or reporting requirements because it would merely set a limit on the number of applications for new NCE FM authorizations that a party could file during the window.  Accordingly, we are not aware of any alternatives that would benefit small entities.        </w:t>
      </w:r>
    </w:p>
    <w:p w:rsidR="009C5325" w:rsidRPr="00F02C3C" w:rsidP="00F8546E" w14:paraId="179C764B" w14:textId="214350CF">
      <w:pPr>
        <w:pStyle w:val="Heading2"/>
      </w:pPr>
      <w:r w:rsidRPr="00F02C3C">
        <w:t>Report to Congress</w:t>
      </w:r>
    </w:p>
    <w:p w:rsidR="00930ECF" w:rsidRPr="00F02C3C" w:rsidP="00F8546E" w14:paraId="0E686AC4" w14:textId="6D2BB66C">
      <w:pPr>
        <w:pStyle w:val="ParaNum"/>
        <w:rPr>
          <w:szCs w:val="22"/>
        </w:rPr>
      </w:pPr>
      <w:r w:rsidRPr="00F02C3C">
        <w:rPr>
          <w:szCs w:val="22"/>
          <w:shd w:val="clear" w:color="auto" w:fill="FFFFFF"/>
        </w:rPr>
        <w:t>The Commission will send a copy of the Public Notice, including this FRFA, in a report to be sent to Congress pursuant to the Congressional Review Act.</w:t>
      </w:r>
      <w:r>
        <w:rPr>
          <w:rStyle w:val="FootnoteReference"/>
          <w:szCs w:val="22"/>
          <w:shd w:val="clear" w:color="auto" w:fill="FFFFFF"/>
        </w:rPr>
        <w:footnoteReference w:id="55"/>
      </w:r>
      <w:r w:rsidRPr="00F02C3C">
        <w:rPr>
          <w:szCs w:val="22"/>
          <w:shd w:val="clear" w:color="auto" w:fill="FFFFFF"/>
        </w:rPr>
        <w:t xml:space="preserve">  In addition, the Commission will send a copy of the Public Notice, including this FRFA, to the Chief Counsel for Advocacy of the SBA. </w:t>
      </w:r>
      <w:r w:rsidRPr="00F02C3C" w:rsidR="00B5044F">
        <w:rPr>
          <w:szCs w:val="22"/>
          <w:shd w:val="clear" w:color="auto" w:fill="FFFFFF"/>
        </w:rPr>
        <w:t xml:space="preserve"> </w:t>
      </w:r>
      <w:r w:rsidRPr="00F02C3C">
        <w:rPr>
          <w:szCs w:val="22"/>
          <w:shd w:val="clear" w:color="auto" w:fill="FFFFFF"/>
        </w:rPr>
        <w:t>A copy of the Public Notice and FRFA (or summaries thereof) will also be published in the Federal Register.</w:t>
      </w:r>
      <w:bookmarkEnd w:id="0"/>
      <w:bookmarkEnd w:id="1"/>
    </w:p>
    <w:sectPr w:rsidSect="009C5325">
      <w:footerReference w:type="default" r:id="rId16"/>
      <w:headerReference w:type="first" r:id="rId17"/>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064" w:rsidP="0055614C" w14:paraId="4C7814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94064" w14:paraId="35BA96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064" w:rsidP="00910F12" w14:paraId="088453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064" w14:paraId="3F50278B"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325" w:rsidP="00910F12" w14:paraId="338799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325" w:rsidP="00910F12" w14:paraId="060E6C6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09E4" w14:paraId="32ADDBA5" w14:textId="77777777">
      <w:r>
        <w:separator/>
      </w:r>
    </w:p>
  </w:footnote>
  <w:footnote w:type="continuationSeparator" w:id="1">
    <w:p w:rsidR="00D509E4" w14:paraId="132CC2DA" w14:textId="77777777">
      <w:pPr>
        <w:rPr>
          <w:sz w:val="20"/>
        </w:rPr>
      </w:pPr>
      <w:r>
        <w:rPr>
          <w:sz w:val="20"/>
        </w:rPr>
        <w:t xml:space="preserve">(Continued from previous page)  </w:t>
      </w:r>
      <w:r>
        <w:rPr>
          <w:sz w:val="20"/>
        </w:rPr>
        <w:separator/>
      </w:r>
    </w:p>
  </w:footnote>
  <w:footnote w:type="continuationNotice" w:id="2">
    <w:p w:rsidR="00D509E4" w:rsidP="00910F12" w14:paraId="0FE839A8" w14:textId="77777777">
      <w:pPr>
        <w:jc w:val="right"/>
        <w:rPr>
          <w:sz w:val="20"/>
        </w:rPr>
      </w:pPr>
      <w:r>
        <w:rPr>
          <w:sz w:val="20"/>
        </w:rPr>
        <w:t>(continued….)</w:t>
      </w:r>
    </w:p>
  </w:footnote>
  <w:footnote w:id="3">
    <w:p w:rsidR="00DF728C" w:rsidRPr="00F02C3C" w14:paraId="3404DCE4" w14:textId="627960E9">
      <w:pPr>
        <w:pStyle w:val="FootnoteText"/>
      </w:pPr>
      <w:r w:rsidRPr="00F02C3C">
        <w:rPr>
          <w:rStyle w:val="FootnoteReference"/>
        </w:rPr>
        <w:footnoteRef/>
      </w:r>
      <w:r w:rsidRPr="00F02C3C">
        <w:t xml:space="preserve"> </w:t>
      </w:r>
      <w:bookmarkStart w:id="2" w:name="_Hlk61013943"/>
      <w:r w:rsidRPr="00F02C3C" w:rsidR="00526A94">
        <w:rPr>
          <w:i/>
          <w:iCs/>
        </w:rPr>
        <w:t>See FCC Seeks Comment on Proposed Application Limit for NCE FM New Station Applications in Upcoming 2021 Window</w:t>
      </w:r>
      <w:r w:rsidRPr="00F02C3C" w:rsidR="00526A94">
        <w:t>, Public Notice, MB Docket No. 20-343</w:t>
      </w:r>
      <w:r w:rsidRPr="00F02C3C" w:rsidR="00E76D46">
        <w:t>, FCC 20-145</w:t>
      </w:r>
      <w:r w:rsidRPr="00F02C3C" w:rsidR="00526A94">
        <w:t xml:space="preserve"> (Oct. 19, 2020)</w:t>
      </w:r>
      <w:r w:rsidRPr="00F02C3C" w:rsidR="00F820A2">
        <w:t xml:space="preserve"> (</w:t>
      </w:r>
      <w:r w:rsidRPr="00F02C3C" w:rsidR="00F820A2">
        <w:rPr>
          <w:i/>
          <w:iCs/>
        </w:rPr>
        <w:t>Cap Comment Notice</w:t>
      </w:r>
      <w:r w:rsidRPr="00F02C3C" w:rsidR="00F820A2">
        <w:t>).</w:t>
      </w:r>
      <w:bookmarkEnd w:id="2"/>
      <w:r w:rsidRPr="00F02C3C" w:rsidR="007C7BE6">
        <w:t xml:space="preserve"> </w:t>
      </w:r>
      <w:r w:rsidRPr="00F02C3C" w:rsidR="001F421E">
        <w:t xml:space="preserve"> </w:t>
      </w:r>
      <w:r w:rsidRPr="00F02C3C" w:rsidR="007C7BE6">
        <w:t xml:space="preserve">The </w:t>
      </w:r>
      <w:r w:rsidRPr="00F02C3C" w:rsidR="007B365C">
        <w:t xml:space="preserve">Media </w:t>
      </w:r>
      <w:r w:rsidRPr="00F02C3C" w:rsidR="007C7BE6">
        <w:t xml:space="preserve">Bureau will issue a forthcoming </w:t>
      </w:r>
      <w:r w:rsidRPr="00F02C3C" w:rsidR="00422973">
        <w:t>p</w:t>
      </w:r>
      <w:r w:rsidRPr="00F02C3C" w:rsidR="007C7BE6">
        <w:t xml:space="preserve">ublic </w:t>
      </w:r>
      <w:r w:rsidRPr="00F02C3C" w:rsidR="00422973">
        <w:t>n</w:t>
      </w:r>
      <w:r w:rsidRPr="00F02C3C" w:rsidR="007C7BE6">
        <w:t xml:space="preserve">otice to announce the specific dates of the 2021 window.  The </w:t>
      </w:r>
      <w:r w:rsidRPr="00F02C3C" w:rsidR="007B365C">
        <w:t xml:space="preserve">Media </w:t>
      </w:r>
      <w:r w:rsidRPr="00F02C3C" w:rsidR="007C7BE6">
        <w:t>Bureau will also provide detailed information about filing procedures and requirements by a separate public notice during the next several months.</w:t>
      </w:r>
    </w:p>
  </w:footnote>
  <w:footnote w:id="4">
    <w:p w:rsidR="00C96CBC" w:rsidRPr="00F02C3C" w14:paraId="7FF68434" w14:textId="759A20C9">
      <w:pPr>
        <w:pStyle w:val="FootnoteText"/>
      </w:pPr>
      <w:r w:rsidRPr="00F02C3C">
        <w:rPr>
          <w:rStyle w:val="FootnoteReference"/>
        </w:rPr>
        <w:footnoteRef/>
      </w:r>
      <w:r w:rsidRPr="00F02C3C">
        <w:t xml:space="preserve"> </w:t>
      </w:r>
      <w:r w:rsidRPr="00F02C3C">
        <w:rPr>
          <w:i/>
        </w:rPr>
        <w:t>See Reexamination of the Comparative Standards for Noncommercial Educational Applicants</w:t>
      </w:r>
      <w:r w:rsidRPr="00F02C3C">
        <w:t xml:space="preserve">, Report and Order, 15 FCC </w:t>
      </w:r>
      <w:r w:rsidRPr="00F02C3C">
        <w:t>Rcd</w:t>
      </w:r>
      <w:r w:rsidRPr="00F02C3C">
        <w:t xml:space="preserve"> 7386, 7422, para. 86 (2000)</w:t>
      </w:r>
      <w:r w:rsidRPr="00F02C3C" w:rsidR="00532176">
        <w:t xml:space="preserve"> (</w:t>
      </w:r>
      <w:r w:rsidRPr="00F02C3C" w:rsidR="00532176">
        <w:rPr>
          <w:i/>
          <w:iCs/>
        </w:rPr>
        <w:t>NCE R&amp;O</w:t>
      </w:r>
      <w:r w:rsidRPr="00F02C3C" w:rsidR="00532176">
        <w:t>)</w:t>
      </w:r>
      <w:r w:rsidRPr="00F02C3C">
        <w:t xml:space="preserve">, </w:t>
      </w:r>
      <w:r w:rsidRPr="00F02C3C">
        <w:rPr>
          <w:i/>
        </w:rPr>
        <w:t>aff’d</w:t>
      </w:r>
      <w:r w:rsidRPr="00F02C3C">
        <w:t xml:space="preserve">, Memorandum Opinion and Order, 16 FCC </w:t>
      </w:r>
      <w:r w:rsidRPr="00F02C3C">
        <w:t>Rcd</w:t>
      </w:r>
      <w:r w:rsidRPr="00F02C3C">
        <w:t xml:space="preserve"> 5074, 5105, para. 92 (2001).     </w:t>
      </w:r>
    </w:p>
  </w:footnote>
  <w:footnote w:id="5">
    <w:p w:rsidR="00E94064" w:rsidRPr="00F02C3C" w:rsidP="00E94064" w14:paraId="0480C843" w14:textId="195261C3">
      <w:pPr>
        <w:pStyle w:val="FootnoteText"/>
        <w:widowControl w:val="0"/>
      </w:pPr>
      <w:r w:rsidRPr="00F02C3C">
        <w:rPr>
          <w:rStyle w:val="FootnoteReference"/>
        </w:rPr>
        <w:footnoteRef/>
      </w:r>
      <w:r w:rsidRPr="00F02C3C">
        <w:t xml:space="preserve"> </w:t>
      </w:r>
      <w:r w:rsidRPr="00F02C3C">
        <w:rPr>
          <w:i/>
          <w:iCs/>
        </w:rPr>
        <w:t xml:space="preserve">See FCC Seeks Comment on Proposed Application Limit for NCE FM New Station Applications in October 12-October 19, 2007, Window, </w:t>
      </w:r>
      <w:r w:rsidRPr="00F02C3C">
        <w:t xml:space="preserve">Public Notice, 22 FCC </w:t>
      </w:r>
      <w:r w:rsidRPr="00F02C3C">
        <w:t>Rcd</w:t>
      </w:r>
      <w:r w:rsidRPr="00F02C3C">
        <w:t xml:space="preserve"> 15910 (2007); </w:t>
      </w:r>
      <w:r w:rsidRPr="00F02C3C">
        <w:rPr>
          <w:i/>
          <w:iCs/>
        </w:rPr>
        <w:t>FCC Adopts Limit for NCE FM New Station Applications in October 12-October 19, 2007 Window</w:t>
      </w:r>
      <w:r w:rsidRPr="00F02C3C">
        <w:t xml:space="preserve">, Public Notice, 22 FCC </w:t>
      </w:r>
      <w:r w:rsidRPr="00F02C3C">
        <w:t>Rcd</w:t>
      </w:r>
      <w:r w:rsidRPr="00F02C3C">
        <w:t xml:space="preserve"> 18699 (2007). </w:t>
      </w:r>
    </w:p>
  </w:footnote>
  <w:footnote w:id="6">
    <w:p w:rsidR="00E94064" w:rsidRPr="00F02C3C" w:rsidP="00E94064" w14:paraId="5B8F76F9" w14:textId="5229A8BE">
      <w:pPr>
        <w:pStyle w:val="FootnoteText"/>
        <w:widowControl w:val="0"/>
      </w:pPr>
      <w:r w:rsidRPr="00F02C3C">
        <w:rPr>
          <w:rStyle w:val="FootnoteReference"/>
        </w:rPr>
        <w:footnoteRef/>
      </w:r>
      <w:r w:rsidRPr="00F02C3C">
        <w:t xml:space="preserve"> </w:t>
      </w:r>
      <w:r w:rsidRPr="00F02C3C">
        <w:rPr>
          <w:shd w:val="clear" w:color="auto" w:fill="FFFFFF"/>
        </w:rPr>
        <w:t>Conflicting NCE applications, which cannot all be granted consistent with the Commission's technical rules, are considered mutually exclusive.  A mutually exclusive (MX) group consists of all applications which are MX to at least one other application in the group.  A “daisy chain” occurs when two or more proposals contain service areas that do not directly overlap but are linked together into a chain by the overlapping proposals of others.  Applications for full-service stations present a prospect of “daisy chains” of conflicting applications due to the size of the proposed service areas and the interference protection provided to full-service stations.  A limit on applications reduce</w:t>
      </w:r>
      <w:r w:rsidRPr="00F02C3C" w:rsidR="009F3346">
        <w:rPr>
          <w:shd w:val="clear" w:color="auto" w:fill="FFFFFF"/>
        </w:rPr>
        <w:t>s</w:t>
      </w:r>
      <w:r w:rsidRPr="00F02C3C">
        <w:rPr>
          <w:shd w:val="clear" w:color="auto" w:fill="FFFFFF"/>
        </w:rPr>
        <w:t xml:space="preserve"> the number and complexity of such situations</w:t>
      </w:r>
      <w:r w:rsidRPr="00F02C3C" w:rsidR="00E55F86">
        <w:rPr>
          <w:shd w:val="clear" w:color="auto" w:fill="FFFFFF"/>
        </w:rPr>
        <w:t>, thereby making it possible to grant a greater number of applications, and in an expedited manner</w:t>
      </w:r>
      <w:r w:rsidRPr="00F02C3C">
        <w:rPr>
          <w:shd w:val="clear" w:color="auto" w:fill="FFFFFF"/>
        </w:rPr>
        <w:t>.</w:t>
      </w:r>
    </w:p>
  </w:footnote>
  <w:footnote w:id="7">
    <w:p w:rsidR="00E94064" w:rsidRPr="00F02C3C" w:rsidP="00E94064" w14:paraId="29D416FC" w14:textId="4700CA2A">
      <w:pPr>
        <w:pStyle w:val="FootnoteText"/>
        <w:widowControl w:val="0"/>
      </w:pPr>
      <w:r w:rsidRPr="00F02C3C">
        <w:rPr>
          <w:rStyle w:val="FootnoteReference"/>
        </w:rPr>
        <w:footnoteRef/>
      </w:r>
      <w:r w:rsidRPr="00F02C3C">
        <w:t xml:space="preserve"> The </w:t>
      </w:r>
      <w:r w:rsidRPr="00F02C3C" w:rsidR="007B365C">
        <w:t xml:space="preserve">Media </w:t>
      </w:r>
      <w:r w:rsidRPr="00F02C3C">
        <w:t xml:space="preserve">Bureau received over 3,600 applications during the October 2007 window, almost half of which were mutually exclusive with at least one other application.   </w:t>
      </w:r>
    </w:p>
  </w:footnote>
  <w:footnote w:id="8">
    <w:p w:rsidR="00E94064" w:rsidRPr="00F02C3C" w:rsidP="00E94064" w14:paraId="488283EF" w14:textId="5695D11F">
      <w:pPr>
        <w:pStyle w:val="FootnoteText"/>
        <w:widowControl w:val="0"/>
        <w:rPr>
          <w:i/>
          <w:iCs/>
        </w:rPr>
      </w:pPr>
      <w:r w:rsidRPr="00F02C3C">
        <w:rPr>
          <w:rStyle w:val="FootnoteReference"/>
        </w:rPr>
        <w:footnoteRef/>
      </w:r>
      <w:r w:rsidRPr="00F02C3C">
        <w:t xml:space="preserve"> </w:t>
      </w:r>
      <w:r w:rsidRPr="00F02C3C">
        <w:rPr>
          <w:i/>
          <w:iCs/>
        </w:rPr>
        <w:t xml:space="preserve">See, e.g., </w:t>
      </w:r>
      <w:r w:rsidRPr="00F02C3C" w:rsidR="009F3346">
        <w:rPr>
          <w:i/>
          <w:iCs/>
        </w:rPr>
        <w:t>Comparative C</w:t>
      </w:r>
      <w:r w:rsidRPr="00F02C3C">
        <w:rPr>
          <w:rStyle w:val="Emphasis"/>
          <w:bdr w:val="none" w:sz="0" w:space="0" w:color="auto" w:frame="1"/>
          <w:shd w:val="clear" w:color="auto" w:fill="FFFFFF"/>
        </w:rPr>
        <w:t>onsideration of 59 Groups of Mutually Exclusive Applications for Permits to Construct New or Modified Noncommercial Educational FM Stations Filed in the October 2007 Filing Window</w:t>
      </w:r>
      <w:r w:rsidRPr="00F02C3C">
        <w:rPr>
          <w:shd w:val="clear" w:color="auto" w:fill="FFFFFF"/>
        </w:rPr>
        <w:t xml:space="preserve">, Memorandum Opinion and Order, 25 FCC </w:t>
      </w:r>
      <w:r w:rsidRPr="00F02C3C">
        <w:rPr>
          <w:shd w:val="clear" w:color="auto" w:fill="FFFFFF"/>
        </w:rPr>
        <w:t>Rcd</w:t>
      </w:r>
      <w:r w:rsidRPr="00F02C3C">
        <w:rPr>
          <w:shd w:val="clear" w:color="auto" w:fill="FFFFFF"/>
        </w:rPr>
        <w:t xml:space="preserve"> 1681 (2010).</w:t>
      </w:r>
      <w:r w:rsidRPr="00F02C3C">
        <w:t xml:space="preserve">   </w:t>
      </w:r>
    </w:p>
  </w:footnote>
  <w:footnote w:id="9">
    <w:p w:rsidR="00C96CBC" w:rsidRPr="00F02C3C" w:rsidP="00C96CBC" w14:paraId="2E9100EE" w14:textId="3550A19C">
      <w:pPr>
        <w:pStyle w:val="FootnoteText"/>
        <w:widowControl w:val="0"/>
        <w:rPr>
          <w:iCs/>
        </w:rPr>
      </w:pPr>
      <w:r w:rsidRPr="00F02C3C">
        <w:rPr>
          <w:rStyle w:val="FootnoteReference"/>
        </w:rPr>
        <w:footnoteRef/>
      </w:r>
      <w:r w:rsidRPr="00F02C3C">
        <w:t xml:space="preserve"> </w:t>
      </w:r>
      <w:r w:rsidRPr="00F02C3C">
        <w:rPr>
          <w:i/>
        </w:rPr>
        <w:t>See</w:t>
      </w:r>
      <w:r w:rsidRPr="00F02C3C">
        <w:t xml:space="preserve"> 47 CFR § 73.7000 </w:t>
      </w:r>
      <w:r w:rsidRPr="00F02C3C">
        <w:rPr>
          <w:i/>
        </w:rPr>
        <w:t>et seq.</w:t>
      </w:r>
      <w:r w:rsidRPr="00F02C3C" w:rsidR="00F820A2">
        <w:rPr>
          <w:i/>
        </w:rPr>
        <w:t xml:space="preserve">; Cap Comment Notice </w:t>
      </w:r>
      <w:r w:rsidRPr="00F02C3C" w:rsidR="00F820A2">
        <w:rPr>
          <w:iCs/>
        </w:rPr>
        <w:t xml:space="preserve">at para. </w:t>
      </w:r>
      <w:r w:rsidRPr="00F02C3C" w:rsidR="00570ACF">
        <w:rPr>
          <w:iCs/>
        </w:rPr>
        <w:t>6</w:t>
      </w:r>
      <w:r w:rsidRPr="00F02C3C" w:rsidR="00F820A2">
        <w:rPr>
          <w:iCs/>
        </w:rPr>
        <w:t>.</w:t>
      </w:r>
    </w:p>
  </w:footnote>
  <w:footnote w:id="10">
    <w:p w:rsidR="001F421E" w:rsidRPr="00F02C3C" w14:paraId="165426C2" w14:textId="3582FBE8">
      <w:pPr>
        <w:pStyle w:val="FootnoteText"/>
      </w:pPr>
      <w:r w:rsidRPr="00F02C3C">
        <w:rPr>
          <w:rStyle w:val="FootnoteReference"/>
        </w:rPr>
        <w:footnoteRef/>
      </w:r>
      <w:r w:rsidRPr="00F02C3C">
        <w:t xml:space="preserve"> </w:t>
      </w:r>
      <w:r w:rsidRPr="00F02C3C">
        <w:rPr>
          <w:i/>
          <w:iCs/>
        </w:rPr>
        <w:t xml:space="preserve">See </w:t>
      </w:r>
      <w:r w:rsidRPr="00F02C3C" w:rsidR="002339DC">
        <w:t>NPR Reply Comments at 2; REC Comments at 5; EMF Comments at 2.</w:t>
      </w:r>
    </w:p>
  </w:footnote>
  <w:footnote w:id="11">
    <w:p w:rsidR="00824A84" w:rsidRPr="00F02C3C" w14:paraId="3419624D" w14:textId="3CBAB8C8">
      <w:pPr>
        <w:pStyle w:val="FootnoteText"/>
      </w:pPr>
      <w:r w:rsidRPr="00F02C3C">
        <w:rPr>
          <w:rStyle w:val="FootnoteReference"/>
        </w:rPr>
        <w:footnoteRef/>
      </w:r>
      <w:r w:rsidRPr="00F02C3C">
        <w:t xml:space="preserve"> REC Comments at 5.  REC explains that it did an extensive nationwide search for available spectrum in the reserved band and found that “there would be no availability within the top-100 Nielsen Audio metropolitan markets.”  </w:t>
      </w:r>
      <w:r w:rsidRPr="00F02C3C">
        <w:rPr>
          <w:i/>
          <w:iCs/>
        </w:rPr>
        <w:t xml:space="preserve">Id. </w:t>
      </w:r>
      <w:r w:rsidRPr="00F02C3C">
        <w:t>at 1.</w:t>
      </w:r>
    </w:p>
  </w:footnote>
  <w:footnote w:id="12">
    <w:p w:rsidR="00BB2304" w:rsidRPr="00F02C3C" w14:paraId="603ECA97" w14:textId="29BF672C">
      <w:pPr>
        <w:pStyle w:val="FootnoteText"/>
      </w:pPr>
      <w:r w:rsidRPr="00F02C3C">
        <w:rPr>
          <w:rStyle w:val="FootnoteReference"/>
        </w:rPr>
        <w:footnoteRef/>
      </w:r>
      <w:r w:rsidRPr="00F02C3C">
        <w:t xml:space="preserve"> </w:t>
      </w:r>
      <w:r w:rsidRPr="00F02C3C" w:rsidR="000C42E8">
        <w:rPr>
          <w:i/>
          <w:iCs/>
        </w:rPr>
        <w:t>Id</w:t>
      </w:r>
      <w:r w:rsidRPr="00F02C3C" w:rsidR="000C42E8">
        <w:t xml:space="preserve">. </w:t>
      </w:r>
      <w:r w:rsidRPr="00F02C3C">
        <w:t>at 5.</w:t>
      </w:r>
      <w:r w:rsidRPr="00F02C3C" w:rsidR="00BE22C3">
        <w:t xml:space="preserve">  In its Comments, REC also</w:t>
      </w:r>
      <w:r w:rsidRPr="00F02C3C" w:rsidR="007F0E92">
        <w:t xml:space="preserve"> raises an issue regarding </w:t>
      </w:r>
      <w:r w:rsidRPr="00F02C3C" w:rsidR="00815522">
        <w:t>requiring</w:t>
      </w:r>
      <w:r w:rsidRPr="00F02C3C" w:rsidR="0027099E">
        <w:t xml:space="preserve"> applicants </w:t>
      </w:r>
      <w:r w:rsidRPr="00F02C3C" w:rsidR="00815522">
        <w:t xml:space="preserve">to </w:t>
      </w:r>
      <w:r w:rsidRPr="00F02C3C" w:rsidR="0027099E">
        <w:t xml:space="preserve">use a consistent </w:t>
      </w:r>
      <w:r w:rsidRPr="00F02C3C" w:rsidR="007F0E92">
        <w:t>census block centroid data</w:t>
      </w:r>
      <w:r w:rsidRPr="00F02C3C" w:rsidR="0027099E">
        <w:t>set</w:t>
      </w:r>
      <w:r w:rsidRPr="00F02C3C" w:rsidR="007F0E92">
        <w:t xml:space="preserve"> </w:t>
      </w:r>
      <w:r w:rsidRPr="00F02C3C" w:rsidR="00815522">
        <w:t>to ensure</w:t>
      </w:r>
      <w:r w:rsidRPr="00F02C3C" w:rsidR="007F0E92">
        <w:t xml:space="preserve"> fairness in the upcoming 2021 filing window.  </w:t>
      </w:r>
      <w:r w:rsidRPr="00F02C3C" w:rsidR="007F0E92">
        <w:rPr>
          <w:i/>
          <w:iCs/>
        </w:rPr>
        <w:t xml:space="preserve">See </w:t>
      </w:r>
      <w:r w:rsidRPr="00F02C3C" w:rsidR="004B05EF">
        <w:rPr>
          <w:i/>
          <w:iCs/>
        </w:rPr>
        <w:t>Id</w:t>
      </w:r>
      <w:r w:rsidRPr="00F02C3C" w:rsidR="0089419F">
        <w:t>.</w:t>
      </w:r>
      <w:r w:rsidRPr="00F02C3C" w:rsidR="0089419F">
        <w:rPr>
          <w:i/>
          <w:iCs/>
        </w:rPr>
        <w:t xml:space="preserve"> </w:t>
      </w:r>
      <w:r w:rsidRPr="00F02C3C" w:rsidR="007F0E92">
        <w:t>at 6-7.  Although th</w:t>
      </w:r>
      <w:r w:rsidRPr="00F02C3C" w:rsidR="00175148">
        <w:t>e</w:t>
      </w:r>
      <w:r w:rsidRPr="00F02C3C" w:rsidR="007F0E92">
        <w:t xml:space="preserve"> issue is beyond the scope of this </w:t>
      </w:r>
      <w:r w:rsidRPr="00F02C3C" w:rsidR="00175148">
        <w:t>specific application limit subject</w:t>
      </w:r>
      <w:r w:rsidRPr="00F02C3C" w:rsidR="007F0E92">
        <w:t xml:space="preserve">, </w:t>
      </w:r>
      <w:r w:rsidRPr="00F02C3C" w:rsidR="00C8773E">
        <w:t>this</w:t>
      </w:r>
      <w:r w:rsidRPr="00F02C3C" w:rsidR="007F0E92">
        <w:t xml:space="preserve"> issue </w:t>
      </w:r>
      <w:r w:rsidRPr="00F02C3C" w:rsidR="00C8773E">
        <w:t xml:space="preserve">will be addressed </w:t>
      </w:r>
      <w:r w:rsidRPr="00F02C3C" w:rsidR="007F0E92">
        <w:t xml:space="preserve">in a forthcoming public notice, which will provide detailed information about filing procedures and requirements. </w:t>
      </w:r>
      <w:r w:rsidRPr="00F02C3C" w:rsidR="00BE22C3">
        <w:t xml:space="preserve"> </w:t>
      </w:r>
    </w:p>
  </w:footnote>
  <w:footnote w:id="13">
    <w:p w:rsidR="00A97BBC" w:rsidRPr="00F02C3C" w14:paraId="678035EC" w14:textId="56261AF4">
      <w:pPr>
        <w:pStyle w:val="FootnoteText"/>
      </w:pPr>
      <w:r w:rsidRPr="00F02C3C">
        <w:rPr>
          <w:rStyle w:val="FootnoteReference"/>
        </w:rPr>
        <w:footnoteRef/>
      </w:r>
      <w:r w:rsidRPr="00F02C3C">
        <w:t xml:space="preserve"> </w:t>
      </w:r>
      <w:r w:rsidRPr="00F02C3C" w:rsidR="0089419F">
        <w:rPr>
          <w:i/>
          <w:iCs/>
        </w:rPr>
        <w:t>Id</w:t>
      </w:r>
      <w:r w:rsidRPr="00F02C3C" w:rsidR="00EF5991">
        <w:t>.</w:t>
      </w:r>
      <w:r w:rsidRPr="00F02C3C">
        <w:t xml:space="preserve"> at 5.</w:t>
      </w:r>
    </w:p>
  </w:footnote>
  <w:footnote w:id="14">
    <w:p w:rsidR="00A97BBC" w:rsidRPr="00F02C3C" w14:paraId="7DD4A16A" w14:textId="4A9F6B36">
      <w:pPr>
        <w:pStyle w:val="FootnoteText"/>
        <w:rPr>
          <w:i/>
          <w:iCs/>
        </w:rPr>
      </w:pPr>
      <w:r w:rsidRPr="00F02C3C">
        <w:rPr>
          <w:rStyle w:val="FootnoteReference"/>
        </w:rPr>
        <w:footnoteRef/>
      </w:r>
      <w:r w:rsidRPr="00F02C3C">
        <w:t xml:space="preserve"> </w:t>
      </w:r>
      <w:r w:rsidRPr="00F02C3C" w:rsidR="00C24FDB">
        <w:rPr>
          <w:i/>
          <w:iCs/>
        </w:rPr>
        <w:t>Id.</w:t>
      </w:r>
    </w:p>
  </w:footnote>
  <w:footnote w:id="15">
    <w:p w:rsidR="004949FA" w:rsidRPr="00F02C3C" w14:paraId="7C8471EB" w14:textId="69C106E0">
      <w:pPr>
        <w:pStyle w:val="FootnoteText"/>
      </w:pPr>
      <w:r w:rsidRPr="00F02C3C">
        <w:rPr>
          <w:rStyle w:val="FootnoteReference"/>
        </w:rPr>
        <w:footnoteRef/>
      </w:r>
      <w:r w:rsidRPr="00F02C3C">
        <w:t xml:space="preserve"> </w:t>
      </w:r>
      <w:r w:rsidRPr="00F02C3C">
        <w:rPr>
          <w:i/>
          <w:iCs/>
        </w:rPr>
        <w:t>See</w:t>
      </w:r>
      <w:r w:rsidRPr="00F02C3C" w:rsidR="00354616">
        <w:t xml:space="preserve"> Common Frequency </w:t>
      </w:r>
      <w:r w:rsidRPr="00F02C3C" w:rsidR="00771717">
        <w:t xml:space="preserve">Reply Comments </w:t>
      </w:r>
      <w:r w:rsidRPr="00F02C3C" w:rsidR="00354616">
        <w:t>at 1-2 (</w:t>
      </w:r>
      <w:r w:rsidRPr="00F02C3C" w:rsidR="00932CF0">
        <w:t>arguing that “multiple, non-local applications [will] pile onto applying for one channel, creating large mutually exclusive processing groups.  Given the scarcity of channels, a smaller filing cap should discourage mass filers”</w:t>
      </w:r>
      <w:r w:rsidRPr="00F02C3C" w:rsidR="00771717">
        <w:t>)</w:t>
      </w:r>
      <w:r w:rsidRPr="00F02C3C" w:rsidR="00932CF0">
        <w:t xml:space="preserve">; </w:t>
      </w:r>
      <w:r w:rsidRPr="00F02C3C">
        <w:t>Brent West</w:t>
      </w:r>
      <w:r w:rsidRPr="00F02C3C" w:rsidR="00771717">
        <w:t xml:space="preserve"> Comments</w:t>
      </w:r>
      <w:r w:rsidRPr="00F02C3C">
        <w:t xml:space="preserve"> (“firmly believe a maximum 5 limit cap should be applied (and certainly nothing above 10) if the FCC is genuinely interested in preserving what’s left of available spectrum for a diverse, fair, and localized dial”); Jerrell E. Kautz</w:t>
      </w:r>
      <w:r w:rsidRPr="00F02C3C" w:rsidR="00BD5927">
        <w:t xml:space="preserve"> </w:t>
      </w:r>
      <w:r w:rsidRPr="00F02C3C" w:rsidR="00457393">
        <w:t xml:space="preserve">(Kautz) </w:t>
      </w:r>
      <w:r w:rsidRPr="00F02C3C" w:rsidR="00BD5927">
        <w:t>Comments</w:t>
      </w:r>
      <w:r w:rsidRPr="00F02C3C">
        <w:t xml:space="preserve">; </w:t>
      </w:r>
      <w:r w:rsidRPr="00F02C3C" w:rsidR="008642B7">
        <w:t>Steven L. White</w:t>
      </w:r>
      <w:r w:rsidRPr="00F02C3C" w:rsidR="00354616">
        <w:t xml:space="preserve"> </w:t>
      </w:r>
      <w:r w:rsidRPr="00F02C3C" w:rsidR="00457393">
        <w:t xml:space="preserve">(White) </w:t>
      </w:r>
      <w:r w:rsidRPr="00F02C3C" w:rsidR="00BD5927">
        <w:t xml:space="preserve">Reply Comments </w:t>
      </w:r>
      <w:r w:rsidRPr="00F02C3C" w:rsidR="00354616">
        <w:t>(agreeing with REC’s proposed limit “given the eye-opening showing of lack of NCE opportunity within rated markets essentially making the entire window a rural opportunity window”).</w:t>
      </w:r>
      <w:r w:rsidRPr="00F02C3C">
        <w:t xml:space="preserve">  </w:t>
      </w:r>
    </w:p>
  </w:footnote>
  <w:footnote w:id="16">
    <w:p w:rsidR="000D4E0C" w:rsidRPr="00F02C3C" w14:paraId="76E260C8" w14:textId="7A34C292">
      <w:pPr>
        <w:pStyle w:val="FootnoteText"/>
      </w:pPr>
      <w:r w:rsidRPr="00F02C3C">
        <w:rPr>
          <w:rStyle w:val="FootnoteReference"/>
        </w:rPr>
        <w:footnoteRef/>
      </w:r>
      <w:r w:rsidRPr="00F02C3C">
        <w:t xml:space="preserve"> </w:t>
      </w:r>
      <w:r w:rsidRPr="00F02C3C">
        <w:rPr>
          <w:i/>
          <w:iCs/>
        </w:rPr>
        <w:t xml:space="preserve">See, e.g., </w:t>
      </w:r>
      <w:r w:rsidRPr="00F02C3C">
        <w:t xml:space="preserve">EMF Reply </w:t>
      </w:r>
      <w:r w:rsidRPr="00F02C3C" w:rsidR="00DC001D">
        <w:t xml:space="preserve">Comments </w:t>
      </w:r>
      <w:r w:rsidRPr="00F02C3C">
        <w:t xml:space="preserve">at 2 (“REC’s argument is built on a major, but seriously flawed assumption, that only stations that are locally owned and operated can properly serve the community”); </w:t>
      </w:r>
      <w:r w:rsidRPr="00F02C3C" w:rsidR="008C590E">
        <w:t xml:space="preserve">NPR Reply </w:t>
      </w:r>
      <w:r w:rsidRPr="00F02C3C" w:rsidR="005F438E">
        <w:t xml:space="preserve">Comments </w:t>
      </w:r>
      <w:r w:rsidRPr="00F02C3C" w:rsidR="008C590E">
        <w:t xml:space="preserve">at </w:t>
      </w:r>
      <w:r w:rsidRPr="00F02C3C" w:rsidR="004147C2">
        <w:t>4 (“while a 5-application limit may deter speculation and simplify the processing of mutually exclusive applications to some extent, it would do so only by limiting opportunities to expand NCE service”).</w:t>
      </w:r>
    </w:p>
  </w:footnote>
  <w:footnote w:id="17">
    <w:p w:rsidR="00697E11" w:rsidRPr="00F02C3C" w14:paraId="58A2918F" w14:textId="624FA759">
      <w:pPr>
        <w:pStyle w:val="FootnoteText"/>
      </w:pPr>
      <w:r w:rsidRPr="00F02C3C">
        <w:rPr>
          <w:rStyle w:val="FootnoteReference"/>
        </w:rPr>
        <w:footnoteRef/>
      </w:r>
      <w:r w:rsidRPr="00F02C3C">
        <w:t xml:space="preserve"> </w:t>
      </w:r>
      <w:r w:rsidRPr="00F02C3C">
        <w:rPr>
          <w:i/>
          <w:iCs/>
        </w:rPr>
        <w:t xml:space="preserve">See </w:t>
      </w:r>
      <w:r w:rsidRPr="00F02C3C">
        <w:t>EMF Comments at</w:t>
      </w:r>
      <w:r w:rsidRPr="00F02C3C" w:rsidR="00DE3146">
        <w:t xml:space="preserve"> </w:t>
      </w:r>
      <w:r w:rsidRPr="00F02C3C" w:rsidR="00824A84">
        <w:t>2</w:t>
      </w:r>
      <w:r w:rsidRPr="00F02C3C" w:rsidR="00DE3146">
        <w:t xml:space="preserve">.  To allay fears of speculative applications, EMF also suggests that the Commission impose a four-year holding period for all non-primary applications.  </w:t>
      </w:r>
      <w:r w:rsidRPr="00F02C3C" w:rsidR="00DE3146">
        <w:rPr>
          <w:i/>
          <w:iCs/>
        </w:rPr>
        <w:t xml:space="preserve">See </w:t>
      </w:r>
      <w:r w:rsidRPr="00F02C3C" w:rsidR="00DE3146">
        <w:t>EMF Reply Comments at 3.</w:t>
      </w:r>
    </w:p>
  </w:footnote>
  <w:footnote w:id="18">
    <w:p w:rsidR="00D75BC8" w:rsidRPr="00F02C3C" w14:paraId="48D933D1" w14:textId="5626FEBB">
      <w:pPr>
        <w:pStyle w:val="FootnoteText"/>
      </w:pPr>
      <w:r w:rsidRPr="00F02C3C">
        <w:rPr>
          <w:rStyle w:val="FootnoteReference"/>
        </w:rPr>
        <w:footnoteRef/>
      </w:r>
      <w:r w:rsidRPr="00F02C3C">
        <w:t xml:space="preserve"> </w:t>
      </w:r>
      <w:r w:rsidRPr="00F02C3C" w:rsidR="001E5792">
        <w:t>EMF Comments</w:t>
      </w:r>
      <w:r w:rsidRPr="00F02C3C" w:rsidR="000E4155">
        <w:t xml:space="preserve"> </w:t>
      </w:r>
      <w:r w:rsidRPr="00F02C3C">
        <w:t>at 1.</w:t>
      </w:r>
    </w:p>
  </w:footnote>
  <w:footnote w:id="19">
    <w:p w:rsidR="00D75BC8" w:rsidRPr="00F02C3C" w14:paraId="0FC24962" w14:textId="39C93BA8">
      <w:pPr>
        <w:pStyle w:val="FootnoteText"/>
      </w:pPr>
      <w:r w:rsidRPr="00F02C3C">
        <w:rPr>
          <w:rStyle w:val="FootnoteReference"/>
        </w:rPr>
        <w:footnoteRef/>
      </w:r>
      <w:r w:rsidRPr="00F02C3C">
        <w:t xml:space="preserve"> </w:t>
      </w:r>
      <w:r w:rsidRPr="00F02C3C">
        <w:rPr>
          <w:i/>
          <w:iCs/>
        </w:rPr>
        <w:t xml:space="preserve">Id. </w:t>
      </w:r>
      <w:r w:rsidRPr="00F02C3C">
        <w:t>at 6.</w:t>
      </w:r>
    </w:p>
  </w:footnote>
  <w:footnote w:id="20">
    <w:p w:rsidR="00D75BC8" w:rsidRPr="00F02C3C" w14:paraId="5589AFDA" w14:textId="5CB8AEF3">
      <w:pPr>
        <w:pStyle w:val="FootnoteText"/>
      </w:pPr>
      <w:r w:rsidRPr="00F02C3C">
        <w:rPr>
          <w:rStyle w:val="FootnoteReference"/>
        </w:rPr>
        <w:footnoteRef/>
      </w:r>
      <w:r w:rsidRPr="00F02C3C">
        <w:t xml:space="preserve"> </w:t>
      </w:r>
      <w:r w:rsidRPr="00F02C3C">
        <w:rPr>
          <w:i/>
          <w:iCs/>
        </w:rPr>
        <w:t xml:space="preserve">Id. </w:t>
      </w:r>
      <w:r w:rsidRPr="00F02C3C">
        <w:t>at 4.</w:t>
      </w:r>
    </w:p>
  </w:footnote>
  <w:footnote w:id="21">
    <w:p w:rsidR="0031471C" w:rsidRPr="00F02C3C" w14:paraId="2E7AF012" w14:textId="49F0C96F">
      <w:pPr>
        <w:pStyle w:val="FootnoteText"/>
      </w:pPr>
      <w:r w:rsidRPr="00F02C3C">
        <w:rPr>
          <w:rStyle w:val="FootnoteReference"/>
        </w:rPr>
        <w:footnoteRef/>
      </w:r>
      <w:r w:rsidRPr="00F02C3C">
        <w:t xml:space="preserve"> </w:t>
      </w:r>
      <w:r w:rsidRPr="00F02C3C">
        <w:rPr>
          <w:i/>
          <w:iCs/>
        </w:rPr>
        <w:t xml:space="preserve">See </w:t>
      </w:r>
      <w:r w:rsidRPr="00F02C3C">
        <w:t xml:space="preserve">EMF Reply Comments at 4; </w:t>
      </w:r>
      <w:r w:rsidRPr="00F02C3C">
        <w:rPr>
          <w:i/>
          <w:iCs/>
        </w:rPr>
        <w:t xml:space="preserve">see also </w:t>
      </w:r>
      <w:r w:rsidRPr="00F02C3C">
        <w:t>EMF Comments at 5 (“applications proposing service to smaller communities throughout the country will be less likely to be filed when applications are limited”).</w:t>
      </w:r>
    </w:p>
  </w:footnote>
  <w:footnote w:id="22">
    <w:p w:rsidR="00D231BA" w:rsidRPr="00F02C3C" w14:paraId="55540D90" w14:textId="205CAA28">
      <w:pPr>
        <w:pStyle w:val="FootnoteText"/>
      </w:pPr>
      <w:r w:rsidRPr="00F02C3C">
        <w:rPr>
          <w:rStyle w:val="FootnoteReference"/>
        </w:rPr>
        <w:footnoteRef/>
      </w:r>
      <w:r w:rsidRPr="00F02C3C">
        <w:t xml:space="preserve"> </w:t>
      </w:r>
      <w:r w:rsidRPr="00F02C3C">
        <w:rPr>
          <w:i/>
          <w:iCs/>
        </w:rPr>
        <w:t xml:space="preserve">See, e.g., </w:t>
      </w:r>
      <w:r w:rsidRPr="00F02C3C">
        <w:t xml:space="preserve">REC Reply </w:t>
      </w:r>
      <w:r w:rsidRPr="00F02C3C" w:rsidR="00DC001D">
        <w:t xml:space="preserve">Comments </w:t>
      </w:r>
      <w:r w:rsidRPr="00F02C3C">
        <w:t>at 3 (“EMF</w:t>
      </w:r>
      <w:r w:rsidRPr="00F02C3C" w:rsidR="00DC001D">
        <w:t>’s</w:t>
      </w:r>
      <w:r w:rsidRPr="00F02C3C">
        <w:t xml:space="preserve"> proposal prioritizes national ownership over localism and is not viable”); White Reply </w:t>
      </w:r>
      <w:r w:rsidRPr="00F02C3C" w:rsidR="00DC001D">
        <w:t xml:space="preserve">Comments </w:t>
      </w:r>
      <w:r w:rsidRPr="00F02C3C">
        <w:t xml:space="preserve">at 2 (“cannot support EMF’s proposal that reduces the opportunities for future local operators”); NPR Reply </w:t>
      </w:r>
      <w:r w:rsidRPr="00F02C3C" w:rsidR="00DC001D">
        <w:t xml:space="preserve">Comments </w:t>
      </w:r>
      <w:r w:rsidRPr="00F02C3C">
        <w:t>at 5 (“EMF’s proposal would encourage speculation and tax the Commission’s resources for processing applications”).</w:t>
      </w:r>
    </w:p>
  </w:footnote>
  <w:footnote w:id="23">
    <w:p w:rsidR="00567562" w:rsidRPr="00F02C3C" w14:paraId="0418EB25" w14:textId="4D201CD2">
      <w:pPr>
        <w:pStyle w:val="FootnoteText"/>
      </w:pPr>
      <w:r w:rsidRPr="00F02C3C">
        <w:rPr>
          <w:rStyle w:val="FootnoteReference"/>
        </w:rPr>
        <w:footnoteRef/>
      </w:r>
      <w:r w:rsidRPr="00F02C3C">
        <w:t xml:space="preserve"> NPR Reply Comments at 2.</w:t>
      </w:r>
    </w:p>
  </w:footnote>
  <w:footnote w:id="24">
    <w:p w:rsidR="00567562" w:rsidRPr="00F02C3C" w14:paraId="0BAEAB30" w14:textId="418BA9A7">
      <w:pPr>
        <w:pStyle w:val="FootnoteText"/>
      </w:pPr>
      <w:r w:rsidRPr="00F02C3C">
        <w:rPr>
          <w:rStyle w:val="FootnoteReference"/>
        </w:rPr>
        <w:footnoteRef/>
      </w:r>
      <w:r w:rsidRPr="00F02C3C">
        <w:t xml:space="preserve"> </w:t>
      </w:r>
      <w:r w:rsidRPr="00F02C3C">
        <w:rPr>
          <w:i/>
          <w:iCs/>
        </w:rPr>
        <w:t xml:space="preserve">Id. </w:t>
      </w:r>
      <w:r w:rsidRPr="00F02C3C">
        <w:t>at 3.</w:t>
      </w:r>
    </w:p>
  </w:footnote>
  <w:footnote w:id="25">
    <w:p w:rsidR="00ED6EE9" w:rsidRPr="00F02C3C" w14:paraId="695785BD" w14:textId="60C6D31D">
      <w:pPr>
        <w:pStyle w:val="FootnoteText"/>
        <w:rPr>
          <w:i/>
          <w:iCs/>
        </w:rPr>
      </w:pPr>
      <w:r w:rsidRPr="00F02C3C">
        <w:rPr>
          <w:rStyle w:val="FootnoteReference"/>
        </w:rPr>
        <w:footnoteRef/>
      </w:r>
      <w:r w:rsidRPr="00F02C3C">
        <w:t xml:space="preserve"> </w:t>
      </w:r>
      <w:r w:rsidRPr="00F02C3C" w:rsidR="0081586B">
        <w:rPr>
          <w:i/>
          <w:iCs/>
        </w:rPr>
        <w:t>Id.</w:t>
      </w:r>
      <w:r w:rsidRPr="00F02C3C" w:rsidR="00056FF2">
        <w:t xml:space="preserve">  </w:t>
      </w:r>
    </w:p>
  </w:footnote>
  <w:footnote w:id="26">
    <w:p w:rsidR="00F50AAC" w:rsidRPr="00F02C3C" w14:paraId="7DB5CC3D" w14:textId="3E03FD60">
      <w:pPr>
        <w:pStyle w:val="FootnoteText"/>
      </w:pPr>
      <w:r w:rsidRPr="00F02C3C">
        <w:rPr>
          <w:rStyle w:val="FootnoteReference"/>
        </w:rPr>
        <w:footnoteRef/>
      </w:r>
      <w:r w:rsidRPr="00F02C3C">
        <w:t xml:space="preserve"> </w:t>
      </w:r>
      <w:r w:rsidRPr="00F02C3C" w:rsidR="004A2AC3">
        <w:t xml:space="preserve">Some of the commenters advocating for </w:t>
      </w:r>
      <w:r w:rsidRPr="00F02C3C" w:rsidR="00C152AB">
        <w:t>a five</w:t>
      </w:r>
      <w:r w:rsidRPr="00F02C3C" w:rsidR="004A2AC3">
        <w:t xml:space="preserve">-application limit also claim </w:t>
      </w:r>
      <w:r w:rsidRPr="00F02C3C" w:rsidR="00C152AB">
        <w:t>that it</w:t>
      </w:r>
      <w:r w:rsidRPr="00F02C3C" w:rsidR="00751DCD">
        <w:t xml:space="preserve"> </w:t>
      </w:r>
      <w:r w:rsidRPr="00F02C3C" w:rsidR="004A2AC3">
        <w:t xml:space="preserve">will better promote diversity and </w:t>
      </w:r>
      <w:r w:rsidRPr="00F02C3C" w:rsidR="004A2AC3">
        <w:t xml:space="preserve">localism  </w:t>
      </w:r>
      <w:r w:rsidRPr="00F02C3C" w:rsidR="004A2AC3">
        <w:rPr>
          <w:i/>
          <w:iCs/>
        </w:rPr>
        <w:t>See</w:t>
      </w:r>
      <w:r w:rsidRPr="00F02C3C" w:rsidR="004A2AC3">
        <w:rPr>
          <w:i/>
          <w:iCs/>
        </w:rPr>
        <w:t xml:space="preserve">, e.g., </w:t>
      </w:r>
      <w:r w:rsidRPr="00F02C3C" w:rsidR="004A2AC3">
        <w:t>REC Comments at 5; West Comments; REC Reply Comments at 4.</w:t>
      </w:r>
      <w:r w:rsidRPr="00F02C3C" w:rsidR="00D11E22">
        <w:t xml:space="preserve">  </w:t>
      </w:r>
      <w:r w:rsidRPr="00F02C3C" w:rsidR="00DE386F">
        <w:t>We find that diversity</w:t>
      </w:r>
      <w:r w:rsidRPr="00F02C3C" w:rsidR="00D11E22">
        <w:t xml:space="preserve"> and localism </w:t>
      </w:r>
      <w:r w:rsidRPr="00F02C3C" w:rsidR="00871440">
        <w:t xml:space="preserve">are best advanced </w:t>
      </w:r>
      <w:r w:rsidRPr="00F02C3C" w:rsidR="00D11E22">
        <w:t>th</w:t>
      </w:r>
      <w:r w:rsidRPr="00F02C3C" w:rsidR="00351808">
        <w:t>rough our comparative selection procedures</w:t>
      </w:r>
      <w:r w:rsidRPr="00F02C3C" w:rsidR="007E09F0">
        <w:t xml:space="preserve">, regardless of the </w:t>
      </w:r>
      <w:r w:rsidRPr="00F02C3C" w:rsidR="00A373EE">
        <w:t xml:space="preserve">size of the </w:t>
      </w:r>
      <w:r w:rsidRPr="00F02C3C" w:rsidR="007E09F0">
        <w:t>applicati</w:t>
      </w:r>
      <w:r w:rsidRPr="00F02C3C" w:rsidR="00A373EE">
        <w:t xml:space="preserve">on </w:t>
      </w:r>
      <w:r w:rsidRPr="00F02C3C" w:rsidR="007E09F0">
        <w:t>cap.</w:t>
      </w:r>
      <w:r w:rsidRPr="00F02C3C" w:rsidR="004A2AC3">
        <w:t xml:space="preserve"> </w:t>
      </w:r>
      <w:r w:rsidRPr="00F02C3C" w:rsidR="007E09F0">
        <w:t xml:space="preserve"> </w:t>
      </w:r>
      <w:r w:rsidRPr="00F02C3C" w:rsidR="00811C0F">
        <w:t>Significantly, o</w:t>
      </w:r>
      <w:r w:rsidRPr="00F02C3C" w:rsidR="00351808">
        <w:t xml:space="preserve">ur </w:t>
      </w:r>
      <w:r w:rsidRPr="00F02C3C" w:rsidR="007E09F0">
        <w:t>comparative criteria</w:t>
      </w:r>
      <w:r w:rsidRPr="00F02C3C" w:rsidR="00090676">
        <w:t xml:space="preserve"> for resolving mutually exclusive </w:t>
      </w:r>
      <w:r w:rsidRPr="00F02C3C" w:rsidR="00871440">
        <w:t>NCE</w:t>
      </w:r>
      <w:r w:rsidRPr="00F02C3C" w:rsidR="00257785">
        <w:t xml:space="preserve"> </w:t>
      </w:r>
      <w:r w:rsidRPr="00F02C3C" w:rsidR="00090676">
        <w:t>applications</w:t>
      </w:r>
      <w:r w:rsidRPr="00F02C3C" w:rsidR="007E09F0">
        <w:t xml:space="preserve"> are</w:t>
      </w:r>
      <w:r w:rsidRPr="00F02C3C" w:rsidR="00090676">
        <w:t xml:space="preserve"> </w:t>
      </w:r>
      <w:r w:rsidRPr="00F02C3C" w:rsidR="004F16F9">
        <w:t xml:space="preserve">specifically </w:t>
      </w:r>
      <w:r w:rsidRPr="00F02C3C" w:rsidR="00090676">
        <w:t>designed to favor local and diverse applicants.</w:t>
      </w:r>
      <w:r w:rsidRPr="00F02C3C" w:rsidR="00D11E22">
        <w:t xml:space="preserve">  </w:t>
      </w:r>
      <w:r w:rsidRPr="00F02C3C" w:rsidR="00D11E22">
        <w:rPr>
          <w:i/>
        </w:rPr>
        <w:t xml:space="preserve">See </w:t>
      </w:r>
      <w:r w:rsidRPr="00F02C3C" w:rsidR="00D11E22">
        <w:t>47 CFR § 73.7003.</w:t>
      </w:r>
    </w:p>
  </w:footnote>
  <w:footnote w:id="27">
    <w:p w:rsidR="00D97CF6" w:rsidRPr="00F02C3C" w14:paraId="4ADCD92E" w14:textId="1F6BDC29">
      <w:pPr>
        <w:pStyle w:val="FootnoteText"/>
      </w:pPr>
      <w:r w:rsidRPr="00F02C3C">
        <w:rPr>
          <w:rStyle w:val="FootnoteReference"/>
        </w:rPr>
        <w:footnoteRef/>
      </w:r>
      <w:r w:rsidRPr="00F02C3C">
        <w:t xml:space="preserve"> </w:t>
      </w:r>
      <w:r w:rsidRPr="00F02C3C" w:rsidR="007A68DF">
        <w:t xml:space="preserve">We believe that a five-application cap </w:t>
      </w:r>
      <w:r w:rsidRPr="00F02C3C" w:rsidR="008C3BEF">
        <w:t>c</w:t>
      </w:r>
      <w:r w:rsidRPr="00F02C3C" w:rsidR="007A68DF">
        <w:t xml:space="preserve">ould impede the growth of new NCE FM service throughout the country, </w:t>
      </w:r>
      <w:r w:rsidRPr="00F02C3C" w:rsidR="00CF604E">
        <w:t>but</w:t>
      </w:r>
      <w:r w:rsidRPr="00F02C3C" w:rsidR="007A68DF">
        <w:t xml:space="preserve"> particularly, in underserved, rural areas.  </w:t>
      </w:r>
      <w:r w:rsidRPr="00F02C3C" w:rsidR="00BD1116">
        <w:t>This is because if</w:t>
      </w:r>
      <w:r w:rsidRPr="00F02C3C" w:rsidR="007A68DF">
        <w:t xml:space="preserve"> restricted to</w:t>
      </w:r>
      <w:r w:rsidRPr="00F02C3C" w:rsidR="00B7266D">
        <w:t xml:space="preserve"> </w:t>
      </w:r>
      <w:r w:rsidRPr="00F02C3C" w:rsidR="00BD1116">
        <w:t>just</w:t>
      </w:r>
      <w:r w:rsidRPr="00F02C3C" w:rsidR="007A68DF">
        <w:t xml:space="preserve"> five applications, </w:t>
      </w:r>
      <w:r w:rsidRPr="00F02C3C" w:rsidR="00BD1116">
        <w:t>applicants</w:t>
      </w:r>
      <w:r w:rsidRPr="00F02C3C" w:rsidR="007A68DF">
        <w:t xml:space="preserve"> may </w:t>
      </w:r>
      <w:r w:rsidRPr="00F02C3C" w:rsidR="008C3BEF">
        <w:t xml:space="preserve">gravitate to larger markets and </w:t>
      </w:r>
      <w:r w:rsidRPr="00F02C3C" w:rsidR="00871440">
        <w:t>be disinclined to file an application for</w:t>
      </w:r>
      <w:r w:rsidRPr="00F02C3C" w:rsidR="00257785">
        <w:t xml:space="preserve"> </w:t>
      </w:r>
      <w:r w:rsidRPr="00F02C3C" w:rsidR="008C3BEF">
        <w:t xml:space="preserve">the smaller, rural areas.  </w:t>
      </w:r>
      <w:r w:rsidRPr="00F02C3C" w:rsidR="00BD1116">
        <w:t>In contrast, w</w:t>
      </w:r>
      <w:r w:rsidRPr="00F02C3C" w:rsidR="008C3BEF">
        <w:t xml:space="preserve">e find a 10-application cap will better facilitate the growth of NCE FM service to </w:t>
      </w:r>
      <w:r w:rsidRPr="00F02C3C" w:rsidR="008C3BEF">
        <w:rPr>
          <w:i/>
          <w:iCs/>
        </w:rPr>
        <w:t>all</w:t>
      </w:r>
      <w:r w:rsidRPr="00F02C3C" w:rsidR="008C3BEF">
        <w:t xml:space="preserve"> areas of the country.</w:t>
      </w:r>
      <w:r w:rsidRPr="00F02C3C" w:rsidR="007A68DF">
        <w:t xml:space="preserve">  </w:t>
      </w:r>
    </w:p>
  </w:footnote>
  <w:footnote w:id="28">
    <w:p w:rsidR="006138CD" w:rsidRPr="00F02C3C" w14:paraId="0AB47953" w14:textId="481E0221">
      <w:pPr>
        <w:pStyle w:val="FootnoteText"/>
      </w:pPr>
      <w:r w:rsidRPr="00F02C3C">
        <w:rPr>
          <w:rStyle w:val="FootnoteReference"/>
        </w:rPr>
        <w:footnoteRef/>
      </w:r>
      <w:r w:rsidRPr="00F02C3C" w:rsidR="00F50AAC">
        <w:t xml:space="preserve"> NPR Reply Comments</w:t>
      </w:r>
      <w:r w:rsidRPr="00F02C3C">
        <w:rPr>
          <w:i/>
          <w:iCs/>
        </w:rPr>
        <w:t xml:space="preserve"> </w:t>
      </w:r>
      <w:r w:rsidRPr="00F02C3C">
        <w:t>at 4</w:t>
      </w:r>
      <w:r w:rsidRPr="00F02C3C" w:rsidR="00D97CF6">
        <w:t xml:space="preserve"> (also emphasizing that “[w]</w:t>
      </w:r>
      <w:r w:rsidRPr="00F02C3C" w:rsidR="00D97CF6">
        <w:t>hile</w:t>
      </w:r>
      <w:r w:rsidRPr="00F02C3C" w:rsidR="00D97CF6">
        <w:t xml:space="preserve"> the universe of NCE stations is diverse, so are the needs served by NCE stations.”). </w:t>
      </w:r>
      <w:r w:rsidRPr="00F02C3C">
        <w:t xml:space="preserve"> </w:t>
      </w:r>
    </w:p>
  </w:footnote>
  <w:footnote w:id="29">
    <w:p w:rsidR="006418B9" w:rsidRPr="00F02C3C" w14:paraId="314813CD" w14:textId="535B2B88">
      <w:pPr>
        <w:pStyle w:val="FootnoteText"/>
      </w:pPr>
      <w:r w:rsidRPr="00F02C3C">
        <w:rPr>
          <w:rStyle w:val="FootnoteReference"/>
        </w:rPr>
        <w:footnoteRef/>
      </w:r>
      <w:r w:rsidRPr="00F02C3C">
        <w:t xml:space="preserve"> </w:t>
      </w:r>
      <w:r w:rsidRPr="00F02C3C" w:rsidR="00A373EE">
        <w:t xml:space="preserve">EMF </w:t>
      </w:r>
      <w:r w:rsidRPr="00F02C3C" w:rsidR="001F5EC2">
        <w:t xml:space="preserve">proposes </w:t>
      </w:r>
      <w:r w:rsidRPr="00F02C3C" w:rsidR="00C3218A">
        <w:t>that the Commission</w:t>
      </w:r>
      <w:r w:rsidRPr="00F02C3C" w:rsidR="00B7266D">
        <w:t>:</w:t>
      </w:r>
      <w:r w:rsidRPr="00F02C3C" w:rsidR="001F5EC2">
        <w:t xml:space="preserve"> </w:t>
      </w:r>
      <w:r w:rsidRPr="00F02C3C" w:rsidR="003F024D">
        <w:t xml:space="preserve">(1) </w:t>
      </w:r>
      <w:r w:rsidRPr="00F02C3C" w:rsidR="00D35C67">
        <w:t>provide</w:t>
      </w:r>
      <w:r w:rsidRPr="00F02C3C" w:rsidR="001F5EC2">
        <w:t xml:space="preserve"> </w:t>
      </w:r>
      <w:r w:rsidRPr="00F02C3C" w:rsidR="00D35C67">
        <w:t xml:space="preserve">any </w:t>
      </w:r>
      <w:r w:rsidRPr="00F02C3C" w:rsidR="001F5EC2">
        <w:t>mutually exclusive non-primary applicatio</w:t>
      </w:r>
      <w:r w:rsidRPr="00F02C3C" w:rsidR="003F024D">
        <w:t xml:space="preserve">n </w:t>
      </w:r>
      <w:r w:rsidRPr="00F02C3C" w:rsidR="00D35C67">
        <w:t>the</w:t>
      </w:r>
      <w:r w:rsidRPr="00F02C3C" w:rsidR="001B00A2">
        <w:t xml:space="preserve"> opportunity </w:t>
      </w:r>
      <w:r w:rsidRPr="00F02C3C" w:rsidR="00ED339C">
        <w:t xml:space="preserve">to submit a technical amendment </w:t>
      </w:r>
      <w:r w:rsidRPr="00F02C3C" w:rsidR="00D35C67">
        <w:t>to remove the conflict</w:t>
      </w:r>
      <w:r w:rsidRPr="00F02C3C" w:rsidR="003F024D">
        <w:t>,</w:t>
      </w:r>
      <w:r w:rsidRPr="00F02C3C" w:rsidR="00D35C67">
        <w:t xml:space="preserve"> and </w:t>
      </w:r>
      <w:r w:rsidRPr="00F02C3C" w:rsidR="003F024D">
        <w:t xml:space="preserve">(2) </w:t>
      </w:r>
      <w:r w:rsidRPr="00F02C3C" w:rsidR="00D35C67">
        <w:t xml:space="preserve">only dismiss </w:t>
      </w:r>
      <w:r w:rsidRPr="00F02C3C" w:rsidR="003F024D">
        <w:t xml:space="preserve">a </w:t>
      </w:r>
      <w:r w:rsidRPr="00F02C3C" w:rsidR="00D35C67">
        <w:t>non-primary application that cannot be detached f</w:t>
      </w:r>
      <w:r w:rsidRPr="00F02C3C" w:rsidR="003F024D">
        <w:t>rom its MX</w:t>
      </w:r>
      <w:r w:rsidRPr="00F02C3C" w:rsidR="00D35C67">
        <w:t xml:space="preserve"> group</w:t>
      </w:r>
      <w:r w:rsidRPr="00F02C3C" w:rsidR="00CB6D0A">
        <w:t xml:space="preserve">.  Although the Commission often designates </w:t>
      </w:r>
      <w:r w:rsidRPr="00F02C3C" w:rsidR="00911452">
        <w:t xml:space="preserve">a </w:t>
      </w:r>
      <w:r w:rsidRPr="00F02C3C" w:rsidR="00CB6D0A">
        <w:t>specific period for MX applicants to file settlements and technical amendments, our rules permit parties to settle or file technical amendments at any time</w:t>
      </w:r>
      <w:r w:rsidRPr="00F02C3C" w:rsidR="008B3C4A">
        <w:rPr>
          <w:color w:val="3D3D3D"/>
          <w:shd w:val="clear" w:color="auto" w:fill="FFFFFF"/>
        </w:rPr>
        <w:t xml:space="preserve">.  </w:t>
      </w:r>
      <w:r w:rsidRPr="00F02C3C" w:rsidR="008B3C4A">
        <w:rPr>
          <w:i/>
          <w:iCs/>
          <w:shd w:val="clear" w:color="auto" w:fill="FFFFFF"/>
        </w:rPr>
        <w:t xml:space="preserve">See </w:t>
      </w:r>
      <w:r w:rsidRPr="00F02C3C" w:rsidR="008B3C4A">
        <w:rPr>
          <w:shd w:val="clear" w:color="auto" w:fill="FFFFFF"/>
        </w:rPr>
        <w:t>47 CFR § 73.7003(d).</w:t>
      </w:r>
      <w:r w:rsidRPr="00F02C3C" w:rsidR="00EA7E68">
        <w:rPr>
          <w:shd w:val="clear" w:color="auto" w:fill="FFFFFF"/>
        </w:rPr>
        <w:t xml:space="preserve">  It takes significant engineering resources to analyze settlements and technical amendments </w:t>
      </w:r>
      <w:r w:rsidRPr="00F02C3C" w:rsidR="006F44C3">
        <w:rPr>
          <w:shd w:val="clear" w:color="auto" w:fill="FFFFFF"/>
        </w:rPr>
        <w:t xml:space="preserve">and then </w:t>
      </w:r>
      <w:r w:rsidRPr="00F02C3C" w:rsidR="00EA7E68">
        <w:rPr>
          <w:shd w:val="clear" w:color="auto" w:fill="FFFFFF"/>
        </w:rPr>
        <w:t>approve or deny them</w:t>
      </w:r>
      <w:r w:rsidRPr="00F02C3C" w:rsidR="006F44C3">
        <w:rPr>
          <w:shd w:val="clear" w:color="auto" w:fill="FFFFFF"/>
        </w:rPr>
        <w:t xml:space="preserve">.  </w:t>
      </w:r>
    </w:p>
  </w:footnote>
  <w:footnote w:id="30">
    <w:p w:rsidR="00330E16" w:rsidRPr="00F02C3C" w14:paraId="3BF70D7D" w14:textId="0A8B336D">
      <w:pPr>
        <w:pStyle w:val="FootnoteText"/>
      </w:pPr>
      <w:r w:rsidRPr="00F02C3C">
        <w:rPr>
          <w:rStyle w:val="FootnoteReference"/>
        </w:rPr>
        <w:footnoteRef/>
      </w:r>
      <w:r w:rsidRPr="00F02C3C">
        <w:t xml:space="preserve"> </w:t>
      </w:r>
      <w:r w:rsidRPr="00F02C3C" w:rsidR="00F66F13">
        <w:t>The current NCE FM construction permit application (Form 2100, Schedule 340</w:t>
      </w:r>
      <w:r w:rsidRPr="00F02C3C" w:rsidR="00562FBC">
        <w:t xml:space="preserve">) </w:t>
      </w:r>
      <w:r w:rsidRPr="00F02C3C" w:rsidR="00F66F13">
        <w:t>does not require applicants to distinguish between “primary” and “non-primary” applications</w:t>
      </w:r>
      <w:r w:rsidRPr="00F02C3C" w:rsidR="00562FBC">
        <w:t xml:space="preserve"> nor does it </w:t>
      </w:r>
      <w:r w:rsidRPr="00F02C3C" w:rsidR="00A20DB9">
        <w:t xml:space="preserve">require </w:t>
      </w:r>
      <w:r w:rsidRPr="00F02C3C" w:rsidR="00A30222">
        <w:t xml:space="preserve">NCE </w:t>
      </w:r>
      <w:r w:rsidRPr="00F02C3C" w:rsidR="00A20DB9">
        <w:t xml:space="preserve">applicants to </w:t>
      </w:r>
      <w:r w:rsidRPr="00F02C3C" w:rsidR="005F0EC0">
        <w:t xml:space="preserve">distinguish between Nielsen and unranked markets.  </w:t>
      </w:r>
      <w:r w:rsidRPr="00F02C3C" w:rsidR="00CE5FF2">
        <w:t xml:space="preserve">Under </w:t>
      </w:r>
      <w:r w:rsidRPr="00F02C3C" w:rsidR="00CE5FF2">
        <w:rPr>
          <w:szCs w:val="22"/>
        </w:rPr>
        <w:t>t</w:t>
      </w:r>
      <w:r w:rsidRPr="00F02C3C" w:rsidR="00661640">
        <w:rPr>
          <w:szCs w:val="22"/>
        </w:rPr>
        <w:t xml:space="preserve">he Paperwork Reduction Act of 1995, 44 U.S.C. § 3501 et seq. (the PRA), </w:t>
      </w:r>
      <w:r w:rsidRPr="00F02C3C" w:rsidR="00CE5FF2">
        <w:rPr>
          <w:szCs w:val="22"/>
        </w:rPr>
        <w:t xml:space="preserve">modifying our proposed application cap rule to incorporate EMF’s proposal and amending the </w:t>
      </w:r>
      <w:r w:rsidRPr="00F02C3C" w:rsidR="00CE5FF2">
        <w:t>Schedule 340</w:t>
      </w:r>
      <w:r w:rsidRPr="00F02C3C" w:rsidR="00CE5FF2">
        <w:rPr>
          <w:szCs w:val="22"/>
        </w:rPr>
        <w:t xml:space="preserve"> to incorporate </w:t>
      </w:r>
      <w:r w:rsidRPr="00F02C3C" w:rsidR="00CE5FF2">
        <w:t xml:space="preserve">this additional information </w:t>
      </w:r>
      <w:r w:rsidRPr="00F02C3C" w:rsidR="00661640">
        <w:rPr>
          <w:szCs w:val="22"/>
        </w:rPr>
        <w:t xml:space="preserve">would require Federal Register notice and an opportunity for public comment, as well as OMB approval, </w:t>
      </w:r>
      <w:r w:rsidRPr="00F02C3C" w:rsidR="00F17D23">
        <w:t xml:space="preserve">thereby </w:t>
      </w:r>
      <w:r w:rsidRPr="00F02C3C" w:rsidR="009923D1">
        <w:t xml:space="preserve">unnecessarily </w:t>
      </w:r>
      <w:r w:rsidRPr="00F02C3C" w:rsidR="00F17D23">
        <w:t>delaying</w:t>
      </w:r>
      <w:r w:rsidRPr="00F02C3C" w:rsidR="004E38AB">
        <w:t xml:space="preserve"> the filing wi</w:t>
      </w:r>
      <w:r w:rsidRPr="00F02C3C" w:rsidR="005F0EC0">
        <w:t>ndow.</w:t>
      </w:r>
      <w:r w:rsidRPr="00F02C3C" w:rsidR="0032596B">
        <w:t xml:space="preserve"> </w:t>
      </w:r>
    </w:p>
  </w:footnote>
  <w:footnote w:id="31">
    <w:p w:rsidR="00416199" w:rsidRPr="00F02C3C" w14:paraId="113E6A77" w14:textId="68A7ACB4">
      <w:pPr>
        <w:pStyle w:val="FootnoteText"/>
        <w:rPr>
          <w:i/>
          <w:iCs/>
        </w:rPr>
      </w:pPr>
      <w:r w:rsidRPr="00F02C3C">
        <w:rPr>
          <w:rStyle w:val="FootnoteReference"/>
        </w:rPr>
        <w:footnoteRef/>
      </w:r>
      <w:r w:rsidRPr="00F02C3C">
        <w:t xml:space="preserve"> </w:t>
      </w:r>
      <w:r w:rsidRPr="00F02C3C">
        <w:rPr>
          <w:i/>
          <w:iCs/>
        </w:rPr>
        <w:t xml:space="preserve">See </w:t>
      </w:r>
      <w:r w:rsidRPr="00F02C3C">
        <w:t xml:space="preserve">note 28, </w:t>
      </w:r>
      <w:r w:rsidRPr="00F02C3C">
        <w:rPr>
          <w:i/>
          <w:iCs/>
        </w:rPr>
        <w:t>supra.</w:t>
      </w:r>
    </w:p>
  </w:footnote>
  <w:footnote w:id="32">
    <w:p w:rsidR="0084623C" w:rsidRPr="00F02C3C" w14:paraId="123D9EB1" w14:textId="2239B187">
      <w:pPr>
        <w:pStyle w:val="FootnoteText"/>
      </w:pPr>
      <w:r w:rsidRPr="00F02C3C">
        <w:rPr>
          <w:rStyle w:val="FootnoteReference"/>
        </w:rPr>
        <w:footnoteRef/>
      </w:r>
      <w:r w:rsidRPr="00F02C3C">
        <w:t xml:space="preserve"> The adoption of EMF’s proposal could also potentially enable applicants to game the system by choosing which market to designate to determine whether its application qualifies as primary or secondary.   </w:t>
      </w:r>
    </w:p>
  </w:footnote>
  <w:footnote w:id="33">
    <w:p w:rsidR="00056FF2" w:rsidRPr="00F02C3C" w14:paraId="0F64403A" w14:textId="6BD42285">
      <w:pPr>
        <w:pStyle w:val="FootnoteText"/>
      </w:pPr>
      <w:r w:rsidRPr="00F02C3C">
        <w:rPr>
          <w:rStyle w:val="FootnoteReference"/>
        </w:rPr>
        <w:footnoteRef/>
      </w:r>
      <w:r w:rsidRPr="00F02C3C">
        <w:t xml:space="preserve"> NPR, REC, and White each oppose EMF’s approach.  </w:t>
      </w:r>
      <w:r w:rsidRPr="00F02C3C" w:rsidR="004571A2">
        <w:rPr>
          <w:i/>
          <w:iCs/>
        </w:rPr>
        <w:t xml:space="preserve">See supra </w:t>
      </w:r>
      <w:r w:rsidRPr="00F02C3C" w:rsidR="004571A2">
        <w:t>note 20.</w:t>
      </w:r>
    </w:p>
  </w:footnote>
  <w:footnote w:id="34">
    <w:p w:rsidR="006700C0" w:rsidRPr="00F02C3C" w14:paraId="11E09312" w14:textId="6060AA02">
      <w:pPr>
        <w:pStyle w:val="FootnoteText"/>
      </w:pPr>
      <w:r w:rsidRPr="00F02C3C">
        <w:rPr>
          <w:rStyle w:val="FootnoteReference"/>
        </w:rPr>
        <w:footnoteRef/>
      </w:r>
      <w:r w:rsidRPr="00F02C3C">
        <w:t xml:space="preserve"> Although EMF proposes that we ultimately dismiss non-primary mutually exclusive applications that cannot be cured by a technical amendment, these applications would still be </w:t>
      </w:r>
      <w:r w:rsidRPr="00F02C3C" w:rsidR="00977B35">
        <w:t>initially</w:t>
      </w:r>
      <w:r w:rsidRPr="00F02C3C" w:rsidR="00AA67B4">
        <w:t xml:space="preserve"> </w:t>
      </w:r>
      <w:r w:rsidRPr="00F02C3C">
        <w:t>assigned to an MX group</w:t>
      </w:r>
      <w:r w:rsidRPr="00F02C3C" w:rsidR="008615EC">
        <w:t xml:space="preserve">.  </w:t>
      </w:r>
      <w:r w:rsidRPr="00F02C3C" w:rsidR="008615EC">
        <w:rPr>
          <w:i/>
          <w:iCs/>
        </w:rPr>
        <w:t xml:space="preserve">See also </w:t>
      </w:r>
      <w:r w:rsidRPr="00F02C3C" w:rsidR="008615EC">
        <w:t xml:space="preserve">REC Notice of </w:t>
      </w:r>
      <w:r w:rsidRPr="00F02C3C" w:rsidR="008615EC">
        <w:rPr>
          <w:i/>
          <w:iCs/>
        </w:rPr>
        <w:t xml:space="preserve">Ex </w:t>
      </w:r>
      <w:r w:rsidRPr="00F02C3C" w:rsidR="008615EC">
        <w:rPr>
          <w:i/>
          <w:iCs/>
        </w:rPr>
        <w:t>Parte</w:t>
      </w:r>
      <w:r w:rsidRPr="00F02C3C" w:rsidR="008615EC">
        <w:rPr>
          <w:i/>
          <w:iCs/>
        </w:rPr>
        <w:t xml:space="preserve"> </w:t>
      </w:r>
      <w:r w:rsidRPr="00F02C3C" w:rsidR="008615EC">
        <w:t>Presentation, MB Docket No. 20-</w:t>
      </w:r>
      <w:r w:rsidRPr="00F02C3C" w:rsidR="000552A5">
        <w:t>343</w:t>
      </w:r>
      <w:r w:rsidRPr="00F02C3C" w:rsidR="008615EC">
        <w:t>, dated December 14, 2020 (“Even with EMF’s proposal, an MX group would need to be created that involved the ‘over the limit’ application and even if that application is dismissed, a single, large MX group</w:t>
      </w:r>
      <w:r w:rsidRPr="00F02C3C" w:rsidR="00DF74C5">
        <w:t xml:space="preserve"> would still exist</w:t>
      </w:r>
      <w:r w:rsidRPr="00F02C3C" w:rsidR="008615EC">
        <w:t xml:space="preserve">”). </w:t>
      </w:r>
      <w:r w:rsidRPr="00F02C3C">
        <w:t xml:space="preserve">  </w:t>
      </w:r>
    </w:p>
  </w:footnote>
  <w:footnote w:id="35">
    <w:p w:rsidR="00D25ACA" w:rsidRPr="00F02C3C" w14:paraId="0D810BF2" w14:textId="4BBDF542">
      <w:pPr>
        <w:pStyle w:val="FootnoteText"/>
      </w:pPr>
      <w:r w:rsidRPr="00F02C3C">
        <w:rPr>
          <w:rStyle w:val="FootnoteReference"/>
        </w:rPr>
        <w:footnoteRef/>
      </w:r>
      <w:r w:rsidRPr="00F02C3C">
        <w:t xml:space="preserve"> As we noted in the </w:t>
      </w:r>
      <w:r w:rsidRPr="00F02C3C">
        <w:rPr>
          <w:i/>
          <w:iCs/>
        </w:rPr>
        <w:t>Cap Comment Notice</w:t>
      </w:r>
      <w:r w:rsidRPr="00F02C3C">
        <w:t xml:space="preserve">, we expect there will be a large volume of NCE FM applications filed in the forthcoming window.  </w:t>
      </w:r>
      <w:r w:rsidRPr="00F02C3C">
        <w:rPr>
          <w:i/>
          <w:iCs/>
        </w:rPr>
        <w:t xml:space="preserve">See Cap Comment Notice </w:t>
      </w:r>
      <w:r w:rsidRPr="00F02C3C">
        <w:t xml:space="preserve">at para. </w:t>
      </w:r>
      <w:r w:rsidRPr="00F02C3C" w:rsidR="008C54A3">
        <w:t>5</w:t>
      </w:r>
      <w:r w:rsidRPr="00F02C3C">
        <w:t>.</w:t>
      </w:r>
      <w:r w:rsidRPr="00F02C3C" w:rsidR="00D84036">
        <w:t xml:space="preserve">  </w:t>
      </w:r>
      <w:r w:rsidRPr="00F02C3C" w:rsidR="00907C26">
        <w:t>We therefore disagree with EMF’s prediction</w:t>
      </w:r>
      <w:r w:rsidRPr="00F02C3C" w:rsidR="00B7266D">
        <w:t xml:space="preserve"> </w:t>
      </w:r>
      <w:r w:rsidRPr="00F02C3C" w:rsidR="004F51E0">
        <w:t xml:space="preserve">that there will not be a flood of NCE applications </w:t>
      </w:r>
      <w:r w:rsidRPr="00F02C3C" w:rsidR="00907C26">
        <w:t>given its belief that</w:t>
      </w:r>
      <w:r w:rsidRPr="00F02C3C" w:rsidR="00B7266D">
        <w:t xml:space="preserve"> </w:t>
      </w:r>
      <w:r w:rsidRPr="00F02C3C" w:rsidR="004F51E0">
        <w:t xml:space="preserve">“there simply is not the demand for new broadcast stations, particularly in rural areas, that there once was.”  </w:t>
      </w:r>
      <w:r w:rsidRPr="00F02C3C" w:rsidR="004F51E0">
        <w:rPr>
          <w:i/>
          <w:iCs/>
        </w:rPr>
        <w:t xml:space="preserve">See EMF Notice of Ex </w:t>
      </w:r>
      <w:r w:rsidRPr="00F02C3C" w:rsidR="004F51E0">
        <w:rPr>
          <w:i/>
          <w:iCs/>
        </w:rPr>
        <w:t>Parte</w:t>
      </w:r>
      <w:r w:rsidRPr="00F02C3C" w:rsidR="004F51E0">
        <w:rPr>
          <w:i/>
          <w:iCs/>
        </w:rPr>
        <w:t xml:space="preserve"> Presentation</w:t>
      </w:r>
      <w:r w:rsidRPr="00F02C3C" w:rsidR="004F51E0">
        <w:t xml:space="preserve">, MB Docket No. 20-343, dated December 11, 2020.  </w:t>
      </w:r>
      <w:r w:rsidRPr="00F02C3C" w:rsidR="00907C26">
        <w:t>To the contrary, based upon the prior demand, we anticipate that there will continue to be</w:t>
      </w:r>
      <w:r w:rsidRPr="00F02C3C" w:rsidR="00555AFB">
        <w:t xml:space="preserve"> </w:t>
      </w:r>
      <w:r w:rsidRPr="00F02C3C" w:rsidR="004F51E0">
        <w:t xml:space="preserve">a robust demand for spectrum.    </w:t>
      </w:r>
      <w:r w:rsidRPr="00F02C3C">
        <w:t xml:space="preserve"> </w:t>
      </w:r>
    </w:p>
  </w:footnote>
  <w:footnote w:id="36">
    <w:p w:rsidR="00AB2217" w:rsidRPr="00F02C3C" w14:paraId="167B56ED" w14:textId="2BE09902">
      <w:pPr>
        <w:pStyle w:val="FootnoteText"/>
      </w:pPr>
      <w:r w:rsidRPr="00F02C3C">
        <w:rPr>
          <w:rStyle w:val="FootnoteReference"/>
        </w:rPr>
        <w:footnoteRef/>
      </w:r>
      <w:r w:rsidRPr="00F02C3C">
        <w:t xml:space="preserve"> NPR </w:t>
      </w:r>
      <w:r w:rsidRPr="00F02C3C" w:rsidR="00183FB8">
        <w:t xml:space="preserve">Reply </w:t>
      </w:r>
      <w:r w:rsidRPr="00F02C3C">
        <w:t xml:space="preserve">Comments at 5. </w:t>
      </w:r>
    </w:p>
  </w:footnote>
  <w:footnote w:id="37">
    <w:p w:rsidR="000C586F" w:rsidRPr="00F02C3C" w14:paraId="3EFC3064" w14:textId="282743A3">
      <w:pPr>
        <w:pStyle w:val="FootnoteText"/>
      </w:pPr>
      <w:r w:rsidRPr="00F02C3C">
        <w:rPr>
          <w:rStyle w:val="FootnoteReference"/>
        </w:rPr>
        <w:footnoteRef/>
      </w:r>
      <w:r w:rsidRPr="00F02C3C">
        <w:t xml:space="preserve"> </w:t>
      </w:r>
      <w:r w:rsidRPr="00F02C3C" w:rsidR="008C54A3">
        <w:t xml:space="preserve">We acknowledge the concerns, expressed by some commenters, that national owners will dominate the filing field, or that national groups will file applications under the guise of a local outlet.  </w:t>
      </w:r>
      <w:r w:rsidRPr="00F02C3C" w:rsidR="008C54A3">
        <w:rPr>
          <w:i/>
          <w:iCs/>
        </w:rPr>
        <w:t xml:space="preserve">See, e.g., </w:t>
      </w:r>
      <w:r w:rsidRPr="00F02C3C" w:rsidR="008C54A3">
        <w:t>Aaron Read Comments; REC Comments at 5; Kautz Comments; Common Frequency Reply</w:t>
      </w:r>
      <w:r w:rsidRPr="00F02C3C" w:rsidR="00DC001D">
        <w:t xml:space="preserve"> Comments</w:t>
      </w:r>
      <w:r w:rsidRPr="00F02C3C" w:rsidR="008C54A3">
        <w:t xml:space="preserve">.  </w:t>
      </w:r>
      <w:r w:rsidRPr="00F02C3C" w:rsidR="00FE6537">
        <w:t>We note, however, that our c</w:t>
      </w:r>
      <w:r w:rsidRPr="00F02C3C">
        <w:t>omparative criteria for resolving mutually exclusivity are designed to favor local applicants</w:t>
      </w:r>
      <w:r w:rsidRPr="00F02C3C" w:rsidR="00FE6537">
        <w:t xml:space="preserve">.  </w:t>
      </w:r>
      <w:r w:rsidRPr="00F02C3C" w:rsidR="00FE6537">
        <w:rPr>
          <w:i/>
          <w:iCs/>
        </w:rPr>
        <w:t xml:space="preserve">See </w:t>
      </w:r>
      <w:r w:rsidRPr="00F02C3C" w:rsidR="00FE6537">
        <w:t xml:space="preserve">47 CFR § 73.7003 </w:t>
      </w:r>
      <w:r w:rsidRPr="00F02C3C" w:rsidR="00FE6537">
        <w:rPr>
          <w:i/>
          <w:iCs/>
        </w:rPr>
        <w:t>et seq.</w:t>
      </w:r>
      <w:r w:rsidRPr="00F02C3C">
        <w:t xml:space="preserve"> </w:t>
      </w:r>
      <w:r w:rsidRPr="00F02C3C" w:rsidR="00FE6537">
        <w:t xml:space="preserve"> Further, the </w:t>
      </w:r>
      <w:r w:rsidRPr="00F02C3C">
        <w:t xml:space="preserve">Bureau has the discretion </w:t>
      </w:r>
      <w:r w:rsidRPr="00F02C3C" w:rsidR="00FE6537">
        <w:t>t</w:t>
      </w:r>
      <w:r w:rsidRPr="00F02C3C">
        <w:t>o conduct investigations</w:t>
      </w:r>
      <w:r w:rsidRPr="00F02C3C" w:rsidR="00FE6537">
        <w:t>,</w:t>
      </w:r>
      <w:r w:rsidRPr="00F02C3C">
        <w:t xml:space="preserve"> and if </w:t>
      </w:r>
      <w:r w:rsidRPr="00F02C3C" w:rsidR="00FE6537">
        <w:t xml:space="preserve">a </w:t>
      </w:r>
      <w:r w:rsidRPr="00F02C3C">
        <w:t xml:space="preserve">substantial and material question </w:t>
      </w:r>
      <w:r w:rsidRPr="00F02C3C" w:rsidR="00FE6537">
        <w:t xml:space="preserve">exists </w:t>
      </w:r>
      <w:r w:rsidRPr="00F02C3C">
        <w:t>re</w:t>
      </w:r>
      <w:r w:rsidRPr="00F02C3C" w:rsidR="00FE6537">
        <w:t xml:space="preserve">garding the </w:t>
      </w:r>
      <w:r w:rsidRPr="00F02C3C">
        <w:t>real par</w:t>
      </w:r>
      <w:r w:rsidRPr="00F02C3C" w:rsidR="00FE6537">
        <w:t>t</w:t>
      </w:r>
      <w:r w:rsidRPr="00F02C3C">
        <w:t xml:space="preserve">y in interest, </w:t>
      </w:r>
      <w:r w:rsidRPr="00F02C3C" w:rsidR="00A2496B">
        <w:t xml:space="preserve">the </w:t>
      </w:r>
      <w:r w:rsidRPr="00F02C3C">
        <w:t xml:space="preserve">Commission can designate </w:t>
      </w:r>
      <w:r w:rsidRPr="00F02C3C" w:rsidR="00FE6537">
        <w:t xml:space="preserve">an application </w:t>
      </w:r>
      <w:r w:rsidRPr="00F02C3C">
        <w:t xml:space="preserve">for hearing to determine whether </w:t>
      </w:r>
      <w:r w:rsidRPr="00F02C3C" w:rsidR="00FE6537">
        <w:t xml:space="preserve">it </w:t>
      </w:r>
      <w:r w:rsidRPr="00F02C3C">
        <w:t>compl</w:t>
      </w:r>
      <w:r w:rsidRPr="00F02C3C" w:rsidR="00FE6537">
        <w:t>ies</w:t>
      </w:r>
      <w:r w:rsidRPr="00F02C3C">
        <w:t xml:space="preserve"> with </w:t>
      </w:r>
      <w:r w:rsidRPr="00F02C3C" w:rsidR="00FE6537">
        <w:t xml:space="preserve">our </w:t>
      </w:r>
      <w:r w:rsidRPr="00F02C3C">
        <w:t>rules and policies</w:t>
      </w:r>
      <w:r w:rsidRPr="00F02C3C" w:rsidR="00FE6537">
        <w:t>.</w:t>
      </w:r>
      <w:r w:rsidRPr="00F02C3C">
        <w:t xml:space="preserve">  </w:t>
      </w:r>
    </w:p>
  </w:footnote>
  <w:footnote w:id="38">
    <w:p w:rsidR="004041F5" w:rsidRPr="00F02C3C" w:rsidP="000C586F" w14:paraId="3AD97736" w14:textId="579F1202">
      <w:pPr>
        <w:pStyle w:val="FootnoteText"/>
        <w:widowControl w:val="0"/>
      </w:pPr>
      <w:r w:rsidRPr="00F02C3C">
        <w:rPr>
          <w:rStyle w:val="FootnoteReference"/>
        </w:rPr>
        <w:footnoteRef/>
      </w:r>
      <w:r w:rsidRPr="00F02C3C">
        <w:t xml:space="preserve"> </w:t>
      </w:r>
      <w:r w:rsidRPr="00F02C3C">
        <w:rPr>
          <w:i/>
        </w:rPr>
        <w:t>See NCE R&amp;O</w:t>
      </w:r>
      <w:r w:rsidRPr="00F02C3C">
        <w:t xml:space="preserve">, 15 FCC </w:t>
      </w:r>
      <w:r w:rsidRPr="00F02C3C">
        <w:t>Rcd</w:t>
      </w:r>
      <w:r w:rsidRPr="00F02C3C">
        <w:t xml:space="preserve"> at 7418-20, paras. 74-77 (extending commercial attribution principles to NCE applications).</w:t>
      </w:r>
    </w:p>
  </w:footnote>
  <w:footnote w:id="39">
    <w:p w:rsidR="009F37F8" w:rsidRPr="00F02C3C" w14:paraId="426C57FA" w14:textId="7B1C5B99">
      <w:pPr>
        <w:pStyle w:val="FootnoteText"/>
      </w:pPr>
      <w:r w:rsidRPr="00F02C3C">
        <w:rPr>
          <w:rStyle w:val="FootnoteReference"/>
        </w:rPr>
        <w:footnoteRef/>
      </w:r>
      <w:r w:rsidRPr="00F02C3C">
        <w:t xml:space="preserve"> </w:t>
      </w:r>
      <w:r w:rsidRPr="00F02C3C">
        <w:rPr>
          <w:rStyle w:val="Emphasis"/>
          <w:bdr w:val="none" w:sz="0" w:space="0" w:color="auto" w:frame="1"/>
          <w:shd w:val="clear" w:color="auto" w:fill="FFFFFF"/>
        </w:rPr>
        <w:t>See</w:t>
      </w:r>
      <w:r w:rsidRPr="00F02C3C">
        <w:rPr>
          <w:shd w:val="clear" w:color="auto" w:fill="FFFFFF"/>
        </w:rPr>
        <w:t> 5 U.S.C. § 603.  The RFA, </w:t>
      </w:r>
      <w:r w:rsidRPr="00F02C3C">
        <w:rPr>
          <w:rStyle w:val="Emphasis"/>
          <w:bdr w:val="none" w:sz="0" w:space="0" w:color="auto" w:frame="1"/>
          <w:shd w:val="clear" w:color="auto" w:fill="FFFFFF"/>
        </w:rPr>
        <w:t>see</w:t>
      </w:r>
      <w:r w:rsidRPr="00F02C3C">
        <w:rPr>
          <w:shd w:val="clear" w:color="auto" w:fill="FFFFFF"/>
        </w:rPr>
        <w:t xml:space="preserve"> 5 U.S.C. § 601 </w:t>
      </w:r>
      <w:r w:rsidRPr="00F02C3C">
        <w:rPr>
          <w:i/>
          <w:iCs/>
          <w:shd w:val="clear" w:color="auto" w:fill="FFFFFF"/>
        </w:rPr>
        <w:t>et seq.</w:t>
      </w:r>
      <w:r w:rsidRPr="00F02C3C">
        <w:rPr>
          <w:shd w:val="clear" w:color="auto" w:fill="FFFFFF"/>
        </w:rPr>
        <w:t>, has been amended by the Small Business Regulatory Enforcement Fairness Act of 1996 (SBREFA), Pub. L. No. 104-121, Title II, 110 Stat. 857 (1996). The SBREFA was enacted as Title II of the Contract with America Advancement Act of 1996 (CWAAA).</w:t>
      </w:r>
    </w:p>
  </w:footnote>
  <w:footnote w:id="40">
    <w:p w:rsidR="005378F4" w:rsidRPr="00F02C3C" w14:paraId="592B1766" w14:textId="019183C6">
      <w:pPr>
        <w:pStyle w:val="FootnoteText"/>
      </w:pPr>
      <w:r w:rsidRPr="00F02C3C">
        <w:rPr>
          <w:rStyle w:val="FootnoteReference"/>
          <w:sz w:val="20"/>
        </w:rPr>
        <w:footnoteRef/>
      </w:r>
      <w:r w:rsidRPr="00F02C3C">
        <w:t xml:space="preserve"> </w:t>
      </w:r>
      <w:r w:rsidRPr="00F02C3C">
        <w:rPr>
          <w:rStyle w:val="Emphasis"/>
          <w:bdr w:val="none" w:sz="0" w:space="0" w:color="auto" w:frame="1"/>
          <w:shd w:val="clear" w:color="auto" w:fill="FFFFFF"/>
        </w:rPr>
        <w:t>See</w:t>
      </w:r>
      <w:r w:rsidRPr="00F02C3C">
        <w:rPr>
          <w:shd w:val="clear" w:color="auto" w:fill="FFFFFF"/>
        </w:rPr>
        <w:t> </w:t>
      </w:r>
      <w:r w:rsidRPr="00F02C3C" w:rsidR="00E37789">
        <w:rPr>
          <w:shd w:val="clear" w:color="auto" w:fill="FFFFFF"/>
        </w:rPr>
        <w:t xml:space="preserve">5 U.S.C. § 603.  </w:t>
      </w:r>
      <w:r w:rsidRPr="00F02C3C">
        <w:rPr>
          <w:shd w:val="clear" w:color="auto" w:fill="FFFFFF"/>
        </w:rPr>
        <w:t>The RFA, </w:t>
      </w:r>
      <w:r w:rsidRPr="00F02C3C">
        <w:rPr>
          <w:rStyle w:val="Emphasis"/>
          <w:bdr w:val="none" w:sz="0" w:space="0" w:color="auto" w:frame="1"/>
          <w:shd w:val="clear" w:color="auto" w:fill="FFFFFF"/>
        </w:rPr>
        <w:t>see</w:t>
      </w:r>
      <w:r w:rsidRPr="00F02C3C">
        <w:rPr>
          <w:shd w:val="clear" w:color="auto" w:fill="FFFFFF"/>
        </w:rPr>
        <w:t> </w:t>
      </w:r>
      <w:r w:rsidRPr="00F02C3C" w:rsidR="00E37789">
        <w:rPr>
          <w:shd w:val="clear" w:color="auto" w:fill="FFFFFF"/>
        </w:rPr>
        <w:t xml:space="preserve">5 U.S.C. §§ 601-612, </w:t>
      </w:r>
      <w:r w:rsidRPr="00F02C3C">
        <w:rPr>
          <w:shd w:val="clear" w:color="auto" w:fill="FFFFFF"/>
        </w:rPr>
        <w:t>has been amended by the Small Business Regulatory Enforcement Fairness Act of 1996 (SBREFA), </w:t>
      </w:r>
      <w:r w:rsidRPr="00F02C3C" w:rsidR="00E37789">
        <w:rPr>
          <w:shd w:val="clear" w:color="auto" w:fill="FFFFFF"/>
        </w:rPr>
        <w:t xml:space="preserve">Pub. L. No. 104-121, </w:t>
      </w:r>
      <w:r w:rsidRPr="00F02C3C">
        <w:rPr>
          <w:shd w:val="clear" w:color="auto" w:fill="FFFFFF"/>
        </w:rPr>
        <w:t xml:space="preserve">Title II, 110 Stat. 857 (1996). The SBREFA was enacted as Title II of the Contract </w:t>
      </w:r>
      <w:r w:rsidRPr="00F02C3C">
        <w:rPr>
          <w:shd w:val="clear" w:color="auto" w:fill="FFFFFF"/>
        </w:rPr>
        <w:t>With</w:t>
      </w:r>
      <w:r w:rsidRPr="00F02C3C">
        <w:rPr>
          <w:shd w:val="clear" w:color="auto" w:fill="FFFFFF"/>
        </w:rPr>
        <w:t xml:space="preserve"> America Advancement Act of 1996 (CWAAA).</w:t>
      </w:r>
    </w:p>
  </w:footnote>
  <w:footnote w:id="41">
    <w:p w:rsidR="00E37789" w:rsidRPr="00F02C3C" w14:paraId="4135D484" w14:textId="034353BC">
      <w:pPr>
        <w:pStyle w:val="FootnoteText"/>
      </w:pPr>
      <w:r w:rsidRPr="00F02C3C">
        <w:rPr>
          <w:rStyle w:val="FootnoteReference"/>
          <w:sz w:val="20"/>
        </w:rPr>
        <w:footnoteRef/>
      </w:r>
      <w:r w:rsidRPr="00F02C3C">
        <w:t xml:space="preserve"> </w:t>
      </w:r>
      <w:r w:rsidRPr="00F02C3C">
        <w:rPr>
          <w:i/>
          <w:iCs/>
        </w:rPr>
        <w:t>See FCC Seeks Comment on Proposed Application Limit for NCE FM New Station Applications in Upcoming 2021 Window</w:t>
      </w:r>
      <w:r w:rsidRPr="00F02C3C">
        <w:t xml:space="preserve">, </w:t>
      </w:r>
      <w:r w:rsidRPr="00F02C3C" w:rsidR="00EE227D">
        <w:t>MB Docket No. 20-343</w:t>
      </w:r>
      <w:r w:rsidRPr="00F02C3C" w:rsidR="00E01C5E">
        <w:t>, FCC 20-145</w:t>
      </w:r>
      <w:r w:rsidRPr="00F02C3C" w:rsidR="00EE227D">
        <w:t xml:space="preserve"> (Oct. 19, 2020).</w:t>
      </w:r>
    </w:p>
  </w:footnote>
  <w:footnote w:id="42">
    <w:p w:rsidR="00E37789" w:rsidRPr="00F02C3C" w14:paraId="05E28376" w14:textId="26539E43">
      <w:pPr>
        <w:pStyle w:val="FootnoteText"/>
      </w:pPr>
      <w:r w:rsidRPr="00F02C3C">
        <w:rPr>
          <w:rStyle w:val="FootnoteReference"/>
          <w:sz w:val="20"/>
        </w:rPr>
        <w:footnoteRef/>
      </w:r>
      <w:r w:rsidRPr="00F02C3C">
        <w:t xml:space="preserve"> </w:t>
      </w:r>
      <w:r w:rsidRPr="00F02C3C">
        <w:rPr>
          <w:rStyle w:val="Emphasis"/>
          <w:bdr w:val="none" w:sz="0" w:space="0" w:color="auto" w:frame="1"/>
          <w:shd w:val="clear" w:color="auto" w:fill="FFFFFF"/>
        </w:rPr>
        <w:t>See</w:t>
      </w:r>
      <w:r w:rsidRPr="00F02C3C">
        <w:rPr>
          <w:shd w:val="clear" w:color="auto" w:fill="FFFFFF"/>
        </w:rPr>
        <w:t> 5 U.S.C. § 604.</w:t>
      </w:r>
    </w:p>
  </w:footnote>
  <w:footnote w:id="43">
    <w:p w:rsidR="00C3044E" w:rsidRPr="00F02C3C" w14:paraId="780FB1DF" w14:textId="2DD043F0">
      <w:pPr>
        <w:pStyle w:val="FootnoteText"/>
      </w:pPr>
      <w:r w:rsidRPr="00F02C3C">
        <w:rPr>
          <w:rStyle w:val="FootnoteReference"/>
          <w:sz w:val="20"/>
        </w:rPr>
        <w:footnoteRef/>
      </w:r>
      <w:r w:rsidRPr="00F02C3C">
        <w:t xml:space="preserve"> 5 U.S.C. § 604(a)(3</w:t>
      </w:r>
      <w:r w:rsidRPr="00F02C3C">
        <w:t>).</w:t>
      </w:r>
      <w:r w:rsidRPr="00F02C3C">
        <w:rPr>
          <w:shd w:val="clear" w:color="auto" w:fill="FFFFFF"/>
        </w:rPr>
        <w:t>.</w:t>
      </w:r>
    </w:p>
  </w:footnote>
  <w:footnote w:id="44">
    <w:p w:rsidR="009C5325" w:rsidRPr="00F02C3C" w:rsidP="009C5325" w14:paraId="3421DD95" w14:textId="77777777">
      <w:pPr>
        <w:pStyle w:val="FootnoteText"/>
        <w:widowControl w:val="0"/>
      </w:pPr>
      <w:r w:rsidRPr="00F02C3C">
        <w:rPr>
          <w:rStyle w:val="FootnoteReference"/>
          <w:sz w:val="20"/>
        </w:rPr>
        <w:footnoteRef/>
      </w:r>
      <w:r w:rsidRPr="00F02C3C">
        <w:t xml:space="preserve"> 5 U.S.C. § 603(b)(3).</w:t>
      </w:r>
    </w:p>
  </w:footnote>
  <w:footnote w:id="45">
    <w:p w:rsidR="009C5325" w:rsidRPr="00F02C3C" w:rsidP="009C5325" w14:paraId="123E5B9F" w14:textId="77777777">
      <w:pPr>
        <w:pStyle w:val="FootnoteText"/>
        <w:widowControl w:val="0"/>
      </w:pPr>
      <w:r w:rsidRPr="00F02C3C">
        <w:rPr>
          <w:rStyle w:val="FootnoteReference"/>
        </w:rPr>
        <w:footnoteRef/>
      </w:r>
      <w:r w:rsidRPr="00F02C3C">
        <w:t xml:space="preserve"> </w:t>
      </w:r>
      <w:r w:rsidRPr="00F02C3C">
        <w:rPr>
          <w:i/>
        </w:rPr>
        <w:t>Id</w:t>
      </w:r>
      <w:r w:rsidRPr="00F02C3C">
        <w:t>.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6">
    <w:p w:rsidR="009C5325" w:rsidRPr="00F02C3C" w:rsidP="009C5325" w14:paraId="7D4DA8F7" w14:textId="77777777">
      <w:pPr>
        <w:pStyle w:val="FootnoteText"/>
        <w:widowControl w:val="0"/>
        <w:rPr>
          <w:i/>
        </w:rPr>
      </w:pPr>
      <w:r w:rsidRPr="00F02C3C">
        <w:rPr>
          <w:rStyle w:val="FootnoteReference"/>
        </w:rPr>
        <w:footnoteRef/>
      </w:r>
      <w:r w:rsidRPr="00F02C3C">
        <w:rPr>
          <w:i/>
        </w:rPr>
        <w:t xml:space="preserve"> Id.</w:t>
      </w:r>
    </w:p>
  </w:footnote>
  <w:footnote w:id="47">
    <w:p w:rsidR="009C5325" w:rsidRPr="00F02C3C" w:rsidP="009C5325" w14:paraId="27581381" w14:textId="77777777">
      <w:pPr>
        <w:pStyle w:val="FootnoteText"/>
        <w:widowControl w:val="0"/>
        <w:rPr>
          <w:i/>
        </w:rPr>
      </w:pPr>
      <w:r w:rsidRPr="00F02C3C">
        <w:rPr>
          <w:rStyle w:val="FootnoteReference"/>
        </w:rPr>
        <w:footnoteRef/>
      </w:r>
      <w:r w:rsidRPr="00F02C3C">
        <w:t xml:space="preserve"> 15 U.S.C. § 632.</w:t>
      </w:r>
    </w:p>
  </w:footnote>
  <w:footnote w:id="48">
    <w:p w:rsidR="009C5325" w:rsidRPr="00F02C3C" w:rsidP="009C5325" w14:paraId="78F0F46E" w14:textId="77777777">
      <w:pPr>
        <w:pStyle w:val="FootnoteText"/>
        <w:widowControl w:val="0"/>
      </w:pPr>
      <w:r w:rsidRPr="00F02C3C">
        <w:rPr>
          <w:rStyle w:val="FootnoteReference"/>
        </w:rPr>
        <w:footnoteRef/>
      </w:r>
      <w:r w:rsidRPr="00F02C3C">
        <w:t xml:space="preserve"> </w:t>
      </w:r>
      <w:r w:rsidRPr="00F02C3C">
        <w:rPr>
          <w:shd w:val="clear" w:color="auto" w:fill="FFFFFF"/>
        </w:rPr>
        <w:t>U.S. Census Bureau, 2012 NAICS Definitions, “515112 Radio Stations,” at http://www.census.gov/cgi-bin/sssd/naics/naicsrch. This category description continues: “Programming may originate in their own studio, from an affiliated network, or from external sources.”</w:t>
      </w:r>
    </w:p>
  </w:footnote>
  <w:footnote w:id="49">
    <w:p w:rsidR="009C5325" w:rsidRPr="00F02C3C" w:rsidP="009C5325" w14:paraId="4EDE257C" w14:textId="77777777">
      <w:pPr>
        <w:pStyle w:val="FootnoteText"/>
        <w:widowControl w:val="0"/>
      </w:pPr>
      <w:r w:rsidRPr="00F02C3C">
        <w:rPr>
          <w:rStyle w:val="FootnoteReference"/>
        </w:rPr>
        <w:footnoteRef/>
      </w:r>
      <w:r w:rsidRPr="00F02C3C">
        <w:t xml:space="preserve"> 13 CFR § 121.201</w:t>
      </w:r>
      <w:r w:rsidRPr="00F02C3C">
        <w:rPr>
          <w:shd w:val="clear" w:color="auto" w:fill="FFFFFF"/>
        </w:rPr>
        <w:t>; NAICS code 515112.</w:t>
      </w:r>
    </w:p>
  </w:footnote>
  <w:footnote w:id="50">
    <w:p w:rsidR="009C5325" w:rsidRPr="00F02C3C" w:rsidP="009C5325" w14:paraId="3B50D3E6" w14:textId="77777777">
      <w:pPr>
        <w:pStyle w:val="FootnoteText"/>
        <w:widowControl w:val="0"/>
      </w:pPr>
      <w:r w:rsidRPr="00F02C3C">
        <w:rPr>
          <w:rStyle w:val="FootnoteReference"/>
        </w:rPr>
        <w:footnoteRef/>
      </w:r>
      <w:r w:rsidRPr="00F02C3C">
        <w:t xml:space="preserve"> </w:t>
      </w:r>
      <w:r w:rsidRPr="00F02C3C">
        <w:rPr>
          <w:shd w:val="clear" w:color="auto" w:fill="FFFFFF"/>
        </w:rPr>
        <w:t>U.S. Census Bureau, Table No. EC0751SSSZ4, </w:t>
      </w:r>
      <w:r w:rsidRPr="00F02C3C">
        <w:rPr>
          <w:rStyle w:val="Emphasis"/>
          <w:bdr w:val="none" w:sz="0" w:space="0" w:color="auto" w:frame="1"/>
          <w:shd w:val="clear" w:color="auto" w:fill="FFFFFF"/>
        </w:rPr>
        <w:t>Information: Subject Series — Establishment and Firm Size: Receipts Size of Firms for the United States: 2012</w:t>
      </w:r>
      <w:r w:rsidRPr="00F02C3C">
        <w:rPr>
          <w:shd w:val="clear" w:color="auto" w:fill="FFFFFF"/>
        </w:rPr>
        <w:t> (515112), http://factfinder2.census.gov/faces/tableservices/jsf/pages/productview.xhtml?pid=ECN_2007_US_51SSSZ4&amp;prodType=table.</w:t>
      </w:r>
    </w:p>
  </w:footnote>
  <w:footnote w:id="51">
    <w:p w:rsidR="009C5325" w:rsidRPr="00F02C3C" w:rsidP="009C5325" w14:paraId="26DDEDD5" w14:textId="77777777">
      <w:pPr>
        <w:pStyle w:val="FootnoteText"/>
        <w:widowControl w:val="0"/>
        <w:rPr>
          <w:i/>
          <w:iCs/>
        </w:rPr>
      </w:pPr>
      <w:r w:rsidRPr="00F02C3C">
        <w:rPr>
          <w:rStyle w:val="FootnoteReference"/>
        </w:rPr>
        <w:footnoteRef/>
      </w:r>
      <w:r w:rsidRPr="00F02C3C">
        <w:t xml:space="preserve"> </w:t>
      </w:r>
      <w:r w:rsidRPr="00F02C3C">
        <w:rPr>
          <w:i/>
          <w:iCs/>
        </w:rPr>
        <w:t>Id.</w:t>
      </w:r>
    </w:p>
  </w:footnote>
  <w:footnote w:id="52">
    <w:p w:rsidR="009C5325" w:rsidRPr="00F02C3C" w:rsidP="009C5325" w14:paraId="2AF9BE9A" w14:textId="504BD988">
      <w:pPr>
        <w:pStyle w:val="FootnoteText"/>
        <w:widowControl w:val="0"/>
      </w:pPr>
      <w:r w:rsidRPr="00F02C3C">
        <w:rPr>
          <w:rStyle w:val="FootnoteReference"/>
        </w:rPr>
        <w:footnoteRef/>
      </w:r>
      <w:r w:rsidRPr="00F02C3C">
        <w:t xml:space="preserve"> </w:t>
      </w:r>
      <w:r w:rsidRPr="00F02C3C">
        <w:rPr>
          <w:rStyle w:val="Emphasis"/>
          <w:bdr w:val="none" w:sz="0" w:space="0" w:color="auto" w:frame="1"/>
          <w:shd w:val="clear" w:color="auto" w:fill="FFFFFF"/>
        </w:rPr>
        <w:t xml:space="preserve">See Broadcast Station Totals as of </w:t>
      </w:r>
      <w:r w:rsidRPr="00F02C3C" w:rsidR="00ED2857">
        <w:rPr>
          <w:rStyle w:val="Emphasis"/>
          <w:bdr w:val="none" w:sz="0" w:space="0" w:color="auto" w:frame="1"/>
          <w:shd w:val="clear" w:color="auto" w:fill="FFFFFF"/>
        </w:rPr>
        <w:t>December 31, 2020</w:t>
      </w:r>
      <w:r w:rsidRPr="00F02C3C">
        <w:rPr>
          <w:rStyle w:val="Emphasis"/>
          <w:bdr w:val="none" w:sz="0" w:space="0" w:color="auto" w:frame="1"/>
          <w:shd w:val="clear" w:color="auto" w:fill="FFFFFF"/>
        </w:rPr>
        <w:t xml:space="preserve">, </w:t>
      </w:r>
      <w:r w:rsidRPr="00F02C3C">
        <w:rPr>
          <w:shd w:val="clear" w:color="auto" w:fill="FFFFFF"/>
        </w:rPr>
        <w:t>available online at https://www.fcc.gov/document/broadcast-station-totals-</w:t>
      </w:r>
      <w:r w:rsidRPr="00F02C3C" w:rsidR="00ED2857">
        <w:rPr>
          <w:shd w:val="clear" w:color="auto" w:fill="FFFFFF"/>
        </w:rPr>
        <w:t>december</w:t>
      </w:r>
      <w:r w:rsidRPr="00F02C3C">
        <w:rPr>
          <w:shd w:val="clear" w:color="auto" w:fill="FFFFFF"/>
        </w:rPr>
        <w:t>-3</w:t>
      </w:r>
      <w:r w:rsidRPr="00F02C3C" w:rsidR="00ED2857">
        <w:rPr>
          <w:shd w:val="clear" w:color="auto" w:fill="FFFFFF"/>
        </w:rPr>
        <w:t>1</w:t>
      </w:r>
      <w:r w:rsidRPr="00F02C3C">
        <w:rPr>
          <w:shd w:val="clear" w:color="auto" w:fill="FFFFFF"/>
        </w:rPr>
        <w:t>-2020.</w:t>
      </w:r>
    </w:p>
  </w:footnote>
  <w:footnote w:id="53">
    <w:p w:rsidR="009C5325" w:rsidRPr="00F02C3C" w:rsidP="009C5325" w14:paraId="4A11D297" w14:textId="77777777">
      <w:pPr>
        <w:pStyle w:val="FootnoteText"/>
        <w:widowControl w:val="0"/>
      </w:pPr>
      <w:r w:rsidRPr="00F02C3C">
        <w:rPr>
          <w:rStyle w:val="FootnoteReference"/>
        </w:rPr>
        <w:footnoteRef/>
      </w:r>
      <w:r w:rsidRPr="00F02C3C">
        <w:t xml:space="preserve"> 5 U.S.C. § 603(c).</w:t>
      </w:r>
    </w:p>
  </w:footnote>
  <w:footnote w:id="54">
    <w:p w:rsidR="009C5325" w:rsidRPr="00F02C3C" w:rsidP="009C5325" w14:paraId="28C8D0FC" w14:textId="77777777">
      <w:pPr>
        <w:pStyle w:val="FootnoteText"/>
        <w:widowControl w:val="0"/>
      </w:pPr>
      <w:r w:rsidRPr="00F02C3C">
        <w:rPr>
          <w:rStyle w:val="FootnoteReference"/>
        </w:rPr>
        <w:footnoteRef/>
      </w:r>
      <w:r w:rsidRPr="00F02C3C">
        <w:t xml:space="preserve"> </w:t>
      </w:r>
      <w:hyperlink r:id="rId1" w:tgtFrame="_top" w:history="1">
        <w:r w:rsidRPr="00F02C3C">
          <w:t>5 U.S.C. § 603(b)</w:t>
        </w:r>
      </w:hyperlink>
      <w:r w:rsidRPr="00F02C3C">
        <w:t>.</w:t>
      </w:r>
    </w:p>
  </w:footnote>
  <w:footnote w:id="55">
    <w:p w:rsidR="004F5A18" w:rsidRPr="00F02C3C" w14:paraId="74FBF3C4" w14:textId="56758A78">
      <w:pPr>
        <w:pStyle w:val="FootnoteText"/>
      </w:pPr>
      <w:r w:rsidRPr="00F02C3C">
        <w:rPr>
          <w:rStyle w:val="FootnoteReference"/>
        </w:rPr>
        <w:footnoteRef/>
      </w:r>
      <w:r w:rsidRPr="00F02C3C">
        <w:t xml:space="preserve"> 5 U.S.C. § 801(a)(1)(A</w:t>
      </w:r>
      <w:r w:rsidRPr="00F02C3C">
        <w:t>).</w:t>
      </w:r>
      <w:r w:rsidRPr="00F02C3C">
        <w:rPr>
          <w:color w:val="3D3D3D"/>
          <w:sz w:val="19"/>
          <w:szCs w:val="19"/>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064" w:rsidRPr="009838BC" w:rsidP="009838BC" w14:paraId="03EE37D9" w14:textId="133E370F">
    <w:pPr>
      <w:tabs>
        <w:tab w:val="center" w:pos="4680"/>
        <w:tab w:val="right" w:pos="9360"/>
      </w:tabs>
    </w:pPr>
    <w:r w:rsidRPr="009838BC">
      <w:rPr>
        <w:b/>
      </w:rPr>
      <w:tab/>
      <w:t>Federal Communications Commission</w:t>
    </w:r>
    <w:r w:rsidRPr="009838BC">
      <w:rPr>
        <w:b/>
      </w:rPr>
      <w:tab/>
    </w:r>
    <w:r>
      <w:rPr>
        <w:b/>
      </w:rPr>
      <w:t>FCC 2</w:t>
    </w:r>
    <w:r w:rsidR="00854F37">
      <w:rPr>
        <w:b/>
      </w:rPr>
      <w:t>1</w:t>
    </w:r>
    <w:r>
      <w:rPr>
        <w:b/>
      </w:rPr>
      <w:t>-</w:t>
    </w:r>
    <w:r w:rsidR="00174102">
      <w:rPr>
        <w:b/>
      </w:rPr>
      <w:t>43</w:t>
    </w:r>
  </w:p>
  <w:p w:rsidR="00E94064" w:rsidRPr="009838BC" w:rsidP="009838BC" w14:paraId="64E13F4B" w14:textId="2342C838">
    <w:pPr>
      <w:tabs>
        <w:tab w:val="left" w:pos="-720"/>
      </w:tabs>
      <w:suppressAutoHyphens/>
      <w:spacing w:line="19" w:lineRule="exact"/>
      <w:rPr>
        <w:spacing w:val="-2"/>
      </w:rPr>
    </w:pPr>
    <w:r>
      <w:rPr>
        <w:noProof/>
      </w:rPr>
      <mc:AlternateContent>
        <mc:Choice Requires="wps">
          <w:drawing>
            <wp:anchor distT="0" distB="0" distL="114300" distR="114300" simplePos="0" relativeHeight="2516797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35712" o:allowincell="f" fillcolor="black" stroked="f" strokeweight="0.05pt">
              <w10:wrap anchorx="margin"/>
            </v:rect>
          </w:pict>
        </mc:Fallback>
      </mc:AlternateContent>
    </w:r>
  </w:p>
  <w:p w:rsidR="00E94064" w:rsidRPr="009838BC" w:rsidP="009838BC" w14:paraId="30461AA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064" w:rsidRPr="00A866AC" w:rsidP="009838BC" w14:paraId="047D50C4" w14:textId="3CD49749">
    <w:pPr>
      <w:spacing w:before="40"/>
      <w:rPr>
        <w:rFonts w:ascii="Arial" w:hAnsi="Arial" w:cs="Arial"/>
        <w:b/>
        <w:sz w:val="96"/>
      </w:rPr>
    </w:pPr>
    <w:r>
      <w:rPr>
        <w:noProof/>
      </w:rPr>
      <mc:AlternateContent>
        <mc:Choice Requires="wps">
          <w:drawing>
            <wp:anchor distT="0" distB="0" distL="114300" distR="114300" simplePos="0" relativeHeight="25167257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6"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4064" w:rsidP="009838BC" w14:textId="77777777">
                          <w:pPr>
                            <w:rPr>
                              <w:rFonts w:ascii="Arial" w:hAnsi="Arial"/>
                              <w:b/>
                            </w:rPr>
                          </w:pPr>
                          <w:r>
                            <w:rPr>
                              <w:rFonts w:ascii="Arial" w:hAnsi="Arial"/>
                              <w:b/>
                            </w:rPr>
                            <w:t>Federal Communications Commission</w:t>
                          </w:r>
                        </w:p>
                        <w:p w:rsidR="00E94064" w:rsidP="009838BC" w14:textId="2D7AB98F">
                          <w:pPr>
                            <w:rPr>
                              <w:rFonts w:ascii="Arial" w:hAnsi="Arial"/>
                              <w:b/>
                            </w:rPr>
                          </w:pPr>
                          <w:r>
                            <w:rPr>
                              <w:rFonts w:ascii="Arial" w:hAnsi="Arial"/>
                              <w:b/>
                            </w:rPr>
                            <w:t xml:space="preserve">45 </w:t>
                          </w:r>
                          <w:r w:rsidR="005253B8">
                            <w:rPr>
                              <w:rFonts w:ascii="Arial" w:hAnsi="Arial"/>
                              <w:b/>
                            </w:rPr>
                            <w:t>L</w:t>
                          </w:r>
                          <w:r>
                            <w:rPr>
                              <w:rFonts w:ascii="Arial" w:hAnsi="Arial"/>
                              <w:b/>
                            </w:rPr>
                            <w:t xml:space="preserve"> St., </w:t>
                          </w:r>
                          <w:r w:rsidR="005253B8">
                            <w:rPr>
                              <w:rFonts w:ascii="Arial" w:hAnsi="Arial"/>
                              <w:b/>
                            </w:rPr>
                            <w:t>N.E.</w:t>
                          </w:r>
                        </w:p>
                        <w:p w:rsidR="00E94064"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73600" o:allowincell="f" stroked="f">
              <v:textbox>
                <w:txbxContent>
                  <w:p w:rsidR="00E94064" w:rsidP="009838BC" w14:paraId="2BBBBB7A" w14:textId="77777777">
                    <w:pPr>
                      <w:rPr>
                        <w:rFonts w:ascii="Arial" w:hAnsi="Arial"/>
                        <w:b/>
                      </w:rPr>
                    </w:pPr>
                    <w:r>
                      <w:rPr>
                        <w:rFonts w:ascii="Arial" w:hAnsi="Arial"/>
                        <w:b/>
                      </w:rPr>
                      <w:t>Federal Communications Commission</w:t>
                    </w:r>
                  </w:p>
                  <w:p w:rsidR="00E94064" w:rsidP="009838BC" w14:paraId="5C140E29" w14:textId="2D7AB98F">
                    <w:pPr>
                      <w:rPr>
                        <w:rFonts w:ascii="Arial" w:hAnsi="Arial"/>
                        <w:b/>
                      </w:rPr>
                    </w:pPr>
                    <w:r>
                      <w:rPr>
                        <w:rFonts w:ascii="Arial" w:hAnsi="Arial"/>
                        <w:b/>
                      </w:rPr>
                      <w:t xml:space="preserve">45 </w:t>
                    </w:r>
                    <w:r w:rsidR="005253B8">
                      <w:rPr>
                        <w:rFonts w:ascii="Arial" w:hAnsi="Arial"/>
                        <w:b/>
                      </w:rPr>
                      <w:t>L</w:t>
                    </w:r>
                    <w:r>
                      <w:rPr>
                        <w:rFonts w:ascii="Arial" w:hAnsi="Arial"/>
                        <w:b/>
                      </w:rPr>
                      <w:t xml:space="preserve"> St., </w:t>
                    </w:r>
                    <w:r w:rsidR="005253B8">
                      <w:rPr>
                        <w:rFonts w:ascii="Arial" w:hAnsi="Arial"/>
                        <w:b/>
                      </w:rPr>
                      <w:t>N.E.</w:t>
                    </w:r>
                  </w:p>
                  <w:p w:rsidR="00E94064" w:rsidP="009838BC" w14:paraId="087028B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7462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E94064" w:rsidRPr="00357D50" w:rsidP="009838BC" w14:paraId="56901651" w14:textId="38AB6A4A">
    <w:pPr>
      <w:spacing w:before="40"/>
      <w:rPr>
        <w:rFonts w:ascii="Arial" w:hAnsi="Arial" w:cs="Arial"/>
        <w:b/>
        <w:sz w:val="96"/>
      </w:rPr>
    </w:pPr>
    <w:r>
      <w:rPr>
        <w:noProof/>
      </w:rPr>
      <mc:AlternateContent>
        <mc:Choice Requires="wps">
          <w:drawing>
            <wp:anchor distT="0" distB="0" distL="114300" distR="114300" simplePos="0" relativeHeight="251675648" behindDoc="0" locked="0" layoutInCell="0" allowOverlap="1">
              <wp:simplePos x="0" y="0"/>
              <wp:positionH relativeFrom="margin">
                <wp:align>right</wp:align>
              </wp:positionH>
              <wp:positionV relativeFrom="paragraph">
                <wp:posOffset>720089</wp:posOffset>
              </wp:positionV>
              <wp:extent cx="5943600" cy="0"/>
              <wp:effectExtent l="0" t="0" r="0" b="0"/>
              <wp:wrapNone/>
              <wp:docPr id="5"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6672" from="416.8pt,56.7pt" to="884.8pt,56.7pt" o:allowincell="f">
              <w10:wrap anchorx="margin"/>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4"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4064" w:rsidP="009838BC" w14:textId="77777777">
                          <w:pPr>
                            <w:spacing w:before="40"/>
                            <w:jc w:val="right"/>
                            <w:rPr>
                              <w:rFonts w:ascii="Arial" w:hAnsi="Arial"/>
                              <w:b/>
                              <w:sz w:val="16"/>
                            </w:rPr>
                          </w:pPr>
                          <w:r>
                            <w:rPr>
                              <w:rFonts w:ascii="Arial" w:hAnsi="Arial"/>
                              <w:b/>
                              <w:sz w:val="16"/>
                            </w:rPr>
                            <w:t>News Media Information 202 / 418-0500</w:t>
                          </w:r>
                        </w:p>
                        <w:p w:rsidR="00E94064"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E94064"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8720" o:allowincell="f" stroked="f">
              <v:textbox inset=",0,,0">
                <w:txbxContent>
                  <w:p w:rsidR="00E94064" w:rsidP="009838BC" w14:paraId="5CD8114A" w14:textId="77777777">
                    <w:pPr>
                      <w:spacing w:before="40"/>
                      <w:jc w:val="right"/>
                      <w:rPr>
                        <w:rFonts w:ascii="Arial" w:hAnsi="Arial"/>
                        <w:b/>
                        <w:sz w:val="16"/>
                      </w:rPr>
                    </w:pPr>
                    <w:r>
                      <w:rPr>
                        <w:rFonts w:ascii="Arial" w:hAnsi="Arial"/>
                        <w:b/>
                        <w:sz w:val="16"/>
                      </w:rPr>
                      <w:t>News Media Information 202 / 418-0500</w:t>
                    </w:r>
                  </w:p>
                  <w:p w:rsidR="00E94064" w:rsidP="009838BC" w14:paraId="681C2969"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E94064" w:rsidP="009838BC" w14:paraId="1B6D7FB5" w14:textId="77777777">
                    <w:pPr>
                      <w:jc w:val="right"/>
                    </w:pPr>
                    <w:r>
                      <w:rPr>
                        <w:rFonts w:ascii="Arial" w:hAnsi="Arial"/>
                        <w:b/>
                        <w:sz w:val="16"/>
                      </w:rPr>
                      <w:t>TTY: 1-888-835-5322</w:t>
                    </w:r>
                  </w:p>
                </w:txbxContent>
              </v:textbox>
            </v:shape>
          </w:pict>
        </mc:Fallback>
      </mc:AlternateContent>
    </w:r>
  </w:p>
  <w:p w:rsidR="00E94064" w:rsidRPr="009838BC" w:rsidP="009838BC" w14:paraId="70B4F438"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325" w:rsidRPr="00A866AC" w:rsidP="009838BC" w14:paraId="5FD776EA" w14:textId="4091C18A">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5325" w:rsidP="009838BC" w14:textId="77777777">
                          <w:pPr>
                            <w:rPr>
                              <w:rFonts w:ascii="Arial" w:hAnsi="Arial"/>
                              <w:b/>
                            </w:rPr>
                          </w:pPr>
                          <w:r>
                            <w:rPr>
                              <w:rFonts w:ascii="Arial" w:hAnsi="Arial"/>
                              <w:b/>
                            </w:rPr>
                            <w:t>Federal Communications Commission</w:t>
                          </w:r>
                        </w:p>
                        <w:p w:rsidR="009C5325"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5325"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9C5325" w:rsidP="009838BC" w14:paraId="2424C3BB" w14:textId="77777777">
                    <w:pPr>
                      <w:rPr>
                        <w:rFonts w:ascii="Arial" w:hAnsi="Arial"/>
                        <w:b/>
                      </w:rPr>
                    </w:pPr>
                    <w:r>
                      <w:rPr>
                        <w:rFonts w:ascii="Arial" w:hAnsi="Arial"/>
                        <w:b/>
                      </w:rPr>
                      <w:t>Federal Communications Commission</w:t>
                    </w:r>
                  </w:p>
                  <w:p w:rsidR="009C5325" w:rsidP="009838BC" w14:paraId="3175A3E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5325" w:rsidP="009838BC" w14:paraId="091D3C3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745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9"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C5325" w:rsidRPr="00357D50" w:rsidP="009838BC" w14:paraId="67F9E218" w14:textId="42A8356F">
    <w:pPr>
      <w:spacing w:before="40"/>
      <w:rPr>
        <w:rFonts w:ascii="Arial" w:hAnsi="Arial" w:cs="Arial"/>
        <w:b/>
        <w:sz w:val="96"/>
      </w:rPr>
    </w:pPr>
    <w:r>
      <w:rPr>
        <w:noProof/>
      </w:rPr>
      <mc:AlternateContent>
        <mc:Choice Requires="wps">
          <w:drawing>
            <wp:anchor distT="0" distB="0" distL="114300" distR="114300" simplePos="0" relativeHeight="251668480"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9504" from="416.8pt,56.7pt" to="884.8pt,56.7pt" o:allowincell="f">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5325" w:rsidP="009838BC" w14:textId="77777777">
                          <w:pPr>
                            <w:spacing w:before="40"/>
                            <w:jc w:val="right"/>
                            <w:rPr>
                              <w:rFonts w:ascii="Arial" w:hAnsi="Arial"/>
                              <w:b/>
                              <w:sz w:val="16"/>
                            </w:rPr>
                          </w:pPr>
                          <w:r>
                            <w:rPr>
                              <w:rFonts w:ascii="Arial" w:hAnsi="Arial"/>
                              <w:b/>
                              <w:sz w:val="16"/>
                            </w:rPr>
                            <w:t>News Media Information 202 / 418-0500</w:t>
                          </w:r>
                        </w:p>
                        <w:p w:rsidR="009C5325"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C5325"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1552" o:allowincell="f" stroked="f">
              <v:textbox inset=",0,,0">
                <w:txbxContent>
                  <w:p w:rsidR="009C5325" w:rsidP="009838BC" w14:paraId="72578A5E" w14:textId="77777777">
                    <w:pPr>
                      <w:spacing w:before="40"/>
                      <w:jc w:val="right"/>
                      <w:rPr>
                        <w:rFonts w:ascii="Arial" w:hAnsi="Arial"/>
                        <w:b/>
                        <w:sz w:val="16"/>
                      </w:rPr>
                    </w:pPr>
                    <w:r>
                      <w:rPr>
                        <w:rFonts w:ascii="Arial" w:hAnsi="Arial"/>
                        <w:b/>
                        <w:sz w:val="16"/>
                      </w:rPr>
                      <w:t>News Media Information 202 / 418-0500</w:t>
                    </w:r>
                  </w:p>
                  <w:p w:rsidR="009C5325" w:rsidP="009838BC" w14:paraId="23642F5D"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C5325" w:rsidP="009838BC" w14:paraId="5579B5F6" w14:textId="77777777">
                    <w:pPr>
                      <w:jc w:val="right"/>
                    </w:pPr>
                    <w:r>
                      <w:rPr>
                        <w:rFonts w:ascii="Arial" w:hAnsi="Arial"/>
                        <w:b/>
                        <w:sz w:val="16"/>
                      </w:rPr>
                      <w:t>TTY: 1-888-835-5322</w:t>
                    </w:r>
                  </w:p>
                </w:txbxContent>
              </v:textbox>
            </v:shape>
          </w:pict>
        </mc:Fallback>
      </mc:AlternateContent>
    </w:r>
  </w:p>
  <w:p w:rsidR="009C5325" w:rsidRPr="009838BC" w:rsidP="009838BC" w14:paraId="7863B2EB" w14:textId="77777777">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325" w:rsidRPr="00A866AC" w:rsidP="009838BC" w14:paraId="49B3DA19" w14:textId="7C1F76A8">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5325" w:rsidP="009838BC" w14:textId="77777777">
                          <w:pPr>
                            <w:rPr>
                              <w:rFonts w:ascii="Arial" w:hAnsi="Arial"/>
                              <w:b/>
                            </w:rPr>
                          </w:pPr>
                          <w:r>
                            <w:rPr>
                              <w:rFonts w:ascii="Arial" w:hAnsi="Arial"/>
                              <w:b/>
                            </w:rPr>
                            <w:t>Federal Communications Commission</w:t>
                          </w:r>
                        </w:p>
                        <w:p w:rsidR="009C5325"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5325"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C5325" w:rsidP="009838BC" w14:paraId="660E3AEB" w14:textId="77777777">
                    <w:pPr>
                      <w:rPr>
                        <w:rFonts w:ascii="Arial" w:hAnsi="Arial"/>
                        <w:b/>
                      </w:rPr>
                    </w:pPr>
                    <w:r>
                      <w:rPr>
                        <w:rFonts w:ascii="Arial" w:hAnsi="Arial"/>
                        <w:b/>
                      </w:rPr>
                      <w:t>Federal Communications Commission</w:t>
                    </w:r>
                  </w:p>
                  <w:p w:rsidR="009C5325" w:rsidP="009838BC" w14:paraId="4AF7365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5325" w:rsidP="009838BC" w14:paraId="08EB9F5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C5325" w:rsidRPr="00357D50" w:rsidP="009838BC" w14:paraId="13C2C9BA" w14:textId="62DDCF1A">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7"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5325" w:rsidP="009838BC" w14:textId="77777777">
                          <w:pPr>
                            <w:spacing w:before="40"/>
                            <w:jc w:val="right"/>
                            <w:rPr>
                              <w:rFonts w:ascii="Arial" w:hAnsi="Arial"/>
                              <w:b/>
                              <w:sz w:val="16"/>
                            </w:rPr>
                          </w:pPr>
                          <w:r>
                            <w:rPr>
                              <w:rFonts w:ascii="Arial" w:hAnsi="Arial"/>
                              <w:b/>
                              <w:sz w:val="16"/>
                            </w:rPr>
                            <w:t>News Media Information 202 / 418-0500</w:t>
                          </w:r>
                        </w:p>
                        <w:p w:rsidR="009C5325"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C5325"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8"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C5325" w:rsidP="009838BC" w14:paraId="3708FF5C" w14:textId="77777777">
                    <w:pPr>
                      <w:spacing w:before="40"/>
                      <w:jc w:val="right"/>
                      <w:rPr>
                        <w:rFonts w:ascii="Arial" w:hAnsi="Arial"/>
                        <w:b/>
                        <w:sz w:val="16"/>
                      </w:rPr>
                    </w:pPr>
                    <w:r>
                      <w:rPr>
                        <w:rFonts w:ascii="Arial" w:hAnsi="Arial"/>
                        <w:b/>
                        <w:sz w:val="16"/>
                      </w:rPr>
                      <w:t>News Media Information 202 / 418-0500</w:t>
                    </w:r>
                  </w:p>
                  <w:p w:rsidR="009C5325" w:rsidP="009838BC" w14:paraId="6F394EE0"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C5325" w:rsidP="009838BC" w14:paraId="0493DB25" w14:textId="77777777">
                    <w:pPr>
                      <w:jc w:val="right"/>
                    </w:pPr>
                    <w:r>
                      <w:rPr>
                        <w:rFonts w:ascii="Arial" w:hAnsi="Arial"/>
                        <w:b/>
                        <w:sz w:val="16"/>
                      </w:rPr>
                      <w:t>TTY: 1-888-835-5322</w:t>
                    </w:r>
                  </w:p>
                </w:txbxContent>
              </v:textbox>
            </v:shape>
          </w:pict>
        </mc:Fallback>
      </mc:AlternateContent>
    </w:r>
  </w:p>
  <w:p w:rsidR="009C5325" w:rsidRPr="009838BC" w:rsidP="009838BC" w14:paraId="32C193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ED6284"/>
    <w:multiLevelType w:val="hybridMultilevel"/>
    <w:tmpl w:val="77B49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CE02565"/>
    <w:multiLevelType w:val="hybridMultilevel"/>
    <w:tmpl w:val="77068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27A2B2B"/>
    <w:multiLevelType w:val="hybridMultilevel"/>
    <w:tmpl w:val="728E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4"/>
  </w:num>
  <w:num w:numId="6">
    <w:abstractNumId w:val="1"/>
  </w:num>
  <w:num w:numId="7">
    <w:abstractNumId w:val="7"/>
  </w:num>
  <w:num w:numId="8">
    <w:abstractNumId w:val="11"/>
  </w:num>
  <w:num w:numId="9">
    <w:abstractNumId w:val="2"/>
  </w:num>
  <w:num w:numId="10">
    <w:abstractNumId w:val="10"/>
    <w:lvlOverride w:ilvl="0">
      <w:startOverride w:val="1"/>
    </w:lvlOverride>
  </w:num>
  <w:num w:numId="11">
    <w:abstractNumId w:val="0"/>
  </w:num>
  <w:num w:numId="12">
    <w:abstractNumId w:val="10"/>
    <w:lvlOverride w:ilvl="0">
      <w:startOverride w:val="1"/>
    </w:lvlOverride>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4B"/>
    <w:rsid w:val="000072CE"/>
    <w:rsid w:val="0000749F"/>
    <w:rsid w:val="00013A8B"/>
    <w:rsid w:val="000210E2"/>
    <w:rsid w:val="00021445"/>
    <w:rsid w:val="0002764E"/>
    <w:rsid w:val="0003597A"/>
    <w:rsid w:val="00036039"/>
    <w:rsid w:val="00037F90"/>
    <w:rsid w:val="0004447C"/>
    <w:rsid w:val="000552A5"/>
    <w:rsid w:val="00056FF2"/>
    <w:rsid w:val="00057E52"/>
    <w:rsid w:val="00064AA1"/>
    <w:rsid w:val="00070290"/>
    <w:rsid w:val="00074132"/>
    <w:rsid w:val="000810AE"/>
    <w:rsid w:val="00087120"/>
    <w:rsid w:val="000875BF"/>
    <w:rsid w:val="00090676"/>
    <w:rsid w:val="000943E3"/>
    <w:rsid w:val="000959D8"/>
    <w:rsid w:val="00096D8C"/>
    <w:rsid w:val="000A77C3"/>
    <w:rsid w:val="000B2C29"/>
    <w:rsid w:val="000C0473"/>
    <w:rsid w:val="000C0B65"/>
    <w:rsid w:val="000C42E8"/>
    <w:rsid w:val="000C586F"/>
    <w:rsid w:val="000D4E0C"/>
    <w:rsid w:val="000E3D42"/>
    <w:rsid w:val="000E4155"/>
    <w:rsid w:val="000E5884"/>
    <w:rsid w:val="001049D9"/>
    <w:rsid w:val="00106618"/>
    <w:rsid w:val="00115CD9"/>
    <w:rsid w:val="00121BA2"/>
    <w:rsid w:val="00122BD5"/>
    <w:rsid w:val="001230B8"/>
    <w:rsid w:val="00123CF4"/>
    <w:rsid w:val="00140144"/>
    <w:rsid w:val="001456E3"/>
    <w:rsid w:val="00151E1B"/>
    <w:rsid w:val="00151F13"/>
    <w:rsid w:val="001606FF"/>
    <w:rsid w:val="00161F72"/>
    <w:rsid w:val="00164620"/>
    <w:rsid w:val="00166500"/>
    <w:rsid w:val="00171FD6"/>
    <w:rsid w:val="00173082"/>
    <w:rsid w:val="00174102"/>
    <w:rsid w:val="001748EA"/>
    <w:rsid w:val="00175148"/>
    <w:rsid w:val="00175C16"/>
    <w:rsid w:val="0017653A"/>
    <w:rsid w:val="001807D0"/>
    <w:rsid w:val="00183FB8"/>
    <w:rsid w:val="0018656C"/>
    <w:rsid w:val="00190093"/>
    <w:rsid w:val="001979D9"/>
    <w:rsid w:val="001A7324"/>
    <w:rsid w:val="001B00A2"/>
    <w:rsid w:val="001B3D9A"/>
    <w:rsid w:val="001B5EF7"/>
    <w:rsid w:val="001C52BD"/>
    <w:rsid w:val="001D6BCF"/>
    <w:rsid w:val="001E01CA"/>
    <w:rsid w:val="001E5792"/>
    <w:rsid w:val="001F0F8D"/>
    <w:rsid w:val="001F10C8"/>
    <w:rsid w:val="001F18C2"/>
    <w:rsid w:val="001F313A"/>
    <w:rsid w:val="001F421E"/>
    <w:rsid w:val="001F5EC2"/>
    <w:rsid w:val="00205E4A"/>
    <w:rsid w:val="002060D9"/>
    <w:rsid w:val="002071AB"/>
    <w:rsid w:val="0021391C"/>
    <w:rsid w:val="00226822"/>
    <w:rsid w:val="002339DC"/>
    <w:rsid w:val="00235128"/>
    <w:rsid w:val="0025450F"/>
    <w:rsid w:val="00257785"/>
    <w:rsid w:val="00260594"/>
    <w:rsid w:val="00264809"/>
    <w:rsid w:val="0027099E"/>
    <w:rsid w:val="00285017"/>
    <w:rsid w:val="002901FD"/>
    <w:rsid w:val="002956E0"/>
    <w:rsid w:val="002A28C5"/>
    <w:rsid w:val="002A2D2E"/>
    <w:rsid w:val="002A335C"/>
    <w:rsid w:val="002B0463"/>
    <w:rsid w:val="002C6784"/>
    <w:rsid w:val="002D7F28"/>
    <w:rsid w:val="002E73B6"/>
    <w:rsid w:val="002F638A"/>
    <w:rsid w:val="00304748"/>
    <w:rsid w:val="0031168C"/>
    <w:rsid w:val="003128B1"/>
    <w:rsid w:val="0031471C"/>
    <w:rsid w:val="00314EFE"/>
    <w:rsid w:val="00315A6E"/>
    <w:rsid w:val="0032596B"/>
    <w:rsid w:val="00327E52"/>
    <w:rsid w:val="00330E16"/>
    <w:rsid w:val="00336922"/>
    <w:rsid w:val="00343749"/>
    <w:rsid w:val="00350C74"/>
    <w:rsid w:val="00351808"/>
    <w:rsid w:val="00354616"/>
    <w:rsid w:val="003548E8"/>
    <w:rsid w:val="00357D50"/>
    <w:rsid w:val="003605ED"/>
    <w:rsid w:val="00363FFD"/>
    <w:rsid w:val="003640CD"/>
    <w:rsid w:val="00370A90"/>
    <w:rsid w:val="00371E95"/>
    <w:rsid w:val="00380B36"/>
    <w:rsid w:val="003907C6"/>
    <w:rsid w:val="003925DC"/>
    <w:rsid w:val="003A49AB"/>
    <w:rsid w:val="003A5505"/>
    <w:rsid w:val="003A61A7"/>
    <w:rsid w:val="003A6CD7"/>
    <w:rsid w:val="003B0550"/>
    <w:rsid w:val="003B0FAA"/>
    <w:rsid w:val="003B16A1"/>
    <w:rsid w:val="003B1D4A"/>
    <w:rsid w:val="003B284C"/>
    <w:rsid w:val="003B694F"/>
    <w:rsid w:val="003C20C7"/>
    <w:rsid w:val="003C7153"/>
    <w:rsid w:val="003D3BC0"/>
    <w:rsid w:val="003E3FD3"/>
    <w:rsid w:val="003F024D"/>
    <w:rsid w:val="003F171C"/>
    <w:rsid w:val="003F3AE9"/>
    <w:rsid w:val="004041F5"/>
    <w:rsid w:val="004043F1"/>
    <w:rsid w:val="00404703"/>
    <w:rsid w:val="00407688"/>
    <w:rsid w:val="00412FC5"/>
    <w:rsid w:val="004147C2"/>
    <w:rsid w:val="00416199"/>
    <w:rsid w:val="00422276"/>
    <w:rsid w:val="00422973"/>
    <w:rsid w:val="004242F1"/>
    <w:rsid w:val="00436884"/>
    <w:rsid w:val="0044013E"/>
    <w:rsid w:val="004409DC"/>
    <w:rsid w:val="00441B0A"/>
    <w:rsid w:val="004439E3"/>
    <w:rsid w:val="00445A00"/>
    <w:rsid w:val="00451B0F"/>
    <w:rsid w:val="00452FC2"/>
    <w:rsid w:val="004532C2"/>
    <w:rsid w:val="00454E22"/>
    <w:rsid w:val="004571A2"/>
    <w:rsid w:val="00457393"/>
    <w:rsid w:val="0046125F"/>
    <w:rsid w:val="004618F0"/>
    <w:rsid w:val="00481199"/>
    <w:rsid w:val="00487524"/>
    <w:rsid w:val="00487C36"/>
    <w:rsid w:val="004949FA"/>
    <w:rsid w:val="00496106"/>
    <w:rsid w:val="004A1151"/>
    <w:rsid w:val="004A2AC3"/>
    <w:rsid w:val="004B05EF"/>
    <w:rsid w:val="004B3702"/>
    <w:rsid w:val="004B4BBE"/>
    <w:rsid w:val="004C12D0"/>
    <w:rsid w:val="004C2EE3"/>
    <w:rsid w:val="004E3014"/>
    <w:rsid w:val="004E38AB"/>
    <w:rsid w:val="004E4A22"/>
    <w:rsid w:val="004E73AA"/>
    <w:rsid w:val="004F16F9"/>
    <w:rsid w:val="004F41D8"/>
    <w:rsid w:val="004F51E0"/>
    <w:rsid w:val="004F5A18"/>
    <w:rsid w:val="004F656E"/>
    <w:rsid w:val="00502491"/>
    <w:rsid w:val="00511968"/>
    <w:rsid w:val="00513697"/>
    <w:rsid w:val="00517A33"/>
    <w:rsid w:val="005253B8"/>
    <w:rsid w:val="005258FC"/>
    <w:rsid w:val="00526A94"/>
    <w:rsid w:val="00526DCC"/>
    <w:rsid w:val="00532176"/>
    <w:rsid w:val="00532CB3"/>
    <w:rsid w:val="005354A7"/>
    <w:rsid w:val="0053554B"/>
    <w:rsid w:val="005378F4"/>
    <w:rsid w:val="0055583E"/>
    <w:rsid w:val="00555AFB"/>
    <w:rsid w:val="0055614C"/>
    <w:rsid w:val="00562FBC"/>
    <w:rsid w:val="0056673B"/>
    <w:rsid w:val="00567562"/>
    <w:rsid w:val="00570ACF"/>
    <w:rsid w:val="00574E58"/>
    <w:rsid w:val="005777C8"/>
    <w:rsid w:val="00580FE4"/>
    <w:rsid w:val="005870BA"/>
    <w:rsid w:val="0059418A"/>
    <w:rsid w:val="00595C9E"/>
    <w:rsid w:val="005A001E"/>
    <w:rsid w:val="005A1E39"/>
    <w:rsid w:val="005B09E0"/>
    <w:rsid w:val="005B276A"/>
    <w:rsid w:val="005D6BB2"/>
    <w:rsid w:val="005F0EC0"/>
    <w:rsid w:val="005F38A7"/>
    <w:rsid w:val="005F438E"/>
    <w:rsid w:val="005F60BE"/>
    <w:rsid w:val="005F7C8B"/>
    <w:rsid w:val="00600202"/>
    <w:rsid w:val="00607BA5"/>
    <w:rsid w:val="006138CD"/>
    <w:rsid w:val="006160AE"/>
    <w:rsid w:val="00623A38"/>
    <w:rsid w:val="00626EB6"/>
    <w:rsid w:val="00626F2E"/>
    <w:rsid w:val="006309A5"/>
    <w:rsid w:val="00631AFF"/>
    <w:rsid w:val="006344FA"/>
    <w:rsid w:val="006353A3"/>
    <w:rsid w:val="00636EE5"/>
    <w:rsid w:val="006418B9"/>
    <w:rsid w:val="00647043"/>
    <w:rsid w:val="006521E6"/>
    <w:rsid w:val="00655D03"/>
    <w:rsid w:val="006569FA"/>
    <w:rsid w:val="00661640"/>
    <w:rsid w:val="00664584"/>
    <w:rsid w:val="006700C0"/>
    <w:rsid w:val="0067133E"/>
    <w:rsid w:val="0067485D"/>
    <w:rsid w:val="00682455"/>
    <w:rsid w:val="006825C1"/>
    <w:rsid w:val="00683F84"/>
    <w:rsid w:val="00692A50"/>
    <w:rsid w:val="006933A4"/>
    <w:rsid w:val="00695C14"/>
    <w:rsid w:val="00696E6D"/>
    <w:rsid w:val="00697E11"/>
    <w:rsid w:val="006A3A63"/>
    <w:rsid w:val="006A6A81"/>
    <w:rsid w:val="006B0F10"/>
    <w:rsid w:val="006B3782"/>
    <w:rsid w:val="006B38AE"/>
    <w:rsid w:val="006B62BA"/>
    <w:rsid w:val="006C4F97"/>
    <w:rsid w:val="006C5F3A"/>
    <w:rsid w:val="006E26AF"/>
    <w:rsid w:val="006E3E3E"/>
    <w:rsid w:val="006E642D"/>
    <w:rsid w:val="006E7837"/>
    <w:rsid w:val="006F1A26"/>
    <w:rsid w:val="006F44C3"/>
    <w:rsid w:val="006F7393"/>
    <w:rsid w:val="00700A13"/>
    <w:rsid w:val="00700EB6"/>
    <w:rsid w:val="0070224F"/>
    <w:rsid w:val="007115F7"/>
    <w:rsid w:val="007169E2"/>
    <w:rsid w:val="0073377D"/>
    <w:rsid w:val="0074390A"/>
    <w:rsid w:val="00744C9D"/>
    <w:rsid w:val="00745F67"/>
    <w:rsid w:val="00750740"/>
    <w:rsid w:val="00751A04"/>
    <w:rsid w:val="00751DCD"/>
    <w:rsid w:val="00771717"/>
    <w:rsid w:val="007823B0"/>
    <w:rsid w:val="00783890"/>
    <w:rsid w:val="00785689"/>
    <w:rsid w:val="007903F6"/>
    <w:rsid w:val="0079754B"/>
    <w:rsid w:val="007A1E6D"/>
    <w:rsid w:val="007A68DF"/>
    <w:rsid w:val="007A71AE"/>
    <w:rsid w:val="007A761F"/>
    <w:rsid w:val="007B365C"/>
    <w:rsid w:val="007C1119"/>
    <w:rsid w:val="007C7BE6"/>
    <w:rsid w:val="007D3EC2"/>
    <w:rsid w:val="007D4557"/>
    <w:rsid w:val="007D743F"/>
    <w:rsid w:val="007E09F0"/>
    <w:rsid w:val="007F07AD"/>
    <w:rsid w:val="007F0E92"/>
    <w:rsid w:val="007F3212"/>
    <w:rsid w:val="00800C8B"/>
    <w:rsid w:val="008024B0"/>
    <w:rsid w:val="0081064A"/>
    <w:rsid w:val="00811C0F"/>
    <w:rsid w:val="0081316C"/>
    <w:rsid w:val="00815522"/>
    <w:rsid w:val="0081586B"/>
    <w:rsid w:val="00822CE0"/>
    <w:rsid w:val="008243D8"/>
    <w:rsid w:val="00824A84"/>
    <w:rsid w:val="00826C75"/>
    <w:rsid w:val="00837C62"/>
    <w:rsid w:val="00841AB1"/>
    <w:rsid w:val="0084623C"/>
    <w:rsid w:val="00846301"/>
    <w:rsid w:val="00854F37"/>
    <w:rsid w:val="008615EC"/>
    <w:rsid w:val="008642B7"/>
    <w:rsid w:val="00867C23"/>
    <w:rsid w:val="00871440"/>
    <w:rsid w:val="0089419F"/>
    <w:rsid w:val="00894945"/>
    <w:rsid w:val="008A00D9"/>
    <w:rsid w:val="008A1468"/>
    <w:rsid w:val="008B3C4A"/>
    <w:rsid w:val="008B6D3A"/>
    <w:rsid w:val="008C22FD"/>
    <w:rsid w:val="008C3BEF"/>
    <w:rsid w:val="008C54A3"/>
    <w:rsid w:val="008C590E"/>
    <w:rsid w:val="008F5F88"/>
    <w:rsid w:val="00907C26"/>
    <w:rsid w:val="00910F12"/>
    <w:rsid w:val="00911452"/>
    <w:rsid w:val="00914AB2"/>
    <w:rsid w:val="00914C0A"/>
    <w:rsid w:val="0092363D"/>
    <w:rsid w:val="009255AC"/>
    <w:rsid w:val="00926503"/>
    <w:rsid w:val="00930ECF"/>
    <w:rsid w:val="00932CF0"/>
    <w:rsid w:val="0093484B"/>
    <w:rsid w:val="009452FB"/>
    <w:rsid w:val="00945DF5"/>
    <w:rsid w:val="00963979"/>
    <w:rsid w:val="009648D9"/>
    <w:rsid w:val="0096606D"/>
    <w:rsid w:val="00970C13"/>
    <w:rsid w:val="00977B35"/>
    <w:rsid w:val="00982078"/>
    <w:rsid w:val="009838BC"/>
    <w:rsid w:val="009849A2"/>
    <w:rsid w:val="00985D09"/>
    <w:rsid w:val="00990344"/>
    <w:rsid w:val="00992227"/>
    <w:rsid w:val="009923D1"/>
    <w:rsid w:val="009A6498"/>
    <w:rsid w:val="009C0686"/>
    <w:rsid w:val="009C2C05"/>
    <w:rsid w:val="009C45EC"/>
    <w:rsid w:val="009C5325"/>
    <w:rsid w:val="009E2E65"/>
    <w:rsid w:val="009E355F"/>
    <w:rsid w:val="009E5B4C"/>
    <w:rsid w:val="009F3346"/>
    <w:rsid w:val="009F37F8"/>
    <w:rsid w:val="00A03CCD"/>
    <w:rsid w:val="00A15E4B"/>
    <w:rsid w:val="00A20DB9"/>
    <w:rsid w:val="00A2496B"/>
    <w:rsid w:val="00A30222"/>
    <w:rsid w:val="00A31A0E"/>
    <w:rsid w:val="00A31ABB"/>
    <w:rsid w:val="00A32FCF"/>
    <w:rsid w:val="00A3342D"/>
    <w:rsid w:val="00A373EE"/>
    <w:rsid w:val="00A45F4F"/>
    <w:rsid w:val="00A5357C"/>
    <w:rsid w:val="00A544D5"/>
    <w:rsid w:val="00A55010"/>
    <w:rsid w:val="00A600A9"/>
    <w:rsid w:val="00A605A4"/>
    <w:rsid w:val="00A75203"/>
    <w:rsid w:val="00A85891"/>
    <w:rsid w:val="00A866AC"/>
    <w:rsid w:val="00A914CF"/>
    <w:rsid w:val="00A97BBC"/>
    <w:rsid w:val="00AA55B7"/>
    <w:rsid w:val="00AA5B9E"/>
    <w:rsid w:val="00AA67B4"/>
    <w:rsid w:val="00AB2217"/>
    <w:rsid w:val="00AB2407"/>
    <w:rsid w:val="00AB53DF"/>
    <w:rsid w:val="00AD002C"/>
    <w:rsid w:val="00AD180E"/>
    <w:rsid w:val="00AD6976"/>
    <w:rsid w:val="00AD7E00"/>
    <w:rsid w:val="00AE6A05"/>
    <w:rsid w:val="00AE7FE4"/>
    <w:rsid w:val="00B0539B"/>
    <w:rsid w:val="00B07E5C"/>
    <w:rsid w:val="00B1500D"/>
    <w:rsid w:val="00B24028"/>
    <w:rsid w:val="00B326E3"/>
    <w:rsid w:val="00B5044F"/>
    <w:rsid w:val="00B57C37"/>
    <w:rsid w:val="00B6540E"/>
    <w:rsid w:val="00B702A7"/>
    <w:rsid w:val="00B7266D"/>
    <w:rsid w:val="00B7648B"/>
    <w:rsid w:val="00B76F4C"/>
    <w:rsid w:val="00B811F7"/>
    <w:rsid w:val="00B86775"/>
    <w:rsid w:val="00B946EB"/>
    <w:rsid w:val="00BA5DC6"/>
    <w:rsid w:val="00BA6196"/>
    <w:rsid w:val="00BB2304"/>
    <w:rsid w:val="00BC6D8C"/>
    <w:rsid w:val="00BD1116"/>
    <w:rsid w:val="00BD5927"/>
    <w:rsid w:val="00BE13CA"/>
    <w:rsid w:val="00BE22C3"/>
    <w:rsid w:val="00BE5284"/>
    <w:rsid w:val="00C02B5E"/>
    <w:rsid w:val="00C033F3"/>
    <w:rsid w:val="00C05375"/>
    <w:rsid w:val="00C0538D"/>
    <w:rsid w:val="00C056B3"/>
    <w:rsid w:val="00C06299"/>
    <w:rsid w:val="00C152AB"/>
    <w:rsid w:val="00C16AF2"/>
    <w:rsid w:val="00C24FDB"/>
    <w:rsid w:val="00C3044E"/>
    <w:rsid w:val="00C3218A"/>
    <w:rsid w:val="00C33CAC"/>
    <w:rsid w:val="00C34006"/>
    <w:rsid w:val="00C342BB"/>
    <w:rsid w:val="00C34DD3"/>
    <w:rsid w:val="00C37D97"/>
    <w:rsid w:val="00C426B1"/>
    <w:rsid w:val="00C42C4B"/>
    <w:rsid w:val="00C44E45"/>
    <w:rsid w:val="00C55046"/>
    <w:rsid w:val="00C558B5"/>
    <w:rsid w:val="00C671B5"/>
    <w:rsid w:val="00C67CA9"/>
    <w:rsid w:val="00C70F6A"/>
    <w:rsid w:val="00C74304"/>
    <w:rsid w:val="00C77F20"/>
    <w:rsid w:val="00C82B6B"/>
    <w:rsid w:val="00C8773E"/>
    <w:rsid w:val="00C904BD"/>
    <w:rsid w:val="00C90D6A"/>
    <w:rsid w:val="00C96CBC"/>
    <w:rsid w:val="00CB6D0A"/>
    <w:rsid w:val="00CB717A"/>
    <w:rsid w:val="00CC2C44"/>
    <w:rsid w:val="00CC5227"/>
    <w:rsid w:val="00CC72B6"/>
    <w:rsid w:val="00CD26CA"/>
    <w:rsid w:val="00CD4B51"/>
    <w:rsid w:val="00CD7FE0"/>
    <w:rsid w:val="00CE3F9A"/>
    <w:rsid w:val="00CE5FF2"/>
    <w:rsid w:val="00CF05A9"/>
    <w:rsid w:val="00CF20F2"/>
    <w:rsid w:val="00CF2B6D"/>
    <w:rsid w:val="00CF3E16"/>
    <w:rsid w:val="00CF604E"/>
    <w:rsid w:val="00CF6B7D"/>
    <w:rsid w:val="00CF7046"/>
    <w:rsid w:val="00D0218D"/>
    <w:rsid w:val="00D068C0"/>
    <w:rsid w:val="00D11840"/>
    <w:rsid w:val="00D11E22"/>
    <w:rsid w:val="00D216CD"/>
    <w:rsid w:val="00D231BA"/>
    <w:rsid w:val="00D25ACA"/>
    <w:rsid w:val="00D3161D"/>
    <w:rsid w:val="00D35C67"/>
    <w:rsid w:val="00D509E4"/>
    <w:rsid w:val="00D52257"/>
    <w:rsid w:val="00D5335E"/>
    <w:rsid w:val="00D74196"/>
    <w:rsid w:val="00D75BC8"/>
    <w:rsid w:val="00D809E8"/>
    <w:rsid w:val="00D84036"/>
    <w:rsid w:val="00D90EE8"/>
    <w:rsid w:val="00D97CF6"/>
    <w:rsid w:val="00DA2529"/>
    <w:rsid w:val="00DA2D0F"/>
    <w:rsid w:val="00DA74F9"/>
    <w:rsid w:val="00DB130A"/>
    <w:rsid w:val="00DB18EC"/>
    <w:rsid w:val="00DC001D"/>
    <w:rsid w:val="00DC10A1"/>
    <w:rsid w:val="00DC1851"/>
    <w:rsid w:val="00DC41F7"/>
    <w:rsid w:val="00DC655F"/>
    <w:rsid w:val="00DC7A12"/>
    <w:rsid w:val="00DD7EBD"/>
    <w:rsid w:val="00DE017C"/>
    <w:rsid w:val="00DE2D27"/>
    <w:rsid w:val="00DE3146"/>
    <w:rsid w:val="00DE386F"/>
    <w:rsid w:val="00DF62B6"/>
    <w:rsid w:val="00DF728C"/>
    <w:rsid w:val="00DF74C5"/>
    <w:rsid w:val="00E002DF"/>
    <w:rsid w:val="00E01C5E"/>
    <w:rsid w:val="00E07225"/>
    <w:rsid w:val="00E154FC"/>
    <w:rsid w:val="00E155B7"/>
    <w:rsid w:val="00E30198"/>
    <w:rsid w:val="00E31772"/>
    <w:rsid w:val="00E37789"/>
    <w:rsid w:val="00E43F46"/>
    <w:rsid w:val="00E5409F"/>
    <w:rsid w:val="00E55F86"/>
    <w:rsid w:val="00E60180"/>
    <w:rsid w:val="00E607F4"/>
    <w:rsid w:val="00E75371"/>
    <w:rsid w:val="00E76D46"/>
    <w:rsid w:val="00E8039B"/>
    <w:rsid w:val="00E83ECD"/>
    <w:rsid w:val="00E87FAA"/>
    <w:rsid w:val="00E94064"/>
    <w:rsid w:val="00E95AF5"/>
    <w:rsid w:val="00EA1020"/>
    <w:rsid w:val="00EA10C1"/>
    <w:rsid w:val="00EA7E68"/>
    <w:rsid w:val="00EB3EC5"/>
    <w:rsid w:val="00EB4507"/>
    <w:rsid w:val="00EB744F"/>
    <w:rsid w:val="00EC0185"/>
    <w:rsid w:val="00EC119F"/>
    <w:rsid w:val="00ED022C"/>
    <w:rsid w:val="00ED2857"/>
    <w:rsid w:val="00ED339C"/>
    <w:rsid w:val="00ED6EE9"/>
    <w:rsid w:val="00EE227D"/>
    <w:rsid w:val="00EF5991"/>
    <w:rsid w:val="00F00E5E"/>
    <w:rsid w:val="00F021FA"/>
    <w:rsid w:val="00F02C3C"/>
    <w:rsid w:val="00F03C51"/>
    <w:rsid w:val="00F072D1"/>
    <w:rsid w:val="00F10F3C"/>
    <w:rsid w:val="00F17D23"/>
    <w:rsid w:val="00F27D4F"/>
    <w:rsid w:val="00F30CBA"/>
    <w:rsid w:val="00F411B8"/>
    <w:rsid w:val="00F463FE"/>
    <w:rsid w:val="00F47324"/>
    <w:rsid w:val="00F4749E"/>
    <w:rsid w:val="00F50AAC"/>
    <w:rsid w:val="00F50B2C"/>
    <w:rsid w:val="00F52AE1"/>
    <w:rsid w:val="00F5484E"/>
    <w:rsid w:val="00F57ACA"/>
    <w:rsid w:val="00F627E9"/>
    <w:rsid w:val="00F62E97"/>
    <w:rsid w:val="00F64209"/>
    <w:rsid w:val="00F66F13"/>
    <w:rsid w:val="00F820A2"/>
    <w:rsid w:val="00F84115"/>
    <w:rsid w:val="00F8434C"/>
    <w:rsid w:val="00F8546E"/>
    <w:rsid w:val="00F85A19"/>
    <w:rsid w:val="00F93BF5"/>
    <w:rsid w:val="00F94959"/>
    <w:rsid w:val="00F959C5"/>
    <w:rsid w:val="00F96F63"/>
    <w:rsid w:val="00FC7F8A"/>
    <w:rsid w:val="00FE353B"/>
    <w:rsid w:val="00FE6537"/>
    <w:rsid w:val="00FF79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8568E9"/>
  <w15:chartTrackingRefBased/>
  <w15:docId w15:val="{9C1538DD-CA6D-4DD8-A72C-22C97125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Cs/>
        <w:snapToGrid w:val="0"/>
        <w:kern w:val="28"/>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9FA"/>
    <w:pPr>
      <w:widowControl w:val="0"/>
    </w:pPr>
    <w:rPr>
      <w:bCs w:val="0"/>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569F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6569FA"/>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6569FA"/>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6569FA"/>
    <w:pPr>
      <w:keepNext/>
      <w:numPr>
        <w:ilvl w:val="3"/>
        <w:numId w:val="3"/>
      </w:numPr>
      <w:tabs>
        <w:tab w:val="left" w:pos="2880"/>
      </w:tabs>
      <w:spacing w:after="120"/>
      <w:outlineLvl w:val="3"/>
    </w:pPr>
    <w:rPr>
      <w:b/>
    </w:rPr>
  </w:style>
  <w:style w:type="paragraph" w:styleId="Heading5">
    <w:name w:val="heading 5"/>
    <w:basedOn w:val="Normal"/>
    <w:next w:val="ParaNum"/>
    <w:qFormat/>
    <w:rsid w:val="006569F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569FA"/>
    <w:pPr>
      <w:numPr>
        <w:ilvl w:val="5"/>
        <w:numId w:val="3"/>
      </w:numPr>
      <w:tabs>
        <w:tab w:val="left" w:pos="4320"/>
      </w:tabs>
      <w:spacing w:after="120"/>
      <w:outlineLvl w:val="5"/>
    </w:pPr>
    <w:rPr>
      <w:b/>
    </w:rPr>
  </w:style>
  <w:style w:type="paragraph" w:styleId="Heading7">
    <w:name w:val="heading 7"/>
    <w:basedOn w:val="Normal"/>
    <w:next w:val="ParaNum"/>
    <w:qFormat/>
    <w:rsid w:val="006569F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569F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6569F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569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569FA"/>
  </w:style>
  <w:style w:type="paragraph" w:customStyle="1" w:styleId="ParaNum">
    <w:name w:val="ParaNum"/>
    <w:basedOn w:val="Normal"/>
    <w:link w:val="ParaNumChar"/>
    <w:rsid w:val="006569FA"/>
    <w:pPr>
      <w:numPr>
        <w:numId w:val="2"/>
      </w:numPr>
      <w:tabs>
        <w:tab w:val="clear" w:pos="1080"/>
        <w:tab w:val="num" w:pos="1440"/>
      </w:tabs>
      <w:spacing w:after="120"/>
    </w:pPr>
  </w:style>
  <w:style w:type="paragraph" w:styleId="EndnoteText">
    <w:name w:val="endnote text"/>
    <w:basedOn w:val="Normal"/>
    <w:semiHidden/>
    <w:rsid w:val="006569FA"/>
    <w:rPr>
      <w:sz w:val="20"/>
    </w:rPr>
  </w:style>
  <w:style w:type="character" w:styleId="EndnoteReference">
    <w:name w:val="endnote reference"/>
    <w:semiHidden/>
    <w:rsid w:val="006569FA"/>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semiHidden/>
    <w:rsid w:val="006569FA"/>
    <w:pPr>
      <w:spacing w:after="120"/>
    </w:pPr>
    <w:rPr>
      <w:bCs w:val="0"/>
      <w:snapToGrid/>
      <w:kern w:val="0"/>
      <w:sz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569FA"/>
    <w:rPr>
      <w:rFonts w:ascii="Times New Roman" w:hAnsi="Times New Roman"/>
      <w:dstrike w:val="0"/>
      <w:color w:val="auto"/>
      <w:sz w:val="22"/>
      <w:vertAlign w:val="superscript"/>
    </w:rPr>
  </w:style>
  <w:style w:type="paragraph" w:styleId="TOC1">
    <w:name w:val="toc 1"/>
    <w:basedOn w:val="Normal"/>
    <w:next w:val="Normal"/>
    <w:uiPriority w:val="39"/>
    <w:rsid w:val="006569F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569FA"/>
    <w:pPr>
      <w:tabs>
        <w:tab w:val="left" w:pos="720"/>
        <w:tab w:val="right" w:leader="dot" w:pos="9360"/>
      </w:tabs>
      <w:suppressAutoHyphens/>
      <w:ind w:left="720" w:right="720" w:hanging="360"/>
    </w:pPr>
    <w:rPr>
      <w:noProof/>
    </w:rPr>
  </w:style>
  <w:style w:type="paragraph" w:styleId="TOC3">
    <w:name w:val="toc 3"/>
    <w:basedOn w:val="Normal"/>
    <w:next w:val="Normal"/>
    <w:semiHidden/>
    <w:rsid w:val="006569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69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69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69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69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69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69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69FA"/>
    <w:pPr>
      <w:tabs>
        <w:tab w:val="right" w:pos="9360"/>
      </w:tabs>
      <w:suppressAutoHyphens/>
    </w:pPr>
  </w:style>
  <w:style w:type="character" w:customStyle="1" w:styleId="EquationCaption">
    <w:name w:val="_Equation Caption"/>
    <w:rsid w:val="006569FA"/>
  </w:style>
  <w:style w:type="paragraph" w:styleId="Header">
    <w:name w:val="header"/>
    <w:basedOn w:val="Normal"/>
    <w:autoRedefine/>
    <w:rsid w:val="006569FA"/>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6569FA"/>
    <w:pPr>
      <w:tabs>
        <w:tab w:val="center" w:pos="4320"/>
        <w:tab w:val="right" w:pos="8640"/>
      </w:tabs>
    </w:pPr>
  </w:style>
  <w:style w:type="character" w:styleId="PageNumber">
    <w:name w:val="page number"/>
    <w:basedOn w:val="DefaultParagraphFont"/>
    <w:rsid w:val="006569FA"/>
  </w:style>
  <w:style w:type="paragraph" w:styleId="BlockText">
    <w:name w:val="Block Text"/>
    <w:basedOn w:val="Normal"/>
    <w:rsid w:val="006569FA"/>
    <w:pPr>
      <w:spacing w:after="240"/>
      <w:ind w:left="1440" w:right="1440"/>
    </w:pPr>
  </w:style>
  <w:style w:type="paragraph" w:customStyle="1" w:styleId="Paratitle">
    <w:name w:val="Para title"/>
    <w:basedOn w:val="Normal"/>
    <w:rsid w:val="006569FA"/>
    <w:pPr>
      <w:tabs>
        <w:tab w:val="center" w:pos="9270"/>
      </w:tabs>
      <w:spacing w:after="240"/>
    </w:pPr>
    <w:rPr>
      <w:spacing w:val="-2"/>
    </w:rPr>
  </w:style>
  <w:style w:type="paragraph" w:customStyle="1" w:styleId="Bullet">
    <w:name w:val="Bullet"/>
    <w:basedOn w:val="Normal"/>
    <w:rsid w:val="006569FA"/>
    <w:pPr>
      <w:numPr>
        <w:numId w:val="1"/>
      </w:numPr>
      <w:tabs>
        <w:tab w:val="clear" w:pos="360"/>
        <w:tab w:val="left" w:pos="2160"/>
      </w:tabs>
      <w:spacing w:after="220"/>
      <w:ind w:left="2160" w:hanging="720"/>
    </w:pPr>
  </w:style>
  <w:style w:type="paragraph" w:customStyle="1" w:styleId="TableFormat">
    <w:name w:val="TableFormat"/>
    <w:basedOn w:val="Bullet"/>
    <w:rsid w:val="006569FA"/>
    <w:pPr>
      <w:numPr>
        <w:numId w:val="0"/>
      </w:numPr>
      <w:tabs>
        <w:tab w:val="clear" w:pos="2160"/>
        <w:tab w:val="left" w:pos="5040"/>
      </w:tabs>
      <w:ind w:left="5040" w:hanging="3600"/>
    </w:pPr>
  </w:style>
  <w:style w:type="paragraph" w:customStyle="1" w:styleId="TOCTitle">
    <w:name w:val="TOC Title"/>
    <w:basedOn w:val="Normal"/>
    <w:rsid w:val="006569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69FA"/>
    <w:pPr>
      <w:jc w:val="center"/>
    </w:pPr>
    <w:rPr>
      <w:rFonts w:ascii="Times New Roman Bold" w:hAnsi="Times New Roman Bold"/>
      <w:b/>
      <w:bCs/>
      <w:caps/>
      <w:szCs w:val="22"/>
    </w:rPr>
  </w:style>
  <w:style w:type="character" w:styleId="Hyperlink">
    <w:name w:val="Hyperlink"/>
    <w:rsid w:val="006569FA"/>
    <w:rPr>
      <w:color w:val="0000FF"/>
      <w:u w:val="single"/>
    </w:rPr>
  </w:style>
  <w:style w:type="character" w:customStyle="1" w:styleId="FooterChar">
    <w:name w:val="Footer Char"/>
    <w:link w:val="Footer"/>
    <w:uiPriority w:val="99"/>
    <w:rsid w:val="006569FA"/>
    <w:rPr>
      <w:bCs w:val="0"/>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semiHidden/>
    <w:rsid w:val="00A15E4B"/>
    <w:rPr>
      <w:bCs w:val="0"/>
      <w:snapToGrid/>
      <w:kern w:val="0"/>
      <w:sz w:val="20"/>
    </w:rPr>
  </w:style>
  <w:style w:type="character" w:styleId="Emphasis">
    <w:name w:val="Emphasis"/>
    <w:uiPriority w:val="20"/>
    <w:qFormat/>
    <w:rsid w:val="00A15E4B"/>
    <w:rPr>
      <w:i/>
      <w:iCs/>
    </w:rPr>
  </w:style>
  <w:style w:type="character" w:customStyle="1" w:styleId="UnresolvedMention">
    <w:name w:val="Unresolved Mention"/>
    <w:uiPriority w:val="99"/>
    <w:semiHidden/>
    <w:unhideWhenUsed/>
    <w:rsid w:val="00C44E45"/>
    <w:rPr>
      <w:color w:val="605E5C"/>
      <w:shd w:val="clear" w:color="auto" w:fill="E1DFDD"/>
    </w:rPr>
  </w:style>
  <w:style w:type="character" w:customStyle="1" w:styleId="ParaNumChar">
    <w:name w:val="ParaNum Char"/>
    <w:link w:val="ParaNum"/>
    <w:locked/>
    <w:rsid w:val="009C5325"/>
    <w:rPr>
      <w:bCs w:val="0"/>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A55010"/>
    <w:rPr>
      <w:rFonts w:ascii="Times New Roman Bold" w:hAnsi="Times New Roman Bold"/>
      <w:b/>
      <w:bCs w:val="0"/>
      <w:caps/>
    </w:rPr>
  </w:style>
  <w:style w:type="paragraph" w:styleId="BalloonText">
    <w:name w:val="Balloon Text"/>
    <w:basedOn w:val="Normal"/>
    <w:link w:val="BalloonTextChar"/>
    <w:uiPriority w:val="99"/>
    <w:semiHidden/>
    <w:unhideWhenUsed/>
    <w:rsid w:val="00A55010"/>
    <w:rPr>
      <w:rFonts w:ascii="Segoe UI" w:hAnsi="Segoe UI" w:cs="Segoe UI"/>
      <w:sz w:val="18"/>
      <w:szCs w:val="18"/>
    </w:rPr>
  </w:style>
  <w:style w:type="character" w:customStyle="1" w:styleId="BalloonTextChar">
    <w:name w:val="Balloon Text Char"/>
    <w:link w:val="BalloonText"/>
    <w:uiPriority w:val="99"/>
    <w:semiHidden/>
    <w:rsid w:val="00A55010"/>
    <w:rPr>
      <w:rFonts w:ascii="Segoe UI" w:hAnsi="Segoe UI" w:cs="Segoe UI"/>
      <w:snapToGrid/>
      <w:kern w:val="28"/>
      <w:sz w:val="18"/>
      <w:szCs w:val="18"/>
    </w:rPr>
  </w:style>
  <w:style w:type="character" w:customStyle="1" w:styleId="cosearchterm">
    <w:name w:val="co_searchterm"/>
    <w:rsid w:val="005378F4"/>
  </w:style>
  <w:style w:type="character" w:styleId="CommentReference">
    <w:name w:val="annotation reference"/>
    <w:uiPriority w:val="99"/>
    <w:semiHidden/>
    <w:unhideWhenUsed/>
    <w:rsid w:val="00700A13"/>
    <w:rPr>
      <w:sz w:val="16"/>
      <w:szCs w:val="16"/>
    </w:rPr>
  </w:style>
  <w:style w:type="paragraph" w:styleId="CommentText">
    <w:name w:val="annotation text"/>
    <w:basedOn w:val="Normal"/>
    <w:link w:val="CommentTextChar"/>
    <w:uiPriority w:val="99"/>
    <w:semiHidden/>
    <w:unhideWhenUsed/>
    <w:rsid w:val="00700A13"/>
    <w:rPr>
      <w:sz w:val="20"/>
    </w:rPr>
  </w:style>
  <w:style w:type="character" w:customStyle="1" w:styleId="CommentTextChar">
    <w:name w:val="Comment Text Char"/>
    <w:link w:val="CommentText"/>
    <w:uiPriority w:val="99"/>
    <w:semiHidden/>
    <w:rsid w:val="00700A13"/>
    <w:rPr>
      <w:snapToGrid/>
      <w:kern w:val="28"/>
    </w:rPr>
  </w:style>
  <w:style w:type="paragraph" w:styleId="CommentSubject">
    <w:name w:val="annotation subject"/>
    <w:basedOn w:val="CommentText"/>
    <w:next w:val="CommentText"/>
    <w:link w:val="CommentSubjectChar"/>
    <w:uiPriority w:val="99"/>
    <w:semiHidden/>
    <w:unhideWhenUsed/>
    <w:rsid w:val="00700A13"/>
    <w:rPr>
      <w:b/>
      <w:bCs/>
    </w:rPr>
  </w:style>
  <w:style w:type="character" w:customStyle="1" w:styleId="CommentSubjectChar">
    <w:name w:val="Comment Subject Char"/>
    <w:link w:val="CommentSubject"/>
    <w:uiPriority w:val="99"/>
    <w:semiHidden/>
    <w:rsid w:val="00700A13"/>
    <w:rPr>
      <w:b/>
      <w:bCs w:val="0"/>
      <w:snapToGrid/>
      <w:kern w:val="28"/>
    </w:rPr>
  </w:style>
  <w:style w:type="paragraph" w:customStyle="1" w:styleId="Default">
    <w:name w:val="Default"/>
    <w:rsid w:val="00AD6976"/>
    <w:pPr>
      <w:autoSpaceDE w:val="0"/>
      <w:autoSpaceDN w:val="0"/>
      <w:adjustRightInd w:val="0"/>
    </w:pPr>
    <w:rPr>
      <w:color w:val="000000"/>
      <w:sz w:val="24"/>
      <w:szCs w:val="24"/>
    </w:rPr>
  </w:style>
  <w:style w:type="paragraph" w:styleId="Revision">
    <w:name w:val="Revision"/>
    <w:hidden/>
    <w:uiPriority w:val="99"/>
    <w:semiHidden/>
    <w:rsid w:val="00F50AAC"/>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my.Vandekerckhove@fcc.gov" TargetMode="External" /><Relationship Id="rId6" Type="http://schemas.openxmlformats.org/officeDocument/2006/relationships/hyperlink" Target="mailto:James.Bradshaw@fcc.gov" TargetMode="External" /><Relationship Id="rId7" Type="http://schemas.openxmlformats.org/officeDocument/2006/relationships/hyperlink" Target="mailto:Lisa.Scanlan@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eb2.westlaw.com/find/default.wl?DB=1000546&amp;DocName=5USCAS603&amp;FindType=L&amp;AP=&amp;mt=Westlaw&amp;fn=_top&amp;sv=Full&amp;vr=2.0&amp;rs=WLW5.0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