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F715B1" w:rsidRPr="00F715B1" w:rsidP="00F715B1" w14:paraId="289BF829" w14:textId="77777777">
      <w:pPr>
        <w:jc w:val="center"/>
        <w:rPr>
          <w:rFonts w:eastAsia="Arial"/>
          <w:b/>
          <w:bCs/>
        </w:rPr>
      </w:pPr>
      <w:r w:rsidRPr="00F715B1">
        <w:rPr>
          <w:rFonts w:eastAsia="Arial"/>
          <w:b/>
          <w:bCs/>
        </w:rPr>
        <w:t>STATEMENT OF</w:t>
      </w:r>
    </w:p>
    <w:p w:rsidR="00F715B1" w:rsidRPr="00F715B1" w:rsidP="00F715B1" w14:paraId="028BFF0F" w14:textId="77777777">
      <w:pPr>
        <w:jc w:val="center"/>
        <w:rPr>
          <w:rFonts w:eastAsia="Arial"/>
          <w:b/>
          <w:bCs/>
        </w:rPr>
      </w:pPr>
      <w:r w:rsidRPr="00F715B1">
        <w:rPr>
          <w:rFonts w:eastAsia="Arial"/>
          <w:b/>
          <w:bCs/>
        </w:rPr>
        <w:t>COMMISSIONER GEOFFREY STARKS</w:t>
      </w:r>
    </w:p>
    <w:p w:rsidR="00F715B1" w:rsidRPr="00F715B1" w:rsidP="00F715B1" w14:paraId="4FC4A4D6" w14:textId="77777777">
      <w:pPr>
        <w:jc w:val="center"/>
        <w:rPr>
          <w:i/>
        </w:rPr>
      </w:pPr>
    </w:p>
    <w:p w:rsidR="00F715B1" w:rsidRPr="00B9490B" w:rsidP="00F715B1" w14:paraId="2AB6BFC7" w14:textId="7DA84F37">
      <w:pPr>
        <w:spacing w:after="120"/>
        <w:ind w:left="720" w:hanging="720"/>
        <w:rPr>
          <w:bCs/>
        </w:rPr>
      </w:pPr>
      <w:bookmarkStart w:id="0" w:name="_Hlk42603447"/>
      <w:r w:rsidRPr="00B9490B">
        <w:rPr>
          <w:bCs/>
        </w:rPr>
        <w:t>Re:</w:t>
      </w:r>
      <w:r w:rsidRPr="00B9490B">
        <w:rPr>
          <w:bCs/>
        </w:rPr>
        <w:tab/>
      </w:r>
      <w:r w:rsidRPr="00B9490B">
        <w:rPr>
          <w:bCs/>
          <w:i/>
          <w:iCs/>
        </w:rPr>
        <w:t xml:space="preserve">Telecommunications Relay Services and Speech-to-Speech Services for Individuals with Hearing and Speech Disabilities, </w:t>
      </w:r>
      <w:r w:rsidRPr="00B9490B">
        <w:rPr>
          <w:bCs/>
        </w:rPr>
        <w:t xml:space="preserve">CG Docket No. 03-123; </w:t>
      </w:r>
      <w:r w:rsidRPr="00B9490B">
        <w:rPr>
          <w:bCs/>
          <w:i/>
          <w:iCs/>
        </w:rPr>
        <w:t>Structure and Practices of the Video Relay Services Program</w:t>
      </w:r>
      <w:r w:rsidRPr="00B9490B">
        <w:rPr>
          <w:bCs/>
        </w:rPr>
        <w:t>, CG Docket No. 10-51.</w:t>
      </w:r>
      <w:bookmarkEnd w:id="0"/>
    </w:p>
    <w:p w:rsidR="00F715B1" w:rsidRPr="00F715B1" w:rsidP="00F715B1" w14:paraId="3C4121E1" w14:textId="77777777">
      <w:pPr>
        <w:spacing w:after="120"/>
        <w:ind w:firstLine="720"/>
      </w:pPr>
      <w:r w:rsidRPr="00F715B1">
        <w:t xml:space="preserve">For an agency, it is typically good governance to develop more of a record than less—in that way, the additional questions sought by VRS industry participants add important context to this discussion.  I believe this will ultimately lead to improved functional equivalence and service quality that will benefit those who need VRS to communicate and function seamlessly in our society.  It is also prudent to extend the current rates while we gather more data and insight on what service levels will look like on the other side of the COVID pandemic.  I am therefore pleased to support this Notice and Order, and I thank the Consumer and Governmental Affairs Bureau staff for their hard work on the item.  </w:t>
      </w:r>
    </w:p>
    <w:p w:rsidR="00F715B1" w:rsidRPr="00F715B1" w:rsidP="00F715B1" w14:paraId="29BD770D" w14:textId="77777777">
      <w:pPr>
        <w:spacing w:after="120"/>
      </w:pPr>
    </w:p>
    <w:p w:rsidR="00412FC5" w:rsidRPr="00F715B1" w:rsidP="00F715B1" w14:paraId="4EF37B7E"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A13272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BD17A2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4F77F7A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4864E157"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7D8A5BC"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9490B" w14:paraId="2C21C961" w14:textId="77777777">
    <w:pPr>
      <w:pStyle w:val="Heade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27374BAE"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0F5F29F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B9490B" w:rsidP="00B9490B" w14:paraId="7BF9220A" w14:textId="30E08019">
    <w:pPr>
      <w:pStyle w:val="Heade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rsidRPr="00B9490B">
      <w:tab/>
      <w:t>Federal Communications Commission</w:t>
    </w:r>
    <w:r w:rsidRPr="00B9490B">
      <w:tab/>
    </w:r>
    <w:r w:rsidRPr="00B9490B" w:rsidR="00F715B1">
      <w:rPr>
        <w:spacing w:val="-2"/>
      </w:rPr>
      <w:t>FCC 21-61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5B1"/>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66D06"/>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A5A3D"/>
    <w:rsid w:val="007B0EB2"/>
    <w:rsid w:val="00810B6F"/>
    <w:rsid w:val="00822CE0"/>
    <w:rsid w:val="00841AB1"/>
    <w:rsid w:val="008C68F1"/>
    <w:rsid w:val="00921803"/>
    <w:rsid w:val="00926503"/>
    <w:rsid w:val="009726D8"/>
    <w:rsid w:val="009D7308"/>
    <w:rsid w:val="009F76DB"/>
    <w:rsid w:val="00A32C3B"/>
    <w:rsid w:val="00A45F4F"/>
    <w:rsid w:val="00A600A9"/>
    <w:rsid w:val="00AA55B7"/>
    <w:rsid w:val="00AA5B9E"/>
    <w:rsid w:val="00AB2407"/>
    <w:rsid w:val="00AB53DF"/>
    <w:rsid w:val="00B07E5C"/>
    <w:rsid w:val="00B811F7"/>
    <w:rsid w:val="00B9490B"/>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715B1"/>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7A382E2"/>
  <w15:chartTrackingRefBased/>
  <w15:docId w15:val="{C9A91785-A4D6-4B2F-87B9-5A4FBCDE3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90B"/>
    <w:pPr>
      <w:widowControl w:val="0"/>
    </w:pPr>
    <w:rPr>
      <w:snapToGrid w:val="0"/>
      <w:kern w:val="28"/>
      <w:sz w:val="22"/>
    </w:rPr>
  </w:style>
  <w:style w:type="paragraph" w:styleId="Heading1">
    <w:name w:val="heading 1"/>
    <w:basedOn w:val="Normal"/>
    <w:next w:val="ParaNum"/>
    <w:qFormat/>
    <w:rsid w:val="00B9490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9490B"/>
    <w:pPr>
      <w:keepNext/>
      <w:numPr>
        <w:ilvl w:val="1"/>
        <w:numId w:val="3"/>
      </w:numPr>
      <w:spacing w:after="120"/>
      <w:outlineLvl w:val="1"/>
    </w:pPr>
    <w:rPr>
      <w:b/>
    </w:rPr>
  </w:style>
  <w:style w:type="paragraph" w:styleId="Heading3">
    <w:name w:val="heading 3"/>
    <w:basedOn w:val="Normal"/>
    <w:next w:val="ParaNum"/>
    <w:qFormat/>
    <w:rsid w:val="00B9490B"/>
    <w:pPr>
      <w:keepNext/>
      <w:numPr>
        <w:ilvl w:val="2"/>
        <w:numId w:val="3"/>
      </w:numPr>
      <w:tabs>
        <w:tab w:val="left" w:pos="2160"/>
      </w:tabs>
      <w:spacing w:after="120"/>
      <w:outlineLvl w:val="2"/>
    </w:pPr>
    <w:rPr>
      <w:b/>
    </w:rPr>
  </w:style>
  <w:style w:type="paragraph" w:styleId="Heading4">
    <w:name w:val="heading 4"/>
    <w:basedOn w:val="Normal"/>
    <w:next w:val="ParaNum"/>
    <w:qFormat/>
    <w:rsid w:val="00B9490B"/>
    <w:pPr>
      <w:keepNext/>
      <w:numPr>
        <w:ilvl w:val="3"/>
        <w:numId w:val="3"/>
      </w:numPr>
      <w:tabs>
        <w:tab w:val="left" w:pos="2880"/>
      </w:tabs>
      <w:spacing w:after="120"/>
      <w:outlineLvl w:val="3"/>
    </w:pPr>
    <w:rPr>
      <w:b/>
    </w:rPr>
  </w:style>
  <w:style w:type="paragraph" w:styleId="Heading5">
    <w:name w:val="heading 5"/>
    <w:basedOn w:val="Normal"/>
    <w:next w:val="ParaNum"/>
    <w:qFormat/>
    <w:rsid w:val="00B9490B"/>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9490B"/>
    <w:pPr>
      <w:numPr>
        <w:ilvl w:val="5"/>
        <w:numId w:val="3"/>
      </w:numPr>
      <w:tabs>
        <w:tab w:val="left" w:pos="4320"/>
      </w:tabs>
      <w:spacing w:after="120"/>
      <w:outlineLvl w:val="5"/>
    </w:pPr>
    <w:rPr>
      <w:b/>
    </w:rPr>
  </w:style>
  <w:style w:type="paragraph" w:styleId="Heading7">
    <w:name w:val="heading 7"/>
    <w:basedOn w:val="Normal"/>
    <w:next w:val="ParaNum"/>
    <w:qFormat/>
    <w:rsid w:val="00B9490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9490B"/>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9490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9490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9490B"/>
  </w:style>
  <w:style w:type="paragraph" w:customStyle="1" w:styleId="ParaNum">
    <w:name w:val="ParaNum"/>
    <w:basedOn w:val="Normal"/>
    <w:rsid w:val="00B9490B"/>
    <w:pPr>
      <w:numPr>
        <w:numId w:val="2"/>
      </w:numPr>
      <w:tabs>
        <w:tab w:val="clear" w:pos="1080"/>
        <w:tab w:val="num" w:pos="1440"/>
      </w:tabs>
      <w:spacing w:after="120"/>
    </w:pPr>
  </w:style>
  <w:style w:type="paragraph" w:styleId="EndnoteText">
    <w:name w:val="endnote text"/>
    <w:basedOn w:val="Normal"/>
    <w:semiHidden/>
    <w:rsid w:val="00B9490B"/>
    <w:rPr>
      <w:sz w:val="20"/>
    </w:rPr>
  </w:style>
  <w:style w:type="character" w:styleId="EndnoteReference">
    <w:name w:val="endnote reference"/>
    <w:semiHidden/>
    <w:rsid w:val="00B9490B"/>
    <w:rPr>
      <w:vertAlign w:val="superscript"/>
    </w:rPr>
  </w:style>
  <w:style w:type="paragraph" w:styleId="FootnoteText">
    <w:name w:val="footnote text"/>
    <w:rsid w:val="00B9490B"/>
    <w:pPr>
      <w:spacing w:after="120"/>
    </w:pPr>
  </w:style>
  <w:style w:type="character" w:styleId="FootnoteReference">
    <w:name w:val="footnote reference"/>
    <w:rsid w:val="00B9490B"/>
    <w:rPr>
      <w:rFonts w:ascii="Times New Roman" w:hAnsi="Times New Roman"/>
      <w:dstrike w:val="0"/>
      <w:color w:val="auto"/>
      <w:sz w:val="20"/>
      <w:vertAlign w:val="superscript"/>
    </w:rPr>
  </w:style>
  <w:style w:type="paragraph" w:styleId="TOC1">
    <w:name w:val="toc 1"/>
    <w:basedOn w:val="Normal"/>
    <w:next w:val="Normal"/>
    <w:semiHidden/>
    <w:rsid w:val="00B9490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9490B"/>
    <w:pPr>
      <w:tabs>
        <w:tab w:val="left" w:pos="720"/>
        <w:tab w:val="right" w:leader="dot" w:pos="9360"/>
      </w:tabs>
      <w:suppressAutoHyphens/>
      <w:ind w:left="720" w:right="720" w:hanging="360"/>
    </w:pPr>
    <w:rPr>
      <w:noProof/>
    </w:rPr>
  </w:style>
  <w:style w:type="paragraph" w:styleId="TOC3">
    <w:name w:val="toc 3"/>
    <w:basedOn w:val="Normal"/>
    <w:next w:val="Normal"/>
    <w:semiHidden/>
    <w:rsid w:val="00B9490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9490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9490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9490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9490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9490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9490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9490B"/>
    <w:pPr>
      <w:tabs>
        <w:tab w:val="right" w:pos="9360"/>
      </w:tabs>
      <w:suppressAutoHyphens/>
    </w:pPr>
  </w:style>
  <w:style w:type="character" w:customStyle="1" w:styleId="EquationCaption">
    <w:name w:val="_Equation Caption"/>
    <w:rsid w:val="00B9490B"/>
  </w:style>
  <w:style w:type="paragraph" w:styleId="Header">
    <w:name w:val="header"/>
    <w:basedOn w:val="Normal"/>
    <w:autoRedefine/>
    <w:rsid w:val="00B9490B"/>
    <w:pPr>
      <w:tabs>
        <w:tab w:val="center" w:pos="4680"/>
        <w:tab w:val="right" w:pos="9360"/>
      </w:tabs>
    </w:pPr>
    <w:rPr>
      <w:b/>
    </w:rPr>
  </w:style>
  <w:style w:type="paragraph" w:styleId="Footer">
    <w:name w:val="footer"/>
    <w:basedOn w:val="Normal"/>
    <w:link w:val="FooterChar"/>
    <w:uiPriority w:val="99"/>
    <w:rsid w:val="00B9490B"/>
    <w:pPr>
      <w:tabs>
        <w:tab w:val="center" w:pos="4320"/>
        <w:tab w:val="right" w:pos="8640"/>
      </w:tabs>
    </w:pPr>
  </w:style>
  <w:style w:type="character" w:styleId="PageNumber">
    <w:name w:val="page number"/>
    <w:basedOn w:val="DefaultParagraphFont"/>
    <w:rsid w:val="00B9490B"/>
  </w:style>
  <w:style w:type="paragraph" w:styleId="BlockText">
    <w:name w:val="Block Text"/>
    <w:basedOn w:val="Normal"/>
    <w:rsid w:val="00B9490B"/>
    <w:pPr>
      <w:spacing w:after="240"/>
      <w:ind w:left="1440" w:right="1440"/>
    </w:pPr>
  </w:style>
  <w:style w:type="paragraph" w:customStyle="1" w:styleId="Paratitle">
    <w:name w:val="Para title"/>
    <w:basedOn w:val="Normal"/>
    <w:rsid w:val="00B9490B"/>
    <w:pPr>
      <w:tabs>
        <w:tab w:val="center" w:pos="9270"/>
      </w:tabs>
      <w:spacing w:after="240"/>
    </w:pPr>
    <w:rPr>
      <w:spacing w:val="-2"/>
    </w:rPr>
  </w:style>
  <w:style w:type="paragraph" w:customStyle="1" w:styleId="Bullet">
    <w:name w:val="Bullet"/>
    <w:basedOn w:val="Normal"/>
    <w:rsid w:val="00B9490B"/>
    <w:pPr>
      <w:tabs>
        <w:tab w:val="left" w:pos="2160"/>
      </w:tabs>
      <w:spacing w:after="220"/>
      <w:ind w:left="2160" w:hanging="720"/>
    </w:pPr>
  </w:style>
  <w:style w:type="paragraph" w:customStyle="1" w:styleId="TableFormat">
    <w:name w:val="TableFormat"/>
    <w:basedOn w:val="Bullet"/>
    <w:rsid w:val="00B9490B"/>
    <w:pPr>
      <w:tabs>
        <w:tab w:val="clear" w:pos="2160"/>
        <w:tab w:val="left" w:pos="5040"/>
      </w:tabs>
      <w:ind w:left="5040" w:hanging="3600"/>
    </w:pPr>
  </w:style>
  <w:style w:type="paragraph" w:customStyle="1" w:styleId="TOCTitle">
    <w:name w:val="TOC Title"/>
    <w:basedOn w:val="Normal"/>
    <w:rsid w:val="00B9490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9490B"/>
    <w:pPr>
      <w:jc w:val="center"/>
    </w:pPr>
    <w:rPr>
      <w:rFonts w:ascii="Times New Roman Bold" w:hAnsi="Times New Roman Bold"/>
      <w:b/>
      <w:bCs/>
      <w:caps/>
      <w:szCs w:val="22"/>
    </w:rPr>
  </w:style>
  <w:style w:type="character" w:styleId="Hyperlink">
    <w:name w:val="Hyperlink"/>
    <w:rsid w:val="00B9490B"/>
    <w:rPr>
      <w:color w:val="0000FF"/>
      <w:u w:val="single"/>
    </w:rPr>
  </w:style>
  <w:style w:type="character" w:customStyle="1" w:styleId="FooterChar">
    <w:name w:val="Footer Char"/>
    <w:link w:val="Footer"/>
    <w:uiPriority w:val="99"/>
    <w:rsid w:val="00B9490B"/>
    <w:rPr>
      <w:snapToGrid w:val="0"/>
      <w:kern w:val="28"/>
      <w:sz w:val="22"/>
    </w:rPr>
  </w:style>
  <w:style w:type="paragraph" w:styleId="BalloonText">
    <w:name w:val="Balloon Text"/>
    <w:basedOn w:val="Normal"/>
    <w:link w:val="BalloonTextChar"/>
    <w:rsid w:val="007A5A3D"/>
    <w:rPr>
      <w:rFonts w:ascii="Segoe UI" w:hAnsi="Segoe UI" w:cs="Segoe UI"/>
      <w:sz w:val="18"/>
      <w:szCs w:val="18"/>
    </w:rPr>
  </w:style>
  <w:style w:type="character" w:customStyle="1" w:styleId="BalloonTextChar">
    <w:name w:val="Balloon Text Char"/>
    <w:basedOn w:val="DefaultParagraphFont"/>
    <w:link w:val="BalloonText"/>
    <w:rsid w:val="007A5A3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