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911268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FF6635" w14:textId="77777777">
      <w:pPr>
        <w:pStyle w:val="StyleBoldCentered"/>
      </w:pPr>
      <w:r>
        <w:t>F</w:t>
      </w:r>
      <w:r>
        <w:rPr>
          <w:caps w:val="0"/>
        </w:rPr>
        <w:t>ederal Communications Commission</w:t>
      </w:r>
    </w:p>
    <w:p w:rsidR="004C2EE3" w:rsidP="00096D8C" w14:paraId="3E00A0F9" w14:textId="77777777">
      <w:pPr>
        <w:pStyle w:val="StyleBoldCentered"/>
      </w:pPr>
      <w:r>
        <w:rPr>
          <w:caps w:val="0"/>
        </w:rPr>
        <w:t>Washington, D.C. 20554</w:t>
      </w:r>
    </w:p>
    <w:p w:rsidR="004C2EE3" w:rsidP="0070224F" w14:paraId="392C4042" w14:textId="77777777"/>
    <w:p w:rsidR="004C2EE3" w:rsidP="0070224F" w14:paraId="71A9FF9C" w14:textId="77777777"/>
    <w:tbl>
      <w:tblPr>
        <w:tblW w:w="0" w:type="auto"/>
        <w:tblLayout w:type="fixed"/>
        <w:tblLook w:val="0000"/>
      </w:tblPr>
      <w:tblGrid>
        <w:gridCol w:w="4698"/>
        <w:gridCol w:w="630"/>
        <w:gridCol w:w="4248"/>
      </w:tblGrid>
      <w:tr w14:paraId="21B313B3" w14:textId="77777777">
        <w:tblPrEx>
          <w:tblW w:w="0" w:type="auto"/>
          <w:tblLayout w:type="fixed"/>
          <w:tblLook w:val="0000"/>
        </w:tblPrEx>
        <w:tc>
          <w:tcPr>
            <w:tcW w:w="4698" w:type="dxa"/>
          </w:tcPr>
          <w:p w:rsidR="00413640" w14:paraId="2CD6AA81" w14:textId="77777777">
            <w:pPr>
              <w:tabs>
                <w:tab w:val="center" w:pos="4680"/>
              </w:tabs>
              <w:suppressAutoHyphens/>
              <w:rPr>
                <w:spacing w:val="-2"/>
              </w:rPr>
            </w:pPr>
          </w:p>
          <w:p w:rsidR="00413640" w14:paraId="414A0B9E" w14:textId="77777777">
            <w:pPr>
              <w:tabs>
                <w:tab w:val="center" w:pos="4680"/>
              </w:tabs>
              <w:suppressAutoHyphens/>
              <w:rPr>
                <w:spacing w:val="-2"/>
              </w:rPr>
            </w:pPr>
          </w:p>
          <w:p w:rsidR="004C2EE3" w14:paraId="21C0097F" w14:textId="4257E71D">
            <w:pPr>
              <w:tabs>
                <w:tab w:val="center" w:pos="4680"/>
              </w:tabs>
              <w:suppressAutoHyphens/>
              <w:rPr>
                <w:spacing w:val="-2"/>
              </w:rPr>
            </w:pPr>
            <w:r>
              <w:rPr>
                <w:spacing w:val="-2"/>
              </w:rPr>
              <w:t>In the Matter of</w:t>
            </w:r>
          </w:p>
          <w:p w:rsidR="004C2EE3" w14:paraId="5F39107F" w14:textId="77777777">
            <w:pPr>
              <w:tabs>
                <w:tab w:val="center" w:pos="4680"/>
              </w:tabs>
              <w:suppressAutoHyphens/>
              <w:rPr>
                <w:spacing w:val="-2"/>
              </w:rPr>
            </w:pPr>
          </w:p>
          <w:p w:rsidR="004C2EE3" w:rsidRPr="007115F7" w:rsidP="007115F7" w14:paraId="2B3ABD4B" w14:textId="127BB1FA">
            <w:pPr>
              <w:tabs>
                <w:tab w:val="center" w:pos="4680"/>
              </w:tabs>
              <w:suppressAutoHyphens/>
              <w:rPr>
                <w:spacing w:val="-2"/>
              </w:rPr>
            </w:pPr>
            <w:r>
              <w:rPr>
                <w:spacing w:val="-2"/>
              </w:rPr>
              <w:t>Allowing Earlier Equipment Marketing and Importation Opportunities</w:t>
            </w:r>
          </w:p>
        </w:tc>
        <w:tc>
          <w:tcPr>
            <w:tcW w:w="630" w:type="dxa"/>
          </w:tcPr>
          <w:p w:rsidR="004C2EE3" w14:paraId="077CA1F8" w14:textId="559B68DE">
            <w:pPr>
              <w:tabs>
                <w:tab w:val="center" w:pos="4680"/>
              </w:tabs>
              <w:suppressAutoHyphens/>
              <w:rPr>
                <w:b/>
                <w:spacing w:val="-2"/>
              </w:rPr>
            </w:pPr>
          </w:p>
          <w:p w:rsidR="004C2EE3" w14:paraId="535E51A7" w14:textId="7A6D372B">
            <w:pPr>
              <w:tabs>
                <w:tab w:val="center" w:pos="4680"/>
              </w:tabs>
              <w:suppressAutoHyphens/>
              <w:rPr>
                <w:b/>
                <w:spacing w:val="-2"/>
              </w:rPr>
            </w:pPr>
          </w:p>
          <w:p w:rsidR="004C2EE3" w14:paraId="646F5419" w14:textId="77777777">
            <w:pPr>
              <w:tabs>
                <w:tab w:val="center" w:pos="4680"/>
              </w:tabs>
              <w:suppressAutoHyphens/>
              <w:rPr>
                <w:b/>
                <w:spacing w:val="-2"/>
              </w:rPr>
            </w:pPr>
            <w:r>
              <w:rPr>
                <w:b/>
                <w:spacing w:val="-2"/>
              </w:rPr>
              <w:t>)</w:t>
            </w:r>
          </w:p>
          <w:p w:rsidR="004C2EE3" w14:paraId="1DFA3A85" w14:textId="77777777">
            <w:pPr>
              <w:tabs>
                <w:tab w:val="center" w:pos="4680"/>
              </w:tabs>
              <w:suppressAutoHyphens/>
              <w:rPr>
                <w:b/>
                <w:spacing w:val="-2"/>
              </w:rPr>
            </w:pPr>
            <w:r>
              <w:rPr>
                <w:b/>
                <w:spacing w:val="-2"/>
              </w:rPr>
              <w:t>)</w:t>
            </w:r>
          </w:p>
          <w:p w:rsidR="004C2EE3" w14:paraId="23A3C853" w14:textId="77777777">
            <w:pPr>
              <w:tabs>
                <w:tab w:val="center" w:pos="4680"/>
              </w:tabs>
              <w:suppressAutoHyphens/>
              <w:rPr>
                <w:b/>
                <w:spacing w:val="-2"/>
              </w:rPr>
            </w:pPr>
            <w:r>
              <w:rPr>
                <w:b/>
                <w:spacing w:val="-2"/>
              </w:rPr>
              <w:t>)</w:t>
            </w:r>
          </w:p>
          <w:p w:rsidR="004C2EE3" w:rsidRPr="007332B4" w14:paraId="15574789" w14:textId="28FC8453">
            <w:pPr>
              <w:tabs>
                <w:tab w:val="center" w:pos="4680"/>
              </w:tabs>
              <w:suppressAutoHyphens/>
              <w:rPr>
                <w:b/>
                <w:spacing w:val="-2"/>
              </w:rPr>
            </w:pPr>
            <w:r>
              <w:rPr>
                <w:b/>
                <w:spacing w:val="-2"/>
              </w:rPr>
              <w:t>)</w:t>
            </w:r>
          </w:p>
        </w:tc>
        <w:tc>
          <w:tcPr>
            <w:tcW w:w="4248" w:type="dxa"/>
          </w:tcPr>
          <w:p w:rsidR="004C2EE3" w14:paraId="5060184D" w14:textId="77777777">
            <w:pPr>
              <w:tabs>
                <w:tab w:val="center" w:pos="4680"/>
              </w:tabs>
              <w:suppressAutoHyphens/>
              <w:rPr>
                <w:spacing w:val="-2"/>
              </w:rPr>
            </w:pPr>
          </w:p>
          <w:p w:rsidR="004C2EE3" w14:paraId="11913165" w14:textId="77777777">
            <w:pPr>
              <w:pStyle w:val="TOAHeading"/>
              <w:tabs>
                <w:tab w:val="center" w:pos="4680"/>
                <w:tab w:val="clear" w:pos="9360"/>
              </w:tabs>
              <w:rPr>
                <w:spacing w:val="-2"/>
              </w:rPr>
            </w:pPr>
          </w:p>
          <w:p w:rsidR="00413640" w14:paraId="0425752A" w14:textId="77777777">
            <w:pPr>
              <w:tabs>
                <w:tab w:val="center" w:pos="4680"/>
              </w:tabs>
              <w:suppressAutoHyphens/>
              <w:rPr>
                <w:spacing w:val="-2"/>
              </w:rPr>
            </w:pPr>
          </w:p>
          <w:p w:rsidR="00413640" w14:paraId="78C0879E" w14:textId="77777777">
            <w:pPr>
              <w:tabs>
                <w:tab w:val="center" w:pos="4680"/>
              </w:tabs>
              <w:suppressAutoHyphens/>
              <w:rPr>
                <w:spacing w:val="-2"/>
              </w:rPr>
            </w:pPr>
          </w:p>
          <w:p w:rsidR="004C2EE3" w14:paraId="0A20A6FE" w14:textId="2C0C8E6C">
            <w:pPr>
              <w:tabs>
                <w:tab w:val="center" w:pos="4680"/>
              </w:tabs>
              <w:suppressAutoHyphens/>
              <w:rPr>
                <w:spacing w:val="-2"/>
              </w:rPr>
            </w:pPr>
            <w:r>
              <w:rPr>
                <w:spacing w:val="-2"/>
              </w:rPr>
              <w:t>ET Docket No. 20-382</w:t>
            </w:r>
          </w:p>
        </w:tc>
      </w:tr>
    </w:tbl>
    <w:p w:rsidR="004C2EE3" w:rsidP="0070224F" w14:paraId="6E07810F" w14:textId="77777777"/>
    <w:p w:rsidR="00841AB1" w:rsidP="00F021FA" w14:paraId="30EEFDC8" w14:textId="34D07A49">
      <w:pPr>
        <w:pStyle w:val="StyleBoldCentered"/>
      </w:pPr>
      <w:r>
        <w:t xml:space="preserve">Report and </w:t>
      </w:r>
      <w:r w:rsidRPr="00A51EC3" w:rsidR="00C90AC0">
        <w:t>Order</w:t>
      </w:r>
    </w:p>
    <w:p w:rsidR="004C2EE3" w14:paraId="5B8AB9B2" w14:textId="77777777">
      <w:pPr>
        <w:tabs>
          <w:tab w:val="left" w:pos="-720"/>
        </w:tabs>
        <w:suppressAutoHyphens/>
        <w:spacing w:line="227" w:lineRule="auto"/>
        <w:rPr>
          <w:spacing w:val="-2"/>
        </w:rPr>
      </w:pPr>
    </w:p>
    <w:p w:rsidR="007332B4" w:rsidP="007332B4" w14:paraId="4CF63881" w14:textId="6FA56D1B">
      <w:pPr>
        <w:tabs>
          <w:tab w:val="left" w:pos="720"/>
          <w:tab w:val="right" w:pos="9360"/>
        </w:tabs>
        <w:suppressAutoHyphens/>
        <w:spacing w:line="227" w:lineRule="auto"/>
        <w:rPr>
          <w:spacing w:val="-2"/>
        </w:rPr>
      </w:pPr>
      <w:r>
        <w:rPr>
          <w:b/>
          <w:spacing w:val="-2"/>
        </w:rPr>
        <w:t xml:space="preserve">Adopted: </w:t>
      </w:r>
      <w:r w:rsidR="00FB6C89">
        <w:rPr>
          <w:b/>
          <w:spacing w:val="-2"/>
        </w:rPr>
        <w:t>June 17, 2021</w:t>
      </w:r>
      <w:r>
        <w:rPr>
          <w:b/>
          <w:spacing w:val="-2"/>
        </w:rPr>
        <w:tab/>
        <w:t xml:space="preserve">Released: </w:t>
      </w:r>
      <w:r w:rsidR="00B320F8">
        <w:rPr>
          <w:b/>
          <w:spacing w:val="-2"/>
        </w:rPr>
        <w:t>June 17, 2021</w:t>
      </w:r>
    </w:p>
    <w:p w:rsidR="00822CE0" w14:paraId="2A559937" w14:textId="77777777"/>
    <w:p w:rsidR="004C2EE3" w14:paraId="30E3984A" w14:textId="2A8867FF">
      <w:pPr>
        <w:rPr>
          <w:spacing w:val="-2"/>
        </w:rPr>
      </w:pPr>
      <w:r>
        <w:t xml:space="preserve">By </w:t>
      </w:r>
      <w:r w:rsidR="004E4A22">
        <w:t>the</w:t>
      </w:r>
      <w:r w:rsidR="002A2D2E">
        <w:t xml:space="preserve"> </w:t>
      </w:r>
      <w:r w:rsidR="004226B2">
        <w:rPr>
          <w:spacing w:val="-2"/>
        </w:rPr>
        <w:t xml:space="preserve">Commission: </w:t>
      </w:r>
      <w:r w:rsidR="00084CED">
        <w:rPr>
          <w:spacing w:val="-2"/>
        </w:rPr>
        <w:t xml:space="preserve">Acting Chairwoman </w:t>
      </w:r>
      <w:r w:rsidR="00084CED">
        <w:rPr>
          <w:spacing w:val="-2"/>
        </w:rPr>
        <w:t>Rosenworcel</w:t>
      </w:r>
      <w:r w:rsidR="00084CED">
        <w:rPr>
          <w:spacing w:val="-2"/>
        </w:rPr>
        <w:t xml:space="preserve"> and Commissioner Starks issuing separate statements</w:t>
      </w:r>
      <w:r w:rsidR="000751C5">
        <w:rPr>
          <w:spacing w:val="-2"/>
        </w:rPr>
        <w:t>.</w:t>
      </w:r>
    </w:p>
    <w:p w:rsidR="00822CE0" w14:paraId="26562966" w14:textId="77777777">
      <w:pPr>
        <w:rPr>
          <w:spacing w:val="-2"/>
        </w:rPr>
      </w:pPr>
    </w:p>
    <w:p w:rsidR="004226B2" w:rsidRPr="00A51EC3" w:rsidP="004226B2" w14:paraId="527EF1B7" w14:textId="77777777">
      <w:pPr>
        <w:rPr>
          <w:spacing w:val="-2"/>
        </w:rPr>
      </w:pPr>
    </w:p>
    <w:p w:rsidR="004226B2" w:rsidRPr="00A51EC3" w:rsidP="004226B2" w14:paraId="6B0BD424" w14:textId="77777777">
      <w:pPr>
        <w:pStyle w:val="Heading1"/>
      </w:pPr>
      <w:bookmarkStart w:id="0" w:name="_Toc337037895"/>
      <w:bookmarkStart w:id="1" w:name="_Toc337038070"/>
      <w:bookmarkStart w:id="2" w:name="_Toc337038149"/>
      <w:bookmarkStart w:id="3" w:name="_Toc337040591"/>
      <w:bookmarkStart w:id="4" w:name="_Toc337040715"/>
      <w:bookmarkStart w:id="5" w:name="_Toc337040911"/>
      <w:bookmarkStart w:id="6" w:name="_Toc388552560"/>
      <w:bookmarkStart w:id="7" w:name="_Toc410997740"/>
      <w:bookmarkStart w:id="8" w:name="_Toc410997781"/>
      <w:bookmarkStart w:id="9" w:name="_Toc446680980"/>
      <w:bookmarkStart w:id="10" w:name="_Toc446681026"/>
      <w:bookmarkStart w:id="11" w:name="_Toc42767859"/>
      <w:bookmarkStart w:id="12" w:name="_Toc42768162"/>
      <w:bookmarkStart w:id="13" w:name="_Toc54164885"/>
      <w:r w:rsidRPr="00A51EC3">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rsidR="004226B2" w:rsidRPr="00A51EC3" w:rsidP="00150883" w14:paraId="3FD6610A" w14:textId="38578D42">
      <w:pPr>
        <w:pStyle w:val="ParaNum"/>
        <w:widowControl/>
      </w:pPr>
      <w:r w:rsidRPr="00814FAA">
        <w:t xml:space="preserve">In this Report and Order we adopt targeted enhancements that will modernize our marketing and importation rules to allow radiofrequency (RF) equipment manufacturers to better gauge consumer interest and prepare for new product launches.  These steps will further the communications sector’s ability to drive innovation </w:t>
      </w:r>
      <w:r w:rsidR="001726AC">
        <w:t xml:space="preserve">that will advance America’s global competitiveness </w:t>
      </w:r>
      <w:r w:rsidRPr="00814FAA">
        <w:t>and promote economic growth.  As product development cycles have accelerated, new marketplace models and assessment tools have emerged that rely on individual interest to fund products, optimize production, and match imports to anticipated sales.  The rules we are adopting will allow manufacturers to better use these tools to quickly deploy new technologies and devices to consumers while ensuring that communications equipment subject to equipment authorization continues to meet our stringent program requirements</w:t>
      </w:r>
      <w:r w:rsidRPr="00A51EC3">
        <w:t>.</w:t>
      </w:r>
      <w:r>
        <w:rPr>
          <w:rStyle w:val="FootnoteReference"/>
        </w:rPr>
        <w:footnoteReference w:id="3"/>
      </w:r>
    </w:p>
    <w:p w:rsidR="004226B2" w:rsidRPr="00A51EC3" w:rsidP="00B17EAC" w14:paraId="1E558F22" w14:textId="77777777">
      <w:pPr>
        <w:pStyle w:val="Heading1"/>
        <w:widowControl/>
      </w:pPr>
      <w:bookmarkStart w:id="14" w:name="_Toc337037896"/>
      <w:bookmarkStart w:id="15" w:name="_Toc337038071"/>
      <w:bookmarkStart w:id="16" w:name="_Toc337038150"/>
      <w:bookmarkStart w:id="17" w:name="_Toc337040592"/>
      <w:bookmarkStart w:id="18" w:name="_Toc337040716"/>
      <w:bookmarkStart w:id="19" w:name="_Toc337040912"/>
      <w:bookmarkStart w:id="20" w:name="_Toc388552561"/>
      <w:bookmarkStart w:id="21" w:name="_Toc410997741"/>
      <w:bookmarkStart w:id="22" w:name="_Toc410997782"/>
      <w:bookmarkStart w:id="23" w:name="_Toc446680981"/>
      <w:bookmarkStart w:id="24" w:name="_Toc446681027"/>
      <w:bookmarkStart w:id="25" w:name="_Toc42767860"/>
      <w:bookmarkStart w:id="26" w:name="_Toc42768163"/>
      <w:bookmarkStart w:id="27" w:name="_Toc54164886"/>
      <w:r>
        <w:t>B</w:t>
      </w:r>
      <w:r w:rsidRPr="00A51EC3">
        <w:t>ackground</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4226B2" w:rsidRPr="00A51EC3" w:rsidP="00150883" w14:paraId="5360BE4D" w14:textId="11D2FEE9">
      <w:pPr>
        <w:pStyle w:val="ParaNum"/>
        <w:widowControl/>
      </w:pPr>
      <w:bookmarkStart w:id="28" w:name="_Hlk68068463"/>
      <w:r w:rsidRPr="00233975">
        <w:t xml:space="preserve">The Commission’s rules generally require that RF devices may </w:t>
      </w:r>
      <w:bookmarkStart w:id="29" w:name="_Hlk72838926"/>
      <w:r w:rsidRPr="00233975">
        <w:t xml:space="preserve">be marketed within or imported to the United States only </w:t>
      </w:r>
      <w:bookmarkEnd w:id="29"/>
      <w:r w:rsidRPr="00233975">
        <w:t>after they have been subjected to the appropriate equipment authorization procedure</w:t>
      </w:r>
      <w:r>
        <w:rPr>
          <w:vertAlign w:val="superscript"/>
        </w:rPr>
        <w:footnoteReference w:id="4"/>
      </w:r>
      <w:r w:rsidRPr="00A51EC3">
        <w:t>—certification or supplier’s declaration of conformity (</w:t>
      </w:r>
      <w:r w:rsidRPr="00A51EC3">
        <w:t>SDoC</w:t>
      </w:r>
      <w:r w:rsidRPr="00A51EC3">
        <w:t>).  These procedures require, among other things, that RF devices are tested to show compliance with the Commission’s rules and technical standards.</w:t>
      </w:r>
      <w:r>
        <w:rPr>
          <w:vertAlign w:val="superscript"/>
        </w:rPr>
        <w:footnoteReference w:id="5"/>
      </w:r>
      <w:r w:rsidRPr="00A51EC3">
        <w:t xml:space="preserve">  Currently our rules include some exceptions that provide </w:t>
      </w:r>
      <w:r w:rsidRPr="00A51EC3">
        <w:t>for limited marketing and importation of RF devices that have not yet been subject to a complete equipment authorization process.  For example, some marketing prior to equipment authorization is permitted in the form of conditional sales contracts between manufacturers and retailers of RF devices; and</w:t>
      </w:r>
      <w:r w:rsidR="004769EB">
        <w:t>,</w:t>
      </w:r>
      <w:r w:rsidRPr="00A51EC3">
        <w:t xml:space="preserve"> in the early stages of the production process, such devices may be marketed to business, commercial, industrial, scientific, or medical users.</w:t>
      </w:r>
      <w:r w:rsidRPr="003F1D6A" w:rsidR="003F1D6A">
        <w:rPr>
          <w:sz w:val="20"/>
          <w:vertAlign w:val="superscript"/>
        </w:rPr>
        <w:t xml:space="preserve"> </w:t>
      </w:r>
      <w:r>
        <w:rPr>
          <w:vertAlign w:val="superscript"/>
        </w:rPr>
        <w:footnoteReference w:id="6"/>
      </w:r>
      <w:r w:rsidRPr="00A51EC3">
        <w:t xml:space="preserve">  In both instances, marketing to the general public is not permitted and the devices may not be delivered prior to equipment authorization.</w:t>
      </w:r>
      <w:r>
        <w:rPr>
          <w:vertAlign w:val="superscript"/>
        </w:rPr>
        <w:footnoteReference w:id="7"/>
      </w:r>
      <w:r w:rsidRPr="00A51EC3">
        <w:t xml:space="preserve">  Similarly, limited quantities of unauthorized devices may be imported, but not marketed, for testing, demonstration, or personal use.</w:t>
      </w:r>
      <w:r>
        <w:rPr>
          <w:rStyle w:val="FootnoteReference"/>
        </w:rPr>
        <w:footnoteReference w:id="8"/>
      </w:r>
    </w:p>
    <w:bookmarkEnd w:id="28"/>
    <w:p w:rsidR="004226B2" w:rsidRPr="00A51EC3" w:rsidP="00150883" w14:paraId="41717D98" w14:textId="5785DC16">
      <w:pPr>
        <w:pStyle w:val="ParaNum"/>
        <w:widowControl/>
      </w:pPr>
      <w:r w:rsidRPr="00A51EC3">
        <w:t>In June 2020, the Consumer Technology Association (CTA) filed a petition seeking to modify the rules pertaining to RF device marketing and importation.</w:t>
      </w:r>
      <w:r>
        <w:rPr>
          <w:iCs/>
          <w:vertAlign w:val="superscript"/>
        </w:rPr>
        <w:footnoteReference w:id="9"/>
      </w:r>
      <w:r w:rsidRPr="00A51EC3">
        <w:t xml:space="preserve">  CTA asserted that our current equipment authorization rules can slow the process of developing and deploying new products and services, and it proposed </w:t>
      </w:r>
      <w:r w:rsidRPr="00A73C9F" w:rsidR="00A73C9F">
        <w:t xml:space="preserve">rule revisions targeting </w:t>
      </w:r>
      <w:r w:rsidRPr="00A51EC3">
        <w:t>the prohibition on conditional sales to consumers and the limited ability to import devices prior to authorization.</w:t>
      </w:r>
      <w:r>
        <w:rPr>
          <w:vertAlign w:val="superscript"/>
        </w:rPr>
        <w:footnoteReference w:id="10"/>
      </w:r>
      <w:r w:rsidRPr="00A51EC3">
        <w:t xml:space="preserve">  In December 2020, after considering the petition, and the general support expressed in the associated record,</w:t>
      </w:r>
      <w:r>
        <w:rPr>
          <w:vertAlign w:val="superscript"/>
        </w:rPr>
        <w:footnoteReference w:id="11"/>
      </w:r>
      <w:r w:rsidRPr="00A51EC3">
        <w:t xml:space="preserve"> the Commission initiated this proceeding, in which it proposed changes to its equipment marketing and importation rules that were informed to a large extent by the CTA Petition.</w:t>
      </w:r>
      <w:r>
        <w:rPr>
          <w:rStyle w:val="FootnoteReference"/>
        </w:rPr>
        <w:footnoteReference w:id="12"/>
      </w:r>
    </w:p>
    <w:p w:rsidR="004226B2" w:rsidRPr="00A51EC3" w:rsidP="00150883" w14:paraId="39EC0018" w14:textId="490262A7">
      <w:pPr>
        <w:pStyle w:val="ParaNum"/>
        <w:widowControl/>
      </w:pPr>
      <w:r w:rsidRPr="00A51EC3">
        <w:t xml:space="preserve">In the </w:t>
      </w:r>
      <w:r w:rsidRPr="00A51EC3">
        <w:rPr>
          <w:i/>
          <w:iCs/>
        </w:rPr>
        <w:t xml:space="preserve">NPRM, </w:t>
      </w:r>
      <w:r w:rsidRPr="00A51EC3">
        <w:t>the Commission proposed to broaden the existing conditional sales contract marketing exception beyond the limitation of “retailers and wholesalers.”</w:t>
      </w:r>
      <w:r>
        <w:rPr>
          <w:vertAlign w:val="superscript"/>
        </w:rPr>
        <w:footnoteReference w:id="13"/>
      </w:r>
      <w:r w:rsidRPr="00A51EC3">
        <w:t xml:space="preserve">  The Commission acknowledged that new sales models increasingly involve online marketplaces that provide product developers and manufacturers direct access to consumers, thus involving customers in the product development process to a greater extent than before.</w:t>
      </w:r>
      <w:r>
        <w:rPr>
          <w:vertAlign w:val="superscript"/>
        </w:rPr>
        <w:footnoteReference w:id="14"/>
      </w:r>
      <w:r w:rsidRPr="00A51EC3">
        <w:t xml:space="preserve">  As a result, device developers are provided with investment and incentive to produce innovative products and consumers benefit by seeing new products and features rolled out in a much shorter timeframe.  While the Commission proposed the new marketing rule to allow manufacturers to better leverage this new development paradigm, it nonetheless recognized the continued importance of keeping unauthorized RF devices from becoming available, and it proposed that, even under the new rule, delivery or physical transfer of devices to consumers prior to equipment authorization would still be prohibited.</w:t>
      </w:r>
      <w:r>
        <w:rPr>
          <w:rStyle w:val="FootnoteReference"/>
        </w:rPr>
        <w:footnoteReference w:id="15"/>
      </w:r>
    </w:p>
    <w:p w:rsidR="004226B2" w:rsidRPr="00A51EC3" w:rsidP="00150883" w14:paraId="2DCC6453" w14:textId="7B8F82BF">
      <w:pPr>
        <w:pStyle w:val="ParaNum"/>
        <w:widowControl/>
      </w:pPr>
      <w:r w:rsidRPr="00A51EC3">
        <w:t xml:space="preserve">In addition, acknowledging industry’s desire to speed the launch of new products to keep pace with the increasingly compressed innovation cycle, the Commission also proposed to broaden the </w:t>
      </w:r>
      <w:r w:rsidRPr="00A51EC3">
        <w:t>conditions under which RF devices can be imported prior to equipment authorization.</w:t>
      </w:r>
      <w:r>
        <w:rPr>
          <w:vertAlign w:val="superscript"/>
        </w:rPr>
        <w:footnoteReference w:id="16"/>
      </w:r>
      <w:r w:rsidRPr="00A51EC3">
        <w:t xml:space="preserve">  The Commission proposed to allow up to 4,000 RF devices to be imported prior to equipment authorization for the purposes of certain pre-sale activities, such as packaging and physical transfer to retail locations.</w:t>
      </w:r>
      <w:r>
        <w:rPr>
          <w:vertAlign w:val="superscript"/>
        </w:rPr>
        <w:footnoteReference w:id="17"/>
      </w:r>
      <w:r w:rsidRPr="00A51EC3">
        <w:t xml:space="preserve">  </w:t>
      </w:r>
      <w:r w:rsidRPr="00C52A57" w:rsidR="00C52A57">
        <w:t>Under this proposal</w:t>
      </w:r>
      <w:r w:rsidRPr="00A51EC3">
        <w:t>, the RF devices could not be displayed to consumers prior to equipment authorization and the party responsible for importation would be required to take steps to ensure that appropriate device control is maintained until authorization is obtained.</w:t>
      </w:r>
      <w:r>
        <w:rPr>
          <w:rStyle w:val="FootnoteReference"/>
        </w:rPr>
        <w:footnoteReference w:id="18"/>
      </w:r>
    </w:p>
    <w:p w:rsidR="004226B2" w:rsidRPr="00A51EC3" w:rsidP="00150883" w14:paraId="15318232" w14:textId="77777777">
      <w:pPr>
        <w:pStyle w:val="ParaNum"/>
        <w:widowControl/>
      </w:pPr>
      <w:r w:rsidRPr="00A51EC3">
        <w:t xml:space="preserve">Sixteen comments and one reply comment were filed in response to the </w:t>
      </w:r>
      <w:r w:rsidRPr="00A51EC3">
        <w:rPr>
          <w:i/>
          <w:iCs/>
        </w:rPr>
        <w:t>NPRM</w:t>
      </w:r>
      <w:r w:rsidRPr="00A51EC3">
        <w:t>.  While some commenters suggest modifications to the Commission’s proposals, all filers are generally supportive of the overall marketing and importation proposals.</w:t>
      </w:r>
    </w:p>
    <w:p w:rsidR="004226B2" w:rsidRPr="00A51EC3" w:rsidP="00B17EAC" w14:paraId="275C7AED" w14:textId="77777777">
      <w:pPr>
        <w:pStyle w:val="Heading1"/>
        <w:widowControl/>
      </w:pPr>
      <w:bookmarkStart w:id="31" w:name="_Toc54164887"/>
      <w:bookmarkStart w:id="32" w:name="_Toc337037905"/>
      <w:bookmarkStart w:id="33" w:name="_Toc337038080"/>
      <w:bookmarkStart w:id="34" w:name="_Toc337038159"/>
      <w:bookmarkStart w:id="35" w:name="_Toc337040601"/>
      <w:bookmarkStart w:id="36" w:name="_Toc337040725"/>
      <w:bookmarkStart w:id="37" w:name="_Toc337040921"/>
      <w:bookmarkStart w:id="38" w:name="_Toc388552568"/>
      <w:bookmarkStart w:id="39" w:name="_Toc410997747"/>
      <w:bookmarkStart w:id="40" w:name="_Toc410997790"/>
      <w:bookmarkStart w:id="41" w:name="_Toc446680987"/>
      <w:bookmarkStart w:id="42" w:name="_Toc446681035"/>
      <w:bookmarkStart w:id="43" w:name="_Toc42767863"/>
      <w:bookmarkStart w:id="44" w:name="_Toc42768165"/>
      <w:r>
        <w:t>D</w:t>
      </w:r>
      <w:r w:rsidRPr="00A51EC3">
        <w:t>iscussion</w:t>
      </w:r>
      <w:bookmarkEnd w:id="31"/>
    </w:p>
    <w:p w:rsidR="004226B2" w:rsidRPr="00A51EC3" w:rsidP="00150883" w14:paraId="21E4A9DF" w14:textId="4B97D0AC">
      <w:pPr>
        <w:pStyle w:val="ParaNum"/>
        <w:widowControl/>
      </w:pPr>
      <w:bookmarkStart w:id="45" w:name="_Toc54164888"/>
      <w:r w:rsidRPr="00A51EC3">
        <w:t xml:space="preserve">We recognize that, in some instances, </w:t>
      </w:r>
      <w:r w:rsidRPr="00252239" w:rsidR="00252239">
        <w:t xml:space="preserve">developments in the modern device marketplace have outpaced those in </w:t>
      </w:r>
      <w:r w:rsidRPr="00A51EC3">
        <w:t xml:space="preserve">our equipment authorization </w:t>
      </w:r>
      <w:r w:rsidRPr="00252239" w:rsidR="00252239">
        <w:t>regime</w:t>
      </w:r>
      <w:r w:rsidRPr="00A51EC3">
        <w:t xml:space="preserve">.  </w:t>
      </w:r>
      <w:r w:rsidRPr="00252239" w:rsidR="00252239">
        <w:t>As a result</w:t>
      </w:r>
      <w:r w:rsidRPr="00A51EC3">
        <w:t xml:space="preserve">, our rules </w:t>
      </w:r>
      <w:r w:rsidRPr="00252239" w:rsidR="00252239">
        <w:t xml:space="preserve">may </w:t>
      </w:r>
      <w:r w:rsidRPr="00A51EC3">
        <w:t xml:space="preserve">limit the ability to market and import RF devices in </w:t>
      </w:r>
      <w:r w:rsidRPr="00252239" w:rsidR="00252239">
        <w:t xml:space="preserve">new </w:t>
      </w:r>
      <w:r w:rsidRPr="00A51EC3">
        <w:t xml:space="preserve">efficient and cost-effective ways.  We therefore take this opportunity to adopt the rule changes proposed in the </w:t>
      </w:r>
      <w:r w:rsidRPr="00A51EC3">
        <w:rPr>
          <w:i/>
          <w:iCs/>
        </w:rPr>
        <w:t>NPRM</w:t>
      </w:r>
      <w:r w:rsidRPr="00A51EC3">
        <w:t xml:space="preserve">, with clarifying revisions, which will provide additional options for taking advantage of modern product development practices while ensuring against the use of unauthorized RF devices.  Accordingly, we modify our rules to include an additional option that will allow for more importation of RF devices prior to equipment authorization.  Further, we modify our rules to allow conditional sales of RF devices prior to authorization, subject to certain </w:t>
      </w:r>
      <w:r w:rsidR="00E237F0">
        <w:t>requirements</w:t>
      </w:r>
      <w:r w:rsidRPr="00A51EC3">
        <w:t xml:space="preserve">.  In both instances, we are adopting rules that are crafted in a manner </w:t>
      </w:r>
      <w:r w:rsidRPr="00252239" w:rsidR="00252239">
        <w:t>to</w:t>
      </w:r>
      <w:r w:rsidRPr="00A51EC3">
        <w:t xml:space="preserve"> not undermine our equipment authorization program </w:t>
      </w:r>
      <w:r w:rsidRPr="00252239" w:rsidR="00252239">
        <w:t>by continuing</w:t>
      </w:r>
      <w:r w:rsidRPr="00A51EC3">
        <w:t xml:space="preserve"> to </w:t>
      </w:r>
      <w:r w:rsidRPr="00252239" w:rsidR="00252239">
        <w:t xml:space="preserve">prevent </w:t>
      </w:r>
      <w:r w:rsidRPr="00A51EC3">
        <w:t>end users from having access to unauthorized RF devices.  We also make targeted changes to our proposals to clarify our intent regarding the interaction between the revised marketing and importation rules.  These changes eliminate a potential conflict between the proposed importation and marketing provisions, whereby imported and domestically</w:t>
      </w:r>
      <w:r w:rsidRPr="00252239" w:rsidR="00252239">
        <w:t>-</w:t>
      </w:r>
      <w:r w:rsidRPr="00A51EC3">
        <w:t xml:space="preserve">produced devices could be subject to disparate requirements.  The rules we are adopting remove this disparity and provide more consistent treatment by permitting similar opportunities prior to equipment authorization regardless of the device’s </w:t>
      </w:r>
      <w:r w:rsidR="00A35AF7">
        <w:t xml:space="preserve">country of </w:t>
      </w:r>
      <w:r w:rsidRPr="00A51EC3">
        <w:t>origin.</w:t>
      </w:r>
    </w:p>
    <w:p w:rsidR="004226B2" w:rsidRPr="00A51EC3" w:rsidP="00150883" w14:paraId="5C558655" w14:textId="53A0A671">
      <w:pPr>
        <w:pStyle w:val="ParaNum"/>
        <w:widowControl/>
      </w:pPr>
      <w:r w:rsidRPr="00A51EC3">
        <w:t xml:space="preserve">In summary, we are adopting a new condition under section 2.1204 and a </w:t>
      </w:r>
      <w:r w:rsidR="0067230E">
        <w:t>revised</w:t>
      </w:r>
      <w:r w:rsidRPr="00A51EC3">
        <w:t xml:space="preserve"> exception </w:t>
      </w:r>
      <w:r w:rsidR="008B4E63">
        <w:t>under</w:t>
      </w:r>
      <w:r w:rsidRPr="00A51EC3">
        <w:t xml:space="preserve"> section 2.803 </w:t>
      </w:r>
      <w:r w:rsidRPr="001B69F1" w:rsidR="001B69F1">
        <w:t xml:space="preserve">of our rules </w:t>
      </w:r>
      <w:r w:rsidRPr="00A51EC3">
        <w:t xml:space="preserve">to allow the importation and marketing of certain RF devices, under specified constraints, prior to equipment authorization.  In general, we are allowing the importation of a maximum of 12,000 RF devices for pre-sale activity if those devices: </w:t>
      </w:r>
      <w:r w:rsidRPr="001B69F1" w:rsidR="001B69F1">
        <w:t xml:space="preserve">(1) </w:t>
      </w:r>
      <w:r w:rsidRPr="00A51EC3">
        <w:t xml:space="preserve">are subject to a certification application that has been submitted to a </w:t>
      </w:r>
      <w:r w:rsidRPr="00B23CB7" w:rsidR="00B23CB7">
        <w:t>Telecommunication Certification Body (TCB)</w:t>
      </w:r>
      <w:r w:rsidRPr="00A51EC3">
        <w:t xml:space="preserve">; </w:t>
      </w:r>
      <w:r w:rsidRPr="001B69F1" w:rsidR="001B69F1">
        <w:t xml:space="preserve">(2) </w:t>
      </w:r>
      <w:r w:rsidRPr="00A51EC3">
        <w:t>include an externally-visible temporary label prohibiting display to consumers, operation, and delivery of the device prior to the grant of certification; and</w:t>
      </w:r>
      <w:r w:rsidRPr="001B69F1" w:rsidR="001B69F1">
        <w:t>, (3)</w:t>
      </w:r>
      <w:r w:rsidRPr="00A51EC3">
        <w:t xml:space="preserve"> remain under legal ownership of the device manufacturer, developer, importer or ultimate consignee, or their designated customs broker (who has a device retrieval process in place).  Further, we are revising an existing exception in our rules</w:t>
      </w:r>
      <w:r>
        <w:rPr>
          <w:vertAlign w:val="superscript"/>
        </w:rPr>
        <w:footnoteReference w:id="19"/>
      </w:r>
      <w:r w:rsidRPr="00A51EC3">
        <w:t xml:space="preserve"> </w:t>
      </w:r>
      <w:r w:rsidR="00F121EC">
        <w:t>to expand</w:t>
      </w:r>
      <w:r w:rsidRPr="00A51EC3">
        <w:t xml:space="preserve"> </w:t>
      </w:r>
      <w:r w:rsidR="00182E75">
        <w:t xml:space="preserve">to consumers </w:t>
      </w:r>
      <w:r w:rsidR="00C53A02">
        <w:t>the</w:t>
      </w:r>
      <w:r w:rsidRPr="00A51EC3">
        <w:t xml:space="preserve"> limited marketing </w:t>
      </w:r>
      <w:r w:rsidR="00182E75">
        <w:t xml:space="preserve">and conditional sales </w:t>
      </w:r>
      <w:r w:rsidRPr="00A51EC3">
        <w:t xml:space="preserve">of </w:t>
      </w:r>
      <w:r w:rsidR="00182E75">
        <w:t>certain</w:t>
      </w:r>
      <w:r w:rsidRPr="00A51EC3">
        <w:t xml:space="preserve"> RF devices prior to equipment authorization.  </w:t>
      </w:r>
      <w:r w:rsidRPr="00547A2E" w:rsidR="00657DC3">
        <w:t>Th</w:t>
      </w:r>
      <w:r w:rsidR="00657DC3">
        <w:t>e existing</w:t>
      </w:r>
      <w:r w:rsidRPr="00A51EC3">
        <w:t xml:space="preserve"> exception generally allows conditional sales contracts</w:t>
      </w:r>
      <w:r w:rsidRPr="00547A2E" w:rsidR="00547A2E">
        <w:t xml:space="preserve"> </w:t>
      </w:r>
      <w:r w:rsidR="00DB17C4">
        <w:t xml:space="preserve">between </w:t>
      </w:r>
      <w:r w:rsidR="00915AD1">
        <w:t>manufacturers and wholesalers or retailers</w:t>
      </w:r>
      <w:r w:rsidRPr="00A51EC3">
        <w:t xml:space="preserve"> </w:t>
      </w:r>
      <w:r w:rsidR="00946ECE">
        <w:t>provided that delivery is made contingent upon compliance with the applicable equipment authorization and technical requirements.</w:t>
      </w:r>
      <w:r>
        <w:rPr>
          <w:rStyle w:val="FootnoteReference"/>
        </w:rPr>
        <w:footnoteReference w:id="20"/>
      </w:r>
      <w:r w:rsidR="00946ECE">
        <w:t xml:space="preserve">  </w:t>
      </w:r>
      <w:r w:rsidR="001050FF">
        <w:t xml:space="preserve">Our revisions to this condition </w:t>
      </w:r>
      <w:r w:rsidR="00FE2B29">
        <w:t xml:space="preserve">expand </w:t>
      </w:r>
      <w:r w:rsidR="00D426F5">
        <w:t>conditional sales</w:t>
      </w:r>
      <w:r w:rsidR="006A6BB6">
        <w:t xml:space="preserve">, </w:t>
      </w:r>
      <w:r w:rsidRPr="00547A2E" w:rsidR="006A6BB6">
        <w:t xml:space="preserve">and advertisements for such sales, </w:t>
      </w:r>
      <w:r w:rsidR="00D426F5">
        <w:t xml:space="preserve"> to include other entities, including consumers</w:t>
      </w:r>
      <w:r w:rsidR="006A6BB6">
        <w:t xml:space="preserve">, </w:t>
      </w:r>
      <w:r w:rsidRPr="00A51EC3">
        <w:t xml:space="preserve">provided that the prospective buyer is advised at the time of marketing that delivery of the device is conditional </w:t>
      </w:r>
      <w:r w:rsidRPr="00A51EC3" w:rsidR="00194492">
        <w:t>upon successful completion of the applicable equipment authorization process.  All devices must remain under the legal ownership of the initiating party (</w:t>
      </w:r>
      <w:r w:rsidRPr="00A51EC3" w:rsidR="00194492">
        <w:rPr>
          <w:i/>
        </w:rPr>
        <w:t>i.e</w:t>
      </w:r>
      <w:r w:rsidRPr="00A51EC3" w:rsidR="00194492">
        <w:t xml:space="preserve">., the manufacturer or developer), but physical transfer may </w:t>
      </w:r>
      <w:r w:rsidRPr="00A51EC3" w:rsidR="00194492">
        <w:t xml:space="preserve">be permissible depending on the </w:t>
      </w:r>
      <w:r w:rsidR="00036731">
        <w:t xml:space="preserve">applicable </w:t>
      </w:r>
      <w:r w:rsidRPr="00A51EC3" w:rsidR="00194492">
        <w:t>device</w:t>
      </w:r>
      <w:r w:rsidR="00036731">
        <w:t xml:space="preserve"> authorization requir</w:t>
      </w:r>
      <w:r w:rsidR="002E73A8">
        <w:t>e</w:t>
      </w:r>
      <w:r w:rsidR="00036731">
        <w:t>ment</w:t>
      </w:r>
      <w:r w:rsidRPr="00A51EC3" w:rsidR="00194492">
        <w:t xml:space="preserve">.  Physical transfer is prohibited for devices subject to the Supplier’s Declaration of Conformity equipment authorization process.  Devices subject to certification </w:t>
      </w:r>
      <w:r w:rsidRPr="00A51EC3">
        <w:t xml:space="preserve">can be physically transferred </w:t>
      </w:r>
      <w:r w:rsidRPr="001C6710">
        <w:t xml:space="preserve">to contracting parties, other than the </w:t>
      </w:r>
      <w:r w:rsidRPr="00967AD8" w:rsidR="009A1B16">
        <w:t>end</w:t>
      </w:r>
      <w:r w:rsidRPr="001C6710" w:rsidR="009A1B16">
        <w:t xml:space="preserve"> </w:t>
      </w:r>
      <w:r w:rsidRPr="001C6710">
        <w:t>user,</w:t>
      </w:r>
      <w:r w:rsidRPr="00A51EC3">
        <w:t xml:space="preserve"> for pre-sale activity if the devices include a temporary label and the initiating party has retrieval processes in place.  We also adopt the proposed revision to section 95.391, which prohibits the manufacturing, importation, and sales of non-certified equipment for the Personal Radio Services, to reflect the marketing exception we adopt and add an additional reference to reflect the import condition we adopt.</w:t>
      </w:r>
      <w:r>
        <w:rPr>
          <w:rStyle w:val="FootnoteReference"/>
        </w:rPr>
        <w:footnoteReference w:id="21"/>
      </w:r>
    </w:p>
    <w:bookmarkEnd w:id="45"/>
    <w:p w:rsidR="004226B2" w:rsidRPr="00A51EC3" w:rsidP="009C7B73" w14:paraId="580F5F2B" w14:textId="77777777">
      <w:pPr>
        <w:pStyle w:val="Heading2"/>
      </w:pPr>
      <w:r w:rsidRPr="009C7B73">
        <w:t>Importation</w:t>
      </w:r>
      <w:r w:rsidRPr="00A51EC3">
        <w:t xml:space="preserve"> of RF Devices </w:t>
      </w:r>
      <w:r w:rsidRPr="009C7B73">
        <w:t>Prior</w:t>
      </w:r>
      <w:r w:rsidRPr="00A51EC3">
        <w:t xml:space="preserve"> to Equipment Authorization</w:t>
      </w:r>
    </w:p>
    <w:p w:rsidR="004226B2" w:rsidRPr="00A51EC3" w:rsidP="00150883" w14:paraId="60C2CADD" w14:textId="70D42FEE">
      <w:pPr>
        <w:pStyle w:val="ParaNum"/>
        <w:widowControl/>
      </w:pPr>
      <w:r w:rsidRPr="00A51EC3">
        <w:t>We are adopting the proposal to modernize our rules to allow a limited number of RF devices to be imported into the United States prior to equipment authorization for pre-sale activities, including packaging and transferring physical possession to retail locations, if those devices are subject to equipment authorization via the certification process.  The rule we adopt adds a new condition to section 2.1204 of the Commission’s rules to allow the importation of up to 12,000 RF devices for pre-sale activity before the equipment successfully completes certification.</w:t>
      </w:r>
      <w:r>
        <w:rPr>
          <w:rStyle w:val="FootnoteReference"/>
        </w:rPr>
        <w:footnoteReference w:id="22"/>
      </w:r>
      <w:r w:rsidRPr="00A51EC3">
        <w:t xml:space="preserve">  The imported devices must be subject to the equipment authorization certification process (</w:t>
      </w:r>
      <w:r w:rsidRPr="00A51EC3">
        <w:rPr>
          <w:i/>
        </w:rPr>
        <w:t>i.e</w:t>
      </w:r>
      <w:r w:rsidRPr="00A51EC3">
        <w:t>., excluding devices subject to Supplier’s Declaration of Conformity process) for which an application has been submitted to a TCB.  As noted above, the imported devices must include an externally-visible temporary label noting the prohibition of display to consumers, operation, and delivery of the device prior to the issuance of certification</w:t>
      </w:r>
      <w:r w:rsidR="009373E5">
        <w:t xml:space="preserve">.  </w:t>
      </w:r>
      <w:r w:rsidR="002476B6">
        <w:t>The devices</w:t>
      </w:r>
      <w:r w:rsidR="009373E5">
        <w:t xml:space="preserve"> must</w:t>
      </w:r>
      <w:r w:rsidR="002476B6">
        <w:t xml:space="preserve"> also</w:t>
      </w:r>
      <w:r w:rsidRPr="00A51EC3">
        <w:t xml:space="preserve"> remain under legal ownership of the device manufacturer, developer, importer or ultimate consignee, or their designated customs broker, who must have in place a device retrieval process to be implemented in the event that the certification process is not successfully completed.  We believe this action will allow device manufacturers to better prepare for new product launches while guarding against a proliferation of unauthorized and non-compliant devices that might increase the risk of causing harm to consumers or other radio operations.</w:t>
      </w:r>
    </w:p>
    <w:p w:rsidR="004226B2" w:rsidRPr="00A51EC3" w:rsidP="00150883" w14:paraId="2BED5CC0" w14:textId="173FA59E">
      <w:pPr>
        <w:pStyle w:val="ParaNum"/>
        <w:widowControl/>
      </w:pPr>
      <w:r w:rsidRPr="00A51EC3">
        <w:t>The rule proposed by the Commission in the</w:t>
      </w:r>
      <w:r w:rsidRPr="00A51EC3">
        <w:rPr>
          <w:i/>
          <w:iCs/>
        </w:rPr>
        <w:t xml:space="preserve"> NPRM</w:t>
      </w:r>
      <w:r w:rsidRPr="00A51EC3">
        <w:t xml:space="preserve"> largely reflected the proposal made by CTA in its petition.</w:t>
      </w:r>
      <w:r>
        <w:rPr>
          <w:rStyle w:val="FootnoteReference"/>
        </w:rPr>
        <w:footnoteReference w:id="23"/>
      </w:r>
      <w:r w:rsidRPr="00A51EC3">
        <w:t xml:space="preserve">  </w:t>
      </w:r>
      <w:r w:rsidR="008C67F9">
        <w:t xml:space="preserve">The Commission </w:t>
      </w:r>
      <w:r w:rsidRPr="00A51EC3">
        <w:t>proposed to allow up to 4,000 RF devices to be imported for pre-sale activities prior to being certified.</w:t>
      </w:r>
      <w:r>
        <w:rPr>
          <w:rStyle w:val="FootnoteReference"/>
        </w:rPr>
        <w:footnoteReference w:id="24"/>
      </w:r>
      <w:r w:rsidRPr="00A51EC3">
        <w:t xml:space="preserve">  In this case, such pre-sale activities would include imaging,</w:t>
      </w:r>
      <w:r>
        <w:rPr>
          <w:rStyle w:val="FootnoteReference"/>
        </w:rPr>
        <w:footnoteReference w:id="25"/>
      </w:r>
      <w:r w:rsidRPr="00A51EC3">
        <w:t xml:space="preserve"> packaging,</w:t>
      </w:r>
      <w:r>
        <w:rPr>
          <w:rStyle w:val="FootnoteReference"/>
        </w:rPr>
        <w:footnoteReference w:id="26"/>
      </w:r>
      <w:r w:rsidRPr="00A51EC3">
        <w:t xml:space="preserve"> and delivery of devices to retail locations, but “exclude the displaying of the device to consumers prior to equipment authorization.”</w:t>
      </w:r>
      <w:r>
        <w:rPr>
          <w:rStyle w:val="FootnoteReference"/>
        </w:rPr>
        <w:footnoteReference w:id="27"/>
      </w:r>
      <w:r w:rsidRPr="00A51EC3">
        <w:t xml:space="preserve">  Under </w:t>
      </w:r>
      <w:r w:rsidR="00EA6094">
        <w:t>the</w:t>
      </w:r>
      <w:r w:rsidRPr="00A51EC3">
        <w:t xml:space="preserve"> proposal, limited importation could occur if the manufacturer has a reasonable belief that the device would receive authorization within thirty days of importation.  Additionally, </w:t>
      </w:r>
      <w:r w:rsidR="00E768FA">
        <w:t xml:space="preserve">the Commission </w:t>
      </w:r>
      <w:r w:rsidRPr="00A51EC3">
        <w:t xml:space="preserve">proposed that the device include a temporary label regarding </w:t>
      </w:r>
      <w:r w:rsidR="00067C21">
        <w:t xml:space="preserve">related compliance </w:t>
      </w:r>
      <w:r w:rsidRPr="00A51EC3">
        <w:t>restrictions and the manufacturer would be required to maintain legal ownership of the devices, even after delivery to retail locations, until authorization is received, and have a process in place to retrieve the devices in the event that authorization is not obtained.</w:t>
      </w:r>
      <w:r>
        <w:rPr>
          <w:rStyle w:val="FootnoteReference"/>
        </w:rPr>
        <w:footnoteReference w:id="28"/>
      </w:r>
    </w:p>
    <w:p w:rsidR="004226B2" w:rsidRPr="00A51EC3" w:rsidP="00150883" w14:paraId="4C0BEAC5" w14:textId="7FC1497B">
      <w:pPr>
        <w:pStyle w:val="ParaNum"/>
        <w:widowControl/>
      </w:pPr>
      <w:r w:rsidRPr="00A51EC3">
        <w:t>While all comments received support the proposal’s intent, they include several requests to modify specific aspects, including the numerical limitation on the devices imported, the requirement that a manufacturer have a reasonable belief that authorization will be granted within 30 days of importation, and labeling requirements.  We address the various issues below and modify our proposed rules, as appropriate, based on the comments received.</w:t>
      </w:r>
      <w:r>
        <w:rPr>
          <w:rStyle w:val="FootnoteReference"/>
        </w:rPr>
        <w:footnoteReference w:id="29"/>
      </w:r>
    </w:p>
    <w:p w:rsidR="004226B2" w:rsidRPr="00A51EC3" w:rsidP="00B17EAC" w14:paraId="003A6A2D" w14:textId="77777777">
      <w:pPr>
        <w:pStyle w:val="Heading4"/>
        <w:widowControl/>
      </w:pPr>
      <w:r w:rsidRPr="00A51EC3">
        <w:t>Numerical Limitation</w:t>
      </w:r>
    </w:p>
    <w:p w:rsidR="004226B2" w:rsidRPr="00A51EC3" w:rsidP="00150883" w14:paraId="5C07F552" w14:textId="352CDE88">
      <w:pPr>
        <w:pStyle w:val="ParaNum"/>
        <w:widowControl/>
      </w:pPr>
      <w:r w:rsidRPr="00A51EC3">
        <w:t>We are adopting rules that limit to 12,000 the number of RF devices that can be imported for pre-sale activities.  While the Commission proposed to limit this new import condition to 4,000 devices, it asked whether a higher level, such as 8,000, would be more appropriate, whether a smaller number of devices would provide less risk of unauthorized devices becoming available to the general public, and whether any safeguards beyond a simple numerical limit would be necessary in this regard.</w:t>
      </w:r>
      <w:r>
        <w:rPr>
          <w:rStyle w:val="FootnoteReference"/>
        </w:rPr>
        <w:footnoteReference w:id="30"/>
      </w:r>
      <w:r w:rsidRPr="00A51EC3">
        <w:t xml:space="preserve">  Only HP Enterprise supports the proposed 4,000 device limit.</w:t>
      </w:r>
      <w:r>
        <w:rPr>
          <w:rStyle w:val="FootnoteReference"/>
        </w:rPr>
        <w:footnoteReference w:id="31"/>
      </w:r>
      <w:r w:rsidRPr="00A51EC3">
        <w:t xml:space="preserve">  Otherwise, commenters generally suggest that we increase the device limit.  Suggestions ranged from a non-specific increase,</w:t>
      </w:r>
      <w:r>
        <w:rPr>
          <w:rStyle w:val="FootnoteReference"/>
        </w:rPr>
        <w:footnoteReference w:id="32"/>
      </w:r>
      <w:r w:rsidRPr="00A51EC3">
        <w:t xml:space="preserve"> </w:t>
      </w:r>
      <w:r w:rsidRPr="00F80B6B" w:rsidR="00F80B6B">
        <w:t>to</w:t>
      </w:r>
      <w:r w:rsidRPr="00A51EC3">
        <w:t xml:space="preserve"> a 10,000 device limit,</w:t>
      </w:r>
      <w:r>
        <w:rPr>
          <w:rStyle w:val="FootnoteReference"/>
        </w:rPr>
        <w:footnoteReference w:id="33"/>
      </w:r>
      <w:r w:rsidRPr="00A51EC3">
        <w:t xml:space="preserve"> and a more widely supported 12,000 device limit.</w:t>
      </w:r>
      <w:r>
        <w:rPr>
          <w:rStyle w:val="FootnoteReference"/>
        </w:rPr>
        <w:footnoteReference w:id="34"/>
      </w:r>
      <w:r w:rsidRPr="00A51EC3">
        <w:t xml:space="preserve">  Comments proposing 12,000 devices generally state the larger limit would account for the number of potential retailers throughout the country based upon the estimated numbers of “big box” stores and wireless provider locations, among others.</w:t>
      </w:r>
      <w:r>
        <w:rPr>
          <w:rStyle w:val="FootnoteReference"/>
        </w:rPr>
        <w:footnoteReference w:id="35"/>
      </w:r>
      <w:r w:rsidRPr="00A51EC3">
        <w:t xml:space="preserve">  Comments also note that a limit greater than 10,000 devices would increase the likelihood of more even distribution to both urban and rural areas while still being small enough to mitigate the potential risk of unauthorized widescale distribution.</w:t>
      </w:r>
      <w:r>
        <w:rPr>
          <w:rStyle w:val="FootnoteReference"/>
        </w:rPr>
        <w:footnoteReference w:id="36"/>
      </w:r>
    </w:p>
    <w:p w:rsidR="004226B2" w:rsidRPr="00A51EC3" w:rsidP="00150883" w14:paraId="385B34BD" w14:textId="1561E226">
      <w:pPr>
        <w:pStyle w:val="ParaNum"/>
        <w:widowControl/>
      </w:pPr>
      <w:r w:rsidRPr="00A51EC3">
        <w:t>Based on the record, we find that the proposed importation limit of 4,000 devices would not be sufficient to achieve the intended benefits.  We therefore adopt rules permitting up to 12,000 units of a particular device to be imported for pre-sale activities prior to the equipment being certified.  As proposed, we also adopt a provision to allow the importation of devices in excess of 12,000 subject to prior written approval from the Chief of the Office of Engineering and Technology.</w:t>
      </w:r>
      <w:r>
        <w:rPr>
          <w:rStyle w:val="FootnoteReference"/>
        </w:rPr>
        <w:footnoteReference w:id="37"/>
      </w:r>
      <w:r w:rsidRPr="00A51EC3">
        <w:t xml:space="preserve">  Overall, we find that a device limit of 12,000 will meet manufacturer and importer needs while not compromising the </w:t>
      </w:r>
      <w:r w:rsidRPr="00A51EC3">
        <w:t xml:space="preserve">integrity of our equipment authorization program.  The 12,000-unit limit is a maximum limit for a particular device across all ports of entry into the United States.  Importation in excess of 12,000 units without </w:t>
      </w:r>
      <w:r w:rsidR="00C47139">
        <w:t xml:space="preserve">prior </w:t>
      </w:r>
      <w:r w:rsidRPr="00A51EC3">
        <w:t>written approval of the FCC is prohibited and may subject the manufacturer or importer to enforcement action.</w:t>
      </w:r>
    </w:p>
    <w:p w:rsidR="004226B2" w:rsidRPr="00A51EC3" w:rsidP="00150883" w14:paraId="1E0318BE" w14:textId="672D7E01">
      <w:pPr>
        <w:pStyle w:val="ParaNum"/>
        <w:widowControl/>
      </w:pPr>
      <w:r w:rsidRPr="00A51EC3">
        <w:t xml:space="preserve">Our proposal did not specifically address how to differentiate devices </w:t>
      </w:r>
      <w:r w:rsidR="00295BC3">
        <w:t>when</w:t>
      </w:r>
      <w:r w:rsidRPr="00A51EC3">
        <w:t xml:space="preserve"> </w:t>
      </w:r>
      <w:r w:rsidR="00A15243">
        <w:t xml:space="preserve">determining </w:t>
      </w:r>
      <w:r w:rsidRPr="00A51EC3">
        <w:t>compl</w:t>
      </w:r>
      <w:r w:rsidR="00A15243">
        <w:t>iance</w:t>
      </w:r>
      <w:r w:rsidRPr="00A51EC3">
        <w:t xml:space="preserve"> with the maximum import quantity.  Garmin provided comments suggesting that, in defining the importation limit for a device, we apply the permissible quantity based on SKU number rather than to general product names or model brands.</w:t>
      </w:r>
      <w:r>
        <w:rPr>
          <w:rStyle w:val="FootnoteReference"/>
        </w:rPr>
        <w:footnoteReference w:id="38"/>
      </w:r>
      <w:r w:rsidRPr="00A51EC3">
        <w:t xml:space="preserve">  It notes that restricting the importation limit to product name or model brand would restrict manufacturers from importing the full range of a new product, such as different sizes and product options.</w:t>
      </w:r>
      <w:r>
        <w:rPr>
          <w:rStyle w:val="FootnoteReference"/>
        </w:rPr>
        <w:footnoteReference w:id="39"/>
      </w:r>
      <w:r w:rsidRPr="00A51EC3">
        <w:t xml:space="preserve">  We agree with Garmin that additional clarification is necessary to provide certainty to manufacturers and importers that take advantage of the additional flexibility we are providing regarding importation for pre-sale activity.  As such, we are adopting an additional provision to clarify that devices with different FCC IDs are considered to be separate devices; </w:t>
      </w:r>
      <w:r w:rsidRPr="00A51EC3">
        <w:rPr>
          <w:i/>
        </w:rPr>
        <w:t>i.e</w:t>
      </w:r>
      <w:r w:rsidRPr="00A51EC3">
        <w:t>., up to 12,000 devices with the same FCC ID number may be imported for pre-sale activities.</w:t>
      </w:r>
      <w:r>
        <w:rPr>
          <w:rStyle w:val="FootnoteReference"/>
        </w:rPr>
        <w:footnoteReference w:id="40"/>
      </w:r>
      <w:r w:rsidRPr="00A51EC3">
        <w:t xml:space="preserve">  We adopt this requirement as opposed to a SKU number</w:t>
      </w:r>
      <w:r w:rsidR="00A66E58">
        <w:t>-</w:t>
      </w:r>
      <w:r w:rsidRPr="00A51EC3">
        <w:t>based requirement as suggested by Garmin because FCC ID is the officially recognized method for identifying equipment, is required by FCC rules to be labelled on the device, and can be tracked through the FCC equipment authorization system database;</w:t>
      </w:r>
      <w:r>
        <w:rPr>
          <w:rStyle w:val="FootnoteReference"/>
        </w:rPr>
        <w:footnoteReference w:id="41"/>
      </w:r>
      <w:r w:rsidRPr="00A51EC3">
        <w:t xml:space="preserve"> SKU numbers, on the other hand, have no regulatory meaning under FCC rules.  Moreover, use of FCC ID will not be burdensome for manufacturers and importers because, as discussed </w:t>
      </w:r>
      <w:r w:rsidRPr="00CE2E41" w:rsidR="00CE2E41">
        <w:t>below</w:t>
      </w:r>
      <w:r w:rsidRPr="00A51EC3">
        <w:t>, devices subject to our new rules may not be imported until an application for certification has been submitted and therefore an FCC ID will already be associated with such equipment.</w:t>
      </w:r>
      <w:r>
        <w:rPr>
          <w:rStyle w:val="FootnoteReference"/>
        </w:rPr>
        <w:footnoteReference w:id="42"/>
      </w:r>
    </w:p>
    <w:p w:rsidR="004226B2" w:rsidRPr="00A51EC3" w:rsidP="00B17EAC" w14:paraId="77D901F1" w14:textId="77777777">
      <w:pPr>
        <w:pStyle w:val="Heading4"/>
        <w:widowControl/>
      </w:pPr>
      <w:r w:rsidRPr="00A51EC3">
        <w:t>Submission of Application for Certification</w:t>
      </w:r>
    </w:p>
    <w:p w:rsidR="004226B2" w:rsidRPr="00A51EC3" w:rsidP="00150883" w14:paraId="5B2C8158" w14:textId="5747E107">
      <w:pPr>
        <w:pStyle w:val="ParaNum"/>
        <w:widowControl/>
      </w:pPr>
      <w:r w:rsidRPr="00A51EC3">
        <w:t xml:space="preserve">In the </w:t>
      </w:r>
      <w:r w:rsidRPr="00A51EC3">
        <w:rPr>
          <w:i/>
          <w:iCs/>
        </w:rPr>
        <w:t xml:space="preserve">NPRM, </w:t>
      </w:r>
      <w:r w:rsidRPr="00A51EC3">
        <w:t>the Commission proposed to require that manufacturers importing devices under the proposed exception have “a reasonable belief that authorization will be granted within 30 days of importation”</w:t>
      </w:r>
      <w:r w:rsidRPr="00A51EC3">
        <w:rPr>
          <w:rStyle w:val="FootnoteReference"/>
        </w:rPr>
        <w:t xml:space="preserve"> </w:t>
      </w:r>
      <w:r>
        <w:rPr>
          <w:rStyle w:val="FootnoteReference"/>
        </w:rPr>
        <w:footnoteReference w:id="43"/>
      </w:r>
      <w:r w:rsidRPr="00A51EC3">
        <w:t xml:space="preserve">  </w:t>
      </w:r>
      <w:r w:rsidR="006D6826">
        <w:t xml:space="preserve">It </w:t>
      </w:r>
      <w:r w:rsidRPr="00A51EC3">
        <w:rPr>
          <w:rStyle w:val="FootnoteReference"/>
        </w:rPr>
        <w:t xml:space="preserve"> </w:t>
      </w:r>
      <w:r w:rsidRPr="00A51EC3">
        <w:t>asked several questions related to how manufacturers could comply with this requirement.  Most commenters stating that 30 days would not be sufficient suggest that 90 days would be more appropriate.</w:t>
      </w:r>
      <w:r>
        <w:rPr>
          <w:rStyle w:val="FootnoteReference"/>
        </w:rPr>
        <w:footnoteReference w:id="44"/>
      </w:r>
      <w:r w:rsidRPr="00A51EC3">
        <w:t xml:space="preserve">  Two filers, ITI and the Joint Commenters, suggest that 60-90 days would be generally sufficient and, for devices that require a TCB to coordinate with the OET Lab prior to taking action on the certification application, via the pre-approval guidance procedure, 120-180 days would be “reasonable.”</w:t>
      </w:r>
      <w:r>
        <w:rPr>
          <w:rStyle w:val="FootnoteReference"/>
        </w:rPr>
        <w:footnoteReference w:id="45"/>
      </w:r>
      <w:r w:rsidRPr="00A51EC3">
        <w:t xml:space="preserve">  One commenter, ITIF, states that the increased complexity of devices would make enforcing an expectation requirement difficult and suggests that the Commission allow manufacturers options for “demonstrating reasonable belief of imminent authorization,” such as relying on process milestones.</w:t>
      </w:r>
      <w:r>
        <w:rPr>
          <w:rStyle w:val="FootnoteReference"/>
        </w:rPr>
        <w:footnoteReference w:id="46"/>
      </w:r>
      <w:r w:rsidRPr="00A51EC3">
        <w:t xml:space="preserve">  Similarly, Samsung suggests that delivery to an accredited test lab or TCB for testing would </w:t>
      </w:r>
      <w:r w:rsidRPr="00A51EC3">
        <w:t>be an appropriate basis for a reasonable expectation of authorization.</w:t>
      </w:r>
      <w:r>
        <w:rPr>
          <w:rStyle w:val="FootnoteReference"/>
        </w:rPr>
        <w:footnoteReference w:id="47"/>
      </w:r>
      <w:r w:rsidRPr="00A51EC3">
        <w:t xml:space="preserve">  R Street Institute (R Street) also notes that determining compliance with the criterion would be difficult and suggests that we provide manufacturers flexibility in this regard, provided that they maintain documentation “demonstrating their internal logic regarding authorization.”</w:t>
      </w:r>
      <w:r>
        <w:rPr>
          <w:rStyle w:val="FootnoteReference"/>
        </w:rPr>
        <w:footnoteReference w:id="48"/>
      </w:r>
    </w:p>
    <w:p w:rsidR="004226B2" w:rsidRPr="00A51EC3" w:rsidP="00150883" w14:paraId="556B047A" w14:textId="75C7A48E">
      <w:pPr>
        <w:pStyle w:val="ParaNum"/>
        <w:widowControl/>
      </w:pPr>
      <w:r w:rsidRPr="00A51EC3">
        <w:t xml:space="preserve">We believe that parties who avail themselves of the new importation exception should be permitted to do so </w:t>
      </w:r>
      <w:r w:rsidR="004241DD">
        <w:t xml:space="preserve">only </w:t>
      </w:r>
      <w:r w:rsidRPr="00A51EC3">
        <w:t xml:space="preserve">if they reasonably believe that a certification will be issued as close to the importation date as is possible.  However, based upon the record, we decline to adopt the 30-day timeframe.  As many commenters suggest that the timeframe needed for certification can be unpredictable depending on device complexity and other factors, we are adopting a rule that does not include a specific timeframe but is instead based on the </w:t>
      </w:r>
      <w:r w:rsidR="006D651F">
        <w:t>submission</w:t>
      </w:r>
      <w:r w:rsidRPr="00A51EC3" w:rsidR="006D651F">
        <w:t xml:space="preserve"> </w:t>
      </w:r>
      <w:r w:rsidRPr="00A51EC3">
        <w:t xml:space="preserve">of the equipment certification </w:t>
      </w:r>
      <w:r w:rsidR="00A87326">
        <w:t>application</w:t>
      </w:r>
      <w:r w:rsidRPr="00A51EC3">
        <w:t>.  As the commenters’ recommendations are informed by their experiences with the equipment authorization process, requiring a reasonable belief of completion of certification activities within a specific timeframe would not accurately reflect the “real world” process in many circumstances.  Similarly, if we were to specify multiple timeframes to cover different situations, there would still be numerous scenarios not covered, thus adding an unnecessary level of complexity to the rule that could limit its utility and result in confusion and inconsistent applicability.</w:t>
      </w:r>
    </w:p>
    <w:p w:rsidR="004226B2" w:rsidRPr="00A51EC3" w:rsidP="00150883" w14:paraId="0597B1A9" w14:textId="0700E349">
      <w:pPr>
        <w:pStyle w:val="ParaNum"/>
        <w:widowControl/>
      </w:pPr>
      <w:r w:rsidRPr="00A51EC3">
        <w:t xml:space="preserve">Accordingly, we are adopting a requirement that importation for pre-sale activities prior to the device receiving certification can only occur after compliance testing is complete and an application for certification has been submitted, in good faith, to a </w:t>
      </w:r>
      <w:r w:rsidRPr="00B23CB7" w:rsidR="00B23CB7">
        <w:t>TCB</w:t>
      </w:r>
      <w:r w:rsidRPr="00A51EC3">
        <w:t>.  At that point, an applicant will have expended considerable time, effort, and money to develop a product as well as entered into a testing and approval process that requires expending additional resources.</w:t>
      </w:r>
      <w:r w:rsidRPr="00A833B3">
        <w:rPr>
          <w:sz w:val="20"/>
          <w:vertAlign w:val="superscript"/>
        </w:rPr>
        <w:t xml:space="preserve"> </w:t>
      </w:r>
      <w:r>
        <w:rPr>
          <w:sz w:val="20"/>
          <w:vertAlign w:val="superscript"/>
        </w:rPr>
        <w:footnoteReference w:id="49"/>
      </w:r>
      <w:r w:rsidRPr="00A51EC3">
        <w:t xml:space="preserve">  We find that this specific milestone reflects a point in the certification process by which the applicant can reasonably expect a grant.  Allowing importation prior to the completion of compliance testing would increase the risk associated with distributing the unauthorized devices because the testing could reveal compliance issues that require device modification.  We will not require any additional process milestones to be tracked to demonstrate compliance with the adopted rule.  We note that some aviation and maritime devices subject to the equipment certification process require additional reviews and approvals, such as from the Federal Aviation Administration and the United States Coast Guard.</w:t>
      </w:r>
      <w:r>
        <w:rPr>
          <w:rStyle w:val="FootnoteReference"/>
        </w:rPr>
        <w:footnoteReference w:id="50"/>
      </w:r>
      <w:r w:rsidRPr="00A51EC3">
        <w:t xml:space="preserve">  In some cases those additional approvals from other agencies must be done prior to submitting an application for FCC equipment certification and in some instances approval may be obtained concurrently.  The rule we adopt here has no impact on those requirements, but entities intending to avail themselves of this new import condition should consider the processing time and technical requirements of those reviews and approvals in relation to the certification process to determine when to begin importation under the new condition.  Further, we note that parties must satisfy all conditions required for their equipment and </w:t>
      </w:r>
      <w:r w:rsidRPr="00F561D1">
        <w:t>comply with all conditions imposed by all relevant agencies under which the equipment is regulated;</w:t>
      </w:r>
      <w:r w:rsidRPr="00A51EC3">
        <w:t xml:space="preserve"> permission to market devices under FCC rules does not provide similar approval from other relevant agencies and all requirements must be satisfied in accordance with those agencies’ rules.  We expect applications to be filed in good faith, with accurate data and as completely as possible, and applicants must be responsive to any TCB requests for additional data.</w:t>
      </w:r>
      <w:r>
        <w:rPr>
          <w:rStyle w:val="FootnoteReference"/>
        </w:rPr>
        <w:footnoteReference w:id="51"/>
      </w:r>
    </w:p>
    <w:p w:rsidR="004226B2" w:rsidRPr="00A51EC3" w:rsidP="009C7B73" w14:paraId="2787651B" w14:textId="77777777">
      <w:pPr>
        <w:pStyle w:val="Heading2"/>
      </w:pPr>
      <w:r w:rsidRPr="00A51EC3">
        <w:t xml:space="preserve">Marketing of RF Devices Prior to Equipment Authorization </w:t>
      </w:r>
    </w:p>
    <w:p w:rsidR="004226B2" w:rsidRPr="00A51EC3" w:rsidP="00150883" w14:paraId="103E85F1" w14:textId="481C1932">
      <w:pPr>
        <w:pStyle w:val="ParaNum"/>
        <w:widowControl/>
      </w:pPr>
      <w:bookmarkStart w:id="47" w:name="_Hlk55138318"/>
      <w:r w:rsidRPr="00A51EC3">
        <w:t xml:space="preserve">We are adopting our proposal to allow expanded conditional sales of RF devices prior to authorization, with appropriate clarifications regarding applicability and conditions.  The </w:t>
      </w:r>
      <w:r w:rsidRPr="008C36E9" w:rsidR="008C36E9">
        <w:t>I</w:t>
      </w:r>
      <w:r w:rsidRPr="00A51EC3">
        <w:t xml:space="preserve">nternet </w:t>
      </w:r>
      <w:r w:rsidRPr="00A51EC3">
        <w:t>provides today’s consumer with numerous opportunities to obtain innovative new products both directly—via crowd-funding platforms at the developmental stages, and through sales and distribution services offered by manufacturers and developers—and indirectly, through third party marketplaces, both online and in person.  This new-found ability to more easily obtain the latest products has led to savvier consumers, who have a greater awareness of technological developments and expect to obtain the newest products as soon as possible.</w:t>
      </w:r>
      <w:r>
        <w:rPr>
          <w:vertAlign w:val="superscript"/>
        </w:rPr>
        <w:footnoteReference w:id="52"/>
      </w:r>
      <w:r w:rsidRPr="00A51EC3">
        <w:t xml:space="preserve">  At the same time, the ability to deal directly with consumers at the earliest stages of development has created new efficiencies and investment opportunities that provide smaller entities a chance to enter the competitive marketplace.</w:t>
      </w:r>
      <w:r>
        <w:rPr>
          <w:rStyle w:val="FootnoteReference"/>
        </w:rPr>
        <w:footnoteReference w:id="53"/>
      </w:r>
      <w:r w:rsidRPr="00A51EC3">
        <w:t xml:space="preserve">  Our new rule will allow innovators to take advantage of modern product development practices and better satisfy the expectations of today’s consumer without diminishing the protections that our overall marketing rules provide.</w:t>
      </w:r>
    </w:p>
    <w:p w:rsidR="004226B2" w:rsidRPr="00A51EC3" w:rsidP="00150883" w14:paraId="49A52CD1" w14:textId="78FF7D69">
      <w:pPr>
        <w:pStyle w:val="ParaNum"/>
        <w:widowControl/>
      </w:pPr>
      <w:r w:rsidRPr="00A51EC3">
        <w:t xml:space="preserve">In the </w:t>
      </w:r>
      <w:r w:rsidRPr="00A51EC3">
        <w:rPr>
          <w:i/>
          <w:iCs/>
        </w:rPr>
        <w:t>NPRM</w:t>
      </w:r>
      <w:r w:rsidRPr="00A51EC3">
        <w:t>, the Commission proposed to modify its marketing rules in a manner that would allow consumers to participate in the conditional sales of devices that have not received authorization.</w:t>
      </w:r>
      <w:r>
        <w:rPr>
          <w:rStyle w:val="FootnoteReference"/>
        </w:rPr>
        <w:footnoteReference w:id="54"/>
      </w:r>
      <w:r w:rsidRPr="00A51EC3">
        <w:t xml:space="preserve">  We did not receive any comments objecting to our overall marketing proposal.  Commenters did note generally that, in addition to allowing consumers to receive new devices sooner, the proposal would provide benefits throughout the supply chain that would allow production to better match expected demand, thus providing efficiencies that would lower costs and reduce waste in raw materials and energy.</w:t>
      </w:r>
      <w:r>
        <w:rPr>
          <w:rStyle w:val="FootnoteReference"/>
        </w:rPr>
        <w:footnoteReference w:id="55"/>
      </w:r>
      <w:r w:rsidRPr="00A51EC3">
        <w:t xml:space="preserve">  One comment suggests that the new marketing exception apply to the broadest category of devices and no commenters suggest excluding any devices.</w:t>
      </w:r>
      <w:r>
        <w:rPr>
          <w:rStyle w:val="FootnoteReference"/>
        </w:rPr>
        <w:footnoteReference w:id="56"/>
      </w:r>
    </w:p>
    <w:p w:rsidR="004226B2" w:rsidRPr="00A51EC3" w:rsidP="00150883" w14:paraId="60B52597" w14:textId="7C7B14B6">
      <w:pPr>
        <w:pStyle w:val="ParaNum"/>
        <w:widowControl/>
      </w:pPr>
      <w:r w:rsidRPr="00A51EC3">
        <w:t xml:space="preserve">We remain mindful that we must continue to protect against the possibility of unauthorized RF devices making their way to consumers and adopt rules intended to prevent such occurrences while expanding marketing opportunities for innovators.  </w:t>
      </w:r>
      <w:r w:rsidRPr="00BB7F34" w:rsidR="00BB7F34">
        <w:t xml:space="preserve">Additionally, </w:t>
      </w:r>
      <w:r w:rsidRPr="00A51EC3">
        <w:t xml:space="preserve">the rules </w:t>
      </w:r>
      <w:r w:rsidR="00766F33">
        <w:t>the Commission</w:t>
      </w:r>
      <w:r w:rsidR="00933539">
        <w:t xml:space="preserve"> </w:t>
      </w:r>
      <w:r w:rsidRPr="00A51EC3">
        <w:t xml:space="preserve">proposed </w:t>
      </w:r>
      <w:r w:rsidRPr="00BB7F34" w:rsidR="00BB7F34">
        <w:t xml:space="preserve">in the </w:t>
      </w:r>
      <w:r w:rsidRPr="00BB7F34" w:rsidR="00BB7F34">
        <w:rPr>
          <w:i/>
          <w:iCs/>
        </w:rPr>
        <w:t>NPRM</w:t>
      </w:r>
      <w:r w:rsidRPr="00BB7F34" w:rsidR="00BB7F34">
        <w:t xml:space="preserve"> </w:t>
      </w:r>
      <w:r w:rsidRPr="00A51EC3">
        <w:t xml:space="preserve">to allow pre-sale activities for imported devices would not </w:t>
      </w:r>
      <w:r w:rsidRPr="00BB7F34" w:rsidR="00BB7F34">
        <w:t>have permitted</w:t>
      </w:r>
      <w:r w:rsidRPr="00A51EC3">
        <w:t xml:space="preserve"> similar flexibility for domestically</w:t>
      </w:r>
      <w:r w:rsidR="00933539">
        <w:t>-</w:t>
      </w:r>
      <w:r w:rsidRPr="00A51EC3">
        <w:t xml:space="preserve">produced devices.  Thus, in adopting rules to permit marketing activities prior to equipment certification, we also </w:t>
      </w:r>
      <w:r w:rsidRPr="00BB7F34" w:rsidR="00BB7F34">
        <w:t>provide</w:t>
      </w:r>
      <w:r w:rsidRPr="00A51EC3">
        <w:t xml:space="preserve"> flexibility in our marketing provisions to allow for pre-sale activities similar to those that we are allowing for imported devices.  This action implements more consistent measures </w:t>
      </w:r>
      <w:r w:rsidR="00E9626D">
        <w:t xml:space="preserve">for </w:t>
      </w:r>
      <w:r w:rsidRPr="00A51EC3">
        <w:t>similarly</w:t>
      </w:r>
      <w:r w:rsidRPr="00BB7F34" w:rsidR="00BB7F34">
        <w:t>-</w:t>
      </w:r>
      <w:r w:rsidRPr="00A51EC3">
        <w:t xml:space="preserve">situated devices </w:t>
      </w:r>
      <w:r w:rsidRPr="00BB7F34" w:rsidR="00BB7F34">
        <w:t>with</w:t>
      </w:r>
      <w:r w:rsidRPr="00A51EC3">
        <w:t xml:space="preserve"> similar safeguards to prevent unauthorized devices from getting to consumers.  Further, our action will also benefit consumers, who will be able to see and examine devices earlier so that they can make more timely purchase decisions</w:t>
      </w:r>
      <w:r w:rsidRPr="00BB7F34" w:rsidR="00BB7F34">
        <w:t>,</w:t>
      </w:r>
      <w:r w:rsidRPr="00A51EC3">
        <w:t xml:space="preserve"> and retailers, who will gain the opportunity to become familiar with the features associated with </w:t>
      </w:r>
      <w:r w:rsidRPr="00BB7F34" w:rsidR="00BB7F34">
        <w:t>new</w:t>
      </w:r>
      <w:r w:rsidRPr="00A51EC3">
        <w:t xml:space="preserve"> devices to better prepare those devices for display and sale once they are certified and may be operated.</w:t>
      </w:r>
      <w:r>
        <w:rPr>
          <w:rStyle w:val="FootnoteReference"/>
        </w:rPr>
        <w:footnoteReference w:id="57"/>
      </w:r>
    </w:p>
    <w:p w:rsidR="004226B2" w:rsidRPr="00A51EC3" w:rsidP="00150883" w14:paraId="206FFFA1" w14:textId="18D675CB">
      <w:pPr>
        <w:pStyle w:val="ParaNum"/>
        <w:widowControl/>
      </w:pPr>
      <w:r w:rsidRPr="00A51EC3">
        <w:t xml:space="preserve">As proposed in the </w:t>
      </w:r>
      <w:r w:rsidRPr="00A51EC3">
        <w:rPr>
          <w:i/>
          <w:iCs/>
        </w:rPr>
        <w:t>NPRM</w:t>
      </w:r>
      <w:r w:rsidRPr="00A51EC3">
        <w:t xml:space="preserve">, we are broadening the applicability of the prior conditional sales contract provision found in section 2.803(c) of our rules, which now </w:t>
      </w:r>
      <w:r w:rsidRPr="00972AA1" w:rsidR="00972AA1">
        <w:t xml:space="preserve">will </w:t>
      </w:r>
      <w:r w:rsidRPr="00A51EC3">
        <w:t>allow for conditional sales to consumers.</w:t>
      </w:r>
      <w:r>
        <w:rPr>
          <w:vertAlign w:val="superscript"/>
        </w:rPr>
        <w:footnoteReference w:id="58"/>
      </w:r>
      <w:r w:rsidRPr="00A51EC3">
        <w:t xml:space="preserve">  Specifically, we are modifying section 2.803(c)(2)(</w:t>
      </w:r>
      <w:r w:rsidRPr="00A51EC3">
        <w:t>i</w:t>
      </w:r>
      <w:r w:rsidRPr="00A51EC3">
        <w:t xml:space="preserve">) to allow conditional sales contracts </w:t>
      </w:r>
      <w:r w:rsidRPr="00A51EC3">
        <w:t>and advertising for RF devices that have not yet received authorization, under particular delivery and physical transfer conditions</w:t>
      </w:r>
      <w:r>
        <w:rPr>
          <w:vertAlign w:val="superscript"/>
        </w:rPr>
        <w:footnoteReference w:id="59"/>
      </w:r>
      <w:r w:rsidRPr="00A51EC3">
        <w:t xml:space="preserve"> and </w:t>
      </w:r>
      <w:r w:rsidRPr="00972AA1" w:rsidR="00972AA1">
        <w:t>a requirement</w:t>
      </w:r>
      <w:r w:rsidRPr="00A51EC3">
        <w:t xml:space="preserve"> that the contracting party advises the buyer at the time of marketing that the equipment is subject to FCC rules and delivery is conditional upon successful completion of the applicable equipment authorization process.</w:t>
      </w:r>
      <w:r>
        <w:rPr>
          <w:rStyle w:val="FootnoteReference"/>
        </w:rPr>
        <w:footnoteReference w:id="60"/>
      </w:r>
    </w:p>
    <w:p w:rsidR="004226B2" w:rsidRPr="00A51EC3" w:rsidP="00150883" w14:paraId="03AE7AF0" w14:textId="7671A0F8">
      <w:pPr>
        <w:pStyle w:val="ParaNum"/>
        <w:widowControl/>
      </w:pPr>
      <w:r w:rsidRPr="00A51EC3">
        <w:t xml:space="preserve">In the </w:t>
      </w:r>
      <w:r w:rsidRPr="00A51EC3">
        <w:rPr>
          <w:i/>
          <w:iCs/>
        </w:rPr>
        <w:t>NPRM</w:t>
      </w:r>
      <w:r w:rsidRPr="00A51EC3">
        <w:t>, the Commission proposed to allow conditional sales contracts between manufacturers and potential customers.</w:t>
      </w:r>
      <w:r>
        <w:rPr>
          <w:sz w:val="20"/>
          <w:vertAlign w:val="superscript"/>
        </w:rPr>
        <w:footnoteReference w:id="61"/>
      </w:r>
      <w:r w:rsidRPr="00CE6AF3">
        <w:rPr>
          <w:sz w:val="20"/>
          <w:vertAlign w:val="superscript"/>
        </w:rPr>
        <w:t xml:space="preserve"> </w:t>
      </w:r>
      <w:r w:rsidRPr="00A51EC3">
        <w:t xml:space="preserve"> The intent was to broaden the rule that originally limited conditional sales to contracts between manufacturers and wholesalers or retailers, which was based on a concern that unauthorized devices that made their way to consumers could cause harmful interference to radio communications.</w:t>
      </w:r>
      <w:r>
        <w:rPr>
          <w:rStyle w:val="FootnoteReference"/>
        </w:rPr>
        <w:footnoteReference w:id="62"/>
      </w:r>
      <w:r w:rsidRPr="00A51EC3">
        <w:t xml:space="preserve">  Ensuring that unauthorized RF devices do not cause harm remains among our highest concerns.  However, recognizing that product marketing and distribution methods have evolved due to the Internet and new crowd-funding practices which bring the consumer into direct contact with the developer or manufacturer</w:t>
      </w:r>
      <w:r w:rsidRPr="00C127EF" w:rsidR="00C127EF">
        <w:t>,</w:t>
      </w:r>
      <w:r w:rsidRPr="00A51EC3">
        <w:t xml:space="preserve"> and based on the comments </w:t>
      </w:r>
      <w:r w:rsidRPr="00C127EF" w:rsidR="00C127EF">
        <w:t>receive</w:t>
      </w:r>
      <w:r w:rsidR="0064248C">
        <w:t>d</w:t>
      </w:r>
      <w:r w:rsidRPr="00C127EF" w:rsidR="00C127EF">
        <w:t xml:space="preserve"> in response to the </w:t>
      </w:r>
      <w:r w:rsidRPr="00C127EF" w:rsidR="00C127EF">
        <w:rPr>
          <w:i/>
          <w:iCs/>
        </w:rPr>
        <w:t>NPRM</w:t>
      </w:r>
      <w:r w:rsidRPr="00C127EF" w:rsidR="00C127EF">
        <w:t xml:space="preserve">, </w:t>
      </w:r>
      <w:r w:rsidRPr="00A51EC3">
        <w:t>we are adopting a more flexible rule that does not limit conditional sales contracts to transactions only between manufacturers and potential customers.</w:t>
      </w:r>
    </w:p>
    <w:p w:rsidR="004226B2" w:rsidRPr="00A51EC3" w:rsidP="00150883" w14:paraId="57AF0C8C" w14:textId="00393B17">
      <w:pPr>
        <w:pStyle w:val="ParaNum"/>
        <w:widowControl/>
      </w:pPr>
      <w:r w:rsidRPr="00A51EC3">
        <w:t xml:space="preserve">In the </w:t>
      </w:r>
      <w:r w:rsidRPr="00A51EC3">
        <w:rPr>
          <w:i/>
          <w:iCs/>
        </w:rPr>
        <w:t>NPRM,</w:t>
      </w:r>
      <w:r w:rsidRPr="00A51EC3">
        <w:t xml:space="preserve"> the Commission declined to propose a rule that included the term “responsible party” in lieu of “manufacturer” as suggested by CTA,</w:t>
      </w:r>
      <w:r>
        <w:rPr>
          <w:rStyle w:val="FootnoteReference"/>
        </w:rPr>
        <w:footnoteReference w:id="63"/>
      </w:r>
      <w:r w:rsidRPr="00A51EC3">
        <w:t xml:space="preserve"> and instead proposed conditional sales contracts between manufacturers and potential customers.  The Commission explained its concerns that, given the specific meaning of the term, “responsible party” would not be appropriate in this context.</w:t>
      </w:r>
      <w:r>
        <w:rPr>
          <w:rStyle w:val="FootnoteReference"/>
        </w:rPr>
        <w:footnoteReference w:id="64"/>
      </w:r>
      <w:r w:rsidRPr="00A51EC3">
        <w:t xml:space="preserve">  Further, it asked for comment on this determination and asked questions about more suitable alternatives.</w:t>
      </w:r>
      <w:r>
        <w:rPr>
          <w:rStyle w:val="FootnoteReference"/>
        </w:rPr>
        <w:footnoteReference w:id="65"/>
      </w:r>
      <w:r w:rsidRPr="00A51EC3">
        <w:t xml:space="preserve">  While no commenter suggests replacing “manufacturer” with “responsible party,” Samsung Electronics America (Samsung) suggests that we clarify that affiliates and related corporate entities should be considered acceptable in the context of “manufacturer</w:t>
      </w:r>
      <w:r w:rsidRPr="00A51EC3">
        <w:rPr>
          <w:szCs w:val="22"/>
        </w:rPr>
        <w:t>.”</w:t>
      </w:r>
      <w:r>
        <w:rPr>
          <w:rStyle w:val="FootnoteReference"/>
        </w:rPr>
        <w:footnoteReference w:id="66"/>
      </w:r>
      <w:r w:rsidRPr="00A51EC3">
        <w:t xml:space="preserve">  Additionally, while not providing specific rule changes, Samsung and CTA suggest we clarify that the rule would also cover contracts between manufacturers and retailers/wholesalers</w:t>
      </w:r>
      <w:r w:rsidRPr="00A51EC3">
        <w:rPr>
          <w:szCs w:val="22"/>
        </w:rPr>
        <w:t>.</w:t>
      </w:r>
      <w:r>
        <w:rPr>
          <w:rStyle w:val="FootnoteReference"/>
        </w:rPr>
        <w:footnoteReference w:id="67"/>
      </w:r>
    </w:p>
    <w:p w:rsidR="004226B2" w:rsidRPr="00A51EC3" w:rsidP="00150883" w14:paraId="71813C03" w14:textId="2E9C9189">
      <w:pPr>
        <w:pStyle w:val="ParaNum"/>
        <w:widowControl/>
      </w:pPr>
      <w:r w:rsidRPr="00A51EC3">
        <w:t xml:space="preserve">Our intent in proposing to expand conditional sales contract to “manufacturers and potential customers” was to broaden the pool of parties allowed to enter into conditional sales contracts </w:t>
      </w:r>
      <w:r w:rsidRPr="00A51EC3">
        <w:t xml:space="preserve">with manufacturers, specifically to include consumers.  Considering the information in the record, we find that inclusion of the phrase “between manufacturers and potential customers” would raise confusion as to who may enter into conditional sales contracts.  We recognize that modern product development and distribution systems can be complex and involve multiple entities in various roles.  As discussed in the </w:t>
      </w:r>
      <w:r w:rsidRPr="00A51EC3">
        <w:rPr>
          <w:i/>
          <w:iCs/>
        </w:rPr>
        <w:t>NPRM</w:t>
      </w:r>
      <w:r w:rsidRPr="00A51EC3">
        <w:t>, we understand that, with the proliferation of Internet-based direct-to-consumer sales and e-commerce platforms, various entities can access multiple distribution models to reach consumers.</w:t>
      </w:r>
      <w:r>
        <w:rPr>
          <w:rStyle w:val="FootnoteReference"/>
        </w:rPr>
        <w:footnoteReference w:id="68"/>
      </w:r>
      <w:r w:rsidRPr="00A51EC3">
        <w:t xml:space="preserve">  To ensure that the language of our revised marketing regulation does not hinder innovation or provide unfair advantage or disadvantage to particular entities, we find that it is not necessary to specify the permissible parties to the conditional sales contracts.  Thus, manufacturers, developers, or other entities responsible for new device creation, development, or production will be able to define their own role in the distribution and supply chain of their devices.  We find this to be particularly important for smaller or new device developers who may not manufacture their devices but wish to engage in the sale and distribution process so they can appropriately plan for manufacturing and distribution.  By expanding the pool of parties to the conditional sales contracts, we are implementing rules that encourage and expand opportunities for innovation and allow developers or other parties that are not themselves a manufacturer to participate in the sale and marketing of a device.  At the same time, as noted below, we continue to prohibit delivery to consumers prior to completion of the equipment authorization process.</w:t>
      </w:r>
    </w:p>
    <w:p w:rsidR="004226B2" w:rsidRPr="00A51EC3" w:rsidP="00150883" w14:paraId="05E8212D" w14:textId="478806BE">
      <w:pPr>
        <w:pStyle w:val="ParaNum"/>
        <w:widowControl/>
      </w:pPr>
      <w:r w:rsidRPr="00A51EC3">
        <w:t>In this regard, we modify section 2.803(c)(2)(ii), a separate provision that allows limited marketing, in the form of sales, to a narrow class of specialized entities.</w:t>
      </w:r>
      <w:r>
        <w:rPr>
          <w:rStyle w:val="FootnoteReference"/>
        </w:rPr>
        <w:footnoteReference w:id="69"/>
      </w:r>
      <w:r w:rsidRPr="00A51EC3">
        <w:t xml:space="preserve">  As noted in the </w:t>
      </w:r>
      <w:r w:rsidRPr="00A51EC3">
        <w:rPr>
          <w:i/>
          <w:iCs/>
        </w:rPr>
        <w:t>NPRM</w:t>
      </w:r>
      <w:r w:rsidRPr="00A51EC3">
        <w:t>, CTA had asked that the provision be deleted or replaced with language specifically addressing manufacturers’ ability to engage in activities related to its importation proposal.</w:t>
      </w:r>
      <w:r>
        <w:rPr>
          <w:rStyle w:val="FootnoteReference"/>
        </w:rPr>
        <w:footnoteReference w:id="70"/>
      </w:r>
      <w:r w:rsidRPr="00A51EC3">
        <w:t xml:space="preserve">  The Commission in the </w:t>
      </w:r>
      <w:r w:rsidRPr="00A51EC3">
        <w:rPr>
          <w:i/>
          <w:iCs/>
        </w:rPr>
        <w:t>NPRM</w:t>
      </w:r>
      <w:r w:rsidRPr="00A51EC3">
        <w:t xml:space="preserve"> sought comment on whether a change to the provision was necessary to achieve the proposal’s discrete objective and whether doing so could eliminate an important avenue for limited marketing that exists outside the conditional sales contract context.</w:t>
      </w:r>
      <w:r>
        <w:rPr>
          <w:rStyle w:val="FootnoteReference"/>
        </w:rPr>
        <w:footnoteReference w:id="71"/>
      </w:r>
      <w:r w:rsidRPr="00A51EC3">
        <w:t xml:space="preserve">  In response to the </w:t>
      </w:r>
      <w:r w:rsidRPr="00A51EC3">
        <w:rPr>
          <w:i/>
          <w:iCs/>
        </w:rPr>
        <w:t>NPRM</w:t>
      </w:r>
      <w:r w:rsidRPr="00A51EC3">
        <w:t>, CTIA requests that we delete section 2.803(c)(2)(ii), as it believes the new rule would eliminate the need for this section and retaining it in the rules would be confusing.</w:t>
      </w:r>
      <w:r>
        <w:rPr>
          <w:rStyle w:val="FootnoteReference"/>
        </w:rPr>
        <w:footnoteReference w:id="72"/>
      </w:r>
    </w:p>
    <w:p w:rsidR="004226B2" w:rsidRPr="00A51EC3" w:rsidP="00150883" w14:paraId="354D65FC" w14:textId="4877844F">
      <w:pPr>
        <w:pStyle w:val="ParaNum"/>
        <w:widowControl/>
      </w:pPr>
      <w:r w:rsidRPr="00A51EC3">
        <w:t>In light of the information in the record and the changes we are making to section 2.803(c)(2)(</w:t>
      </w:r>
      <w:r w:rsidRPr="00A51EC3">
        <w:t>i</w:t>
      </w:r>
      <w:r w:rsidRPr="00A51EC3">
        <w:t xml:space="preserve">) by expanding applicability to all parties, we find that section 2.803(c)(2)(ii) is no longer necessary and we </w:t>
      </w:r>
      <w:r w:rsidRPr="00621E7B" w:rsidR="00621E7B">
        <w:t>remove it</w:t>
      </w:r>
      <w:r w:rsidRPr="00A51EC3">
        <w:t>.  The language that we are adopting in section 2.803(c)(2)(</w:t>
      </w:r>
      <w:r w:rsidRPr="00A51EC3">
        <w:t>i</w:t>
      </w:r>
      <w:r w:rsidRPr="00A51EC3">
        <w:t>) encompasses conditional sales to all parties, including business, commercial, industrial, scientific, or medical users, thereby negating the need for a separate exception targeted at those users.</w:t>
      </w:r>
    </w:p>
    <w:p w:rsidR="004226B2" w:rsidRPr="00A51EC3" w:rsidP="00150883" w14:paraId="754E3595" w14:textId="100F31F8">
      <w:pPr>
        <w:pStyle w:val="ParaNum"/>
        <w:widowControl/>
      </w:pPr>
      <w:r w:rsidRPr="00A51EC3">
        <w:t>We also clarify the conditions under which conditional sales contracts may be made.  The proposed rule</w:t>
      </w:r>
      <w:r w:rsidRPr="00CB1132" w:rsidR="00CB1132">
        <w:t xml:space="preserve"> would have</w:t>
      </w:r>
      <w:r w:rsidRPr="00A51EC3">
        <w:t xml:space="preserve"> provided that delivery of devices subject to conditional sales contracts would be conditional upon </w:t>
      </w:r>
      <w:r w:rsidRPr="00A51EC3">
        <w:rPr>
          <w:i/>
          <w:iCs/>
        </w:rPr>
        <w:t>a determination</w:t>
      </w:r>
      <w:r w:rsidRPr="00A51EC3">
        <w:t xml:space="preserve"> that the equipment complies with the applicable equipment authorization and technical requirements.</w:t>
      </w:r>
      <w:r>
        <w:rPr>
          <w:rStyle w:val="FootnoteReference"/>
        </w:rPr>
        <w:footnoteReference w:id="73"/>
      </w:r>
      <w:r w:rsidRPr="00A51EC3">
        <w:t xml:space="preserve">  To clarify the requirement, the rule we are adopting instead states that delivery is conditional upon “</w:t>
      </w:r>
      <w:r w:rsidRPr="00A51EC3" w:rsidR="00A87458">
        <w:t>successful completion of the equipment authorization process</w:t>
      </w:r>
      <w:r w:rsidRPr="00A51EC3">
        <w:t>.”</w:t>
      </w:r>
      <w:r>
        <w:rPr>
          <w:vertAlign w:val="superscript"/>
        </w:rPr>
        <w:footnoteReference w:id="74"/>
      </w:r>
      <w:r w:rsidRPr="00A51EC3">
        <w:t xml:space="preserve">  </w:t>
      </w:r>
      <w:r w:rsidRPr="00A51EC3">
        <w:t>This change does not eliminate the need for determining compliance with our technical requirements, but it more accurately reflects both of our equipment authorization processes</w:t>
      </w:r>
      <w:r>
        <w:rPr>
          <w:vertAlign w:val="superscript"/>
        </w:rPr>
        <w:footnoteReference w:id="75"/>
      </w:r>
      <w:r w:rsidRPr="00A51EC3">
        <w:t xml:space="preserve"> and the required milestone for delivery.  This better conveys our intent by removing the ambiguity of a subjective condition referenced only to “a determination that the equipment complies with the applicable equipment authorization and technical requirements” rather than the actual completion of the equipment authorization process.</w:t>
      </w:r>
    </w:p>
    <w:p w:rsidR="004226B2" w:rsidRPr="00A51EC3" w:rsidP="009C7B73" w14:paraId="546A8871" w14:textId="77777777">
      <w:pPr>
        <w:pStyle w:val="Heading2"/>
      </w:pPr>
      <w:r w:rsidRPr="00A51EC3">
        <w:t>Device Delivery and Possession</w:t>
      </w:r>
    </w:p>
    <w:p w:rsidR="004226B2" w:rsidRPr="00A51EC3" w:rsidP="00150883" w14:paraId="160145DF" w14:textId="3C55EA5D">
      <w:pPr>
        <w:pStyle w:val="ParaNum"/>
        <w:widowControl/>
      </w:pPr>
      <w:r w:rsidRPr="00A51EC3">
        <w:t>While we now</w:t>
      </w:r>
      <w:r w:rsidRPr="00DA23DB" w:rsidR="00DA23DB">
        <w:t xml:space="preserve"> will</w:t>
      </w:r>
      <w:r w:rsidRPr="00A51EC3">
        <w:t xml:space="preserve"> permit conditional sales of RF devices prior to equipment authorization, we reiterate the importance of continuing to ensure that unauthorized RF devices do not reach consumers.  No commenter suggests otherwise and several explicitly express support for retaining the prohibition.</w:t>
      </w:r>
      <w:r>
        <w:rPr>
          <w:vertAlign w:val="superscript"/>
        </w:rPr>
        <w:footnoteReference w:id="76"/>
      </w:r>
      <w:r w:rsidRPr="00A51EC3">
        <w:t xml:space="preserve">  Thus, the rule we are adopting continues to prohibit delivery of RF devices to consumers prior to completion of the equipment authorization process.  We expect that the disclosure requirements discussed </w:t>
      </w:r>
      <w:r w:rsidRPr="00784615" w:rsidR="00784615">
        <w:t>below</w:t>
      </w:r>
      <w:r w:rsidRPr="00A51EC3">
        <w:t xml:space="preserve"> will ensure that there is no consumer expectation of early delivery.</w:t>
      </w:r>
      <w:r>
        <w:rPr>
          <w:rStyle w:val="FootnoteReference"/>
        </w:rPr>
        <w:footnoteReference w:id="77"/>
      </w:r>
      <w:r w:rsidRPr="00A51EC3">
        <w:t xml:space="preserve">  Likewise, the other process safeguards we discuss below should ensure that sellers take all necessary steps to prevent operation of unauthorized devices and delivery to consumers.  These safeguards include provisions, previously introduced in the </w:t>
      </w:r>
      <w:r w:rsidRPr="00A51EC3">
        <w:rPr>
          <w:i/>
          <w:iCs/>
        </w:rPr>
        <w:t>NPRM</w:t>
      </w:r>
      <w:r w:rsidRPr="00A51EC3">
        <w:t>’s proposed importation provision, to allow devices subject to certification to physically move through the supply chain as far as the retailer, stopping short of the consumer.</w:t>
      </w:r>
    </w:p>
    <w:p w:rsidR="004226B2" w:rsidRPr="00A51EC3" w:rsidP="00150883" w14:paraId="49E2484A" w14:textId="470CD13E">
      <w:pPr>
        <w:pStyle w:val="ParaNum"/>
        <w:widowControl/>
      </w:pPr>
      <w:r w:rsidRPr="00A51EC3">
        <w:t xml:space="preserve">In the </w:t>
      </w:r>
      <w:r w:rsidRPr="00A51EC3">
        <w:rPr>
          <w:i/>
          <w:iCs/>
        </w:rPr>
        <w:t xml:space="preserve">NPRM, </w:t>
      </w:r>
      <w:r w:rsidRPr="00A51EC3">
        <w:t>the Commission noted that the proposed rule could be seen as lessening the barriers between device developers, manufacturers, distributers, and consumers and asked whether any additional safeguards would be warranted to protect against harmful interference.</w:t>
      </w:r>
      <w:r>
        <w:rPr>
          <w:rStyle w:val="FootnoteReference"/>
        </w:rPr>
        <w:footnoteReference w:id="78"/>
      </w:r>
      <w:r w:rsidRPr="00A51EC3">
        <w:t xml:space="preserve">  Specifically, the Commission asked, with regard to both marketing and importation, whether there are certain types of devices for which conditional sales to consumers would not be appropriate, citing as examples devices that would operate in bands that are subject to rigorous coordination or installation requirements and devices that operate to ensure safety of life onboard ships and aircraft.</w:t>
      </w:r>
      <w:r>
        <w:rPr>
          <w:rStyle w:val="FootnoteReference"/>
        </w:rPr>
        <w:footnoteReference w:id="79"/>
      </w:r>
      <w:r w:rsidRPr="00A51EC3">
        <w:t xml:space="preserve">  The Commission also asked whether there are ways to prevent devices from being marketed that have no likelihood of being approved due to compliance issues and whether equipment that could operate only under a Commission waiver should be prohibited from marketing prior to the Commission granting a waiver.</w:t>
      </w:r>
      <w:r>
        <w:rPr>
          <w:rStyle w:val="FootnoteReference"/>
        </w:rPr>
        <w:footnoteReference w:id="80"/>
      </w:r>
      <w:r w:rsidRPr="00A51EC3">
        <w:t xml:space="preserve">  One comment suggests that the new rule permitting conditional sales apply to the broadest category of devices and no commenters suggest excluding any devices.</w:t>
      </w:r>
      <w:r>
        <w:rPr>
          <w:rStyle w:val="FootnoteReference"/>
        </w:rPr>
        <w:footnoteReference w:id="81"/>
      </w:r>
    </w:p>
    <w:p w:rsidR="004226B2" w:rsidRPr="00A51EC3" w:rsidP="00150883" w14:paraId="08FC1547" w14:textId="51C42119">
      <w:pPr>
        <w:pStyle w:val="ParaNum"/>
        <w:widowControl/>
      </w:pPr>
      <w:r w:rsidRPr="00A51EC3">
        <w:t xml:space="preserve">Equipment authorization of RF devices can be completed by one of two processes.  Certification involves rigorous testing by an FCC-recognized accredited testing laboratory and listing in a Commission database.  By contrast, </w:t>
      </w:r>
      <w:r w:rsidRPr="00A51EC3">
        <w:t>SDoC</w:t>
      </w:r>
      <w:r w:rsidRPr="00A51EC3">
        <w:t xml:space="preserve"> is a self-certification process that gives the manufacturer substantially greater control over determining when a product meets our equipment authorization requirements.</w:t>
      </w:r>
      <w:r>
        <w:rPr>
          <w:rStyle w:val="FootnoteReference"/>
        </w:rPr>
        <w:footnoteReference w:id="82"/>
      </w:r>
      <w:r w:rsidRPr="00A51EC3">
        <w:t xml:space="preserve">  While we are not adopting any specific device exclusions at this time, we find that requiring devices to complete our existing equipment authorization processes will facilitate movement of </w:t>
      </w:r>
      <w:r w:rsidRPr="00A51EC3">
        <w:t>devices through the supply chain while maintaining controls to ensure against unauthorized use and delivery to consumers.  Specifically, we see the two equipment authorization processes as providing a means by which to distinguish between types of devices in implementing various controls to limit physical access to unauthorized RF devices.</w:t>
      </w:r>
    </w:p>
    <w:p w:rsidR="004226B2" w:rsidRPr="00A51EC3" w:rsidP="00150883" w14:paraId="49C908D4" w14:textId="33E5FE5C">
      <w:pPr>
        <w:pStyle w:val="ParaNum"/>
        <w:widowControl/>
      </w:pPr>
      <w:r w:rsidRPr="00A51EC3">
        <w:t xml:space="preserve">Upon further analysis of our proposals, we observe that the proposal to permit conditional sales prior to completion of the applicable equipment authorization process applied to all devices whether they originated from domestic or foreign sources.  However, our new importation rules as adopted herein allow for pre-sale activities where certain imported devices can be physically transferred to retail locations, but the same flexibility was not specifically proposed for other devices.  </w:t>
      </w:r>
      <w:r w:rsidRPr="002C79DA" w:rsidR="002C79DA">
        <w:t>Allowing</w:t>
      </w:r>
      <w:r w:rsidRPr="00A51EC3">
        <w:t xml:space="preserve"> transfer of physical possession of certain imported devices to retailers, but not other devices, would result in a disparity in the treatment of similar devices based on whether they are imported or manufactured or developed in the U.S.  To ensure consistent measures between similarly</w:t>
      </w:r>
      <w:r w:rsidR="003C1610">
        <w:t xml:space="preserve"> </w:t>
      </w:r>
      <w:r w:rsidRPr="00A51EC3">
        <w:t xml:space="preserve">situated devices regardless of their origin, we </w:t>
      </w:r>
      <w:r w:rsidRPr="002C79DA" w:rsidR="002C79DA">
        <w:t xml:space="preserve">will </w:t>
      </w:r>
      <w:r w:rsidRPr="00A51EC3">
        <w:t xml:space="preserve">permit devices subject to the equipment authorization certification process to engage in the same pre-sale activities and under similar conditions we </w:t>
      </w:r>
      <w:r w:rsidRPr="002C79DA" w:rsidR="002C79DA">
        <w:t xml:space="preserve">adopt </w:t>
      </w:r>
      <w:r w:rsidRPr="00A51EC3">
        <w:t xml:space="preserve">for imported devices.  Specifically, we </w:t>
      </w:r>
      <w:r w:rsidRPr="002C79DA" w:rsidR="002C79DA">
        <w:t xml:space="preserve">will </w:t>
      </w:r>
      <w:r w:rsidRPr="00A51EC3">
        <w:t xml:space="preserve">allow the physical possession of devices subject to certification to be transferred to distributers and retailers.  Neither in our import nor our marketing provision do we extend this flexibility to devices subject to </w:t>
      </w:r>
      <w:r w:rsidRPr="00A51EC3">
        <w:t>SDoC</w:t>
      </w:r>
      <w:r w:rsidRPr="00A51EC3">
        <w:t xml:space="preserve"> because, unlike the more rigorous requirements associated with the certification process, the </w:t>
      </w:r>
      <w:r w:rsidRPr="00A51EC3">
        <w:t>SDoC</w:t>
      </w:r>
      <w:r w:rsidRPr="00A51EC3">
        <w:t xml:space="preserve"> process provides manufacturers more flexibility in determining compliance with the FCC’s technical requirements.</w:t>
      </w:r>
    </w:p>
    <w:p w:rsidR="004226B2" w:rsidRPr="00A51EC3" w:rsidP="00150883" w14:paraId="40648428" w14:textId="6C36934C">
      <w:pPr>
        <w:pStyle w:val="ParaNum"/>
        <w:widowControl/>
      </w:pPr>
      <w:r w:rsidRPr="00A51EC3">
        <w:t>The marketing rule provision we are adopting will permit physical transfer of devices subject to certification procedures, and for which an application has been submitted to a TCB and compliance testing is complete, for the sole purpose of pre-sale activity, which includes packaging and transferring physical possession of devices to distribution centers and retailers.  Pre-sale activity does not include display or demonstration of devices to consumers.  This provision prohibits physical transfer of RF devices subject to Supplier Declaration of Conformity prior to completion of that process.  It also requires that the party initiating the first conditional sales contract maintain legal ownership of the relevant devices.</w:t>
      </w:r>
    </w:p>
    <w:p w:rsidR="004226B2" w:rsidRPr="00A51EC3" w:rsidP="00150883" w14:paraId="6B2ED5E2" w14:textId="04BDB4F0">
      <w:pPr>
        <w:pStyle w:val="ParaNum"/>
        <w:widowControl/>
      </w:pPr>
      <w:r w:rsidRPr="00A51EC3">
        <w:t xml:space="preserve">The </w:t>
      </w:r>
      <w:r w:rsidRPr="00A51EC3">
        <w:rPr>
          <w:i/>
          <w:iCs/>
        </w:rPr>
        <w:t>NPRM</w:t>
      </w:r>
      <w:r w:rsidRPr="00A51EC3">
        <w:t xml:space="preserve"> proposed to require manufacturers that engage in pre-sale activities to maintain legal ownership of imported RF devices that had not received equipment authorization, even after physically transferring them to retailers.</w:t>
      </w:r>
      <w:r>
        <w:rPr>
          <w:rStyle w:val="FootnoteReference"/>
        </w:rPr>
        <w:footnoteReference w:id="83"/>
      </w:r>
      <w:r w:rsidRPr="00A51EC3">
        <w:t xml:space="preserve">  When it made the proposal, the Commission asked whether the requirement would further its goal of keeping unauthorized devices from causing harm to consumers or other radio operations</w:t>
      </w:r>
      <w:r w:rsidRPr="00F91AFF" w:rsidR="00F91AFF">
        <w:t>,</w:t>
      </w:r>
      <w:r w:rsidRPr="00A51EC3">
        <w:t xml:space="preserve"> whether additional restrictions related to the delivery and location of devices after importation would be necessary, and </w:t>
      </w:r>
      <w:r w:rsidRPr="00F91AFF" w:rsidR="00F91AFF">
        <w:t xml:space="preserve">about </w:t>
      </w:r>
      <w:r w:rsidRPr="00A51EC3">
        <w:t>the manufacturer’s responsibility in the event of unauthorized operation.  The Commission also asked several questions related to the specific process of complying with the requirement and whether the benefits of the rule would outweigh any burdens that it would place on those involved in the process, such as manufacturers and retailers.</w:t>
      </w:r>
      <w:r>
        <w:rPr>
          <w:rStyle w:val="FootnoteReference"/>
        </w:rPr>
        <w:footnoteReference w:id="84"/>
      </w:r>
    </w:p>
    <w:p w:rsidR="004226B2" w:rsidRPr="00A51EC3" w:rsidP="00150883" w14:paraId="7ED039C1" w14:textId="7CD30512">
      <w:pPr>
        <w:pStyle w:val="ParaNum"/>
        <w:widowControl/>
      </w:pPr>
      <w:r w:rsidRPr="00A51EC3">
        <w:t xml:space="preserve">Samsung states that requiring manufacturers to retain legal ownership of imported RF devices will incentivize manufacturers to ensure that retailers and other partners abide by the labeling rules and other safeguards.  Samsung recommends that the Commission clarify that agreements exercising the new importation condition to deliver devices to retail locations prior to authorization do not violate the section 2.803 marketing rules.  Samsung argues that the current text of section 2.803(c)(2) may constrain the ability of manufacturers and retailers (as well as others in the distribution chain) to exercise the new importation condition to deliver devices to retail locations while extracting representations and warranties to abide by the Commission’s safeguards.  As an alternative to adding a new subsection to section 2.803, Samsung recommends that we clarify that contracts exercising the new condition, including physical </w:t>
      </w:r>
      <w:r w:rsidRPr="00A51EC3">
        <w:t>transfer to retail partner locations, do not constitute marketing pursuant to section 2.803.</w:t>
      </w:r>
      <w:r>
        <w:rPr>
          <w:rStyle w:val="FootnoteReference"/>
        </w:rPr>
        <w:footnoteReference w:id="85"/>
      </w:r>
      <w:r w:rsidRPr="00A51EC3">
        <w:rPr>
          <w:rStyle w:val="FootnoteReference"/>
          <w:vertAlign w:val="baseline"/>
        </w:rPr>
        <w:t xml:space="preserve">  </w:t>
      </w:r>
      <w:r w:rsidRPr="00A51EC3">
        <w:t>Similarly, CTA recommends that we clarify that the proposed new importation condition does not violate our marketing rules, but rather allows physical transfer of RF devices to retail locations with the safeguard of a manufacturer retaining legal ownership of those devices.  CTA observes that manufacturers and retailers must have agreements in place to ensure that those devices are properly labeled, delivered, and stored until they are authorized for consumer use.</w:t>
      </w:r>
      <w:r>
        <w:rPr>
          <w:rStyle w:val="FootnoteReference"/>
        </w:rPr>
        <w:footnoteReference w:id="86"/>
      </w:r>
    </w:p>
    <w:p w:rsidR="004226B2" w:rsidRPr="004226B2" w:rsidP="00150883" w14:paraId="1544AEA8" w14:textId="467671FC">
      <w:pPr>
        <w:pStyle w:val="ParaNum"/>
        <w:widowControl/>
      </w:pPr>
      <w:r w:rsidRPr="00A51EC3">
        <w:t xml:space="preserve">The intent of the Commission’s proposed rule on ownership of imported RF devices was to protect consumers by ensuring that devices that have not yet been authorized are not operated.  </w:t>
      </w:r>
      <w:r w:rsidRPr="00D91470" w:rsidR="00D91470">
        <w:t>We</w:t>
      </w:r>
      <w:r w:rsidRPr="00A51EC3">
        <w:t xml:space="preserve"> find that we can achieve that important goal for both marketed and imported devices that have completed certification testing and been submitted to a TCB for approval by providing a process that allows for  physical transfer of marketed devices while legal ownership is maintained by the first party to initiate a conditional sales contract (</w:t>
      </w:r>
      <w:r w:rsidRPr="00A51EC3">
        <w:rPr>
          <w:i/>
        </w:rPr>
        <w:t>i.e</w:t>
      </w:r>
      <w:r w:rsidRPr="00A51EC3">
        <w:t>., a developer or manufacturer, or similar party) or, in the case of imported devices, by the device manufacturer, developer, importer or ultimate consignee, or their designated customs broker.</w:t>
      </w:r>
    </w:p>
    <w:p w:rsidR="004226B2" w:rsidRPr="00A51EC3" w:rsidP="00150883" w14:paraId="06ED1B28" w14:textId="77777777">
      <w:pPr>
        <w:pStyle w:val="ParaNum"/>
        <w:widowControl/>
      </w:pPr>
      <w:r w:rsidRPr="00A51EC3">
        <w:t>By permitting the physical transfer of devices, we will allow entities to take full advantage of modern marketing and importation practices while still protecting against unauthorized use of devices that have not completed the equipment authorization process.  We are adding a new subsection to section 2.803 of our rules establishing the requirements applicable to ownership and physical transfer of such devices.</w:t>
      </w:r>
    </w:p>
    <w:p w:rsidR="004226B2" w:rsidRPr="00A51EC3" w:rsidP="009C7B73" w14:paraId="513782E1" w14:textId="77777777">
      <w:pPr>
        <w:pStyle w:val="Heading2"/>
      </w:pPr>
      <w:r w:rsidRPr="00A51EC3">
        <w:t>Disclosures and labeling</w:t>
      </w:r>
    </w:p>
    <w:p w:rsidR="004226B2" w:rsidRPr="00A51EC3" w:rsidP="00150883" w14:paraId="59A4D82A" w14:textId="48FFA07F">
      <w:pPr>
        <w:pStyle w:val="ParaNum"/>
        <w:widowControl/>
      </w:pPr>
      <w:r w:rsidRPr="00A51EC3">
        <w:t xml:space="preserve">We believe that most consumers today are generally familiar with conditional sales and delayed delivery of new devices.  However, we need to ensure that consumers purchasing devices that have not yet received authorization are aware of the conditions for delivery before entering into a conditional sales agreement.  We are therefore adopting, as proposed, a requirement that the prospective buyer be advised at the time of marketing, through a prominent disclosure, that the equipment is subject to FCC rules and delivery to the </w:t>
      </w:r>
      <w:r w:rsidRPr="00A51EC3" w:rsidR="000146C9">
        <w:t>end user</w:t>
      </w:r>
      <w:r w:rsidRPr="00A51EC3">
        <w:t xml:space="preserve"> is conditional upon </w:t>
      </w:r>
      <w:r w:rsidRPr="00A51EC3" w:rsidR="000146C9">
        <w:t>successful completion</w:t>
      </w:r>
      <w:r w:rsidRPr="000146C9" w:rsidR="000146C9">
        <w:t xml:space="preserve"> </w:t>
      </w:r>
      <w:r w:rsidRPr="00A51EC3" w:rsidR="000146C9">
        <w:t xml:space="preserve">of the applicable </w:t>
      </w:r>
      <w:r w:rsidRPr="00A51EC3">
        <w:t xml:space="preserve">equipment authorization </w:t>
      </w:r>
      <w:r w:rsidRPr="00A51EC3" w:rsidR="000B2AF1">
        <w:t>process</w:t>
      </w:r>
      <w:r w:rsidRPr="00A51EC3">
        <w:t>.</w:t>
      </w:r>
    </w:p>
    <w:p w:rsidR="004226B2" w:rsidRPr="00A51EC3" w:rsidP="00150883" w14:paraId="2405A8B6" w14:textId="11BCFAB6">
      <w:pPr>
        <w:pStyle w:val="ParaNum"/>
        <w:widowControl/>
      </w:pPr>
      <w:r w:rsidRPr="00A51EC3">
        <w:t xml:space="preserve">In the </w:t>
      </w:r>
      <w:r w:rsidRPr="00A51EC3">
        <w:rPr>
          <w:i/>
          <w:iCs/>
        </w:rPr>
        <w:t xml:space="preserve">NPRM, </w:t>
      </w:r>
      <w:r w:rsidRPr="00A51EC3">
        <w:t>the Commission asked several questions regarding the implementation and scope of this disclosure requirement.  For example, the Commission asked whether additional disclosures should be required throughout the equipment authorization process and, in the event that authorization is not obtained, how consumers would be notified, and whether we should require refund information to be provided in the required disclosure.</w:t>
      </w:r>
      <w:r>
        <w:rPr>
          <w:rStyle w:val="FootnoteReference"/>
        </w:rPr>
        <w:footnoteReference w:id="87"/>
      </w:r>
      <w:r w:rsidRPr="00A51EC3">
        <w:t xml:space="preserve">  The Commission also asked about the responsibility of online retailers to ensure that all device advertisements involving conditional sales include the required disclosures, and whether unique identifying information (</w:t>
      </w:r>
      <w:r w:rsidRPr="00A51EC3">
        <w:rPr>
          <w:i/>
          <w:iCs/>
        </w:rPr>
        <w:t>e.g</w:t>
      </w:r>
      <w:r w:rsidRPr="00A51EC3">
        <w:t>., model numbers, expected FCC ID) that may be known at the time of marketing, should be required in online advertisements.</w:t>
      </w:r>
      <w:r>
        <w:rPr>
          <w:rStyle w:val="FootnoteReference"/>
        </w:rPr>
        <w:footnoteReference w:id="88"/>
      </w:r>
      <w:r w:rsidRPr="00A51EC3">
        <w:t xml:space="preserve">  Finally, the Commission asked whether we should require manufacturers to include a label on device packaging noting that it must not be delivered to consumers prior to obtaining equipment authorization and, if so, what additional information to require on the label.</w:t>
      </w:r>
      <w:r>
        <w:rPr>
          <w:rStyle w:val="FootnoteReference"/>
        </w:rPr>
        <w:footnoteReference w:id="89"/>
      </w:r>
    </w:p>
    <w:p w:rsidR="004226B2" w:rsidRPr="00A51EC3" w:rsidP="00150883" w14:paraId="082625B6" w14:textId="5D4BE7B9">
      <w:pPr>
        <w:pStyle w:val="ParaNum"/>
        <w:widowControl/>
      </w:pPr>
      <w:r w:rsidRPr="00A51EC3">
        <w:t>While two commenters suggest that the Commission provide specific disclosure language,</w:t>
      </w:r>
      <w:r>
        <w:rPr>
          <w:rStyle w:val="FootnoteReference"/>
        </w:rPr>
        <w:footnoteReference w:id="90"/>
      </w:r>
      <w:r w:rsidRPr="00A51EC3">
        <w:t xml:space="preserve"> most commenters suggest a more general Commission requirement.</w:t>
      </w:r>
      <w:r>
        <w:rPr>
          <w:rStyle w:val="FootnoteReference"/>
        </w:rPr>
        <w:footnoteReference w:id="91"/>
      </w:r>
      <w:r w:rsidRPr="00A51EC3">
        <w:t xml:space="preserve">  </w:t>
      </w:r>
      <w:bookmarkStart w:id="48" w:name="_Hlk73696048"/>
      <w:r w:rsidRPr="000304F4" w:rsidR="000304F4">
        <w:t>However, INCOMPAS suggests that we specifically require a refund for consumers when device authorization is not obtained.</w:t>
      </w:r>
      <w:r>
        <w:rPr>
          <w:vertAlign w:val="superscript"/>
        </w:rPr>
        <w:footnoteReference w:id="92"/>
      </w:r>
      <w:r w:rsidRPr="000304F4" w:rsidR="000304F4">
        <w:t xml:space="preserve">  ITI also argues in favor of a refund requirement and disclosures on how consumers can obtain refunds.</w:t>
      </w:r>
      <w:r>
        <w:rPr>
          <w:vertAlign w:val="superscript"/>
        </w:rPr>
        <w:footnoteReference w:id="93"/>
      </w:r>
      <w:r w:rsidRPr="000304F4" w:rsidR="000304F4">
        <w:t xml:space="preserve">  The Public Interest Organizations went further, requesting we require companies utilizing the marketing exception to establish escrow funds for such refunds.</w:t>
      </w:r>
      <w:r>
        <w:rPr>
          <w:vertAlign w:val="superscript"/>
        </w:rPr>
        <w:footnoteReference w:id="94"/>
      </w:r>
      <w:r w:rsidRPr="000304F4" w:rsidR="000304F4">
        <w:t xml:space="preserve">  On the other hand, regarding </w:t>
      </w:r>
      <w:bookmarkEnd w:id="48"/>
      <w:r w:rsidRPr="000304F4" w:rsidR="000304F4">
        <w:t>a consumer refund process, many commenters state the Commission should not adopt specific requirements or, generally, that no additional requirements beyond the proposal are necessary.</w:t>
      </w:r>
      <w:r>
        <w:rPr>
          <w:vertAlign w:val="superscript"/>
        </w:rPr>
        <w:footnoteReference w:id="95"/>
      </w:r>
    </w:p>
    <w:p w:rsidR="004226B2" w:rsidRPr="00A51EC3" w:rsidP="00150883" w14:paraId="3A81778E" w14:textId="19EAD20A">
      <w:pPr>
        <w:pStyle w:val="ParaNum"/>
        <w:widowControl/>
      </w:pPr>
      <w:r w:rsidRPr="00A51EC3">
        <w:t xml:space="preserve">We find that it is necessary and appropriate for parties initiating conditional sales contracts to advise buyers at the time of marketing, through a prominent disclosure, that the equipment is subject to FCC rules and delivery is conditional upon </w:t>
      </w:r>
      <w:r w:rsidR="0014188C">
        <w:t xml:space="preserve">successful </w:t>
      </w:r>
      <w:r w:rsidRPr="00A51EC3">
        <w:t>completion of the appropriate equipment authorization process.</w:t>
      </w:r>
      <w:r>
        <w:rPr>
          <w:rStyle w:val="FootnoteReference"/>
        </w:rPr>
        <w:footnoteReference w:id="96"/>
      </w:r>
      <w:r w:rsidRPr="00A51EC3">
        <w:t xml:space="preserve">  </w:t>
      </w:r>
      <w:r w:rsidRPr="00EC6281" w:rsidR="003B44B5">
        <w:t xml:space="preserve">To ensure that our new rules for conditional sales to consumers do not lead to unanticipated problems, we will also require this disclosure to make clear that these rules do not address the applicability of consumer protection, contractual, or other provisions under federal or state law.  </w:t>
      </w:r>
      <w:r w:rsidRPr="000304F4" w:rsidR="000304F4">
        <w:t xml:space="preserve">The contractual nature of these conditional sales, along with the relevant contractual remedies available to the buyers, should provide sufficient incentive for the sellers to ensure that buyers are adequately informed of the conditions of sale, including a refund process, if device authorization is not successfully completed.  Nevertheless, we will require the initiating party to include in their disclosure </w:t>
      </w:r>
      <w:r w:rsidRPr="000C69E6" w:rsidR="000C69E6">
        <w:t>notification of any responsibility of the initiating party to the buyer in the event that the applicable equipment authorization process is not successfully completed, including information regarding any applicable refund policy</w:t>
      </w:r>
      <w:r w:rsidRPr="000304F4" w:rsidR="000304F4">
        <w:t>.  While most consumers are familiar with conditional sales, we find that requiring this information will minimize potential confusion for consumers who are unfamiliar with conditional sales.  A</w:t>
      </w:r>
      <w:r w:rsidR="000B1596">
        <w:t>lthough</w:t>
      </w:r>
      <w:r w:rsidRPr="000304F4" w:rsidR="000304F4">
        <w:t xml:space="preserve"> CTA</w:t>
      </w:r>
      <w:r w:rsidR="0047656F">
        <w:t xml:space="preserve"> </w:t>
      </w:r>
      <w:r w:rsidR="000B1596">
        <w:t>suggest</w:t>
      </w:r>
      <w:r w:rsidR="0047656F">
        <w:t>s</w:t>
      </w:r>
      <w:r w:rsidR="000B1596">
        <w:t xml:space="preserve"> that</w:t>
      </w:r>
      <w:r w:rsidRPr="000304F4" w:rsidR="000304F4">
        <w:t xml:space="preserve"> such disclosure could confuse consumers who are already aware of the applicable refund policy,</w:t>
      </w:r>
      <w:r>
        <w:rPr>
          <w:vertAlign w:val="superscript"/>
        </w:rPr>
        <w:footnoteReference w:id="97"/>
      </w:r>
      <w:r w:rsidRPr="000304F4" w:rsidR="000304F4">
        <w:t xml:space="preserve"> </w:t>
      </w:r>
      <w:r w:rsidR="000B1596">
        <w:t>we find such confusion unlikely</w:t>
      </w:r>
      <w:r w:rsidR="003E3258">
        <w:t>,</w:t>
      </w:r>
      <w:r w:rsidR="000B1596">
        <w:t xml:space="preserve"> and</w:t>
      </w:r>
      <w:r w:rsidRPr="000304F4" w:rsidR="000304F4">
        <w:t xml:space="preserve"> we find on balance that the public interest is better served by making this information available to all consumers as part of the disclosure we are requiring here.  We do not find that it is necessary to require standardized language for the disclosures nor do we believe that we need to take any additional measures to ensure that buyers are informed of the conditional nature of the sales contracts.</w:t>
      </w:r>
    </w:p>
    <w:p w:rsidR="004226B2" w:rsidRPr="00A51EC3" w:rsidP="00150883" w14:paraId="13D46485" w14:textId="60888CC4">
      <w:pPr>
        <w:pStyle w:val="ParaNum"/>
        <w:widowControl/>
      </w:pPr>
      <w:r w:rsidRPr="00A51EC3">
        <w:t xml:space="preserve">However, we do find that it is important to ensure that devices are not delivered to consumers and that distributers, retailers, consumers, and other relevant entities are aware that the devices must not be operated before equipment authorization is complete.  In addition to disclosures, we are adopting the temporary labeling requirement for RF devices when parties engage in pre-sale activities that we proposed for imported devices and extending that requirement to devices under the marketing provisions adopted by this Order for those same pre-sale activities.  In the </w:t>
      </w:r>
      <w:r w:rsidRPr="00A51EC3">
        <w:rPr>
          <w:i/>
          <w:iCs/>
        </w:rPr>
        <w:t xml:space="preserve">NPRM, </w:t>
      </w:r>
      <w:r w:rsidRPr="00A51EC3">
        <w:t>the Commission requested comment about requiring a temporary label on device packaging and what information that label should include.</w:t>
      </w:r>
      <w:r>
        <w:rPr>
          <w:rStyle w:val="FootnoteReference"/>
        </w:rPr>
        <w:footnoteReference w:id="98"/>
      </w:r>
      <w:r w:rsidRPr="00A51EC3">
        <w:t xml:space="preserve">  The Commission went on to propose that devices imported prior to certification </w:t>
      </w:r>
      <w:r w:rsidRPr="00A51EC3">
        <w:t>under the new exception include a temporary removable label that includes a specific warning against premature operation, display, offers for sale, marketing, or sales and asked whether additional information should be incorporated into such a label.</w:t>
      </w:r>
      <w:r>
        <w:rPr>
          <w:rStyle w:val="FootnoteReference"/>
        </w:rPr>
        <w:footnoteReference w:id="99"/>
      </w:r>
      <w:r w:rsidRPr="00A51EC3">
        <w:t xml:space="preserve">  Garmin, INCOMPAS, and Hewlett Packard Enterprise specifically opposed such a requirement, generally stating that it would not be worth the investment in time and material.</w:t>
      </w:r>
      <w:r>
        <w:rPr>
          <w:rStyle w:val="FootnoteReference"/>
        </w:rPr>
        <w:footnoteReference w:id="100"/>
      </w:r>
      <w:r w:rsidRPr="00A51EC3">
        <w:t xml:space="preserve">  While R Street agreed with the requirement,</w:t>
      </w:r>
      <w:r>
        <w:rPr>
          <w:rStyle w:val="FootnoteReference"/>
        </w:rPr>
        <w:footnoteReference w:id="101"/>
      </w:r>
      <w:r w:rsidRPr="00A51EC3">
        <w:t xml:space="preserve"> other supportive comments generally suggested that existing labeling requirements would be sufficient,</w:t>
      </w:r>
      <w:r>
        <w:rPr>
          <w:rStyle w:val="FootnoteReference"/>
        </w:rPr>
        <w:footnoteReference w:id="102"/>
      </w:r>
      <w:r w:rsidRPr="00A51EC3">
        <w:t xml:space="preserve"> or pointed to Commission guidance for temporary physical labels under the e-labeling procedures for RF devices.</w:t>
      </w:r>
      <w:r>
        <w:rPr>
          <w:rStyle w:val="FootnoteReference"/>
        </w:rPr>
        <w:footnoteReference w:id="103"/>
      </w:r>
      <w:r w:rsidRPr="00A51EC3">
        <w:t xml:space="preserve">  No comments supported a temporary labeling requirement beyond that proposed by the Commission.</w:t>
      </w:r>
    </w:p>
    <w:p w:rsidR="004226B2" w:rsidRPr="00A51EC3" w:rsidP="00150883" w14:paraId="5621054D" w14:textId="718D31D0">
      <w:pPr>
        <w:pStyle w:val="ParaNum"/>
        <w:widowControl/>
      </w:pPr>
      <w:r w:rsidRPr="00A51EC3">
        <w:t>We continue to believe that a temporary label indicating the status of RF devices will provide a necessary safeguard against the inadvertent transfer of such devices to consumers and we are adopting the rule in both the importation and marketing provisions with some modifications to the required language for consistency with other provisions in the new rules.</w:t>
      </w:r>
      <w:r>
        <w:rPr>
          <w:rStyle w:val="FootnoteReference"/>
        </w:rPr>
        <w:footnoteReference w:id="104"/>
      </w:r>
      <w:r w:rsidRPr="00A51EC3">
        <w:t xml:space="preserve">  Specifically, when parties engage in pre-sale activities, we clarify that the device or its packaging must prominently display a visible temporary label.  This will ensure that the temporary label is not hidden inside the device packaging where it would not be visible.  We also clarify that the device cannot be displayed to consumers, operated, or delivered to end users until successful completion of the applicable FCC equipment authorization process.  We are not adopting our proposal that the label on imported devices include language prohibiting offers of sale and marketing, thus ensuring consistency in labeling for both imported and domestic devices.  The devices must not be available to consumers until after the successful completion of the certification process and we expect that at the time of sale they will be in compliance with all pertinent information, technical, labeling, and other requirements within our rules.  Because the labels are temporary, we find that it would be unduly burdensome to require the inclusion of any additional information such as authorization status or specific contact information or otherwise include any specific compliance guidance with the rules.  As to compliance via our existing requirements for electronic labeling (e-labeling) of RF devices, it appears likely that commenters are referring to section 2.935(f) of our rules which requires an external removable label that addresses compliance with any applicable Commission requirements.</w:t>
      </w:r>
      <w:r>
        <w:rPr>
          <w:rStyle w:val="FootnoteReference"/>
        </w:rPr>
        <w:footnoteReference w:id="105"/>
      </w:r>
      <w:r w:rsidRPr="00A51EC3">
        <w:t xml:space="preserve">  However, in this case, as the temporary label requirement is specifically codified in our new rule, strict compliance with section 2.935(f) is not necessary and would likely not be desirable.</w:t>
      </w:r>
      <w:r>
        <w:rPr>
          <w:rStyle w:val="FootnoteReference"/>
        </w:rPr>
        <w:footnoteReference w:id="106"/>
      </w:r>
    </w:p>
    <w:p w:rsidR="004226B2" w:rsidRPr="00A51EC3" w:rsidP="00150883" w14:paraId="4BD543A6" w14:textId="50BCE702">
      <w:pPr>
        <w:pStyle w:val="ParaNum"/>
        <w:widowControl/>
      </w:pPr>
      <w:r w:rsidRPr="00A51EC3">
        <w:t xml:space="preserve"> Once authorization has been completed, the RF devices must comply with all pertinent Commission labeling and disclosure requirements.  We adopt our proposal to allow, but not require, the anticipated FCC ID to be included if obscured by a temporary label until equipment authorization is successfully completed.  Otherwise, we are not adopting requirements that specifically detail actions required to ensure compliance in this regard.</w:t>
      </w:r>
      <w:r>
        <w:rPr>
          <w:vertAlign w:val="superscript"/>
        </w:rPr>
        <w:footnoteReference w:id="107"/>
      </w:r>
    </w:p>
    <w:p w:rsidR="004226B2" w:rsidRPr="004226B2" w:rsidP="009C7B73" w14:paraId="4F9107A1" w14:textId="77777777">
      <w:pPr>
        <w:pStyle w:val="Heading2"/>
      </w:pPr>
      <w:r w:rsidRPr="00A51EC3">
        <w:t>Retrieval and Tracking of Unauthorized Devices</w:t>
      </w:r>
    </w:p>
    <w:p w:rsidR="004226B2" w:rsidRPr="00A51EC3" w:rsidP="00150883" w14:paraId="09DE7A8B" w14:textId="79F707AC">
      <w:pPr>
        <w:pStyle w:val="ParaNum"/>
        <w:widowControl/>
      </w:pPr>
      <w:r w:rsidRPr="00A51EC3">
        <w:t xml:space="preserve">As proposed in the importation provision of the </w:t>
      </w:r>
      <w:r w:rsidRPr="00A51EC3">
        <w:rPr>
          <w:i/>
          <w:iCs/>
        </w:rPr>
        <w:t>NPRM</w:t>
      </w:r>
      <w:r w:rsidRPr="00A51EC3">
        <w:t xml:space="preserve">, we are requiring processes to retrieve equipment </w:t>
      </w:r>
      <w:r w:rsidR="00EF2FB5">
        <w:t xml:space="preserve">to be in place </w:t>
      </w:r>
      <w:r w:rsidR="00E203FA">
        <w:t xml:space="preserve">prior to the commencement of </w:t>
      </w:r>
      <w:r w:rsidRPr="00A51EC3">
        <w:t>pre-sale activities, and clarifying that those processes must be implemented, in the event that authorization is not successfully completed.</w:t>
      </w:r>
      <w:r>
        <w:rPr>
          <w:rStyle w:val="FootnoteReference"/>
        </w:rPr>
        <w:footnoteReference w:id="108"/>
      </w:r>
      <w:r w:rsidRPr="00A51EC3">
        <w:t xml:space="preserve">  In this regard, the Commission also asked several questions about the level of detail of the process that should be codified and the requirements for records retention and submission.</w:t>
      </w:r>
      <w:r>
        <w:rPr>
          <w:rStyle w:val="FootnoteReference"/>
        </w:rPr>
        <w:footnoteReference w:id="109"/>
      </w:r>
      <w:r w:rsidRPr="00A51EC3">
        <w:t xml:space="preserve">  With the exception of R Street, commenters do not offer any specific suggestions regarding retrieving equipment if authorization were to be denied, but generally indicate that existing Commission processes are adequate, and advocate a “light touch” regulatory approach.  R Street recommends that we require RF device manufacturers to submit formal plans to retrieve devices to limit the ability for bad actors to let devices simply remain in the public sphere, rather than bear the cost of retrieving the devices.  R Street suggests that these risks could be further limited by features such as a remote shutdown requirement on the devices, but notes that the benefits of such an approach may be limited by the costs of implementing it.</w:t>
      </w:r>
      <w:r>
        <w:rPr>
          <w:rStyle w:val="FootnoteReference"/>
        </w:rPr>
        <w:footnoteReference w:id="110"/>
      </w:r>
      <w:r w:rsidRPr="00A51EC3">
        <w:t xml:space="preserve">  We had asked about this remote shutdown approach, noting some similarity to scenarios in which unauthorized devices operate under a part 5 experimental authorization.</w:t>
      </w:r>
      <w:r>
        <w:rPr>
          <w:rStyle w:val="FootnoteReference"/>
        </w:rPr>
        <w:footnoteReference w:id="111"/>
      </w:r>
    </w:p>
    <w:p w:rsidR="004226B2" w:rsidRPr="00A51EC3" w:rsidP="00150883" w14:paraId="370FCBD0" w14:textId="14EE4A6C">
      <w:pPr>
        <w:pStyle w:val="ParaNum"/>
        <w:widowControl/>
      </w:pPr>
      <w:r w:rsidRPr="00A51EC3">
        <w:t xml:space="preserve">In light of the expanded physical transfer provisions we are adopting in our marketing rule, we find it necessary that the marketing provisions also require a process for retrieval of devices, and completion of that process, in the event that authorization is not successfully completed when parties engage in pre-sale activities.  Although we are adopting this retrieval requirement in both our importation and marketing rules, the language of the two provisions varies slightly to accurately designate the party responsible for the retrieval activities.  For marketed devices, the burden is on the first party to initiate a conditional sales contract or to physically transfer devices, while for imported devices, the burden is on the device manufacturer, developer, importer or ultimate consignee, or their designated customs broker.  In both instances, this will ensure that the party in legal ownership of the devices, regardless of the </w:t>
      </w:r>
      <w:r w:rsidRPr="00A51EC3">
        <w:t>devices’ physical location, will be responsible for maintaining and implementing a process for retrieval if the applicable equipment authorization cannot be successfully completed.  The language we adopt in the importation provision, which was limited to the manufacturer in our proposal, is consistent with party designations referenced in our other existing importation conditions.</w:t>
      </w:r>
    </w:p>
    <w:p w:rsidR="004226B2" w:rsidRPr="00A51EC3" w:rsidP="009C7B73" w14:paraId="740AAF92" w14:textId="77777777">
      <w:pPr>
        <w:pStyle w:val="Heading2"/>
      </w:pPr>
      <w:r w:rsidRPr="00A51EC3">
        <w:t xml:space="preserve">Recordkeeping </w:t>
      </w:r>
    </w:p>
    <w:p w:rsidR="004226B2" w:rsidRPr="00A51EC3" w:rsidP="00150883" w14:paraId="58FE590B" w14:textId="14A9CB4F">
      <w:pPr>
        <w:pStyle w:val="ParaNum"/>
        <w:widowControl/>
      </w:pPr>
      <w:r w:rsidRPr="00A51EC3">
        <w:t xml:space="preserve">In the </w:t>
      </w:r>
      <w:r w:rsidRPr="00A51EC3">
        <w:rPr>
          <w:i/>
          <w:iCs/>
        </w:rPr>
        <w:t>NPRM</w:t>
      </w:r>
      <w:r w:rsidRPr="00A51EC3">
        <w:t>, the Commission proposed a recordkeeping requirement for devices imported prior to equipment authorization that would require manufacturers to maintain, for a period of 5 years, records identifying the recipient of the devices along with information about the devices and the shipping.</w:t>
      </w:r>
      <w:r>
        <w:rPr>
          <w:rStyle w:val="FootnoteReference"/>
        </w:rPr>
        <w:footnoteReference w:id="112"/>
      </w:r>
      <w:r w:rsidRPr="00A51EC3">
        <w:t xml:space="preserve">  The Commission asked several questions related to the need for recordkeeping and related reporting and responsibility issues.</w:t>
      </w:r>
      <w:r>
        <w:rPr>
          <w:rStyle w:val="FootnoteReference"/>
        </w:rPr>
        <w:footnoteReference w:id="113"/>
      </w:r>
      <w:r w:rsidRPr="00A51EC3">
        <w:t xml:space="preserve">  The Commission’s recordkeeping questions were informed by its concerns about situations where pre-ordered devices are not ultimately authorized and enforcement actions may be required.</w:t>
      </w:r>
      <w:r>
        <w:rPr>
          <w:vertAlign w:val="superscript"/>
        </w:rPr>
        <w:footnoteReference w:id="114"/>
      </w:r>
      <w:r w:rsidRPr="00A51EC3">
        <w:t xml:space="preserve">  Commenters generally recommend either no new recordkeeping or minimal requirements.</w:t>
      </w:r>
      <w:r>
        <w:rPr>
          <w:rStyle w:val="FootnoteReference"/>
        </w:rPr>
        <w:footnoteReference w:id="115"/>
      </w:r>
      <w:r w:rsidRPr="00A51EC3">
        <w:t xml:space="preserve">  No commenter supporter additional reporting requirements.  Samsung states that adopting new record retention requirements is not necessary because manufacturers regularly retain records related to equipment authorization that must be presented to the Commission upon request.</w:t>
      </w:r>
      <w:r>
        <w:rPr>
          <w:vertAlign w:val="superscript"/>
        </w:rPr>
        <w:footnoteReference w:id="116"/>
      </w:r>
      <w:r w:rsidRPr="00A51EC3">
        <w:t xml:space="preserve">  Amazon states that an overly prescriptive approach or burdensome reporting and recordkeeping requirements are not necessary to protect consumers.</w:t>
      </w:r>
      <w:r>
        <w:rPr>
          <w:vertAlign w:val="superscript"/>
        </w:rPr>
        <w:footnoteReference w:id="117"/>
      </w:r>
    </w:p>
    <w:p w:rsidR="004226B2" w:rsidRPr="00A51EC3" w:rsidP="00150883" w14:paraId="30AACF24" w14:textId="1F58C427">
      <w:pPr>
        <w:pStyle w:val="ParaNum"/>
        <w:widowControl/>
      </w:pPr>
      <w:r w:rsidRPr="00A51EC3">
        <w:t xml:space="preserve">We find that the recordkeeping requirement proposed in the NPRM is the minimal required to ensure that, should it become necessary, the Commission will have access, as needed for enforcement </w:t>
      </w:r>
      <w:r w:rsidRPr="001153B5">
        <w:t>or other purposes</w:t>
      </w:r>
      <w:r w:rsidRPr="00A51EC3">
        <w:t xml:space="preserve">, to information regarding devices imported prior to authorization.  We therefore adopt the recordkeeping requirement with a change to the party responsible for recordkeeping.  </w:t>
      </w:r>
      <w:r w:rsidR="009E5B6D">
        <w:t>Specifically</w:t>
      </w:r>
      <w:r w:rsidR="00F7582E">
        <w:t>,</w:t>
      </w:r>
      <w:r w:rsidRPr="00A51EC3">
        <w:t xml:space="preserve"> recordkeeping will be the responsibility of the device manufacturer, developer, importer or ultimate consignee, or their designated customs broker.  In addition to being consistent with other importation recordkeeping requirements in our rules, this change also </w:t>
      </w:r>
      <w:r w:rsidR="001B45D7">
        <w:t>acknowledges</w:t>
      </w:r>
      <w:r w:rsidRPr="00A51EC3">
        <w:t xml:space="preserve"> that entities other than a device manufacturer may be responsible for the importation of these devices.</w:t>
      </w:r>
    </w:p>
    <w:p w:rsidR="004226B2" w:rsidRPr="00A51EC3" w:rsidP="00150883" w14:paraId="23D9713F" w14:textId="2B69D500">
      <w:pPr>
        <w:pStyle w:val="ParaNum"/>
        <w:widowControl/>
      </w:pPr>
      <w:r w:rsidRPr="00A51EC3">
        <w:t>Because the new marketing exception we adopt here expressly prohibit</w:t>
      </w:r>
      <w:r>
        <w:t>s</w:t>
      </w:r>
      <w:r w:rsidRPr="00A51EC3">
        <w:t xml:space="preserve"> the delivery to end users any of the subject devices prior to authorization, it follows that compliant entities would maintain </w:t>
      </w:r>
      <w:r w:rsidR="00501EB7">
        <w:t xml:space="preserve">legal or physical </w:t>
      </w:r>
      <w:r w:rsidRPr="00A51EC3">
        <w:t>possession</w:t>
      </w:r>
      <w:r w:rsidR="005B1FF5">
        <w:t>, as appropriate,</w:t>
      </w:r>
      <w:r w:rsidRPr="00A51EC3">
        <w:t xml:space="preserve"> of the pre-ordered devices as provided in our rules.  Thus, we do not see a benefit to imposing reporting requirements, as they would not directly further our underlying goal of keeping unauthorized devices from becoming available to the general public.  Further, we believe that it is good business practice to maintain sales documentation and thoroughly track customers, particularly when, as with our marketing exception, sales are conducted through conditional sales contracts.  We expect that sellers, through the normal course of business, will maintain records of the conditional sales contract permitted by the marketing rule we are adopting through this </w:t>
      </w:r>
      <w:r w:rsidR="000623B1">
        <w:t xml:space="preserve">Report and </w:t>
      </w:r>
      <w:r w:rsidRPr="00A51EC3">
        <w:t>Order.  So, we are not adopting any new reporting requirements</w:t>
      </w:r>
      <w:r>
        <w:t>,</w:t>
      </w:r>
      <w:r w:rsidRPr="00A51EC3">
        <w:t xml:space="preserve"> but we are adopting a recordkeeping requirement consistent with that adopted for devices imported prior to equipment authorization.  The party initiating a conditional sales contract or physically transferring devices under our new marketing exception must maintain, for a period of </w:t>
      </w:r>
      <w:r>
        <w:t>5 years</w:t>
      </w:r>
      <w:r w:rsidRPr="00A51EC3">
        <w:t xml:space="preserve">, records identifying each entity to whom a device is conditionally sold or physically transferred, the device name and product identifier, the quantity conditionally sold or physically transferred, the date on which the device authorization was submitted, </w:t>
      </w:r>
      <w:r w:rsidRPr="00A51EC3">
        <w:t xml:space="preserve">and the expected FCC ID number.  The party initiating the conditional sales contract </w:t>
      </w:r>
      <w:r>
        <w:t xml:space="preserve">or physically transferring devices </w:t>
      </w:r>
      <w:r w:rsidRPr="00A51EC3">
        <w:t>must provide these records upon the request of Commission personnel.</w:t>
      </w:r>
    </w:p>
    <w:p w:rsidR="004226B2" w:rsidRPr="00A51EC3" w:rsidP="009C7B73" w14:paraId="67DA3734" w14:textId="77777777">
      <w:pPr>
        <w:pStyle w:val="Heading2"/>
      </w:pPr>
      <w:r w:rsidRPr="00A51EC3">
        <w:t>Enforcement</w:t>
      </w:r>
    </w:p>
    <w:p w:rsidR="004226B2" w:rsidRPr="00A51EC3" w:rsidP="00150883" w14:paraId="3984C45F" w14:textId="161D29C2">
      <w:pPr>
        <w:pStyle w:val="ParaNum"/>
        <w:widowControl/>
      </w:pPr>
      <w:r w:rsidRPr="00A51EC3">
        <w:t xml:space="preserve">In the </w:t>
      </w:r>
      <w:r w:rsidRPr="00A51EC3">
        <w:rPr>
          <w:i/>
          <w:iCs/>
        </w:rPr>
        <w:t xml:space="preserve">NPRM, </w:t>
      </w:r>
      <w:r w:rsidRPr="00A51EC3">
        <w:t>the Commission asked several questions about the appropriate enforcement actions that should be taken in the event of non-compliance with any of the new importation requirements</w:t>
      </w:r>
      <w:r>
        <w:rPr>
          <w:rStyle w:val="FootnoteReference"/>
        </w:rPr>
        <w:footnoteReference w:id="118"/>
      </w:r>
      <w:r w:rsidRPr="00A51EC3">
        <w:t xml:space="preserve"> and the effect the marketing proposal would have on enforcement activities.</w:t>
      </w:r>
      <w:r>
        <w:rPr>
          <w:rStyle w:val="FootnoteReference"/>
        </w:rPr>
        <w:footnoteReference w:id="119"/>
      </w:r>
      <w:r w:rsidRPr="00A51EC3">
        <w:t xml:space="preserve">  It specifically asked questions about appropriate sanctions for instances where unauthorized devices are delivered to consumers prior to receipt of the equipment authorization, including, for example, whether the base forfeiture for such violations should be based on the number of units delivered and whether the Commission should deny future equipment authorization applications from grantees who deliver unauthorized devices to consumers.</w:t>
      </w:r>
      <w:r>
        <w:rPr>
          <w:rStyle w:val="FootnoteReference"/>
        </w:rPr>
        <w:footnoteReference w:id="120"/>
      </w:r>
      <w:r w:rsidRPr="00A51EC3">
        <w:t xml:space="preserve">  Additionally, the Commission asked about how to hold online vendors accountable and what penalties would apply to any consumer who operates an unauthorized device that was obtained through a violation of our conditional sale procedure.</w:t>
      </w:r>
      <w:r>
        <w:rPr>
          <w:rStyle w:val="FootnoteReference"/>
        </w:rPr>
        <w:footnoteReference w:id="121"/>
      </w:r>
    </w:p>
    <w:p w:rsidR="004226B2" w:rsidRPr="00A51EC3" w:rsidP="00150883" w14:paraId="356E3B5E" w14:textId="77D7B943">
      <w:pPr>
        <w:pStyle w:val="ParaNum"/>
        <w:widowControl/>
      </w:pPr>
      <w:r w:rsidRPr="00A51EC3">
        <w:t>Commenters did not specifically address enforcement related to the importation proposal.  While some commenters expressed concerns about risks to consumers in the event that equipment authorization is not ultimately obtained, none cited this concern as a reason to not adopt the proposed rule.</w:t>
      </w:r>
      <w:r>
        <w:rPr>
          <w:rStyle w:val="FootnoteReference"/>
        </w:rPr>
        <w:footnoteReference w:id="122"/>
      </w:r>
      <w:r w:rsidRPr="00A51EC3">
        <w:t xml:space="preserve">  No commenters provided specific recommendations regarding the consideration of violations or the determination of appropriate penalties.  Any comments that addressed enforcement generally stated that existing enforcement tools would provide sufficient means to address compliance issues without any modification.</w:t>
      </w:r>
      <w:r>
        <w:rPr>
          <w:rStyle w:val="FootnoteReference"/>
        </w:rPr>
        <w:footnoteReference w:id="123"/>
      </w:r>
    </w:p>
    <w:p w:rsidR="004226B2" w:rsidRPr="004226B2" w:rsidP="00150883" w14:paraId="60E84A3B" w14:textId="1B82A854">
      <w:pPr>
        <w:pStyle w:val="ParaNum"/>
        <w:widowControl/>
      </w:pPr>
      <w:bookmarkStart w:id="49" w:name="_Toc54164889"/>
      <w:bookmarkEnd w:id="47"/>
      <w:r w:rsidRPr="00A51EC3">
        <w:t>Commenters generally concurred that the FTC and state agencies and courts would be appropriate venues for consumer contractual complaints.</w:t>
      </w:r>
      <w:r>
        <w:rPr>
          <w:rStyle w:val="FootnoteReference"/>
        </w:rPr>
        <w:footnoteReference w:id="124"/>
      </w:r>
      <w:r w:rsidRPr="00A51EC3">
        <w:t xml:space="preserve">  ITIF states that there is always a risk of bad actors knowingly flouting regulations or small, unsophisticated parties unknowingly failing to comply, but that the risk of non-compliant radios becoming publicly available does not seem to increase with our proposed rule changes.  However, ITIF recommends that we should always view enforcement as a primary concern.</w:t>
      </w:r>
      <w:r>
        <w:rPr>
          <w:vertAlign w:val="superscript"/>
        </w:rPr>
        <w:footnoteReference w:id="125"/>
      </w:r>
      <w:r w:rsidRPr="00A51EC3">
        <w:t xml:space="preserve">  ITI notes existing safeguards that are currently in place via not only the Commission, but also the FTC and States’ Attorneys General, and argues that new Commission enforcement mechanisms are not necessary.</w:t>
      </w:r>
      <w:r>
        <w:rPr>
          <w:rStyle w:val="FootnoteReference"/>
        </w:rPr>
        <w:footnoteReference w:id="126"/>
      </w:r>
      <w:r w:rsidRPr="00A51EC3">
        <w:rPr>
          <w:rStyle w:val="FootnoteReference"/>
          <w:vertAlign w:val="baseline"/>
        </w:rPr>
        <w:t xml:space="preserve">  </w:t>
      </w:r>
      <w:r w:rsidRPr="00A51EC3">
        <w:t>Similarly, CTA argues that consumer redress mechanisms are in place, if necessary, and that if a manufacturer does not deliver a device where a customer remitted some consideration, the FTC and state consumer protection agencies are experts in redressing such harms.</w:t>
      </w:r>
      <w:r>
        <w:rPr>
          <w:rStyle w:val="FootnoteReference"/>
        </w:rPr>
        <w:footnoteReference w:id="127"/>
      </w:r>
    </w:p>
    <w:p w:rsidR="004226B2" w:rsidRPr="00A51EC3" w:rsidP="00150883" w14:paraId="4A74A568" w14:textId="29EB2B9D">
      <w:pPr>
        <w:pStyle w:val="ParaNum"/>
        <w:widowControl/>
      </w:pPr>
      <w:r w:rsidRPr="00A51EC3">
        <w:t>We find that other agencies, including the Federal Trade Commission and the various states’ attorneys general, would be the appropriate venues for consumer complaints about these issues and we will not implement additional enforcement measures at this time.</w:t>
      </w:r>
      <w:r w:rsidRPr="004226B2">
        <w:t xml:space="preserve">  Our rules already include </w:t>
      </w:r>
      <w:r w:rsidRPr="004226B2">
        <w:t>exceptions for marketing prior to equipment authorization.  Although the exception that we adopt today provides for a greater scale of pre-authorization device marketing, we believe that our existing enforcement measures will be sufficient to mitigate and address potential harm.</w:t>
      </w:r>
    </w:p>
    <w:p w:rsidR="004226B2" w:rsidRPr="00A51EC3" w:rsidP="009C7B73" w14:paraId="77FA56CD" w14:textId="77777777">
      <w:pPr>
        <w:pStyle w:val="Heading2"/>
      </w:pPr>
      <w:bookmarkStart w:id="50" w:name="_Hlk55396668"/>
      <w:bookmarkEnd w:id="49"/>
      <w:r w:rsidRPr="00A51EC3">
        <w:t>Open proceeding</w:t>
      </w:r>
    </w:p>
    <w:p w:rsidR="004226B2" w:rsidRPr="00A51EC3" w:rsidP="00150883" w14:paraId="59E0F660" w14:textId="3DF4EBA5">
      <w:pPr>
        <w:pStyle w:val="ParaNum"/>
        <w:widowControl/>
      </w:pPr>
      <w:r w:rsidRPr="00A51EC3">
        <w:t xml:space="preserve">In the </w:t>
      </w:r>
      <w:r w:rsidRPr="00A51EC3">
        <w:rPr>
          <w:i/>
          <w:iCs/>
        </w:rPr>
        <w:t>NPRM</w:t>
      </w:r>
      <w:r w:rsidRPr="00A51EC3">
        <w:t>, the Commission acknowledged an open equipment authorization proceeding, ET Docket 15-170,</w:t>
      </w:r>
      <w:r>
        <w:rPr>
          <w:rStyle w:val="FootnoteReference"/>
        </w:rPr>
        <w:footnoteReference w:id="128"/>
      </w:r>
      <w:r w:rsidRPr="00A51EC3">
        <w:t xml:space="preserve"> which also asked questions about importation, and tentatively concluded that its new marketing and importation proposals may be acted upon separately.</w:t>
      </w:r>
      <w:r>
        <w:rPr>
          <w:rStyle w:val="FootnoteReference"/>
        </w:rPr>
        <w:footnoteReference w:id="129"/>
      </w:r>
      <w:r w:rsidRPr="00A51EC3">
        <w:t xml:space="preserve">  Two commenters specifically requested that we also take action on two proposals from ET Docket 15-170.</w:t>
      </w:r>
    </w:p>
    <w:p w:rsidR="004226B2" w:rsidRPr="00A51EC3" w:rsidP="00150883" w14:paraId="26589D1D" w14:textId="7800E8F6">
      <w:pPr>
        <w:pStyle w:val="ParaNum"/>
        <w:widowControl/>
      </w:pPr>
      <w:r w:rsidRPr="00A51EC3">
        <w:t>In the context of our importation exception, Garmin suggests that we revisit the Commission’s outstanding proposal for “provisional certification.”</w:t>
      </w:r>
      <w:r>
        <w:rPr>
          <w:rStyle w:val="FootnoteReference"/>
        </w:rPr>
        <w:footnoteReference w:id="130"/>
      </w:r>
      <w:r w:rsidRPr="00A51EC3">
        <w:t xml:space="preserve">  In the </w:t>
      </w:r>
      <w:r w:rsidRPr="00A51EC3">
        <w:rPr>
          <w:i/>
          <w:iCs/>
        </w:rPr>
        <w:t>2015 Equipment Authorization Notice</w:t>
      </w:r>
      <w:r w:rsidRPr="00A51EC3">
        <w:t>, the Commission discussed the idea of a “provisional certification” as a potential method for addressing the confidentiality concerns of applicants for certification in which granted certifications would not be included in the Commission’s public database before the RF device is made available for sale.  The Commission also suggested that a provisionally certified device could also be imported prior to its acknowledgement in its database.</w:t>
      </w:r>
      <w:r>
        <w:rPr>
          <w:rStyle w:val="FootnoteReference"/>
        </w:rPr>
        <w:footnoteReference w:id="131"/>
      </w:r>
      <w:r w:rsidRPr="00A51EC3">
        <w:t xml:space="preserve">  Garmin submitted several filings in support of the proposal in ET Docket 15-170.</w:t>
      </w:r>
      <w:r>
        <w:rPr>
          <w:rStyle w:val="FootnoteReference"/>
        </w:rPr>
        <w:footnoteReference w:id="132"/>
      </w:r>
      <w:r w:rsidRPr="00A51EC3">
        <w:t xml:space="preserve">  As a provisional grant of certification procedure would affect all stakeholders in the equipment authorization process, it goes beyond the narrow focus of this proceeding, the marketing and importation rules.  Thus, we do not believe that this Report and Order provides an appropriate venue for the proposal’s consideration.</w:t>
      </w:r>
      <w:r>
        <w:rPr>
          <w:rStyle w:val="FootnoteReference"/>
        </w:rPr>
        <w:footnoteReference w:id="133"/>
      </w:r>
      <w:r w:rsidRPr="00A51EC3">
        <w:t xml:space="preserve">  Additionally, as an alternative to the provisional grant proposal, Garmin also includes an entirely new proposal for a “deferred grant eligibility confirmation letter” which would be issued by a TCB prior to the grant of certification.  Such a letter would indicate the device has met the equipment authorization requirements and the grant would not occur until a date specified by the applicant.</w:t>
      </w:r>
      <w:r>
        <w:rPr>
          <w:rStyle w:val="FootnoteReference"/>
        </w:rPr>
        <w:footnoteReference w:id="134"/>
      </w:r>
      <w:r w:rsidRPr="00A51EC3">
        <w:rPr>
          <w:rStyle w:val="FootnoteReference"/>
          <w:vertAlign w:val="baseline"/>
        </w:rPr>
        <w:t xml:space="preserve">  </w:t>
      </w:r>
      <w:r w:rsidRPr="00A51EC3">
        <w:t>This proposal would similarly impact many aspects of the equipment authorization process, and the responsibilities of TCBs, in particular, so we likewise believe it is beyond the scope of this proceeding.</w:t>
      </w:r>
    </w:p>
    <w:p w:rsidR="004226B2" w:rsidRPr="00A51EC3" w:rsidP="00150883" w14:paraId="30902C04" w14:textId="55F62545">
      <w:pPr>
        <w:pStyle w:val="ParaNum"/>
        <w:widowControl/>
      </w:pPr>
      <w:r w:rsidRPr="00A51EC3">
        <w:t>Additionally, one commenter, CTIA suggested that the Commission also act on outstanding proposals related to the certification of modular transmitters.</w:t>
      </w:r>
      <w:r>
        <w:rPr>
          <w:rStyle w:val="FootnoteReference"/>
        </w:rPr>
        <w:footnoteReference w:id="135"/>
      </w:r>
      <w:r w:rsidRPr="00A51EC3">
        <w:t xml:space="preserve">  A modular transmitter is a completely self-contained RF transmitter device that typically </w:t>
      </w:r>
      <w:r w:rsidRPr="00103DEE" w:rsidR="00103DEE">
        <w:t xml:space="preserve">is </w:t>
      </w:r>
      <w:r w:rsidRPr="00A51EC3">
        <w:t>incorporated into another product and is subject to, among others, the requirements of section 15.212 of the Commission’s rules.</w:t>
      </w:r>
      <w:r>
        <w:rPr>
          <w:rStyle w:val="FootnoteReference"/>
        </w:rPr>
        <w:footnoteReference w:id="136"/>
      </w:r>
      <w:r w:rsidRPr="00A51EC3">
        <w:t xml:space="preserve">  The </w:t>
      </w:r>
      <w:r w:rsidRPr="00A51EC3">
        <w:rPr>
          <w:i/>
          <w:iCs/>
        </w:rPr>
        <w:t>2015 Equipment Authorization Notice</w:t>
      </w:r>
      <w:r w:rsidRPr="00A51EC3">
        <w:t xml:space="preserve"> included proposed changes to these requirements and compliance with such requirements in the context of the certification process.</w:t>
      </w:r>
      <w:r>
        <w:rPr>
          <w:rStyle w:val="FootnoteReference"/>
        </w:rPr>
        <w:footnoteReference w:id="137"/>
      </w:r>
      <w:r w:rsidRPr="00A51EC3">
        <w:t xml:space="preserve">  These proposals relate to the certification process and it is not necessary for us to take action at this time to allow us to adopt the instant marketing and importation rules.</w:t>
      </w:r>
    </w:p>
    <w:p w:rsidR="004226B2" w:rsidRPr="00A51EC3" w:rsidP="00B17EAC" w14:paraId="25F55E10" w14:textId="43F14ABB">
      <w:pPr>
        <w:pStyle w:val="Heading1"/>
        <w:widowControl/>
      </w:pPr>
      <w:bookmarkStart w:id="51" w:name="_Toc54164891"/>
      <w:bookmarkEnd w:id="50"/>
      <w:r w:rsidRPr="00A51EC3">
        <w:t>PROCEDURAL MATTERS</w:t>
      </w:r>
      <w:bookmarkEnd w:id="32"/>
      <w:bookmarkEnd w:id="33"/>
      <w:bookmarkEnd w:id="34"/>
      <w:bookmarkEnd w:id="35"/>
      <w:bookmarkEnd w:id="36"/>
      <w:bookmarkEnd w:id="37"/>
      <w:bookmarkEnd w:id="38"/>
      <w:bookmarkEnd w:id="39"/>
      <w:bookmarkEnd w:id="40"/>
      <w:bookmarkEnd w:id="41"/>
      <w:bookmarkEnd w:id="42"/>
      <w:bookmarkEnd w:id="43"/>
      <w:bookmarkEnd w:id="44"/>
      <w:bookmarkEnd w:id="51"/>
    </w:p>
    <w:p w:rsidR="004226B2" w:rsidRPr="00A51EC3" w:rsidP="00150883" w14:paraId="51263FAA" w14:textId="77777777">
      <w:pPr>
        <w:pStyle w:val="ParaNum"/>
        <w:widowControl/>
      </w:pPr>
      <w:r w:rsidRPr="00A51EC3">
        <w:rPr>
          <w:i/>
          <w:iCs/>
        </w:rPr>
        <w:t>Final Regulatory Flexibility Act Analysis</w:t>
      </w:r>
      <w:r w:rsidRPr="00A51EC3">
        <w:t>.  As required by the Regulatory Flexibility Act of 1980, as amended (RFA),</w:t>
      </w:r>
      <w:r>
        <w:rPr>
          <w:rStyle w:val="FootnoteReference"/>
        </w:rPr>
        <w:footnoteReference w:id="138"/>
      </w:r>
      <w:r w:rsidRPr="00A51EC3">
        <w:t xml:space="preserve"> the Commission has prepared a Final Regulatory Flexibility Analysis (FRFA) regarding the possible significant economic impact on small entities of the policies and rules adopted in this Report and Order.  The FRFA is set forth in Appendix B</w:t>
      </w:r>
      <w:r w:rsidRPr="00A51EC3">
        <w:rPr>
          <w:szCs w:val="22"/>
        </w:rPr>
        <w:t>.</w:t>
      </w:r>
      <w:r w:rsidRPr="00A51EC3">
        <w:t xml:space="preserve">  The Commission’s Consumer and Government Affairs Bureau, Reference Information Center, will send a copy of the Report and Order, including the FRFA, to the Chief Counsel for Advocacy of the Small Business Administration.</w:t>
      </w:r>
      <w:r>
        <w:rPr>
          <w:rStyle w:val="FootnoteReference"/>
        </w:rPr>
        <w:footnoteReference w:id="139"/>
      </w:r>
      <w:r w:rsidRPr="00A51EC3">
        <w:t xml:space="preserve">  In addition, the Report and Order and FRFA (or summaries thereof) will be published in the </w:t>
      </w:r>
      <w:r w:rsidRPr="00A51EC3">
        <w:rPr>
          <w:i/>
          <w:iCs/>
        </w:rPr>
        <w:t>Federal Register</w:t>
      </w:r>
      <w:r w:rsidRPr="00A51EC3">
        <w:rPr>
          <w:szCs w:val="22"/>
        </w:rPr>
        <w:t>.</w:t>
      </w:r>
      <w:r>
        <w:rPr>
          <w:rStyle w:val="FootnoteReference"/>
        </w:rPr>
        <w:footnoteReference w:id="140"/>
      </w:r>
    </w:p>
    <w:p w:rsidR="004226B2" w:rsidRPr="00A51EC3" w:rsidP="00150883" w14:paraId="43652AE8" w14:textId="77777777">
      <w:pPr>
        <w:pStyle w:val="ParaNum"/>
        <w:widowControl/>
      </w:pPr>
      <w:r w:rsidRPr="00A51EC3">
        <w:rPr>
          <w:i/>
          <w:iCs/>
        </w:rPr>
        <w:t>Paperwork Reduction Act</w:t>
      </w:r>
      <w:r w:rsidRPr="00A51EC3">
        <w:t>.  This document contains new or modified information collection requirements subject to the Paperwork Reduction Act of 1995 (PRA), Public Law 104-13.</w:t>
      </w:r>
      <w:r>
        <w:rPr>
          <w:rStyle w:val="FootnoteReference"/>
        </w:rPr>
        <w:footnoteReference w:id="141"/>
      </w:r>
      <w:r w:rsidRPr="00A51EC3">
        <w:t xml:space="preserve">  It will be submitted to the Office of Management and Budget (OMB) for review under Section 3507(d) of the PRA. OMB, the general public, and other Federal agencies will be invited to comment on the new or modified information collection requirements contained in this proceeding.  In addition, we note that pursuant to the Small Business Paperwork Relief Act of 2002, Public Law 107-198, </w:t>
      </w:r>
      <w:r w:rsidRPr="00A51EC3">
        <w:rPr>
          <w:i/>
          <w:iCs/>
        </w:rPr>
        <w:t xml:space="preserve">see </w:t>
      </w:r>
      <w:r w:rsidRPr="00A51EC3">
        <w:t>44 U.S.C. § 3506(c)(4), we previously sought specific comment on how the Commission might further reduce the information collection burden for small business concerns with fewer than 25 employees.  We have described impacts that might affect small businesses, which includes most businesses with fewer than 25 employees, in the FRFA, attached as Appendix B.</w:t>
      </w:r>
    </w:p>
    <w:p w:rsidR="004226B2" w:rsidRPr="00A51EC3" w:rsidP="00150883" w14:paraId="7FD9D90E" w14:textId="4C082177">
      <w:pPr>
        <w:pStyle w:val="ParaNum"/>
        <w:widowControl/>
      </w:pPr>
      <w:r w:rsidRPr="00A51EC3">
        <w:rPr>
          <w:i/>
          <w:iCs/>
        </w:rPr>
        <w:t>Congressional Review Act.</w:t>
      </w:r>
      <w:r w:rsidRPr="00A51EC3">
        <w:t xml:space="preserve">  The Commission </w:t>
      </w:r>
      <w:r w:rsidR="00627A4A">
        <w:t xml:space="preserve">has determined, and </w:t>
      </w:r>
      <w:r w:rsidRPr="00A51EC3">
        <w:t>Administrator of the Office of Information and Regulatory Affairs, Office of Management and Budget, concur</w:t>
      </w:r>
      <w:r w:rsidR="00627A4A">
        <w:t>s,</w:t>
      </w:r>
      <w:r w:rsidRPr="00A51EC3">
        <w:t xml:space="preserve"> </w:t>
      </w:r>
      <w:r w:rsidR="00627A4A">
        <w:t>that</w:t>
      </w:r>
      <w:r w:rsidRPr="00A51EC3">
        <w:t xml:space="preserve"> this rule is “non-major” under the Congressional Review Act, 5 U.S.C. </w:t>
      </w:r>
      <w:r w:rsidRPr="004226B2">
        <w:rPr>
          <w:rFonts w:cs="Calibri"/>
        </w:rPr>
        <w:t>§</w:t>
      </w:r>
      <w:r w:rsidRPr="00A51EC3">
        <w:t xml:space="preserve"> 804(2).  The Commission will send a copy of this Report and Order to Congress and the Government Accountability Office pursuant to 5 U.S.C. § 801(a)(1)(A).</w:t>
      </w:r>
    </w:p>
    <w:p w:rsidR="004226B2" w:rsidRPr="00A51EC3" w:rsidP="00B17EAC" w14:paraId="6368F4F4" w14:textId="77777777">
      <w:pPr>
        <w:pStyle w:val="Heading1"/>
        <w:widowControl/>
      </w:pPr>
      <w:bookmarkStart w:id="52" w:name="_Toc276477497"/>
      <w:bookmarkStart w:id="53" w:name="_Toc276477881"/>
      <w:bookmarkStart w:id="54" w:name="_Toc276639676"/>
      <w:bookmarkStart w:id="55" w:name="_Toc278210756"/>
      <w:bookmarkStart w:id="56" w:name="_Toc337037906"/>
      <w:bookmarkStart w:id="57" w:name="_Toc337038081"/>
      <w:bookmarkStart w:id="58" w:name="_Toc337038160"/>
      <w:bookmarkStart w:id="59" w:name="_Toc337040602"/>
      <w:bookmarkStart w:id="60" w:name="_Toc337040726"/>
      <w:bookmarkStart w:id="61" w:name="_Toc337040922"/>
      <w:bookmarkStart w:id="62" w:name="_Toc388552569"/>
      <w:bookmarkStart w:id="63" w:name="_Toc410997748"/>
      <w:bookmarkStart w:id="64" w:name="_Toc410997791"/>
      <w:bookmarkStart w:id="65" w:name="_Toc446680988"/>
      <w:bookmarkStart w:id="66" w:name="_Toc446681036"/>
      <w:bookmarkStart w:id="67" w:name="_Toc42767864"/>
      <w:bookmarkStart w:id="68" w:name="_Toc42768166"/>
      <w:bookmarkStart w:id="69" w:name="_Toc54164892"/>
      <w:r w:rsidRPr="00A51EC3">
        <w:t>ORDERING CLAUSES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226B2" w:rsidRPr="00A51EC3" w:rsidP="00150883" w14:paraId="4C8A330B" w14:textId="77777777">
      <w:pPr>
        <w:pStyle w:val="ParaNum"/>
        <w:widowControl/>
      </w:pPr>
      <w:r w:rsidRPr="00A51EC3">
        <w:rPr>
          <w:b/>
          <w:bCs/>
        </w:rPr>
        <w:t>IT IS ORDERED</w:t>
      </w:r>
      <w:r w:rsidRPr="00A51EC3">
        <w:rPr>
          <w:i/>
          <w:iCs/>
        </w:rPr>
        <w:t xml:space="preserve"> </w:t>
      </w:r>
      <w:r w:rsidRPr="00A51EC3">
        <w:t>that, pursuant to Sections 4(</w:t>
      </w:r>
      <w:r w:rsidRPr="00A51EC3">
        <w:t>i</w:t>
      </w:r>
      <w:r w:rsidRPr="00A51EC3">
        <w:t>), 301, 302, 303(c), 303(f), and 303(r) of the Communications Act of 1934, as amended, 47 U.S.C. §§ 154(</w:t>
      </w:r>
      <w:r w:rsidRPr="00A51EC3">
        <w:t>i</w:t>
      </w:r>
      <w:r w:rsidRPr="00A51EC3">
        <w:t xml:space="preserve">), 301, 302a, 303(c), 303(f), and 303(r), this Report and Order </w:t>
      </w:r>
      <w:r w:rsidRPr="00A51EC3">
        <w:rPr>
          <w:b/>
          <w:bCs/>
        </w:rPr>
        <w:t xml:space="preserve">IS ADOPTED </w:t>
      </w:r>
      <w:r w:rsidRPr="00A51EC3">
        <w:t>as set forth above.</w:t>
      </w:r>
    </w:p>
    <w:p w:rsidR="004226B2" w:rsidRPr="00A51EC3" w:rsidP="00150883" w14:paraId="6CD5173E" w14:textId="3B8039D3">
      <w:pPr>
        <w:pStyle w:val="ParaNum"/>
        <w:widowControl/>
      </w:pPr>
      <w:r w:rsidRPr="00A51EC3">
        <w:rPr>
          <w:b/>
          <w:bCs/>
        </w:rPr>
        <w:t>IT IS FURTHER ORDERED</w:t>
      </w:r>
      <w:r w:rsidRPr="00A51EC3">
        <w:t xml:space="preserve"> that the amendments of the Commission’s rules as set forth in Appendix A ARE ADOPTED, effective thirty days from the date of publication in the Federal Register, except for sections 2.803(c)(2) and 2.1204(a)(11), which contain new or modified information collection requirements that require approval by the Office of Management and Budget under the Paperwork Reduction Act and WILL BECOME EFFECTIVE after the Commission publishes a notice in the Federal Register announcing such approval and the relevant effective date.</w:t>
      </w:r>
    </w:p>
    <w:p w:rsidR="004226B2" w:rsidRPr="00A51EC3" w:rsidP="00150883" w14:paraId="45E99517" w14:textId="77777777">
      <w:pPr>
        <w:pStyle w:val="ParaNum"/>
        <w:widowControl/>
      </w:pPr>
      <w:r w:rsidRPr="00A51EC3">
        <w:rPr>
          <w:b/>
          <w:bCs/>
        </w:rPr>
        <w:t>IT IS FURTHER ORDERED</w:t>
      </w:r>
      <w:r w:rsidRPr="00A51EC3">
        <w:t xml:space="preserve"> that the Commission’s Consumer &amp; Governmental Affairs Bureau, Reference Information Center, </w:t>
      </w:r>
      <w:r w:rsidRPr="00A51EC3">
        <w:rPr>
          <w:b/>
          <w:bCs/>
        </w:rPr>
        <w:t>SHALL SEND</w:t>
      </w:r>
      <w:r w:rsidRPr="00A51EC3">
        <w:t xml:space="preserve"> a copy of this Report and Order, including the Final Regulatory Flexibility Analysis, to the Chief Counsel for Advocacy of the Small Business Administration.</w:t>
      </w:r>
    </w:p>
    <w:p w:rsidR="004226B2" w:rsidRPr="00A51EC3" w:rsidP="00150883" w14:paraId="2D097F07" w14:textId="77777777">
      <w:pPr>
        <w:pStyle w:val="ParaNum"/>
        <w:widowControl/>
      </w:pPr>
      <w:r w:rsidRPr="0038620D">
        <w:rPr>
          <w:b/>
          <w:bCs/>
        </w:rPr>
        <w:t>IT IS FURTHER ORDERED</w:t>
      </w:r>
      <w:r w:rsidRPr="00A51EC3">
        <w:t xml:space="preserve"> that the Commission </w:t>
      </w:r>
      <w:r w:rsidRPr="0038620D">
        <w:rPr>
          <w:b/>
          <w:bCs/>
        </w:rPr>
        <w:t>SHALL SEND</w:t>
      </w:r>
      <w:r w:rsidRPr="00A51EC3">
        <w:t xml:space="preserve"> a copy of this Report and Order in a report to be sent to Congress and the Government Accountability Office pursuant to the Congressional Review Act, see 5 U.S.C. § 801(a)(1)(A).</w:t>
      </w:r>
    </w:p>
    <w:p w:rsidR="004226B2" w:rsidP="004226B2" w14:paraId="605B0A0E" w14:textId="77777777"/>
    <w:p w:rsidR="004226B2" w:rsidP="004226B2" w14:paraId="1F9DA51D" w14:textId="77777777"/>
    <w:p w:rsidR="004226B2" w:rsidP="004226B2" w14:paraId="7DD3FDD5" w14:textId="77777777"/>
    <w:p w:rsidR="00FB6C89" w:rsidP="00FB6C89" w14:paraId="5157675A" w14:textId="5438232B">
      <w:r w:rsidRPr="00A51EC3">
        <w:tab/>
      </w:r>
      <w:r w:rsidRPr="00A51EC3">
        <w:tab/>
      </w:r>
      <w:r w:rsidRPr="00A51EC3">
        <w:tab/>
      </w:r>
      <w:r w:rsidRPr="00A51EC3">
        <w:tab/>
      </w:r>
      <w:r w:rsidRPr="00A51EC3">
        <w:tab/>
      </w:r>
      <w:r>
        <w:tab/>
        <w:t>FEDERAL COMMUNICATIONS COMMISSION</w:t>
      </w:r>
    </w:p>
    <w:p w:rsidR="00FB6C89" w:rsidP="00FB6C89" w14:paraId="2124C9C7" w14:textId="77777777"/>
    <w:p w:rsidR="00FB6C89" w:rsidP="00FB6C89" w14:paraId="1B5DA838" w14:textId="77777777"/>
    <w:p w:rsidR="00FB6C89" w:rsidP="00FB6C89" w14:paraId="730B2669" w14:textId="77777777"/>
    <w:p w:rsidR="00FB6C89" w:rsidP="00FB6C89" w14:paraId="0DCD8195" w14:textId="77777777"/>
    <w:p w:rsidR="00FB6C89" w:rsidP="00FB6C89" w14:paraId="1FF0F94A" w14:textId="77777777">
      <w:r>
        <w:tab/>
      </w:r>
      <w:r>
        <w:tab/>
      </w:r>
      <w:r>
        <w:tab/>
      </w:r>
      <w:r>
        <w:tab/>
      </w:r>
      <w:r>
        <w:tab/>
      </w:r>
      <w:r>
        <w:tab/>
        <w:t>Marlene H. Dortch</w:t>
      </w:r>
    </w:p>
    <w:p w:rsidR="00FB6C89" w:rsidP="00FB6C89" w14:paraId="7A983C49" w14:textId="77777777">
      <w:r>
        <w:tab/>
      </w:r>
      <w:r>
        <w:tab/>
      </w:r>
      <w:r>
        <w:tab/>
      </w:r>
      <w:r>
        <w:tab/>
      </w:r>
      <w:r>
        <w:tab/>
      </w:r>
      <w:r>
        <w:tab/>
        <w:t>Secretary</w:t>
      </w:r>
    </w:p>
    <w:p w:rsidR="005C46FE" w:rsidP="005C46FE" w14:paraId="3C04DE16" w14:textId="77777777"/>
    <w:p w:rsidR="005C46FE" w:rsidP="005C46FE" w14:paraId="6920F779" w14:textId="4DAF2638">
      <w:pPr>
        <w:sectPr w:rsidSect="008941D9">
          <w:headerReference w:type="default" r:id="rId5"/>
          <w:footerReference w:type="default" r:id="rId6"/>
          <w:headerReference w:type="first" r:id="rId7"/>
          <w:footnotePr>
            <w:numRestart w:val="eachSect"/>
          </w:footnotePr>
          <w:endnotePr>
            <w:numFmt w:val="decimal"/>
          </w:endnotePr>
          <w:pgSz w:w="12240" w:h="15840"/>
          <w:pgMar w:top="1440" w:right="1440" w:bottom="720" w:left="1440" w:header="720" w:footer="720" w:gutter="0"/>
          <w:cols w:space="720"/>
          <w:noEndnote/>
          <w:titlePg/>
        </w:sectPr>
      </w:pPr>
    </w:p>
    <w:p w:rsidR="004226B2" w:rsidRPr="004226B2" w:rsidP="005C46FE" w14:paraId="47F50B3E" w14:textId="544E7080">
      <w:pPr>
        <w:jc w:val="center"/>
      </w:pPr>
      <w:r w:rsidRPr="00A51EC3">
        <w:rPr>
          <w:b/>
        </w:rPr>
        <w:t>APPENDIX A</w:t>
      </w:r>
    </w:p>
    <w:p w:rsidR="004226B2" w:rsidRPr="00A51EC3" w:rsidP="004226B2" w14:paraId="1EBD1D4C" w14:textId="77777777">
      <w:pPr>
        <w:numPr>
          <w:ilvl w:val="1"/>
          <w:numId w:val="0"/>
        </w:numPr>
        <w:tabs>
          <w:tab w:val="left" w:pos="-1440"/>
          <w:tab w:val="left" w:pos="-720"/>
        </w:tabs>
        <w:suppressAutoHyphens/>
        <w:spacing w:line="227" w:lineRule="atLeast"/>
        <w:jc w:val="center"/>
        <w:rPr>
          <w:b/>
        </w:rPr>
      </w:pPr>
    </w:p>
    <w:p w:rsidR="004226B2" w:rsidRPr="00A51EC3" w:rsidP="004226B2" w14:paraId="5819A2EE" w14:textId="77777777">
      <w:pPr>
        <w:numPr>
          <w:ilvl w:val="1"/>
          <w:numId w:val="0"/>
        </w:numPr>
        <w:tabs>
          <w:tab w:val="left" w:pos="-1440"/>
          <w:tab w:val="left" w:pos="-720"/>
        </w:tabs>
        <w:suppressAutoHyphens/>
        <w:spacing w:line="227" w:lineRule="atLeast"/>
        <w:jc w:val="center"/>
        <w:rPr>
          <w:b/>
        </w:rPr>
      </w:pPr>
      <w:r w:rsidRPr="00A51EC3">
        <w:rPr>
          <w:b/>
        </w:rPr>
        <w:t>Final Rules</w:t>
      </w:r>
    </w:p>
    <w:p w:rsidR="004226B2" w:rsidRPr="00A51EC3" w:rsidP="004226B2" w14:paraId="6A8C78BF" w14:textId="77777777">
      <w:pPr>
        <w:numPr>
          <w:ilvl w:val="1"/>
          <w:numId w:val="0"/>
        </w:numPr>
        <w:tabs>
          <w:tab w:val="left" w:pos="-1440"/>
          <w:tab w:val="left" w:pos="-720"/>
        </w:tabs>
        <w:suppressAutoHyphens/>
        <w:spacing w:line="227" w:lineRule="atLeast"/>
      </w:pPr>
    </w:p>
    <w:p w:rsidR="004226B2" w:rsidRPr="00A51EC3" w:rsidP="004226B2" w14:paraId="2A0133FE" w14:textId="77777777">
      <w:pPr>
        <w:spacing w:after="120"/>
      </w:pPr>
      <w:r w:rsidRPr="00A51EC3">
        <w:t>For the reasons set forth in the preamble, the Federal Communications Commission amends part 2 of Title 47 of the Code of Federal Regulations as follows:</w:t>
      </w:r>
    </w:p>
    <w:p w:rsidR="004226B2" w:rsidRPr="00A51EC3" w:rsidP="004226B2" w14:paraId="0B3473BD" w14:textId="77777777">
      <w:pPr>
        <w:spacing w:after="120"/>
      </w:pPr>
      <w:r w:rsidRPr="00A51EC3">
        <w:rPr>
          <w:b/>
          <w:bCs/>
        </w:rPr>
        <w:t>Part 2 — FREQUENCY ALLOCATIONS AND RADIO TREATY MATTERS; GENERAL RULES AND REGULATIONS</w:t>
      </w:r>
    </w:p>
    <w:p w:rsidR="004226B2" w:rsidRPr="00A51EC3" w:rsidP="004226B2" w14:paraId="7648D2AD" w14:textId="77777777">
      <w:pPr>
        <w:spacing w:after="120"/>
      </w:pPr>
      <w:r w:rsidRPr="00A51EC3">
        <w:tab/>
        <w:t>1.</w:t>
      </w:r>
      <w:r w:rsidRPr="00A51EC3">
        <w:tab/>
        <w:t>The authority citation for part 2 continues to read as follows:</w:t>
      </w:r>
    </w:p>
    <w:p w:rsidR="004226B2" w:rsidRPr="00A51EC3" w:rsidP="004226B2" w14:paraId="62C73FD1" w14:textId="77777777">
      <w:pPr>
        <w:spacing w:after="120"/>
      </w:pPr>
      <w:r w:rsidRPr="00A51EC3">
        <w:rPr>
          <w:b/>
          <w:bCs/>
        </w:rPr>
        <w:t>Authority</w:t>
      </w:r>
      <w:r w:rsidRPr="00A51EC3">
        <w:t>: 47 U.S.C. 154, 302a, 303, and 336, unless otherwise noted.</w:t>
      </w:r>
    </w:p>
    <w:p w:rsidR="004226B2" w:rsidRPr="00A51EC3" w:rsidP="004226B2" w14:paraId="10E81044" w14:textId="611696C3">
      <w:pPr>
        <w:spacing w:after="120"/>
      </w:pPr>
      <w:r w:rsidRPr="00A51EC3">
        <w:tab/>
        <w:t>2.</w:t>
      </w:r>
      <w:r w:rsidRPr="00A51EC3">
        <w:tab/>
        <w:t xml:space="preserve">In </w:t>
      </w:r>
      <w:r w:rsidR="000E6BE4">
        <w:rPr>
          <w:rFonts w:ascii="Cambria" w:hAnsi="Cambria"/>
          <w:color w:val="002060"/>
        </w:rPr>
        <w:t xml:space="preserve">§ </w:t>
      </w:r>
      <w:r w:rsidRPr="00A51EC3">
        <w:t>2.803(c)(2), remove and reserve paragraph (ii) and revise paragraph (</w:t>
      </w:r>
      <w:r w:rsidRPr="00A51EC3">
        <w:t>i</w:t>
      </w:r>
      <w:r w:rsidRPr="00A51EC3">
        <w:t>) to read as follows:</w:t>
      </w:r>
    </w:p>
    <w:p w:rsidR="004226B2" w:rsidRPr="00A51EC3" w:rsidP="004226B2" w14:paraId="31C4C44A" w14:textId="77777777">
      <w:pPr>
        <w:spacing w:after="120"/>
      </w:pPr>
      <w:r w:rsidRPr="00A51EC3">
        <w:rPr>
          <w:b/>
          <w:bCs/>
          <w:u w:val="single"/>
        </w:rPr>
        <w:t xml:space="preserve">§ </w:t>
      </w:r>
      <w:r w:rsidRPr="00A51EC3">
        <w:rPr>
          <w:b/>
          <w:bCs/>
          <w:u w:val="single"/>
        </w:rPr>
        <w:t>2.803  Marketing</w:t>
      </w:r>
      <w:r w:rsidRPr="00A51EC3">
        <w:rPr>
          <w:b/>
          <w:bCs/>
          <w:u w:val="single"/>
        </w:rPr>
        <w:t xml:space="preserve"> of radio frequency devices prior to equipment authorization.</w:t>
      </w:r>
    </w:p>
    <w:p w:rsidR="004226B2" w:rsidRPr="00A51EC3" w:rsidP="004226B2" w14:paraId="64AB1E93" w14:textId="77777777">
      <w:pPr>
        <w:spacing w:after="120"/>
      </w:pPr>
      <w:r w:rsidRPr="00A51EC3">
        <w:t>* * * * *</w:t>
      </w:r>
    </w:p>
    <w:p w:rsidR="004226B2" w:rsidRPr="00A51EC3" w:rsidP="004226B2" w14:paraId="13C0E97D" w14:textId="77777777">
      <w:pPr>
        <w:spacing w:after="120"/>
      </w:pPr>
      <w:r w:rsidRPr="00A51EC3">
        <w:t>(c) * * *</w:t>
      </w:r>
    </w:p>
    <w:p w:rsidR="004226B2" w:rsidRPr="00A51EC3" w:rsidP="004226B2" w14:paraId="6ACA0C17" w14:textId="77777777">
      <w:pPr>
        <w:spacing w:after="120"/>
      </w:pPr>
      <w:r w:rsidRPr="00A51EC3">
        <w:t>(2) * * *</w:t>
      </w:r>
    </w:p>
    <w:p w:rsidR="000304F4" w:rsidRPr="000304F4" w:rsidP="000304F4" w14:paraId="62DD4F18" w14:textId="6EF8B402">
      <w:pPr>
        <w:spacing w:after="120"/>
        <w:ind w:left="1440"/>
      </w:pPr>
      <w:r w:rsidRPr="000304F4">
        <w:t>(</w:t>
      </w:r>
      <w:r w:rsidRPr="000304F4">
        <w:t>i</w:t>
      </w:r>
      <w:r w:rsidRPr="000304F4">
        <w:t xml:space="preserve">) Conditional sales contracts (including agreements to produce new devices manufactured in accordance with designated specifications), and advertisements for such sales, are permitted under the following conditions:   </w:t>
      </w:r>
    </w:p>
    <w:p w:rsidR="000304F4" w:rsidRPr="000304F4" w:rsidP="000304F4" w14:paraId="5F302AF3" w14:textId="72B2C96A">
      <w:pPr>
        <w:spacing w:after="120"/>
        <w:ind w:left="1440"/>
      </w:pPr>
      <w:r w:rsidRPr="000304F4">
        <w:t>(A) The initiating party must provide to the prospective buyer at the time of marketing, through a prominent disclosure:</w:t>
      </w:r>
    </w:p>
    <w:p w:rsidR="000304F4" w:rsidRPr="000304F4" w:rsidP="000304F4" w14:paraId="55ECA74F" w14:textId="4FE5DD72">
      <w:pPr>
        <w:spacing w:after="120"/>
        <w:ind w:left="2160"/>
      </w:pPr>
      <w:r w:rsidRPr="000304F4">
        <w:rPr>
          <w:i/>
          <w:iCs/>
        </w:rPr>
        <w:t>1</w:t>
      </w:r>
      <w:r w:rsidRPr="000304F4">
        <w:t xml:space="preserve">. notification that the equipment is subject to the FCC rules and delivery to the end user is conditional upon successful completion of the applicable equipment authorization </w:t>
      </w:r>
      <w:r w:rsidRPr="000304F4">
        <w:t>process;</w:t>
      </w:r>
      <w:r w:rsidRPr="000304F4">
        <w:t xml:space="preserve">  </w:t>
      </w:r>
    </w:p>
    <w:p w:rsidR="000304F4" w:rsidRPr="000304F4" w:rsidP="000304F4" w14:paraId="72DB6547" w14:textId="406D34A8">
      <w:pPr>
        <w:spacing w:after="120"/>
        <w:ind w:left="2160"/>
      </w:pPr>
      <w:r w:rsidRPr="000304F4">
        <w:rPr>
          <w:i/>
          <w:iCs/>
        </w:rPr>
        <w:t>2</w:t>
      </w:r>
      <w:r w:rsidRPr="000304F4">
        <w:t xml:space="preserve">. notification that FCC rules do not address the applicability of consumer protection, contractual, or other provisions under federal or state law; and </w:t>
      </w:r>
    </w:p>
    <w:p w:rsidR="000304F4" w:rsidRPr="000304F4" w:rsidP="000304F4" w14:paraId="65C93DFE" w14:textId="2FD9CE12">
      <w:pPr>
        <w:spacing w:after="120"/>
        <w:ind w:left="2160"/>
      </w:pPr>
      <w:r w:rsidRPr="000304F4">
        <w:rPr>
          <w:i/>
          <w:iCs/>
        </w:rPr>
        <w:t>3.</w:t>
      </w:r>
      <w:r w:rsidRPr="000304F4">
        <w:t xml:space="preserve"> </w:t>
      </w:r>
      <w:r w:rsidRPr="00AD60BC" w:rsidR="00AD60BC">
        <w:t xml:space="preserve">notification of </w:t>
      </w:r>
      <w:r w:rsidRPr="000304F4">
        <w:t xml:space="preserve">any responsibility of the initiating party to the buyer in the event that the applicable equipment authorization process is not successfully completed, including information regarding any applicable refund policy. </w:t>
      </w:r>
    </w:p>
    <w:p w:rsidR="000304F4" w:rsidRPr="000304F4" w:rsidP="000304F4" w14:paraId="745C1402" w14:textId="125B5DF9">
      <w:pPr>
        <w:spacing w:after="120"/>
        <w:ind w:left="1440"/>
      </w:pPr>
      <w:r w:rsidRPr="000304F4">
        <w:t xml:space="preserve">(B) For devices subject to Supplier Declaration of Conformity procedures under subpart J, physical transfer of equipment from the initiating party to other entities, including delivery to the end user, prior to successful completion of the equipment authorization process is prohibited. </w:t>
      </w:r>
    </w:p>
    <w:p w:rsidR="000304F4" w:rsidRPr="000304F4" w:rsidP="000304F4" w14:paraId="0B788FA9" w14:textId="3AA2A2E3">
      <w:pPr>
        <w:spacing w:after="120"/>
        <w:ind w:left="1440"/>
      </w:pPr>
      <w:r w:rsidRPr="000304F4">
        <w:t xml:space="preserve">(C) For devices subject to Certification procedures under subpart J, delivery to the end user prior to successful completion of the equipment authorization process is prohibited; transfer of physical possession of devices to other entities for the sole purpose of pre-sale activity is permitted only after compliance testing by an FCC-recognized accredited testing laboratory is completed and an application for Certification is submitted to an FCC-recognized Telecommunication Certification Body pursuant to </w:t>
      </w:r>
      <w:r w:rsidR="000E6BE4">
        <w:rPr>
          <w:rFonts w:ascii="Cambria" w:hAnsi="Cambria"/>
          <w:color w:val="002060"/>
        </w:rPr>
        <w:t>§</w:t>
      </w:r>
      <w:r w:rsidRPr="000304F4">
        <w:t xml:space="preserve"> 2.911. Pre-sale activity includes packaging and transferring physical possession of devices to distribution centers and retailers.  Pre-sale activity does not include display or demonstration of devices. </w:t>
      </w:r>
    </w:p>
    <w:p w:rsidR="000304F4" w:rsidRPr="000304F4" w:rsidP="000304F4" w14:paraId="2B2BEE7C" w14:textId="77777777">
      <w:pPr>
        <w:spacing w:after="120"/>
        <w:ind w:left="2160"/>
      </w:pPr>
      <w:r w:rsidRPr="000304F4">
        <w:rPr>
          <w:i/>
          <w:iCs/>
        </w:rPr>
        <w:t>1</w:t>
      </w:r>
      <w:r w:rsidRPr="000304F4">
        <w:t>. Each device, or its packaging, physically transferred for the purpose of pre-sale activity must prominently display a visible temporary removable label stating:</w:t>
      </w:r>
    </w:p>
    <w:p w:rsidR="000304F4" w:rsidRPr="000304F4" w:rsidP="000304F4" w14:paraId="4F68C557" w14:textId="0C4FB576">
      <w:pPr>
        <w:tabs>
          <w:tab w:val="left" w:pos="7920"/>
        </w:tabs>
        <w:spacing w:after="120"/>
        <w:ind w:left="2520" w:right="720"/>
        <w:jc w:val="both"/>
      </w:pPr>
      <w:r w:rsidRPr="000304F4">
        <w:t xml:space="preserve">“This device cannot be delivered to end users, displayed, or operated until the device receives certification from the FCC.  Under penalty of law, this label must not be removed prior to </w:t>
      </w:r>
      <w:r w:rsidR="00B850DB">
        <w:t xml:space="preserve">receiving an </w:t>
      </w:r>
      <w:r w:rsidRPr="000304F4">
        <w:t>FCC certification grant.”</w:t>
      </w:r>
    </w:p>
    <w:p w:rsidR="000304F4" w:rsidRPr="000304F4" w:rsidP="000304F4" w14:paraId="01678096" w14:textId="77777777">
      <w:pPr>
        <w:spacing w:after="120"/>
        <w:ind w:left="2160"/>
      </w:pPr>
      <w:r w:rsidRPr="000304F4">
        <w:rPr>
          <w:i/>
          <w:iCs/>
        </w:rPr>
        <w:t>2</w:t>
      </w:r>
      <w:r w:rsidRPr="000304F4">
        <w:t>. The first party to initiate a conditional sales contract under paragraph (c)(2)(</w:t>
      </w:r>
      <w:r w:rsidRPr="000304F4">
        <w:t>i</w:t>
      </w:r>
      <w:r w:rsidRPr="000304F4">
        <w:t>) of this section or to physically transfer devices must have processes in place to retrieve the equipment in the event that the equipment is not successfully certified and must complete such retrieval immediately after a determination is made that the equipment certification cannot be successfully completed.</w:t>
      </w:r>
    </w:p>
    <w:p w:rsidR="000304F4" w:rsidRPr="000304F4" w:rsidP="000304F4" w14:paraId="34A426AC" w14:textId="2D99010E">
      <w:pPr>
        <w:spacing w:after="120"/>
        <w:ind w:left="1440"/>
      </w:pPr>
      <w:r w:rsidRPr="000304F4">
        <w:t>(D) Notwithstanding § 2.926, radiofrequency devices marketed pursuant to paragraph (c)(2)(</w:t>
      </w:r>
      <w:r w:rsidRPr="000304F4">
        <w:t>i</w:t>
      </w:r>
      <w:r w:rsidRPr="000304F4">
        <w:t>) of this section may include the expected FCC ID if obscured by the temporary label described in paragraph (c)(2)(</w:t>
      </w:r>
      <w:r w:rsidRPr="000304F4">
        <w:t>i</w:t>
      </w:r>
      <w:r w:rsidRPr="000304F4">
        <w:t>)(B)(</w:t>
      </w:r>
      <w:r w:rsidRPr="000304F4">
        <w:rPr>
          <w:i/>
          <w:iCs/>
        </w:rPr>
        <w:t>1</w:t>
      </w:r>
      <w:r w:rsidRPr="000304F4">
        <w:t>) of this section or, in the case of electronic labeling, if the expected FCC ID cannot be viewed prior to authorization.</w:t>
      </w:r>
    </w:p>
    <w:p w:rsidR="000304F4" w:rsidRPr="000304F4" w:rsidP="000304F4" w14:paraId="186C5E4B" w14:textId="61CA39AB">
      <w:pPr>
        <w:spacing w:after="120"/>
        <w:ind w:left="1440"/>
      </w:pPr>
      <w:r w:rsidRPr="000304F4">
        <w:t>(E) All radiofrequency devices marketed under paragraph (c)(2)(</w:t>
      </w:r>
      <w:r w:rsidRPr="000304F4">
        <w:t>i</w:t>
      </w:r>
      <w:r w:rsidRPr="000304F4">
        <w:t xml:space="preserve">) of this section must remain under legal ownership of the first party to initiate a conditional sales contract. </w:t>
      </w:r>
    </w:p>
    <w:p w:rsidR="004226B2" w:rsidRPr="00A51EC3" w:rsidP="000304F4" w14:paraId="2112A92E" w14:textId="26134F2E">
      <w:pPr>
        <w:spacing w:after="120"/>
        <w:ind w:left="1440"/>
      </w:pPr>
      <w:r w:rsidRPr="000304F4">
        <w:t>(F) The first party to initiate a conditional sales contract or any party that physically transfers devices under paragraph (c)(2)(</w:t>
      </w:r>
      <w:r w:rsidRPr="000304F4">
        <w:t>i</w:t>
      </w:r>
      <w:r w:rsidRPr="000304F4">
        <w:t>) of this section must maintain, for a period of sixty (60) months, records of each conditional sale contract.  Such records must identify the device name and product identifier, the quantity conditionally sold, the date on which the device authorization was sought, the expected FCC ID number, and the identity of the conditional buyer, including contact information.  The first party to initiate a conditional sales contract or any party that physically transfers devices under paragraph (c)(2)(</w:t>
      </w:r>
      <w:r w:rsidRPr="000304F4">
        <w:t>i</w:t>
      </w:r>
      <w:r w:rsidRPr="000304F4">
        <w:t>) of this section must provide these records upon the request of Commission personnel.</w:t>
      </w:r>
    </w:p>
    <w:p w:rsidR="004226B2" w:rsidRPr="00A51EC3" w:rsidP="004226B2" w14:paraId="63F0FAAD" w14:textId="77777777">
      <w:pPr>
        <w:spacing w:after="120"/>
      </w:pPr>
      <w:r w:rsidRPr="00A51EC3">
        <w:t>* * * * *</w:t>
      </w:r>
    </w:p>
    <w:p w:rsidR="004226B2" w:rsidRPr="00A51EC3" w:rsidP="004226B2" w14:paraId="2190EC44" w14:textId="68F11EEC">
      <w:pPr>
        <w:spacing w:after="120"/>
      </w:pPr>
      <w:r w:rsidRPr="00A51EC3">
        <w:tab/>
        <w:t>3.</w:t>
      </w:r>
      <w:r w:rsidRPr="00A51EC3">
        <w:tab/>
        <w:t xml:space="preserve">Amend </w:t>
      </w:r>
      <w:r w:rsidR="000E6BE4">
        <w:rPr>
          <w:rFonts w:ascii="Cambria" w:hAnsi="Cambria"/>
          <w:color w:val="002060"/>
        </w:rPr>
        <w:t xml:space="preserve">§ </w:t>
      </w:r>
      <w:r w:rsidRPr="00A51EC3">
        <w:t>2.1204 by adding paragraph (a)(11) to read as follows:</w:t>
      </w:r>
    </w:p>
    <w:p w:rsidR="004226B2" w:rsidRPr="00A51EC3" w:rsidP="004226B2" w14:paraId="4FC49EAE" w14:textId="77777777">
      <w:pPr>
        <w:spacing w:after="120"/>
        <w:rPr>
          <w:b/>
          <w:bCs/>
          <w:u w:val="single"/>
        </w:rPr>
      </w:pPr>
      <w:r w:rsidRPr="00A51EC3">
        <w:rPr>
          <w:b/>
          <w:bCs/>
          <w:u w:val="single"/>
        </w:rPr>
        <w:t xml:space="preserve">§ </w:t>
      </w:r>
      <w:r w:rsidRPr="00A51EC3">
        <w:rPr>
          <w:b/>
          <w:bCs/>
          <w:u w:val="single"/>
        </w:rPr>
        <w:t>2.1204  Import</w:t>
      </w:r>
      <w:r w:rsidRPr="00A51EC3">
        <w:rPr>
          <w:b/>
          <w:bCs/>
          <w:u w:val="single"/>
        </w:rPr>
        <w:t xml:space="preserve"> Conditions.</w:t>
      </w:r>
    </w:p>
    <w:p w:rsidR="004226B2" w:rsidRPr="00A51EC3" w:rsidP="004226B2" w14:paraId="450858F8" w14:textId="77777777">
      <w:pPr>
        <w:spacing w:after="120"/>
      </w:pPr>
      <w:r w:rsidRPr="00A51EC3">
        <w:t>(a) * * *</w:t>
      </w:r>
    </w:p>
    <w:p w:rsidR="004226B2" w:rsidRPr="00A51EC3" w:rsidP="004226B2" w14:paraId="6C4A012D" w14:textId="77777777">
      <w:r w:rsidRPr="00A51EC3">
        <w:t>* * * * *</w:t>
      </w:r>
    </w:p>
    <w:p w:rsidR="004226B2" w:rsidRPr="00A51EC3" w:rsidP="004226B2" w14:paraId="6E1C0871" w14:textId="053C2046">
      <w:pPr>
        <w:spacing w:after="120"/>
        <w:ind w:left="720"/>
      </w:pPr>
      <w:r w:rsidRPr="00A51EC3">
        <w:t xml:space="preserve">(11) The radio frequency device is subject to Certification under </w:t>
      </w:r>
      <w:r w:rsidR="000E6BE4">
        <w:rPr>
          <w:rFonts w:ascii="Cambria" w:hAnsi="Cambria"/>
          <w:color w:val="002060"/>
        </w:rPr>
        <w:t>§</w:t>
      </w:r>
      <w:r w:rsidRPr="00A51EC3">
        <w:t xml:space="preserve"> 2.907 and is being imported in quantities of 12,000 or fewer units for pre-sale activity.  For purposes of this paragraph, quantities are determined by the number of devices with the same FCC ID.</w:t>
      </w:r>
    </w:p>
    <w:p w:rsidR="004226B2" w:rsidRPr="00A51EC3" w:rsidP="004226B2" w14:paraId="447CC2DF" w14:textId="77777777">
      <w:pPr>
        <w:spacing w:after="120"/>
        <w:ind w:left="1440"/>
      </w:pPr>
      <w:r w:rsidRPr="00A51EC3">
        <w:t>(</w:t>
      </w:r>
      <w:r w:rsidRPr="00A51EC3">
        <w:t>i</w:t>
      </w:r>
      <w:r w:rsidRPr="00A51EC3">
        <w:t xml:space="preserve">) The Chief, Office of Engineering and Technology, may approve importation of a greater number of units in a manner otherwise consistent with paragraph (a)(11) of this section in response to a specific request. </w:t>
      </w:r>
    </w:p>
    <w:p w:rsidR="004226B2" w:rsidRPr="00A51EC3" w:rsidP="004226B2" w14:paraId="014CCD8A" w14:textId="40A7DCC4">
      <w:pPr>
        <w:spacing w:after="120"/>
        <w:ind w:left="1440"/>
      </w:pPr>
      <w:r w:rsidRPr="00A51EC3">
        <w:t>(ii) Pre-sale activity includes packaging and transferring physical possession of devices to distribution centers and retailers. Pre-sale activity does not include display or demonstration of devices. Except as provided in § 2.803</w:t>
      </w:r>
      <w:r w:rsidR="000A1679">
        <w:t>(c)(2)(</w:t>
      </w:r>
      <w:r w:rsidR="000A1679">
        <w:t>i</w:t>
      </w:r>
      <w:r w:rsidR="000A1679">
        <w:t>)</w:t>
      </w:r>
      <w:r w:rsidRPr="00A51EC3">
        <w:t xml:space="preserve">, the devices must not be delivered to end users, displayed, operated, or sold until equipment Certification under § 2.907 has been obtained. </w:t>
      </w:r>
    </w:p>
    <w:p w:rsidR="004226B2" w:rsidRPr="00A51EC3" w:rsidP="004226B2" w14:paraId="7A75E984" w14:textId="6EAEDD6A">
      <w:pPr>
        <w:spacing w:after="120"/>
        <w:ind w:left="1440"/>
      </w:pPr>
      <w:r w:rsidRPr="00A51EC3">
        <w:t xml:space="preserve">(iii) Radiofrequency devices </w:t>
      </w:r>
      <w:r w:rsidR="004E651D">
        <w:t xml:space="preserve">can only be </w:t>
      </w:r>
      <w:r w:rsidRPr="00A51EC3">
        <w:t xml:space="preserve">imported under the exception of paragraph (11) of this section </w:t>
      </w:r>
      <w:r w:rsidR="004E651D">
        <w:t xml:space="preserve">after compliance testing by an FCC-recognized accredited testing laboratory is completed and an application for certification is </w:t>
      </w:r>
      <w:r w:rsidRPr="00A51EC3">
        <w:t xml:space="preserve">submitted to an FCC-recognized Telecommunication Certification Body pursuant to </w:t>
      </w:r>
      <w:r w:rsidR="000E6BE4">
        <w:rPr>
          <w:rFonts w:ascii="Cambria" w:hAnsi="Cambria"/>
          <w:color w:val="002060"/>
        </w:rPr>
        <w:t>§</w:t>
      </w:r>
      <w:r w:rsidRPr="00A51EC3">
        <w:t xml:space="preserve"> 2.911 of this part;</w:t>
      </w:r>
    </w:p>
    <w:p w:rsidR="004226B2" w:rsidRPr="00A51EC3" w:rsidP="004226B2" w14:paraId="188C6A9D" w14:textId="582E0D98">
      <w:pPr>
        <w:spacing w:after="120"/>
        <w:ind w:left="1440"/>
      </w:pPr>
      <w:r w:rsidRPr="00A51EC3">
        <w:t>(iv) Each device</w:t>
      </w:r>
      <w:r w:rsidRPr="00A51EC3" w:rsidR="00F3000D">
        <w:t xml:space="preserve">, or </w:t>
      </w:r>
      <w:r w:rsidR="00F3000D">
        <w:t>its</w:t>
      </w:r>
      <w:r w:rsidRPr="00A51EC3" w:rsidR="00F3000D">
        <w:t xml:space="preserve"> packaging,</w:t>
      </w:r>
      <w:r w:rsidRPr="00A51EC3">
        <w:t xml:space="preserve"> imported under this exception</w:t>
      </w:r>
      <w:r w:rsidR="00F3000D">
        <w:t xml:space="preserve"> </w:t>
      </w:r>
      <w:r w:rsidRPr="00A51EC3">
        <w:t>must prominently display a visible temporary removable label stating:</w:t>
      </w:r>
    </w:p>
    <w:p w:rsidR="004226B2" w:rsidRPr="00A51EC3" w:rsidP="004226B2" w14:paraId="5DE2B936" w14:textId="2258EED9">
      <w:pPr>
        <w:spacing w:after="120"/>
        <w:ind w:left="2160"/>
      </w:pPr>
      <w:r w:rsidRPr="00A51EC3">
        <w:t>“This device cannot be delivered to end users</w:t>
      </w:r>
      <w:r>
        <w:t>,</w:t>
      </w:r>
      <w:r w:rsidRPr="00A51EC3">
        <w:t xml:space="preserve"> displayed</w:t>
      </w:r>
      <w:r>
        <w:t>,</w:t>
      </w:r>
      <w:r w:rsidRPr="00A51EC3">
        <w:t xml:space="preserve"> or operated until </w:t>
      </w:r>
      <w:r w:rsidR="00B6610C">
        <w:t xml:space="preserve">the </w:t>
      </w:r>
      <w:r w:rsidR="00B6610C">
        <w:t>device receives certification from the</w:t>
      </w:r>
      <w:r w:rsidRPr="00A51EC3">
        <w:t xml:space="preserve"> FCC.  Under penalty of law, this label must not be removed prior to </w:t>
      </w:r>
      <w:r w:rsidR="009967B2">
        <w:t xml:space="preserve">receiving </w:t>
      </w:r>
      <w:r w:rsidR="003F7E2A">
        <w:t xml:space="preserve">an </w:t>
      </w:r>
      <w:r w:rsidRPr="00A51EC3">
        <w:t xml:space="preserve">FCC </w:t>
      </w:r>
      <w:r w:rsidR="00B6610C">
        <w:t>certification grant</w:t>
      </w:r>
      <w:r w:rsidRPr="00A51EC3">
        <w:t>.”</w:t>
      </w:r>
    </w:p>
    <w:p w:rsidR="004226B2" w:rsidRPr="00A51EC3" w:rsidP="004226B2" w14:paraId="5DE844F3" w14:textId="0110149F">
      <w:pPr>
        <w:spacing w:after="120"/>
        <w:ind w:left="1440"/>
      </w:pPr>
      <w:r w:rsidRPr="00A51EC3">
        <w:t>(v) Notwithstanding § 2.926, radiofrequency devices imported pursuant to paragraph (a)(11) of this section may include the expected FCC ID if obscured by the temporary label described in paragraph (a)(11)(</w:t>
      </w:r>
      <w:r w:rsidRPr="00A51EC3" w:rsidR="00230572">
        <w:t>i</w:t>
      </w:r>
      <w:r w:rsidR="00230572">
        <w:t>v</w:t>
      </w:r>
      <w:r w:rsidRPr="00A51EC3">
        <w:t xml:space="preserve">) this section or, in the case of electronic </w:t>
      </w:r>
      <w:r w:rsidR="00B6610C">
        <w:t>labeling</w:t>
      </w:r>
      <w:r w:rsidRPr="00A51EC3">
        <w:t>, if it cannot be viewed prior to authorization.</w:t>
      </w:r>
    </w:p>
    <w:p w:rsidR="004226B2" w:rsidRPr="00A51EC3" w:rsidP="004226B2" w14:paraId="32AA138B" w14:textId="48CFC1DD">
      <w:pPr>
        <w:spacing w:after="120"/>
        <w:ind w:left="1440"/>
      </w:pPr>
      <w:r w:rsidRPr="00A51EC3">
        <w:t xml:space="preserve">(vi) The radiofrequency devices must remain under legal ownership of the device manufacturer, developer, importer or ultimate consignee, or their designated customs broker, and only transferring physical possession of the devices for pre-sale activity as defined in paragraph (a)(11) of this section is permitted prior to Grant of Certification under </w:t>
      </w:r>
      <w:r w:rsidR="000E6BE4">
        <w:rPr>
          <w:rFonts w:ascii="Cambria" w:hAnsi="Cambria"/>
          <w:color w:val="002060"/>
        </w:rPr>
        <w:t>§</w:t>
      </w:r>
      <w:r w:rsidRPr="00A51EC3">
        <w:t xml:space="preserve"> 2.907.  The device manufacturer, developer, importer or ultimate consignee, or their designated customs broker must have processes in place to retrieve the equipment in the event that </w:t>
      </w:r>
      <w:r w:rsidR="005D2EEA">
        <w:t>the equipment</w:t>
      </w:r>
      <w:r w:rsidRPr="00A51EC3" w:rsidR="005D2EEA">
        <w:t xml:space="preserve"> </w:t>
      </w:r>
      <w:r w:rsidRPr="00A51EC3">
        <w:t xml:space="preserve">is not </w:t>
      </w:r>
      <w:r w:rsidR="005D2EEA">
        <w:t>successfully certified</w:t>
      </w:r>
      <w:r w:rsidRPr="00A51EC3" w:rsidR="005D2EEA">
        <w:t xml:space="preserve"> </w:t>
      </w:r>
      <w:r w:rsidRPr="00A51EC3">
        <w:t xml:space="preserve">and must complete such retrieval immediately after </w:t>
      </w:r>
      <w:r w:rsidR="00EE6012">
        <w:t>a determination is made that</w:t>
      </w:r>
      <w:r w:rsidRPr="00A51EC3">
        <w:t xml:space="preserve"> </w:t>
      </w:r>
      <w:r w:rsidR="005004B1">
        <w:t>c</w:t>
      </w:r>
      <w:r w:rsidRPr="00A51EC3" w:rsidR="005004B1">
        <w:t>ertification</w:t>
      </w:r>
      <w:r w:rsidR="005004B1">
        <w:t xml:space="preserve"> </w:t>
      </w:r>
      <w:r w:rsidR="00EE6012">
        <w:t>cannot be successfully completed</w:t>
      </w:r>
      <w:r w:rsidRPr="00A51EC3">
        <w:t>.</w:t>
      </w:r>
    </w:p>
    <w:p w:rsidR="004226B2" w:rsidRPr="00A51EC3" w:rsidP="004226B2" w14:paraId="41BC793D" w14:textId="4578449B">
      <w:pPr>
        <w:spacing w:after="120"/>
        <w:ind w:left="1440"/>
      </w:pPr>
      <w:r w:rsidRPr="00A51EC3">
        <w:t>(vi</w:t>
      </w:r>
      <w:r>
        <w:t>i</w:t>
      </w:r>
      <w:r w:rsidRPr="00A51EC3">
        <w:t xml:space="preserve">) The device manufacturer, developer, importer or ultimate consignee, or their designated customs broker must maintain, for a period of sixty (60) months, records identifying the recipient of devices imported for pre-sale activities.  Such records must identify the device name and product identifier, the quantity shipped, the date on which the device authorization was sought, the expected FCC ID number, and the identity of the recipient, including </w:t>
      </w:r>
      <w:r w:rsidR="00EE6012">
        <w:t>contact information</w:t>
      </w:r>
      <w:r w:rsidRPr="00A51EC3">
        <w:t xml:space="preserve">.  The device manufacturer, developer, importer or ultimate consignee, or their designated customs broker must provide records maintained under </w:t>
      </w:r>
      <w:r>
        <w:t>this provision</w:t>
      </w:r>
      <w:r w:rsidRPr="00A51EC3">
        <w:t xml:space="preserve"> upon the request of Commission personnel.</w:t>
      </w:r>
    </w:p>
    <w:p w:rsidR="004226B2" w:rsidRPr="00A51EC3" w:rsidP="004226B2" w14:paraId="7683E669" w14:textId="77777777">
      <w:pPr>
        <w:spacing w:after="120"/>
        <w:rPr>
          <w:b/>
          <w:bCs/>
        </w:rPr>
      </w:pPr>
      <w:r w:rsidRPr="00A51EC3">
        <w:rPr>
          <w:b/>
          <w:bCs/>
        </w:rPr>
        <w:t>Part 95 — PERSONAL RADIO SERVICES</w:t>
      </w:r>
    </w:p>
    <w:p w:rsidR="004226B2" w:rsidRPr="00A51EC3" w:rsidP="004226B2" w14:paraId="3D2B2E66" w14:textId="77777777">
      <w:pPr>
        <w:spacing w:after="120"/>
      </w:pPr>
      <w:r w:rsidRPr="00A51EC3">
        <w:tab/>
        <w:t>4.</w:t>
      </w:r>
      <w:r w:rsidRPr="00A51EC3">
        <w:tab/>
        <w:t>The authority citation for part 95 continues to read as follows:</w:t>
      </w:r>
    </w:p>
    <w:p w:rsidR="004226B2" w:rsidRPr="00A51EC3" w:rsidP="004226B2" w14:paraId="3C9FDA65" w14:textId="77777777">
      <w:pPr>
        <w:spacing w:after="120"/>
      </w:pPr>
      <w:r w:rsidRPr="00A51EC3">
        <w:rPr>
          <w:b/>
          <w:bCs/>
        </w:rPr>
        <w:t>Authority</w:t>
      </w:r>
      <w:r w:rsidRPr="00A51EC3">
        <w:t>: 47 U.S.C. 154, 303, 307, unless otherwise noted.</w:t>
      </w:r>
    </w:p>
    <w:p w:rsidR="004226B2" w:rsidRPr="00A51EC3" w:rsidP="004226B2" w14:paraId="5B8A1846" w14:textId="654D1C9D">
      <w:pPr>
        <w:spacing w:after="120"/>
      </w:pPr>
      <w:r w:rsidRPr="00A51EC3">
        <w:tab/>
        <w:t>5.</w:t>
      </w:r>
      <w:r w:rsidRPr="00A51EC3">
        <w:tab/>
        <w:t xml:space="preserve">Revise </w:t>
      </w:r>
      <w:r w:rsidR="000E6BE4">
        <w:rPr>
          <w:rFonts w:ascii="Cambria" w:hAnsi="Cambria"/>
          <w:color w:val="002060"/>
        </w:rPr>
        <w:t>§</w:t>
      </w:r>
      <w:r w:rsidRPr="00A51EC3">
        <w:t xml:space="preserve"> 95.391 to read as follows:</w:t>
      </w:r>
    </w:p>
    <w:p w:rsidR="004226B2" w:rsidRPr="00A51EC3" w:rsidP="004226B2" w14:paraId="5BD22F7D" w14:textId="77777777">
      <w:pPr>
        <w:spacing w:after="120"/>
        <w:rPr>
          <w:b/>
          <w:bCs/>
        </w:rPr>
      </w:pPr>
      <w:r w:rsidRPr="00A51EC3">
        <w:rPr>
          <w:b/>
          <w:bCs/>
        </w:rPr>
        <w:t xml:space="preserve">§ </w:t>
      </w:r>
      <w:r w:rsidRPr="00A51EC3">
        <w:rPr>
          <w:b/>
          <w:bCs/>
        </w:rPr>
        <w:t>95.391  Manufacturing</w:t>
      </w:r>
      <w:r w:rsidRPr="00A51EC3">
        <w:rPr>
          <w:b/>
          <w:bCs/>
        </w:rPr>
        <w:t>, importation, and sales of non-certified equipment prohibited.</w:t>
      </w:r>
    </w:p>
    <w:p w:rsidR="004226B2" w:rsidRPr="00A51EC3" w:rsidP="004226B2" w14:paraId="2974A421" w14:textId="77777777">
      <w:r w:rsidRPr="00A51EC3">
        <w:t>No person shall manufacture, import, sell, or offer for sale non-certified equipment for the Personal Radio Services except as provided for in § 2.803(c)(2)(</w:t>
      </w:r>
      <w:r w:rsidRPr="00A51EC3">
        <w:t>i</w:t>
      </w:r>
      <w:r w:rsidRPr="00A51EC3">
        <w:t xml:space="preserve">) and 2.1204(a)(11) of this chapter.  </w:t>
      </w:r>
      <w:r w:rsidRPr="00A51EC3">
        <w:rPr>
          <w:i/>
          <w:iCs/>
        </w:rPr>
        <w:t>See</w:t>
      </w:r>
      <w:r w:rsidRPr="00A51EC3">
        <w:t xml:space="preserve"> § 302(b) of the Communications Act (47 U.S.C. 302a(b)). </w:t>
      </w:r>
      <w:r w:rsidRPr="00A51EC3">
        <w:rPr>
          <w:i/>
          <w:iCs/>
        </w:rPr>
        <w:t>See also</w:t>
      </w:r>
      <w:r w:rsidRPr="00A51EC3">
        <w:t xml:space="preserve"> part 2, subpart I (§ 2.801 et seq.) of this chapter for rules governing marketing of radiofrequency devices; part 2, subpart K (§ 2.1201 et seq.) of this chapter for rules governing import conditions.</w:t>
      </w:r>
    </w:p>
    <w:p w:rsidR="004226B2" w:rsidRPr="00A51EC3" w:rsidP="004226B2" w14:paraId="7AC95808" w14:textId="77777777"/>
    <w:p w:rsidR="004226B2" w:rsidRPr="00A51EC3" w:rsidP="004226B2" w14:paraId="19432724" w14:textId="77777777">
      <w:pPr>
        <w:widowControl/>
        <w:rPr>
          <w:b/>
        </w:rPr>
        <w:sectPr w:rsidSect="008941D9">
          <w:footnotePr>
            <w:numRestart w:val="eachSect"/>
          </w:footnotePr>
          <w:endnotePr>
            <w:numFmt w:val="decimal"/>
          </w:endnotePr>
          <w:pgSz w:w="12240" w:h="15840"/>
          <w:pgMar w:top="1440" w:right="1440" w:bottom="720" w:left="1440" w:header="720" w:footer="720" w:gutter="0"/>
          <w:cols w:space="720"/>
          <w:noEndnote/>
          <w:titlePg/>
        </w:sectPr>
      </w:pPr>
    </w:p>
    <w:p w:rsidR="004226B2" w:rsidRPr="00A51EC3" w:rsidP="004226B2" w14:paraId="404149D9" w14:textId="77777777">
      <w:pPr>
        <w:widowControl/>
        <w:jc w:val="center"/>
        <w:rPr>
          <w:rFonts w:ascii="Times" w:hAnsi="Times" w:cs="Times"/>
          <w:b/>
          <w:bCs/>
        </w:rPr>
      </w:pPr>
      <w:r w:rsidRPr="00A51EC3">
        <w:rPr>
          <w:b/>
        </w:rPr>
        <w:t>APPENDIX</w:t>
      </w:r>
      <w:r w:rsidRPr="00A51EC3">
        <w:rPr>
          <w:rFonts w:ascii="Times" w:hAnsi="Times" w:cs="Times"/>
          <w:b/>
          <w:bCs/>
        </w:rPr>
        <w:t xml:space="preserve"> B</w:t>
      </w:r>
    </w:p>
    <w:p w:rsidR="004226B2" w:rsidRPr="00A51EC3" w:rsidP="004226B2" w14:paraId="23BAE565" w14:textId="77777777">
      <w:pPr>
        <w:pStyle w:val="ParaNum"/>
        <w:numPr>
          <w:ilvl w:val="0"/>
          <w:numId w:val="0"/>
        </w:numPr>
        <w:ind w:left="720"/>
      </w:pPr>
    </w:p>
    <w:p w:rsidR="004226B2" w:rsidRPr="00A51EC3" w:rsidP="003D66CA" w14:paraId="53FF2C2E" w14:textId="77777777">
      <w:pPr>
        <w:pStyle w:val="ParaNum"/>
        <w:numPr>
          <w:ilvl w:val="0"/>
          <w:numId w:val="0"/>
        </w:numPr>
        <w:jc w:val="center"/>
        <w:rPr>
          <w:b/>
          <w:caps/>
        </w:rPr>
      </w:pPr>
      <w:r w:rsidRPr="00A51EC3">
        <w:rPr>
          <w:b/>
          <w:caps/>
        </w:rPr>
        <w:t>Final Regulatory Flexibility Analysis</w:t>
      </w:r>
    </w:p>
    <w:p w:rsidR="000B1409" w:rsidRPr="009E1A9E" w:rsidP="00E31689" w14:paraId="3546B3EE" w14:textId="77777777">
      <w:pPr>
        <w:pStyle w:val="ParaNum"/>
        <w:numPr>
          <w:ilvl w:val="0"/>
          <w:numId w:val="0"/>
        </w:numPr>
        <w:spacing w:after="0"/>
        <w:rPr>
          <w:b/>
        </w:rPr>
      </w:pPr>
    </w:p>
    <w:p w:rsidR="000B1409" w:rsidRPr="009E1A9E" w:rsidP="003D66CA" w14:paraId="74718E39" w14:textId="77777777">
      <w:pPr>
        <w:pStyle w:val="ParaNum"/>
        <w:widowControl/>
        <w:numPr>
          <w:ilvl w:val="0"/>
          <w:numId w:val="3"/>
        </w:numPr>
        <w:tabs>
          <w:tab w:val="clear" w:pos="1080"/>
          <w:tab w:val="num" w:pos="1440"/>
        </w:tabs>
      </w:pPr>
      <w:r w:rsidRPr="0045533F">
        <w:t>As required by the Regulatory Flexibility Act of 1980, as amended (RFA),</w:t>
      </w:r>
      <w:r>
        <w:rPr>
          <w:sz w:val="20"/>
          <w:vertAlign w:val="superscript"/>
        </w:rPr>
        <w:footnoteReference w:id="142"/>
      </w:r>
      <w:r w:rsidRPr="0045533F">
        <w:t xml:space="preserve"> an Initial Regulatory Flexibility Analysis (IRFA) was incorporated in </w:t>
      </w:r>
      <w:r w:rsidRPr="00150883">
        <w:rPr>
          <w:i/>
          <w:iCs/>
        </w:rPr>
        <w:t>Allowing Earlier Equipment Marketing and Importation Opportunities</w:t>
      </w:r>
      <w:r w:rsidRPr="009E1A9E">
        <w:t xml:space="preserve">, Notice of </w:t>
      </w:r>
      <w:r w:rsidRPr="00042309">
        <w:t>Propose</w:t>
      </w:r>
      <w:r w:rsidRPr="009E1A9E">
        <w:t>d Rulemaking (</w:t>
      </w:r>
      <w:r>
        <w:t>NPRM</w:t>
      </w:r>
      <w:r w:rsidRPr="009E1A9E">
        <w:t>)</w:t>
      </w:r>
      <w:r>
        <w:t>, ET Docket 20-382</w:t>
      </w:r>
      <w:r w:rsidRPr="009E1A9E">
        <w:t>.</w:t>
      </w:r>
      <w:r>
        <w:rPr>
          <w:rStyle w:val="FootnoteReference"/>
        </w:rPr>
        <w:footnoteReference w:id="143"/>
      </w:r>
      <w:r w:rsidRPr="009E1A9E">
        <w:t xml:space="preserve">  </w:t>
      </w:r>
      <w:r w:rsidRPr="0045533F">
        <w:t xml:space="preserve">The Commission sought written public comment on the proposals in the </w:t>
      </w:r>
      <w:r w:rsidRPr="00150883">
        <w:rPr>
          <w:i/>
        </w:rPr>
        <w:t>NPRM</w:t>
      </w:r>
      <w:r w:rsidRPr="0045533F">
        <w:t>, including comment on the IRFA.  This present Final Regulatory Flexibility Analysis (FRFA) conforms to the RFA.</w:t>
      </w:r>
      <w:r>
        <w:rPr>
          <w:vertAlign w:val="superscript"/>
        </w:rPr>
        <w:footnoteReference w:id="144"/>
      </w:r>
    </w:p>
    <w:p w:rsidR="000B1409" w:rsidRPr="009E1A9E" w:rsidP="009C7B73" w14:paraId="436A0C9B" w14:textId="77777777">
      <w:pPr>
        <w:pStyle w:val="Heading2"/>
      </w:pPr>
      <w:r w:rsidRPr="009E1A9E">
        <w:t xml:space="preserve">Need for, and Objectives of, the </w:t>
      </w:r>
      <w:r>
        <w:t>First Report and Order</w:t>
      </w:r>
    </w:p>
    <w:p w:rsidR="000B1409" w:rsidRPr="009E1A9E" w:rsidP="003D66CA" w14:paraId="56725F5D" w14:textId="77777777">
      <w:pPr>
        <w:pStyle w:val="ParaNum"/>
        <w:widowControl/>
      </w:pPr>
      <w:r>
        <w:t>In June 2020, the Consumer Technology Association (CTA) filed a petition for rulemaking seeking modification of the Commission’s rules pertaining to the marketing and importation of radiofrequency (RF) devices.  CTA argued that those rules were out-of-date and may hinder development and deployment of state-of-the-art RF products and services.  In December 2020, after considering the petition, and the general support expressed in the associated record,</w:t>
      </w:r>
      <w:r w:rsidRPr="00E0180B">
        <w:rPr>
          <w:rStyle w:val="Heading1Char"/>
        </w:rPr>
        <w:t xml:space="preserve"> </w:t>
      </w:r>
      <w:r>
        <w:rPr>
          <w:rStyle w:val="FootnoteReference"/>
        </w:rPr>
        <w:footnoteReference w:id="145"/>
      </w:r>
      <w:r>
        <w:t xml:space="preserve"> the Commission initiated this proceeding, proposing changes to our marketing and equipment rules that were informed to a large extent by the CTA Petition.</w:t>
      </w:r>
      <w:r>
        <w:rPr>
          <w:rStyle w:val="FootnoteReference"/>
        </w:rPr>
        <w:footnoteReference w:id="146"/>
      </w:r>
      <w:r>
        <w:t xml:space="preserve"> </w:t>
      </w:r>
    </w:p>
    <w:p w:rsidR="000B1409" w:rsidP="00150883" w14:paraId="7CC15071" w14:textId="77777777">
      <w:pPr>
        <w:pStyle w:val="ParaNum"/>
        <w:widowControl/>
      </w:pPr>
      <w:r>
        <w:t xml:space="preserve">In this Report and Order we adopt targeted enhancements to our </w:t>
      </w:r>
      <w:r w:rsidRPr="009E1A9E">
        <w:t>marketing and importation rules that w</w:t>
      </w:r>
      <w:r>
        <w:t xml:space="preserve">ill </w:t>
      </w:r>
      <w:r w:rsidRPr="009E1A9E">
        <w:t xml:space="preserve">allow equipment manufacturers to better gauge consumer interest and prepare for new product launches.  </w:t>
      </w:r>
      <w:r>
        <w:t xml:space="preserve">Given the </w:t>
      </w:r>
      <w:r w:rsidRPr="009E1A9E">
        <w:t xml:space="preserve">rapid and widespread deployment of </w:t>
      </w:r>
      <w:r>
        <w:t xml:space="preserve">the </w:t>
      </w:r>
      <w:r w:rsidRPr="009E1A9E">
        <w:t xml:space="preserve">radiofrequency </w:t>
      </w:r>
      <w:r>
        <w:t xml:space="preserve">(RF) </w:t>
      </w:r>
      <w:r w:rsidRPr="009E1A9E">
        <w:t>devices integral to nearly all aspects of modern life</w:t>
      </w:r>
      <w:r>
        <w:t xml:space="preserve">, these steps will further </w:t>
      </w:r>
      <w:r w:rsidRPr="009E1A9E">
        <w:t>the communications sector</w:t>
      </w:r>
      <w:r>
        <w:t>’s</w:t>
      </w:r>
      <w:r w:rsidRPr="009E1A9E">
        <w:t xml:space="preserve"> </w:t>
      </w:r>
      <w:r>
        <w:t xml:space="preserve">ability </w:t>
      </w:r>
      <w:r w:rsidRPr="009E1A9E">
        <w:t>to drive innovation</w:t>
      </w:r>
      <w:r>
        <w:t xml:space="preserve"> and</w:t>
      </w:r>
      <w:r w:rsidRPr="009E1A9E">
        <w:t xml:space="preserve"> promote economic growth</w:t>
      </w:r>
      <w:r>
        <w:t xml:space="preserve">.  </w:t>
      </w:r>
      <w:r w:rsidRPr="009E1A9E">
        <w:t xml:space="preserve">As product development cycles have accelerated, new marketplace models </w:t>
      </w:r>
      <w:r>
        <w:t xml:space="preserve">and assessment tools have emerged </w:t>
      </w:r>
      <w:r w:rsidRPr="009E1A9E">
        <w:t xml:space="preserve">that rely on individual interest to fund products </w:t>
      </w:r>
      <w:r>
        <w:t xml:space="preserve">and allow </w:t>
      </w:r>
      <w:r w:rsidRPr="009E1A9E">
        <w:t>sellers to optimize the number of products they produce or import to match anticipated sales.</w:t>
      </w:r>
      <w:r>
        <w:t xml:space="preserve">  </w:t>
      </w:r>
      <w:r w:rsidRPr="009E1A9E">
        <w:t xml:space="preserve">The </w:t>
      </w:r>
      <w:r>
        <w:t xml:space="preserve">rules we adopt will allow manufacturers to better utilize these tools to speed </w:t>
      </w:r>
      <w:r w:rsidRPr="009E1A9E">
        <w:t xml:space="preserve">the newest technologies and must-have devices </w:t>
      </w:r>
      <w:r>
        <w:t xml:space="preserve">to </w:t>
      </w:r>
      <w:r w:rsidRPr="009E1A9E">
        <w:t xml:space="preserve">consumers.  </w:t>
      </w:r>
      <w:r>
        <w:t>We have crafted these rules in a manner that will not harm the underlying goals of t</w:t>
      </w:r>
      <w:r w:rsidRPr="009E1A9E">
        <w:t>he Commission’s equipment authorization program</w:t>
      </w:r>
      <w:r>
        <w:t>:  e</w:t>
      </w:r>
      <w:r w:rsidRPr="009E1A9E">
        <w:t>nsuring that the communications equipment Americans rely on every day, such as their cellphones and Wi-Fi devices, comply with the Commission’s technical rules</w:t>
      </w:r>
      <w:r>
        <w:t xml:space="preserve">; and </w:t>
      </w:r>
      <w:r w:rsidRPr="009E1A9E">
        <w:t>provid</w:t>
      </w:r>
      <w:r>
        <w:t>ing</w:t>
      </w:r>
      <w:r w:rsidRPr="009E1A9E">
        <w:t xml:space="preserve"> assurance to all spectrum users that their devices will work as intended and operate free from harmful interference</w:t>
      </w:r>
      <w:r>
        <w:t>.</w:t>
      </w:r>
    </w:p>
    <w:p w:rsidR="000B1409" w:rsidRPr="0045533F" w:rsidP="009C7B73" w14:paraId="1F380134" w14:textId="77777777">
      <w:pPr>
        <w:pStyle w:val="Heading2"/>
      </w:pPr>
      <w:bookmarkStart w:id="70" w:name="_Toc56528945"/>
      <w:r w:rsidRPr="0045533F">
        <w:t>Summary of Significant Issues Raised by Public Comments in Response to the IRFA</w:t>
      </w:r>
      <w:bookmarkEnd w:id="70"/>
    </w:p>
    <w:p w:rsidR="000B1409" w:rsidP="00150883" w14:paraId="4292EEFF" w14:textId="5EE66434">
      <w:pPr>
        <w:pStyle w:val="ParaNum"/>
        <w:widowControl/>
      </w:pPr>
      <w:r w:rsidRPr="0045533F">
        <w:t>There were no comments filed that specifically addressed the rules and polices proposed in the IRFA.</w:t>
      </w:r>
    </w:p>
    <w:p w:rsidR="00B23CB7" w:rsidP="00B23CB7" w14:paraId="479F13EE" w14:textId="3CCC60A9">
      <w:pPr>
        <w:pStyle w:val="ParaNum"/>
        <w:widowControl/>
        <w:numPr>
          <w:ilvl w:val="0"/>
          <w:numId w:val="0"/>
        </w:numPr>
        <w:ind w:firstLine="720"/>
      </w:pPr>
    </w:p>
    <w:p w:rsidR="00B23CB7" w:rsidRPr="0045533F" w:rsidP="00B23CB7" w14:paraId="07A50D03" w14:textId="77777777">
      <w:pPr>
        <w:pStyle w:val="ParaNum"/>
        <w:widowControl/>
        <w:numPr>
          <w:ilvl w:val="0"/>
          <w:numId w:val="0"/>
        </w:numPr>
        <w:ind w:firstLine="720"/>
      </w:pPr>
    </w:p>
    <w:p w:rsidR="000B1409" w:rsidRPr="0045533F" w:rsidP="009C7B73" w14:paraId="19E794F1" w14:textId="77777777">
      <w:pPr>
        <w:pStyle w:val="Heading2"/>
      </w:pPr>
      <w:bookmarkStart w:id="71" w:name="_Toc56528946"/>
      <w:r w:rsidRPr="0045533F">
        <w:t>Response to comments by the Chief Counsel for Advocacy of the Small Business Administration</w:t>
      </w:r>
      <w:bookmarkEnd w:id="71"/>
    </w:p>
    <w:p w:rsidR="000B1409" w:rsidRPr="0045533F" w:rsidP="00150883" w14:paraId="64498F08" w14:textId="77777777">
      <w:pPr>
        <w:pStyle w:val="ParaNum"/>
        <w:widowControl/>
      </w:pPr>
      <w:r w:rsidRPr="0045533F">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147"/>
      </w:r>
      <w:r w:rsidRPr="0045533F">
        <w:t xml:space="preserve">  The Chief Counsel did not file any comments in response to the proposed rules in this proceeding.</w:t>
      </w:r>
    </w:p>
    <w:p w:rsidR="000B1409" w:rsidRPr="0045533F" w:rsidP="009C7B73" w14:paraId="7501098F" w14:textId="77777777">
      <w:pPr>
        <w:pStyle w:val="Heading2"/>
      </w:pPr>
      <w:bookmarkStart w:id="72" w:name="_Toc56528947"/>
      <w:r w:rsidRPr="0045533F">
        <w:t>Description and Estimate of the Number of Small Entities to Which Rules Will Apply</w:t>
      </w:r>
      <w:bookmarkEnd w:id="72"/>
    </w:p>
    <w:p w:rsidR="000B1409" w:rsidRPr="0045533F" w:rsidP="00150883" w14:paraId="43D8A31E" w14:textId="77777777">
      <w:pPr>
        <w:pStyle w:val="ParaNum"/>
        <w:widowControl/>
      </w:pPr>
      <w:r w:rsidRPr="0045533F">
        <w:t>The RFA directs agencies to provide a description of, and where feasible, an estimate of the number of small entities that may be affected by the proposed rules, if adopted.</w:t>
      </w:r>
      <w:r>
        <w:rPr>
          <w:sz w:val="20"/>
          <w:vertAlign w:val="superscript"/>
        </w:rPr>
        <w:footnoteReference w:id="148"/>
      </w:r>
      <w:r w:rsidRPr="0045533F">
        <w:t xml:space="preserve">  The RFA generally defines the term “small entity” as having the same meaning as the terms “small business,” “small organization,” and “small governmental jurisdiction.”</w:t>
      </w:r>
      <w:r>
        <w:rPr>
          <w:sz w:val="20"/>
          <w:vertAlign w:val="superscript"/>
        </w:rPr>
        <w:footnoteReference w:id="149"/>
      </w:r>
      <w:r w:rsidRPr="0045533F">
        <w:t xml:space="preserve">  In addition, the term “small business” has the same meaning as the term “small business concern” under the Small Business Act.</w:t>
      </w:r>
      <w:r>
        <w:rPr>
          <w:vertAlign w:val="superscript"/>
        </w:rPr>
        <w:footnoteReference w:id="150"/>
      </w:r>
      <w:r w:rsidRPr="0045533F">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51"/>
      </w:r>
    </w:p>
    <w:p w:rsidR="000B1409" w:rsidRPr="0045533F" w:rsidP="00150883" w14:paraId="68F68C97" w14:textId="77777777">
      <w:pPr>
        <w:pStyle w:val="ParaNum"/>
        <w:widowControl/>
      </w:pPr>
      <w:r w:rsidRPr="0045533F">
        <w:rPr>
          <w:i/>
          <w:iCs/>
        </w:rPr>
        <w:t>Sm</w:t>
      </w:r>
      <w:bookmarkStart w:id="73" w:name="_Hlk52979113"/>
      <w:r w:rsidRPr="0045533F">
        <w:rPr>
          <w:i/>
          <w:iCs/>
        </w:rPr>
        <w:t xml:space="preserve">all </w:t>
      </w:r>
      <w:r w:rsidRPr="0045533F">
        <w:rPr>
          <w:i/>
        </w:rPr>
        <w:t>Businesses, Small Organizations, Small Governmental Jurisdictions.</w:t>
      </w:r>
      <w:r w:rsidRPr="0045533F">
        <w:t xml:space="preserve">  Our actions, over time, may affect small entities that are not easily categorized at present.  We therefore describe here, at the outset, three broad groups of small entities that could be directly affected herein.</w:t>
      </w:r>
      <w:r>
        <w:rPr>
          <w:sz w:val="20"/>
          <w:szCs w:val="22"/>
          <w:vertAlign w:val="superscript"/>
        </w:rPr>
        <w:footnoteReference w:id="152"/>
      </w:r>
      <w:r w:rsidRPr="0045533F">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szCs w:val="22"/>
          <w:vertAlign w:val="superscript"/>
        </w:rPr>
        <w:footnoteReference w:id="153"/>
      </w:r>
      <w:r w:rsidRPr="0045533F">
        <w:t xml:space="preserve">  These types of small businesses represent 99.9% of all businesses in the United States, which translates to 30.7 million businesses.</w:t>
      </w:r>
      <w:r>
        <w:rPr>
          <w:sz w:val="20"/>
          <w:szCs w:val="22"/>
          <w:vertAlign w:val="superscript"/>
        </w:rPr>
        <w:footnoteReference w:id="154"/>
      </w:r>
    </w:p>
    <w:p w:rsidR="000B1409" w:rsidRPr="0045533F" w:rsidP="00150883" w14:paraId="557C5CC3" w14:textId="75665092">
      <w:pPr>
        <w:pStyle w:val="ParaNum"/>
        <w:widowControl/>
      </w:pPr>
      <w:r w:rsidRPr="0045533F">
        <w:t>Next, the type of small entity described as a “small organization” is generally “any not-for-profit enterprise which is independently owned and operated and is not dominant in its field.”</w:t>
      </w:r>
      <w:r>
        <w:rPr>
          <w:sz w:val="20"/>
          <w:szCs w:val="22"/>
          <w:vertAlign w:val="superscript"/>
        </w:rPr>
        <w:footnoteReference w:id="155"/>
      </w:r>
      <w:r w:rsidR="006D446E">
        <w:t xml:space="preserve"> </w:t>
      </w:r>
      <w:r w:rsidRPr="0045533F">
        <w:t xml:space="preserve"> The Internal Revenue Service (IRS) uses a revenue benchmark of $50,000 or less to delineate its annual electronic filing requirements for small exempt organizations.</w:t>
      </w:r>
      <w:r>
        <w:rPr>
          <w:sz w:val="20"/>
          <w:vertAlign w:val="superscript"/>
        </w:rPr>
        <w:footnoteReference w:id="156"/>
      </w:r>
      <w:r w:rsidRPr="0045533F">
        <w:t xml:space="preserve">  Nationwide, for tax year 2018, there </w:t>
      </w:r>
      <w:r w:rsidRPr="0045533F">
        <w:t>were approximately 571,709 small exempt organizations in the U.S. reporting revenues of $50,000 or less according to the registration and tax data for exempt organizations available from the IRS.</w:t>
      </w:r>
      <w:r>
        <w:rPr>
          <w:sz w:val="20"/>
          <w:szCs w:val="22"/>
          <w:vertAlign w:val="superscript"/>
        </w:rPr>
        <w:footnoteReference w:id="157"/>
      </w:r>
      <w:r w:rsidRPr="0045533F">
        <w:t xml:space="preserve"> </w:t>
      </w:r>
    </w:p>
    <w:p w:rsidR="000B1409" w:rsidRPr="0045533F" w:rsidP="00150883" w14:paraId="1EFF91DD" w14:textId="1BAE3BC2">
      <w:pPr>
        <w:pStyle w:val="ParaNum"/>
        <w:widowControl/>
      </w:pPr>
      <w:r w:rsidRPr="0045533F">
        <w:t>Finally, the small entity described as a “small governmental jurisdiction” is defined generally as “governments of cities, counties, towns, townships, villages, school districts, or special districts, with a population of less than fifty thousand.”</w:t>
      </w:r>
      <w:r>
        <w:rPr>
          <w:sz w:val="20"/>
          <w:szCs w:val="22"/>
          <w:vertAlign w:val="superscript"/>
        </w:rPr>
        <w:footnoteReference w:id="158"/>
      </w:r>
      <w:r w:rsidRPr="0045533F">
        <w:t xml:space="preserve">  U.S. Census Bureau data from the 2017 Census of Governments</w:t>
      </w:r>
      <w:r>
        <w:rPr>
          <w:sz w:val="20"/>
          <w:szCs w:val="22"/>
          <w:vertAlign w:val="superscript"/>
        </w:rPr>
        <w:footnoteReference w:id="159"/>
      </w:r>
      <w:r w:rsidRPr="0045533F">
        <w:t xml:space="preserve"> indicate that there were </w:t>
      </w:r>
      <w:r w:rsidRPr="00C550CB">
        <w:rPr>
          <w:color w:val="000000"/>
        </w:rPr>
        <w:t>90,075 l</w:t>
      </w:r>
      <w:r w:rsidRPr="0045533F">
        <w:t>ocal governmental jurisdictions consisting of general purpose governments and special purpose governments in the United States.</w:t>
      </w:r>
      <w:r>
        <w:rPr>
          <w:sz w:val="20"/>
          <w:szCs w:val="22"/>
          <w:vertAlign w:val="superscript"/>
        </w:rPr>
        <w:footnoteReference w:id="160"/>
      </w:r>
      <w:r w:rsidRPr="0045533F">
        <w:t xml:space="preserve">  Of this number there were 36,931 general purpose governments (county,</w:t>
      </w:r>
      <w:r>
        <w:rPr>
          <w:sz w:val="20"/>
          <w:szCs w:val="22"/>
          <w:vertAlign w:val="superscript"/>
        </w:rPr>
        <w:footnoteReference w:id="161"/>
      </w:r>
      <w:r w:rsidRPr="0045533F">
        <w:t xml:space="preserve"> municipal and town or township</w:t>
      </w:r>
      <w:r>
        <w:rPr>
          <w:sz w:val="20"/>
          <w:szCs w:val="22"/>
          <w:vertAlign w:val="superscript"/>
        </w:rPr>
        <w:footnoteReference w:id="162"/>
      </w:r>
      <w:r w:rsidRPr="0045533F">
        <w:t>) with populations of less than 50,000 and 12,040 special purpose governments</w:t>
      </w:r>
      <w:r w:rsidR="006D446E">
        <w:t>—</w:t>
      </w:r>
      <w:r w:rsidRPr="0045533F">
        <w:t>independent school districts</w:t>
      </w:r>
      <w:r>
        <w:rPr>
          <w:sz w:val="20"/>
          <w:szCs w:val="22"/>
          <w:vertAlign w:val="superscript"/>
        </w:rPr>
        <w:footnoteReference w:id="163"/>
      </w:r>
      <w:r w:rsidRPr="0045533F">
        <w:t xml:space="preserve"> with enrollment </w:t>
      </w:r>
      <w:r w:rsidRPr="0045533F">
        <w:t>populations of less than 50,000.</w:t>
      </w:r>
      <w:r>
        <w:rPr>
          <w:sz w:val="20"/>
          <w:vertAlign w:val="superscript"/>
        </w:rPr>
        <w:footnoteReference w:id="164"/>
      </w:r>
      <w:r w:rsidRPr="0045533F">
        <w:t xml:space="preserve">  Accordingly, based on the 2017 U.S. Census of Governments data, we estimate that at least 48,971 entities fall into the category of “small governmental jurisdictions.”</w:t>
      </w:r>
      <w:r>
        <w:rPr>
          <w:sz w:val="20"/>
          <w:vertAlign w:val="superscript"/>
        </w:rPr>
        <w:footnoteReference w:id="165"/>
      </w:r>
      <w:bookmarkEnd w:id="73"/>
    </w:p>
    <w:p w:rsidR="000B1409" w:rsidRPr="0045533F" w:rsidP="00150883" w14:paraId="4D8B89C6" w14:textId="1BF5FB47">
      <w:pPr>
        <w:pStyle w:val="ParaNum"/>
        <w:widowControl/>
      </w:pPr>
      <w:r w:rsidRPr="0045533F">
        <w:rPr>
          <w:i/>
        </w:rPr>
        <w:t xml:space="preserve">Radio </w:t>
      </w:r>
      <w:r w:rsidRPr="28800D35">
        <w:rPr>
          <w:i/>
        </w:rPr>
        <w:t>Frequency</w:t>
      </w:r>
      <w:r w:rsidRPr="0045533F">
        <w:rPr>
          <w:i/>
        </w:rPr>
        <w:t xml:space="preserve"> Equipment Manufacturers (RF Manufacturers)</w:t>
      </w:r>
      <w:r w:rsidRPr="0045533F">
        <w:t xml:space="preserve">.  Neither the Commission nor the SBA has </w:t>
      </w:r>
      <w:r w:rsidRPr="00C550CB">
        <w:rPr>
          <w:color w:val="000000"/>
        </w:rPr>
        <w:t>developed</w:t>
      </w:r>
      <w:r w:rsidRPr="0045533F">
        <w:t xml:space="preserve"> a </w:t>
      </w:r>
      <w:r w:rsidRPr="00C550CB">
        <w:rPr>
          <w:color w:val="000000"/>
        </w:rPr>
        <w:t>small</w:t>
      </w:r>
      <w:r w:rsidRPr="0045533F">
        <w:t xml:space="preserve"> business size standard applicable to Radio Frequency Equipment </w:t>
      </w:r>
      <w:r>
        <w:t>Manufacturers</w:t>
      </w:r>
      <w:r w:rsidRPr="0045533F">
        <w:t xml:space="preserve"> (RF Manufacturers).  There are several analogous SBA small entity categories applicable to RF Manufacturers</w:t>
      </w:r>
      <w:r w:rsidR="00255FB2">
        <w:t>—</w:t>
      </w:r>
      <w:r w:rsidRPr="0045533F">
        <w:t>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rsidR="000B1409" w:rsidRPr="0045533F" w:rsidP="00150883" w14:paraId="7D315D7F" w14:textId="46B592C8">
      <w:pPr>
        <w:pStyle w:val="ParaNum"/>
        <w:widowControl/>
      </w:pPr>
      <w:r w:rsidRPr="0045533F">
        <w:rPr>
          <w:i/>
        </w:rPr>
        <w:t>Fixed Microwave Services.</w:t>
      </w:r>
      <w:r w:rsidRPr="0045533F">
        <w:t xml:space="preserve">  Microwave services include common carrier,</w:t>
      </w:r>
      <w:r>
        <w:rPr>
          <w:sz w:val="20"/>
          <w:vertAlign w:val="superscript"/>
        </w:rPr>
        <w:footnoteReference w:id="166"/>
      </w:r>
      <w:r w:rsidRPr="0045533F">
        <w:t xml:space="preserve"> private-operational fixed,</w:t>
      </w:r>
      <w:r>
        <w:rPr>
          <w:sz w:val="20"/>
          <w:vertAlign w:val="superscript"/>
        </w:rPr>
        <w:footnoteReference w:id="167"/>
      </w:r>
      <w:r w:rsidRPr="0045533F">
        <w:t xml:space="preserve"> and broadcast auxiliary radio services.</w:t>
      </w:r>
      <w:r>
        <w:rPr>
          <w:sz w:val="20"/>
          <w:vertAlign w:val="superscript"/>
        </w:rPr>
        <w:footnoteReference w:id="168"/>
      </w:r>
      <w:r w:rsidRPr="0045533F">
        <w:t xml:space="preserve">  They also include the Upper Microwave Flexible Use Service,</w:t>
      </w:r>
      <w:r>
        <w:rPr>
          <w:vertAlign w:val="superscript"/>
        </w:rPr>
        <w:footnoteReference w:id="169"/>
      </w:r>
      <w:r w:rsidRPr="0045533F">
        <w:t xml:space="preserve"> Millimeter Wave Service,</w:t>
      </w:r>
      <w:r>
        <w:rPr>
          <w:vertAlign w:val="superscript"/>
        </w:rPr>
        <w:footnoteReference w:id="170"/>
      </w:r>
      <w:r w:rsidRPr="0045533F">
        <w:t xml:space="preserve">  Local Multipoint Distribution Service (LMDS),</w:t>
      </w:r>
      <w:r>
        <w:rPr>
          <w:sz w:val="20"/>
          <w:vertAlign w:val="superscript"/>
        </w:rPr>
        <w:footnoteReference w:id="171"/>
      </w:r>
      <w:r w:rsidRPr="0045533F">
        <w:t xml:space="preserve"> the Digital Electronic Message Service (DEMS),</w:t>
      </w:r>
      <w:r>
        <w:rPr>
          <w:sz w:val="20"/>
          <w:vertAlign w:val="superscript"/>
        </w:rPr>
        <w:footnoteReference w:id="172"/>
      </w:r>
      <w:r w:rsidRPr="0045533F">
        <w:t xml:space="preserve"> and the 24 GHz Service,</w:t>
      </w:r>
      <w:r>
        <w:rPr>
          <w:sz w:val="20"/>
          <w:vertAlign w:val="superscript"/>
        </w:rPr>
        <w:footnoteReference w:id="173"/>
      </w:r>
      <w:r w:rsidRPr="0045533F">
        <w:t xml:space="preserve"> where licensees can choose between common carrier and non-common carrier status.</w:t>
      </w:r>
      <w:r>
        <w:rPr>
          <w:sz w:val="20"/>
          <w:vertAlign w:val="superscript"/>
        </w:rPr>
        <w:footnoteReference w:id="174"/>
      </w:r>
      <w:r w:rsidRPr="0045533F">
        <w:t xml:space="preserve">  There are approximately 66,680</w:t>
      </w:r>
      <w:r w:rsidRPr="0045533F">
        <w:rPr>
          <w:b/>
        </w:rPr>
        <w:t xml:space="preserve"> </w:t>
      </w:r>
      <w:r w:rsidRPr="0045533F">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175"/>
      </w:r>
      <w:r w:rsidRPr="0045533F">
        <w:t xml:space="preserve">  The Commission has not yet defined a small business with respect to microwave services.  The closest applicable SBA category is Wireless Telecommunications Carriers (except Satellite)</w:t>
      </w:r>
      <w:r>
        <w:rPr>
          <w:sz w:val="20"/>
          <w:vertAlign w:val="superscript"/>
        </w:rPr>
        <w:footnoteReference w:id="176"/>
      </w:r>
      <w:r w:rsidRPr="0045533F">
        <w:t xml:space="preserve"> and the appropriate size standard for this category under SBA rules is that such a business is small if it has 1,500 or fewer employees.</w:t>
      </w:r>
      <w:r>
        <w:rPr>
          <w:sz w:val="20"/>
          <w:vertAlign w:val="superscript"/>
        </w:rPr>
        <w:footnoteReference w:id="177"/>
      </w:r>
      <w:r w:rsidRPr="0045533F">
        <w:t xml:space="preserve">  For this industry, U.S. Census Bureau data for 2012 show that there were 967 firms that operated for the </w:t>
      </w:r>
      <w:r w:rsidRPr="0045533F">
        <w:t>entire year.</w:t>
      </w:r>
      <w:r>
        <w:rPr>
          <w:sz w:val="20"/>
          <w:vertAlign w:val="superscript"/>
        </w:rPr>
        <w:footnoteReference w:id="178"/>
      </w:r>
      <w:r w:rsidRPr="0045533F">
        <w:t xml:space="preserve">  Of this total, 955 firms had employment of 999 or fewer employees and 12 had employment of 1000 employees or more.</w:t>
      </w:r>
      <w:r>
        <w:rPr>
          <w:sz w:val="20"/>
          <w:vertAlign w:val="superscript"/>
        </w:rPr>
        <w:footnoteReference w:id="179"/>
      </w:r>
      <w:r w:rsidR="00255FB2">
        <w:t xml:space="preserve"> </w:t>
      </w:r>
      <w:r w:rsidRPr="0045533F">
        <w:t xml:space="preserve"> Thus under this SBA category and the associated size standard, the Commission estimates that a majority of fixed microwave service licensees can be considered small.</w:t>
      </w:r>
    </w:p>
    <w:p w:rsidR="000B1409" w:rsidRPr="0045533F" w:rsidP="00150883" w14:paraId="69DCD8E8" w14:textId="77777777">
      <w:pPr>
        <w:pStyle w:val="ParaNum"/>
        <w:widowControl/>
      </w:pPr>
      <w:r w:rsidRPr="0045533F">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0B1409" w:rsidRPr="0045533F" w:rsidP="00150883" w14:paraId="587A1B37" w14:textId="3ECCE124">
      <w:pPr>
        <w:pStyle w:val="ParaNum"/>
        <w:widowControl/>
      </w:pPr>
      <w:r w:rsidRPr="0045533F">
        <w:rPr>
          <w:i/>
        </w:rPr>
        <w:t>Other Communications Equipment Manufacturing</w:t>
      </w:r>
      <w:r w:rsidRPr="0045533F">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180"/>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181"/>
      </w:r>
      <w:r w:rsidR="00255FB2">
        <w:t xml:space="preserve"> </w:t>
      </w:r>
      <w:r w:rsidRPr="00C54A58">
        <w:t xml:space="preserve"> The SBA has established a size standard for this industry as all such firms having 750 or fewer employees.</w:t>
      </w:r>
      <w:r>
        <w:rPr>
          <w:rStyle w:val="FootnoteReference"/>
        </w:rPr>
        <w:footnoteReference w:id="182"/>
      </w:r>
      <w:r w:rsidRPr="00C54A58">
        <w:t xml:space="preserve"> U.S. Census </w:t>
      </w:r>
      <w:r>
        <w:t xml:space="preserve">Bureau </w:t>
      </w:r>
      <w:r w:rsidRPr="00C54A58">
        <w:t>data for 2012 shows that 383 establishments operated in that year.</w:t>
      </w:r>
      <w:r>
        <w:rPr>
          <w:rStyle w:val="FootnoteReference"/>
        </w:rPr>
        <w:footnoteReference w:id="183"/>
      </w:r>
      <w:r w:rsidRPr="00C54A58">
        <w:t xml:space="preserve">  Of that number, 379 operated with fewer than 500 employees and 4 had 500 to 999 employees.</w:t>
      </w:r>
      <w:r>
        <w:rPr>
          <w:rStyle w:val="FootnoteReference"/>
        </w:rPr>
        <w:footnoteReference w:id="184"/>
      </w:r>
      <w:r w:rsidRPr="00C54A58">
        <w:t xml:space="preserve">  Based on this data, we conclude that the majority of Other Communications Equipment Manufacturers are small.</w:t>
      </w:r>
    </w:p>
    <w:p w:rsidR="000B1409" w:rsidRPr="0045533F" w:rsidP="00150883" w14:paraId="5F72EC23" w14:textId="77777777">
      <w:pPr>
        <w:pStyle w:val="ParaNum"/>
        <w:widowControl/>
      </w:pPr>
      <w:r w:rsidRPr="00C550CB">
        <w:rPr>
          <w:i/>
          <w:color w:val="000000"/>
        </w:rPr>
        <w:t>Radio and Television Broadcasting and Wireless Communications Equipment Manufacturing</w:t>
      </w:r>
      <w:r w:rsidRPr="00C550CB">
        <w:rPr>
          <w:color w:val="000000"/>
        </w:rPr>
        <w:t xml:space="preserve">.  </w:t>
      </w:r>
      <w:r w:rsidRPr="0095338A">
        <w:rPr>
          <w:color w:val="000000"/>
        </w:rPr>
        <w:t xml:space="preserve">This </w:t>
      </w:r>
      <w:r w:rsidRPr="00150883">
        <w:t>industry</w:t>
      </w:r>
      <w:r w:rsidRPr="0095338A">
        <w:rPr>
          <w:color w:val="000000"/>
        </w:rPr>
        <w:t xml:space="preserve"> comprises establishments primarily engaged in manufacturing radio and television broadcast and wireless communications equipment.</w:t>
      </w:r>
      <w:r>
        <w:rPr>
          <w:rStyle w:val="FootnoteReference"/>
        </w:rPr>
        <w:footnoteReference w:id="185"/>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86"/>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87"/>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8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89"/>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r w:rsidRPr="0095338A">
        <w:t xml:space="preserve"> </w:t>
      </w:r>
    </w:p>
    <w:p w:rsidR="000B1409" w:rsidRPr="009E1A9E" w:rsidP="009C7B73" w14:paraId="56D9EEC7" w14:textId="77777777">
      <w:pPr>
        <w:pStyle w:val="Heading2"/>
      </w:pPr>
      <w:r w:rsidRPr="009E1A9E">
        <w:t>Description of Projected Reporting, Recordkeeping, and Other Compliance Requirements for Small Entities</w:t>
      </w:r>
    </w:p>
    <w:p w:rsidR="000B1409" w:rsidRPr="009E1A9E" w:rsidP="00150883" w14:paraId="01AA2FFF" w14:textId="77777777">
      <w:pPr>
        <w:pStyle w:val="ParaNum"/>
        <w:widowControl/>
      </w:pPr>
      <w:r>
        <w:t xml:space="preserve">In the Report and Order, we adopt rules that affect reporting, recordkeeping, and other compliance requirements for small entities.  Regarding marketing of RF devices, the Report and Order will require that the seller of a conditionally-purchased RF device advise the conditional purchaser that the device is subject to FCC rules, and that delivery of the device to the purchaser is contingent upon device compliance with applicable FCC equipment authorization and technical requirements.  Regarding importation of RF devices into the United States prior to equipment authorization for pre-sale activities—including imaging, packaging, and delivery to retail locations—the Report and Order will require that each imported RF device display a temporary removable label stating that it cannot be displayed, operated, offered for sale, marketed to consumers, or sold prior to proper FCC equipment authorization has been granted, and will further require that importing manufacturers have processes in place to retrieve any equipment transferred to a conditional purchaser, in the event that such authorization is denied by the FCC.  Moreover, importing manufacturers will be required to maintain, for a period </w:t>
      </w:r>
      <w:r w:rsidRPr="003658E8">
        <w:t>of 60 months</w:t>
      </w:r>
      <w:r>
        <w:t xml:space="preserve">, records identifying the recipients of RF devices imported for pre-sale activities.  </w:t>
      </w:r>
      <w:r w:rsidRPr="009E1A9E">
        <w:t xml:space="preserve">Such records must identify </w:t>
      </w:r>
      <w:r>
        <w:t xml:space="preserve">several factors such as </w:t>
      </w:r>
      <w:r w:rsidRPr="009E1A9E">
        <w:t>the device name and product identifier, the quantity shipped, the date on which the device authorization was sought, the expected FCC ID number, and the identity of the recipient, including address and telephone number.</w:t>
      </w:r>
    </w:p>
    <w:p w:rsidR="000B1409" w:rsidRPr="009E1A9E" w:rsidP="00150883" w14:paraId="79000C18" w14:textId="77777777">
      <w:pPr>
        <w:pStyle w:val="ParaNum"/>
        <w:widowControl/>
      </w:pPr>
      <w:r>
        <w:t>The Report and Order also particular recordkeeping requirements that will be imposed on RF manufacturers so that RF equipment that is conditionally sold can be accounted for if equipment authorization is ultimately not granted or enforcement action needs to be taken, and the period of time that manufacturers should be required to retain those records and provide them to the FCC upon request.  Additionally, the Report and Order requests that a manufacturer that imports an RF device should be required to document (and provide such documentation to the FCC upon request) the basis for its belief that the FCC will authorize that device.</w:t>
      </w:r>
    </w:p>
    <w:p w:rsidR="000B1409" w:rsidRPr="009E1A9E" w:rsidP="009C7B73" w14:paraId="11DCF959" w14:textId="77777777">
      <w:pPr>
        <w:pStyle w:val="Heading2"/>
      </w:pPr>
      <w:r w:rsidRPr="009E1A9E">
        <w:t>Steps Taken to Minimize the Significant Economic Impact on Small Entities, and Significant Alternatives Considered</w:t>
      </w:r>
    </w:p>
    <w:p w:rsidR="000B1409" w:rsidRPr="0045533F" w:rsidP="00150883" w14:paraId="65567750" w14:textId="77777777">
      <w:pPr>
        <w:pStyle w:val="ParaNum"/>
        <w:widowControl/>
      </w:pPr>
      <w:r w:rsidRPr="0045533F">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rsidRPr="0045533F">
        <w:t>than design, standards; and (4) an exemption from coverage of the rule, or any part thereof, for small entities.</w:t>
      </w:r>
      <w:r>
        <w:rPr>
          <w:sz w:val="20"/>
          <w:vertAlign w:val="superscript"/>
        </w:rPr>
        <w:footnoteReference w:id="190"/>
      </w:r>
    </w:p>
    <w:p w:rsidR="000B1409" w:rsidRPr="009E1A9E" w:rsidP="00150883" w14:paraId="412C29CE" w14:textId="77777777">
      <w:pPr>
        <w:pStyle w:val="ParaNum"/>
        <w:widowControl/>
      </w:pPr>
      <w:r>
        <w:t xml:space="preserve">The Report and Order rules set forth are minimal, and we believe would significantly assist RF equipment manufacturers, some of which may be small entities, to market and import RF equipment.  Although we believe that our rules are not unduly burdensome, we </w:t>
      </w:r>
      <w:r w:rsidRPr="00F5510B">
        <w:t>sought comment</w:t>
      </w:r>
      <w:r>
        <w:t xml:space="preserve"> on a number of alternatives or supplements to those rules and procedures, such as whether we should require marketing disclosures at all or just some points of the pre-authorization process, whether we should require specific language or instead permit parties to choose how they word their disclosures, and whether all or only certain importation safeguards are needed.</w:t>
      </w:r>
    </w:p>
    <w:p w:rsidR="000B1409" w:rsidRPr="009E1A9E" w:rsidP="00150883" w14:paraId="564C9355" w14:textId="77777777">
      <w:pPr>
        <w:pStyle w:val="ParaNum"/>
        <w:widowControl/>
      </w:pPr>
      <w:r>
        <w:t>We believe that the regulatory burdens that we are implementing are necessary in order to ensure that the public receives the benefits of innovative products and technologies in a prompt and efficient manner, and those burdens apply equally to large and small entities, thus without differential impact.  We will continue to examine alternatives in the future with the objectives of eliminating unnecessary regulations and minimizing any significant impact on small entities.</w:t>
      </w:r>
    </w:p>
    <w:p w:rsidR="000B1409" w:rsidRPr="00E0180B" w:rsidP="009C7B73" w14:paraId="52BD195E" w14:textId="08FD9917">
      <w:pPr>
        <w:pStyle w:val="Heading2"/>
      </w:pPr>
      <w:r w:rsidRPr="00E0180B">
        <w:t xml:space="preserve">Report to </w:t>
      </w:r>
      <w:r w:rsidRPr="00943D15">
        <w:t>Congress</w:t>
      </w:r>
    </w:p>
    <w:p w:rsidR="00AE76BF" w:rsidP="00150883" w14:paraId="1CADEDF6" w14:textId="3D5B8DC5">
      <w:pPr>
        <w:pStyle w:val="ParaNum"/>
        <w:widowControl/>
      </w:pPr>
      <w:r w:rsidRPr="0045533F">
        <w:t xml:space="preserve">The Commission will send a copy of the Report </w:t>
      </w:r>
      <w:r w:rsidR="00943D15">
        <w:t>and</w:t>
      </w:r>
      <w:r w:rsidRPr="0045533F">
        <w:t xml:space="preserve"> Order, including this FRFA, in a report to be sent to Congress pursuant to the Congressional Review Act.</w:t>
      </w:r>
      <w:r>
        <w:rPr>
          <w:sz w:val="20"/>
          <w:vertAlign w:val="superscript"/>
        </w:rPr>
        <w:footnoteReference w:id="191"/>
      </w:r>
      <w:r w:rsidRPr="0045533F">
        <w:t xml:space="preserve"> </w:t>
      </w:r>
      <w:r w:rsidR="00AF2992">
        <w:t xml:space="preserve"> </w:t>
      </w:r>
      <w:r w:rsidRPr="0045533F">
        <w:t>In addition, the Commission will send a copy of the</w:t>
      </w:r>
      <w:r>
        <w:t xml:space="preserve"> </w:t>
      </w:r>
      <w:r w:rsidRPr="0045533F">
        <w:t xml:space="preserve">Report </w:t>
      </w:r>
      <w:r w:rsidR="00943D15">
        <w:t>and</w:t>
      </w:r>
      <w:r w:rsidRPr="0045533F">
        <w:t xml:space="preserve"> Order, including this FRFA, to the Chief Counsel for Advocacy of the SBA.  A copy of the Report </w:t>
      </w:r>
      <w:r w:rsidR="00943D15">
        <w:t>and</w:t>
      </w:r>
      <w:r w:rsidRPr="0045533F">
        <w:t xml:space="preserve"> Order, including this FRFA (or summaries thereof), will also be published in the Federal Register.</w:t>
      </w:r>
      <w:r>
        <w:rPr>
          <w:sz w:val="20"/>
          <w:vertAlign w:val="superscript"/>
        </w:rPr>
        <w:footnoteReference w:id="192"/>
      </w:r>
    </w:p>
    <w:p w:rsidR="00AE76BF" w14:paraId="7C5A8452" w14:textId="77777777">
      <w:pPr>
        <w:widowControl/>
      </w:pPr>
      <w:r>
        <w:br w:type="page"/>
      </w:r>
    </w:p>
    <w:p w:rsidR="00AE76BF" w:rsidRPr="00990451" w:rsidP="00AE76BF" w14:paraId="6AE52F14" w14:textId="77777777">
      <w:pPr>
        <w:jc w:val="center"/>
        <w:rPr>
          <w:b/>
          <w:bCs/>
          <w:caps/>
          <w:szCs w:val="22"/>
        </w:rPr>
      </w:pPr>
      <w:r w:rsidRPr="00990451">
        <w:rPr>
          <w:b/>
          <w:bCs/>
          <w:caps/>
          <w:szCs w:val="22"/>
        </w:rPr>
        <w:t>Statement of</w:t>
      </w:r>
    </w:p>
    <w:p w:rsidR="00AE76BF" w:rsidRPr="00990451" w:rsidP="00AE76BF" w14:paraId="754C049A" w14:textId="77777777">
      <w:pPr>
        <w:jc w:val="center"/>
        <w:rPr>
          <w:rFonts w:eastAsia="Calibri"/>
          <w:b/>
          <w:bCs/>
          <w:szCs w:val="22"/>
        </w:rPr>
      </w:pPr>
      <w:r w:rsidRPr="00990451">
        <w:rPr>
          <w:rFonts w:eastAsia="Calibri"/>
          <w:b/>
          <w:bCs/>
          <w:szCs w:val="22"/>
        </w:rPr>
        <w:t xml:space="preserve">ACTING CHAIRWOMAN </w:t>
      </w:r>
      <w:r w:rsidRPr="00990451">
        <w:rPr>
          <w:b/>
          <w:bCs/>
          <w:szCs w:val="22"/>
        </w:rPr>
        <w:t>JESSICA ROSENWORCEL</w:t>
      </w:r>
    </w:p>
    <w:p w:rsidR="00AE76BF" w:rsidRPr="00990451" w:rsidP="00AE76BF" w14:paraId="00598F58" w14:textId="77777777">
      <w:pPr>
        <w:jc w:val="center"/>
        <w:rPr>
          <w:b/>
          <w:bCs/>
          <w:caps/>
          <w:szCs w:val="22"/>
        </w:rPr>
      </w:pPr>
    </w:p>
    <w:p w:rsidR="00AE76BF" w:rsidRPr="00990451" w:rsidP="00AE76BF" w14:paraId="06DCDF24" w14:textId="77777777">
      <w:pPr>
        <w:ind w:left="720" w:hanging="720"/>
        <w:rPr>
          <w:spacing w:val="-2"/>
          <w:szCs w:val="22"/>
        </w:rPr>
      </w:pPr>
      <w:bookmarkStart w:id="75" w:name="_Hlk33801817"/>
      <w:r w:rsidRPr="00990451">
        <w:rPr>
          <w:iCs/>
          <w:szCs w:val="22"/>
        </w:rPr>
        <w:t>Re:</w:t>
      </w:r>
      <w:r w:rsidRPr="00990451">
        <w:rPr>
          <w:szCs w:val="22"/>
        </w:rPr>
        <w:t xml:space="preserve"> </w:t>
      </w:r>
      <w:r w:rsidRPr="00990451">
        <w:rPr>
          <w:szCs w:val="22"/>
        </w:rPr>
        <w:tab/>
      </w:r>
      <w:r w:rsidRPr="00990451">
        <w:rPr>
          <w:i/>
          <w:iCs/>
          <w:spacing w:val="-2"/>
          <w:szCs w:val="22"/>
        </w:rPr>
        <w:t>Allowing Earlier Equipment Marketing and Importation Opportunities</w:t>
      </w:r>
      <w:r>
        <w:rPr>
          <w:spacing w:val="-2"/>
          <w:szCs w:val="22"/>
        </w:rPr>
        <w:t>;</w:t>
      </w:r>
      <w:r w:rsidRPr="00990451">
        <w:rPr>
          <w:spacing w:val="-2"/>
          <w:szCs w:val="22"/>
        </w:rPr>
        <w:t xml:space="preserve"> ET Docket No. 20-382</w:t>
      </w:r>
      <w:r>
        <w:rPr>
          <w:spacing w:val="-2"/>
          <w:szCs w:val="22"/>
        </w:rPr>
        <w:t>.</w:t>
      </w:r>
    </w:p>
    <w:bookmarkEnd w:id="75"/>
    <w:p w:rsidR="00AE76BF" w:rsidRPr="00990451" w:rsidP="00AE76BF" w14:paraId="62691615" w14:textId="77777777">
      <w:pPr>
        <w:rPr>
          <w:i/>
          <w:iCs/>
          <w:color w:val="000000" w:themeColor="text1"/>
          <w:spacing w:val="-2"/>
          <w:szCs w:val="22"/>
        </w:rPr>
      </w:pPr>
    </w:p>
    <w:p w:rsidR="00AE76BF" w:rsidRPr="00990451" w:rsidP="00AE76BF" w14:paraId="74812013" w14:textId="77777777">
      <w:pPr>
        <w:ind w:firstLine="720"/>
        <w:rPr>
          <w:szCs w:val="22"/>
        </w:rPr>
      </w:pPr>
      <w:r w:rsidRPr="00990451">
        <w:rPr>
          <w:szCs w:val="22"/>
        </w:rPr>
        <w:t xml:space="preserve">We are a nation of inventors.  It is in our DNA to tinker and create.  It has been that way since the days of Benjamin Franklin and Thomas Jefferson.  In more recent times, you see it in the creation of the internet, the personal computer, and the smart phone.  </w:t>
      </w:r>
    </w:p>
    <w:p w:rsidR="00AE76BF" w:rsidRPr="00990451" w:rsidP="00AE76BF" w14:paraId="18B85E82" w14:textId="77777777">
      <w:pPr>
        <w:ind w:firstLine="720"/>
        <w:rPr>
          <w:szCs w:val="22"/>
        </w:rPr>
      </w:pPr>
    </w:p>
    <w:p w:rsidR="00AE76BF" w:rsidRPr="00990451" w:rsidP="00AE76BF" w14:paraId="740E6063" w14:textId="77777777">
      <w:pPr>
        <w:ind w:firstLine="720"/>
        <w:rPr>
          <w:szCs w:val="22"/>
        </w:rPr>
      </w:pPr>
      <w:r w:rsidRPr="00990451">
        <w:rPr>
          <w:szCs w:val="22"/>
        </w:rPr>
        <w:t xml:space="preserve">Our ability to turn scientific knowledge and engineering prowess into commercial success is legendary.  Because when the United States innovation engine is in full swing, we churn out revolutionary technologies that change the world.  </w:t>
      </w:r>
    </w:p>
    <w:p w:rsidR="00AE76BF" w:rsidRPr="00990451" w:rsidP="00AE76BF" w14:paraId="6694BAE3" w14:textId="77777777">
      <w:pPr>
        <w:ind w:firstLine="720"/>
        <w:rPr>
          <w:szCs w:val="22"/>
        </w:rPr>
      </w:pPr>
    </w:p>
    <w:p w:rsidR="00AE76BF" w:rsidRPr="00990451" w:rsidP="00AE76BF" w14:paraId="72D2794B" w14:textId="77777777">
      <w:pPr>
        <w:ind w:firstLine="720"/>
        <w:rPr>
          <w:szCs w:val="22"/>
        </w:rPr>
      </w:pPr>
      <w:r w:rsidRPr="00990451">
        <w:rPr>
          <w:szCs w:val="22"/>
        </w:rPr>
        <w:t xml:space="preserve">But to ensure this dynamism continues we need to do more than rely on past initiatives and investments.  Afterall, other nations are eager to lay claim to our legacy of building change.  </w:t>
      </w:r>
      <w:r w:rsidRPr="00990451">
        <w:rPr>
          <w:szCs w:val="22"/>
        </w:rPr>
        <w:t>So</w:t>
      </w:r>
      <w:r w:rsidRPr="00990451">
        <w:rPr>
          <w:szCs w:val="22"/>
        </w:rPr>
        <w:t xml:space="preserve"> we need fresh ideas in the United States to foster new entrepreneurial activity and open up more opportunities for innovation.  </w:t>
      </w:r>
    </w:p>
    <w:p w:rsidR="00AE76BF" w:rsidRPr="00990451" w:rsidP="00AE76BF" w14:paraId="0F84227E" w14:textId="77777777">
      <w:pPr>
        <w:ind w:firstLine="720"/>
        <w:rPr>
          <w:szCs w:val="22"/>
        </w:rPr>
      </w:pPr>
    </w:p>
    <w:p w:rsidR="00AE76BF" w:rsidRPr="00990451" w:rsidP="00AE76BF" w14:paraId="5B2BF325" w14:textId="77777777">
      <w:pPr>
        <w:ind w:firstLine="720"/>
        <w:rPr>
          <w:szCs w:val="22"/>
        </w:rPr>
      </w:pPr>
      <w:r w:rsidRPr="00990451">
        <w:rPr>
          <w:szCs w:val="22"/>
        </w:rPr>
        <w:t xml:space="preserve">That is what we put in place today.  In this order, the Federal Communications Commission modernizes its rules regarding just how devices that use radiofrequency can be imported and marketed in the United States.  These policies are important because they set the stage for our nation’s innovation engine.  They play a big role in how new products get to market.  </w:t>
      </w:r>
    </w:p>
    <w:p w:rsidR="00AE76BF" w:rsidRPr="00990451" w:rsidP="00AE76BF" w14:paraId="401BB532" w14:textId="77777777">
      <w:pPr>
        <w:ind w:firstLine="720"/>
        <w:rPr>
          <w:szCs w:val="22"/>
        </w:rPr>
      </w:pPr>
    </w:p>
    <w:p w:rsidR="00AE76BF" w:rsidRPr="00990451" w:rsidP="00AE76BF" w14:paraId="02032871" w14:textId="77777777">
      <w:pPr>
        <w:ind w:firstLine="720"/>
        <w:rPr>
          <w:szCs w:val="22"/>
        </w:rPr>
      </w:pPr>
      <w:r w:rsidRPr="00990451">
        <w:rPr>
          <w:szCs w:val="22"/>
        </w:rPr>
        <w:t xml:space="preserve">Since the 1970’s, our rules have prohibited innovators from marketing or pre-selling their products to the public before getting authorization from the FCC.  Our system was designed this way to help ensure that new devices entering the United States comply with our rules and technical standards.  </w:t>
      </w:r>
    </w:p>
    <w:p w:rsidR="00AE76BF" w:rsidRPr="00990451" w:rsidP="00AE76BF" w14:paraId="4E333265" w14:textId="77777777">
      <w:pPr>
        <w:rPr>
          <w:szCs w:val="22"/>
        </w:rPr>
      </w:pPr>
    </w:p>
    <w:p w:rsidR="00AE76BF" w:rsidRPr="00990451" w:rsidP="00AE76BF" w14:paraId="1D212124" w14:textId="77777777">
      <w:pPr>
        <w:ind w:firstLine="720"/>
        <w:rPr>
          <w:szCs w:val="22"/>
        </w:rPr>
      </w:pPr>
      <w:r w:rsidRPr="00990451">
        <w:rPr>
          <w:szCs w:val="22"/>
        </w:rPr>
        <w:t>But the record in this proceeding shows that while the marketplace has evolved, our rules have not kept up.  New sales models and assessment tools have emerged that rely on individual interest to fund products, optimize production, and match imports to anticipated sales.  In these situations, our well-intentioned rules actually act as a barrier to innovation.  In fact, they can reward traditional companies with access to greater resources while leaving new ones on the outside looking in.</w:t>
      </w:r>
    </w:p>
    <w:p w:rsidR="00AE76BF" w:rsidRPr="00990451" w:rsidP="00AE76BF" w14:paraId="1B012165" w14:textId="77777777">
      <w:pPr>
        <w:ind w:firstLine="720"/>
        <w:rPr>
          <w:szCs w:val="22"/>
        </w:rPr>
      </w:pPr>
    </w:p>
    <w:p w:rsidR="00AE76BF" w:rsidRPr="00990451" w:rsidP="00AE76BF" w14:paraId="156AE5D4" w14:textId="77777777">
      <w:pPr>
        <w:ind w:firstLine="720"/>
        <w:rPr>
          <w:szCs w:val="22"/>
        </w:rPr>
      </w:pPr>
      <w:r w:rsidRPr="00990451">
        <w:rPr>
          <w:szCs w:val="22"/>
        </w:rPr>
        <w:t xml:space="preserve">So here we act to bring our rules more closely in line with modern marketplace realities.  We help ensure that the market in the United States supports a broader set of innovators.  To do so, we grant manufacturers new flexibility to market and pre-sell their devices.  Under these rules, manufacturers will be able to import units of their latest devices before completing the equipment authorization process.  This means innovators will be able to engage in conditional pre-sales that will allow them to get funding for their startup operations while also gauging interest for their products in the marketplace. </w:t>
      </w:r>
    </w:p>
    <w:p w:rsidR="00AE76BF" w:rsidRPr="00990451" w:rsidP="00AE76BF" w14:paraId="40FFAA17" w14:textId="77777777">
      <w:pPr>
        <w:rPr>
          <w:szCs w:val="22"/>
        </w:rPr>
      </w:pPr>
    </w:p>
    <w:p w:rsidR="00AE76BF" w:rsidRPr="00990451" w:rsidP="00AE76BF" w14:paraId="2B2D176A" w14:textId="77777777">
      <w:pPr>
        <w:ind w:firstLine="720"/>
        <w:rPr>
          <w:szCs w:val="22"/>
        </w:rPr>
      </w:pPr>
      <w:r w:rsidRPr="00990451">
        <w:rPr>
          <w:szCs w:val="22"/>
        </w:rPr>
        <w:t xml:space="preserve">At the same time, we adopt safeguards to prevent devices from reaching consumers without prior authorization, including disclosure, recordkeeping, and retrieval obligations.  In addition, we require that manufacturers </w:t>
      </w:r>
      <w:r w:rsidRPr="00990451">
        <w:rPr>
          <w:szCs w:val="22"/>
        </w:rPr>
        <w:t>are able to</w:t>
      </w:r>
      <w:r w:rsidRPr="00990451">
        <w:rPr>
          <w:szCs w:val="22"/>
        </w:rPr>
        <w:t xml:space="preserve"> track and take back any imported devices that are not successfully certified.  </w:t>
      </w:r>
    </w:p>
    <w:p w:rsidR="00AE76BF" w:rsidRPr="00990451" w:rsidP="00AE76BF" w14:paraId="7BE7F5ED" w14:textId="77777777">
      <w:pPr>
        <w:ind w:firstLine="720"/>
        <w:rPr>
          <w:szCs w:val="22"/>
        </w:rPr>
      </w:pPr>
    </w:p>
    <w:p w:rsidR="00AE76BF" w:rsidRPr="00990451" w:rsidP="00AE76BF" w14:paraId="0CD27CB0" w14:textId="77777777">
      <w:pPr>
        <w:ind w:firstLine="720"/>
        <w:rPr>
          <w:szCs w:val="22"/>
        </w:rPr>
      </w:pPr>
      <w:r w:rsidRPr="00990451">
        <w:rPr>
          <w:szCs w:val="22"/>
        </w:rPr>
        <w:t xml:space="preserve">Now is the right time to do this.  Because with the emergence of 5G wireless services, we are entering a whole new era of connectivity.  We are developing technologies that have the potential to transform broad swathes of our economy and our action today will help fuel these technologies and give more creators more opportunity to bring their innovations to market.  It’s exciting and it fosters the best in our American instinct to tinker, make, and create.  </w:t>
      </w:r>
    </w:p>
    <w:p w:rsidR="00AE76BF" w:rsidRPr="00990451" w:rsidP="00AE76BF" w14:paraId="02061B85" w14:textId="77777777">
      <w:pPr>
        <w:rPr>
          <w:szCs w:val="22"/>
        </w:rPr>
      </w:pPr>
    </w:p>
    <w:p w:rsidR="00AE76BF" w:rsidP="00AE76BF" w14:paraId="7774227A" w14:textId="01E6EDE9">
      <w:pPr>
        <w:ind w:firstLine="720"/>
        <w:rPr>
          <w:szCs w:val="22"/>
        </w:rPr>
      </w:pPr>
      <w:r w:rsidRPr="00990451">
        <w:rPr>
          <w:szCs w:val="22"/>
        </w:rPr>
        <w:t xml:space="preserve">Thank you to those who worked on this effort, including Brian Butler, Jamie Coleman, David Duarte, Howard Griboff, Michael Ha, Ira Keltz, Muli Kifle, Paul Murray, Nick Oros, Siobahn Philemon, </w:t>
      </w:r>
      <w:r w:rsidRPr="00990451">
        <w:rPr>
          <w:szCs w:val="22"/>
        </w:rPr>
        <w:t xml:space="preserve">Jamison Prime, Ron Repasi, Dana Shaffer, Rodney Small, Tom Struble, Jim Szeliga, and Ron Williams from the Office of Engineering and Technology; Rosemary Harold, Jeremy Marcus, Raphael </w:t>
      </w:r>
      <w:r w:rsidRPr="00990451">
        <w:rPr>
          <w:szCs w:val="22"/>
        </w:rPr>
        <w:t>Sznajder</w:t>
      </w:r>
      <w:r w:rsidRPr="00990451">
        <w:rPr>
          <w:szCs w:val="22"/>
        </w:rPr>
        <w:t xml:space="preserve">, and Ashley Tyson from the Enforcement Bureau; Michele Ellison, David Horowitz, Doug Klein, David </w:t>
      </w:r>
      <w:r w:rsidRPr="00990451">
        <w:rPr>
          <w:szCs w:val="22"/>
        </w:rPr>
        <w:t>Konczal</w:t>
      </w:r>
      <w:r w:rsidRPr="00990451">
        <w:rPr>
          <w:szCs w:val="22"/>
        </w:rPr>
        <w:t xml:space="preserve">, and Bill Richardson from the Office of General Counsel; Giulia McHenry and Michelle Schaefer from the Office of Economics and Analytics; Tom Derenge, Kari Hicks, Charles Mathias, Roger Noel, Catherine Schroeder, and Joel Taubenblatt from the Wireless Telecommunications Bureau; Ed </w:t>
      </w:r>
      <w:r w:rsidRPr="00990451">
        <w:rPr>
          <w:szCs w:val="22"/>
        </w:rPr>
        <w:t>Bartholme</w:t>
      </w:r>
      <w:r w:rsidRPr="00990451">
        <w:rPr>
          <w:szCs w:val="22"/>
        </w:rPr>
        <w:t xml:space="preserve">, Patrick </w:t>
      </w:r>
      <w:r w:rsidRPr="00990451">
        <w:rPr>
          <w:szCs w:val="22"/>
        </w:rPr>
        <w:t>Webre</w:t>
      </w:r>
      <w:r w:rsidRPr="00990451">
        <w:rPr>
          <w:szCs w:val="22"/>
        </w:rPr>
        <w:t xml:space="preserve">, and Kimberly Wild from the Consumer and Governmental Affairs Bureau; Lisa Fowlkes, Lauren Kravetz, and Zenji Nakazawa from the Public Safety and Homeland Security Bureau; Tom Sullivan and Michele Wu-Bailey from the International Bureau; Justin Faulb and Kris Monteith from the Wireline Competition Bureau; and </w:t>
      </w:r>
      <w:r w:rsidRPr="00990451">
        <w:rPr>
          <w:color w:val="000000"/>
          <w:szCs w:val="22"/>
        </w:rPr>
        <w:t>Maura McGowan and Sanford Williams from the Office of Communications Business Opportunities</w:t>
      </w:r>
      <w:r w:rsidRPr="00990451">
        <w:rPr>
          <w:szCs w:val="22"/>
        </w:rPr>
        <w:t>.</w:t>
      </w:r>
    </w:p>
    <w:p w:rsidR="00AE76BF" w14:paraId="1341ADC2" w14:textId="77777777">
      <w:pPr>
        <w:widowControl/>
        <w:rPr>
          <w:szCs w:val="22"/>
        </w:rPr>
      </w:pPr>
      <w:r>
        <w:rPr>
          <w:szCs w:val="22"/>
        </w:rPr>
        <w:br w:type="page"/>
      </w:r>
    </w:p>
    <w:p w:rsidR="00AE76BF" w:rsidRPr="006C397A" w:rsidP="00AE76BF" w14:paraId="71C107A3"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normaltextrun"/>
          <w:b/>
          <w:bCs/>
          <w:sz w:val="22"/>
          <w:szCs w:val="22"/>
        </w:rPr>
        <w:t>STATEMENT OF </w:t>
      </w:r>
      <w:r w:rsidRPr="006C397A">
        <w:rPr>
          <w:rStyle w:val="eop"/>
          <w:sz w:val="22"/>
          <w:szCs w:val="22"/>
        </w:rPr>
        <w:t> </w:t>
      </w:r>
    </w:p>
    <w:p w:rsidR="00AE76BF" w:rsidRPr="006C397A" w:rsidP="00AE76BF" w14:paraId="154EFD84"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normaltextrun"/>
          <w:b/>
          <w:bCs/>
          <w:sz w:val="22"/>
          <w:szCs w:val="22"/>
        </w:rPr>
        <w:t>COMMISSIONER GEOFFREY STARKS</w:t>
      </w:r>
      <w:r w:rsidRPr="006C397A">
        <w:rPr>
          <w:rStyle w:val="eop"/>
          <w:sz w:val="22"/>
          <w:szCs w:val="22"/>
        </w:rPr>
        <w:t> </w:t>
      </w:r>
    </w:p>
    <w:p w:rsidR="00AE76BF" w:rsidRPr="006C397A" w:rsidP="00AE76BF" w14:paraId="126069D4" w14:textId="77777777">
      <w:pPr>
        <w:pStyle w:val="paragraph"/>
        <w:spacing w:before="0" w:beforeAutospacing="0" w:after="0" w:afterAutospacing="0"/>
        <w:jc w:val="center"/>
        <w:textAlignment w:val="baseline"/>
        <w:rPr>
          <w:rFonts w:ascii="Segoe UI" w:hAnsi="Segoe UI" w:cs="Segoe UI"/>
          <w:sz w:val="22"/>
          <w:szCs w:val="22"/>
        </w:rPr>
      </w:pPr>
      <w:r w:rsidRPr="006C397A">
        <w:rPr>
          <w:rStyle w:val="eop"/>
          <w:sz w:val="22"/>
          <w:szCs w:val="22"/>
        </w:rPr>
        <w:t> </w:t>
      </w:r>
    </w:p>
    <w:p w:rsidR="00AE76BF" w:rsidRPr="006C397A" w:rsidP="00AE76BF" w14:paraId="17C89853" w14:textId="77777777">
      <w:pPr>
        <w:pStyle w:val="paragraph"/>
        <w:spacing w:before="0" w:beforeAutospacing="0" w:after="0" w:afterAutospacing="0"/>
        <w:textAlignment w:val="baseline"/>
        <w:rPr>
          <w:rFonts w:ascii="Segoe UI" w:hAnsi="Segoe UI" w:cs="Segoe UI"/>
          <w:sz w:val="22"/>
          <w:szCs w:val="22"/>
        </w:rPr>
      </w:pPr>
      <w:r w:rsidRPr="006C397A">
        <w:rPr>
          <w:rStyle w:val="normaltextrun"/>
          <w:color w:val="000000"/>
          <w:sz w:val="22"/>
          <w:szCs w:val="22"/>
        </w:rPr>
        <w:t>Re:</w:t>
      </w:r>
      <w:r w:rsidRPr="006C397A">
        <w:rPr>
          <w:rStyle w:val="tabchar"/>
          <w:rFonts w:ascii="Calibri" w:hAnsi="Calibri" w:cs="Calibri"/>
          <w:color w:val="000000"/>
          <w:sz w:val="22"/>
          <w:szCs w:val="22"/>
        </w:rPr>
        <w:t xml:space="preserve"> </w:t>
      </w:r>
      <w:r w:rsidRPr="006C397A">
        <w:rPr>
          <w:rStyle w:val="tabchar"/>
          <w:rFonts w:ascii="Calibri" w:hAnsi="Calibri" w:cs="Calibri"/>
          <w:color w:val="000000"/>
          <w:sz w:val="22"/>
          <w:szCs w:val="22"/>
        </w:rPr>
        <w:tab/>
      </w:r>
      <w:r w:rsidRPr="006C397A">
        <w:rPr>
          <w:i/>
          <w:iCs/>
          <w:sz w:val="22"/>
          <w:szCs w:val="22"/>
        </w:rPr>
        <w:t>Allowing Earlier Equipment Marketing and Importation Opportunities</w:t>
      </w:r>
      <w:r w:rsidRPr="006C397A">
        <w:rPr>
          <w:sz w:val="22"/>
          <w:szCs w:val="22"/>
        </w:rPr>
        <w:t>;</w:t>
      </w:r>
      <w:r w:rsidRPr="006C397A">
        <w:rPr>
          <w:rStyle w:val="normaltextrun"/>
          <w:color w:val="000000"/>
          <w:sz w:val="22"/>
          <w:szCs w:val="22"/>
        </w:rPr>
        <w:t xml:space="preserve"> ET Docket No. 20-382.</w:t>
      </w:r>
    </w:p>
    <w:p w:rsidR="00AE76BF" w:rsidRPr="006C397A" w:rsidP="00AE76BF" w14:paraId="0588655F" w14:textId="77777777">
      <w:pPr>
        <w:pStyle w:val="paragraph"/>
        <w:spacing w:before="0" w:beforeAutospacing="0" w:after="0" w:afterAutospacing="0"/>
        <w:ind w:left="1440" w:hanging="720"/>
        <w:textAlignment w:val="baseline"/>
        <w:rPr>
          <w:rFonts w:ascii="Segoe UI" w:hAnsi="Segoe UI" w:cs="Segoe UI"/>
          <w:sz w:val="22"/>
          <w:szCs w:val="22"/>
        </w:rPr>
      </w:pPr>
      <w:r w:rsidRPr="006C397A">
        <w:rPr>
          <w:rStyle w:val="eop"/>
          <w:color w:val="000000"/>
          <w:sz w:val="22"/>
          <w:szCs w:val="22"/>
        </w:rPr>
        <w:t> </w:t>
      </w:r>
    </w:p>
    <w:p w:rsidR="00AE76BF" w:rsidRPr="006C397A" w:rsidP="00AE76BF" w14:paraId="5CA5B059" w14:textId="77777777">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Technology has changed how manufacturers produce devices and deliver them to the consumer.  The Internet has allowed consumers to learn about new products at an early stage and play a role in bringing that product to market.  Direct-to-consumer sales and conditional pre-orders have become common practice, even more so during the pandemic.  For reference, in less than 10 years, the crowdfunding platform, Kickstarter, has raised $5.4 billion dollars in pre-orders and has launched over 500,000 projects.</w:t>
      </w:r>
      <w:r>
        <w:rPr>
          <w:rStyle w:val="FootnoteReference"/>
          <w:color w:val="000000"/>
          <w:sz w:val="22"/>
          <w:szCs w:val="22"/>
        </w:rPr>
        <w:footnoteReference w:id="193"/>
      </w:r>
      <w:r w:rsidRPr="006C397A">
        <w:rPr>
          <w:rStyle w:val="normaltextrun"/>
          <w:color w:val="000000"/>
          <w:sz w:val="22"/>
          <w:szCs w:val="22"/>
        </w:rPr>
        <w:t> Through platforms like these, consumers have funded devices behind innovations like texting from your smartwatch or virtual reality headsets.</w:t>
      </w:r>
      <w:r>
        <w:rPr>
          <w:rStyle w:val="FootnoteReference"/>
          <w:color w:val="000000"/>
          <w:sz w:val="22"/>
          <w:szCs w:val="22"/>
        </w:rPr>
        <w:footnoteReference w:id="194"/>
      </w:r>
      <w:r w:rsidRPr="006C397A">
        <w:rPr>
          <w:rStyle w:val="normaltextrun"/>
          <w:color w:val="000000"/>
          <w:sz w:val="22"/>
          <w:szCs w:val="22"/>
        </w:rPr>
        <w:t> </w:t>
      </w:r>
      <w:r w:rsidRPr="006C397A">
        <w:rPr>
          <w:rStyle w:val="eop"/>
          <w:color w:val="000000"/>
          <w:sz w:val="22"/>
          <w:szCs w:val="22"/>
        </w:rPr>
        <w:t> </w:t>
      </w:r>
    </w:p>
    <w:p w:rsidR="00AE76BF" w:rsidRPr="006C397A" w:rsidP="00AE76BF" w14:paraId="5B6B2112" w14:textId="77777777">
      <w:pPr>
        <w:pStyle w:val="paragraph"/>
        <w:spacing w:before="0" w:beforeAutospacing="0" w:after="0" w:afterAutospacing="0"/>
        <w:ind w:firstLine="720"/>
        <w:textAlignment w:val="baseline"/>
        <w:rPr>
          <w:rStyle w:val="normaltextrun"/>
          <w:color w:val="000000"/>
          <w:sz w:val="22"/>
          <w:szCs w:val="22"/>
        </w:rPr>
      </w:pPr>
    </w:p>
    <w:p w:rsidR="00AE76BF" w:rsidRPr="006C397A" w:rsidP="00AE76BF" w14:paraId="37E0881B" w14:textId="77777777">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The item we adopt today updates our rules to keep pace with these trends in the device market.  This item not only removes obstacles for small businesses and start-ups, but also encourages innovative new devices and applications.  It is important to note, however, that although we are facilitating the process of getting new devices to consumers, we are preserving strong protections against any potential harm to consumers. </w:t>
      </w:r>
      <w:r w:rsidRPr="006C397A">
        <w:rPr>
          <w:rStyle w:val="eop"/>
          <w:color w:val="000000"/>
          <w:sz w:val="22"/>
          <w:szCs w:val="22"/>
        </w:rPr>
        <w:t> </w:t>
      </w:r>
    </w:p>
    <w:p w:rsidR="00AE76BF" w:rsidRPr="006C397A" w:rsidP="00AE76BF" w14:paraId="3BD2421C" w14:textId="77777777">
      <w:pPr>
        <w:pStyle w:val="paragraph"/>
        <w:spacing w:before="0" w:beforeAutospacing="0" w:after="0" w:afterAutospacing="0"/>
        <w:ind w:firstLine="720"/>
        <w:textAlignment w:val="baseline"/>
        <w:rPr>
          <w:rFonts w:ascii="Segoe UI" w:hAnsi="Segoe UI" w:cs="Segoe UI"/>
          <w:sz w:val="22"/>
          <w:szCs w:val="22"/>
        </w:rPr>
      </w:pPr>
      <w:r w:rsidRPr="006C397A">
        <w:rPr>
          <w:rStyle w:val="eop"/>
          <w:color w:val="000000"/>
          <w:sz w:val="22"/>
          <w:szCs w:val="22"/>
        </w:rPr>
        <w:t> </w:t>
      </w:r>
    </w:p>
    <w:p w:rsidR="00AE76BF" w:rsidRPr="006C397A" w:rsidP="00AE76BF" w14:paraId="0C3EFEE5" w14:textId="77777777">
      <w:pPr>
        <w:pStyle w:val="paragraph"/>
        <w:spacing w:before="0" w:beforeAutospacing="0" w:after="0" w:afterAutospacing="0"/>
        <w:ind w:firstLine="720"/>
        <w:textAlignment w:val="baseline"/>
        <w:rPr>
          <w:rFonts w:ascii="Segoe UI" w:hAnsi="Segoe UI" w:cs="Segoe UI"/>
          <w:sz w:val="22"/>
          <w:szCs w:val="22"/>
        </w:rPr>
      </w:pPr>
      <w:r w:rsidRPr="006C397A">
        <w:rPr>
          <w:rStyle w:val="normaltextrun"/>
          <w:color w:val="000000"/>
          <w:sz w:val="22"/>
          <w:szCs w:val="22"/>
        </w:rPr>
        <w:t>I support this item and thank the staff of the Office of Engineering and Technology for their hard work on this item.</w:t>
      </w:r>
      <w:r w:rsidRPr="006C397A">
        <w:rPr>
          <w:rStyle w:val="eop"/>
          <w:color w:val="000000"/>
          <w:sz w:val="22"/>
          <w:szCs w:val="22"/>
        </w:rPr>
        <w:t> </w:t>
      </w:r>
    </w:p>
    <w:p w:rsidR="00AE76BF" w:rsidRPr="006C397A" w:rsidP="00AE76BF" w14:paraId="67C55F0C" w14:textId="77777777">
      <w:pPr>
        <w:pStyle w:val="paragraph"/>
        <w:spacing w:before="0" w:beforeAutospacing="0" w:after="0" w:afterAutospacing="0"/>
        <w:textAlignment w:val="baseline"/>
        <w:rPr>
          <w:rFonts w:ascii="Segoe UI" w:hAnsi="Segoe UI" w:cs="Segoe UI"/>
          <w:sz w:val="22"/>
          <w:szCs w:val="22"/>
        </w:rPr>
      </w:pPr>
      <w:r w:rsidRPr="006C397A">
        <w:rPr>
          <w:rStyle w:val="eop"/>
          <w:color w:val="000000"/>
          <w:sz w:val="22"/>
          <w:szCs w:val="22"/>
        </w:rPr>
        <w:t> </w:t>
      </w:r>
    </w:p>
    <w:p w:rsidR="00412FC5" w:rsidRPr="00AE76BF" w:rsidP="00352DAA" w14:paraId="2559D256" w14:textId="77777777">
      <w:pPr>
        <w:rPr>
          <w:szCs w:val="22"/>
        </w:rPr>
      </w:pPr>
    </w:p>
    <w:sectPr w:rsidSect="00413640">
      <w:headerReference w:type="default" r:id="rId8"/>
      <w:footerReference w:type="even" r:id="rId9"/>
      <w:headerReference w:type="first" r:id="rId1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14:paraId="6367CC84"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rsidP="0055614C" w14:paraId="214353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E6BE4" w14:paraId="2EF52126" w14:textId="77777777">
    <w:pPr>
      <w:pStyle w:val="Footer"/>
    </w:pPr>
  </w:p>
  <w:p w:rsidR="000E6BE4" w14:paraId="0D057CC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6BE4" w14:paraId="118538E7" w14:textId="77777777">
      <w:r>
        <w:separator/>
      </w:r>
    </w:p>
  </w:footnote>
  <w:footnote w:type="continuationSeparator" w:id="1">
    <w:p w:rsidR="000E6BE4" w:rsidP="00C721AC" w14:paraId="688AB399" w14:textId="77777777">
      <w:pPr>
        <w:spacing w:before="120"/>
        <w:rPr>
          <w:sz w:val="20"/>
        </w:rPr>
      </w:pPr>
      <w:r>
        <w:rPr>
          <w:sz w:val="20"/>
        </w:rPr>
        <w:t xml:space="preserve">(Continued from previous page)  </w:t>
      </w:r>
      <w:r>
        <w:rPr>
          <w:sz w:val="20"/>
        </w:rPr>
        <w:separator/>
      </w:r>
    </w:p>
  </w:footnote>
  <w:footnote w:type="continuationNotice" w:id="2">
    <w:p w:rsidR="000E6BE4" w:rsidP="00C721AC" w14:paraId="5245EDC8" w14:textId="77777777">
      <w:pPr>
        <w:jc w:val="right"/>
        <w:rPr>
          <w:sz w:val="20"/>
        </w:rPr>
      </w:pPr>
      <w:r>
        <w:rPr>
          <w:sz w:val="20"/>
        </w:rPr>
        <w:t>(continued….)</w:t>
      </w:r>
    </w:p>
  </w:footnote>
  <w:footnote w:id="3">
    <w:p w:rsidR="000E6BE4" w:rsidP="004226B2" w14:paraId="2F28CE96" w14:textId="49D291A5">
      <w:pPr>
        <w:pStyle w:val="FootnoteText"/>
      </w:pPr>
      <w:r w:rsidRPr="00376CB9">
        <w:rPr>
          <w:rStyle w:val="FootnoteReference"/>
        </w:rPr>
        <w:footnoteRef/>
      </w:r>
      <w:r w:rsidRPr="00376CB9">
        <w:t xml:space="preserve"> The equipment authorization program,</w:t>
      </w:r>
      <w:r w:rsidRPr="003A5F22">
        <w:t xml:space="preserve"> codified in </w:t>
      </w:r>
      <w:r>
        <w:t>p</w:t>
      </w:r>
      <w:r w:rsidRPr="003A5F22">
        <w:t>art 2 of our rules, ensure</w:t>
      </w:r>
      <w:r>
        <w:t>s</w:t>
      </w:r>
      <w:r w:rsidRPr="003A5F22">
        <w:t xml:space="preserve"> that radiofrequency devices comply with the Commission’s technical and equipment authorization requirements before they can be marketed in or imported to the United States.  </w:t>
      </w:r>
      <w:r w:rsidRPr="00B91980">
        <w:rPr>
          <w:i/>
        </w:rPr>
        <w:t>See</w:t>
      </w:r>
      <w:r w:rsidRPr="003A5F22">
        <w:t xml:space="preserve"> 47 CFR § 2.803; </w:t>
      </w:r>
      <w:r w:rsidRPr="00B91980">
        <w:rPr>
          <w:i/>
        </w:rPr>
        <w:t>see also</w:t>
      </w:r>
      <w:r w:rsidRPr="003A5F22">
        <w:t xml:space="preserve"> 47 U.S.C. § 302(b) (stating that “[n]o person shall manufacture, import, sell, offer for sale, or ship devices or home electronic equipment and systems, or use devices, which fail to comply with regulations promulgated pursuant to this section</w:t>
      </w:r>
      <w:r w:rsidRPr="00A45E0A">
        <w:t>.”).</w:t>
      </w:r>
      <w:r w:rsidRPr="003A5F22">
        <w:t xml:space="preserve">  The Office of Engineering and Technology (OET) administers day-to-day operation of the equipment authorization program.  </w:t>
      </w:r>
      <w:r w:rsidRPr="00B91980">
        <w:rPr>
          <w:i/>
        </w:rPr>
        <w:t>See</w:t>
      </w:r>
      <w:r w:rsidRPr="003A5F22">
        <w:t xml:space="preserve"> 47 CFR § 0.241(b).  OET’s Laboratory Division maintains a webpage devoted to the equipment authorization program.  </w:t>
      </w:r>
      <w:r w:rsidRPr="00B91980">
        <w:rPr>
          <w:i/>
          <w:iCs/>
        </w:rPr>
        <w:t>See</w:t>
      </w:r>
      <w:r w:rsidRPr="003A5F22">
        <w:t xml:space="preserve"> FCC, Equipment Authorization, </w:t>
      </w:r>
      <w:hyperlink r:id="rId1" w:history="1">
        <w:r w:rsidRPr="0091141C">
          <w:rPr>
            <w:rStyle w:val="Hyperlink"/>
          </w:rPr>
          <w:t>https://www.fcc.gov/engineering-technology/laboratory-division/general/equipment-authorization</w:t>
        </w:r>
      </w:hyperlink>
      <w:r w:rsidRPr="003A5F22">
        <w:t>.</w:t>
      </w:r>
    </w:p>
  </w:footnote>
  <w:footnote w:id="4">
    <w:p w:rsidR="000E6BE4" w:rsidP="004226B2" w14:paraId="4B8A131A" w14:textId="16CD6D6F">
      <w:pPr>
        <w:pStyle w:val="FootnoteText"/>
      </w:pPr>
      <w:r>
        <w:rPr>
          <w:rStyle w:val="FootnoteReference"/>
        </w:rPr>
        <w:footnoteRef/>
      </w:r>
      <w:r>
        <w:t xml:space="preserve"> </w:t>
      </w:r>
      <w:r>
        <w:rPr>
          <w:i/>
          <w:iCs/>
        </w:rPr>
        <w:t xml:space="preserve">See </w:t>
      </w:r>
      <w:r>
        <w:t>47 CFR §§ 2.803, 2.1203, 2.1204.</w:t>
      </w:r>
    </w:p>
  </w:footnote>
  <w:footnote w:id="5">
    <w:p w:rsidR="000E6BE4" w:rsidP="004226B2" w14:paraId="0B0BB8A5" w14:textId="26D5E0E4">
      <w:pPr>
        <w:pStyle w:val="FootnoteText"/>
      </w:pPr>
      <w:r>
        <w:rPr>
          <w:rStyle w:val="FootnoteReference"/>
        </w:rPr>
        <w:footnoteRef/>
      </w:r>
      <w:r>
        <w:t xml:space="preserve"> 47 CFR part 2, subpart J.  </w:t>
      </w:r>
      <w:r w:rsidRPr="002E1FA9">
        <w:t>Certification is an equipment authorization issued by an FCC-recognized Telecommunication Certification Body</w:t>
      </w:r>
      <w:r>
        <w:t xml:space="preserve"> </w:t>
      </w:r>
      <w:r w:rsidRPr="002E1FA9">
        <w:t>based on its evaluation of related documentation and test data</w:t>
      </w:r>
      <w:r>
        <w:t>, subject to the Commission’s certification procedures</w:t>
      </w:r>
      <w:r w:rsidRPr="002E1FA9">
        <w:t xml:space="preserve">.  Device testing associated with a </w:t>
      </w:r>
      <w:r>
        <w:t>c</w:t>
      </w:r>
      <w:r w:rsidRPr="002E1FA9">
        <w:t xml:space="preserve">ertification application must be performed by an FCC-recognized accredited testing laboratory, and information for all Certified equipment is posted on a Commission-maintained public database.  </w:t>
      </w:r>
      <w:r w:rsidRPr="006F754A">
        <w:t>47 CFR § 2.907.</w:t>
      </w:r>
      <w:r>
        <w:t xml:space="preserve"> </w:t>
      </w:r>
      <w:r w:rsidRPr="002E1FA9">
        <w:t xml:space="preserve"> </w:t>
      </w:r>
      <w:r w:rsidRPr="002E1FA9">
        <w:t>SDoC</w:t>
      </w:r>
      <w:r w:rsidRPr="002E1FA9">
        <w:t xml:space="preserve"> is a self-approval procedure wherein the party responsible for an RF device (who must be located in the United States) ensures that it complies with the appropriate FCC and related technical standards.  </w:t>
      </w:r>
      <w:r w:rsidRPr="006F754A">
        <w:t>47 CFR § 2.906.</w:t>
      </w:r>
      <w:r>
        <w:t xml:space="preserve">  </w:t>
      </w:r>
      <w:r w:rsidRPr="002E1FA9">
        <w:t xml:space="preserve">Equipment authorized under the </w:t>
      </w:r>
      <w:r w:rsidRPr="002E1FA9">
        <w:t>SDoC</w:t>
      </w:r>
      <w:r w:rsidRPr="002E1FA9">
        <w:t xml:space="preserve"> procedure is not listed in a Commission database.</w:t>
      </w:r>
    </w:p>
  </w:footnote>
  <w:footnote w:id="6">
    <w:p w:rsidR="000E6BE4" w:rsidP="003F1D6A" w14:paraId="3A95EBC7" w14:textId="5E26A280">
      <w:pPr>
        <w:pStyle w:val="FootnoteText"/>
      </w:pPr>
      <w:r>
        <w:rPr>
          <w:rStyle w:val="FootnoteReference"/>
        </w:rPr>
        <w:footnoteRef/>
      </w:r>
      <w:r>
        <w:t xml:space="preserve"> 47 CFR §§ 2.803(c)(2)(</w:t>
      </w:r>
      <w:r>
        <w:t>i</w:t>
      </w:r>
      <w:r>
        <w:t>)-(ii).</w:t>
      </w:r>
    </w:p>
  </w:footnote>
  <w:footnote w:id="7">
    <w:p w:rsidR="000E6BE4" w:rsidP="004226B2" w14:paraId="5BB75081" w14:textId="77777777">
      <w:pPr>
        <w:pStyle w:val="FootnoteText"/>
      </w:pPr>
      <w:r>
        <w:rPr>
          <w:rStyle w:val="FootnoteReference"/>
        </w:rPr>
        <w:footnoteRef/>
      </w:r>
      <w:r>
        <w:t xml:space="preserve"> 47 CFR § 2.803(c).</w:t>
      </w:r>
    </w:p>
  </w:footnote>
  <w:footnote w:id="8">
    <w:p w:rsidR="000E6BE4" w:rsidP="004226B2" w14:paraId="22985868" w14:textId="77777777">
      <w:pPr>
        <w:pStyle w:val="FootnoteText"/>
      </w:pPr>
      <w:r>
        <w:rPr>
          <w:rStyle w:val="FootnoteReference"/>
        </w:rPr>
        <w:footnoteRef/>
      </w:r>
      <w:r>
        <w:t xml:space="preserve"> 47 CFR § 2.1204(a).</w:t>
      </w:r>
    </w:p>
  </w:footnote>
  <w:footnote w:id="9">
    <w:p w:rsidR="000E6BE4" w:rsidRPr="00F2215B" w:rsidP="004226B2" w14:paraId="498444B4" w14:textId="77777777">
      <w:pPr>
        <w:pStyle w:val="FootnoteText"/>
        <w:rPr>
          <w:iCs/>
        </w:rPr>
      </w:pPr>
      <w:r>
        <w:rPr>
          <w:rStyle w:val="FootnoteReference"/>
        </w:rPr>
        <w:footnoteRef/>
      </w:r>
      <w:r>
        <w:t xml:space="preserve"> Petition of Consumer Technology Association to Expand Marketing Opportunities for Innovative Technologies, RM-11857, at 3-6 (filed June 2, 2020) (CTA Petition).</w:t>
      </w:r>
      <w:r w:rsidRPr="00513C1B">
        <w:rPr>
          <w:i/>
        </w:rPr>
        <w:t xml:space="preserve"> </w:t>
      </w:r>
      <w:bookmarkStart w:id="30" w:name="_Hlk68083261"/>
      <w:r>
        <w:t xml:space="preserve"> </w:t>
      </w:r>
    </w:p>
    <w:bookmarkEnd w:id="30"/>
  </w:footnote>
  <w:footnote w:id="10">
    <w:p w:rsidR="000E6BE4" w:rsidRPr="00407D40" w:rsidP="004226B2" w14:paraId="724C8CB2" w14:textId="77777777">
      <w:pPr>
        <w:pStyle w:val="FootnoteText"/>
        <w:rPr>
          <w:i/>
          <w:iCs/>
        </w:rPr>
      </w:pPr>
      <w:r>
        <w:rPr>
          <w:rStyle w:val="FootnoteReference"/>
        </w:rPr>
        <w:footnoteRef/>
      </w:r>
      <w:r>
        <w:t xml:space="preserve"> </w:t>
      </w:r>
      <w:r>
        <w:rPr>
          <w:i/>
          <w:iCs/>
        </w:rPr>
        <w:t>Id.</w:t>
      </w:r>
    </w:p>
  </w:footnote>
  <w:footnote w:id="11">
    <w:p w:rsidR="000E6BE4" w:rsidRPr="00A00E1E" w:rsidP="004226B2" w14:paraId="7DBE8AA9" w14:textId="7E83A8F9">
      <w:pPr>
        <w:pStyle w:val="FootnoteText"/>
      </w:pPr>
      <w:r>
        <w:rPr>
          <w:rStyle w:val="FootnoteReference"/>
        </w:rPr>
        <w:footnoteRef/>
      </w:r>
      <w:r>
        <w:t xml:space="preserve"> </w:t>
      </w:r>
      <w:r w:rsidRPr="004C6281">
        <w:t>On June 9, 2020, the Consumer and Governmental Affairs Bureau’s Reference Information Center issued a Public Notice seeking comment on CTA’s petition</w:t>
      </w:r>
      <w:r>
        <w:t xml:space="preserve">.  </w:t>
      </w:r>
      <w:r>
        <w:rPr>
          <w:i/>
          <w:iCs/>
        </w:rPr>
        <w:t>Petition of Consumer Technology Association to Expand Marketing Opportunities for Innovative Technologies</w:t>
      </w:r>
      <w:r>
        <w:t xml:space="preserve">, RM-11857, Public Notice, Report No. 3150 (CGB June 9, 2020).  </w:t>
      </w:r>
      <w:r w:rsidRPr="00BA31A2">
        <w:t>Eight comments and two reply comments were filed in response.</w:t>
      </w:r>
    </w:p>
  </w:footnote>
  <w:footnote w:id="12">
    <w:p w:rsidR="000E6BE4" w:rsidP="004226B2" w14:paraId="11DA7B4B" w14:textId="77777777">
      <w:pPr>
        <w:pStyle w:val="FootnoteText"/>
      </w:pPr>
      <w:r>
        <w:rPr>
          <w:rStyle w:val="FootnoteReference"/>
        </w:rPr>
        <w:footnoteRef/>
      </w:r>
      <w:r>
        <w:t xml:space="preserve"> </w:t>
      </w:r>
      <w:r w:rsidRPr="00A83041">
        <w:rPr>
          <w:i/>
          <w:iCs/>
        </w:rPr>
        <w:t xml:space="preserve">Allowing Earlier Equipment Marketing and Importation Opportunities Petition to Expand Marketing Opportunities for Innovative Technologies, </w:t>
      </w:r>
      <w:r w:rsidRPr="00A83041">
        <w:t xml:space="preserve">ET Docket No. 20-382, Notice of Proposed Rulemaking, 35 FCC </w:t>
      </w:r>
      <w:r w:rsidRPr="00A83041">
        <w:t>Rcd</w:t>
      </w:r>
      <w:r w:rsidRPr="00A83041">
        <w:t xml:space="preserve"> 14458 (2020)</w:t>
      </w:r>
      <w:r>
        <w:t xml:space="preserve"> </w:t>
      </w:r>
      <w:r w:rsidRPr="00A83041">
        <w:t>(</w:t>
      </w:r>
      <w:r w:rsidRPr="00A83041">
        <w:rPr>
          <w:i/>
          <w:iCs/>
        </w:rPr>
        <w:t>NPRM</w:t>
      </w:r>
      <w:r w:rsidRPr="00407D40">
        <w:t>)</w:t>
      </w:r>
      <w:r w:rsidRPr="00A83041">
        <w:rPr>
          <w:i/>
          <w:iCs/>
        </w:rPr>
        <w:t>.</w:t>
      </w:r>
      <w:r w:rsidRPr="00A83041">
        <w:t xml:space="preserve"> </w:t>
      </w:r>
    </w:p>
  </w:footnote>
  <w:footnote w:id="13">
    <w:p w:rsidR="000E6BE4" w:rsidP="004226B2" w14:paraId="05B8B681" w14:textId="5B234119">
      <w:pPr>
        <w:pStyle w:val="FootnoteText"/>
      </w:pPr>
      <w:r>
        <w:rPr>
          <w:rStyle w:val="FootnoteReference"/>
        </w:rPr>
        <w:footnoteRef/>
      </w:r>
      <w:r>
        <w:t xml:space="preserve">  </w:t>
      </w:r>
      <w:r>
        <w:rPr>
          <w:i/>
          <w:iCs/>
        </w:rPr>
        <w:t>See NPRM</w:t>
      </w:r>
      <w:r>
        <w:t xml:space="preserve">, </w:t>
      </w:r>
      <w:r w:rsidRPr="00454A31">
        <w:t xml:space="preserve">35 FCC </w:t>
      </w:r>
      <w:r w:rsidRPr="00454A31">
        <w:t>Rcd</w:t>
      </w:r>
      <w:r>
        <w:rPr>
          <w:i/>
          <w:iCs/>
        </w:rPr>
        <w:t xml:space="preserve"> </w:t>
      </w:r>
      <w:r>
        <w:t>at 14478, Appendix A, proposed 47 CFR § 2.803(c)(2)(</w:t>
      </w:r>
      <w:r>
        <w:t>i</w:t>
      </w:r>
      <w:r>
        <w:t>).</w:t>
      </w:r>
    </w:p>
  </w:footnote>
  <w:footnote w:id="14">
    <w:p w:rsidR="000E6BE4" w:rsidRPr="00D34626" w:rsidP="00061A65" w14:paraId="7C45EB44" w14:textId="0B34FE37">
      <w:pPr>
        <w:pStyle w:val="FootnoteText"/>
      </w:pPr>
      <w:r>
        <w:rPr>
          <w:rStyle w:val="FootnoteReference"/>
        </w:rPr>
        <w:footnoteRef/>
      </w:r>
      <w:r>
        <w:t xml:space="preserve"> </w:t>
      </w:r>
      <w:r>
        <w:rPr>
          <w:i/>
          <w:iCs/>
        </w:rPr>
        <w:t>See, e.g</w:t>
      </w:r>
      <w:r w:rsidRPr="00B3319E">
        <w:rPr>
          <w:i/>
          <w:iCs/>
        </w:rPr>
        <w:t xml:space="preserve">., </w:t>
      </w:r>
      <w:r w:rsidRPr="00E629A3">
        <w:rPr>
          <w:i/>
          <w:iCs/>
        </w:rPr>
        <w:t>NPRM</w:t>
      </w:r>
      <w:r>
        <w:t xml:space="preserve">, 35 FCC </w:t>
      </w:r>
      <w:r>
        <w:t>Rcd</w:t>
      </w:r>
      <w:r>
        <w:t xml:space="preserve"> at 14462 at para. 15.</w:t>
      </w:r>
    </w:p>
  </w:footnote>
  <w:footnote w:id="15">
    <w:p w:rsidR="000E6BE4" w:rsidRPr="00A147BB" w:rsidP="004226B2" w14:paraId="1A3E2691" w14:textId="77777777">
      <w:pPr>
        <w:pStyle w:val="FootnoteText"/>
      </w:pPr>
      <w:r>
        <w:rPr>
          <w:rStyle w:val="FootnoteReference"/>
        </w:rPr>
        <w:footnoteRef/>
      </w:r>
      <w:r>
        <w:t xml:space="preserve"> </w:t>
      </w:r>
      <w:r>
        <w:rPr>
          <w:i/>
          <w:iCs/>
        </w:rPr>
        <w:t>NPRM</w:t>
      </w:r>
      <w:r>
        <w:t>,</w:t>
      </w:r>
      <w:r>
        <w:rPr>
          <w:i/>
          <w:iCs/>
        </w:rPr>
        <w:t xml:space="preserve"> </w:t>
      </w:r>
      <w:r w:rsidRPr="00A83041">
        <w:t xml:space="preserve">35 FCC </w:t>
      </w:r>
      <w:r w:rsidRPr="00A83041">
        <w:t>Rcd</w:t>
      </w:r>
      <w:r>
        <w:t xml:space="preserve"> at 14461-63, paras. 14-18.</w:t>
      </w:r>
    </w:p>
  </w:footnote>
  <w:footnote w:id="16">
    <w:p w:rsidR="000E6BE4" w:rsidRPr="00AB4CE2" w:rsidP="004226B2" w14:paraId="5D5A48E3" w14:textId="77777777">
      <w:pPr>
        <w:pStyle w:val="FootnoteText"/>
      </w:pPr>
      <w:r>
        <w:rPr>
          <w:rStyle w:val="FootnoteReference"/>
        </w:rPr>
        <w:footnoteRef/>
      </w:r>
      <w:r>
        <w:t xml:space="preserve"> </w:t>
      </w:r>
      <w:r>
        <w:rPr>
          <w:i/>
          <w:iCs/>
        </w:rPr>
        <w:t xml:space="preserve">Id. </w:t>
      </w:r>
      <w:r>
        <w:t>at 14467-69, paras. 31-37.</w:t>
      </w:r>
    </w:p>
  </w:footnote>
  <w:footnote w:id="17">
    <w:p w:rsidR="000E6BE4" w:rsidRPr="00DD28CC" w:rsidP="00C52A57" w14:paraId="0AE819B0" w14:textId="5C706ADB">
      <w:pPr>
        <w:pStyle w:val="FootnoteText"/>
      </w:pPr>
      <w:r>
        <w:rPr>
          <w:rStyle w:val="FootnoteReference"/>
        </w:rPr>
        <w:footnoteRef/>
      </w:r>
      <w:r>
        <w:t xml:space="preserve"> </w:t>
      </w:r>
      <w:r>
        <w:rPr>
          <w:i/>
          <w:iCs/>
        </w:rPr>
        <w:t>NPRM</w:t>
      </w:r>
      <w:r>
        <w:t>,</w:t>
      </w:r>
      <w:r>
        <w:rPr>
          <w:i/>
          <w:iCs/>
        </w:rPr>
        <w:t xml:space="preserve"> </w:t>
      </w:r>
      <w:r>
        <w:t xml:space="preserve">35 FCC </w:t>
      </w:r>
      <w:r>
        <w:t>Rcd</w:t>
      </w:r>
      <w:r>
        <w:t xml:space="preserve"> at 14470-71, paras. 41-42.</w:t>
      </w:r>
    </w:p>
  </w:footnote>
  <w:footnote w:id="18">
    <w:p w:rsidR="000E6BE4" w:rsidRPr="00112E32" w:rsidP="004226B2" w14:paraId="6BAB1FDA" w14:textId="77777777">
      <w:pPr>
        <w:pStyle w:val="FootnoteText"/>
        <w:rPr>
          <w:i/>
          <w:iCs/>
        </w:rPr>
      </w:pPr>
      <w:r>
        <w:rPr>
          <w:rStyle w:val="FootnoteReference"/>
        </w:rPr>
        <w:footnoteRef/>
      </w:r>
      <w:r>
        <w:t xml:space="preserve"> </w:t>
      </w:r>
      <w:r>
        <w:rPr>
          <w:i/>
          <w:iCs/>
        </w:rPr>
        <w:t>Id.</w:t>
      </w:r>
    </w:p>
  </w:footnote>
  <w:footnote w:id="19">
    <w:p w:rsidR="000E6BE4" w:rsidP="00DB025B" w14:paraId="6BE3552E" w14:textId="5588644A">
      <w:pPr>
        <w:pStyle w:val="FootnoteText"/>
      </w:pPr>
      <w:r>
        <w:rPr>
          <w:rStyle w:val="FootnoteReference"/>
        </w:rPr>
        <w:footnoteRef/>
      </w:r>
      <w:r>
        <w:t xml:space="preserve"> 47 CFR </w:t>
      </w:r>
      <w:r w:rsidRPr="00853FC8">
        <w:t>§</w:t>
      </w:r>
      <w:r>
        <w:t xml:space="preserve"> 2.803(c)(2)(</w:t>
      </w:r>
      <w:r>
        <w:t>i</w:t>
      </w:r>
      <w:r>
        <w:t xml:space="preserve">). </w:t>
      </w:r>
    </w:p>
  </w:footnote>
  <w:footnote w:id="20">
    <w:p w:rsidR="000E6BE4" w:rsidRPr="00853FC8" w14:paraId="5378D798" w14:textId="525D414E">
      <w:pPr>
        <w:pStyle w:val="FootnoteText"/>
        <w:rPr>
          <w:i/>
        </w:rPr>
      </w:pPr>
      <w:r>
        <w:rPr>
          <w:rStyle w:val="FootnoteReference"/>
        </w:rPr>
        <w:footnoteRef/>
      </w:r>
      <w:r>
        <w:t xml:space="preserve"> </w:t>
      </w:r>
      <w:r>
        <w:rPr>
          <w:i/>
          <w:iCs/>
        </w:rPr>
        <w:t xml:space="preserve">Id. </w:t>
      </w:r>
    </w:p>
  </w:footnote>
  <w:footnote w:id="21">
    <w:p w:rsidR="000E6BE4" w:rsidRPr="006E724B" w:rsidP="004226B2" w14:paraId="1EF1E3E9" w14:textId="77777777">
      <w:pPr>
        <w:pStyle w:val="FootnoteText"/>
        <w:rPr>
          <w:i/>
          <w:iCs/>
        </w:rPr>
      </w:pPr>
      <w:r>
        <w:rPr>
          <w:rStyle w:val="FootnoteReference"/>
        </w:rPr>
        <w:footnoteRef/>
      </w:r>
      <w:r>
        <w:t xml:space="preserve"> 47 CFR § 95.391, Appendix A, </w:t>
      </w:r>
      <w:r>
        <w:rPr>
          <w:i/>
          <w:iCs/>
        </w:rPr>
        <w:t>infra.</w:t>
      </w:r>
      <w:r>
        <w:t xml:space="preserve">  </w:t>
      </w:r>
    </w:p>
  </w:footnote>
  <w:footnote w:id="22">
    <w:p w:rsidR="000E6BE4" w:rsidP="004226B2" w14:paraId="40C122E8" w14:textId="77777777">
      <w:pPr>
        <w:pStyle w:val="FootnoteText"/>
      </w:pPr>
      <w:r>
        <w:rPr>
          <w:rStyle w:val="FootnoteReference"/>
        </w:rPr>
        <w:footnoteRef/>
      </w:r>
      <w:r>
        <w:t xml:space="preserve"> 47 CFR § 2.1204(a).  </w:t>
      </w:r>
      <w:r w:rsidRPr="009E1A9E">
        <w:t xml:space="preserve">Subpart K of </w:t>
      </w:r>
      <w:r>
        <w:t>p</w:t>
      </w:r>
      <w:r w:rsidRPr="009E1A9E">
        <w:t>art 2 of our rules sets out the conditions under which radiofrequency devices may be imported into the United States</w:t>
      </w:r>
      <w:r>
        <w:t>.</w:t>
      </w:r>
      <w:r>
        <w:rPr>
          <w:i/>
          <w:iCs/>
        </w:rPr>
        <w:t xml:space="preserve">  See </w:t>
      </w:r>
      <w:r>
        <w:t xml:space="preserve">Part 2, subpart K of our rules.  47 CFR §§ 2.1201-1207.  </w:t>
      </w:r>
      <w:r w:rsidRPr="00380580">
        <w:t xml:space="preserve">These rules are designed to provide assurance that </w:t>
      </w:r>
      <w:r>
        <w:t>RF</w:t>
      </w:r>
      <w:r w:rsidRPr="00380580">
        <w:t xml:space="preserve"> devices brought into the United States comply with the technical standards that the Commission has developed to minimize the potential for harm to consumers or other radio operations.  These rules also recognize narrowly defined conditions where equipment that has not completed the Commission’s equipment authorization process nevertheless may be imported under controlled circumstances, such as for compliance testing, repair, or use by the Federal government.  47 CFR § 2.1204(a)(3), (6), and (8), respectively.</w:t>
      </w:r>
    </w:p>
  </w:footnote>
  <w:footnote w:id="23">
    <w:p w:rsidR="000E6BE4" w:rsidP="004226B2" w14:paraId="4C650023" w14:textId="77777777">
      <w:pPr>
        <w:pStyle w:val="FootnoteText"/>
      </w:pPr>
      <w:r>
        <w:rPr>
          <w:rStyle w:val="FootnoteReference"/>
        </w:rPr>
        <w:footnoteRef/>
      </w:r>
      <w:r>
        <w:t xml:space="preserve"> </w:t>
      </w:r>
      <w:r w:rsidRPr="008B150A">
        <w:t>CTA Petition</w:t>
      </w:r>
      <w:r>
        <w:t xml:space="preserve"> at 14, A-2.</w:t>
      </w:r>
    </w:p>
  </w:footnote>
  <w:footnote w:id="24">
    <w:p w:rsidR="000E6BE4" w:rsidRPr="009C604C" w:rsidP="004226B2" w14:paraId="59C32118" w14:textId="0B09452C">
      <w:pPr>
        <w:pStyle w:val="FootnoteText"/>
      </w:pPr>
      <w:r>
        <w:rPr>
          <w:rStyle w:val="FootnoteReference"/>
        </w:rPr>
        <w:footnoteRef/>
      </w:r>
      <w:r>
        <w:t xml:space="preserve"> </w:t>
      </w:r>
      <w:r>
        <w:rPr>
          <w:i/>
          <w:iCs/>
        </w:rPr>
        <w:t>NPRM</w:t>
      </w:r>
      <w:r>
        <w:t>,</w:t>
      </w:r>
      <w:r>
        <w:rPr>
          <w:i/>
          <w:iCs/>
        </w:rPr>
        <w:t xml:space="preserve"> </w:t>
      </w:r>
      <w:r w:rsidRPr="00A83041">
        <w:t xml:space="preserve">35 FCC </w:t>
      </w:r>
      <w:r w:rsidRPr="00A83041">
        <w:t>Rcd</w:t>
      </w:r>
      <w:r>
        <w:rPr>
          <w:i/>
          <w:iCs/>
        </w:rPr>
        <w:t xml:space="preserve"> </w:t>
      </w:r>
      <w:r w:rsidRPr="008B150A">
        <w:t>at</w:t>
      </w:r>
      <w:r>
        <w:rPr>
          <w:i/>
          <w:iCs/>
        </w:rPr>
        <w:t xml:space="preserve"> </w:t>
      </w:r>
      <w:r>
        <w:t>14478, Appendix A, proposed 47 CFR § 2.1204(a)(11).</w:t>
      </w:r>
    </w:p>
  </w:footnote>
  <w:footnote w:id="25">
    <w:p w:rsidR="000E6BE4" w:rsidP="004226B2" w14:paraId="2DD98284" w14:textId="77777777">
      <w:pPr>
        <w:pStyle w:val="FootnoteText"/>
      </w:pPr>
      <w:r>
        <w:rPr>
          <w:rStyle w:val="FootnoteReference"/>
        </w:rPr>
        <w:footnoteRef/>
      </w:r>
      <w:r>
        <w:t xml:space="preserve"> CTA notes that “imaging means loading the devices with specific software to demonstrate specific features of the devices when displayed in a retail location.”  </w:t>
      </w:r>
      <w:r w:rsidRPr="003B180D">
        <w:t xml:space="preserve">CTA Petition </w:t>
      </w:r>
      <w:r>
        <w:t>at 12 n.42.</w:t>
      </w:r>
    </w:p>
  </w:footnote>
  <w:footnote w:id="26">
    <w:p w:rsidR="000E6BE4" w:rsidRPr="00C51825" w:rsidP="004226B2" w14:paraId="0C70D1E8" w14:textId="77777777">
      <w:pPr>
        <w:pStyle w:val="FootnoteText"/>
      </w:pPr>
      <w:r>
        <w:rPr>
          <w:rStyle w:val="FootnoteReference"/>
        </w:rPr>
        <w:footnoteRef/>
      </w:r>
      <w:r>
        <w:t xml:space="preserve"> CTA notes that “packaging means the box and the entire contents of a package in which the device is delivered for distribution, including in-box material.”  </w:t>
      </w:r>
      <w:r>
        <w:rPr>
          <w:i/>
          <w:iCs/>
        </w:rPr>
        <w:t>Id.</w:t>
      </w:r>
      <w:r>
        <w:t xml:space="preserve"> at 12 n.43.</w:t>
      </w:r>
    </w:p>
  </w:footnote>
  <w:footnote w:id="27">
    <w:p w:rsidR="000E6BE4" w:rsidRPr="00965119" w:rsidP="004226B2" w14:paraId="5F315D7D" w14:textId="77777777">
      <w:pPr>
        <w:pStyle w:val="FootnoteText"/>
      </w:pPr>
      <w:r>
        <w:rPr>
          <w:rStyle w:val="FootnoteReference"/>
        </w:rPr>
        <w:footnoteRef/>
      </w:r>
      <w:r>
        <w:t xml:space="preserve"> </w:t>
      </w:r>
      <w:r>
        <w:rPr>
          <w:i/>
          <w:iCs/>
        </w:rPr>
        <w:t>Id.</w:t>
      </w:r>
      <w:r>
        <w:t xml:space="preserve"> at 12, n.44.</w:t>
      </w:r>
    </w:p>
  </w:footnote>
  <w:footnote w:id="28">
    <w:p w:rsidR="000E6BE4" w:rsidP="004226B2" w14:paraId="03DC64B2" w14:textId="3704388F">
      <w:pPr>
        <w:pStyle w:val="FootnoteText"/>
      </w:pPr>
      <w:r>
        <w:rPr>
          <w:rStyle w:val="FootnoteReference"/>
        </w:rPr>
        <w:footnoteRef/>
      </w:r>
      <w:r>
        <w:t xml:space="preserve"> </w:t>
      </w:r>
      <w:r>
        <w:rPr>
          <w:i/>
          <w:iCs/>
        </w:rPr>
        <w:t>NPRM</w:t>
      </w:r>
      <w:r>
        <w:t>,</w:t>
      </w:r>
      <w:r>
        <w:rPr>
          <w:i/>
          <w:iCs/>
        </w:rPr>
        <w:t xml:space="preserve"> </w:t>
      </w:r>
      <w:r w:rsidRPr="00A83041">
        <w:t xml:space="preserve">35 FCC </w:t>
      </w:r>
      <w:r w:rsidRPr="00A83041">
        <w:t>Rcd</w:t>
      </w:r>
      <w:r>
        <w:rPr>
          <w:i/>
          <w:iCs/>
        </w:rPr>
        <w:t xml:space="preserve"> </w:t>
      </w:r>
      <w:r w:rsidRPr="008B150A">
        <w:t>at</w:t>
      </w:r>
      <w:r>
        <w:rPr>
          <w:i/>
          <w:iCs/>
        </w:rPr>
        <w:t xml:space="preserve"> </w:t>
      </w:r>
      <w:r>
        <w:t>14478-79, Appendix A, proposed 47 CFR § 2.1204(a)(11)(iii)-(v).</w:t>
      </w:r>
    </w:p>
  </w:footnote>
  <w:footnote w:id="29">
    <w:p w:rsidR="000E6BE4" w:rsidRPr="006420BB" w:rsidP="004226B2" w14:paraId="390FC3CD" w14:textId="77777777">
      <w:pPr>
        <w:pStyle w:val="FootnoteText"/>
        <w:rPr>
          <w:i/>
          <w:iCs/>
        </w:rPr>
      </w:pPr>
      <w:r>
        <w:rPr>
          <w:rStyle w:val="FootnoteReference"/>
        </w:rPr>
        <w:footnoteRef/>
      </w:r>
      <w:r>
        <w:t xml:space="preserve"> </w:t>
      </w:r>
      <w:r>
        <w:rPr>
          <w:i/>
          <w:iCs/>
        </w:rPr>
        <w:t xml:space="preserve">See </w:t>
      </w:r>
      <w:r>
        <w:t xml:space="preserve">47 CFR § 2.1204(a)(11), Appendix A, </w:t>
      </w:r>
      <w:r>
        <w:rPr>
          <w:i/>
          <w:iCs/>
        </w:rPr>
        <w:t>infra.</w:t>
      </w:r>
    </w:p>
  </w:footnote>
  <w:footnote w:id="30">
    <w:p w:rsidR="000E6BE4" w:rsidRPr="00B4063B" w:rsidP="004226B2" w14:paraId="2CD75FB9" w14:textId="77777777">
      <w:pPr>
        <w:pStyle w:val="FootnoteText"/>
      </w:pPr>
      <w:r>
        <w:rPr>
          <w:rStyle w:val="FootnoteReference"/>
        </w:rPr>
        <w:footnoteRef/>
      </w:r>
      <w:r>
        <w:t xml:space="preserve"> </w:t>
      </w:r>
      <w:r>
        <w:rPr>
          <w:i/>
          <w:iCs/>
        </w:rPr>
        <w:t>NPRM</w:t>
      </w:r>
      <w:r>
        <w:t>,</w:t>
      </w:r>
      <w:r>
        <w:rPr>
          <w:i/>
          <w:iCs/>
        </w:rPr>
        <w:t xml:space="preserve"> </w:t>
      </w:r>
      <w:r w:rsidRPr="00A83041">
        <w:t xml:space="preserve">35 FCC </w:t>
      </w:r>
      <w:r w:rsidRPr="00A83041">
        <w:t>Rcd</w:t>
      </w:r>
      <w:r>
        <w:t xml:space="preserve"> at 14470-71, para. 41.</w:t>
      </w:r>
    </w:p>
  </w:footnote>
  <w:footnote w:id="31">
    <w:p w:rsidR="000E6BE4" w:rsidP="004226B2" w14:paraId="5D800449" w14:textId="77777777">
      <w:pPr>
        <w:pStyle w:val="FootnoteText"/>
      </w:pPr>
      <w:r>
        <w:rPr>
          <w:rStyle w:val="FootnoteReference"/>
        </w:rPr>
        <w:footnoteRef/>
      </w:r>
      <w:r>
        <w:t xml:space="preserve"> HP Enterprise Comments at 1-2.</w:t>
      </w:r>
    </w:p>
  </w:footnote>
  <w:footnote w:id="32">
    <w:p w:rsidR="000E6BE4" w:rsidP="004226B2" w14:paraId="13315AAF" w14:textId="77777777">
      <w:pPr>
        <w:pStyle w:val="FootnoteText"/>
      </w:pPr>
      <w:r>
        <w:rPr>
          <w:rStyle w:val="FootnoteReference"/>
        </w:rPr>
        <w:footnoteRef/>
      </w:r>
      <w:r>
        <w:t xml:space="preserve"> CTIA-The Wireless Association (CTIA) Comments at 5; Information Technology and Innovation Foundation (ITIF) Comments at 4; and Computer &amp; Communications Industry Association (CCIA) Comments at 4.</w:t>
      </w:r>
    </w:p>
  </w:footnote>
  <w:footnote w:id="33">
    <w:p w:rsidR="000E6BE4" w:rsidP="004226B2" w14:paraId="6770B035" w14:textId="77777777">
      <w:pPr>
        <w:pStyle w:val="FootnoteText"/>
      </w:pPr>
      <w:r>
        <w:rPr>
          <w:rStyle w:val="FootnoteReference"/>
        </w:rPr>
        <w:footnoteRef/>
      </w:r>
      <w:r>
        <w:t xml:space="preserve"> Garmin International Inc. Comments at 3 (Garmin); Qualcomm Incorporated Comments at 3-4 (Qualcomm).</w:t>
      </w:r>
    </w:p>
  </w:footnote>
  <w:footnote w:id="34">
    <w:p w:rsidR="000E6BE4" w:rsidP="004226B2" w14:paraId="6924C9C7" w14:textId="77777777">
      <w:pPr>
        <w:pStyle w:val="FootnoteText"/>
      </w:pPr>
      <w:r>
        <w:rPr>
          <w:rStyle w:val="FootnoteReference"/>
        </w:rPr>
        <w:footnoteRef/>
      </w:r>
      <w:r>
        <w:t xml:space="preserve"> INCOMPAS Comments at 5; U.S. Chamber of Commerce at 3; Mobile and Wireless Forum (MWF) Comments at 4-5; Samsung Comments at 9-10; Information Technology Industry Council (ITI) Comments at 2; CTA Comments at 10; Telecommunications Industry Association, Association of Home Appliance Manufacturers, Engine, The Internet Association, INCOMPAS, the Rural &amp; Agriculture Council of America, and </w:t>
      </w:r>
      <w:r>
        <w:t>TechFreedom</w:t>
      </w:r>
      <w:r>
        <w:t xml:space="preserve"> (collectively, Joint Commenters) Comments at 2-3; and Amazon.com Inc. (Amazon) Reply Comments at 3.  </w:t>
      </w:r>
    </w:p>
  </w:footnote>
  <w:footnote w:id="35">
    <w:p w:rsidR="000E6BE4" w:rsidRPr="00F164B3" w:rsidP="004226B2" w14:paraId="435DC00B" w14:textId="77777777">
      <w:pPr>
        <w:pStyle w:val="FootnoteText"/>
      </w:pPr>
      <w:r>
        <w:rPr>
          <w:rStyle w:val="FootnoteReference"/>
        </w:rPr>
        <w:footnoteRef/>
      </w:r>
      <w:r>
        <w:t xml:space="preserve"> </w:t>
      </w:r>
      <w:r>
        <w:rPr>
          <w:i/>
          <w:iCs/>
        </w:rPr>
        <w:t>See, e.g.</w:t>
      </w:r>
      <w:r>
        <w:t>, Samsung Comments at 9-10; MWF Comments at 4-5; and ITI Comments at 2.</w:t>
      </w:r>
    </w:p>
  </w:footnote>
  <w:footnote w:id="36">
    <w:p w:rsidR="000E6BE4" w:rsidP="004226B2" w14:paraId="7E9D3D49" w14:textId="77777777">
      <w:pPr>
        <w:pStyle w:val="FootnoteText"/>
      </w:pPr>
      <w:r>
        <w:rPr>
          <w:rStyle w:val="FootnoteReference"/>
        </w:rPr>
        <w:footnoteRef/>
      </w:r>
      <w:r>
        <w:t xml:space="preserve"> Samsung Comments at 9-10; ITIF Comments at 4.</w:t>
      </w:r>
    </w:p>
  </w:footnote>
  <w:footnote w:id="37">
    <w:p w:rsidR="000E6BE4" w:rsidRPr="00511AB5" w:rsidP="004226B2" w14:paraId="71450ACF" w14:textId="77777777">
      <w:pPr>
        <w:pStyle w:val="FootnoteText"/>
      </w:pPr>
      <w:r>
        <w:rPr>
          <w:rStyle w:val="FootnoteReference"/>
        </w:rPr>
        <w:footnoteRef/>
      </w:r>
      <w:r>
        <w:t xml:space="preserve"> The existing rules already contain this same method for requesting devices in excess of 4,000.  </w:t>
      </w:r>
      <w:r>
        <w:rPr>
          <w:i/>
          <w:iCs/>
        </w:rPr>
        <w:t>See</w:t>
      </w:r>
      <w:r>
        <w:t xml:space="preserve"> 47 CFR § 2.1204(a)(3)(</w:t>
      </w:r>
      <w:r>
        <w:t>i</w:t>
      </w:r>
      <w:r>
        <w:t xml:space="preserve">).  We expect that parties seeking to avail themselves of this process will provide specific information in their request, including the exact number of devices to be imported and a detailed explanation indicating why 12,000 units is not sufficient under the particular circumstances. </w:t>
      </w:r>
    </w:p>
  </w:footnote>
  <w:footnote w:id="38">
    <w:p w:rsidR="000E6BE4" w:rsidP="004226B2" w14:paraId="00BC999E" w14:textId="77777777">
      <w:pPr>
        <w:pStyle w:val="FootnoteText"/>
      </w:pPr>
      <w:r>
        <w:rPr>
          <w:rStyle w:val="FootnoteReference"/>
        </w:rPr>
        <w:footnoteRef/>
      </w:r>
      <w:r>
        <w:t xml:space="preserve"> Garmin Comments at 3.</w:t>
      </w:r>
    </w:p>
  </w:footnote>
  <w:footnote w:id="39">
    <w:p w:rsidR="000E6BE4" w:rsidP="004226B2" w14:paraId="5E5E03F6" w14:textId="77777777">
      <w:pPr>
        <w:pStyle w:val="FootnoteText"/>
      </w:pPr>
      <w:r>
        <w:rPr>
          <w:rStyle w:val="FootnoteReference"/>
        </w:rPr>
        <w:footnoteRef/>
      </w:r>
      <w:r>
        <w:t xml:space="preserve"> </w:t>
      </w:r>
      <w:r>
        <w:rPr>
          <w:i/>
          <w:iCs/>
        </w:rPr>
        <w:t>Id.</w:t>
      </w:r>
      <w:r>
        <w:t xml:space="preserve"> </w:t>
      </w:r>
    </w:p>
  </w:footnote>
  <w:footnote w:id="40">
    <w:p w:rsidR="000E6BE4" w:rsidRPr="00C75EEF" w:rsidP="004226B2" w14:paraId="57CACBBC" w14:textId="77777777">
      <w:pPr>
        <w:pStyle w:val="FootnoteText"/>
        <w:rPr>
          <w:i/>
        </w:rPr>
      </w:pPr>
      <w:r>
        <w:rPr>
          <w:rStyle w:val="FootnoteReference"/>
        </w:rPr>
        <w:footnoteRef/>
      </w:r>
      <w:r>
        <w:t xml:space="preserve"> </w:t>
      </w:r>
      <w:r>
        <w:rPr>
          <w:i/>
          <w:iCs/>
        </w:rPr>
        <w:t xml:space="preserve">See </w:t>
      </w:r>
      <w:r>
        <w:t xml:space="preserve">47 CFR § 2.1204(a)(11), Appendix A, </w:t>
      </w:r>
      <w:r>
        <w:rPr>
          <w:i/>
          <w:iCs/>
        </w:rPr>
        <w:t xml:space="preserve">infra.  </w:t>
      </w:r>
      <w:r>
        <w:t xml:space="preserve">The FCC Identifier (FCC ID), which consists of a grantee code assigned by the FCC and an equipment product code assigned by the grantee, is an integral component of the certification process.  </w:t>
      </w:r>
      <w:r>
        <w:rPr>
          <w:i/>
          <w:iCs/>
        </w:rPr>
        <w:t xml:space="preserve">See </w:t>
      </w:r>
      <w:r>
        <w:t>47 CFR § 2.926.</w:t>
      </w:r>
    </w:p>
  </w:footnote>
  <w:footnote w:id="41">
    <w:p w:rsidR="000E6BE4" w:rsidRPr="00481736" w:rsidP="004226B2" w14:paraId="19F6C8A9" w14:textId="77777777">
      <w:pPr>
        <w:pStyle w:val="FootnoteText"/>
      </w:pPr>
      <w:r>
        <w:rPr>
          <w:rStyle w:val="FootnoteReference"/>
        </w:rPr>
        <w:footnoteRef/>
      </w:r>
      <w:r>
        <w:t xml:space="preserve"> </w:t>
      </w:r>
      <w:r>
        <w:rPr>
          <w:i/>
          <w:iCs/>
        </w:rPr>
        <w:t xml:space="preserve">See </w:t>
      </w:r>
      <w:r>
        <w:t>47 CFR § 2.925.</w:t>
      </w:r>
    </w:p>
  </w:footnote>
  <w:footnote w:id="42">
    <w:p w:rsidR="000E6BE4" w:rsidRPr="00B91980" w:rsidP="004226B2" w14:paraId="2B7CBB4F" w14:textId="77777777">
      <w:pPr>
        <w:pStyle w:val="FootnoteText"/>
        <w:rPr>
          <w:i/>
          <w:iCs/>
        </w:rPr>
      </w:pPr>
      <w:r>
        <w:rPr>
          <w:rStyle w:val="FootnoteReference"/>
        </w:rPr>
        <w:footnoteRef/>
      </w:r>
      <w:r>
        <w:t xml:space="preserve"> </w:t>
      </w:r>
      <w:r>
        <w:rPr>
          <w:i/>
          <w:iCs/>
        </w:rPr>
        <w:t xml:space="preserve">See </w:t>
      </w:r>
      <w:r>
        <w:t>47 CFR § 2.1033 (requiring the FCC ID to be provided in an application for certification).</w:t>
      </w:r>
    </w:p>
  </w:footnote>
  <w:footnote w:id="43">
    <w:p w:rsidR="000E6BE4" w:rsidRPr="00FF259B" w:rsidP="004226B2" w14:paraId="6B2A9D37" w14:textId="77777777">
      <w:pPr>
        <w:pStyle w:val="FootnoteText"/>
      </w:pPr>
      <w:r>
        <w:rPr>
          <w:rStyle w:val="FootnoteReference"/>
        </w:rPr>
        <w:footnoteRef/>
      </w:r>
      <w:r>
        <w:t xml:space="preserve"> </w:t>
      </w:r>
      <w:r>
        <w:rPr>
          <w:i/>
          <w:iCs/>
        </w:rPr>
        <w:t>See NPRM</w:t>
      </w:r>
      <w:r>
        <w:t xml:space="preserve">, </w:t>
      </w:r>
      <w:r w:rsidRPr="00454A31">
        <w:t xml:space="preserve">35 FCC </w:t>
      </w:r>
      <w:r w:rsidRPr="00454A31">
        <w:t>Rcd</w:t>
      </w:r>
      <w:r>
        <w:rPr>
          <w:i/>
          <w:iCs/>
        </w:rPr>
        <w:t xml:space="preserve"> </w:t>
      </w:r>
      <w:r>
        <w:t xml:space="preserve">at 14478, Appendix A, proposed 47 CFR § 2.1204 (a)(11)(ii); and </w:t>
      </w:r>
      <w:r>
        <w:rPr>
          <w:i/>
          <w:iCs/>
        </w:rPr>
        <w:t>NPRM</w:t>
      </w:r>
      <w:r>
        <w:t xml:space="preserve">, </w:t>
      </w:r>
      <w:r w:rsidRPr="00454A31">
        <w:t xml:space="preserve">35 FCC </w:t>
      </w:r>
      <w:r w:rsidRPr="00454A31">
        <w:t>Rcd</w:t>
      </w:r>
      <w:r>
        <w:t xml:space="preserve"> at 14471, paras. 42-44.</w:t>
      </w:r>
    </w:p>
  </w:footnote>
  <w:footnote w:id="44">
    <w:p w:rsidR="000E6BE4" w:rsidP="004226B2" w14:paraId="5CDE26D0" w14:textId="77777777">
      <w:pPr>
        <w:pStyle w:val="FootnoteText"/>
      </w:pPr>
      <w:r>
        <w:rPr>
          <w:rStyle w:val="FootnoteReference"/>
        </w:rPr>
        <w:footnoteRef/>
      </w:r>
      <w:r>
        <w:t xml:space="preserve"> INCOMPAS </w:t>
      </w:r>
      <w:r w:rsidRPr="002E57D8">
        <w:t xml:space="preserve">Comments at 5; </w:t>
      </w:r>
      <w:r>
        <w:t xml:space="preserve">Garmin </w:t>
      </w:r>
      <w:r w:rsidRPr="002E57D8">
        <w:t xml:space="preserve">Comments at 3; Qualcomm </w:t>
      </w:r>
      <w:r>
        <w:t xml:space="preserve">Comments </w:t>
      </w:r>
      <w:r w:rsidRPr="002E57D8">
        <w:t xml:space="preserve">at 4; </w:t>
      </w:r>
      <w:r>
        <w:t xml:space="preserve">Amazon </w:t>
      </w:r>
      <w:r w:rsidRPr="002E57D8">
        <w:t xml:space="preserve">Reply Comments at 3-4; and Samsung </w:t>
      </w:r>
      <w:r>
        <w:t xml:space="preserve">Comments </w:t>
      </w:r>
      <w:r w:rsidRPr="002E57D8">
        <w:t>at 4.</w:t>
      </w:r>
    </w:p>
  </w:footnote>
  <w:footnote w:id="45">
    <w:p w:rsidR="000E6BE4" w:rsidP="004226B2" w14:paraId="5183DFB0" w14:textId="451CBF98">
      <w:pPr>
        <w:pStyle w:val="FootnoteText"/>
      </w:pPr>
      <w:r>
        <w:rPr>
          <w:rStyle w:val="FootnoteReference"/>
        </w:rPr>
        <w:footnoteRef/>
      </w:r>
      <w:r>
        <w:t xml:space="preserve"> ITI Comments at 4 and Joint Commenters Comments at 3.  The pre-approval guidance procedure is specified in Section 2.964 of the Commission’s rules.  47 CFR § 2.964. </w:t>
      </w:r>
    </w:p>
  </w:footnote>
  <w:footnote w:id="46">
    <w:p w:rsidR="000E6BE4" w:rsidP="004226B2" w14:paraId="4B2952E1" w14:textId="77777777">
      <w:pPr>
        <w:pStyle w:val="FootnoteText"/>
      </w:pPr>
      <w:r>
        <w:rPr>
          <w:rStyle w:val="FootnoteReference"/>
        </w:rPr>
        <w:footnoteRef/>
      </w:r>
      <w:r>
        <w:t xml:space="preserve"> ITIF Comments at 4-5.</w:t>
      </w:r>
    </w:p>
  </w:footnote>
  <w:footnote w:id="47">
    <w:p w:rsidR="000E6BE4" w:rsidP="004226B2" w14:paraId="0B5D69D1" w14:textId="77777777">
      <w:pPr>
        <w:pStyle w:val="FootnoteText"/>
      </w:pPr>
      <w:r>
        <w:rPr>
          <w:rStyle w:val="FootnoteReference"/>
        </w:rPr>
        <w:footnoteRef/>
      </w:r>
      <w:r>
        <w:t xml:space="preserve"> Samsung Comments at 12. </w:t>
      </w:r>
    </w:p>
  </w:footnote>
  <w:footnote w:id="48">
    <w:p w:rsidR="000E6BE4" w:rsidP="004226B2" w14:paraId="19B135DE" w14:textId="77777777">
      <w:pPr>
        <w:pStyle w:val="FootnoteText"/>
      </w:pPr>
      <w:r>
        <w:rPr>
          <w:rStyle w:val="FootnoteReference"/>
        </w:rPr>
        <w:footnoteRef/>
      </w:r>
      <w:r>
        <w:t xml:space="preserve"> R Street Comments at 2. </w:t>
      </w:r>
    </w:p>
  </w:footnote>
  <w:footnote w:id="49">
    <w:p w:rsidR="000E6BE4" w:rsidP="00A833B3" w14:paraId="7D2344C9" w14:textId="7DAF5D81">
      <w:pPr>
        <w:pStyle w:val="FootnoteText"/>
      </w:pPr>
      <w:r>
        <w:rPr>
          <w:rStyle w:val="FootnoteReference"/>
        </w:rPr>
        <w:footnoteRef/>
      </w:r>
      <w:r>
        <w:t xml:space="preserve"> </w:t>
      </w:r>
      <w:r>
        <w:rPr>
          <w:i/>
          <w:iCs/>
        </w:rPr>
        <w:t xml:space="preserve">See </w:t>
      </w:r>
      <w:r>
        <w:t>47 CFR §§ 2.911, 2.1033.</w:t>
      </w:r>
    </w:p>
  </w:footnote>
  <w:footnote w:id="50">
    <w:p w:rsidR="000E6BE4" w:rsidP="004226B2" w14:paraId="5C2B2C04" w14:textId="77777777">
      <w:pPr>
        <w:pStyle w:val="FootnoteText"/>
      </w:pPr>
      <w:r>
        <w:rPr>
          <w:rStyle w:val="FootnoteReference"/>
        </w:rPr>
        <w:footnoteRef/>
      </w:r>
      <w:r>
        <w:t xml:space="preserve"> </w:t>
      </w:r>
      <w:bookmarkStart w:id="46" w:name="_Hlk72499357"/>
      <w:r w:rsidRPr="008B150A">
        <w:rPr>
          <w:i/>
          <w:iCs/>
        </w:rPr>
        <w:t>See e.g.</w:t>
      </w:r>
      <w:r w:rsidRPr="00055411">
        <w:t xml:space="preserve">, 47 CFR </w:t>
      </w:r>
      <w:r>
        <w:t xml:space="preserve">§§ 80.231, 87.145. </w:t>
      </w:r>
      <w:bookmarkEnd w:id="46"/>
    </w:p>
  </w:footnote>
  <w:footnote w:id="51">
    <w:p w:rsidR="000E6BE4" w:rsidRPr="00F849B3" w:rsidP="004226B2" w14:paraId="7F4476A2" w14:textId="77777777">
      <w:pPr>
        <w:pStyle w:val="FootnoteText"/>
      </w:pPr>
      <w:r>
        <w:rPr>
          <w:rStyle w:val="FootnoteReference"/>
        </w:rPr>
        <w:footnoteRef/>
      </w:r>
      <w:r>
        <w:t xml:space="preserve"> Failure to provide requested data may result in dismissal of the application for certification. </w:t>
      </w:r>
      <w:r>
        <w:rPr>
          <w:i/>
          <w:iCs/>
        </w:rPr>
        <w:t xml:space="preserve"> See</w:t>
      </w:r>
      <w:r>
        <w:t xml:space="preserve"> 47 CFR § 2.917(c).</w:t>
      </w:r>
    </w:p>
  </w:footnote>
  <w:footnote w:id="52">
    <w:p w:rsidR="000E6BE4" w:rsidRPr="005C1490" w:rsidP="004226B2" w14:paraId="00881540" w14:textId="77777777">
      <w:pPr>
        <w:pStyle w:val="FootnoteText"/>
      </w:pPr>
      <w:r>
        <w:rPr>
          <w:rStyle w:val="FootnoteReference"/>
        </w:rPr>
        <w:footnoteRef/>
      </w:r>
      <w:r>
        <w:t xml:space="preserve"> </w:t>
      </w:r>
      <w:r w:rsidRPr="005C1490">
        <w:t xml:space="preserve"> R Street </w:t>
      </w:r>
      <w:r>
        <w:t>Comments</w:t>
      </w:r>
      <w:r w:rsidRPr="005C1490">
        <w:t xml:space="preserve"> at 3-4; U</w:t>
      </w:r>
      <w:r>
        <w:t>.</w:t>
      </w:r>
      <w:r w:rsidRPr="005C1490">
        <w:t>S</w:t>
      </w:r>
      <w:r>
        <w:t>.</w:t>
      </w:r>
      <w:r w:rsidRPr="005C1490">
        <w:t xml:space="preserve"> Chamber of Commerce </w:t>
      </w:r>
      <w:r>
        <w:t xml:space="preserve">Comments </w:t>
      </w:r>
      <w:r w:rsidRPr="005C1490">
        <w:t>at 2; and CCIA Comments at 2-3</w:t>
      </w:r>
      <w:r>
        <w:t>.</w:t>
      </w:r>
    </w:p>
  </w:footnote>
  <w:footnote w:id="53">
    <w:p w:rsidR="000E6BE4" w:rsidP="004226B2" w14:paraId="7FA3D70B" w14:textId="77777777">
      <w:pPr>
        <w:pStyle w:val="FootnoteText"/>
      </w:pPr>
      <w:r w:rsidRPr="005C1490">
        <w:rPr>
          <w:rStyle w:val="FootnoteReference"/>
        </w:rPr>
        <w:footnoteRef/>
      </w:r>
      <w:r w:rsidRPr="005C1490">
        <w:t xml:space="preserve">  R Street </w:t>
      </w:r>
      <w:r>
        <w:t xml:space="preserve">Comments </w:t>
      </w:r>
      <w:r w:rsidRPr="005C1490">
        <w:t>at 4; Lincoln Network</w:t>
      </w:r>
      <w:r>
        <w:t xml:space="preserve"> Comments</w:t>
      </w:r>
      <w:r w:rsidRPr="005C1490">
        <w:t xml:space="preserve"> at 3; and</w:t>
      </w:r>
      <w:r>
        <w:t xml:space="preserve"> </w:t>
      </w:r>
      <w:r w:rsidRPr="004B1F20">
        <w:t>New America’s Open Technology Institute, Public Knowledge, Consumer Reports</w:t>
      </w:r>
      <w:r>
        <w:t>,</w:t>
      </w:r>
      <w:r w:rsidRPr="004B1F20">
        <w:t xml:space="preserve"> and</w:t>
      </w:r>
      <w:r>
        <w:t xml:space="preserve"> </w:t>
      </w:r>
      <w:r w:rsidRPr="004B1F20">
        <w:t>Access Humboldt</w:t>
      </w:r>
      <w:r w:rsidRPr="005C1490">
        <w:t xml:space="preserve"> </w:t>
      </w:r>
      <w:r>
        <w:t>Comments</w:t>
      </w:r>
      <w:r w:rsidRPr="005C1490">
        <w:t xml:space="preserve"> at</w:t>
      </w:r>
      <w:r>
        <w:t xml:space="preserve"> 4 (</w:t>
      </w:r>
      <w:r w:rsidRPr="005C1490">
        <w:t>Public Interest Organizations</w:t>
      </w:r>
      <w:r>
        <w:t>).</w:t>
      </w:r>
    </w:p>
  </w:footnote>
  <w:footnote w:id="54">
    <w:p w:rsidR="000E6BE4" w:rsidP="004226B2" w14:paraId="4B7DB3F0"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14460-67, paras. 12-30.</w:t>
      </w:r>
    </w:p>
  </w:footnote>
  <w:footnote w:id="55">
    <w:p w:rsidR="000E6BE4" w:rsidP="004226B2" w14:paraId="306CD5A1" w14:textId="77777777">
      <w:pPr>
        <w:pStyle w:val="FootnoteText"/>
      </w:pPr>
      <w:r>
        <w:rPr>
          <w:rStyle w:val="FootnoteReference"/>
        </w:rPr>
        <w:footnoteRef/>
      </w:r>
      <w:r>
        <w:t xml:space="preserve"> Public Interest Organizations Comments at 2, 4; INCOMPAS Comments at 4; and ITIF</w:t>
      </w:r>
      <w:r w:rsidRPr="00B24655">
        <w:t xml:space="preserve"> </w:t>
      </w:r>
      <w:r>
        <w:t>Comments at 2.</w:t>
      </w:r>
    </w:p>
  </w:footnote>
  <w:footnote w:id="56">
    <w:p w:rsidR="000E6BE4" w:rsidP="004226B2" w14:paraId="5A4C5A5A" w14:textId="77777777">
      <w:pPr>
        <w:pStyle w:val="FootnoteText"/>
      </w:pPr>
      <w:r>
        <w:rPr>
          <w:rStyle w:val="FootnoteReference"/>
        </w:rPr>
        <w:footnoteRef/>
      </w:r>
      <w:r>
        <w:t xml:space="preserve"> </w:t>
      </w:r>
      <w:r w:rsidRPr="002D0BB6">
        <w:t>Telecommunications Industry Association, Association of Home Appliance Manufacturers, Engine, The Internet Association, INCOMPAS, Rural &amp; Agriculture C</w:t>
      </w:r>
      <w:r>
        <w:t>o</w:t>
      </w:r>
      <w:r w:rsidRPr="002D0BB6">
        <w:t xml:space="preserve">uncil of America, </w:t>
      </w:r>
      <w:r w:rsidRPr="002D0BB6">
        <w:t>TechFreedom</w:t>
      </w:r>
      <w:r>
        <w:t xml:space="preserve"> Comments at 2</w:t>
      </w:r>
      <w:r w:rsidRPr="00C57AFE">
        <w:t xml:space="preserve"> </w:t>
      </w:r>
      <w:r>
        <w:t>(</w:t>
      </w:r>
      <w:r w:rsidRPr="002D0BB6">
        <w:t>Joint Commenters</w:t>
      </w:r>
      <w:r>
        <w:t>).</w:t>
      </w:r>
    </w:p>
  </w:footnote>
  <w:footnote w:id="57">
    <w:p w:rsidR="000E6BE4" w:rsidRPr="00185EB6" w:rsidP="004226B2" w14:paraId="3E3318DE"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t xml:space="preserve"> at 14469, para. 36. </w:t>
      </w:r>
    </w:p>
  </w:footnote>
  <w:footnote w:id="58">
    <w:p w:rsidR="000E6BE4" w:rsidP="004226B2" w14:paraId="4952FC4D" w14:textId="77777777">
      <w:pPr>
        <w:pStyle w:val="FootnoteText"/>
      </w:pPr>
      <w:r>
        <w:rPr>
          <w:rStyle w:val="FootnoteReference"/>
        </w:rPr>
        <w:footnoteRef/>
      </w:r>
      <w:r>
        <w:t xml:space="preserve"> 47 CFR § 2.803(c)(2)(</w:t>
      </w:r>
      <w:r>
        <w:t>i</w:t>
      </w:r>
      <w:r>
        <w:t xml:space="preserve">).  </w:t>
      </w:r>
      <w:r w:rsidRPr="00EF27D3">
        <w:t>Section 2.803</w:t>
      </w:r>
      <w:r>
        <w:t xml:space="preserve"> of the Commission’s rules</w:t>
      </w:r>
      <w:r w:rsidRPr="00EF27D3">
        <w:t xml:space="preserve"> sets out the conditions under which </w:t>
      </w:r>
      <w:r>
        <w:t>RF</w:t>
      </w:r>
      <w:r w:rsidRPr="00EF27D3">
        <w:t xml:space="preserve"> devices that are capable of causing harm to consumers or other radio operations may be marketed in the United States.  Marketing is broadly defined to include “sale or lease, or offering for sale or lease, including advertising for sale or lease, or importation, shipment, or distribution for the purpose of selling or leasing or offering for sale or lease.”  47 CFR § 2.803(a).  In general, parties may not market </w:t>
      </w:r>
      <w:r>
        <w:t>RF</w:t>
      </w:r>
      <w:r w:rsidRPr="00EF27D3">
        <w:t xml:space="preserve"> devices unless the devices have been properly authorized or otherwise comply with all applicable technical, labeling, identification</w:t>
      </w:r>
      <w:r>
        <w:t>,</w:t>
      </w:r>
      <w:r w:rsidRPr="00EF27D3">
        <w:t xml:space="preserve"> and administrative requirements.  47 CFR § 2.803(b).  There are exceptions to th</w:t>
      </w:r>
      <w:r>
        <w:t>e</w:t>
      </w:r>
      <w:r w:rsidRPr="00EF27D3">
        <w:t xml:space="preserve"> </w:t>
      </w:r>
      <w:r>
        <w:t>overall</w:t>
      </w:r>
      <w:r w:rsidRPr="00EF27D3">
        <w:t xml:space="preserve"> prohibition</w:t>
      </w:r>
      <w:r>
        <w:t xml:space="preserve"> in 47 CFR § 2.803(c).</w:t>
      </w:r>
    </w:p>
  </w:footnote>
  <w:footnote w:id="59">
    <w:p w:rsidR="000E6BE4" w:rsidP="004226B2" w14:paraId="0FA5E7DF" w14:textId="72337840">
      <w:pPr>
        <w:pStyle w:val="FootnoteText"/>
      </w:pPr>
      <w:r>
        <w:rPr>
          <w:rStyle w:val="FootnoteReference"/>
        </w:rPr>
        <w:footnoteRef/>
      </w:r>
      <w:r>
        <w:t xml:space="preserve"> For purposes of this Report and Order, “delivery” refers to the transfer of physical possession and legal ownership of a device from one party to another and “physical transfer” refers to the transfer of physical possession of a device from one party to another. </w:t>
      </w:r>
    </w:p>
  </w:footnote>
  <w:footnote w:id="60">
    <w:p w:rsidR="000E6BE4" w:rsidP="004226B2" w14:paraId="2FBEBA7B" w14:textId="77777777">
      <w:pPr>
        <w:pStyle w:val="FootnoteText"/>
      </w:pPr>
      <w:r>
        <w:rPr>
          <w:rStyle w:val="FootnoteReference"/>
        </w:rPr>
        <w:footnoteRef/>
      </w:r>
      <w:r>
        <w:t xml:space="preserve"> </w:t>
      </w:r>
      <w:r w:rsidRPr="00407D40">
        <w:rPr>
          <w:i/>
          <w:iCs/>
        </w:rPr>
        <w:t>See</w:t>
      </w:r>
      <w:r>
        <w:t xml:space="preserve"> 47 CFR § 2.803(c)(2)(</w:t>
      </w:r>
      <w:r>
        <w:t>i</w:t>
      </w:r>
      <w:r>
        <w:t xml:space="preserve">), Appendix A, </w:t>
      </w:r>
      <w:r w:rsidRPr="00407D40">
        <w:rPr>
          <w:i/>
          <w:iCs/>
        </w:rPr>
        <w:t>infra</w:t>
      </w:r>
      <w:r>
        <w:t xml:space="preserve">. </w:t>
      </w:r>
    </w:p>
  </w:footnote>
  <w:footnote w:id="61">
    <w:p w:rsidR="000E6BE4" w:rsidRPr="00415420" w:rsidP="004226B2" w14:paraId="1B1846BE" w14:textId="398371EF">
      <w:pPr>
        <w:pStyle w:val="FootnoteText"/>
        <w:rPr>
          <w:i/>
          <w:iCs/>
        </w:rPr>
      </w:pPr>
      <w:r>
        <w:rPr>
          <w:rStyle w:val="FootnoteReference"/>
        </w:rPr>
        <w:footnoteRef/>
      </w:r>
      <w:r>
        <w:t xml:space="preserve"> </w:t>
      </w:r>
      <w:r>
        <w:rPr>
          <w:i/>
          <w:iCs/>
        </w:rPr>
        <w:t>NPRM</w:t>
      </w:r>
      <w:r>
        <w:t xml:space="preserve">, </w:t>
      </w:r>
      <w:r w:rsidRPr="00454A31">
        <w:t xml:space="preserve">35 FCC </w:t>
      </w:r>
      <w:r w:rsidRPr="00454A31">
        <w:t>Rcd</w:t>
      </w:r>
      <w:r>
        <w:t xml:space="preserve"> at 14478, Appendix A, proposed 47 CFR § 2.803(c)(2)(</w:t>
      </w:r>
      <w:r>
        <w:t>i</w:t>
      </w:r>
      <w:r>
        <w:t xml:space="preserve">). </w:t>
      </w:r>
    </w:p>
  </w:footnote>
  <w:footnote w:id="62">
    <w:p w:rsidR="000E6BE4" w:rsidP="004226B2" w14:paraId="2A127171" w14:textId="77777777">
      <w:pPr>
        <w:pStyle w:val="FootnoteText"/>
      </w:pPr>
      <w:r>
        <w:rPr>
          <w:rStyle w:val="FootnoteReference"/>
        </w:rPr>
        <w:footnoteRef/>
      </w:r>
      <w:r>
        <w:t xml:space="preserve"> </w:t>
      </w:r>
      <w:r>
        <w:rPr>
          <w:i/>
          <w:iCs/>
        </w:rPr>
        <w:t>Revision of Part 15 of the Rules regarding the operation of radio frequency devices without an individual license</w:t>
      </w:r>
      <w:r>
        <w:t xml:space="preserve">, First Report and Order, 4 FCC </w:t>
      </w:r>
      <w:r>
        <w:t>Rcd</w:t>
      </w:r>
      <w:r>
        <w:t xml:space="preserve"> 3493, 3516, para. 127 (1989)</w:t>
      </w:r>
      <w:r>
        <w:rPr>
          <w:i/>
          <w:iCs/>
        </w:rPr>
        <w:t>.</w:t>
      </w:r>
    </w:p>
  </w:footnote>
  <w:footnote w:id="63">
    <w:p w:rsidR="000E6BE4" w:rsidP="004226B2" w14:paraId="69136A82" w14:textId="77777777">
      <w:pPr>
        <w:pStyle w:val="FootnoteText"/>
      </w:pPr>
      <w:r>
        <w:rPr>
          <w:rStyle w:val="FootnoteReference"/>
        </w:rPr>
        <w:footnoteRef/>
      </w:r>
      <w:r>
        <w:t xml:space="preserve"> </w:t>
      </w:r>
      <w:r w:rsidRPr="00942231">
        <w:rPr>
          <w:i/>
          <w:iCs/>
        </w:rPr>
        <w:t>NPRM</w:t>
      </w:r>
      <w:r>
        <w:t xml:space="preserve">, </w:t>
      </w:r>
      <w:r w:rsidRPr="00454A31">
        <w:t xml:space="preserve">35 FCC </w:t>
      </w:r>
      <w:r w:rsidRPr="00454A31">
        <w:t>Rcd</w:t>
      </w:r>
      <w:r>
        <w:t xml:space="preserve"> at 14466-67, para. 27. </w:t>
      </w:r>
    </w:p>
  </w:footnote>
  <w:footnote w:id="64">
    <w:p w:rsidR="000E6BE4" w:rsidP="004226B2" w14:paraId="28E9F736" w14:textId="77777777">
      <w:pPr>
        <w:pStyle w:val="FootnoteText"/>
      </w:pPr>
      <w:r>
        <w:rPr>
          <w:rStyle w:val="FootnoteReference"/>
        </w:rPr>
        <w:footnoteRef/>
      </w:r>
      <w:r>
        <w:t xml:space="preserve"> Under section 2.909, the party to whom a grant of equipment certification is issued is responsible for the compliance of the equipment with the applicable standards.  </w:t>
      </w:r>
      <w:r w:rsidRPr="00FD3887">
        <w:t>47 CFR § 2.909(a).</w:t>
      </w:r>
      <w:r>
        <w:t xml:space="preserve">  A party other than the grantee may manufacture the equipment covered by the grant, provided that the equipment bears the FCC Identifier (FCC ID) as set out in its authorization grant and that the original grantee maintains responsibility for equipment compliance.  </w:t>
      </w:r>
      <w:r w:rsidRPr="00FD3887">
        <w:t>47 CFR § 2.929(b).</w:t>
      </w:r>
      <w:r>
        <w:t xml:space="preserve">  If equipment is modified subsequent to authorization, and no new authorization is obtained, the modifying party becomes responsible for compliance and must include a label noting that the equipment has been modified and providing contact information for the modifying party.  </w:t>
      </w:r>
      <w:r w:rsidRPr="000876E2">
        <w:t>47 CFR § 2.909(d).</w:t>
      </w:r>
      <w:r>
        <w:t xml:space="preserve">  </w:t>
      </w:r>
      <w:r w:rsidRPr="001F2B90">
        <w:t>These rules ensure that compliance responsibility is maintained throughout the design and manufacturing process for equipment</w:t>
      </w:r>
      <w:r>
        <w:t>.</w:t>
      </w:r>
    </w:p>
  </w:footnote>
  <w:footnote w:id="65">
    <w:p w:rsidR="000E6BE4" w:rsidRPr="00AE7D3D" w:rsidP="004226B2" w14:paraId="32BDA15E" w14:textId="77777777">
      <w:pPr>
        <w:pStyle w:val="FootnoteText"/>
        <w:rPr>
          <w:i/>
          <w:iCs/>
        </w:rPr>
      </w:pPr>
      <w:r>
        <w:rPr>
          <w:rStyle w:val="FootnoteReference"/>
        </w:rPr>
        <w:footnoteRef/>
      </w:r>
      <w:r>
        <w:t xml:space="preserve"> </w:t>
      </w:r>
      <w:r w:rsidRPr="00B91980">
        <w:rPr>
          <w:i/>
          <w:iCs/>
        </w:rPr>
        <w:t>NPRM</w:t>
      </w:r>
      <w:r>
        <w:t xml:space="preserve">, </w:t>
      </w:r>
      <w:r w:rsidRPr="00454A31">
        <w:t xml:space="preserve">35 FCC </w:t>
      </w:r>
      <w:r w:rsidRPr="00454A31">
        <w:t>Rcd</w:t>
      </w:r>
      <w:r w:rsidRPr="00F4605F">
        <w:t xml:space="preserve"> at 14466-67, para. 27.</w:t>
      </w:r>
    </w:p>
  </w:footnote>
  <w:footnote w:id="66">
    <w:p w:rsidR="000E6BE4" w:rsidP="004226B2" w14:paraId="2FE46951" w14:textId="77777777">
      <w:pPr>
        <w:pStyle w:val="FootnoteText"/>
      </w:pPr>
      <w:r>
        <w:rPr>
          <w:rStyle w:val="FootnoteReference"/>
        </w:rPr>
        <w:footnoteRef/>
      </w:r>
      <w:r>
        <w:t xml:space="preserve"> Samsung Comments at 6-7.</w:t>
      </w:r>
    </w:p>
  </w:footnote>
  <w:footnote w:id="67">
    <w:p w:rsidR="000E6BE4" w:rsidP="004226B2" w14:paraId="68A91DEB" w14:textId="77777777">
      <w:pPr>
        <w:pStyle w:val="FootnoteText"/>
      </w:pPr>
      <w:r>
        <w:rPr>
          <w:rStyle w:val="FootnoteReference"/>
        </w:rPr>
        <w:footnoteRef/>
      </w:r>
      <w:r>
        <w:t xml:space="preserve"> Samsung Comments at 11 and CTA Comments at 10-11.</w:t>
      </w:r>
    </w:p>
  </w:footnote>
  <w:footnote w:id="68">
    <w:p w:rsidR="000E6BE4" w:rsidRPr="0046072A" w:rsidP="004226B2" w14:paraId="3AEDA3E0" w14:textId="77777777">
      <w:pPr>
        <w:pStyle w:val="FootnoteText"/>
      </w:pPr>
      <w:r>
        <w:rPr>
          <w:rStyle w:val="FootnoteReference"/>
        </w:rPr>
        <w:footnoteRef/>
      </w:r>
      <w:r>
        <w:t xml:space="preserve"> </w:t>
      </w:r>
      <w:r>
        <w:rPr>
          <w:i/>
          <w:iCs/>
        </w:rPr>
        <w:t>See NPRM</w:t>
      </w:r>
      <w:r>
        <w:t xml:space="preserve">, </w:t>
      </w:r>
      <w:r w:rsidRPr="00454A31">
        <w:t xml:space="preserve">35 FCC </w:t>
      </w:r>
      <w:r w:rsidRPr="00454A31">
        <w:t>Rcd</w:t>
      </w:r>
      <w:r>
        <w:rPr>
          <w:i/>
          <w:iCs/>
        </w:rPr>
        <w:t xml:space="preserve"> </w:t>
      </w:r>
      <w:r>
        <w:t xml:space="preserve">at 14462, para. 15. </w:t>
      </w:r>
    </w:p>
  </w:footnote>
  <w:footnote w:id="69">
    <w:p w:rsidR="000E6BE4" w:rsidP="004226B2" w14:paraId="49B4AA9B" w14:textId="77777777">
      <w:pPr>
        <w:pStyle w:val="FootnoteText"/>
      </w:pPr>
      <w:r>
        <w:rPr>
          <w:rStyle w:val="FootnoteReference"/>
        </w:rPr>
        <w:footnoteRef/>
      </w:r>
      <w:r>
        <w:t xml:space="preserve"> Specifically, “A radio frequency device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  47 CFR § </w:t>
      </w:r>
      <w:r w:rsidRPr="009E1A9E">
        <w:t>2.803(c)(2)(ii)</w:t>
      </w:r>
      <w:r>
        <w:t>.</w:t>
      </w:r>
    </w:p>
  </w:footnote>
  <w:footnote w:id="70">
    <w:p w:rsidR="000E6BE4" w:rsidRPr="00100841" w:rsidP="004226B2" w14:paraId="3301DB2B"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14467, para. 28.</w:t>
      </w:r>
    </w:p>
  </w:footnote>
  <w:footnote w:id="71">
    <w:p w:rsidR="000E6BE4" w:rsidRPr="003A2A5E" w:rsidP="004226B2" w14:paraId="6941D8CF" w14:textId="77777777">
      <w:pPr>
        <w:pStyle w:val="FootnoteText"/>
        <w:rPr>
          <w:i/>
          <w:iCs/>
        </w:rPr>
      </w:pPr>
      <w:r>
        <w:rPr>
          <w:rStyle w:val="FootnoteReference"/>
        </w:rPr>
        <w:footnoteRef/>
      </w:r>
      <w:r>
        <w:t xml:space="preserve"> </w:t>
      </w:r>
      <w:r>
        <w:rPr>
          <w:i/>
          <w:iCs/>
        </w:rPr>
        <w:t xml:space="preserve">Id.  </w:t>
      </w:r>
    </w:p>
  </w:footnote>
  <w:footnote w:id="72">
    <w:p w:rsidR="000E6BE4" w:rsidP="004226B2" w14:paraId="1E277563" w14:textId="77777777">
      <w:pPr>
        <w:pStyle w:val="FootnoteText"/>
      </w:pPr>
      <w:r>
        <w:rPr>
          <w:rStyle w:val="FootnoteReference"/>
        </w:rPr>
        <w:footnoteRef/>
      </w:r>
      <w:r>
        <w:t xml:space="preserve"> CTIA—The Wireless Association (CTIA) comments at 3.</w:t>
      </w:r>
    </w:p>
  </w:footnote>
  <w:footnote w:id="73">
    <w:p w:rsidR="000E6BE4" w:rsidP="004226B2" w14:paraId="6ACF17ED"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t xml:space="preserve"> at 14478, Appendix A, proposed 47 CFR 2.803(c)(2)(</w:t>
      </w:r>
      <w:r>
        <w:t>i</w:t>
      </w:r>
      <w:r>
        <w:t>).</w:t>
      </w:r>
    </w:p>
  </w:footnote>
  <w:footnote w:id="74">
    <w:p w:rsidR="000E6BE4" w:rsidRPr="00B84448" w:rsidP="004226B2" w14:paraId="25D5CB72" w14:textId="77777777">
      <w:pPr>
        <w:pStyle w:val="FootnoteText"/>
      </w:pPr>
      <w:r>
        <w:rPr>
          <w:rStyle w:val="FootnoteReference"/>
        </w:rPr>
        <w:footnoteRef/>
      </w:r>
      <w:r>
        <w:t xml:space="preserve"> </w:t>
      </w:r>
      <w:r>
        <w:rPr>
          <w:i/>
          <w:iCs/>
        </w:rPr>
        <w:t>See</w:t>
      </w:r>
      <w:r>
        <w:t xml:space="preserve"> 47 CFR 2.803(c)(2)(</w:t>
      </w:r>
      <w:r>
        <w:t>i</w:t>
      </w:r>
      <w:r>
        <w:t xml:space="preserve">), Appendix A, </w:t>
      </w:r>
      <w:r w:rsidRPr="00A43B36">
        <w:rPr>
          <w:i/>
          <w:iCs/>
        </w:rPr>
        <w:t>infra</w:t>
      </w:r>
      <w:r>
        <w:t>.</w:t>
      </w:r>
    </w:p>
  </w:footnote>
  <w:footnote w:id="75">
    <w:p w:rsidR="000E6BE4" w:rsidP="004226B2" w14:paraId="15EAA112" w14:textId="77777777">
      <w:pPr>
        <w:pStyle w:val="FootnoteText"/>
      </w:pPr>
      <w:r>
        <w:rPr>
          <w:rStyle w:val="FootnoteReference"/>
        </w:rPr>
        <w:footnoteRef/>
      </w:r>
      <w:r>
        <w:t xml:space="preserve"> While both </w:t>
      </w:r>
      <w:r>
        <w:t>SDoC</w:t>
      </w:r>
      <w:r>
        <w:t xml:space="preserve"> and certification require devices to be tested for compliance with our rules, certification is only complete once an authorization is issued by a TCB upon its review of the appropriate test data.  </w:t>
      </w:r>
      <w:r>
        <w:rPr>
          <w:i/>
          <w:iCs/>
        </w:rPr>
        <w:t>See</w:t>
      </w:r>
      <w:r>
        <w:t xml:space="preserve"> note 3, </w:t>
      </w:r>
      <w:r>
        <w:rPr>
          <w:i/>
          <w:iCs/>
        </w:rPr>
        <w:t>supra</w:t>
      </w:r>
      <w:r>
        <w:t xml:space="preserve">. </w:t>
      </w:r>
    </w:p>
  </w:footnote>
  <w:footnote w:id="76">
    <w:p w:rsidR="000E6BE4" w:rsidP="0067543D" w14:paraId="17B8B341" w14:textId="4893DA67">
      <w:pPr>
        <w:pStyle w:val="FootnoteText"/>
      </w:pPr>
      <w:r>
        <w:rPr>
          <w:rStyle w:val="FootnoteReference"/>
        </w:rPr>
        <w:footnoteRef/>
      </w:r>
      <w:r>
        <w:t xml:space="preserve"> CTA Comments at 3; Public Interest Organizations Comments at 2; and U.S. Chamber of Commerce at 2.</w:t>
      </w:r>
    </w:p>
  </w:footnote>
  <w:footnote w:id="77">
    <w:p w:rsidR="000E6BE4" w:rsidRPr="00ED60E8" w:rsidP="004226B2" w14:paraId="44D38E27" w14:textId="730D0FB2">
      <w:pPr>
        <w:pStyle w:val="FootnoteText"/>
      </w:pPr>
      <w:r>
        <w:rPr>
          <w:rStyle w:val="FootnoteReference"/>
        </w:rPr>
        <w:footnoteRef/>
      </w:r>
      <w:r>
        <w:t xml:space="preserve"> </w:t>
      </w:r>
      <w:r>
        <w:rPr>
          <w:i/>
          <w:iCs/>
        </w:rPr>
        <w:t xml:space="preserve">See, infra, </w:t>
      </w:r>
      <w:r>
        <w:t xml:space="preserve">section III.D. </w:t>
      </w:r>
    </w:p>
  </w:footnote>
  <w:footnote w:id="78">
    <w:p w:rsidR="000E6BE4" w:rsidP="004226B2" w14:paraId="03014730" w14:textId="77777777">
      <w:pPr>
        <w:pStyle w:val="FootnoteText"/>
      </w:pPr>
      <w:r>
        <w:rPr>
          <w:rStyle w:val="FootnoteReference"/>
        </w:rPr>
        <w:footnoteRef/>
      </w:r>
      <w:r>
        <w:t xml:space="preserve"> </w:t>
      </w:r>
      <w:r w:rsidRPr="00407D40">
        <w:rPr>
          <w:i/>
          <w:iCs/>
        </w:rPr>
        <w:t>NPRM</w:t>
      </w:r>
      <w:r>
        <w:t xml:space="preserve">, </w:t>
      </w:r>
      <w:r w:rsidRPr="00454A31">
        <w:t xml:space="preserve">35 FCC </w:t>
      </w:r>
      <w:r w:rsidRPr="00454A31">
        <w:t>Rcd</w:t>
      </w:r>
      <w:r>
        <w:t xml:space="preserve"> at 14463-64, para. 19. </w:t>
      </w:r>
    </w:p>
  </w:footnote>
  <w:footnote w:id="79">
    <w:p w:rsidR="000E6BE4" w:rsidRPr="00012127" w:rsidP="004226B2" w14:paraId="6314A7D2"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14463-64, 14473, paras. 19, 50.</w:t>
      </w:r>
    </w:p>
  </w:footnote>
  <w:footnote w:id="80">
    <w:p w:rsidR="000E6BE4" w:rsidRPr="00380073" w:rsidP="004226B2" w14:paraId="2A7703A7" w14:textId="77777777">
      <w:pPr>
        <w:pStyle w:val="FootnoteText"/>
        <w:rPr>
          <w:i/>
          <w:iCs/>
        </w:rPr>
      </w:pPr>
      <w:r>
        <w:rPr>
          <w:rStyle w:val="FootnoteReference"/>
        </w:rPr>
        <w:footnoteRef/>
      </w:r>
      <w:r>
        <w:t xml:space="preserve"> </w:t>
      </w:r>
      <w:r>
        <w:rPr>
          <w:i/>
          <w:iCs/>
        </w:rPr>
        <w:t>Id.</w:t>
      </w:r>
    </w:p>
  </w:footnote>
  <w:footnote w:id="81">
    <w:p w:rsidR="000E6BE4" w:rsidP="004226B2" w14:paraId="32D3D86A" w14:textId="77777777">
      <w:pPr>
        <w:pStyle w:val="FootnoteText"/>
      </w:pPr>
      <w:r>
        <w:rPr>
          <w:rStyle w:val="FootnoteReference"/>
        </w:rPr>
        <w:footnoteRef/>
      </w:r>
      <w:r>
        <w:t xml:space="preserve"> </w:t>
      </w:r>
      <w:r w:rsidRPr="002D0BB6">
        <w:t xml:space="preserve">Telecommunications Industry Association </w:t>
      </w:r>
      <w:r>
        <w:t>(</w:t>
      </w:r>
      <w:r w:rsidRPr="002D0BB6">
        <w:t>TIA</w:t>
      </w:r>
      <w:r>
        <w:t>)</w:t>
      </w:r>
      <w:r w:rsidRPr="002D0BB6">
        <w:t>, Association of Home Appliance Manufacturers, Engine, The Internet Association, INCOMPAS, Rural &amp; Agriculture C</w:t>
      </w:r>
      <w:r>
        <w:t>o</w:t>
      </w:r>
      <w:r w:rsidRPr="002D0BB6">
        <w:t xml:space="preserve">uncil of America, </w:t>
      </w:r>
      <w:r w:rsidRPr="002D0BB6">
        <w:t>TechFreedom</w:t>
      </w:r>
      <w:r>
        <w:t xml:space="preserve"> Comments at 2.</w:t>
      </w:r>
      <w:r w:rsidRPr="00C57AFE">
        <w:t xml:space="preserve"> </w:t>
      </w:r>
      <w:r>
        <w:t>(</w:t>
      </w:r>
      <w:r w:rsidRPr="002D0BB6">
        <w:t>Joint Commenters</w:t>
      </w:r>
      <w:r>
        <w:t>).</w:t>
      </w:r>
    </w:p>
  </w:footnote>
  <w:footnote w:id="82">
    <w:p w:rsidR="000E6BE4" w:rsidRPr="00876F2B" w:rsidP="004226B2" w14:paraId="04221D93" w14:textId="77777777">
      <w:pPr>
        <w:pStyle w:val="FootnoteText"/>
      </w:pPr>
      <w:r>
        <w:rPr>
          <w:rStyle w:val="FootnoteReference"/>
        </w:rPr>
        <w:footnoteRef/>
      </w:r>
      <w:r>
        <w:t xml:space="preserve"> The appropriate process is specified in the part of the Commission’s rules that is applicable to the specific device.  A device may receive certification even if the rules permit the use of the </w:t>
      </w:r>
      <w:r>
        <w:t>SDoC</w:t>
      </w:r>
      <w:r>
        <w:t xml:space="preserve"> process.  </w:t>
      </w:r>
      <w:r>
        <w:rPr>
          <w:i/>
          <w:iCs/>
        </w:rPr>
        <w:t>See</w:t>
      </w:r>
      <w:r>
        <w:t xml:space="preserve"> 47 CFR § 2.906(c).</w:t>
      </w:r>
    </w:p>
  </w:footnote>
  <w:footnote w:id="83">
    <w:p w:rsidR="000E6BE4" w:rsidP="004226B2" w14:paraId="2BD53352" w14:textId="61120B3C">
      <w:pPr>
        <w:pStyle w:val="FootnoteText"/>
      </w:pPr>
      <w:r>
        <w:rPr>
          <w:rStyle w:val="FootnoteReference"/>
        </w:rPr>
        <w:footnoteRef/>
      </w:r>
      <w:r>
        <w:t xml:space="preserve"> </w:t>
      </w:r>
      <w:r w:rsidRPr="00B91980">
        <w:rPr>
          <w:i/>
        </w:rPr>
        <w:t>See</w:t>
      </w:r>
      <w:r w:rsidRPr="00D17889">
        <w:t xml:space="preserve"> </w:t>
      </w:r>
      <w:r>
        <w:t xml:space="preserve">47 CFR § </w:t>
      </w:r>
      <w:r w:rsidRPr="00D17889">
        <w:t>2.1204(a)(11)(v)</w:t>
      </w:r>
      <w:r>
        <w:t>,</w:t>
      </w:r>
      <w:r w:rsidRPr="00D17889">
        <w:t xml:space="preserve"> Appendix A, </w:t>
      </w:r>
      <w:r w:rsidRPr="00B91980">
        <w:rPr>
          <w:i/>
        </w:rPr>
        <w:t>infra</w:t>
      </w:r>
      <w:r>
        <w:rPr>
          <w:i/>
        </w:rPr>
        <w:t>.</w:t>
      </w:r>
    </w:p>
  </w:footnote>
  <w:footnote w:id="84">
    <w:p w:rsidR="000E6BE4" w:rsidRPr="00C32F67" w:rsidP="004226B2" w14:paraId="2D1E9CFE"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rsidRPr="00B91980">
        <w:t>at 14472</w:t>
      </w:r>
      <w:r>
        <w:t>, para. 47.</w:t>
      </w:r>
    </w:p>
  </w:footnote>
  <w:footnote w:id="85">
    <w:p w:rsidR="000E6BE4" w:rsidP="004226B2" w14:paraId="0A798BB3" w14:textId="77777777">
      <w:pPr>
        <w:pStyle w:val="FootnoteText"/>
      </w:pPr>
      <w:r w:rsidRPr="31843890">
        <w:rPr>
          <w:rStyle w:val="FootnoteReference"/>
        </w:rPr>
        <w:footnoteRef/>
      </w:r>
      <w:r w:rsidRPr="31843890">
        <w:rPr>
          <w:rStyle w:val="FootnoteReference"/>
        </w:rPr>
        <w:t xml:space="preserve"> </w:t>
      </w:r>
      <w:r w:rsidRPr="00D633C6">
        <w:t>Samsung Comments at 11.</w:t>
      </w:r>
      <w:r>
        <w:t xml:space="preserve"> </w:t>
      </w:r>
    </w:p>
  </w:footnote>
  <w:footnote w:id="86">
    <w:p w:rsidR="000E6BE4" w:rsidP="004226B2" w14:paraId="73F11A2E" w14:textId="77777777">
      <w:pPr>
        <w:pStyle w:val="FootnoteText"/>
      </w:pPr>
      <w:r w:rsidRPr="438E56BF">
        <w:rPr>
          <w:rStyle w:val="FootnoteReference"/>
        </w:rPr>
        <w:footnoteRef/>
      </w:r>
      <w:r w:rsidRPr="438E56BF">
        <w:rPr>
          <w:rStyle w:val="FootnoteReference"/>
        </w:rPr>
        <w:t xml:space="preserve"> </w:t>
      </w:r>
      <w:r w:rsidRPr="00D633C6">
        <w:t>CTA Comments at 10-11.</w:t>
      </w:r>
      <w:r>
        <w:t xml:space="preserve"> </w:t>
      </w:r>
    </w:p>
  </w:footnote>
  <w:footnote w:id="87">
    <w:p w:rsidR="000E6BE4" w:rsidRPr="002F5129" w:rsidP="004226B2" w14:paraId="038653D8"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14464, para. 20.</w:t>
      </w:r>
    </w:p>
  </w:footnote>
  <w:footnote w:id="88">
    <w:p w:rsidR="000E6BE4" w:rsidP="004226B2" w14:paraId="534B4622" w14:textId="77777777">
      <w:pPr>
        <w:pStyle w:val="FootnoteText"/>
      </w:pPr>
      <w:r>
        <w:rPr>
          <w:rStyle w:val="FootnoteReference"/>
        </w:rPr>
        <w:footnoteRef/>
      </w:r>
      <w:r>
        <w:t xml:space="preserve"> </w:t>
      </w:r>
      <w:r w:rsidRPr="00B91980">
        <w:rPr>
          <w:i/>
        </w:rPr>
        <w:t>NPRM</w:t>
      </w:r>
      <w:r>
        <w:t xml:space="preserve">, </w:t>
      </w:r>
      <w:r w:rsidRPr="00454A31">
        <w:t xml:space="preserve">35 FCC </w:t>
      </w:r>
      <w:r w:rsidRPr="00454A31">
        <w:t>Rcd</w:t>
      </w:r>
      <w:r w:rsidRPr="002C14B8">
        <w:t xml:space="preserve"> at 14464, para. 2</w:t>
      </w:r>
      <w:r>
        <w:t>1</w:t>
      </w:r>
      <w:r w:rsidRPr="002C14B8">
        <w:t>.</w:t>
      </w:r>
    </w:p>
  </w:footnote>
  <w:footnote w:id="89">
    <w:p w:rsidR="000E6BE4" w:rsidP="004226B2" w14:paraId="09CE56D4" w14:textId="77777777">
      <w:pPr>
        <w:pStyle w:val="FootnoteText"/>
      </w:pPr>
      <w:r>
        <w:rPr>
          <w:rStyle w:val="FootnoteReference"/>
        </w:rPr>
        <w:footnoteRef/>
      </w:r>
      <w:r>
        <w:t xml:space="preserve"> </w:t>
      </w:r>
      <w:r w:rsidRPr="00B91980">
        <w:rPr>
          <w:i/>
        </w:rPr>
        <w:t>NPRM</w:t>
      </w:r>
      <w:r>
        <w:t xml:space="preserve">, </w:t>
      </w:r>
      <w:r w:rsidRPr="00454A31">
        <w:t xml:space="preserve">35 FCC </w:t>
      </w:r>
      <w:r w:rsidRPr="00454A31">
        <w:t>Rcd</w:t>
      </w:r>
      <w:r w:rsidRPr="002C14B8">
        <w:t xml:space="preserve"> at 14464</w:t>
      </w:r>
      <w:r>
        <w:t>-65</w:t>
      </w:r>
      <w:r w:rsidRPr="002C14B8">
        <w:t>, para. 2</w:t>
      </w:r>
      <w:r>
        <w:t>2</w:t>
      </w:r>
      <w:r w:rsidRPr="002C14B8">
        <w:t>.</w:t>
      </w:r>
    </w:p>
  </w:footnote>
  <w:footnote w:id="90">
    <w:p w:rsidR="000E6BE4" w:rsidP="004226B2" w14:paraId="4BE5B9A3" w14:textId="77777777">
      <w:pPr>
        <w:pStyle w:val="FootnoteText"/>
      </w:pPr>
      <w:r>
        <w:rPr>
          <w:rStyle w:val="FootnoteReference"/>
        </w:rPr>
        <w:footnoteRef/>
      </w:r>
      <w:r>
        <w:t xml:space="preserve"> INCOMPAS Comments at 6 and R Street Comments at 5.</w:t>
      </w:r>
    </w:p>
  </w:footnote>
  <w:footnote w:id="91">
    <w:p w:rsidR="000E6BE4" w:rsidP="004226B2" w14:paraId="470F8C03" w14:textId="3BDAA163">
      <w:pPr>
        <w:pStyle w:val="FootnoteText"/>
      </w:pPr>
      <w:r>
        <w:rPr>
          <w:rStyle w:val="FootnoteReference"/>
        </w:rPr>
        <w:footnoteRef/>
      </w:r>
      <w:r>
        <w:t xml:space="preserve"> </w:t>
      </w:r>
      <w:r>
        <w:rPr>
          <w:i/>
          <w:iCs/>
        </w:rPr>
        <w:t>See, e</w:t>
      </w:r>
      <w:r w:rsidRPr="00F310EF">
        <w:rPr>
          <w:i/>
          <w:iCs/>
        </w:rPr>
        <w:t>.g.</w:t>
      </w:r>
      <w:r>
        <w:t xml:space="preserve">, CCIA Comments at 3-4; CTA Comments </w:t>
      </w:r>
      <w:r w:rsidRPr="00481B61">
        <w:t xml:space="preserve">at </w:t>
      </w:r>
      <w:r>
        <w:t>5</w:t>
      </w:r>
      <w:r w:rsidRPr="00481B61">
        <w:t>;</w:t>
      </w:r>
      <w:r>
        <w:t xml:space="preserve"> and Amazon Reply Comments at 4.</w:t>
      </w:r>
    </w:p>
  </w:footnote>
  <w:footnote w:id="92">
    <w:p w:rsidR="000E6BE4" w:rsidP="000304F4" w14:paraId="7D763E01" w14:textId="77777777">
      <w:pPr>
        <w:pStyle w:val="FootnoteText"/>
      </w:pPr>
      <w:r>
        <w:rPr>
          <w:rStyle w:val="FootnoteReference"/>
        </w:rPr>
        <w:footnoteRef/>
      </w:r>
      <w:r>
        <w:t xml:space="preserve"> INCOMPAS Comments at 7.</w:t>
      </w:r>
    </w:p>
  </w:footnote>
  <w:footnote w:id="93">
    <w:p w:rsidR="000E6BE4" w:rsidP="000304F4" w14:paraId="3C3599E9" w14:textId="77777777">
      <w:pPr>
        <w:pStyle w:val="FootnoteText"/>
      </w:pPr>
      <w:r>
        <w:rPr>
          <w:rStyle w:val="FootnoteReference"/>
        </w:rPr>
        <w:footnoteRef/>
      </w:r>
      <w:r>
        <w:t xml:space="preserve"> ITI Comments at 2-3.</w:t>
      </w:r>
    </w:p>
  </w:footnote>
  <w:footnote w:id="94">
    <w:p w:rsidR="000E6BE4" w:rsidP="000304F4" w14:paraId="6F5E48B2" w14:textId="762143EC">
      <w:pPr>
        <w:pStyle w:val="FootnoteText"/>
      </w:pPr>
      <w:r>
        <w:rPr>
          <w:rStyle w:val="FootnoteReference"/>
        </w:rPr>
        <w:footnoteRef/>
      </w:r>
      <w:r>
        <w:t xml:space="preserve"> Public Interest Organizations Comments at 2.</w:t>
      </w:r>
    </w:p>
  </w:footnote>
  <w:footnote w:id="95">
    <w:p w:rsidR="000E6BE4" w:rsidP="000304F4" w14:paraId="0F17D8B1" w14:textId="75379E4E">
      <w:pPr>
        <w:pStyle w:val="FootnoteText"/>
      </w:pPr>
      <w:r>
        <w:rPr>
          <w:rStyle w:val="FootnoteReference"/>
        </w:rPr>
        <w:footnoteRef/>
      </w:r>
      <w:r>
        <w:t xml:space="preserve"> CTA Comments at 4-5 (arguing that conditional sales of RF devices often already include an established refund process, so “a [RF] device-specific refund process or disclosure would be duplicative and confusing.”); CTIA Comments at 3, 4-5; and Qualcomm Comments at 3. </w:t>
      </w:r>
    </w:p>
  </w:footnote>
  <w:footnote w:id="96">
    <w:p w:rsidR="000E6BE4" w:rsidRPr="008522C0" w:rsidP="004226B2" w14:paraId="786E530F" w14:textId="77777777">
      <w:pPr>
        <w:pStyle w:val="FootnoteText"/>
        <w:rPr>
          <w:i/>
          <w:iCs/>
        </w:rPr>
      </w:pPr>
      <w:r>
        <w:rPr>
          <w:rStyle w:val="FootnoteReference"/>
        </w:rPr>
        <w:footnoteRef/>
      </w:r>
      <w:r>
        <w:t xml:space="preserve"> </w:t>
      </w:r>
      <w:r>
        <w:rPr>
          <w:i/>
          <w:iCs/>
        </w:rPr>
        <w:t xml:space="preserve">See </w:t>
      </w:r>
      <w:r>
        <w:t xml:space="preserve">para. 11, </w:t>
      </w:r>
      <w:r>
        <w:rPr>
          <w:i/>
          <w:iCs/>
        </w:rPr>
        <w:t>supra.</w:t>
      </w:r>
    </w:p>
  </w:footnote>
  <w:footnote w:id="97">
    <w:p w:rsidR="000E6BE4" w:rsidP="000304F4" w14:paraId="04668733" w14:textId="77777777">
      <w:pPr>
        <w:pStyle w:val="FootnoteText"/>
      </w:pPr>
      <w:r>
        <w:rPr>
          <w:rStyle w:val="FootnoteReference"/>
        </w:rPr>
        <w:footnoteRef/>
      </w:r>
      <w:r>
        <w:t xml:space="preserve"> CTA Comments at 4-5.</w:t>
      </w:r>
    </w:p>
  </w:footnote>
  <w:footnote w:id="98">
    <w:p w:rsidR="000E6BE4" w:rsidRPr="005E7B4C" w:rsidP="004226B2" w14:paraId="3B7569B9"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 xml:space="preserve">at 14464-65, para. 22. </w:t>
      </w:r>
    </w:p>
  </w:footnote>
  <w:footnote w:id="99">
    <w:p w:rsidR="000E6BE4" w:rsidRPr="0001076A" w:rsidP="004226B2" w14:paraId="2265C10A"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sidRPr="00CC2064">
        <w:t xml:space="preserve"> at 14478</w:t>
      </w:r>
      <w:r>
        <w:t>-79</w:t>
      </w:r>
      <w:r w:rsidRPr="00CC2064">
        <w:t>, Appendix A, proposed 47 CFR 2.1204 (a)(11)(i</w:t>
      </w:r>
      <w:r>
        <w:t>i</w:t>
      </w:r>
      <w:r w:rsidRPr="00CC2064">
        <w:t xml:space="preserve">i); and </w:t>
      </w:r>
      <w:r w:rsidRPr="00D03855">
        <w:rPr>
          <w:i/>
        </w:rPr>
        <w:t>NPRM</w:t>
      </w:r>
      <w:r w:rsidRPr="00CC2064">
        <w:t xml:space="preserve">, 35 FCC </w:t>
      </w:r>
      <w:r w:rsidRPr="00CC2064">
        <w:t>Rcd</w:t>
      </w:r>
      <w:r w:rsidRPr="00CC2064">
        <w:t xml:space="preserve"> at 14471</w:t>
      </w:r>
      <w:r>
        <w:t>-72</w:t>
      </w:r>
      <w:r w:rsidRPr="00CC2064">
        <w:t>, paras. 4</w:t>
      </w:r>
      <w:r>
        <w:t>5</w:t>
      </w:r>
      <w:r w:rsidRPr="00CC2064">
        <w:t>-4</w:t>
      </w:r>
      <w:r>
        <w:t>6</w:t>
      </w:r>
      <w:r w:rsidRPr="00CC2064">
        <w:t>.</w:t>
      </w:r>
    </w:p>
  </w:footnote>
  <w:footnote w:id="100">
    <w:p w:rsidR="000E6BE4" w:rsidP="004226B2" w14:paraId="34AB6683" w14:textId="77777777">
      <w:pPr>
        <w:pStyle w:val="FootnoteText"/>
      </w:pPr>
      <w:r>
        <w:rPr>
          <w:rStyle w:val="FootnoteReference"/>
        </w:rPr>
        <w:footnoteRef/>
      </w:r>
      <w:r>
        <w:t xml:space="preserve"> </w:t>
      </w:r>
      <w:r w:rsidRPr="0080260B">
        <w:t>Garmin Comments at 4</w:t>
      </w:r>
      <w:r>
        <w:t>; INCOMPAS Comments at 7; and Hewlett Packard Enterprise Comments at 2</w:t>
      </w:r>
    </w:p>
  </w:footnote>
  <w:footnote w:id="101">
    <w:p w:rsidR="000E6BE4" w:rsidP="004226B2" w14:paraId="2E888D2D" w14:textId="77777777">
      <w:pPr>
        <w:pStyle w:val="FootnoteText"/>
      </w:pPr>
      <w:r>
        <w:rPr>
          <w:rStyle w:val="FootnoteReference"/>
        </w:rPr>
        <w:footnoteRef/>
      </w:r>
      <w:r>
        <w:t xml:space="preserve"> R Street Comments at 6-7.</w:t>
      </w:r>
    </w:p>
  </w:footnote>
  <w:footnote w:id="102">
    <w:p w:rsidR="000E6BE4" w:rsidP="004226B2" w14:paraId="479CCC2B" w14:textId="77777777">
      <w:pPr>
        <w:pStyle w:val="FootnoteText"/>
      </w:pPr>
      <w:r>
        <w:rPr>
          <w:rStyle w:val="FootnoteReference"/>
        </w:rPr>
        <w:footnoteRef/>
      </w:r>
      <w:r>
        <w:t xml:space="preserve"> </w:t>
      </w:r>
      <w:r>
        <w:t xml:space="preserve">Amazon Reply Comments at 4-5; Joint Commenters Comments at 3; and ITI Comments at 2. </w:t>
      </w:r>
    </w:p>
  </w:footnote>
  <w:footnote w:id="103">
    <w:p w:rsidR="000E6BE4" w:rsidP="004226B2" w14:paraId="655158C6" w14:textId="77777777">
      <w:pPr>
        <w:pStyle w:val="FootnoteText"/>
      </w:pPr>
      <w:r>
        <w:rPr>
          <w:rStyle w:val="FootnoteReference"/>
        </w:rPr>
        <w:footnoteRef/>
      </w:r>
      <w:r>
        <w:t xml:space="preserve"> CTA Comments at 9; Joint Commenters Comments at 3. </w:t>
      </w:r>
    </w:p>
  </w:footnote>
  <w:footnote w:id="104">
    <w:p w:rsidR="000E6BE4" w:rsidRPr="00C805B0" w:rsidP="004226B2" w14:paraId="7CC784E2" w14:textId="3529D805">
      <w:pPr>
        <w:pStyle w:val="FootnoteText"/>
      </w:pPr>
      <w:r>
        <w:rPr>
          <w:rStyle w:val="FootnoteReference"/>
        </w:rPr>
        <w:footnoteRef/>
      </w:r>
      <w:r>
        <w:t xml:space="preserve">  </w:t>
      </w:r>
      <w:r>
        <w:rPr>
          <w:i/>
          <w:iCs/>
        </w:rPr>
        <w:t xml:space="preserve">See </w:t>
      </w:r>
      <w:r>
        <w:t xml:space="preserve">47 CFR § 2.1204(a)(iii), Appendix A, </w:t>
      </w:r>
      <w:r w:rsidRPr="00561D68">
        <w:rPr>
          <w:i/>
          <w:iCs/>
        </w:rPr>
        <w:t>infra</w:t>
      </w:r>
      <w:r>
        <w:t>.</w:t>
      </w:r>
    </w:p>
  </w:footnote>
  <w:footnote w:id="105">
    <w:p w:rsidR="000E6BE4" w:rsidP="004226B2" w14:paraId="0D41D3F5" w14:textId="71C113FD">
      <w:pPr>
        <w:pStyle w:val="FootnoteText"/>
      </w:pPr>
      <w:r>
        <w:rPr>
          <w:rStyle w:val="FootnoteReference"/>
        </w:rPr>
        <w:footnoteRef/>
      </w:r>
      <w:r>
        <w:t xml:space="preserve"> 47 CFR § 2.935(f).  There are numerous Commission rules that require specific regulatory information to be provided via physically attached label.  For example, the FCC identifier must be placed on Certified RF devices, 47 CFR § 2.925, and certain devices that are operated without an FCC license must include a warning about interference, 47 CFR § 15.19.   RF devices that have integrated electronic display screens or can only operate in conjunction with an electronic display screen have the option under section 2.935 (47 CFR § 2.935) to provide the required regulatory information electronically.  Under section 2.935, the required regulatory information is intended to be permanently programmed into the device and a temporary external package label must be attached, as the device display is not accessible when devices are packaged.  This external label may only be removed by a customer upon purchase.</w:t>
      </w:r>
    </w:p>
  </w:footnote>
  <w:footnote w:id="106">
    <w:p w:rsidR="000E6BE4" w:rsidP="004226B2" w14:paraId="316D093D" w14:textId="0B872474">
      <w:pPr>
        <w:pStyle w:val="FootnoteText"/>
      </w:pPr>
      <w:r>
        <w:rPr>
          <w:rStyle w:val="FootnoteReference"/>
        </w:rPr>
        <w:footnoteRef/>
      </w:r>
      <w:r>
        <w:t xml:space="preserve"> In the instant case, the required label would be removed prior to the commencement of marketing, before entering into the customer’s possession.  Further, as the packaged device is not accessible and there is no ongoing requirement to provide the information, programming the label information into the device would not provide a practical means for complying with the new rule. </w:t>
      </w:r>
      <w:r w:rsidRPr="00640127">
        <w:t xml:space="preserve">We note that, under current KDB guidance for e-labeling,  for products imported in bulk and not individually accessible, it is acceptable to use a temporary removable adhesive label on the product, or temporary or permanent labels on the shipping packaging or protective bags   </w:t>
      </w:r>
      <w:r w:rsidRPr="00640127">
        <w:rPr>
          <w:i/>
          <w:iCs/>
        </w:rPr>
        <w:t xml:space="preserve">See </w:t>
      </w:r>
      <w:r w:rsidRPr="00640127">
        <w:t xml:space="preserve">KDB  </w:t>
      </w:r>
      <w:hyperlink r:id="rId2" w:history="1">
        <w:r w:rsidRPr="00640127">
          <w:rPr>
            <w:rStyle w:val="Hyperlink"/>
          </w:rPr>
          <w:t>784748 D02 e labeling v02r01</w:t>
        </w:r>
      </w:hyperlink>
      <w:r w:rsidRPr="00640127">
        <w:t>.</w:t>
      </w:r>
    </w:p>
  </w:footnote>
  <w:footnote w:id="107">
    <w:p w:rsidR="000E6BE4" w:rsidP="00EF7BEE" w14:paraId="178F897C" w14:textId="77777777">
      <w:pPr>
        <w:pStyle w:val="FootnoteText"/>
      </w:pPr>
      <w:r>
        <w:rPr>
          <w:rStyle w:val="FootnoteReference"/>
        </w:rPr>
        <w:footnoteRef/>
      </w:r>
      <w:r>
        <w:t xml:space="preserve"> </w:t>
      </w:r>
      <w:r w:rsidRPr="0040404F">
        <w:t xml:space="preserve">In </w:t>
      </w:r>
      <w:r w:rsidRPr="00085952">
        <w:rPr>
          <w:i/>
          <w:iCs/>
        </w:rPr>
        <w:t xml:space="preserve">ex </w:t>
      </w:r>
      <w:r w:rsidRPr="00085952">
        <w:rPr>
          <w:i/>
          <w:iCs/>
        </w:rPr>
        <w:t>parte</w:t>
      </w:r>
      <w:r w:rsidRPr="0040404F">
        <w:t xml:space="preserve"> filings, both CTA and Garmin requested additional guidance on the temporary labeling requirement.  Specifically, CTA requested clarification on the interaction between temporary labeling and e-labeling requirements and Garmin requested clarification on temporary labeling for bulk devices sealed in shipping containers or wrapping.  </w:t>
      </w:r>
      <w:r w:rsidRPr="00085952">
        <w:rPr>
          <w:i/>
          <w:iCs/>
        </w:rPr>
        <w:t>See</w:t>
      </w:r>
      <w:r w:rsidRPr="0040404F">
        <w:t xml:space="preserve"> Letter from Jamie Susskind, VP, Policy and Regulatory Affairs, and Brian Markwalter, Sr. VP, Research and Standards, Consumer Technology Association, to Marlene Dortch, Secretary, FCC, ET Docket No. 20-382, at 1-2 (filed June 7, 2021); Letter from M. Anne Swanson, Timothy J. Cooney, Wilkinson Barker Knauer, LLP, representatives of Garmin International, Inc., to Marlene H. Dortch, Secretary, FCC, ET Docket No. 20-382, at 1-2 (filed June 10, 2021).  As noted above, we believe that the temporary label rules we adopt here are a necessary safeguard against the transfer of devices to consumers in advance of completing equipment authorization.  Because we believe the </w:t>
      </w:r>
      <w:r w:rsidRPr="0040404F">
        <w:t>rules</w:t>
      </w:r>
      <w:r w:rsidRPr="0040404F">
        <w:t xml:space="preserve"> we adopt today are sufficiently clear and balance flexibility for manufacturers with the important goals of the equipment authorization process, we decline to adopt here the further clarifications sought by Garmin and CTA.</w:t>
      </w:r>
    </w:p>
  </w:footnote>
  <w:footnote w:id="108">
    <w:p w:rsidR="000E6BE4" w:rsidRPr="003858B6" w:rsidP="004226B2" w14:paraId="3F083B95" w14:textId="07D683C1">
      <w:pPr>
        <w:pStyle w:val="FootnoteText"/>
        <w:rPr>
          <w:i/>
          <w:iCs/>
        </w:rPr>
      </w:pPr>
      <w:r>
        <w:rPr>
          <w:rStyle w:val="FootnoteReference"/>
        </w:rPr>
        <w:footnoteRef/>
      </w:r>
      <w:r>
        <w:t xml:space="preserve"> </w:t>
      </w:r>
      <w:r>
        <w:rPr>
          <w:i/>
          <w:iCs/>
        </w:rPr>
        <w:t xml:space="preserve">See </w:t>
      </w:r>
      <w:r>
        <w:t xml:space="preserve">47 CFR § 2.1204(a)(11)(v), Appendix A, </w:t>
      </w:r>
      <w:r>
        <w:rPr>
          <w:i/>
          <w:iCs/>
        </w:rPr>
        <w:t>infra.</w:t>
      </w:r>
    </w:p>
  </w:footnote>
  <w:footnote w:id="109">
    <w:p w:rsidR="000E6BE4" w:rsidRPr="00181DAF" w:rsidP="004226B2" w14:paraId="39E2957A"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14472-73, paras. 48-49.</w:t>
      </w:r>
    </w:p>
  </w:footnote>
  <w:footnote w:id="110">
    <w:p w:rsidR="000E6BE4" w:rsidP="004226B2" w14:paraId="448D34B3" w14:textId="77777777">
      <w:pPr>
        <w:pStyle w:val="FootnoteText"/>
      </w:pPr>
      <w:r w:rsidRPr="3D000606">
        <w:rPr>
          <w:rStyle w:val="FootnoteReference"/>
        </w:rPr>
        <w:footnoteRef/>
      </w:r>
      <w:r>
        <w:t xml:space="preserve"> R Street Comments at 9.</w:t>
      </w:r>
    </w:p>
  </w:footnote>
  <w:footnote w:id="111">
    <w:p w:rsidR="000E6BE4" w:rsidP="004226B2" w14:paraId="782B8686" w14:textId="77777777">
      <w:pPr>
        <w:pStyle w:val="FootnoteText"/>
      </w:pPr>
      <w:r w:rsidRPr="40020D79">
        <w:rPr>
          <w:rStyle w:val="FootnoteReference"/>
        </w:rPr>
        <w:footnoteRef/>
      </w:r>
      <w:r>
        <w:t xml:space="preserve"> </w:t>
      </w:r>
      <w:r w:rsidRPr="40020D79">
        <w:rPr>
          <w:i/>
          <w:iCs/>
        </w:rPr>
        <w:t>NPRM</w:t>
      </w:r>
      <w:r>
        <w:t xml:space="preserve">, </w:t>
      </w:r>
      <w:r w:rsidRPr="00454A31">
        <w:t xml:space="preserve">35 FCC </w:t>
      </w:r>
      <w:r w:rsidRPr="00454A31">
        <w:t>Rcd</w:t>
      </w:r>
      <w:r w:rsidRPr="40020D79">
        <w:rPr>
          <w:i/>
          <w:iCs/>
        </w:rPr>
        <w:t xml:space="preserve"> </w:t>
      </w:r>
      <w:r>
        <w:t>at 14473, para 51.</w:t>
      </w:r>
    </w:p>
  </w:footnote>
  <w:footnote w:id="112">
    <w:p w:rsidR="000E6BE4" w:rsidP="004226B2" w14:paraId="38D4B82B" w14:textId="13A5B49A">
      <w:pPr>
        <w:pStyle w:val="FootnoteText"/>
      </w:pPr>
      <w:r>
        <w:rPr>
          <w:rStyle w:val="FootnoteReference"/>
        </w:rPr>
        <w:footnoteRef/>
      </w:r>
      <w:r>
        <w:t xml:space="preserve"> </w:t>
      </w:r>
      <w:r>
        <w:rPr>
          <w:i/>
          <w:iCs/>
        </w:rPr>
        <w:t>NPRM</w:t>
      </w:r>
      <w:r>
        <w:t xml:space="preserve">, </w:t>
      </w:r>
      <w:r w:rsidRPr="00454A31">
        <w:t xml:space="preserve">35 FCC </w:t>
      </w:r>
      <w:r w:rsidRPr="00454A31">
        <w:t>Rcd</w:t>
      </w:r>
      <w:r>
        <w:t xml:space="preserve"> at 14479, Appendix A, proposed </w:t>
      </w:r>
      <w:r w:rsidRPr="009E66E2">
        <w:t xml:space="preserve">47 CFR </w:t>
      </w:r>
      <w:r>
        <w:t>§</w:t>
      </w:r>
      <w:r w:rsidRPr="009E66E2">
        <w:t xml:space="preserve"> 2.</w:t>
      </w:r>
      <w:r>
        <w:t>1204(a)(11</w:t>
      </w:r>
      <w:r w:rsidRPr="009E66E2">
        <w:t>)</w:t>
      </w:r>
      <w:r>
        <w:t>(vi).</w:t>
      </w:r>
    </w:p>
  </w:footnote>
  <w:footnote w:id="113">
    <w:p w:rsidR="000E6BE4" w:rsidP="004226B2" w14:paraId="53AA1C44" w14:textId="77777777">
      <w:pPr>
        <w:pStyle w:val="FootnoteText"/>
      </w:pPr>
      <w:r>
        <w:rPr>
          <w:rStyle w:val="FootnoteReference"/>
        </w:rPr>
        <w:footnoteRef/>
      </w:r>
      <w:r>
        <w:t xml:space="preserve"> </w:t>
      </w:r>
      <w:r w:rsidRPr="00B91980">
        <w:rPr>
          <w:i/>
        </w:rPr>
        <w:t>NPRM</w:t>
      </w:r>
      <w:r>
        <w:t xml:space="preserve">, </w:t>
      </w:r>
      <w:r w:rsidRPr="00454A31">
        <w:t xml:space="preserve">35 FCC </w:t>
      </w:r>
      <w:r w:rsidRPr="00454A31">
        <w:t>Rcd</w:t>
      </w:r>
      <w:r w:rsidRPr="008377B9">
        <w:t xml:space="preserve"> at 1446</w:t>
      </w:r>
      <w:r>
        <w:t>5</w:t>
      </w:r>
      <w:r w:rsidRPr="008377B9">
        <w:t>, para. 2</w:t>
      </w:r>
      <w:r>
        <w:t>3</w:t>
      </w:r>
      <w:r w:rsidRPr="008377B9">
        <w:t>.</w:t>
      </w:r>
    </w:p>
  </w:footnote>
  <w:footnote w:id="114">
    <w:p w:rsidR="000E6BE4" w:rsidRPr="004A73BB" w:rsidP="004226B2" w14:paraId="400B43F4" w14:textId="77777777">
      <w:pPr>
        <w:pStyle w:val="FootnoteText"/>
        <w:rPr>
          <w:i/>
        </w:rPr>
      </w:pPr>
      <w:r>
        <w:rPr>
          <w:rStyle w:val="FootnoteReference"/>
        </w:rPr>
        <w:footnoteRef/>
      </w:r>
      <w:r>
        <w:t xml:space="preserve"> </w:t>
      </w:r>
      <w:r>
        <w:rPr>
          <w:i/>
          <w:iCs/>
        </w:rPr>
        <w:t>Id.</w:t>
      </w:r>
    </w:p>
  </w:footnote>
  <w:footnote w:id="115">
    <w:p w:rsidR="000E6BE4" w:rsidRPr="00F54E83" w:rsidP="004226B2" w14:paraId="0B3ACD06" w14:textId="77777777">
      <w:pPr>
        <w:pStyle w:val="FootnoteText"/>
      </w:pPr>
      <w:r>
        <w:rPr>
          <w:rStyle w:val="FootnoteReference"/>
        </w:rPr>
        <w:footnoteRef/>
      </w:r>
      <w:r>
        <w:t xml:space="preserve"> </w:t>
      </w:r>
      <w:r>
        <w:rPr>
          <w:i/>
          <w:iCs/>
        </w:rPr>
        <w:t xml:space="preserve">See </w:t>
      </w:r>
      <w:r>
        <w:t xml:space="preserve">INCOMPAS Comments at 6-7; CTIA Comments at 6; CTA Comments at 7-8; Amazon Reply Comments at 4. </w:t>
      </w:r>
    </w:p>
  </w:footnote>
  <w:footnote w:id="116">
    <w:p w:rsidR="000E6BE4" w:rsidP="004226B2" w14:paraId="69D80970" w14:textId="77777777">
      <w:pPr>
        <w:pStyle w:val="FootnoteText"/>
      </w:pPr>
      <w:r w:rsidRPr="72584821">
        <w:rPr>
          <w:rStyle w:val="FootnoteReference"/>
        </w:rPr>
        <w:footnoteRef/>
      </w:r>
      <w:r>
        <w:t xml:space="preserve"> Samsung Comments</w:t>
      </w:r>
      <w:r w:rsidRPr="6827452C">
        <w:rPr>
          <w:i/>
          <w:iCs/>
        </w:rPr>
        <w:t xml:space="preserve"> </w:t>
      </w:r>
      <w:r>
        <w:t>at 12.</w:t>
      </w:r>
    </w:p>
  </w:footnote>
  <w:footnote w:id="117">
    <w:p w:rsidR="000E6BE4" w:rsidP="004226B2" w14:paraId="1FEEF89D" w14:textId="77777777">
      <w:pPr>
        <w:pStyle w:val="FootnoteText"/>
      </w:pPr>
      <w:r w:rsidRPr="21B50436">
        <w:rPr>
          <w:rStyle w:val="FootnoteReference"/>
        </w:rPr>
        <w:footnoteRef/>
      </w:r>
      <w:r>
        <w:t xml:space="preserve"> Amazon Reply Comments</w:t>
      </w:r>
      <w:r w:rsidRPr="21B50436">
        <w:rPr>
          <w:i/>
          <w:iCs/>
        </w:rPr>
        <w:t xml:space="preserve"> </w:t>
      </w:r>
      <w:r>
        <w:t>at 4.</w:t>
      </w:r>
    </w:p>
  </w:footnote>
  <w:footnote w:id="118">
    <w:p w:rsidR="000E6BE4" w:rsidP="004226B2" w14:paraId="2DC45A3B" w14:textId="77777777">
      <w:pPr>
        <w:pStyle w:val="FootnoteText"/>
      </w:pPr>
      <w:r>
        <w:rPr>
          <w:rStyle w:val="FootnoteReference"/>
        </w:rPr>
        <w:footnoteRef/>
      </w:r>
      <w:r>
        <w:t xml:space="preserve"> </w:t>
      </w:r>
      <w:r w:rsidRPr="008B150A">
        <w:rPr>
          <w:i/>
          <w:iCs/>
        </w:rPr>
        <w:t>NPRM</w:t>
      </w:r>
      <w:r>
        <w:t xml:space="preserve">, </w:t>
      </w:r>
      <w:r w:rsidRPr="00454A31">
        <w:t xml:space="preserve">35 FCC </w:t>
      </w:r>
      <w:r w:rsidRPr="00454A31">
        <w:t>Rcd</w:t>
      </w:r>
      <w:r>
        <w:t xml:space="preserve"> at 14474, para. 54. </w:t>
      </w:r>
    </w:p>
  </w:footnote>
  <w:footnote w:id="119">
    <w:p w:rsidR="000E6BE4" w:rsidP="004226B2" w14:paraId="60C64FF0" w14:textId="77777777">
      <w:pPr>
        <w:pStyle w:val="FootnoteText"/>
      </w:pPr>
      <w:r>
        <w:rPr>
          <w:rStyle w:val="FootnoteReference"/>
        </w:rPr>
        <w:footnoteRef/>
      </w:r>
      <w:r>
        <w:t xml:space="preserve"> </w:t>
      </w:r>
      <w:r w:rsidRPr="008B150A">
        <w:rPr>
          <w:i/>
          <w:iCs/>
        </w:rPr>
        <w:t>NPRM</w:t>
      </w:r>
      <w:r>
        <w:t xml:space="preserve">, </w:t>
      </w:r>
      <w:r w:rsidRPr="00454A31">
        <w:t xml:space="preserve">35 FCC </w:t>
      </w:r>
      <w:r w:rsidRPr="00454A31">
        <w:t>Rcd</w:t>
      </w:r>
      <w:r>
        <w:t xml:space="preserve"> at 14465, para. 24. </w:t>
      </w:r>
    </w:p>
  </w:footnote>
  <w:footnote w:id="120">
    <w:p w:rsidR="000E6BE4" w:rsidRPr="00BF6E96" w:rsidP="004226B2" w14:paraId="32F5A778" w14:textId="77777777">
      <w:pPr>
        <w:pStyle w:val="FootnoteText"/>
      </w:pPr>
      <w:r>
        <w:rPr>
          <w:rStyle w:val="FootnoteReference"/>
        </w:rPr>
        <w:footnoteRef/>
      </w:r>
      <w:r>
        <w:t xml:space="preserve"> </w:t>
      </w:r>
      <w:r>
        <w:rPr>
          <w:i/>
          <w:iCs/>
        </w:rPr>
        <w:t>Id</w:t>
      </w:r>
      <w:r>
        <w:t xml:space="preserve">. </w:t>
      </w:r>
    </w:p>
  </w:footnote>
  <w:footnote w:id="121">
    <w:p w:rsidR="000E6BE4" w:rsidRPr="00286A3C" w:rsidP="004226B2" w14:paraId="1526750C"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t xml:space="preserve"> at 14465, para. 24.</w:t>
      </w:r>
    </w:p>
  </w:footnote>
  <w:footnote w:id="122">
    <w:p w:rsidR="000E6BE4" w:rsidRPr="00C90852" w:rsidP="004226B2" w14:paraId="7F6507A6" w14:textId="1405DFE8">
      <w:pPr>
        <w:pStyle w:val="FootnoteText"/>
        <w:rPr>
          <w:i/>
          <w:iCs/>
          <w:u w:val="single"/>
        </w:rPr>
      </w:pPr>
      <w:r>
        <w:rPr>
          <w:rStyle w:val="FootnoteReference"/>
        </w:rPr>
        <w:footnoteRef/>
      </w:r>
      <w:r>
        <w:t xml:space="preserve"> </w:t>
      </w:r>
      <w:r w:rsidRPr="006816AF">
        <w:rPr>
          <w:i/>
          <w:iCs/>
        </w:rPr>
        <w:t>See</w:t>
      </w:r>
      <w:r>
        <w:rPr>
          <w:i/>
          <w:iCs/>
        </w:rPr>
        <w:t>,</w:t>
      </w:r>
      <w:r w:rsidRPr="006816AF">
        <w:rPr>
          <w:i/>
          <w:iCs/>
        </w:rPr>
        <w:t xml:space="preserve"> e.g., </w:t>
      </w:r>
      <w:r>
        <w:t>Public Interest Organizations Comments at 2 and of INCOMPAS Comments at 6-7</w:t>
      </w:r>
      <w:r w:rsidRPr="006816AF">
        <w:t>.  We address the</w:t>
      </w:r>
      <w:r>
        <w:t xml:space="preserve">se suggestions in this regard as we discuss the retrieval process.  </w:t>
      </w:r>
      <w:r w:rsidRPr="0038620D">
        <w:rPr>
          <w:i/>
          <w:iCs/>
        </w:rPr>
        <w:t>See</w:t>
      </w:r>
      <w:r w:rsidRPr="0038620D">
        <w:rPr>
          <w:i/>
        </w:rPr>
        <w:t xml:space="preserve"> </w:t>
      </w:r>
      <w:r>
        <w:t>section III.E</w:t>
      </w:r>
      <w:r w:rsidRPr="0038620D">
        <w:t xml:space="preserve">, </w:t>
      </w:r>
      <w:r>
        <w:rPr>
          <w:i/>
        </w:rPr>
        <w:t>supra</w:t>
      </w:r>
      <w:r>
        <w:rPr>
          <w:i/>
          <w:iCs/>
        </w:rPr>
        <w:t xml:space="preserve">.    </w:t>
      </w:r>
    </w:p>
  </w:footnote>
  <w:footnote w:id="123">
    <w:p w:rsidR="000E6BE4" w:rsidP="004226B2" w14:paraId="61E377A5" w14:textId="77777777">
      <w:pPr>
        <w:pStyle w:val="FootnoteText"/>
      </w:pPr>
      <w:r>
        <w:rPr>
          <w:rStyle w:val="FootnoteReference"/>
        </w:rPr>
        <w:footnoteRef/>
      </w:r>
      <w:r>
        <w:t xml:space="preserve"> MWF Comments at 2-3; Lincoln Network Comments at 4; ITI Comments at 4; and CTA Comments at 7.</w:t>
      </w:r>
    </w:p>
  </w:footnote>
  <w:footnote w:id="124">
    <w:p w:rsidR="000E6BE4" w:rsidP="004226B2" w14:paraId="6E71D705" w14:textId="77777777">
      <w:pPr>
        <w:pStyle w:val="FootnoteText"/>
      </w:pPr>
      <w:r>
        <w:rPr>
          <w:rStyle w:val="FootnoteReference"/>
        </w:rPr>
        <w:footnoteRef/>
      </w:r>
      <w:r>
        <w:t xml:space="preserve"> R Street Comments at 6; CTA Comments at 6-7; INCOMPAS Comments at 8; Lincoln Network Comments at 2, 4; and ITI Comments at 4.</w:t>
      </w:r>
    </w:p>
  </w:footnote>
  <w:footnote w:id="125">
    <w:p w:rsidR="000E6BE4" w:rsidP="004226B2" w14:paraId="21B66144" w14:textId="77777777">
      <w:pPr>
        <w:pStyle w:val="FootnoteText"/>
      </w:pPr>
      <w:r w:rsidRPr="00D633C6">
        <w:rPr>
          <w:rStyle w:val="FootnoteReference"/>
          <w:snapToGrid w:val="0"/>
        </w:rPr>
        <w:footnoteRef/>
      </w:r>
      <w:r>
        <w:t xml:space="preserve"> ITIF Comments at 5.</w:t>
      </w:r>
    </w:p>
  </w:footnote>
  <w:footnote w:id="126">
    <w:p w:rsidR="000E6BE4" w:rsidP="004226B2" w14:paraId="24530FE1" w14:textId="77777777">
      <w:pPr>
        <w:pStyle w:val="FootnoteText"/>
      </w:pPr>
      <w:r w:rsidRPr="00D633C6">
        <w:rPr>
          <w:rStyle w:val="FootnoteReference"/>
        </w:rPr>
        <w:footnoteRef/>
      </w:r>
      <w:r>
        <w:t xml:space="preserve"> ITI Comments at 3.</w:t>
      </w:r>
    </w:p>
  </w:footnote>
  <w:footnote w:id="127">
    <w:p w:rsidR="000E6BE4" w:rsidP="004226B2" w14:paraId="2194FBD0" w14:textId="77777777">
      <w:pPr>
        <w:pStyle w:val="FootnoteText"/>
      </w:pPr>
      <w:r w:rsidRPr="00D633C6">
        <w:rPr>
          <w:rStyle w:val="FootnoteReference"/>
        </w:rPr>
        <w:footnoteRef/>
      </w:r>
      <w:r w:rsidRPr="00D633C6">
        <w:t xml:space="preserve"> </w:t>
      </w:r>
      <w:r>
        <w:t>CTA Comments at 6.</w:t>
      </w:r>
    </w:p>
  </w:footnote>
  <w:footnote w:id="128">
    <w:p w:rsidR="000E6BE4" w:rsidRPr="008D58EF" w:rsidP="004226B2" w14:paraId="6B8D2291" w14:textId="59F0BDB4">
      <w:pPr>
        <w:pStyle w:val="FootnoteText"/>
      </w:pPr>
      <w:r>
        <w:rPr>
          <w:rStyle w:val="FootnoteReference"/>
        </w:rPr>
        <w:footnoteRef/>
      </w:r>
      <w:r>
        <w:t xml:space="preserve"> </w:t>
      </w:r>
      <w:r>
        <w:rPr>
          <w:i/>
          <w:iCs/>
        </w:rPr>
        <w:t xml:space="preserve">See </w:t>
      </w:r>
      <w:r w:rsidRPr="00315EFE">
        <w:rPr>
          <w:i/>
          <w:iCs/>
        </w:rPr>
        <w:t>Amendment of Parts 0, 1, 2, 15 and 18 of the Commission’s Rules regarding Authorization of Radiofrequency Equipment</w:t>
      </w:r>
      <w:r w:rsidRPr="00315EFE">
        <w:t xml:space="preserve">, ET Docket No. 15-170, Notice of Proposed Rulemaking, 30 FCC </w:t>
      </w:r>
      <w:r w:rsidRPr="00315EFE">
        <w:t>Rcd</w:t>
      </w:r>
      <w:r w:rsidRPr="00315EFE">
        <w:t xml:space="preserve"> 7725 (2015) (</w:t>
      </w:r>
      <w:r w:rsidRPr="00315EFE">
        <w:rPr>
          <w:i/>
        </w:rPr>
        <w:t>2015</w:t>
      </w:r>
      <w:r>
        <w:rPr>
          <w:i/>
        </w:rPr>
        <w:t xml:space="preserve"> Equipment Authorization </w:t>
      </w:r>
      <w:r w:rsidRPr="00315EFE">
        <w:rPr>
          <w:i/>
        </w:rPr>
        <w:t>Notice</w:t>
      </w:r>
      <w:r w:rsidRPr="00315EFE">
        <w:t>)</w:t>
      </w:r>
      <w:r>
        <w:t xml:space="preserve">; and </w:t>
      </w:r>
      <w:r>
        <w:rPr>
          <w:i/>
          <w:iCs/>
        </w:rPr>
        <w:t>Amendment of Parts 0, 1, 2, 15 and 18 of the Commission’s Rules regarding</w:t>
      </w:r>
      <w:r w:rsidRPr="00F72222">
        <w:rPr>
          <w:i/>
          <w:iCs/>
        </w:rPr>
        <w:t xml:space="preserve"> Authorization </w:t>
      </w:r>
      <w:r>
        <w:rPr>
          <w:i/>
          <w:iCs/>
        </w:rPr>
        <w:t>of Radiofrequency Equipment</w:t>
      </w:r>
      <w:r>
        <w:t>, ET Docket No. 15-170, First Report and Order,</w:t>
      </w:r>
      <w:r w:rsidRPr="00C55AA0">
        <w:t xml:space="preserve"> </w:t>
      </w:r>
      <w:r>
        <w:t xml:space="preserve">32 FCC </w:t>
      </w:r>
      <w:r>
        <w:t>Rcd</w:t>
      </w:r>
      <w:r>
        <w:t xml:space="preserve"> 8746 (2017) (</w:t>
      </w:r>
      <w:r w:rsidRPr="00F72222">
        <w:rPr>
          <w:i/>
          <w:iCs/>
        </w:rPr>
        <w:t xml:space="preserve">2017 Equipment </w:t>
      </w:r>
      <w:r w:rsidRPr="00A7254D">
        <w:rPr>
          <w:i/>
          <w:iCs/>
        </w:rPr>
        <w:t>Authorization Order</w:t>
      </w:r>
      <w:r>
        <w:t>)</w:t>
      </w:r>
      <w:r w:rsidRPr="00885439">
        <w:t>.</w:t>
      </w:r>
      <w:r>
        <w:t xml:space="preserve">  </w:t>
      </w:r>
      <w:r w:rsidRPr="00993724">
        <w:rPr>
          <w:iCs/>
        </w:rPr>
        <w:t xml:space="preserve">In the </w:t>
      </w:r>
      <w:r w:rsidRPr="00993724">
        <w:rPr>
          <w:i/>
        </w:rPr>
        <w:t>2017</w:t>
      </w:r>
      <w:r w:rsidRPr="00993724">
        <w:rPr>
          <w:iCs/>
        </w:rPr>
        <w:t xml:space="preserve"> </w:t>
      </w:r>
      <w:r w:rsidRPr="00993724">
        <w:rPr>
          <w:i/>
        </w:rPr>
        <w:t>Equipment Authorization Order</w:t>
      </w:r>
      <w:r w:rsidRPr="00993724">
        <w:t xml:space="preserve">, the Commission, among other things, codified contemporary electronic labeling (e-label) practices, modified importation procedures to remove an outdated filing requirement, and changed the rules governing how personal devices and those used in trade shows may be brought into the country.  The Commission left several matters open for further considerations, including when equipment subject to </w:t>
      </w:r>
      <w:r>
        <w:t>c</w:t>
      </w:r>
      <w:r w:rsidRPr="00993724">
        <w:t xml:space="preserve">ertification can be imported and how the </w:t>
      </w:r>
      <w:r>
        <w:t>c</w:t>
      </w:r>
      <w:r w:rsidRPr="00993724">
        <w:t xml:space="preserve">ertification information is made available to the public; how to ensure that the </w:t>
      </w:r>
      <w:r>
        <w:t>c</w:t>
      </w:r>
      <w:r w:rsidRPr="00993724">
        <w:t xml:space="preserve">ertification process is optimized for today’s more complex devices that often include numerous transmitters configured in increasingly varied manners; and whether to require manufacturers to certify that a device cannot be modified by third-party </w:t>
      </w:r>
      <w:r>
        <w:t>RF</w:t>
      </w:r>
      <w:r w:rsidRPr="00993724">
        <w:t xml:space="preserve"> controlling software that could cause those devices to create harmful interference.</w:t>
      </w:r>
    </w:p>
  </w:footnote>
  <w:footnote w:id="129">
    <w:p w:rsidR="000E6BE4" w:rsidRPr="00A317FB" w:rsidP="004226B2" w14:paraId="207403DF" w14:textId="77777777">
      <w:pPr>
        <w:pStyle w:val="FootnoteText"/>
      </w:pPr>
      <w:r>
        <w:rPr>
          <w:rStyle w:val="FootnoteReference"/>
        </w:rPr>
        <w:footnoteRef/>
      </w:r>
      <w:r>
        <w:t xml:space="preserve"> </w:t>
      </w:r>
      <w:r>
        <w:rPr>
          <w:i/>
          <w:iCs/>
        </w:rPr>
        <w:t>NPRM</w:t>
      </w:r>
      <w:r>
        <w:t xml:space="preserve">, </w:t>
      </w:r>
      <w:r w:rsidRPr="00454A31">
        <w:t xml:space="preserve">35 FCC </w:t>
      </w:r>
      <w:r w:rsidRPr="00454A31">
        <w:t>Rcd</w:t>
      </w:r>
      <w:r>
        <w:rPr>
          <w:i/>
          <w:iCs/>
        </w:rPr>
        <w:t xml:space="preserve"> </w:t>
      </w:r>
      <w:r>
        <w:t>at 14474, para. 56.</w:t>
      </w:r>
    </w:p>
  </w:footnote>
  <w:footnote w:id="130">
    <w:p w:rsidR="000E6BE4" w:rsidP="004226B2" w14:paraId="1DC54AC5" w14:textId="77777777">
      <w:pPr>
        <w:pStyle w:val="FootnoteText"/>
      </w:pPr>
      <w:r>
        <w:rPr>
          <w:rStyle w:val="FootnoteReference"/>
        </w:rPr>
        <w:footnoteRef/>
      </w:r>
      <w:r>
        <w:t xml:space="preserve"> Garmin Comments at 4-7.</w:t>
      </w:r>
    </w:p>
  </w:footnote>
  <w:footnote w:id="131">
    <w:p w:rsidR="000E6BE4" w:rsidRPr="00732A64" w:rsidP="004226B2" w14:paraId="34D2295B" w14:textId="77777777">
      <w:pPr>
        <w:pStyle w:val="FootnoteText"/>
      </w:pPr>
      <w:r>
        <w:rPr>
          <w:rStyle w:val="FootnoteReference"/>
        </w:rPr>
        <w:footnoteRef/>
      </w:r>
      <w:r>
        <w:t xml:space="preserve"> </w:t>
      </w:r>
      <w:r>
        <w:rPr>
          <w:i/>
          <w:iCs/>
        </w:rPr>
        <w:t>See 2015 Equipment Authorization Notice</w:t>
      </w:r>
      <w:r w:rsidRPr="00315EFE">
        <w:t xml:space="preserve">, 30 FCC </w:t>
      </w:r>
      <w:r w:rsidRPr="00315EFE">
        <w:t>Rcd</w:t>
      </w:r>
      <w:r>
        <w:t xml:space="preserve"> at 7757-58, 7767, paras. 92, 121.</w:t>
      </w:r>
    </w:p>
  </w:footnote>
  <w:footnote w:id="132">
    <w:p w:rsidR="000E6BE4" w:rsidP="004226B2" w14:paraId="7D894DF7" w14:textId="77777777">
      <w:pPr>
        <w:pStyle w:val="FootnoteText"/>
      </w:pPr>
      <w:r>
        <w:rPr>
          <w:rStyle w:val="FootnoteReference"/>
        </w:rPr>
        <w:footnoteRef/>
      </w:r>
      <w:r>
        <w:t xml:space="preserve"> </w:t>
      </w:r>
      <w:r>
        <w:rPr>
          <w:i/>
        </w:rPr>
        <w:t>See, e</w:t>
      </w:r>
      <w:r w:rsidRPr="00D633C6">
        <w:rPr>
          <w:i/>
        </w:rPr>
        <w:t>.g.,</w:t>
      </w:r>
      <w:r>
        <w:t xml:space="preserve"> </w:t>
      </w:r>
      <w:r w:rsidRPr="00D633C6">
        <w:t xml:space="preserve">Letters from Timothy J. Cooney, </w:t>
      </w:r>
      <w:r>
        <w:t>E</w:t>
      </w:r>
      <w:r w:rsidRPr="00D633C6">
        <w:t>sq. Counsel, Garmin International, Inc.to Marlene H. Dortch, Secretary, FCC, ET Docket No. 15-170 (filed Oct. 19, 2019 and Nov. 4, 2019).</w:t>
      </w:r>
    </w:p>
  </w:footnote>
  <w:footnote w:id="133">
    <w:p w:rsidR="000E6BE4" w:rsidP="004226B2" w14:paraId="1780E8A1" w14:textId="77777777">
      <w:pPr>
        <w:pStyle w:val="FootnoteText"/>
      </w:pPr>
      <w:r>
        <w:rPr>
          <w:rStyle w:val="FootnoteReference"/>
        </w:rPr>
        <w:footnoteRef/>
      </w:r>
      <w:r>
        <w:t xml:space="preserve"> In any event, we note that a provisionally certified device would have theoretically completed the equipment authorization.  Thus, the exceptions that we have adopted herein would not be relevant and the proposal would not provide any increased efficiencies to the marketing or importation processes.  </w:t>
      </w:r>
    </w:p>
  </w:footnote>
  <w:footnote w:id="134">
    <w:p w:rsidR="000E6BE4" w:rsidP="004226B2" w14:paraId="4769318B" w14:textId="77777777">
      <w:pPr>
        <w:pStyle w:val="FootnoteText"/>
      </w:pPr>
      <w:r>
        <w:rPr>
          <w:rStyle w:val="FootnoteReference"/>
        </w:rPr>
        <w:footnoteRef/>
      </w:r>
      <w:r>
        <w:t xml:space="preserve"> Garmin Comments at 7-8.</w:t>
      </w:r>
    </w:p>
  </w:footnote>
  <w:footnote w:id="135">
    <w:p w:rsidR="000E6BE4" w:rsidP="004226B2" w14:paraId="299E7F28" w14:textId="77777777">
      <w:pPr>
        <w:pStyle w:val="FootnoteText"/>
      </w:pPr>
      <w:r>
        <w:rPr>
          <w:rStyle w:val="FootnoteReference"/>
        </w:rPr>
        <w:footnoteRef/>
      </w:r>
      <w:r>
        <w:t xml:space="preserve"> CTIA Comments at 7.</w:t>
      </w:r>
    </w:p>
  </w:footnote>
  <w:footnote w:id="136">
    <w:p w:rsidR="000E6BE4" w:rsidP="004226B2" w14:paraId="4080FD52" w14:textId="77777777">
      <w:pPr>
        <w:pStyle w:val="FootnoteText"/>
      </w:pPr>
      <w:r>
        <w:rPr>
          <w:rStyle w:val="FootnoteReference"/>
        </w:rPr>
        <w:footnoteRef/>
      </w:r>
      <w:r>
        <w:t xml:space="preserve"> 47 CFR § 15.212.</w:t>
      </w:r>
    </w:p>
  </w:footnote>
  <w:footnote w:id="137">
    <w:p w:rsidR="000E6BE4" w:rsidRPr="00E15847" w:rsidP="004226B2" w14:paraId="2F82F9D3" w14:textId="77777777">
      <w:pPr>
        <w:pStyle w:val="FootnoteText"/>
      </w:pPr>
      <w:r>
        <w:rPr>
          <w:rStyle w:val="FootnoteReference"/>
        </w:rPr>
        <w:footnoteRef/>
      </w:r>
      <w:r>
        <w:t xml:space="preserve"> </w:t>
      </w:r>
      <w:r w:rsidRPr="00E15847">
        <w:rPr>
          <w:i/>
          <w:iCs/>
        </w:rPr>
        <w:t>2015 Equipment Authorization Notice</w:t>
      </w:r>
      <w:r w:rsidRPr="00315EFE">
        <w:t xml:space="preserve">, 30 FCC </w:t>
      </w:r>
      <w:r w:rsidRPr="00315EFE">
        <w:t>Rcd</w:t>
      </w:r>
      <w:r>
        <w:t xml:space="preserve"> at 7739-41, paras. 39-43.  </w:t>
      </w:r>
    </w:p>
  </w:footnote>
  <w:footnote w:id="138">
    <w:p w:rsidR="000E6BE4" w:rsidRPr="00E21B1E" w:rsidP="004226B2" w14:paraId="4EB6CE9F" w14:textId="77777777">
      <w:pPr>
        <w:pStyle w:val="FootnoteText"/>
      </w:pPr>
      <w:r>
        <w:rPr>
          <w:rStyle w:val="FootnoteReference"/>
        </w:rPr>
        <w:footnoteRef/>
      </w:r>
      <w:r>
        <w:t xml:space="preserve"> </w:t>
      </w:r>
      <w:r>
        <w:rPr>
          <w:i/>
          <w:iCs/>
        </w:rPr>
        <w:t xml:space="preserve">See </w:t>
      </w:r>
      <w:r>
        <w:t xml:space="preserve">5 U.S.C. § 603.  The RFA, </w:t>
      </w:r>
      <w:r>
        <w:rPr>
          <w:i/>
          <w:iCs/>
        </w:rPr>
        <w:t xml:space="preserve">see </w:t>
      </w:r>
      <w:r>
        <w:t xml:space="preserve">5 U.S.C. § 601 </w:t>
      </w:r>
      <w:r>
        <w:rPr>
          <w:i/>
          <w:iCs/>
        </w:rPr>
        <w:t>et seq.</w:t>
      </w:r>
      <w:r>
        <w:t>, has been amended by the Small Business Regulatory Enforcement Fairness Act of 1996 (SBREFA), Pub. L. No. 104-121, Title II, 110 Stat. 857 (1996).  The SBREFA was enacted as Title II of the Contract with America Advancement Act of 1996 (CWAAA).</w:t>
      </w:r>
    </w:p>
  </w:footnote>
  <w:footnote w:id="139">
    <w:p w:rsidR="000E6BE4" w:rsidRPr="00351ABD" w:rsidP="004226B2" w14:paraId="562181BA" w14:textId="77777777">
      <w:pPr>
        <w:pStyle w:val="FootnoteText"/>
      </w:pPr>
      <w:r>
        <w:rPr>
          <w:rStyle w:val="FootnoteReference"/>
        </w:rPr>
        <w:footnoteRef/>
      </w:r>
      <w:r>
        <w:t xml:space="preserve"> </w:t>
      </w:r>
      <w:r>
        <w:rPr>
          <w:i/>
          <w:iCs/>
        </w:rPr>
        <w:t xml:space="preserve">See </w:t>
      </w:r>
      <w:r>
        <w:t>5 U.S.C. § 603(a).</w:t>
      </w:r>
    </w:p>
  </w:footnote>
  <w:footnote w:id="140">
    <w:p w:rsidR="000E6BE4" w:rsidRPr="00FF3B11" w:rsidP="004226B2" w14:paraId="5E7A9FD9" w14:textId="77777777">
      <w:pPr>
        <w:pStyle w:val="FootnoteText"/>
        <w:rPr>
          <w:i/>
          <w:iCs/>
        </w:rPr>
      </w:pPr>
      <w:r>
        <w:rPr>
          <w:rStyle w:val="FootnoteReference"/>
        </w:rPr>
        <w:footnoteRef/>
      </w:r>
      <w:r>
        <w:t xml:space="preserve"> </w:t>
      </w:r>
      <w:r>
        <w:rPr>
          <w:i/>
          <w:iCs/>
        </w:rPr>
        <w:t>Id.</w:t>
      </w:r>
    </w:p>
  </w:footnote>
  <w:footnote w:id="141">
    <w:p w:rsidR="000E6BE4" w:rsidP="004226B2" w14:paraId="21533B86" w14:textId="77777777">
      <w:pPr>
        <w:pStyle w:val="FootnoteText"/>
      </w:pPr>
      <w:r>
        <w:rPr>
          <w:rStyle w:val="FootnoteReference"/>
        </w:rPr>
        <w:footnoteRef/>
      </w:r>
      <w:r>
        <w:t xml:space="preserve"> </w:t>
      </w:r>
      <w:r w:rsidRPr="009453A5">
        <w:t>44 U.S.C. §§ 3501</w:t>
      </w:r>
      <w:r>
        <w:t>-</w:t>
      </w:r>
      <w:r w:rsidRPr="009453A5">
        <w:t>3520</w:t>
      </w:r>
      <w:r>
        <w:t>.</w:t>
      </w:r>
    </w:p>
  </w:footnote>
  <w:footnote w:id="142">
    <w:p w:rsidR="000E6BE4" w:rsidP="000B1409" w14:paraId="2B4F3C00" w14:textId="08E631B4">
      <w:pPr>
        <w:pStyle w:val="FootnoteText"/>
      </w:pPr>
      <w:r>
        <w:rPr>
          <w:rStyle w:val="FootnoteReference"/>
        </w:rPr>
        <w:footnoteRef/>
      </w:r>
      <w:r>
        <w:t xml:space="preserve"> </w:t>
      </w:r>
      <w:r>
        <w:rPr>
          <w:i/>
          <w:iCs/>
          <w:spacing w:val="-2"/>
        </w:rPr>
        <w:t>See</w:t>
      </w:r>
      <w:r>
        <w:rPr>
          <w:spacing w:val="-2"/>
        </w:rPr>
        <w:t xml:space="preserve"> 5 U.S.C. § 603.  The RFA, </w:t>
      </w:r>
      <w:r>
        <w:rPr>
          <w:i/>
          <w:iCs/>
          <w:spacing w:val="-2"/>
        </w:rPr>
        <w:t>see</w:t>
      </w:r>
      <w:r>
        <w:rPr>
          <w:spacing w:val="-2"/>
        </w:rPr>
        <w:t xml:space="preserve"> 5 U.S.C. §§ 601 – 612, has been amended by the Small Business Regulatory Enforcement Fairness Act of 1996 (SBREFA), Pub. L. No. 104-121, Title II, 110 Stat. 857 (1996).</w:t>
      </w:r>
    </w:p>
  </w:footnote>
  <w:footnote w:id="143">
    <w:p w:rsidR="000E6BE4" w:rsidP="000B1409" w14:paraId="19BD8B04" w14:textId="77777777">
      <w:pPr>
        <w:pStyle w:val="FootnoteText"/>
      </w:pPr>
      <w:r>
        <w:rPr>
          <w:rStyle w:val="FootnoteReference"/>
        </w:rPr>
        <w:footnoteRef/>
      </w:r>
      <w:r>
        <w:t xml:space="preserve"> </w:t>
      </w:r>
      <w:r>
        <w:rPr>
          <w:i/>
        </w:rPr>
        <w:t xml:space="preserve">See </w:t>
      </w:r>
      <w:r w:rsidRPr="009E1A9E">
        <w:rPr>
          <w:i/>
          <w:iCs/>
        </w:rPr>
        <w:t>Allowing Earlier Equipment Marketing and Importation Opportunities</w:t>
      </w:r>
      <w:r w:rsidRPr="0095506F">
        <w:t xml:space="preserve">, ET Docket No. </w:t>
      </w:r>
      <w:r>
        <w:t>20-382</w:t>
      </w:r>
      <w:r w:rsidRPr="0095506F">
        <w:t xml:space="preserve">, Notice of Proposed Rulemaking, </w:t>
      </w:r>
      <w:r w:rsidRPr="00042309">
        <w:rPr>
          <w:color w:val="1D2B3E"/>
        </w:rPr>
        <w:t xml:space="preserve">35 FCC </w:t>
      </w:r>
      <w:r w:rsidRPr="00042309">
        <w:rPr>
          <w:color w:val="1D2B3E"/>
        </w:rPr>
        <w:t>Rcd</w:t>
      </w:r>
      <w:r w:rsidRPr="00042309">
        <w:rPr>
          <w:color w:val="1D2B3E"/>
        </w:rPr>
        <w:t xml:space="preserve"> 14458 (</w:t>
      </w:r>
      <w:r>
        <w:rPr>
          <w:color w:val="1D2B3E"/>
        </w:rPr>
        <w:t>2020</w:t>
      </w:r>
      <w:r w:rsidRPr="00042309">
        <w:rPr>
          <w:color w:val="1D2B3E"/>
        </w:rPr>
        <w:t>)</w:t>
      </w:r>
      <w:r>
        <w:t xml:space="preserve"> (</w:t>
      </w:r>
      <w:r w:rsidRPr="003E5F64">
        <w:rPr>
          <w:i/>
          <w:iCs/>
        </w:rPr>
        <w:t>NPRM</w:t>
      </w:r>
      <w:r>
        <w:t>).</w:t>
      </w:r>
    </w:p>
  </w:footnote>
  <w:footnote w:id="144">
    <w:p w:rsidR="000E6BE4" w:rsidP="000B1409" w14:paraId="178AE914" w14:textId="77777777">
      <w:pPr>
        <w:pStyle w:val="FootnoteText"/>
      </w:pPr>
      <w:r>
        <w:rPr>
          <w:rStyle w:val="FootnoteReference"/>
        </w:rPr>
        <w:footnoteRef/>
      </w:r>
      <w:r>
        <w:t xml:space="preserve"> </w:t>
      </w:r>
      <w:r>
        <w:rPr>
          <w:i/>
        </w:rPr>
        <w:t>See</w:t>
      </w:r>
      <w:r>
        <w:t xml:space="preserve"> 5 U.S.C. § 604.</w:t>
      </w:r>
    </w:p>
  </w:footnote>
  <w:footnote w:id="145">
    <w:p w:rsidR="000E6BE4" w:rsidRPr="00A00E1E" w:rsidP="000B1409" w14:paraId="471C68D3" w14:textId="77777777">
      <w:pPr>
        <w:pStyle w:val="FootnoteText"/>
      </w:pPr>
      <w:r>
        <w:rPr>
          <w:rStyle w:val="FootnoteReference"/>
        </w:rPr>
        <w:footnoteRef/>
      </w:r>
      <w:r>
        <w:t xml:space="preserve"> </w:t>
      </w:r>
      <w:r w:rsidRPr="004C6281">
        <w:t>On June 9, 2020, the Consumer and Governmental Affairs Bureau’s Reference Information Center issued a Public Notice seeking comment on CTA’s petition</w:t>
      </w:r>
      <w:r>
        <w:t xml:space="preserve">, </w:t>
      </w:r>
      <w:r>
        <w:rPr>
          <w:i/>
          <w:iCs/>
        </w:rPr>
        <w:t>Petition of Consumer Technology Association to Expand Marketing Opportunities for Innovative Technologies</w:t>
      </w:r>
      <w:r>
        <w:t>, RM-11857, Public Notice, Report No. 3150 (CGB June 9, 2020).</w:t>
      </w:r>
    </w:p>
  </w:footnote>
  <w:footnote w:id="146">
    <w:p w:rsidR="000E6BE4" w:rsidP="000B1409" w14:paraId="27EE4836" w14:textId="77777777">
      <w:pPr>
        <w:pStyle w:val="FootnoteText"/>
      </w:pPr>
      <w:r>
        <w:rPr>
          <w:rStyle w:val="FootnoteReference"/>
        </w:rPr>
        <w:footnoteRef/>
      </w:r>
      <w:r>
        <w:t xml:space="preserve"> The Commission granted the CTA Petition to the extent described in the </w:t>
      </w:r>
      <w:r w:rsidRPr="00842769">
        <w:rPr>
          <w:i/>
          <w:iCs/>
        </w:rPr>
        <w:t>NPRM</w:t>
      </w:r>
      <w:r>
        <w:t xml:space="preserve">.  </w:t>
      </w:r>
      <w:r w:rsidRPr="00842769">
        <w:rPr>
          <w:i/>
          <w:iCs/>
        </w:rPr>
        <w:t>See NPRM</w:t>
      </w:r>
      <w:r>
        <w:rPr>
          <w:i/>
          <w:iCs/>
        </w:rPr>
        <w:t>,</w:t>
      </w:r>
      <w:r w:rsidRPr="00842769">
        <w:rPr>
          <w:i/>
          <w:iCs/>
        </w:rPr>
        <w:t xml:space="preserve"> </w:t>
      </w:r>
      <w:r>
        <w:t xml:space="preserve">35 FCC </w:t>
      </w:r>
      <w:r>
        <w:t>Rcd</w:t>
      </w:r>
      <w:r>
        <w:t xml:space="preserve"> at 14476, para. 64. </w:t>
      </w:r>
    </w:p>
  </w:footnote>
  <w:footnote w:id="147">
    <w:p w:rsidR="000E6BE4" w:rsidP="000B1409" w14:paraId="7B55061F" w14:textId="77777777">
      <w:pPr>
        <w:pStyle w:val="FootnoteText"/>
      </w:pPr>
      <w:r>
        <w:rPr>
          <w:rStyle w:val="FootnoteReference"/>
        </w:rPr>
        <w:footnoteRef/>
      </w:r>
      <w:r>
        <w:t xml:space="preserve"> </w:t>
      </w:r>
      <w:r w:rsidRPr="00162332">
        <w:t xml:space="preserve">5 U.S.C. </w:t>
      </w:r>
      <w:r>
        <w:t>§</w:t>
      </w:r>
      <w:r w:rsidRPr="00162332">
        <w:t xml:space="preserve"> 604 (a)(3)</w:t>
      </w:r>
      <w:r>
        <w:t>.</w:t>
      </w:r>
    </w:p>
  </w:footnote>
  <w:footnote w:id="148">
    <w:p w:rsidR="000E6BE4" w:rsidP="000B1409" w14:paraId="07D8D08C" w14:textId="77777777">
      <w:pPr>
        <w:pStyle w:val="FootnoteText"/>
      </w:pPr>
      <w:r>
        <w:rPr>
          <w:rStyle w:val="FootnoteReference"/>
        </w:rPr>
        <w:footnoteRef/>
      </w:r>
      <w:r>
        <w:t xml:space="preserve"> </w:t>
      </w:r>
      <w:r>
        <w:rPr>
          <w:i/>
        </w:rPr>
        <w:t xml:space="preserve">See </w:t>
      </w:r>
      <w:r>
        <w:t>5 U.S.C. § 603(b)(3).</w:t>
      </w:r>
    </w:p>
  </w:footnote>
  <w:footnote w:id="149">
    <w:p w:rsidR="000E6BE4" w:rsidP="000B1409" w14:paraId="23C532F3" w14:textId="77777777">
      <w:pPr>
        <w:pStyle w:val="FootnoteText"/>
      </w:pPr>
      <w:r>
        <w:rPr>
          <w:rStyle w:val="FootnoteReference"/>
        </w:rPr>
        <w:footnoteRef/>
      </w:r>
      <w:r>
        <w:t xml:space="preserve"> 5 U.S.C. § 601(6).</w:t>
      </w:r>
    </w:p>
  </w:footnote>
  <w:footnote w:id="150">
    <w:p w:rsidR="000E6BE4" w:rsidP="000B1409" w14:paraId="5F404E92"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1">
    <w:p w:rsidR="000E6BE4" w:rsidP="000B1409" w14:paraId="41131D04" w14:textId="77777777">
      <w:pPr>
        <w:pStyle w:val="FootnoteText"/>
      </w:pPr>
      <w:r>
        <w:rPr>
          <w:rStyle w:val="FootnoteReference"/>
        </w:rPr>
        <w:footnoteRef/>
      </w:r>
      <w:r>
        <w:t xml:space="preserve"> 15 U.S.C. § 632.</w:t>
      </w:r>
    </w:p>
  </w:footnote>
  <w:footnote w:id="152">
    <w:p w:rsidR="000E6BE4" w:rsidP="000B1409" w14:paraId="154D0476"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53">
    <w:p w:rsidR="000E6BE4" w:rsidP="000B1409" w14:paraId="46B0ECD2"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3" w:history="1">
        <w:r>
          <w:rPr>
            <w:rStyle w:val="Hyperlink"/>
          </w:rPr>
          <w:t>https://cdn.advocacy.sba.gov/wp-content/uploads/2019/09/23172859/Whats-New-With-Small-Business-2019.pdf</w:t>
        </w:r>
      </w:hyperlink>
      <w:r w:rsidRPr="00363480">
        <w:t xml:space="preserve"> (</w:t>
      </w:r>
      <w:r>
        <w:t>Sept. 2019).</w:t>
      </w:r>
    </w:p>
  </w:footnote>
  <w:footnote w:id="154">
    <w:p w:rsidR="000E6BE4" w:rsidP="000B1409" w14:paraId="0C7A18D9" w14:textId="77777777">
      <w:pPr>
        <w:pStyle w:val="FootnoteText"/>
      </w:pPr>
      <w:r w:rsidRPr="00363480">
        <w:rPr>
          <w:rStyle w:val="FootnoteReference"/>
          <w:rFonts w:eastAsia="Calibri"/>
        </w:rPr>
        <w:footnoteRef/>
      </w:r>
      <w:r>
        <w:t xml:space="preserve"> </w:t>
      </w:r>
      <w:r>
        <w:rPr>
          <w:i/>
        </w:rPr>
        <w:t>Id</w:t>
      </w:r>
      <w:r w:rsidRPr="00363480">
        <w:t>.</w:t>
      </w:r>
    </w:p>
  </w:footnote>
  <w:footnote w:id="155">
    <w:p w:rsidR="000E6BE4" w:rsidRPr="00363480" w:rsidP="000B1409" w14:paraId="4317E72B"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156">
    <w:p w:rsidR="000E6BE4" w:rsidP="000B1409" w14:paraId="070C2827"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4"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57">
    <w:p w:rsidR="000E6BE4" w:rsidRPr="007B60A8" w:rsidP="000B1409" w14:paraId="786D173D"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5"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158">
    <w:p w:rsidR="000E6BE4" w:rsidRPr="00363480" w:rsidP="000B1409" w14:paraId="0C216C69" w14:textId="77777777">
      <w:pPr>
        <w:pStyle w:val="FootnoteText"/>
      </w:pPr>
      <w:r w:rsidRPr="00363480">
        <w:rPr>
          <w:rStyle w:val="FootnoteReference"/>
          <w:rFonts w:eastAsia="Calibri"/>
          <w:spacing w:val="-2"/>
        </w:rPr>
        <w:footnoteRef/>
      </w:r>
      <w:r w:rsidRPr="00363480">
        <w:t xml:space="preserve"> 5 U.S.C. § 601(5).</w:t>
      </w:r>
    </w:p>
  </w:footnote>
  <w:footnote w:id="159">
    <w:p w:rsidR="000E6BE4" w:rsidRPr="00363480" w:rsidP="000B1409" w14:paraId="7948A55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6" w:history="1">
        <w:r>
          <w:rPr>
            <w:rStyle w:val="Hyperlink"/>
          </w:rPr>
          <w:t>https://www.census.gov/programs-surveys/cog/about.html</w:t>
        </w:r>
      </w:hyperlink>
      <w:r>
        <w:t>.</w:t>
      </w:r>
    </w:p>
  </w:footnote>
  <w:footnote w:id="160">
    <w:p w:rsidR="000E6BE4" w:rsidRPr="0059359B" w:rsidP="000B1409" w14:paraId="72FB4F4B"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p>
  </w:footnote>
  <w:footnote w:id="161">
    <w:p w:rsidR="000E6BE4" w:rsidRPr="0059359B" w:rsidP="000B1409" w14:paraId="2E1DF10D"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7"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township) governments.</w:t>
      </w:r>
    </w:p>
  </w:footnote>
  <w:footnote w:id="162">
    <w:p w:rsidR="000E6BE4" w:rsidRPr="0059359B" w:rsidP="000B1409" w14:paraId="4DB53C7D"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7"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163">
    <w:p w:rsidR="000E6BE4" w:rsidRPr="00236169" w:rsidP="000B1409" w14:paraId="3CDE6D2A"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7"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64">
    <w:p w:rsidR="000E6BE4" w:rsidP="000B1409" w14:paraId="3C0EB15C"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65">
    <w:p w:rsidR="000E6BE4" w:rsidRPr="007B60A8" w:rsidP="000B1409" w14:paraId="1AB6ECBE"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66">
    <w:p w:rsidR="000E6BE4" w:rsidRPr="00357BC3" w:rsidP="000B1409" w14:paraId="76A4F216"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I.</w:t>
      </w:r>
    </w:p>
  </w:footnote>
  <w:footnote w:id="167">
    <w:p w:rsidR="000E6BE4" w:rsidRPr="00357BC3" w:rsidP="000B1409" w14:paraId="30E8379F" w14:textId="77777777">
      <w:pPr>
        <w:pStyle w:val="FootnoteText"/>
      </w:pPr>
      <w:r w:rsidRPr="00357BC3">
        <w:rPr>
          <w:rStyle w:val="FootnoteReference"/>
        </w:rPr>
        <w:footnoteRef/>
      </w:r>
      <w:r w:rsidRPr="00357BC3">
        <w:t xml:space="preserve"> </w:t>
      </w:r>
      <w:r w:rsidRPr="00357BC3">
        <w:rPr>
          <w:i/>
        </w:rPr>
        <w:t xml:space="preserve">See </w:t>
      </w:r>
      <w:r w:rsidRPr="00357BC3">
        <w:t xml:space="preserve">47 CFR </w:t>
      </w:r>
      <w:r>
        <w:t>p</w:t>
      </w:r>
      <w:r w:rsidRPr="00357BC3">
        <w:t xml:space="preserve">art 101, </w:t>
      </w:r>
      <w:r>
        <w:t>s</w:t>
      </w:r>
      <w:r w:rsidRPr="00357BC3">
        <w:t>ubparts C and H.</w:t>
      </w:r>
    </w:p>
  </w:footnote>
  <w:footnote w:id="168">
    <w:p w:rsidR="000E6BE4" w:rsidRPr="00F1203C" w:rsidP="000B1409" w14:paraId="57AA8B87" w14:textId="77777777">
      <w:pPr>
        <w:pStyle w:val="FootnoteText"/>
      </w:pPr>
      <w:r w:rsidRPr="00357BC3">
        <w:rPr>
          <w:rStyle w:val="FootnoteReference"/>
        </w:rPr>
        <w:footnoteRef/>
      </w:r>
      <w:r w:rsidRPr="00357BC3">
        <w:t xml:space="preserve"> Auxiliary Microwave Service is governed by </w:t>
      </w:r>
      <w:r>
        <w:t>p</w:t>
      </w:r>
      <w:r w:rsidRPr="00357BC3">
        <w:t xml:space="preserve">art 74 of Title 47 of the Commission’s Rules.  </w:t>
      </w:r>
      <w:r w:rsidRPr="00357BC3">
        <w:rPr>
          <w:i/>
        </w:rPr>
        <w:t>See</w:t>
      </w:r>
      <w:r w:rsidRPr="00357BC3">
        <w:t xml:space="preserve"> 47 CFR </w:t>
      </w:r>
      <w:r>
        <w:t>p</w:t>
      </w:r>
      <w:r w:rsidRPr="00357BC3">
        <w:t>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169">
    <w:p w:rsidR="000E6BE4" w:rsidRPr="00F1203C" w:rsidP="000B1409" w14:paraId="44B79FCC" w14:textId="77777777">
      <w:pPr>
        <w:pStyle w:val="FootnoteText"/>
      </w:pPr>
      <w:r w:rsidRPr="00F1203C">
        <w:rPr>
          <w:rStyle w:val="FootnoteReference"/>
        </w:rPr>
        <w:footnoteRef/>
      </w:r>
      <w:r w:rsidRPr="00F1203C">
        <w:t xml:space="preserve"> </w:t>
      </w:r>
      <w:r w:rsidRPr="00F1203C">
        <w:rPr>
          <w:i/>
        </w:rPr>
        <w:t xml:space="preserve">See </w:t>
      </w:r>
      <w:r w:rsidRPr="00F1203C">
        <w:t xml:space="preserve">47 CFR </w:t>
      </w:r>
      <w:r>
        <w:t>p</w:t>
      </w:r>
      <w:r w:rsidRPr="00F1203C">
        <w:t>art 30</w:t>
      </w:r>
      <w:r w:rsidRPr="00F1203C">
        <w:rPr>
          <w:i/>
        </w:rPr>
        <w:t>.</w:t>
      </w:r>
    </w:p>
  </w:footnote>
  <w:footnote w:id="170">
    <w:p w:rsidR="000E6BE4" w:rsidRPr="00F1203C" w:rsidP="000B1409" w14:paraId="537A2236"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Q.</w:t>
      </w:r>
    </w:p>
  </w:footnote>
  <w:footnote w:id="171">
    <w:p w:rsidR="000E6BE4" w:rsidRPr="00F1203C" w:rsidP="000B1409" w14:paraId="0F7F47F0"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L.</w:t>
      </w:r>
    </w:p>
  </w:footnote>
  <w:footnote w:id="172">
    <w:p w:rsidR="000E6BE4" w:rsidRPr="00F1203C" w:rsidP="000B1409" w14:paraId="20F77F42" w14:textId="77777777">
      <w:pPr>
        <w:pStyle w:val="FootnoteText"/>
      </w:pPr>
      <w:r w:rsidRPr="00F1203C">
        <w:rPr>
          <w:rStyle w:val="FootnoteReference"/>
        </w:rPr>
        <w:footnoteRef/>
      </w:r>
      <w:r w:rsidRPr="00F1203C">
        <w:t xml:space="preserve"> </w:t>
      </w:r>
      <w:r w:rsidRPr="00F1203C">
        <w:rPr>
          <w:i/>
        </w:rPr>
        <w:t>See</w:t>
      </w:r>
      <w:r w:rsidRPr="00F1203C">
        <w:t xml:space="preserve"> 47 CFR </w:t>
      </w:r>
      <w:r>
        <w:t>p</w:t>
      </w:r>
      <w:r w:rsidRPr="00F1203C">
        <w:t xml:space="preserve">art 101, </w:t>
      </w:r>
      <w:r>
        <w:t>s</w:t>
      </w:r>
      <w:r w:rsidRPr="00F1203C">
        <w:t>ubpart G.</w:t>
      </w:r>
    </w:p>
  </w:footnote>
  <w:footnote w:id="173">
    <w:p w:rsidR="000E6BE4" w:rsidRPr="00F86A29" w:rsidP="000B1409" w14:paraId="51D9BBE0" w14:textId="77777777">
      <w:pPr>
        <w:pStyle w:val="FootnoteText"/>
      </w:pPr>
      <w:r w:rsidRPr="00F1203C">
        <w:rPr>
          <w:rStyle w:val="FootnoteReference"/>
        </w:rPr>
        <w:footnoteRef/>
      </w:r>
      <w:r w:rsidRPr="00F86A29">
        <w:t xml:space="preserve"> </w:t>
      </w:r>
      <w:r w:rsidRPr="00365182">
        <w:t>See</w:t>
      </w:r>
      <w:r w:rsidRPr="00F86A29">
        <w:t xml:space="preserve"> </w:t>
      </w:r>
      <w:r w:rsidRPr="00CE16D5">
        <w:rPr>
          <w:i/>
          <w:iCs/>
        </w:rPr>
        <w:t>id</w:t>
      </w:r>
      <w:r w:rsidRPr="00F86A29">
        <w:t>.</w:t>
      </w:r>
    </w:p>
  </w:footnote>
  <w:footnote w:id="174">
    <w:p w:rsidR="000E6BE4" w:rsidRPr="00F1203C" w:rsidP="000B1409" w14:paraId="2909635B"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175">
    <w:p w:rsidR="000E6BE4" w:rsidRPr="00F1203C" w:rsidP="000B1409" w14:paraId="683571DF"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176">
    <w:p w:rsidR="000E6BE4" w:rsidRPr="00F1203C" w:rsidP="000B1409" w14:paraId="655E73B7"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Pr>
          <w:bCs/>
        </w:rPr>
        <w:t>,</w:t>
      </w:r>
      <w:r w:rsidRPr="00F1203C">
        <w:rPr>
          <w:bCs/>
        </w:rPr>
        <w:t>”</w:t>
      </w:r>
      <w:r>
        <w:rPr>
          <w:bCs/>
        </w:rPr>
        <w:t xml:space="preserve"> </w:t>
      </w:r>
      <w:hyperlink r:id="rId8" w:history="1">
        <w:r w:rsidRPr="00240E60">
          <w:rPr>
            <w:rStyle w:val="Hyperlink"/>
          </w:rPr>
          <w:t>https://www.census.gov/naics/?input=517312&amp;year=2017&amp;details=517312</w:t>
        </w:r>
      </w:hyperlink>
      <w:r w:rsidRPr="00F1203C">
        <w:rPr>
          <w:rStyle w:val="Hyperlink"/>
        </w:rPr>
        <w:t>..</w:t>
      </w:r>
    </w:p>
  </w:footnote>
  <w:footnote w:id="177">
    <w:p w:rsidR="000E6BE4" w:rsidRPr="00F1203C" w:rsidP="000B1409" w14:paraId="738A2F69"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178">
    <w:p w:rsidR="000E6BE4" w:rsidRPr="00F1203C" w:rsidP="000B1409" w14:paraId="1749B99F"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xml:space="preserve">, Information: Subject Series, </w:t>
      </w:r>
      <w:r w:rsidRPr="00F1203C">
        <w:rPr>
          <w:i/>
          <w:iCs/>
        </w:rPr>
        <w:t>Estab</w:t>
      </w:r>
      <w:r w:rsidRPr="00F1203C">
        <w:rPr>
          <w:i/>
          <w:iCs/>
        </w:rPr>
        <w:t xml:space="preserve"> and Firm Size: Employment Size of Firms for the U.S.: 2012,</w:t>
      </w:r>
      <w:r w:rsidRPr="00F1203C">
        <w:t xml:space="preserve"> NAICS Code 517210,   </w:t>
      </w:r>
      <w:hyperlink r:id="rId9"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179">
    <w:p w:rsidR="000E6BE4" w:rsidRPr="00F1203C" w:rsidP="000B1409" w14:paraId="0262C096" w14:textId="7777777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180">
    <w:p w:rsidR="000E6BE4" w:rsidRPr="00C54A58" w:rsidP="000B1409" w14:paraId="2182FA55" w14:textId="77777777">
      <w:pPr>
        <w:pStyle w:val="FootnoteText"/>
      </w:pPr>
      <w:r w:rsidRPr="00B92464">
        <w:rPr>
          <w:rStyle w:val="FootnoteReference"/>
        </w:rPr>
        <w:footnoteRef/>
      </w:r>
      <w:r w:rsidRPr="00B92464">
        <w:t xml:space="preserve"> </w:t>
      </w:r>
      <w:r w:rsidRPr="00B92464">
        <w:rPr>
          <w:i/>
        </w:rPr>
        <w:t>See</w:t>
      </w:r>
      <w:r w:rsidRPr="00B92464">
        <w:t xml:space="preserve"> U.S. Census Bureau, </w:t>
      </w:r>
      <w:r w:rsidRPr="00B92464">
        <w:rPr>
          <w:i/>
          <w:iCs/>
        </w:rPr>
        <w:t>2017 NAICS Definition, “334290 Other Communications Equipment Manufacturing,</w:t>
      </w:r>
      <w:r w:rsidRPr="00B92464">
        <w:t xml:space="preserve">” </w:t>
      </w:r>
      <w:bookmarkStart w:id="74" w:name="_Hlk69910554"/>
      <w:hyperlink r:id="rId10" w:history="1">
        <w:r w:rsidRPr="00B92464">
          <w:rPr>
            <w:rStyle w:val="Hyperlink"/>
          </w:rPr>
          <w:t>https://www.census.gov/naics/?input=334290&amp;year=2017&amp;details=334290</w:t>
        </w:r>
        <w:bookmarkEnd w:id="74"/>
      </w:hyperlink>
      <w:r w:rsidRPr="00B92464">
        <w:t>.</w:t>
      </w:r>
    </w:p>
  </w:footnote>
  <w:footnote w:id="181">
    <w:p w:rsidR="000E6BE4" w:rsidRPr="00842769" w:rsidP="000B1409" w14:paraId="38CA5F6E" w14:textId="77777777">
      <w:pPr>
        <w:pStyle w:val="FootnoteText"/>
        <w:rPr>
          <w:i/>
        </w:rPr>
      </w:pPr>
      <w:r w:rsidRPr="00C54A58">
        <w:rPr>
          <w:rStyle w:val="FootnoteReference"/>
        </w:rPr>
        <w:footnoteRef/>
      </w:r>
      <w:r w:rsidRPr="00C54A58">
        <w:t xml:space="preserve"> </w:t>
      </w:r>
      <w:r w:rsidRPr="00C54A58">
        <w:rPr>
          <w:i/>
        </w:rPr>
        <w:t>Id.</w:t>
      </w:r>
    </w:p>
  </w:footnote>
  <w:footnote w:id="182">
    <w:p w:rsidR="000E6BE4" w:rsidRPr="00C54A58" w:rsidP="000B1409" w14:paraId="46BBD38E" w14:textId="77777777">
      <w:pPr>
        <w:pStyle w:val="FootnoteText"/>
      </w:pPr>
      <w:r w:rsidRPr="00C54A58">
        <w:rPr>
          <w:rStyle w:val="FootnoteReference"/>
        </w:rPr>
        <w:footnoteRef/>
      </w:r>
      <w:r w:rsidRPr="00C54A58">
        <w:t xml:space="preserve"> </w:t>
      </w:r>
      <w:r w:rsidRPr="002C6EA5">
        <w:rPr>
          <w:i/>
          <w:iCs/>
        </w:rPr>
        <w:t>See</w:t>
      </w:r>
      <w:r w:rsidRPr="00C54A58">
        <w:t xml:space="preserve"> 13 CFR 121.201, NAICS Code 334290.</w:t>
      </w:r>
    </w:p>
  </w:footnote>
  <w:footnote w:id="183">
    <w:p w:rsidR="000E6BE4" w:rsidRPr="0042320C" w:rsidP="000B1409" w14:paraId="2EAFCB33" w14:textId="77777777">
      <w:pPr>
        <w:pStyle w:val="FootnoteText"/>
      </w:pPr>
      <w:r w:rsidRPr="00C54A58">
        <w:rPr>
          <w:rStyle w:val="FootnoteReference"/>
        </w:rPr>
        <w:footnoteRef/>
      </w:r>
      <w:r w:rsidRPr="00C54A58">
        <w:t xml:space="preserve"> </w:t>
      </w:r>
      <w:r w:rsidRPr="002C6EA5">
        <w:rPr>
          <w:i/>
          <w:iCs/>
        </w:rPr>
        <w:t>See</w:t>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2C6EA5">
        <w:rPr>
          <w:i/>
          <w:iCs/>
        </w:rPr>
        <w:t>Manufacturing: Summary Series: General Summary: Industry Statistics for Subsectors and Industries by Employment Size</w:t>
      </w:r>
      <w:r w:rsidRPr="00C54A58">
        <w:t xml:space="preserve">: </w:t>
      </w:r>
      <w:r w:rsidRPr="002C6EA5">
        <w:rPr>
          <w:i/>
          <w:iCs/>
        </w:rPr>
        <w:t>2012</w:t>
      </w:r>
      <w:r w:rsidRPr="00C54A58">
        <w:t xml:space="preserve">, NAICS Code 334290, </w:t>
      </w:r>
      <w:hyperlink r:id="rId11" w:history="1">
        <w:r w:rsidRPr="0042320C">
          <w:rPr>
            <w:rStyle w:val="Hyperlink"/>
          </w:rPr>
          <w:t>https://data.census.gov/cedsci/table?text=EC1231SG2&amp;n=334290&amp;tid=ECNSIZE2012.EC1231SG2&amp;hidePreview=false&amp;vintage=2012</w:t>
        </w:r>
      </w:hyperlink>
      <w:r w:rsidRPr="0042320C">
        <w:t>.</w:t>
      </w:r>
    </w:p>
  </w:footnote>
  <w:footnote w:id="184">
    <w:p w:rsidR="000E6BE4" w:rsidRPr="00C54A58" w:rsidP="000B1409" w14:paraId="29132A7C" w14:textId="77777777">
      <w:pPr>
        <w:pStyle w:val="FootnoteText"/>
        <w:rPr>
          <w:i/>
        </w:rPr>
      </w:pPr>
      <w:r w:rsidRPr="00C54A58">
        <w:rPr>
          <w:rStyle w:val="FootnoteReference"/>
        </w:rPr>
        <w:footnoteRef/>
      </w:r>
      <w:r w:rsidRPr="00C54A58">
        <w:t xml:space="preserve"> </w:t>
      </w:r>
      <w:r w:rsidRPr="00C54A58">
        <w:rPr>
          <w:i/>
        </w:rPr>
        <w:t>Id.</w:t>
      </w:r>
      <w:r>
        <w:rPr>
          <w:i/>
        </w:rPr>
        <w:t xml:space="preserve">  </w:t>
      </w:r>
      <w:r w:rsidRPr="00BF52EA">
        <w:rPr>
          <w:iCs/>
        </w:rPr>
        <w:t>The available U.S. Census Bureau data does not provide a more precise estimate of the number of firms that meet the SBA size standard</w:t>
      </w:r>
      <w:r w:rsidRPr="00BF52EA">
        <w:rPr>
          <w:i/>
        </w:rPr>
        <w:t>.</w:t>
      </w:r>
    </w:p>
  </w:footnote>
  <w:footnote w:id="185">
    <w:p w:rsidR="000E6BE4" w:rsidP="000B1409" w14:paraId="5F51B169"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12" w:history="1">
        <w:r w:rsidRPr="0008684B">
          <w:rPr>
            <w:rStyle w:val="Hyperlink"/>
          </w:rPr>
          <w:t>https://www.census.gov/naics/?input=334220&amp;year=2017&amp;details=334220</w:t>
        </w:r>
      </w:hyperlink>
      <w:r>
        <w:t>.</w:t>
      </w:r>
    </w:p>
  </w:footnote>
  <w:footnote w:id="186">
    <w:p w:rsidR="000E6BE4" w:rsidP="000B1409" w14:paraId="5C0FE53B" w14:textId="77777777">
      <w:pPr>
        <w:pStyle w:val="FootnoteText"/>
      </w:pPr>
      <w:r>
        <w:rPr>
          <w:rStyle w:val="FootnoteReference"/>
        </w:rPr>
        <w:footnoteRef/>
      </w:r>
      <w:r>
        <w:t xml:space="preserve"> </w:t>
      </w:r>
      <w:r w:rsidRPr="008259FA">
        <w:rPr>
          <w:i/>
        </w:rPr>
        <w:t>Id</w:t>
      </w:r>
      <w:r>
        <w:t>.</w:t>
      </w:r>
    </w:p>
  </w:footnote>
  <w:footnote w:id="187">
    <w:p w:rsidR="000E6BE4" w:rsidP="000B1409" w14:paraId="68D9EB56"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88">
    <w:p w:rsidR="000E6BE4" w:rsidP="000B1409" w14:paraId="0B263975"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13" w:history="1">
        <w:r>
          <w:rPr>
            <w:rStyle w:val="Hyperlink"/>
          </w:rPr>
          <w:t>https://data.census.gov/cedsci/table?text=EC1231SG2&amp;n=334220&amp;tid=ECNSIZE2012.EC1231SG2&amp;hidePreview=false</w:t>
        </w:r>
      </w:hyperlink>
      <w:r>
        <w:rPr>
          <w:rStyle w:val="Hyperlink"/>
        </w:rPr>
        <w:t>.</w:t>
      </w:r>
    </w:p>
  </w:footnote>
  <w:footnote w:id="189">
    <w:p w:rsidR="000E6BE4" w:rsidRPr="006B076E" w:rsidP="000B1409" w14:paraId="5476F09B"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p w:rsidR="000E6BE4" w:rsidP="000B1409" w14:paraId="71F93F80" w14:textId="77777777">
      <w:pPr>
        <w:pStyle w:val="FootnoteText"/>
      </w:pPr>
    </w:p>
  </w:footnote>
  <w:footnote w:id="190">
    <w:p w:rsidR="000E6BE4" w:rsidP="000B1409" w14:paraId="0205FF80" w14:textId="55D555E9">
      <w:pPr>
        <w:pStyle w:val="FootnoteText"/>
      </w:pPr>
      <w:r w:rsidRPr="0077194E">
        <w:rPr>
          <w:rStyle w:val="FootnoteReference"/>
        </w:rPr>
        <w:footnoteRef/>
      </w:r>
      <w:r>
        <w:t xml:space="preserve"> 5 U.S.C. § 603(c)(1)-</w:t>
      </w:r>
      <w:r w:rsidRPr="0077194E">
        <w:t>(4)</w:t>
      </w:r>
      <w:r>
        <w:rPr>
          <w:sz w:val="15"/>
          <w:szCs w:val="15"/>
        </w:rPr>
        <w:t>.</w:t>
      </w:r>
    </w:p>
  </w:footnote>
  <w:footnote w:id="191">
    <w:p w:rsidR="000E6BE4" w:rsidP="000B1409" w14:paraId="3B27777D" w14:textId="77777777">
      <w:pPr>
        <w:pStyle w:val="FootnoteText"/>
      </w:pPr>
      <w:r>
        <w:rPr>
          <w:rStyle w:val="FootnoteReference"/>
        </w:rPr>
        <w:footnoteRef/>
      </w:r>
      <w:r>
        <w:t xml:space="preserve"> </w:t>
      </w:r>
      <w:r w:rsidRPr="00754200">
        <w:rPr>
          <w:i/>
        </w:rPr>
        <w:t>See</w:t>
      </w:r>
      <w:r w:rsidRPr="00D45A7C">
        <w:t xml:space="preserve"> 5 U.S.C. § 801(a)(1)(A).</w:t>
      </w:r>
    </w:p>
  </w:footnote>
  <w:footnote w:id="192">
    <w:p w:rsidR="000E6BE4" w:rsidP="000B1409" w14:paraId="741FD3C5" w14:textId="77777777">
      <w:pPr>
        <w:pStyle w:val="FootnoteText"/>
        <w:spacing w:after="0"/>
      </w:pPr>
      <w:r>
        <w:rPr>
          <w:rStyle w:val="FootnoteReference"/>
        </w:rPr>
        <w:footnoteRef/>
      </w:r>
      <w:r>
        <w:t xml:space="preserve"> </w:t>
      </w:r>
      <w:r>
        <w:rPr>
          <w:i/>
        </w:rPr>
        <w:t>See</w:t>
      </w:r>
      <w:r>
        <w:t xml:space="preserve"> 5 U.S.C. § 604(b).</w:t>
      </w:r>
    </w:p>
  </w:footnote>
  <w:footnote w:id="193">
    <w:p w:rsidR="00AE76BF" w:rsidRPr="00C32E10" w:rsidP="00AE76BF" w14:paraId="19DC309E" w14:textId="77777777">
      <w:pPr>
        <w:pStyle w:val="FootnoteText"/>
      </w:pPr>
      <w:r w:rsidRPr="00C32E10">
        <w:rPr>
          <w:rStyle w:val="FootnoteReference"/>
        </w:rPr>
        <w:footnoteRef/>
      </w:r>
      <w:r w:rsidRPr="00C32E10">
        <w:t xml:space="preserve"> </w:t>
      </w:r>
      <w:r w:rsidRPr="00C32E10">
        <w:rPr>
          <w:color w:val="000000"/>
        </w:rPr>
        <w:t>Statista Research</w:t>
      </w:r>
      <w:r>
        <w:rPr>
          <w:color w:val="000000"/>
        </w:rPr>
        <w:t xml:space="preserve"> </w:t>
      </w:r>
      <w:r w:rsidRPr="00C32E10">
        <w:rPr>
          <w:color w:val="000000"/>
        </w:rPr>
        <w:t xml:space="preserve">Department, </w:t>
      </w:r>
      <w:r w:rsidRPr="319C9258">
        <w:rPr>
          <w:i/>
          <w:iCs/>
          <w:color w:val="000000"/>
        </w:rPr>
        <w:t>Kickstarter: total amount of funding pledged 2012-2020</w:t>
      </w:r>
      <w:r>
        <w:rPr>
          <w:color w:val="000000"/>
        </w:rPr>
        <w:t xml:space="preserve"> </w:t>
      </w:r>
      <w:r w:rsidRPr="00C32E10">
        <w:rPr>
          <w:color w:val="000000"/>
        </w:rPr>
        <w:t>(Jan 11,2021),</w:t>
      </w:r>
      <w:r>
        <w:rPr>
          <w:color w:val="000000"/>
        </w:rPr>
        <w:t xml:space="preserve"> </w:t>
      </w:r>
      <w:hyperlink r:id="rId14" w:history="1">
        <w:r w:rsidRPr="003532E1">
          <w:rPr>
            <w:rStyle w:val="Hyperlink"/>
          </w:rPr>
          <w:t>https://www.statista.com/statistics/310218/total-kickstarter-funding/</w:t>
        </w:r>
      </w:hyperlink>
      <w:r w:rsidRPr="00C32E10">
        <w:rPr>
          <w:color w:val="000000"/>
        </w:rPr>
        <w:t>.</w:t>
      </w:r>
      <w:r>
        <w:rPr>
          <w:color w:val="000000"/>
        </w:rPr>
        <w:t xml:space="preserve"> </w:t>
      </w:r>
    </w:p>
  </w:footnote>
  <w:footnote w:id="194">
    <w:p w:rsidR="00AE76BF" w:rsidP="00AE76BF" w14:paraId="2F41EE66" w14:textId="77777777">
      <w:pPr>
        <w:pStyle w:val="FootnoteText"/>
      </w:pPr>
      <w:r w:rsidRPr="00C32E10">
        <w:rPr>
          <w:rStyle w:val="FootnoteReference"/>
        </w:rPr>
        <w:footnoteRef/>
      </w:r>
      <w:r>
        <w:t xml:space="preserve"> </w:t>
      </w:r>
      <w:r>
        <w:rPr>
          <w:i/>
          <w:iCs/>
          <w:color w:val="000000"/>
        </w:rPr>
        <w:t xml:space="preserve">See </w:t>
      </w:r>
      <w:r w:rsidRPr="00295821">
        <w:rPr>
          <w:color w:val="000000"/>
        </w:rPr>
        <w:t xml:space="preserve">Tracey Lien, </w:t>
      </w:r>
      <w:r w:rsidRPr="007B0415">
        <w:rPr>
          <w:i/>
          <w:iCs/>
          <w:color w:val="000000"/>
        </w:rPr>
        <w:t>Pebble smartwatch maker calls it quits, proving that being first doesn’t guarantee success</w:t>
      </w:r>
      <w:r>
        <w:rPr>
          <w:color w:val="000000"/>
        </w:rPr>
        <w:t xml:space="preserve"> </w:t>
      </w:r>
      <w:r w:rsidRPr="00295821">
        <w:rPr>
          <w:color w:val="000000"/>
        </w:rPr>
        <w:t>(Dec. 7, 2016),</w:t>
      </w:r>
      <w:r>
        <w:rPr>
          <w:color w:val="000000"/>
        </w:rPr>
        <w:t xml:space="preserve"> </w:t>
      </w:r>
      <w:hyperlink r:id="rId15" w:history="1">
        <w:r w:rsidRPr="003532E1">
          <w:rPr>
            <w:rStyle w:val="Hyperlink"/>
          </w:rPr>
          <w:t>https://www.latimes.com/business/technology/la-fi-tn-pebble-shut-down-20161207-story.html</w:t>
        </w:r>
      </w:hyperlink>
      <w:r>
        <w:rPr>
          <w:color w:val="000000"/>
        </w:rPr>
        <w:t>;</w:t>
      </w:r>
      <w:r w:rsidRPr="00295821">
        <w:rPr>
          <w:color w:val="000000"/>
        </w:rPr>
        <w:t xml:space="preserve"> Lisa </w:t>
      </w:r>
      <w:r w:rsidRPr="00295821">
        <w:rPr>
          <w:color w:val="000000"/>
        </w:rPr>
        <w:t>Eadicicco</w:t>
      </w:r>
      <w:r w:rsidRPr="00295821">
        <w:rPr>
          <w:color w:val="000000"/>
          <w:u w:val="single"/>
        </w:rPr>
        <w:t>,</w:t>
      </w:r>
      <w:r w:rsidRPr="009D123E">
        <w:rPr>
          <w:i/>
          <w:iCs/>
          <w:color w:val="000000"/>
        </w:rPr>
        <w:t xml:space="preserve"> Facebook’s Latest $2 Billion Purchase All Started with This Kickstarter Campaign</w:t>
      </w:r>
      <w:r>
        <w:rPr>
          <w:color w:val="000000"/>
        </w:rPr>
        <w:t xml:space="preserve"> </w:t>
      </w:r>
      <w:r w:rsidRPr="00295821">
        <w:rPr>
          <w:color w:val="000000"/>
        </w:rPr>
        <w:t xml:space="preserve"> (Mar. 25, 2014),</w:t>
      </w:r>
      <w:r>
        <w:rPr>
          <w:color w:val="000000"/>
        </w:rPr>
        <w:t xml:space="preserve"> </w:t>
      </w:r>
      <w:hyperlink r:id="rId16" w:history="1">
        <w:r w:rsidRPr="003532E1">
          <w:rPr>
            <w:rStyle w:val="Hyperlink"/>
          </w:rPr>
          <w:t>https://www.businessinsider.com/oculus-rift-kickstarter-2014-3</w:t>
        </w:r>
      </w:hyperlink>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rsidRPr="00995DE1" w:rsidP="008941D9" w14:paraId="27E3F90A" w14:textId="0439884B">
    <w:pPr>
      <w:pStyle w:val="Header"/>
    </w:pPr>
    <w:r>
      <w:tab/>
    </w:r>
    <w:r w:rsidRPr="00995DE1">
      <w:t>Federal Communications</w:t>
    </w:r>
    <w:r>
      <w:t xml:space="preserve"> Commission</w:t>
    </w:r>
    <w:r>
      <w:tab/>
      <w:t>FCC 21-72</w:t>
    </w:r>
  </w:p>
  <w:p w:rsidR="000E6BE4" w:rsidRPr="00995DE1" w:rsidP="008941D9" w14:paraId="6FD5B717" w14:textId="250AE2A0">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3"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0E6BE4" w:rsidP="008941D9" w14:paraId="74DDF1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rsidRPr="00995DE1" w:rsidP="008941D9" w14:paraId="23195AC7" w14:textId="2E2E4ED5">
    <w:pPr>
      <w:pStyle w:val="Header"/>
    </w:pPr>
    <w:r>
      <w:tab/>
    </w:r>
    <w:r w:rsidRPr="00995DE1">
      <w:t>Federal Communications</w:t>
    </w:r>
    <w:r>
      <w:t xml:space="preserve"> Commission</w:t>
    </w:r>
    <w:r>
      <w:tab/>
      <w:t>FCC 21-72</w:t>
    </w:r>
  </w:p>
  <w:p w:rsidR="000E6BE4" w:rsidRPr="00995DE1" w:rsidP="008941D9" w14:paraId="1EBC57D7" w14:textId="61A3D874">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4"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p w:rsidR="000E6BE4" w:rsidRPr="001C5363" w:rsidP="008941D9" w14:paraId="3A829AE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rsidP="00810B6F" w14:paraId="558ECC97" w14:textId="419313F3">
    <w:pPr>
      <w:pStyle w:val="Header"/>
      <w:rPr>
        <w:b w:val="0"/>
      </w:rPr>
    </w:pPr>
    <w:r>
      <w:tab/>
      <w:t>Federal Communications Commission</w:t>
    </w:r>
    <w:r>
      <w:tab/>
      <w:t>FCC 21-72</w:t>
    </w:r>
  </w:p>
  <w:p w:rsidR="000E6BE4" w14:paraId="624BA6A8" w14:textId="76CB75FD">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0E6BE4" w14:paraId="0B4557C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E4" w:rsidP="00810B6F" w14:paraId="734DD7F4" w14:textId="73ABA2DB">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lvlOverride w:ilvl="0">
      <w:startOverride w:val="1"/>
    </w:lvlOverride>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B2"/>
    <w:rsid w:val="00001047"/>
    <w:rsid w:val="0000355E"/>
    <w:rsid w:val="0000509B"/>
    <w:rsid w:val="00006C26"/>
    <w:rsid w:val="0001076A"/>
    <w:rsid w:val="00012127"/>
    <w:rsid w:val="000146C9"/>
    <w:rsid w:val="00014917"/>
    <w:rsid w:val="00014F7F"/>
    <w:rsid w:val="00015003"/>
    <w:rsid w:val="00021041"/>
    <w:rsid w:val="00021BBD"/>
    <w:rsid w:val="00025775"/>
    <w:rsid w:val="000304F4"/>
    <w:rsid w:val="00032C8E"/>
    <w:rsid w:val="00032CE7"/>
    <w:rsid w:val="0003384F"/>
    <w:rsid w:val="00033EDB"/>
    <w:rsid w:val="00035006"/>
    <w:rsid w:val="000350FC"/>
    <w:rsid w:val="00036039"/>
    <w:rsid w:val="00036731"/>
    <w:rsid w:val="00037F90"/>
    <w:rsid w:val="000412EF"/>
    <w:rsid w:val="00042309"/>
    <w:rsid w:val="00043A86"/>
    <w:rsid w:val="00051AA4"/>
    <w:rsid w:val="00055411"/>
    <w:rsid w:val="00061A65"/>
    <w:rsid w:val="00061AF6"/>
    <w:rsid w:val="000623B1"/>
    <w:rsid w:val="0006243B"/>
    <w:rsid w:val="00067C21"/>
    <w:rsid w:val="0007103D"/>
    <w:rsid w:val="000715BD"/>
    <w:rsid w:val="0007316D"/>
    <w:rsid w:val="000751C5"/>
    <w:rsid w:val="00076FBF"/>
    <w:rsid w:val="00081DBF"/>
    <w:rsid w:val="00082750"/>
    <w:rsid w:val="000839B3"/>
    <w:rsid w:val="00083F0C"/>
    <w:rsid w:val="00084CED"/>
    <w:rsid w:val="00085694"/>
    <w:rsid w:val="00085952"/>
    <w:rsid w:val="0008684B"/>
    <w:rsid w:val="00086EB0"/>
    <w:rsid w:val="000875BF"/>
    <w:rsid w:val="000876E2"/>
    <w:rsid w:val="00087D40"/>
    <w:rsid w:val="00095EF1"/>
    <w:rsid w:val="00096D8C"/>
    <w:rsid w:val="000A1679"/>
    <w:rsid w:val="000A7A9D"/>
    <w:rsid w:val="000B0099"/>
    <w:rsid w:val="000B086F"/>
    <w:rsid w:val="000B0AF1"/>
    <w:rsid w:val="000B1409"/>
    <w:rsid w:val="000B1596"/>
    <w:rsid w:val="000B2AF1"/>
    <w:rsid w:val="000B3A4E"/>
    <w:rsid w:val="000B3F16"/>
    <w:rsid w:val="000B48CA"/>
    <w:rsid w:val="000B62AF"/>
    <w:rsid w:val="000C0B65"/>
    <w:rsid w:val="000C25CB"/>
    <w:rsid w:val="000C67FE"/>
    <w:rsid w:val="000C69E6"/>
    <w:rsid w:val="000C6FD8"/>
    <w:rsid w:val="000C7E1E"/>
    <w:rsid w:val="000D2FD9"/>
    <w:rsid w:val="000D4907"/>
    <w:rsid w:val="000D68FE"/>
    <w:rsid w:val="000D73AD"/>
    <w:rsid w:val="000E05FE"/>
    <w:rsid w:val="000E1894"/>
    <w:rsid w:val="000E3D42"/>
    <w:rsid w:val="000E6BE4"/>
    <w:rsid w:val="00100841"/>
    <w:rsid w:val="00101D52"/>
    <w:rsid w:val="00103C04"/>
    <w:rsid w:val="00103DEE"/>
    <w:rsid w:val="00104E3F"/>
    <w:rsid w:val="001050FF"/>
    <w:rsid w:val="0010516F"/>
    <w:rsid w:val="00106183"/>
    <w:rsid w:val="00111891"/>
    <w:rsid w:val="00112AD5"/>
    <w:rsid w:val="00112DB2"/>
    <w:rsid w:val="00112E32"/>
    <w:rsid w:val="00113158"/>
    <w:rsid w:val="00115199"/>
    <w:rsid w:val="001153B5"/>
    <w:rsid w:val="00115814"/>
    <w:rsid w:val="0011784D"/>
    <w:rsid w:val="00122BD5"/>
    <w:rsid w:val="00125E0A"/>
    <w:rsid w:val="0012797E"/>
    <w:rsid w:val="00133F79"/>
    <w:rsid w:val="00136D52"/>
    <w:rsid w:val="0014188C"/>
    <w:rsid w:val="00142D07"/>
    <w:rsid w:val="0014342D"/>
    <w:rsid w:val="001450CA"/>
    <w:rsid w:val="00150883"/>
    <w:rsid w:val="00151210"/>
    <w:rsid w:val="001539B5"/>
    <w:rsid w:val="001572C5"/>
    <w:rsid w:val="001575EB"/>
    <w:rsid w:val="00161864"/>
    <w:rsid w:val="00162332"/>
    <w:rsid w:val="0016248A"/>
    <w:rsid w:val="0016293A"/>
    <w:rsid w:val="00166CD2"/>
    <w:rsid w:val="00170CAD"/>
    <w:rsid w:val="00171D61"/>
    <w:rsid w:val="00171F32"/>
    <w:rsid w:val="001726AC"/>
    <w:rsid w:val="001748DF"/>
    <w:rsid w:val="00174F05"/>
    <w:rsid w:val="001764BB"/>
    <w:rsid w:val="001766FA"/>
    <w:rsid w:val="00180673"/>
    <w:rsid w:val="00181DAF"/>
    <w:rsid w:val="00182E75"/>
    <w:rsid w:val="0018598A"/>
    <w:rsid w:val="00185EB6"/>
    <w:rsid w:val="00190535"/>
    <w:rsid w:val="00192C13"/>
    <w:rsid w:val="00193C37"/>
    <w:rsid w:val="001941F8"/>
    <w:rsid w:val="00194492"/>
    <w:rsid w:val="00194A66"/>
    <w:rsid w:val="001A5775"/>
    <w:rsid w:val="001A634E"/>
    <w:rsid w:val="001A678D"/>
    <w:rsid w:val="001A6E6D"/>
    <w:rsid w:val="001B4526"/>
    <w:rsid w:val="001B45D7"/>
    <w:rsid w:val="001B5A0A"/>
    <w:rsid w:val="001B5DD6"/>
    <w:rsid w:val="001B69F1"/>
    <w:rsid w:val="001B70B7"/>
    <w:rsid w:val="001B7C87"/>
    <w:rsid w:val="001C0E31"/>
    <w:rsid w:val="001C271F"/>
    <w:rsid w:val="001C3045"/>
    <w:rsid w:val="001C5363"/>
    <w:rsid w:val="001C6710"/>
    <w:rsid w:val="001C68FC"/>
    <w:rsid w:val="001C7DE8"/>
    <w:rsid w:val="001C7FE2"/>
    <w:rsid w:val="001D6BCF"/>
    <w:rsid w:val="001D7DEB"/>
    <w:rsid w:val="001E0095"/>
    <w:rsid w:val="001E01CA"/>
    <w:rsid w:val="001E144B"/>
    <w:rsid w:val="001E4C83"/>
    <w:rsid w:val="001E7A4B"/>
    <w:rsid w:val="001F2B90"/>
    <w:rsid w:val="001F2BC3"/>
    <w:rsid w:val="0020013E"/>
    <w:rsid w:val="002019F3"/>
    <w:rsid w:val="00204343"/>
    <w:rsid w:val="00206037"/>
    <w:rsid w:val="00206149"/>
    <w:rsid w:val="00206D4D"/>
    <w:rsid w:val="002073E3"/>
    <w:rsid w:val="002134D3"/>
    <w:rsid w:val="002154CA"/>
    <w:rsid w:val="00215DF9"/>
    <w:rsid w:val="002164DC"/>
    <w:rsid w:val="0022052D"/>
    <w:rsid w:val="00220C3E"/>
    <w:rsid w:val="00223544"/>
    <w:rsid w:val="0022639B"/>
    <w:rsid w:val="00230572"/>
    <w:rsid w:val="00231DAF"/>
    <w:rsid w:val="002327BE"/>
    <w:rsid w:val="00233975"/>
    <w:rsid w:val="002353E2"/>
    <w:rsid w:val="00236169"/>
    <w:rsid w:val="00236557"/>
    <w:rsid w:val="00240E60"/>
    <w:rsid w:val="00241269"/>
    <w:rsid w:val="002465D9"/>
    <w:rsid w:val="0024693E"/>
    <w:rsid w:val="002476B6"/>
    <w:rsid w:val="002501DF"/>
    <w:rsid w:val="002513AC"/>
    <w:rsid w:val="00251D58"/>
    <w:rsid w:val="00252239"/>
    <w:rsid w:val="002539DD"/>
    <w:rsid w:val="00254C29"/>
    <w:rsid w:val="00255C0C"/>
    <w:rsid w:val="00255FB2"/>
    <w:rsid w:val="00257AEB"/>
    <w:rsid w:val="0026261A"/>
    <w:rsid w:val="00270A97"/>
    <w:rsid w:val="00273DD6"/>
    <w:rsid w:val="00274022"/>
    <w:rsid w:val="00275CF5"/>
    <w:rsid w:val="00276F93"/>
    <w:rsid w:val="00280968"/>
    <w:rsid w:val="002809B1"/>
    <w:rsid w:val="0028301F"/>
    <w:rsid w:val="00284225"/>
    <w:rsid w:val="00285017"/>
    <w:rsid w:val="002863A9"/>
    <w:rsid w:val="00286A3C"/>
    <w:rsid w:val="002904E0"/>
    <w:rsid w:val="00291E2B"/>
    <w:rsid w:val="0029357B"/>
    <w:rsid w:val="002937FE"/>
    <w:rsid w:val="00293CCD"/>
    <w:rsid w:val="00295821"/>
    <w:rsid w:val="00295BC3"/>
    <w:rsid w:val="00296F48"/>
    <w:rsid w:val="002A2D2E"/>
    <w:rsid w:val="002B0339"/>
    <w:rsid w:val="002B4202"/>
    <w:rsid w:val="002B4C2B"/>
    <w:rsid w:val="002B6E78"/>
    <w:rsid w:val="002C00E8"/>
    <w:rsid w:val="002C14B8"/>
    <w:rsid w:val="002C347D"/>
    <w:rsid w:val="002C58D2"/>
    <w:rsid w:val="002C64FF"/>
    <w:rsid w:val="002C6EA5"/>
    <w:rsid w:val="002C766A"/>
    <w:rsid w:val="002C79DA"/>
    <w:rsid w:val="002D0BB6"/>
    <w:rsid w:val="002D124A"/>
    <w:rsid w:val="002D1E1E"/>
    <w:rsid w:val="002D1F1C"/>
    <w:rsid w:val="002E0FBB"/>
    <w:rsid w:val="002E157C"/>
    <w:rsid w:val="002E1BCA"/>
    <w:rsid w:val="002E1FA9"/>
    <w:rsid w:val="002E2185"/>
    <w:rsid w:val="002E2303"/>
    <w:rsid w:val="002E416C"/>
    <w:rsid w:val="002E57D8"/>
    <w:rsid w:val="002E5BD2"/>
    <w:rsid w:val="002E73A8"/>
    <w:rsid w:val="002E7B2B"/>
    <w:rsid w:val="002F017F"/>
    <w:rsid w:val="002F36F5"/>
    <w:rsid w:val="002F4709"/>
    <w:rsid w:val="002F5129"/>
    <w:rsid w:val="0030547F"/>
    <w:rsid w:val="00306BE4"/>
    <w:rsid w:val="00311739"/>
    <w:rsid w:val="00311FF6"/>
    <w:rsid w:val="0031498F"/>
    <w:rsid w:val="00315EFE"/>
    <w:rsid w:val="003233DC"/>
    <w:rsid w:val="003233E6"/>
    <w:rsid w:val="00324AEA"/>
    <w:rsid w:val="00325E71"/>
    <w:rsid w:val="0032664F"/>
    <w:rsid w:val="00333358"/>
    <w:rsid w:val="00334297"/>
    <w:rsid w:val="0033762D"/>
    <w:rsid w:val="00343749"/>
    <w:rsid w:val="00344422"/>
    <w:rsid w:val="0034507B"/>
    <w:rsid w:val="00351ABD"/>
    <w:rsid w:val="00352DAA"/>
    <w:rsid w:val="00353008"/>
    <w:rsid w:val="003532E1"/>
    <w:rsid w:val="003550DE"/>
    <w:rsid w:val="00356BF0"/>
    <w:rsid w:val="00357BC3"/>
    <w:rsid w:val="003606D0"/>
    <w:rsid w:val="00360E33"/>
    <w:rsid w:val="00363480"/>
    <w:rsid w:val="00364754"/>
    <w:rsid w:val="00364F61"/>
    <w:rsid w:val="00365182"/>
    <w:rsid w:val="003658E8"/>
    <w:rsid w:val="003660ED"/>
    <w:rsid w:val="00373529"/>
    <w:rsid w:val="003740CE"/>
    <w:rsid w:val="0037665C"/>
    <w:rsid w:val="00376CB9"/>
    <w:rsid w:val="00377EDA"/>
    <w:rsid w:val="00380073"/>
    <w:rsid w:val="00380580"/>
    <w:rsid w:val="00380F98"/>
    <w:rsid w:val="00381B16"/>
    <w:rsid w:val="00384047"/>
    <w:rsid w:val="003858B6"/>
    <w:rsid w:val="0038620D"/>
    <w:rsid w:val="00390214"/>
    <w:rsid w:val="0039292B"/>
    <w:rsid w:val="003932CB"/>
    <w:rsid w:val="003959D7"/>
    <w:rsid w:val="00397637"/>
    <w:rsid w:val="003A006A"/>
    <w:rsid w:val="003A036D"/>
    <w:rsid w:val="003A0CB1"/>
    <w:rsid w:val="003A10F7"/>
    <w:rsid w:val="003A193A"/>
    <w:rsid w:val="003A2A5E"/>
    <w:rsid w:val="003A5F22"/>
    <w:rsid w:val="003A6603"/>
    <w:rsid w:val="003B0550"/>
    <w:rsid w:val="003B0627"/>
    <w:rsid w:val="003B0704"/>
    <w:rsid w:val="003B180D"/>
    <w:rsid w:val="003B3556"/>
    <w:rsid w:val="003B36E4"/>
    <w:rsid w:val="003B44B5"/>
    <w:rsid w:val="003B694F"/>
    <w:rsid w:val="003B7A3F"/>
    <w:rsid w:val="003C0BC8"/>
    <w:rsid w:val="003C1610"/>
    <w:rsid w:val="003C49FF"/>
    <w:rsid w:val="003D14C1"/>
    <w:rsid w:val="003D316F"/>
    <w:rsid w:val="003D3BB8"/>
    <w:rsid w:val="003D51E9"/>
    <w:rsid w:val="003D66CA"/>
    <w:rsid w:val="003E101C"/>
    <w:rsid w:val="003E188E"/>
    <w:rsid w:val="003E2B48"/>
    <w:rsid w:val="003E3258"/>
    <w:rsid w:val="003E43B0"/>
    <w:rsid w:val="003E5F64"/>
    <w:rsid w:val="003E6F96"/>
    <w:rsid w:val="003E7B78"/>
    <w:rsid w:val="003F13B3"/>
    <w:rsid w:val="003F171C"/>
    <w:rsid w:val="003F1D6A"/>
    <w:rsid w:val="003F3BA5"/>
    <w:rsid w:val="003F7E2A"/>
    <w:rsid w:val="004002C2"/>
    <w:rsid w:val="004010F9"/>
    <w:rsid w:val="00402E3C"/>
    <w:rsid w:val="0040404F"/>
    <w:rsid w:val="00407324"/>
    <w:rsid w:val="00407BBD"/>
    <w:rsid w:val="00407D40"/>
    <w:rsid w:val="00410939"/>
    <w:rsid w:val="00411336"/>
    <w:rsid w:val="00411D38"/>
    <w:rsid w:val="00412FC5"/>
    <w:rsid w:val="00413640"/>
    <w:rsid w:val="00415420"/>
    <w:rsid w:val="00415CE0"/>
    <w:rsid w:val="0041622E"/>
    <w:rsid w:val="00420567"/>
    <w:rsid w:val="00421FA4"/>
    <w:rsid w:val="00422276"/>
    <w:rsid w:val="004226B2"/>
    <w:rsid w:val="0042320C"/>
    <w:rsid w:val="00423455"/>
    <w:rsid w:val="00423CBB"/>
    <w:rsid w:val="004241DD"/>
    <w:rsid w:val="004242F1"/>
    <w:rsid w:val="00424D5F"/>
    <w:rsid w:val="0042512B"/>
    <w:rsid w:val="00426B5C"/>
    <w:rsid w:val="004274C6"/>
    <w:rsid w:val="00432B9A"/>
    <w:rsid w:val="004341FF"/>
    <w:rsid w:val="00441DC3"/>
    <w:rsid w:val="00442A8D"/>
    <w:rsid w:val="00443CB1"/>
    <w:rsid w:val="00445A00"/>
    <w:rsid w:val="00445FDC"/>
    <w:rsid w:val="00446CAC"/>
    <w:rsid w:val="004474C6"/>
    <w:rsid w:val="00451B0F"/>
    <w:rsid w:val="00452C04"/>
    <w:rsid w:val="00453831"/>
    <w:rsid w:val="00453851"/>
    <w:rsid w:val="0045460A"/>
    <w:rsid w:val="00454A31"/>
    <w:rsid w:val="0045533F"/>
    <w:rsid w:val="004558BB"/>
    <w:rsid w:val="00456CF6"/>
    <w:rsid w:val="004602D5"/>
    <w:rsid w:val="0046072A"/>
    <w:rsid w:val="0046293A"/>
    <w:rsid w:val="004633B0"/>
    <w:rsid w:val="004673B9"/>
    <w:rsid w:val="00471CCC"/>
    <w:rsid w:val="004724D3"/>
    <w:rsid w:val="00474E82"/>
    <w:rsid w:val="0047656F"/>
    <w:rsid w:val="004769EB"/>
    <w:rsid w:val="00477600"/>
    <w:rsid w:val="00477E4B"/>
    <w:rsid w:val="00480253"/>
    <w:rsid w:val="00481736"/>
    <w:rsid w:val="00481B61"/>
    <w:rsid w:val="00490874"/>
    <w:rsid w:val="0049338D"/>
    <w:rsid w:val="00494446"/>
    <w:rsid w:val="00495F27"/>
    <w:rsid w:val="0049617E"/>
    <w:rsid w:val="004A060D"/>
    <w:rsid w:val="004A204D"/>
    <w:rsid w:val="004A73BB"/>
    <w:rsid w:val="004A79C5"/>
    <w:rsid w:val="004B1F20"/>
    <w:rsid w:val="004B41CD"/>
    <w:rsid w:val="004B42F0"/>
    <w:rsid w:val="004B4FA0"/>
    <w:rsid w:val="004B5FBE"/>
    <w:rsid w:val="004B669C"/>
    <w:rsid w:val="004C2EE3"/>
    <w:rsid w:val="004C3ACC"/>
    <w:rsid w:val="004C60FE"/>
    <w:rsid w:val="004C6281"/>
    <w:rsid w:val="004D4E2C"/>
    <w:rsid w:val="004D5B4B"/>
    <w:rsid w:val="004D76A7"/>
    <w:rsid w:val="004E068C"/>
    <w:rsid w:val="004E06B8"/>
    <w:rsid w:val="004E2182"/>
    <w:rsid w:val="004E3A99"/>
    <w:rsid w:val="004E4A22"/>
    <w:rsid w:val="004E5A72"/>
    <w:rsid w:val="004E651D"/>
    <w:rsid w:val="004F0C71"/>
    <w:rsid w:val="004F1B93"/>
    <w:rsid w:val="004F2FD2"/>
    <w:rsid w:val="004F3938"/>
    <w:rsid w:val="004F62E4"/>
    <w:rsid w:val="004F63D1"/>
    <w:rsid w:val="005004B1"/>
    <w:rsid w:val="005010F9"/>
    <w:rsid w:val="00501A1C"/>
    <w:rsid w:val="00501EB7"/>
    <w:rsid w:val="00504C97"/>
    <w:rsid w:val="00511968"/>
    <w:rsid w:val="00511AB5"/>
    <w:rsid w:val="00513573"/>
    <w:rsid w:val="0051361A"/>
    <w:rsid w:val="00513C1B"/>
    <w:rsid w:val="005158DA"/>
    <w:rsid w:val="00516054"/>
    <w:rsid w:val="00517B7A"/>
    <w:rsid w:val="00523F13"/>
    <w:rsid w:val="005249A3"/>
    <w:rsid w:val="00525EAB"/>
    <w:rsid w:val="00526832"/>
    <w:rsid w:val="00527457"/>
    <w:rsid w:val="005279A5"/>
    <w:rsid w:val="0053140B"/>
    <w:rsid w:val="0053187A"/>
    <w:rsid w:val="00534061"/>
    <w:rsid w:val="00536270"/>
    <w:rsid w:val="00537AAA"/>
    <w:rsid w:val="005400D8"/>
    <w:rsid w:val="00542A12"/>
    <w:rsid w:val="00547A2E"/>
    <w:rsid w:val="00550800"/>
    <w:rsid w:val="00552F1E"/>
    <w:rsid w:val="005535B3"/>
    <w:rsid w:val="0055614C"/>
    <w:rsid w:val="00556464"/>
    <w:rsid w:val="005618C4"/>
    <w:rsid w:val="00561D68"/>
    <w:rsid w:val="00564056"/>
    <w:rsid w:val="005650A9"/>
    <w:rsid w:val="00566464"/>
    <w:rsid w:val="00566558"/>
    <w:rsid w:val="00566D06"/>
    <w:rsid w:val="005743EC"/>
    <w:rsid w:val="00584956"/>
    <w:rsid w:val="00587639"/>
    <w:rsid w:val="005913AA"/>
    <w:rsid w:val="005925C8"/>
    <w:rsid w:val="0059359B"/>
    <w:rsid w:val="00596BE3"/>
    <w:rsid w:val="005A13B0"/>
    <w:rsid w:val="005A2AD1"/>
    <w:rsid w:val="005A6F65"/>
    <w:rsid w:val="005B0CFB"/>
    <w:rsid w:val="005B1FF5"/>
    <w:rsid w:val="005B247F"/>
    <w:rsid w:val="005C0ABD"/>
    <w:rsid w:val="005C145C"/>
    <w:rsid w:val="005C1490"/>
    <w:rsid w:val="005C3185"/>
    <w:rsid w:val="005C46FE"/>
    <w:rsid w:val="005C7B54"/>
    <w:rsid w:val="005D2B3C"/>
    <w:rsid w:val="005D2EEA"/>
    <w:rsid w:val="005D4B29"/>
    <w:rsid w:val="005D6A68"/>
    <w:rsid w:val="005E14C2"/>
    <w:rsid w:val="005E5133"/>
    <w:rsid w:val="005E7B4C"/>
    <w:rsid w:val="005F606C"/>
    <w:rsid w:val="00600BB5"/>
    <w:rsid w:val="00604243"/>
    <w:rsid w:val="006054C1"/>
    <w:rsid w:val="0060717C"/>
    <w:rsid w:val="00607BA5"/>
    <w:rsid w:val="00610243"/>
    <w:rsid w:val="0061180A"/>
    <w:rsid w:val="00612837"/>
    <w:rsid w:val="00613387"/>
    <w:rsid w:val="00615486"/>
    <w:rsid w:val="00616C2B"/>
    <w:rsid w:val="006203C0"/>
    <w:rsid w:val="00621788"/>
    <w:rsid w:val="00621E7B"/>
    <w:rsid w:val="00624BD6"/>
    <w:rsid w:val="00626EB6"/>
    <w:rsid w:val="00627A4A"/>
    <w:rsid w:val="00630461"/>
    <w:rsid w:val="00637594"/>
    <w:rsid w:val="00640127"/>
    <w:rsid w:val="00641EC5"/>
    <w:rsid w:val="006420BB"/>
    <w:rsid w:val="0064248C"/>
    <w:rsid w:val="006451CD"/>
    <w:rsid w:val="0064703B"/>
    <w:rsid w:val="00647070"/>
    <w:rsid w:val="00647B49"/>
    <w:rsid w:val="00647E6D"/>
    <w:rsid w:val="0065055E"/>
    <w:rsid w:val="006528BB"/>
    <w:rsid w:val="00655D03"/>
    <w:rsid w:val="00657DC3"/>
    <w:rsid w:val="006622A7"/>
    <w:rsid w:val="00663370"/>
    <w:rsid w:val="00666FB5"/>
    <w:rsid w:val="006673E4"/>
    <w:rsid w:val="006712F3"/>
    <w:rsid w:val="00671569"/>
    <w:rsid w:val="0067230E"/>
    <w:rsid w:val="00672950"/>
    <w:rsid w:val="00673452"/>
    <w:rsid w:val="006753EE"/>
    <w:rsid w:val="0067543D"/>
    <w:rsid w:val="00676C78"/>
    <w:rsid w:val="00680119"/>
    <w:rsid w:val="006816AF"/>
    <w:rsid w:val="00681FF5"/>
    <w:rsid w:val="00683388"/>
    <w:rsid w:val="006835BA"/>
    <w:rsid w:val="00683F84"/>
    <w:rsid w:val="006857B3"/>
    <w:rsid w:val="006868BA"/>
    <w:rsid w:val="00686D2E"/>
    <w:rsid w:val="00686F22"/>
    <w:rsid w:val="0068737E"/>
    <w:rsid w:val="0069787D"/>
    <w:rsid w:val="006A24BA"/>
    <w:rsid w:val="006A281D"/>
    <w:rsid w:val="006A626B"/>
    <w:rsid w:val="006A6A81"/>
    <w:rsid w:val="006A6BB6"/>
    <w:rsid w:val="006A749C"/>
    <w:rsid w:val="006A7B5B"/>
    <w:rsid w:val="006B076E"/>
    <w:rsid w:val="006B10B9"/>
    <w:rsid w:val="006B1D5E"/>
    <w:rsid w:val="006B21EA"/>
    <w:rsid w:val="006B3C16"/>
    <w:rsid w:val="006B4368"/>
    <w:rsid w:val="006B7E69"/>
    <w:rsid w:val="006C397A"/>
    <w:rsid w:val="006C6922"/>
    <w:rsid w:val="006C7625"/>
    <w:rsid w:val="006D0C3A"/>
    <w:rsid w:val="006D446E"/>
    <w:rsid w:val="006D63B2"/>
    <w:rsid w:val="006D651F"/>
    <w:rsid w:val="006D6826"/>
    <w:rsid w:val="006D7E1E"/>
    <w:rsid w:val="006E059F"/>
    <w:rsid w:val="006E37FD"/>
    <w:rsid w:val="006E386D"/>
    <w:rsid w:val="006E3A8F"/>
    <w:rsid w:val="006E4BC5"/>
    <w:rsid w:val="006E724B"/>
    <w:rsid w:val="006F01D6"/>
    <w:rsid w:val="006F02E6"/>
    <w:rsid w:val="006F2603"/>
    <w:rsid w:val="006F59B3"/>
    <w:rsid w:val="006F7393"/>
    <w:rsid w:val="006F754A"/>
    <w:rsid w:val="00700D0F"/>
    <w:rsid w:val="00701368"/>
    <w:rsid w:val="0070224F"/>
    <w:rsid w:val="0070425A"/>
    <w:rsid w:val="00704F16"/>
    <w:rsid w:val="00707391"/>
    <w:rsid w:val="00707A68"/>
    <w:rsid w:val="00710504"/>
    <w:rsid w:val="007115F7"/>
    <w:rsid w:val="0071281F"/>
    <w:rsid w:val="007215FD"/>
    <w:rsid w:val="00730256"/>
    <w:rsid w:val="00731D11"/>
    <w:rsid w:val="00732A64"/>
    <w:rsid w:val="007332B4"/>
    <w:rsid w:val="00737D63"/>
    <w:rsid w:val="007523B5"/>
    <w:rsid w:val="00754200"/>
    <w:rsid w:val="00766F33"/>
    <w:rsid w:val="007713D0"/>
    <w:rsid w:val="0077194E"/>
    <w:rsid w:val="00773A62"/>
    <w:rsid w:val="00773AAD"/>
    <w:rsid w:val="00776890"/>
    <w:rsid w:val="007801E2"/>
    <w:rsid w:val="00781805"/>
    <w:rsid w:val="00781D2D"/>
    <w:rsid w:val="00783F56"/>
    <w:rsid w:val="00784615"/>
    <w:rsid w:val="00785689"/>
    <w:rsid w:val="007917BC"/>
    <w:rsid w:val="0079344A"/>
    <w:rsid w:val="00793E94"/>
    <w:rsid w:val="0079503B"/>
    <w:rsid w:val="00795584"/>
    <w:rsid w:val="007967E4"/>
    <w:rsid w:val="0079754B"/>
    <w:rsid w:val="007A1E6D"/>
    <w:rsid w:val="007A26ED"/>
    <w:rsid w:val="007A55CB"/>
    <w:rsid w:val="007A5E11"/>
    <w:rsid w:val="007A7DB8"/>
    <w:rsid w:val="007B0415"/>
    <w:rsid w:val="007B090E"/>
    <w:rsid w:val="007B0EB2"/>
    <w:rsid w:val="007B3E3F"/>
    <w:rsid w:val="007B3F6A"/>
    <w:rsid w:val="007B60A8"/>
    <w:rsid w:val="007B6C81"/>
    <w:rsid w:val="007B732D"/>
    <w:rsid w:val="007B7A06"/>
    <w:rsid w:val="007C103A"/>
    <w:rsid w:val="007C1135"/>
    <w:rsid w:val="007C62AF"/>
    <w:rsid w:val="007D02E3"/>
    <w:rsid w:val="007D2C7F"/>
    <w:rsid w:val="007D337A"/>
    <w:rsid w:val="007D5E61"/>
    <w:rsid w:val="007D67E9"/>
    <w:rsid w:val="007D7D4E"/>
    <w:rsid w:val="007E0681"/>
    <w:rsid w:val="007E2571"/>
    <w:rsid w:val="007E2D96"/>
    <w:rsid w:val="007E2E67"/>
    <w:rsid w:val="007E49C2"/>
    <w:rsid w:val="007E7D36"/>
    <w:rsid w:val="007F4B85"/>
    <w:rsid w:val="007F509D"/>
    <w:rsid w:val="007F5316"/>
    <w:rsid w:val="007F7B6A"/>
    <w:rsid w:val="0080065B"/>
    <w:rsid w:val="0080152E"/>
    <w:rsid w:val="00801F7D"/>
    <w:rsid w:val="0080260B"/>
    <w:rsid w:val="00805832"/>
    <w:rsid w:val="00805F3A"/>
    <w:rsid w:val="00810B6F"/>
    <w:rsid w:val="00814367"/>
    <w:rsid w:val="0081468F"/>
    <w:rsid w:val="00814FAA"/>
    <w:rsid w:val="008167A4"/>
    <w:rsid w:val="00822CE0"/>
    <w:rsid w:val="008259FA"/>
    <w:rsid w:val="00835F0C"/>
    <w:rsid w:val="008377B9"/>
    <w:rsid w:val="00837C94"/>
    <w:rsid w:val="00841AB1"/>
    <w:rsid w:val="00842769"/>
    <w:rsid w:val="008433C6"/>
    <w:rsid w:val="00843F87"/>
    <w:rsid w:val="00844404"/>
    <w:rsid w:val="0084525E"/>
    <w:rsid w:val="00847811"/>
    <w:rsid w:val="008522C0"/>
    <w:rsid w:val="0085274F"/>
    <w:rsid w:val="00853B21"/>
    <w:rsid w:val="00853FC8"/>
    <w:rsid w:val="008575A4"/>
    <w:rsid w:val="0086096A"/>
    <w:rsid w:val="00860C3E"/>
    <w:rsid w:val="00861F67"/>
    <w:rsid w:val="00863707"/>
    <w:rsid w:val="008640AD"/>
    <w:rsid w:val="00864923"/>
    <w:rsid w:val="0086605D"/>
    <w:rsid w:val="00866C3D"/>
    <w:rsid w:val="008673D6"/>
    <w:rsid w:val="00870981"/>
    <w:rsid w:val="008712F8"/>
    <w:rsid w:val="00875D95"/>
    <w:rsid w:val="00876653"/>
    <w:rsid w:val="00876F2B"/>
    <w:rsid w:val="00880524"/>
    <w:rsid w:val="00880654"/>
    <w:rsid w:val="00883FD0"/>
    <w:rsid w:val="00884D53"/>
    <w:rsid w:val="00885439"/>
    <w:rsid w:val="00886067"/>
    <w:rsid w:val="0088630C"/>
    <w:rsid w:val="00886DA7"/>
    <w:rsid w:val="008876BD"/>
    <w:rsid w:val="00890DDC"/>
    <w:rsid w:val="00893296"/>
    <w:rsid w:val="00893B82"/>
    <w:rsid w:val="008941D9"/>
    <w:rsid w:val="00895D4D"/>
    <w:rsid w:val="008A263C"/>
    <w:rsid w:val="008B150A"/>
    <w:rsid w:val="008B4E63"/>
    <w:rsid w:val="008C0C97"/>
    <w:rsid w:val="008C36E9"/>
    <w:rsid w:val="008C5871"/>
    <w:rsid w:val="008C61D7"/>
    <w:rsid w:val="008C67F9"/>
    <w:rsid w:val="008C68F1"/>
    <w:rsid w:val="008C7F89"/>
    <w:rsid w:val="008D2173"/>
    <w:rsid w:val="008D230A"/>
    <w:rsid w:val="008D2C21"/>
    <w:rsid w:val="008D58EF"/>
    <w:rsid w:val="008D7D4A"/>
    <w:rsid w:val="008E0F28"/>
    <w:rsid w:val="008E134A"/>
    <w:rsid w:val="008E1482"/>
    <w:rsid w:val="008E3F93"/>
    <w:rsid w:val="008F091D"/>
    <w:rsid w:val="008F2D7C"/>
    <w:rsid w:val="008F4846"/>
    <w:rsid w:val="008F485C"/>
    <w:rsid w:val="008F58D6"/>
    <w:rsid w:val="008F65FE"/>
    <w:rsid w:val="008F7927"/>
    <w:rsid w:val="009010C2"/>
    <w:rsid w:val="009066CE"/>
    <w:rsid w:val="009072A0"/>
    <w:rsid w:val="00910BAC"/>
    <w:rsid w:val="0091141C"/>
    <w:rsid w:val="0091294C"/>
    <w:rsid w:val="00912A94"/>
    <w:rsid w:val="00913612"/>
    <w:rsid w:val="00915243"/>
    <w:rsid w:val="00915880"/>
    <w:rsid w:val="00915AD1"/>
    <w:rsid w:val="009205FF"/>
    <w:rsid w:val="009207B5"/>
    <w:rsid w:val="00920B55"/>
    <w:rsid w:val="00921400"/>
    <w:rsid w:val="00921650"/>
    <w:rsid w:val="00921803"/>
    <w:rsid w:val="009260CF"/>
    <w:rsid w:val="00926503"/>
    <w:rsid w:val="00926A42"/>
    <w:rsid w:val="009308D7"/>
    <w:rsid w:val="00931EB2"/>
    <w:rsid w:val="009333B6"/>
    <w:rsid w:val="00933539"/>
    <w:rsid w:val="009345A7"/>
    <w:rsid w:val="00935358"/>
    <w:rsid w:val="00935CEF"/>
    <w:rsid w:val="009373E5"/>
    <w:rsid w:val="00940023"/>
    <w:rsid w:val="00942231"/>
    <w:rsid w:val="00943020"/>
    <w:rsid w:val="009437DF"/>
    <w:rsid w:val="00943D15"/>
    <w:rsid w:val="009453A5"/>
    <w:rsid w:val="009458D5"/>
    <w:rsid w:val="009464CE"/>
    <w:rsid w:val="00946ECE"/>
    <w:rsid w:val="009507F2"/>
    <w:rsid w:val="00952E5F"/>
    <w:rsid w:val="0095338A"/>
    <w:rsid w:val="0095506F"/>
    <w:rsid w:val="00960F56"/>
    <w:rsid w:val="00960F93"/>
    <w:rsid w:val="00964A99"/>
    <w:rsid w:val="009650D7"/>
    <w:rsid w:val="00965119"/>
    <w:rsid w:val="00967AD8"/>
    <w:rsid w:val="009726D8"/>
    <w:rsid w:val="00972AA1"/>
    <w:rsid w:val="0097485D"/>
    <w:rsid w:val="009752CF"/>
    <w:rsid w:val="00975A9E"/>
    <w:rsid w:val="009836FD"/>
    <w:rsid w:val="00983CE2"/>
    <w:rsid w:val="0098779A"/>
    <w:rsid w:val="00990451"/>
    <w:rsid w:val="00991A7E"/>
    <w:rsid w:val="00993724"/>
    <w:rsid w:val="00995207"/>
    <w:rsid w:val="009952C9"/>
    <w:rsid w:val="00995DE1"/>
    <w:rsid w:val="009967B2"/>
    <w:rsid w:val="009A102E"/>
    <w:rsid w:val="009A13A7"/>
    <w:rsid w:val="009A1B16"/>
    <w:rsid w:val="009A260D"/>
    <w:rsid w:val="009A2916"/>
    <w:rsid w:val="009A5DFE"/>
    <w:rsid w:val="009A70E1"/>
    <w:rsid w:val="009B0BF2"/>
    <w:rsid w:val="009B2D6F"/>
    <w:rsid w:val="009B40FE"/>
    <w:rsid w:val="009B411B"/>
    <w:rsid w:val="009B68A3"/>
    <w:rsid w:val="009C604C"/>
    <w:rsid w:val="009C7B09"/>
    <w:rsid w:val="009C7B73"/>
    <w:rsid w:val="009D1013"/>
    <w:rsid w:val="009D123E"/>
    <w:rsid w:val="009D22A7"/>
    <w:rsid w:val="009D319C"/>
    <w:rsid w:val="009D449C"/>
    <w:rsid w:val="009D4A23"/>
    <w:rsid w:val="009D7308"/>
    <w:rsid w:val="009E01BC"/>
    <w:rsid w:val="009E0CF2"/>
    <w:rsid w:val="009E1A9E"/>
    <w:rsid w:val="009E37C1"/>
    <w:rsid w:val="009E5B6D"/>
    <w:rsid w:val="009E605E"/>
    <w:rsid w:val="009E66E2"/>
    <w:rsid w:val="009F0839"/>
    <w:rsid w:val="009F0D8B"/>
    <w:rsid w:val="009F1B4A"/>
    <w:rsid w:val="009F31AE"/>
    <w:rsid w:val="009F48BF"/>
    <w:rsid w:val="009F6464"/>
    <w:rsid w:val="009F76DB"/>
    <w:rsid w:val="00A00E1E"/>
    <w:rsid w:val="00A01586"/>
    <w:rsid w:val="00A0249E"/>
    <w:rsid w:val="00A02F3B"/>
    <w:rsid w:val="00A06D99"/>
    <w:rsid w:val="00A10FD5"/>
    <w:rsid w:val="00A123CD"/>
    <w:rsid w:val="00A12A68"/>
    <w:rsid w:val="00A147BB"/>
    <w:rsid w:val="00A15243"/>
    <w:rsid w:val="00A1659E"/>
    <w:rsid w:val="00A20DBC"/>
    <w:rsid w:val="00A25953"/>
    <w:rsid w:val="00A317FB"/>
    <w:rsid w:val="00A3292A"/>
    <w:rsid w:val="00A32C3B"/>
    <w:rsid w:val="00A33DB0"/>
    <w:rsid w:val="00A35AF7"/>
    <w:rsid w:val="00A366BB"/>
    <w:rsid w:val="00A37A25"/>
    <w:rsid w:val="00A40DC1"/>
    <w:rsid w:val="00A417E2"/>
    <w:rsid w:val="00A42AEF"/>
    <w:rsid w:val="00A43B36"/>
    <w:rsid w:val="00A44FCE"/>
    <w:rsid w:val="00A45E0A"/>
    <w:rsid w:val="00A45F4F"/>
    <w:rsid w:val="00A46E70"/>
    <w:rsid w:val="00A47DA6"/>
    <w:rsid w:val="00A51EC3"/>
    <w:rsid w:val="00A531AF"/>
    <w:rsid w:val="00A54450"/>
    <w:rsid w:val="00A54E88"/>
    <w:rsid w:val="00A55B33"/>
    <w:rsid w:val="00A56B73"/>
    <w:rsid w:val="00A600A9"/>
    <w:rsid w:val="00A62E73"/>
    <w:rsid w:val="00A66472"/>
    <w:rsid w:val="00A66E58"/>
    <w:rsid w:val="00A7254D"/>
    <w:rsid w:val="00A72579"/>
    <w:rsid w:val="00A73C9F"/>
    <w:rsid w:val="00A83041"/>
    <w:rsid w:val="00A833B3"/>
    <w:rsid w:val="00A856B9"/>
    <w:rsid w:val="00A8575F"/>
    <w:rsid w:val="00A87326"/>
    <w:rsid w:val="00A87458"/>
    <w:rsid w:val="00A90B56"/>
    <w:rsid w:val="00A92A41"/>
    <w:rsid w:val="00AA3733"/>
    <w:rsid w:val="00AA55B7"/>
    <w:rsid w:val="00AA5B9E"/>
    <w:rsid w:val="00AA627D"/>
    <w:rsid w:val="00AA7259"/>
    <w:rsid w:val="00AA7969"/>
    <w:rsid w:val="00AB1E97"/>
    <w:rsid w:val="00AB2407"/>
    <w:rsid w:val="00AB2887"/>
    <w:rsid w:val="00AB34D2"/>
    <w:rsid w:val="00AB415A"/>
    <w:rsid w:val="00AB440B"/>
    <w:rsid w:val="00AB4CE2"/>
    <w:rsid w:val="00AB53DF"/>
    <w:rsid w:val="00AB5E75"/>
    <w:rsid w:val="00AB7A4F"/>
    <w:rsid w:val="00AC045C"/>
    <w:rsid w:val="00AC5C23"/>
    <w:rsid w:val="00AD591F"/>
    <w:rsid w:val="00AD60BC"/>
    <w:rsid w:val="00AE32CF"/>
    <w:rsid w:val="00AE4AF2"/>
    <w:rsid w:val="00AE76BF"/>
    <w:rsid w:val="00AE7C5B"/>
    <w:rsid w:val="00AE7D3D"/>
    <w:rsid w:val="00AF2992"/>
    <w:rsid w:val="00B03AB7"/>
    <w:rsid w:val="00B07E5C"/>
    <w:rsid w:val="00B13B95"/>
    <w:rsid w:val="00B13D61"/>
    <w:rsid w:val="00B168C5"/>
    <w:rsid w:val="00B17EAC"/>
    <w:rsid w:val="00B21FED"/>
    <w:rsid w:val="00B22C45"/>
    <w:rsid w:val="00B23278"/>
    <w:rsid w:val="00B23761"/>
    <w:rsid w:val="00B23CB7"/>
    <w:rsid w:val="00B2446F"/>
    <w:rsid w:val="00B24655"/>
    <w:rsid w:val="00B26283"/>
    <w:rsid w:val="00B27713"/>
    <w:rsid w:val="00B320F8"/>
    <w:rsid w:val="00B32896"/>
    <w:rsid w:val="00B3319E"/>
    <w:rsid w:val="00B3368B"/>
    <w:rsid w:val="00B33C5A"/>
    <w:rsid w:val="00B34FEE"/>
    <w:rsid w:val="00B4063B"/>
    <w:rsid w:val="00B42CA9"/>
    <w:rsid w:val="00B43E9F"/>
    <w:rsid w:val="00B44A28"/>
    <w:rsid w:val="00B472D6"/>
    <w:rsid w:val="00B500D1"/>
    <w:rsid w:val="00B509CB"/>
    <w:rsid w:val="00B53972"/>
    <w:rsid w:val="00B54F4F"/>
    <w:rsid w:val="00B61A03"/>
    <w:rsid w:val="00B621F7"/>
    <w:rsid w:val="00B63ECD"/>
    <w:rsid w:val="00B64081"/>
    <w:rsid w:val="00B64CC6"/>
    <w:rsid w:val="00B65F29"/>
    <w:rsid w:val="00B6610C"/>
    <w:rsid w:val="00B667E6"/>
    <w:rsid w:val="00B679D9"/>
    <w:rsid w:val="00B725BB"/>
    <w:rsid w:val="00B811F7"/>
    <w:rsid w:val="00B81441"/>
    <w:rsid w:val="00B84448"/>
    <w:rsid w:val="00B84733"/>
    <w:rsid w:val="00B850DB"/>
    <w:rsid w:val="00B8570F"/>
    <w:rsid w:val="00B90104"/>
    <w:rsid w:val="00B91980"/>
    <w:rsid w:val="00B91D81"/>
    <w:rsid w:val="00B92464"/>
    <w:rsid w:val="00B92C9D"/>
    <w:rsid w:val="00B936F1"/>
    <w:rsid w:val="00B9626A"/>
    <w:rsid w:val="00BA1823"/>
    <w:rsid w:val="00BA31A2"/>
    <w:rsid w:val="00BA5DC6"/>
    <w:rsid w:val="00BA6196"/>
    <w:rsid w:val="00BA6D47"/>
    <w:rsid w:val="00BA72FC"/>
    <w:rsid w:val="00BB38C2"/>
    <w:rsid w:val="00BB79BF"/>
    <w:rsid w:val="00BB7F34"/>
    <w:rsid w:val="00BC0807"/>
    <w:rsid w:val="00BC084A"/>
    <w:rsid w:val="00BC1EDC"/>
    <w:rsid w:val="00BC6A1D"/>
    <w:rsid w:val="00BC6D8C"/>
    <w:rsid w:val="00BD1059"/>
    <w:rsid w:val="00BD1EE2"/>
    <w:rsid w:val="00BD538A"/>
    <w:rsid w:val="00BD6F8C"/>
    <w:rsid w:val="00BE0188"/>
    <w:rsid w:val="00BE088F"/>
    <w:rsid w:val="00BF0268"/>
    <w:rsid w:val="00BF52EA"/>
    <w:rsid w:val="00BF563E"/>
    <w:rsid w:val="00BF69A2"/>
    <w:rsid w:val="00BF6AF5"/>
    <w:rsid w:val="00BF6E96"/>
    <w:rsid w:val="00BF7E39"/>
    <w:rsid w:val="00C007D8"/>
    <w:rsid w:val="00C007F1"/>
    <w:rsid w:val="00C00B97"/>
    <w:rsid w:val="00C034FB"/>
    <w:rsid w:val="00C03965"/>
    <w:rsid w:val="00C041A5"/>
    <w:rsid w:val="00C127EF"/>
    <w:rsid w:val="00C2050A"/>
    <w:rsid w:val="00C20CA8"/>
    <w:rsid w:val="00C23AE2"/>
    <w:rsid w:val="00C24E5C"/>
    <w:rsid w:val="00C265A9"/>
    <w:rsid w:val="00C266A0"/>
    <w:rsid w:val="00C26E8B"/>
    <w:rsid w:val="00C27518"/>
    <w:rsid w:val="00C27FA6"/>
    <w:rsid w:val="00C32E10"/>
    <w:rsid w:val="00C32F67"/>
    <w:rsid w:val="00C34006"/>
    <w:rsid w:val="00C36B4C"/>
    <w:rsid w:val="00C37A9E"/>
    <w:rsid w:val="00C409DA"/>
    <w:rsid w:val="00C40A3F"/>
    <w:rsid w:val="00C40E77"/>
    <w:rsid w:val="00C421F1"/>
    <w:rsid w:val="00C426B1"/>
    <w:rsid w:val="00C43706"/>
    <w:rsid w:val="00C4394C"/>
    <w:rsid w:val="00C43F7F"/>
    <w:rsid w:val="00C47139"/>
    <w:rsid w:val="00C47816"/>
    <w:rsid w:val="00C516F0"/>
    <w:rsid w:val="00C51825"/>
    <w:rsid w:val="00C52A57"/>
    <w:rsid w:val="00C52CCA"/>
    <w:rsid w:val="00C53A02"/>
    <w:rsid w:val="00C541D2"/>
    <w:rsid w:val="00C54A58"/>
    <w:rsid w:val="00C54A9F"/>
    <w:rsid w:val="00C550CB"/>
    <w:rsid w:val="00C551DC"/>
    <w:rsid w:val="00C55828"/>
    <w:rsid w:val="00C55AA0"/>
    <w:rsid w:val="00C56057"/>
    <w:rsid w:val="00C57608"/>
    <w:rsid w:val="00C57AFE"/>
    <w:rsid w:val="00C63F80"/>
    <w:rsid w:val="00C64F31"/>
    <w:rsid w:val="00C66160"/>
    <w:rsid w:val="00C6678F"/>
    <w:rsid w:val="00C66EEA"/>
    <w:rsid w:val="00C710B8"/>
    <w:rsid w:val="00C715FF"/>
    <w:rsid w:val="00C721AC"/>
    <w:rsid w:val="00C75EEF"/>
    <w:rsid w:val="00C77437"/>
    <w:rsid w:val="00C77F12"/>
    <w:rsid w:val="00C805B0"/>
    <w:rsid w:val="00C8566B"/>
    <w:rsid w:val="00C86821"/>
    <w:rsid w:val="00C871F2"/>
    <w:rsid w:val="00C90852"/>
    <w:rsid w:val="00C90AC0"/>
    <w:rsid w:val="00C90D6A"/>
    <w:rsid w:val="00C9137F"/>
    <w:rsid w:val="00C9153A"/>
    <w:rsid w:val="00C916E8"/>
    <w:rsid w:val="00C921F7"/>
    <w:rsid w:val="00C925B4"/>
    <w:rsid w:val="00C94A5D"/>
    <w:rsid w:val="00CA247E"/>
    <w:rsid w:val="00CA33DF"/>
    <w:rsid w:val="00CA4954"/>
    <w:rsid w:val="00CA6D21"/>
    <w:rsid w:val="00CB0EFE"/>
    <w:rsid w:val="00CB1132"/>
    <w:rsid w:val="00CB30A8"/>
    <w:rsid w:val="00CB4C92"/>
    <w:rsid w:val="00CB586E"/>
    <w:rsid w:val="00CB7BDE"/>
    <w:rsid w:val="00CC16AA"/>
    <w:rsid w:val="00CC2064"/>
    <w:rsid w:val="00CC256A"/>
    <w:rsid w:val="00CC2B5D"/>
    <w:rsid w:val="00CC2C87"/>
    <w:rsid w:val="00CC444F"/>
    <w:rsid w:val="00CC7276"/>
    <w:rsid w:val="00CC72B6"/>
    <w:rsid w:val="00CC7743"/>
    <w:rsid w:val="00CD0365"/>
    <w:rsid w:val="00CD08B7"/>
    <w:rsid w:val="00CD0B6D"/>
    <w:rsid w:val="00CD437C"/>
    <w:rsid w:val="00CD5325"/>
    <w:rsid w:val="00CE16D5"/>
    <w:rsid w:val="00CE2E41"/>
    <w:rsid w:val="00CE4B86"/>
    <w:rsid w:val="00CE6AF3"/>
    <w:rsid w:val="00CF2FE3"/>
    <w:rsid w:val="00CF3353"/>
    <w:rsid w:val="00CF55D8"/>
    <w:rsid w:val="00D0218D"/>
    <w:rsid w:val="00D03855"/>
    <w:rsid w:val="00D03992"/>
    <w:rsid w:val="00D04054"/>
    <w:rsid w:val="00D0493F"/>
    <w:rsid w:val="00D053EA"/>
    <w:rsid w:val="00D05718"/>
    <w:rsid w:val="00D10FA4"/>
    <w:rsid w:val="00D17889"/>
    <w:rsid w:val="00D2132B"/>
    <w:rsid w:val="00D213CC"/>
    <w:rsid w:val="00D25FB5"/>
    <w:rsid w:val="00D262E5"/>
    <w:rsid w:val="00D2715B"/>
    <w:rsid w:val="00D274CA"/>
    <w:rsid w:val="00D31200"/>
    <w:rsid w:val="00D33024"/>
    <w:rsid w:val="00D34626"/>
    <w:rsid w:val="00D36E21"/>
    <w:rsid w:val="00D426F5"/>
    <w:rsid w:val="00D44156"/>
    <w:rsid w:val="00D44223"/>
    <w:rsid w:val="00D44CE4"/>
    <w:rsid w:val="00D45A7C"/>
    <w:rsid w:val="00D50025"/>
    <w:rsid w:val="00D514A8"/>
    <w:rsid w:val="00D51836"/>
    <w:rsid w:val="00D52507"/>
    <w:rsid w:val="00D564A6"/>
    <w:rsid w:val="00D5695D"/>
    <w:rsid w:val="00D57740"/>
    <w:rsid w:val="00D6084B"/>
    <w:rsid w:val="00D60B5B"/>
    <w:rsid w:val="00D61B60"/>
    <w:rsid w:val="00D633C6"/>
    <w:rsid w:val="00D6400D"/>
    <w:rsid w:val="00D6426E"/>
    <w:rsid w:val="00D645B0"/>
    <w:rsid w:val="00D64E23"/>
    <w:rsid w:val="00D66C52"/>
    <w:rsid w:val="00D71F25"/>
    <w:rsid w:val="00D7212A"/>
    <w:rsid w:val="00D72321"/>
    <w:rsid w:val="00D77280"/>
    <w:rsid w:val="00D803DE"/>
    <w:rsid w:val="00D806DB"/>
    <w:rsid w:val="00D80DAF"/>
    <w:rsid w:val="00D85F13"/>
    <w:rsid w:val="00D861AF"/>
    <w:rsid w:val="00D91470"/>
    <w:rsid w:val="00D9362E"/>
    <w:rsid w:val="00D94B19"/>
    <w:rsid w:val="00DA0F2A"/>
    <w:rsid w:val="00DA16FC"/>
    <w:rsid w:val="00DA22CC"/>
    <w:rsid w:val="00DA23DB"/>
    <w:rsid w:val="00DA2529"/>
    <w:rsid w:val="00DA2A00"/>
    <w:rsid w:val="00DA4D05"/>
    <w:rsid w:val="00DA6B26"/>
    <w:rsid w:val="00DB025B"/>
    <w:rsid w:val="00DB130A"/>
    <w:rsid w:val="00DB17C4"/>
    <w:rsid w:val="00DB251B"/>
    <w:rsid w:val="00DB2EBB"/>
    <w:rsid w:val="00DB3735"/>
    <w:rsid w:val="00DB5069"/>
    <w:rsid w:val="00DB5A37"/>
    <w:rsid w:val="00DC0FB3"/>
    <w:rsid w:val="00DC10A1"/>
    <w:rsid w:val="00DC59BF"/>
    <w:rsid w:val="00DC655F"/>
    <w:rsid w:val="00DD0B59"/>
    <w:rsid w:val="00DD26D5"/>
    <w:rsid w:val="00DD28CC"/>
    <w:rsid w:val="00DD48E4"/>
    <w:rsid w:val="00DD6184"/>
    <w:rsid w:val="00DD7EBD"/>
    <w:rsid w:val="00DF05AE"/>
    <w:rsid w:val="00DF2654"/>
    <w:rsid w:val="00DF45FF"/>
    <w:rsid w:val="00DF62B6"/>
    <w:rsid w:val="00E0180B"/>
    <w:rsid w:val="00E0371C"/>
    <w:rsid w:val="00E05F57"/>
    <w:rsid w:val="00E07225"/>
    <w:rsid w:val="00E15847"/>
    <w:rsid w:val="00E16ACC"/>
    <w:rsid w:val="00E203FA"/>
    <w:rsid w:val="00E21B1E"/>
    <w:rsid w:val="00E226F2"/>
    <w:rsid w:val="00E237F0"/>
    <w:rsid w:val="00E23BD1"/>
    <w:rsid w:val="00E26F99"/>
    <w:rsid w:val="00E2771B"/>
    <w:rsid w:val="00E2779B"/>
    <w:rsid w:val="00E307E0"/>
    <w:rsid w:val="00E30F68"/>
    <w:rsid w:val="00E31689"/>
    <w:rsid w:val="00E327BD"/>
    <w:rsid w:val="00E35C63"/>
    <w:rsid w:val="00E36DAF"/>
    <w:rsid w:val="00E4260E"/>
    <w:rsid w:val="00E42A20"/>
    <w:rsid w:val="00E436A7"/>
    <w:rsid w:val="00E45920"/>
    <w:rsid w:val="00E50F41"/>
    <w:rsid w:val="00E51532"/>
    <w:rsid w:val="00E5409F"/>
    <w:rsid w:val="00E6087E"/>
    <w:rsid w:val="00E61CE3"/>
    <w:rsid w:val="00E62492"/>
    <w:rsid w:val="00E629A3"/>
    <w:rsid w:val="00E62B25"/>
    <w:rsid w:val="00E6679B"/>
    <w:rsid w:val="00E703A2"/>
    <w:rsid w:val="00E73A34"/>
    <w:rsid w:val="00E74384"/>
    <w:rsid w:val="00E768FA"/>
    <w:rsid w:val="00E86192"/>
    <w:rsid w:val="00E90FCA"/>
    <w:rsid w:val="00E92648"/>
    <w:rsid w:val="00E94A96"/>
    <w:rsid w:val="00E94B15"/>
    <w:rsid w:val="00E960FC"/>
    <w:rsid w:val="00E9626D"/>
    <w:rsid w:val="00EA0CF9"/>
    <w:rsid w:val="00EA2180"/>
    <w:rsid w:val="00EA352B"/>
    <w:rsid w:val="00EA387A"/>
    <w:rsid w:val="00EA38B6"/>
    <w:rsid w:val="00EA6094"/>
    <w:rsid w:val="00EA60B9"/>
    <w:rsid w:val="00EA630D"/>
    <w:rsid w:val="00EA6E71"/>
    <w:rsid w:val="00EB06C0"/>
    <w:rsid w:val="00EB0FB1"/>
    <w:rsid w:val="00EB2509"/>
    <w:rsid w:val="00EB3CEB"/>
    <w:rsid w:val="00EC1853"/>
    <w:rsid w:val="00EC5A2F"/>
    <w:rsid w:val="00EC6281"/>
    <w:rsid w:val="00ED0EA9"/>
    <w:rsid w:val="00ED60E8"/>
    <w:rsid w:val="00EE3A0D"/>
    <w:rsid w:val="00EE4FE0"/>
    <w:rsid w:val="00EE6012"/>
    <w:rsid w:val="00EE6488"/>
    <w:rsid w:val="00EE666C"/>
    <w:rsid w:val="00EF27D3"/>
    <w:rsid w:val="00EF2FB5"/>
    <w:rsid w:val="00EF4EF6"/>
    <w:rsid w:val="00EF4FB6"/>
    <w:rsid w:val="00EF6C7B"/>
    <w:rsid w:val="00EF7435"/>
    <w:rsid w:val="00EF7BEE"/>
    <w:rsid w:val="00F00B85"/>
    <w:rsid w:val="00F021FA"/>
    <w:rsid w:val="00F021FD"/>
    <w:rsid w:val="00F02E5A"/>
    <w:rsid w:val="00F05A4C"/>
    <w:rsid w:val="00F1203C"/>
    <w:rsid w:val="00F121EC"/>
    <w:rsid w:val="00F16042"/>
    <w:rsid w:val="00F164B3"/>
    <w:rsid w:val="00F17B9E"/>
    <w:rsid w:val="00F2215B"/>
    <w:rsid w:val="00F23CE5"/>
    <w:rsid w:val="00F24B25"/>
    <w:rsid w:val="00F251DB"/>
    <w:rsid w:val="00F3000D"/>
    <w:rsid w:val="00F310EF"/>
    <w:rsid w:val="00F316A1"/>
    <w:rsid w:val="00F322DF"/>
    <w:rsid w:val="00F333CB"/>
    <w:rsid w:val="00F345A9"/>
    <w:rsid w:val="00F37C35"/>
    <w:rsid w:val="00F37D1F"/>
    <w:rsid w:val="00F40555"/>
    <w:rsid w:val="00F44A56"/>
    <w:rsid w:val="00F4605F"/>
    <w:rsid w:val="00F46D03"/>
    <w:rsid w:val="00F50161"/>
    <w:rsid w:val="00F50EBD"/>
    <w:rsid w:val="00F54E83"/>
    <w:rsid w:val="00F5510B"/>
    <w:rsid w:val="00F553CE"/>
    <w:rsid w:val="00F561D1"/>
    <w:rsid w:val="00F626FC"/>
    <w:rsid w:val="00F62D7F"/>
    <w:rsid w:val="00F62E97"/>
    <w:rsid w:val="00F62F66"/>
    <w:rsid w:val="00F64209"/>
    <w:rsid w:val="00F643DA"/>
    <w:rsid w:val="00F659FD"/>
    <w:rsid w:val="00F66E19"/>
    <w:rsid w:val="00F72222"/>
    <w:rsid w:val="00F7385E"/>
    <w:rsid w:val="00F73F00"/>
    <w:rsid w:val="00F7582E"/>
    <w:rsid w:val="00F80B6B"/>
    <w:rsid w:val="00F836DD"/>
    <w:rsid w:val="00F849B3"/>
    <w:rsid w:val="00F85301"/>
    <w:rsid w:val="00F86A29"/>
    <w:rsid w:val="00F91AE1"/>
    <w:rsid w:val="00F91AFF"/>
    <w:rsid w:val="00F93BF5"/>
    <w:rsid w:val="00F93F8B"/>
    <w:rsid w:val="00F96E95"/>
    <w:rsid w:val="00F9768B"/>
    <w:rsid w:val="00FA100D"/>
    <w:rsid w:val="00FA6FA0"/>
    <w:rsid w:val="00FB4EAB"/>
    <w:rsid w:val="00FB610D"/>
    <w:rsid w:val="00FB68A5"/>
    <w:rsid w:val="00FB6C89"/>
    <w:rsid w:val="00FD2235"/>
    <w:rsid w:val="00FD3887"/>
    <w:rsid w:val="00FE0680"/>
    <w:rsid w:val="00FE0C76"/>
    <w:rsid w:val="00FE2B29"/>
    <w:rsid w:val="00FE2C83"/>
    <w:rsid w:val="00FE2F13"/>
    <w:rsid w:val="00FE4F9E"/>
    <w:rsid w:val="00FE6FBC"/>
    <w:rsid w:val="00FF1B8F"/>
    <w:rsid w:val="00FF21B7"/>
    <w:rsid w:val="00FF259B"/>
    <w:rsid w:val="00FF3434"/>
    <w:rsid w:val="00FF349D"/>
    <w:rsid w:val="00FF3B11"/>
    <w:rsid w:val="00FF4498"/>
    <w:rsid w:val="00FF4D2E"/>
    <w:rsid w:val="00FF58DD"/>
    <w:rsid w:val="21B50436"/>
    <w:rsid w:val="28800D35"/>
    <w:rsid w:val="31843890"/>
    <w:rsid w:val="319C9258"/>
    <w:rsid w:val="40020D79"/>
    <w:rsid w:val="438E56BF"/>
    <w:rsid w:val="68274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B759EA"/>
  <w15:chartTrackingRefBased/>
  <w15:docId w15:val="{4CEFE21A-79F0-4A61-9DCB-8DEBA17A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24"/>
    <w:pPr>
      <w:widowControl w:val="0"/>
    </w:pPr>
    <w:rPr>
      <w:snapToGrid w:val="0"/>
      <w:kern w:val="28"/>
      <w:sz w:val="22"/>
    </w:rPr>
  </w:style>
  <w:style w:type="paragraph" w:styleId="Heading1">
    <w:name w:val="heading 1"/>
    <w:aliases w:val="H1"/>
    <w:basedOn w:val="Normal"/>
    <w:next w:val="ParaNum"/>
    <w:link w:val="Heading1Char"/>
    <w:qFormat/>
    <w:rsid w:val="0040732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07324"/>
    <w:pPr>
      <w:keepNext/>
      <w:numPr>
        <w:ilvl w:val="1"/>
        <w:numId w:val="2"/>
      </w:numPr>
      <w:spacing w:after="120"/>
      <w:outlineLvl w:val="1"/>
    </w:pPr>
    <w:rPr>
      <w:b/>
    </w:rPr>
  </w:style>
  <w:style w:type="paragraph" w:styleId="Heading3">
    <w:name w:val="heading 3"/>
    <w:aliases w:val="1,3,31,?? 3,Titre 3,Titre 31"/>
    <w:basedOn w:val="Normal"/>
    <w:next w:val="ParaNum"/>
    <w:link w:val="Heading3Char"/>
    <w:qFormat/>
    <w:rsid w:val="0040732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0732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0732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0732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0732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0732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40732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73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324"/>
  </w:style>
  <w:style w:type="paragraph" w:customStyle="1" w:styleId="ParaNum">
    <w:name w:val="ParaNum"/>
    <w:basedOn w:val="Normal"/>
    <w:link w:val="ParaNumChar1"/>
    <w:rsid w:val="00407324"/>
    <w:pPr>
      <w:numPr>
        <w:numId w:val="1"/>
      </w:numPr>
      <w:tabs>
        <w:tab w:val="clear" w:pos="1080"/>
        <w:tab w:val="num" w:pos="1440"/>
      </w:tabs>
      <w:spacing w:after="120"/>
    </w:pPr>
  </w:style>
  <w:style w:type="paragraph" w:styleId="EndnoteText">
    <w:name w:val="endnote text"/>
    <w:basedOn w:val="Normal"/>
    <w:link w:val="EndnoteTextChar"/>
    <w:semiHidden/>
    <w:rsid w:val="00407324"/>
    <w:rPr>
      <w:sz w:val="20"/>
    </w:rPr>
  </w:style>
  <w:style w:type="character" w:styleId="EndnoteReference">
    <w:name w:val="endnote reference"/>
    <w:semiHidden/>
    <w:rsid w:val="00407324"/>
    <w:rPr>
      <w:vertAlign w:val="superscript"/>
    </w:rPr>
  </w:style>
  <w:style w:type="paragraph" w:styleId="FootnoteText">
    <w:name w:val="footnote text"/>
    <w:aliases w:val="Char Char Char,Footnote Text Char Char,Footnote Text Char Char Char Char,Footnote Text Char Char Char Char Char1 Char,Footnote Text Char1,Footnote Text Char1 Char Char,Footnote Text Char1 Char Char Char1 Char,Footnote Text Char1 Char2,f,fn"/>
    <w:link w:val="FootnoteTextChar"/>
    <w:rsid w:val="0040732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07324"/>
    <w:rPr>
      <w:rFonts w:ascii="Times New Roman" w:hAnsi="Times New Roman"/>
      <w:dstrike w:val="0"/>
      <w:color w:val="auto"/>
      <w:sz w:val="20"/>
      <w:vertAlign w:val="superscript"/>
    </w:rPr>
  </w:style>
  <w:style w:type="paragraph" w:styleId="TOC1">
    <w:name w:val="toc 1"/>
    <w:basedOn w:val="Normal"/>
    <w:next w:val="Normal"/>
    <w:rsid w:val="00407324"/>
    <w:pPr>
      <w:tabs>
        <w:tab w:val="left" w:pos="360"/>
        <w:tab w:val="right" w:leader="dot" w:pos="9360"/>
      </w:tabs>
      <w:suppressAutoHyphens/>
      <w:ind w:left="360" w:right="720" w:hanging="360"/>
    </w:pPr>
    <w:rPr>
      <w:caps/>
      <w:noProof/>
    </w:rPr>
  </w:style>
  <w:style w:type="paragraph" w:styleId="TOC2">
    <w:name w:val="toc 2"/>
    <w:basedOn w:val="Normal"/>
    <w:next w:val="Normal"/>
    <w:rsid w:val="00407324"/>
    <w:pPr>
      <w:tabs>
        <w:tab w:val="left" w:pos="720"/>
        <w:tab w:val="right" w:leader="dot" w:pos="9360"/>
      </w:tabs>
      <w:suppressAutoHyphens/>
      <w:ind w:left="720" w:right="720" w:hanging="360"/>
    </w:pPr>
    <w:rPr>
      <w:noProof/>
    </w:rPr>
  </w:style>
  <w:style w:type="paragraph" w:styleId="TOC3">
    <w:name w:val="toc 3"/>
    <w:basedOn w:val="Normal"/>
    <w:next w:val="Normal"/>
    <w:rsid w:val="0040732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073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3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3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3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3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3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324"/>
    <w:pPr>
      <w:tabs>
        <w:tab w:val="right" w:pos="9360"/>
      </w:tabs>
      <w:suppressAutoHyphens/>
    </w:pPr>
  </w:style>
  <w:style w:type="character" w:customStyle="1" w:styleId="EquationCaption">
    <w:name w:val="_Equation Caption"/>
    <w:rsid w:val="00407324"/>
  </w:style>
  <w:style w:type="paragraph" w:styleId="Header">
    <w:name w:val="header"/>
    <w:aliases w:val="Header/Footer,Page No,encabezado,h,he,header,header odd,header odd1,header odd2"/>
    <w:basedOn w:val="Normal"/>
    <w:link w:val="HeaderChar"/>
    <w:autoRedefine/>
    <w:rsid w:val="00407324"/>
    <w:pPr>
      <w:tabs>
        <w:tab w:val="center" w:pos="4680"/>
        <w:tab w:val="right" w:pos="9360"/>
      </w:tabs>
    </w:pPr>
    <w:rPr>
      <w:b/>
    </w:rPr>
  </w:style>
  <w:style w:type="paragraph" w:styleId="Footer">
    <w:name w:val="footer"/>
    <w:basedOn w:val="Normal"/>
    <w:link w:val="FooterChar"/>
    <w:uiPriority w:val="99"/>
    <w:rsid w:val="00407324"/>
    <w:pPr>
      <w:tabs>
        <w:tab w:val="center" w:pos="4320"/>
        <w:tab w:val="right" w:pos="8640"/>
      </w:tabs>
    </w:pPr>
  </w:style>
  <w:style w:type="character" w:styleId="PageNumber">
    <w:name w:val="page number"/>
    <w:basedOn w:val="DefaultParagraphFont"/>
    <w:rsid w:val="00407324"/>
  </w:style>
  <w:style w:type="paragraph" w:styleId="BlockText">
    <w:name w:val="Block Text"/>
    <w:basedOn w:val="Normal"/>
    <w:rsid w:val="00407324"/>
    <w:pPr>
      <w:spacing w:after="240"/>
      <w:ind w:left="1440" w:right="1440"/>
    </w:pPr>
  </w:style>
  <w:style w:type="paragraph" w:customStyle="1" w:styleId="Paratitle">
    <w:name w:val="Para title"/>
    <w:basedOn w:val="Normal"/>
    <w:rsid w:val="00407324"/>
    <w:pPr>
      <w:tabs>
        <w:tab w:val="center" w:pos="9270"/>
      </w:tabs>
      <w:spacing w:after="240"/>
    </w:pPr>
    <w:rPr>
      <w:spacing w:val="-2"/>
    </w:rPr>
  </w:style>
  <w:style w:type="paragraph" w:customStyle="1" w:styleId="Bullet">
    <w:name w:val="Bullet"/>
    <w:basedOn w:val="Normal"/>
    <w:rsid w:val="00407324"/>
    <w:pPr>
      <w:tabs>
        <w:tab w:val="left" w:pos="2160"/>
      </w:tabs>
      <w:spacing w:after="220"/>
      <w:ind w:left="2160" w:hanging="720"/>
    </w:pPr>
  </w:style>
  <w:style w:type="paragraph" w:customStyle="1" w:styleId="TableFormat">
    <w:name w:val="TableFormat"/>
    <w:basedOn w:val="Bullet"/>
    <w:rsid w:val="00407324"/>
    <w:pPr>
      <w:tabs>
        <w:tab w:val="clear" w:pos="2160"/>
        <w:tab w:val="left" w:pos="5040"/>
      </w:tabs>
      <w:ind w:left="5040" w:hanging="3600"/>
    </w:pPr>
  </w:style>
  <w:style w:type="paragraph" w:customStyle="1" w:styleId="TOCTitle">
    <w:name w:val="TOC Title"/>
    <w:basedOn w:val="Normal"/>
    <w:rsid w:val="004073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324"/>
    <w:pPr>
      <w:jc w:val="center"/>
    </w:pPr>
    <w:rPr>
      <w:rFonts w:ascii="Times New Roman Bold" w:hAnsi="Times New Roman Bold"/>
      <w:b/>
      <w:bCs/>
      <w:caps/>
      <w:szCs w:val="22"/>
    </w:rPr>
  </w:style>
  <w:style w:type="character" w:styleId="Hyperlink">
    <w:name w:val="Hyperlink"/>
    <w:rsid w:val="00407324"/>
    <w:rPr>
      <w:color w:val="0000FF"/>
      <w:u w:val="single"/>
    </w:rPr>
  </w:style>
  <w:style w:type="character" w:customStyle="1" w:styleId="FooterChar">
    <w:name w:val="Footer Char"/>
    <w:link w:val="Footer"/>
    <w:uiPriority w:val="99"/>
    <w:rsid w:val="00407324"/>
    <w:rPr>
      <w:snapToGrid w:val="0"/>
      <w:kern w:val="28"/>
      <w:sz w:val="22"/>
    </w:rPr>
  </w:style>
  <w:style w:type="character" w:customStyle="1" w:styleId="FootnoteTextChar">
    <w:name w:val="Footnote Text Char"/>
    <w:aliases w:val="Footnote Text Char Char Char Char Char1,Footnote Text Char Char Char Char Char1 Char Char1,Footnote Text Char Char Char1,Footnote Text Char1 Char Char Char1,Footnote Text Char1 Char Char Char1 Char Char,Footnote Text Char1 Char1"/>
    <w:link w:val="FootnoteText"/>
    <w:rsid w:val="004226B2"/>
  </w:style>
  <w:style w:type="character" w:customStyle="1" w:styleId="HeaderChar">
    <w:name w:val="Header Char"/>
    <w:aliases w:val="Header/Footer Char,Page No Char,encabezado Char,h Char,he Char,header Char,header odd Char,header odd1 Char,header odd2 Char"/>
    <w:link w:val="Header"/>
    <w:rsid w:val="004226B2"/>
    <w:rPr>
      <w:b/>
      <w:snapToGrid w:val="0"/>
      <w:kern w:val="28"/>
      <w:sz w:val="22"/>
    </w:rPr>
  </w:style>
  <w:style w:type="character" w:customStyle="1" w:styleId="Heading1Char">
    <w:name w:val="Heading 1 Char"/>
    <w:aliases w:val="H1 Char"/>
    <w:link w:val="Heading1"/>
    <w:rsid w:val="004226B2"/>
    <w:rPr>
      <w:rFonts w:ascii="Times New Roman Bold" w:hAnsi="Times New Roman Bold"/>
      <w:b/>
      <w:caps/>
      <w:snapToGrid w:val="0"/>
      <w:kern w:val="28"/>
      <w:sz w:val="22"/>
    </w:rPr>
  </w:style>
  <w:style w:type="character" w:customStyle="1" w:styleId="Heading2Char">
    <w:name w:val="Heading 2 Char"/>
    <w:link w:val="Heading2"/>
    <w:rsid w:val="009C7B73"/>
    <w:rPr>
      <w:b/>
      <w:snapToGrid w:val="0"/>
      <w:kern w:val="28"/>
      <w:sz w:val="22"/>
    </w:rPr>
  </w:style>
  <w:style w:type="character" w:customStyle="1" w:styleId="Heading3Char">
    <w:name w:val="Heading 3 Char"/>
    <w:aliases w:val="1 Char,3 Char,31 Char,?? 3 Char,Titre 3 Char,Titre 31 Char"/>
    <w:link w:val="Heading3"/>
    <w:rsid w:val="004226B2"/>
    <w:rPr>
      <w:b/>
      <w:snapToGrid w:val="0"/>
      <w:kern w:val="28"/>
      <w:sz w:val="22"/>
    </w:rPr>
  </w:style>
  <w:style w:type="character" w:customStyle="1" w:styleId="Heading4Char">
    <w:name w:val="Heading 4 Char"/>
    <w:link w:val="Heading4"/>
    <w:rsid w:val="004226B2"/>
    <w:rPr>
      <w:b/>
      <w:snapToGrid w:val="0"/>
      <w:kern w:val="28"/>
      <w:sz w:val="22"/>
    </w:rPr>
  </w:style>
  <w:style w:type="character" w:customStyle="1" w:styleId="Heading5Char">
    <w:name w:val="Heading 5 Char"/>
    <w:link w:val="Heading5"/>
    <w:rsid w:val="004226B2"/>
    <w:rPr>
      <w:b/>
      <w:snapToGrid w:val="0"/>
      <w:kern w:val="28"/>
      <w:sz w:val="22"/>
    </w:rPr>
  </w:style>
  <w:style w:type="character" w:customStyle="1" w:styleId="Heading6Char">
    <w:name w:val="Heading 6 Char"/>
    <w:link w:val="Heading6"/>
    <w:rsid w:val="004226B2"/>
    <w:rPr>
      <w:b/>
      <w:snapToGrid w:val="0"/>
      <w:kern w:val="28"/>
      <w:sz w:val="22"/>
    </w:rPr>
  </w:style>
  <w:style w:type="character" w:customStyle="1" w:styleId="Heading7Char">
    <w:name w:val="Heading 7 Char"/>
    <w:link w:val="Heading7"/>
    <w:rsid w:val="004226B2"/>
    <w:rPr>
      <w:b/>
      <w:snapToGrid w:val="0"/>
      <w:kern w:val="28"/>
      <w:sz w:val="22"/>
    </w:rPr>
  </w:style>
  <w:style w:type="character" w:customStyle="1" w:styleId="Heading8Char">
    <w:name w:val="Heading 8 Char"/>
    <w:link w:val="Heading8"/>
    <w:rsid w:val="004226B2"/>
    <w:rPr>
      <w:b/>
      <w:snapToGrid w:val="0"/>
      <w:kern w:val="28"/>
      <w:sz w:val="22"/>
    </w:rPr>
  </w:style>
  <w:style w:type="character" w:customStyle="1" w:styleId="Heading9Char">
    <w:name w:val="Heading 9 Char"/>
    <w:aliases w:val="9 Char,Heading 9.table Char,Titre 9 Char,Topic Char,t Char,table Char"/>
    <w:link w:val="Heading9"/>
    <w:rsid w:val="004226B2"/>
    <w:rPr>
      <w:b/>
      <w:snapToGrid w:val="0"/>
      <w:kern w:val="28"/>
      <w:sz w:val="22"/>
    </w:rPr>
  </w:style>
  <w:style w:type="paragraph" w:styleId="BalloonText">
    <w:name w:val="Balloon Text"/>
    <w:basedOn w:val="Normal"/>
    <w:link w:val="BalloonTextChar"/>
    <w:unhideWhenUsed/>
    <w:rsid w:val="004226B2"/>
    <w:rPr>
      <w:rFonts w:ascii="Segoe UI" w:hAnsi="Segoe UI" w:cs="Segoe UI"/>
      <w:sz w:val="18"/>
      <w:szCs w:val="18"/>
    </w:rPr>
  </w:style>
  <w:style w:type="character" w:customStyle="1" w:styleId="BalloonTextChar">
    <w:name w:val="Balloon Text Char"/>
    <w:link w:val="BalloonText"/>
    <w:rsid w:val="004226B2"/>
    <w:rPr>
      <w:rFonts w:ascii="Segoe UI" w:hAnsi="Segoe UI" w:cs="Segoe UI"/>
      <w:snapToGrid w:val="0"/>
      <w:kern w:val="28"/>
      <w:sz w:val="18"/>
      <w:szCs w:val="18"/>
    </w:rPr>
  </w:style>
  <w:style w:type="character" w:customStyle="1" w:styleId="EndnoteTextChar">
    <w:name w:val="Endnote Text Char"/>
    <w:link w:val="EndnoteText"/>
    <w:semiHidden/>
    <w:rsid w:val="004226B2"/>
    <w:rPr>
      <w:snapToGrid w:val="0"/>
      <w:kern w:val="28"/>
    </w:rPr>
  </w:style>
  <w:style w:type="character" w:styleId="CommentReference">
    <w:name w:val="annotation reference"/>
    <w:rsid w:val="004226B2"/>
    <w:rPr>
      <w:sz w:val="16"/>
      <w:szCs w:val="16"/>
    </w:rPr>
  </w:style>
  <w:style w:type="paragraph" w:styleId="CommentText">
    <w:name w:val="annotation text"/>
    <w:basedOn w:val="Normal"/>
    <w:link w:val="CommentTextChar"/>
    <w:rsid w:val="004226B2"/>
    <w:rPr>
      <w:sz w:val="20"/>
    </w:rPr>
  </w:style>
  <w:style w:type="character" w:customStyle="1" w:styleId="CommentTextChar">
    <w:name w:val="Comment Text Char"/>
    <w:link w:val="CommentText"/>
    <w:rsid w:val="004226B2"/>
    <w:rPr>
      <w:snapToGrid w:val="0"/>
      <w:kern w:val="28"/>
    </w:rPr>
  </w:style>
  <w:style w:type="paragraph" w:styleId="CommentSubject">
    <w:name w:val="annotation subject"/>
    <w:basedOn w:val="CommentText"/>
    <w:next w:val="CommentText"/>
    <w:link w:val="CommentSubjectChar"/>
    <w:rsid w:val="004226B2"/>
    <w:rPr>
      <w:b/>
      <w:bCs/>
    </w:rPr>
  </w:style>
  <w:style w:type="character" w:customStyle="1" w:styleId="CommentSubjectChar">
    <w:name w:val="Comment Subject Char"/>
    <w:link w:val="CommentSubject"/>
    <w:rsid w:val="004226B2"/>
    <w:rPr>
      <w:b/>
      <w:bCs/>
      <w:snapToGrid w:val="0"/>
      <w:kern w:val="28"/>
    </w:rPr>
  </w:style>
  <w:style w:type="paragraph" w:styleId="ListParagraph">
    <w:name w:val="List Paragraph"/>
    <w:basedOn w:val="Normal"/>
    <w:uiPriority w:val="34"/>
    <w:qFormat/>
    <w:rsid w:val="004226B2"/>
    <w:pPr>
      <w:spacing w:after="200" w:line="276" w:lineRule="auto"/>
      <w:ind w:left="720"/>
      <w:contextualSpacing/>
    </w:pPr>
    <w:rPr>
      <w:snapToGrid/>
    </w:rPr>
  </w:style>
  <w:style w:type="character" w:customStyle="1" w:styleId="ParaNumChar1">
    <w:name w:val="ParaNum Char1"/>
    <w:link w:val="ParaNum"/>
    <w:rsid w:val="004226B2"/>
    <w:rPr>
      <w:snapToGrid w:val="0"/>
      <w:kern w:val="28"/>
      <w:sz w:val="22"/>
    </w:rPr>
  </w:style>
  <w:style w:type="character" w:customStyle="1" w:styleId="item-value">
    <w:name w:val="item-value"/>
    <w:rsid w:val="004226B2"/>
  </w:style>
  <w:style w:type="character" w:customStyle="1" w:styleId="UnresolvedMention">
    <w:name w:val="Unresolved Mention"/>
    <w:unhideWhenUsed/>
    <w:rsid w:val="004226B2"/>
    <w:rPr>
      <w:color w:val="605E5C"/>
      <w:shd w:val="clear" w:color="auto" w:fill="E1DFDD"/>
    </w:rPr>
  </w:style>
  <w:style w:type="character" w:styleId="FollowedHyperlink">
    <w:name w:val="FollowedHyperlink"/>
    <w:rsid w:val="004226B2"/>
    <w:rPr>
      <w:color w:val="954F72"/>
      <w:u w:val="single"/>
    </w:rPr>
  </w:style>
  <w:style w:type="character" w:customStyle="1" w:styleId="Mention">
    <w:name w:val="Mention"/>
    <w:uiPriority w:val="99"/>
    <w:unhideWhenUsed/>
    <w:rsid w:val="004226B2"/>
    <w:rPr>
      <w:color w:val="2B579A"/>
      <w:shd w:val="clear" w:color="auto" w:fill="E1DFDD"/>
    </w:rPr>
  </w:style>
  <w:style w:type="paragraph" w:styleId="Revision">
    <w:name w:val="Revision"/>
    <w:hidden/>
    <w:uiPriority w:val="99"/>
    <w:semiHidden/>
    <w:rsid w:val="004226B2"/>
    <w:rPr>
      <w:snapToGrid w:val="0"/>
      <w:kern w:val="28"/>
      <w:sz w:val="22"/>
    </w:rPr>
  </w:style>
  <w:style w:type="character" w:styleId="Emphasis">
    <w:name w:val="Emphasis"/>
    <w:qFormat/>
    <w:rsid w:val="004226B2"/>
    <w:rPr>
      <w:i/>
      <w:iCs/>
    </w:rPr>
  </w:style>
  <w:style w:type="paragraph" w:customStyle="1" w:styleId="Note">
    <w:name w:val="Note"/>
    <w:basedOn w:val="Normal"/>
    <w:link w:val="NoteChar"/>
    <w:rsid w:val="004226B2"/>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4226B2"/>
    <w:rPr>
      <w:snapToGrid w:val="0"/>
      <w:kern w:val="28"/>
      <w:sz w:val="24"/>
      <w:lang w:val="en-GB"/>
    </w:rPr>
  </w:style>
  <w:style w:type="character" w:customStyle="1" w:styleId="FootnoteTextChar2">
    <w:name w:val="Footnote Text Char2"/>
    <w:aliases w:val="Footnote Text Char Char Char,Footnote Text Char Char Char Char Char,Footnote Text Char Char Char Char Char1 Char Char,Footnote Text Char Char1,Footnote Text Char1 Char,Footnote Text Char1 Char Char Char,Footnote Text Char1 Char2 Char"/>
    <w:rsid w:val="004226B2"/>
  </w:style>
  <w:style w:type="paragraph" w:customStyle="1" w:styleId="Paranum0">
    <w:name w:val="Paranum"/>
    <w:basedOn w:val="Normal"/>
    <w:rsid w:val="004226B2"/>
    <w:pPr>
      <w:spacing w:after="220"/>
      <w:ind w:firstLine="720"/>
      <w:jc w:val="both"/>
    </w:pPr>
    <w:rPr>
      <w:noProof/>
    </w:rPr>
  </w:style>
  <w:style w:type="character" w:customStyle="1" w:styleId="bold">
    <w:name w:val="bold"/>
    <w:rsid w:val="004226B2"/>
  </w:style>
  <w:style w:type="character" w:customStyle="1" w:styleId="ParaNumChar">
    <w:name w:val="ParaNum Char"/>
    <w:locked/>
    <w:rsid w:val="004226B2"/>
    <w:rPr>
      <w:sz w:val="22"/>
      <w:lang w:val="en-US" w:eastAsia="en-US"/>
    </w:rPr>
  </w:style>
  <w:style w:type="character" w:customStyle="1" w:styleId="searchterm">
    <w:name w:val="searchterm"/>
    <w:rsid w:val="004226B2"/>
  </w:style>
  <w:style w:type="table" w:styleId="TableGrid">
    <w:name w:val="Table Grid"/>
    <w:basedOn w:val="TableNormal"/>
    <w:uiPriority w:val="59"/>
    <w:rsid w:val="0042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CharCharCharChar">
    <w:name w:val="Footnote Text Char1 Char Char Char Char"/>
    <w:aliases w:val="Footnote Text Char Char Char Char1 Char Char,Footnote Text Char1 Char Char Char Char Char Char,Footnote Text Char6 Char,f Char"/>
    <w:rsid w:val="004226B2"/>
    <w:rPr>
      <w:sz w:val="20"/>
    </w:rPr>
  </w:style>
  <w:style w:type="paragraph" w:styleId="NormalWeb">
    <w:name w:val="Normal (Web)"/>
    <w:basedOn w:val="Normal"/>
    <w:rsid w:val="004226B2"/>
    <w:pPr>
      <w:spacing w:before="100" w:beforeAutospacing="1" w:after="100" w:afterAutospacing="1"/>
    </w:pPr>
    <w:rPr>
      <w:sz w:val="24"/>
      <w:szCs w:val="24"/>
    </w:rPr>
  </w:style>
  <w:style w:type="character" w:customStyle="1" w:styleId="TabletextChar">
    <w:name w:val="Table_text Char"/>
    <w:link w:val="Tabletext"/>
    <w:uiPriority w:val="99"/>
    <w:rsid w:val="004226B2"/>
    <w:rPr>
      <w:lang w:val="fr-FR"/>
    </w:rPr>
  </w:style>
  <w:style w:type="paragraph" w:customStyle="1" w:styleId="Tabletext">
    <w:name w:val="Table_text"/>
    <w:basedOn w:val="Normal"/>
    <w:link w:val="TabletextChar"/>
    <w:uiPriority w:val="99"/>
    <w:rsid w:val="004226B2"/>
    <w:pPr>
      <w:widowControl/>
      <w:overflowPunct w:val="0"/>
      <w:autoSpaceDE w:val="0"/>
      <w:autoSpaceDN w:val="0"/>
      <w:adjustRightInd w:val="0"/>
      <w:spacing w:before="40" w:after="40"/>
      <w:jc w:val="both"/>
      <w:textAlignment w:val="baseline"/>
    </w:pPr>
    <w:rPr>
      <w:snapToGrid/>
      <w:kern w:val="0"/>
      <w:sz w:val="20"/>
      <w:lang w:val="fr-FR"/>
    </w:rPr>
  </w:style>
  <w:style w:type="paragraph" w:customStyle="1" w:styleId="Tablehead">
    <w:name w:val="Table_head"/>
    <w:basedOn w:val="Tabletext"/>
    <w:next w:val="Tabletext"/>
    <w:link w:val="TableheadChar"/>
    <w:uiPriority w:val="99"/>
    <w:rsid w:val="004226B2"/>
    <w:pPr>
      <w:spacing w:before="80" w:after="80"/>
      <w:jc w:val="center"/>
    </w:pPr>
    <w:rPr>
      <w:rFonts w:ascii="Calibri" w:eastAsia="Calibri" w:hAnsi="Calibri" w:cs="Arial"/>
      <w:b/>
    </w:rPr>
  </w:style>
  <w:style w:type="character" w:customStyle="1" w:styleId="TableheadChar">
    <w:name w:val="Table_head Char"/>
    <w:link w:val="Tablehead"/>
    <w:uiPriority w:val="99"/>
    <w:locked/>
    <w:rsid w:val="004226B2"/>
    <w:rPr>
      <w:rFonts w:ascii="Calibri" w:eastAsia="Calibri" w:hAnsi="Calibri" w:cs="Arial"/>
      <w:b/>
      <w:lang w:val="fr-FR"/>
    </w:rPr>
  </w:style>
  <w:style w:type="paragraph" w:styleId="BodyText3">
    <w:name w:val="Body Text 3"/>
    <w:basedOn w:val="Normal"/>
    <w:link w:val="BodyText3Char"/>
    <w:rsid w:val="004226B2"/>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lang w:val="fr-FR"/>
    </w:rPr>
  </w:style>
  <w:style w:type="character" w:customStyle="1" w:styleId="BodyText3Char">
    <w:name w:val="Body Text 3 Char"/>
    <w:link w:val="BodyText3"/>
    <w:rsid w:val="004226B2"/>
    <w:rPr>
      <w:rFonts w:ascii="Arial Narrow" w:hAnsi="Arial Narrow"/>
      <w:sz w:val="17"/>
      <w:lang w:val="fr-FR"/>
    </w:rPr>
  </w:style>
  <w:style w:type="character" w:customStyle="1" w:styleId="UnresolvedMention1">
    <w:name w:val="Unresolved Mention1"/>
    <w:uiPriority w:val="99"/>
    <w:semiHidden/>
    <w:unhideWhenUsed/>
    <w:rsid w:val="004226B2"/>
    <w:rPr>
      <w:color w:val="605E5C"/>
      <w:shd w:val="clear" w:color="auto" w:fill="E1DFDD"/>
    </w:rPr>
  </w:style>
  <w:style w:type="paragraph" w:styleId="TOCHeading">
    <w:name w:val="TOC Heading"/>
    <w:basedOn w:val="Heading1"/>
    <w:next w:val="Normal"/>
    <w:uiPriority w:val="39"/>
    <w:qFormat/>
    <w:rsid w:val="004226B2"/>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paragraph">
    <w:name w:val="paragraph"/>
    <w:basedOn w:val="Normal"/>
    <w:rsid w:val="00AE76BF"/>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E76BF"/>
  </w:style>
  <w:style w:type="character" w:customStyle="1" w:styleId="eop">
    <w:name w:val="eop"/>
    <w:basedOn w:val="DefaultParagraphFont"/>
    <w:rsid w:val="00AE76BF"/>
  </w:style>
  <w:style w:type="character" w:customStyle="1" w:styleId="tabchar">
    <w:name w:val="tabchar"/>
    <w:basedOn w:val="DefaultParagraphFont"/>
    <w:rsid w:val="00AE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ngineering-technology/laboratory-division/general/equipment-authorization" TargetMode="External" /><Relationship Id="rId10" Type="http://schemas.openxmlformats.org/officeDocument/2006/relationships/hyperlink" Target="https://www.census.gov/naics/?input=334290&amp;year=2017&amp;details=334290" TargetMode="External" /><Relationship Id="rId11" Type="http://schemas.openxmlformats.org/officeDocument/2006/relationships/hyperlink" Target="https://data.census.gov/cedsci/table?text=EC1231SG2&amp;n=334290&amp;tid=ECNSIZE2012.EC1231SG2&amp;hidePreview=false&amp;vintage=2012" TargetMode="External" /><Relationship Id="rId12" Type="http://schemas.openxmlformats.org/officeDocument/2006/relationships/hyperlink" Target="https://www.census.gov/naics/?input=334220&amp;year=2017&amp;details=334220" TargetMode="External" /><Relationship Id="rId13" Type="http://schemas.openxmlformats.org/officeDocument/2006/relationships/hyperlink" Target="https://data.census.gov/cedsci/table?text=EC1231SG2&amp;n=334220&amp;tid=ECNSIZE2012.EC1231SG2&amp;hidePreview=false" TargetMode="External" /><Relationship Id="rId14" Type="http://schemas.openxmlformats.org/officeDocument/2006/relationships/hyperlink" Target="https://www.statista.com/statistics/310218/total-kickstarter-funding/" TargetMode="External" /><Relationship Id="rId15" Type="http://schemas.openxmlformats.org/officeDocument/2006/relationships/hyperlink" Target="https://www.latimes.com/business/technology/la-fi-tn-pebble-shut-down-20161207-story.html" TargetMode="External" /><Relationship Id="rId16" Type="http://schemas.openxmlformats.org/officeDocument/2006/relationships/hyperlink" Target="https://www.businessinsider.com/oculus-rift-kickstarter-2014-3" TargetMode="External" /><Relationship Id="rId2" Type="http://schemas.openxmlformats.org/officeDocument/2006/relationships/hyperlink" Target="https://apps.fcc.gov/kdb/GetAttachment.html?id=xy30dXvjNLcwNLbqcImamQ%3D%3D&amp;desc=784748%20D02%20e%20labeling%20v02r01&amp;tracking_number=27980" TargetMode="External" /><Relationship Id="rId3" Type="http://schemas.openxmlformats.org/officeDocument/2006/relationships/hyperlink" Target="https://cdn.advocacy.sba.gov/wp-content/uploads/2019/09/23172859/Whats-New-With-Small-Business-2019.pdf" TargetMode="External" /><Relationship Id="rId4" Type="http://schemas.openxmlformats.org/officeDocument/2006/relationships/hyperlink" Target="https://www.irs.gov/charities-non-profits/annual-electronic-filing-requirement-for-small-exempt-organizations-form-990-n-e-postcard" TargetMode="External" /><Relationship Id="rId5" Type="http://schemas.openxmlformats.org/officeDocument/2006/relationships/hyperlink" Target="https://www.irs.gov/charities-non-profits/exempt-organizations-business-master-file-extract-eo-bmf" TargetMode="External" /><Relationship Id="rId6" Type="http://schemas.openxmlformats.org/officeDocument/2006/relationships/hyperlink" Target="https://www.census.gov/programs-surveys/cog/about.html" TargetMode="External" /><Relationship Id="rId7" Type="http://schemas.openxmlformats.org/officeDocument/2006/relationships/hyperlink" Target="https://www.census.gov/data/tables/2017/econ/gus/2017-governments.html" TargetMode="External" /><Relationship Id="rId8" Type="http://schemas.openxmlformats.org/officeDocument/2006/relationships/hyperlink" Target="https://www.census.gov/naics/?input=517312&amp;year=2017&amp;details=517312" TargetMode="External" /><Relationship Id="rId9" Type="http://schemas.openxmlformats.org/officeDocument/2006/relationships/hyperlink" Target="https://data.census.gov/cedsci/table?text=EC1251SSSZ5&amp;n=517210&amp;tid=ECNSIZE2012.EC1251SSSZ5&amp;hidePreview=false&amp;vintage=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