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534EA3" w:rsidRPr="00193A4F" w:rsidP="00534EA3" w14:paraId="370DE693" w14:textId="77777777">
      <w:pPr>
        <w:jc w:val="center"/>
        <w:rPr>
          <w:b/>
          <w:szCs w:val="22"/>
        </w:rPr>
      </w:pPr>
      <w:r w:rsidRPr="00193A4F">
        <w:rPr>
          <w:b/>
          <w:kern w:val="0"/>
          <w:szCs w:val="22"/>
        </w:rPr>
        <w:t>Before</w:t>
      </w:r>
      <w:r w:rsidRPr="00193A4F">
        <w:rPr>
          <w:b/>
          <w:szCs w:val="22"/>
        </w:rPr>
        <w:t xml:space="preserve"> the</w:t>
      </w:r>
    </w:p>
    <w:p w:rsidR="00534EA3" w:rsidRPr="00193A4F" w:rsidP="00534EA3" w14:paraId="2B5375B0" w14:textId="77777777">
      <w:pPr>
        <w:pStyle w:val="StyleBoldCentered"/>
        <w:rPr>
          <w:rFonts w:ascii="Times New Roman" w:hAnsi="Times New Roman"/>
        </w:rPr>
      </w:pPr>
      <w:r w:rsidRPr="00193A4F">
        <w:rPr>
          <w:rFonts w:ascii="Times New Roman" w:hAnsi="Times New Roman"/>
        </w:rPr>
        <w:t>F</w:t>
      </w:r>
      <w:r w:rsidRPr="00193A4F">
        <w:rPr>
          <w:rFonts w:ascii="Times New Roman" w:hAnsi="Times New Roman"/>
          <w:caps w:val="0"/>
        </w:rPr>
        <w:t>ederal Communications Commission</w:t>
      </w:r>
    </w:p>
    <w:p w:rsidR="00534EA3" w:rsidRPr="00193A4F" w:rsidP="00534EA3" w14:paraId="3BD6A413" w14:textId="77777777">
      <w:pPr>
        <w:pStyle w:val="StyleBoldCentered"/>
        <w:rPr>
          <w:rFonts w:ascii="Times New Roman" w:hAnsi="Times New Roman"/>
        </w:rPr>
      </w:pPr>
      <w:r w:rsidRPr="00193A4F">
        <w:rPr>
          <w:rFonts w:ascii="Times New Roman" w:hAnsi="Times New Roman"/>
          <w:caps w:val="0"/>
        </w:rPr>
        <w:t>Washington, DC 20554</w:t>
      </w:r>
    </w:p>
    <w:p w:rsidR="00534EA3" w:rsidRPr="00193A4F" w:rsidP="00534EA3" w14:paraId="34613D27" w14:textId="77777777">
      <w:pPr>
        <w:rPr>
          <w:szCs w:val="22"/>
        </w:rPr>
      </w:pPr>
    </w:p>
    <w:tbl>
      <w:tblPr>
        <w:tblW w:w="0" w:type="auto"/>
        <w:tblLayout w:type="fixed"/>
        <w:tblLook w:val="0000"/>
      </w:tblPr>
      <w:tblGrid>
        <w:gridCol w:w="4698"/>
        <w:gridCol w:w="630"/>
        <w:gridCol w:w="4248"/>
      </w:tblGrid>
      <w:tr w14:paraId="4D721865" w14:textId="77777777" w:rsidTr="00E213CD">
        <w:tblPrEx>
          <w:tblW w:w="0" w:type="auto"/>
          <w:tblLayout w:type="fixed"/>
          <w:tblLook w:val="0000"/>
        </w:tblPrEx>
        <w:tc>
          <w:tcPr>
            <w:tcW w:w="4698" w:type="dxa"/>
          </w:tcPr>
          <w:p w:rsidR="00534EA3" w:rsidRPr="00193A4F" w:rsidP="00E213CD" w14:paraId="1173C941" w14:textId="77777777">
            <w:pPr>
              <w:tabs>
                <w:tab w:val="center" w:pos="4680"/>
              </w:tabs>
              <w:suppressAutoHyphens/>
              <w:rPr>
                <w:spacing w:val="-2"/>
                <w:szCs w:val="22"/>
              </w:rPr>
            </w:pPr>
            <w:r w:rsidRPr="00193A4F">
              <w:rPr>
                <w:spacing w:val="-2"/>
                <w:szCs w:val="22"/>
              </w:rPr>
              <w:t>In the Matter of</w:t>
            </w:r>
          </w:p>
          <w:p w:rsidR="00534EA3" w:rsidRPr="00193A4F" w:rsidP="00E213CD" w14:paraId="21FC6C0D" w14:textId="77777777">
            <w:pPr>
              <w:tabs>
                <w:tab w:val="center" w:pos="4680"/>
              </w:tabs>
              <w:suppressAutoHyphens/>
              <w:rPr>
                <w:spacing w:val="-2"/>
                <w:szCs w:val="22"/>
              </w:rPr>
            </w:pPr>
          </w:p>
          <w:p w:rsidR="00534EA3" w:rsidRPr="00193A4F" w:rsidP="00E213CD" w14:paraId="6BC9F35B" w14:textId="77777777">
            <w:pPr>
              <w:tabs>
                <w:tab w:val="center" w:pos="4680"/>
              </w:tabs>
              <w:suppressAutoHyphens/>
              <w:rPr>
                <w:spacing w:val="-2"/>
                <w:szCs w:val="22"/>
              </w:rPr>
            </w:pPr>
            <w:r w:rsidRPr="007043A4">
              <w:t xml:space="preserve">ABC Fulfillment Services LLC d/b/a </w:t>
            </w:r>
            <w:r w:rsidRPr="007043A4">
              <w:t>HobbyKing</w:t>
            </w:r>
            <w:r w:rsidRPr="007043A4">
              <w:t xml:space="preserve"> USA LLC and HobbyKing.com; and Indubitably, Inc. d/b/a </w:t>
            </w:r>
            <w:r w:rsidRPr="007043A4">
              <w:t>HobbyKing</w:t>
            </w:r>
            <w:r w:rsidRPr="007043A4">
              <w:t xml:space="preserve"> Corp., </w:t>
            </w:r>
            <w:r w:rsidRPr="007043A4">
              <w:t>HobbyKing</w:t>
            </w:r>
            <w:r w:rsidRPr="007043A4">
              <w:t xml:space="preserve"> USA LLC, </w:t>
            </w:r>
            <w:r w:rsidRPr="007043A4">
              <w:t>HobbyKing</w:t>
            </w:r>
            <w:r w:rsidRPr="007043A4">
              <w:t>, and HobbyKing.com</w:t>
            </w:r>
          </w:p>
        </w:tc>
        <w:tc>
          <w:tcPr>
            <w:tcW w:w="630" w:type="dxa"/>
          </w:tcPr>
          <w:p w:rsidR="00534EA3" w:rsidRPr="00193A4F" w:rsidP="00E213CD" w14:paraId="3D89D296" w14:textId="77777777">
            <w:pPr>
              <w:tabs>
                <w:tab w:val="center" w:pos="4680"/>
              </w:tabs>
              <w:suppressAutoHyphens/>
              <w:rPr>
                <w:b/>
                <w:spacing w:val="-2"/>
                <w:szCs w:val="22"/>
              </w:rPr>
            </w:pPr>
            <w:r w:rsidRPr="00193A4F">
              <w:rPr>
                <w:b/>
                <w:spacing w:val="-2"/>
                <w:szCs w:val="22"/>
              </w:rPr>
              <w:t>)</w:t>
            </w:r>
          </w:p>
          <w:p w:rsidR="00534EA3" w:rsidRPr="002A6579" w:rsidP="00E213CD" w14:paraId="6B6086F4" w14:textId="77777777">
            <w:pPr>
              <w:tabs>
                <w:tab w:val="center" w:pos="4680"/>
              </w:tabs>
              <w:suppressAutoHyphens/>
              <w:rPr>
                <w:b/>
                <w:spacing w:val="-2"/>
                <w:szCs w:val="22"/>
              </w:rPr>
            </w:pPr>
            <w:r w:rsidRPr="00193A4F">
              <w:rPr>
                <w:b/>
                <w:spacing w:val="-2"/>
                <w:szCs w:val="22"/>
              </w:rPr>
              <w:t>)</w:t>
            </w:r>
          </w:p>
          <w:p w:rsidR="00534EA3" w:rsidRPr="002A6579" w:rsidP="00E213CD" w14:paraId="71261CE6" w14:textId="77777777">
            <w:pPr>
              <w:tabs>
                <w:tab w:val="center" w:pos="4680"/>
              </w:tabs>
              <w:suppressAutoHyphens/>
              <w:rPr>
                <w:b/>
                <w:spacing w:val="-2"/>
                <w:szCs w:val="22"/>
              </w:rPr>
            </w:pPr>
            <w:r w:rsidRPr="00193A4F">
              <w:rPr>
                <w:b/>
                <w:spacing w:val="-2"/>
                <w:szCs w:val="22"/>
              </w:rPr>
              <w:t>)</w:t>
            </w:r>
          </w:p>
          <w:p w:rsidR="00534EA3" w:rsidRPr="002A6579" w:rsidP="00E213CD" w14:paraId="5E2F90E0" w14:textId="77777777">
            <w:pPr>
              <w:tabs>
                <w:tab w:val="center" w:pos="4680"/>
              </w:tabs>
              <w:suppressAutoHyphens/>
              <w:rPr>
                <w:b/>
                <w:spacing w:val="-2"/>
                <w:szCs w:val="22"/>
              </w:rPr>
            </w:pPr>
            <w:r w:rsidRPr="00193A4F">
              <w:rPr>
                <w:b/>
                <w:spacing w:val="-2"/>
                <w:szCs w:val="22"/>
              </w:rPr>
              <w:t>)</w:t>
            </w:r>
          </w:p>
          <w:p w:rsidR="00534EA3" w:rsidRPr="002A6579" w:rsidP="00E213CD" w14:paraId="61D5BBD0" w14:textId="77777777">
            <w:pPr>
              <w:tabs>
                <w:tab w:val="center" w:pos="4680"/>
              </w:tabs>
              <w:suppressAutoHyphens/>
              <w:rPr>
                <w:b/>
                <w:spacing w:val="-2"/>
                <w:szCs w:val="22"/>
              </w:rPr>
            </w:pPr>
            <w:r w:rsidRPr="00193A4F">
              <w:rPr>
                <w:b/>
                <w:spacing w:val="-2"/>
                <w:szCs w:val="22"/>
              </w:rPr>
              <w:t>)</w:t>
            </w:r>
          </w:p>
          <w:p w:rsidR="00534EA3" w:rsidRPr="002A6579" w:rsidP="00E213CD" w14:paraId="5F92FD9E" w14:textId="77777777">
            <w:pPr>
              <w:tabs>
                <w:tab w:val="center" w:pos="4680"/>
              </w:tabs>
              <w:suppressAutoHyphens/>
              <w:rPr>
                <w:spacing w:val="-2"/>
                <w:szCs w:val="22"/>
              </w:rPr>
            </w:pPr>
          </w:p>
        </w:tc>
        <w:tc>
          <w:tcPr>
            <w:tcW w:w="4248" w:type="dxa"/>
          </w:tcPr>
          <w:p w:rsidR="00534EA3" w:rsidRPr="002A6579" w:rsidP="00E213CD" w14:paraId="2518752F" w14:textId="77777777">
            <w:pPr>
              <w:widowControl/>
              <w:tabs>
                <w:tab w:val="center" w:pos="4680"/>
              </w:tabs>
              <w:suppressAutoHyphens/>
              <w:rPr>
                <w:szCs w:val="22"/>
              </w:rPr>
            </w:pPr>
          </w:p>
          <w:p w:rsidR="00534EA3" w:rsidRPr="002A6579" w:rsidP="00E213CD" w14:paraId="36545D4C" w14:textId="77777777">
            <w:pPr>
              <w:widowControl/>
              <w:tabs>
                <w:tab w:val="center" w:pos="4680"/>
              </w:tabs>
              <w:suppressAutoHyphens/>
              <w:rPr>
                <w:szCs w:val="22"/>
              </w:rPr>
            </w:pPr>
          </w:p>
          <w:p w:rsidR="00534EA3" w:rsidRPr="00193A4F" w:rsidP="00E213CD" w14:paraId="5D8C028D" w14:textId="77777777">
            <w:pPr>
              <w:widowControl/>
              <w:tabs>
                <w:tab w:val="center" w:pos="4680"/>
              </w:tabs>
              <w:suppressAutoHyphens/>
              <w:rPr>
                <w:szCs w:val="22"/>
              </w:rPr>
            </w:pPr>
            <w:r w:rsidRPr="00193A4F">
              <w:rPr>
                <w:szCs w:val="22"/>
              </w:rPr>
              <w:t>File No.:  EB-</w:t>
            </w:r>
            <w:r w:rsidRPr="007B517E">
              <w:rPr>
                <w:szCs w:val="22"/>
              </w:rPr>
              <w:t>SED-17-00023762</w:t>
            </w:r>
          </w:p>
          <w:p w:rsidR="00534EA3" w:rsidRPr="00193A4F" w:rsidP="00E213CD" w14:paraId="5F4AC22C" w14:textId="77777777">
            <w:pPr>
              <w:widowControl/>
              <w:tabs>
                <w:tab w:val="center" w:pos="4680"/>
              </w:tabs>
              <w:suppressAutoHyphens/>
              <w:rPr>
                <w:szCs w:val="22"/>
              </w:rPr>
            </w:pPr>
            <w:r w:rsidRPr="00193A4F">
              <w:rPr>
                <w:szCs w:val="22"/>
              </w:rPr>
              <w:t>NAL</w:t>
            </w:r>
            <w:r w:rsidRPr="00193A4F">
              <w:rPr>
                <w:szCs w:val="22"/>
              </w:rPr>
              <w:t xml:space="preserve">/Acct. No.:  </w:t>
            </w:r>
            <w:r w:rsidRPr="007B517E">
              <w:rPr>
                <w:szCs w:val="22"/>
              </w:rPr>
              <w:t>201832100015</w:t>
            </w:r>
          </w:p>
          <w:p w:rsidR="00534EA3" w:rsidP="00E213CD" w14:paraId="520801DA" w14:textId="77777777">
            <w:pPr>
              <w:widowControl/>
              <w:tabs>
                <w:tab w:val="center" w:pos="4680"/>
              </w:tabs>
              <w:suppressAutoHyphens/>
              <w:rPr>
                <w:szCs w:val="22"/>
              </w:rPr>
            </w:pPr>
            <w:r w:rsidRPr="00193A4F">
              <w:rPr>
                <w:szCs w:val="22"/>
              </w:rPr>
              <w:t>FRN</w:t>
            </w:r>
            <w:r w:rsidRPr="00193A4F">
              <w:rPr>
                <w:szCs w:val="22"/>
              </w:rPr>
              <w:t xml:space="preserve">:  </w:t>
            </w:r>
            <w:r w:rsidRPr="007B517E">
              <w:rPr>
                <w:szCs w:val="22"/>
              </w:rPr>
              <w:t>0027528975</w:t>
            </w:r>
          </w:p>
          <w:p w:rsidR="00534EA3" w:rsidRPr="00193A4F" w:rsidP="00E213CD" w14:paraId="183BE94E" w14:textId="77777777">
            <w:pPr>
              <w:tabs>
                <w:tab w:val="center" w:pos="4680"/>
              </w:tabs>
              <w:suppressAutoHyphens/>
              <w:rPr>
                <w:snapToGrid/>
                <w:spacing w:val="-2"/>
                <w:szCs w:val="22"/>
              </w:rPr>
            </w:pPr>
          </w:p>
        </w:tc>
      </w:tr>
    </w:tbl>
    <w:p w:rsidR="00534EA3" w:rsidP="00534EA3" w14:paraId="2D1ECA56" w14:textId="77777777">
      <w:pPr>
        <w:pStyle w:val="StyleBoldCentered"/>
        <w:rPr>
          <w:rFonts w:ascii="Times New Roman" w:hAnsi="Times New Roman"/>
        </w:rPr>
      </w:pPr>
    </w:p>
    <w:p w:rsidR="00534EA3" w:rsidRPr="00193A4F" w:rsidP="00534EA3" w14:paraId="11451173" w14:textId="77777777">
      <w:pPr>
        <w:pStyle w:val="StyleBoldCentered"/>
        <w:rPr>
          <w:rFonts w:ascii="Times New Roman" w:hAnsi="Times New Roman"/>
        </w:rPr>
      </w:pPr>
      <w:r w:rsidRPr="00193A4F">
        <w:rPr>
          <w:rFonts w:ascii="Times New Roman" w:hAnsi="Times New Roman"/>
        </w:rPr>
        <w:t>MEMORANDUM OPINION AND ORDER</w:t>
      </w:r>
    </w:p>
    <w:p w:rsidR="00534EA3" w:rsidRPr="00193A4F" w:rsidP="00534EA3" w14:paraId="21BB11D7" w14:textId="77777777">
      <w:pPr>
        <w:tabs>
          <w:tab w:val="left" w:pos="-720"/>
        </w:tabs>
        <w:suppressAutoHyphens/>
        <w:spacing w:line="227" w:lineRule="auto"/>
        <w:rPr>
          <w:spacing w:val="-2"/>
          <w:szCs w:val="22"/>
        </w:rPr>
      </w:pPr>
    </w:p>
    <w:p w:rsidR="00534EA3" w:rsidRPr="00193A4F" w:rsidP="00534EA3" w14:paraId="20A82D43" w14:textId="77777777">
      <w:pPr>
        <w:tabs>
          <w:tab w:val="left" w:pos="720"/>
          <w:tab w:val="right" w:pos="9360"/>
        </w:tabs>
        <w:suppressAutoHyphens/>
        <w:spacing w:line="227" w:lineRule="auto"/>
        <w:rPr>
          <w:spacing w:val="-2"/>
          <w:szCs w:val="22"/>
        </w:rPr>
      </w:pPr>
      <w:r w:rsidRPr="00193A4F">
        <w:rPr>
          <w:b/>
          <w:spacing w:val="-2"/>
          <w:szCs w:val="22"/>
        </w:rPr>
        <w:t xml:space="preserve">Adopted:  </w:t>
      </w:r>
      <w:r>
        <w:rPr>
          <w:b/>
          <w:szCs w:val="22"/>
        </w:rPr>
        <w:t>June 17, 2021</w:t>
      </w:r>
      <w:r w:rsidRPr="00193A4F">
        <w:rPr>
          <w:b/>
          <w:spacing w:val="-2"/>
          <w:szCs w:val="22"/>
        </w:rPr>
        <w:tab/>
        <w:t xml:space="preserve">Released:  </w:t>
      </w:r>
      <w:r>
        <w:rPr>
          <w:b/>
          <w:szCs w:val="22"/>
        </w:rPr>
        <w:t>June 17, 2021</w:t>
      </w:r>
    </w:p>
    <w:p w:rsidR="00534EA3" w:rsidRPr="00193A4F" w:rsidP="00534EA3" w14:paraId="6EDD3A1B" w14:textId="77777777">
      <w:pPr>
        <w:rPr>
          <w:szCs w:val="22"/>
        </w:rPr>
      </w:pPr>
    </w:p>
    <w:p w:rsidR="00534EA3" w:rsidRPr="00193A4F" w:rsidP="00534EA3" w14:paraId="380B04B0" w14:textId="27D9B034">
      <w:pPr>
        <w:rPr>
          <w:spacing w:val="-2"/>
          <w:szCs w:val="22"/>
        </w:rPr>
      </w:pPr>
      <w:r w:rsidRPr="00193A4F">
        <w:rPr>
          <w:szCs w:val="22"/>
        </w:rPr>
        <w:t xml:space="preserve">By the </w:t>
      </w:r>
      <w:r>
        <w:rPr>
          <w:szCs w:val="22"/>
        </w:rPr>
        <w:t>Commission:</w:t>
      </w:r>
      <w:r w:rsidR="00212C15">
        <w:rPr>
          <w:szCs w:val="22"/>
        </w:rPr>
        <w:t xml:space="preserve">  </w:t>
      </w:r>
      <w:r w:rsidRPr="00212C15" w:rsidR="00212C15">
        <w:rPr>
          <w:szCs w:val="22"/>
        </w:rPr>
        <w:t xml:space="preserve">Acting Chairwoman </w:t>
      </w:r>
      <w:r w:rsidRPr="00212C15" w:rsidR="00212C15">
        <w:rPr>
          <w:szCs w:val="22"/>
        </w:rPr>
        <w:t>Rosenworcel</w:t>
      </w:r>
      <w:r w:rsidRPr="00212C15" w:rsidR="00212C15">
        <w:rPr>
          <w:szCs w:val="22"/>
        </w:rPr>
        <w:t xml:space="preserve"> issuing a statement</w:t>
      </w:r>
    </w:p>
    <w:p w:rsidR="00534EA3" w:rsidRPr="00193A4F" w:rsidP="00534EA3" w14:paraId="19BF968D" w14:textId="77777777">
      <w:pPr>
        <w:rPr>
          <w:spacing w:val="-2"/>
          <w:szCs w:val="22"/>
          <w:vertAlign w:val="subscript"/>
        </w:rPr>
      </w:pPr>
    </w:p>
    <w:p w:rsidR="00534EA3" w:rsidP="00534EA3" w14:paraId="65FF650E" w14:textId="77777777">
      <w:pPr>
        <w:pStyle w:val="ParaNum"/>
        <w:widowControl/>
        <w:spacing w:line="259" w:lineRule="auto"/>
        <w:rPr>
          <w:szCs w:val="22"/>
        </w:rPr>
      </w:pPr>
      <w:r>
        <w:rPr>
          <w:szCs w:val="22"/>
        </w:rPr>
        <w:t>In this Order w</w:t>
      </w:r>
      <w:r w:rsidRPr="00193A4F">
        <w:rPr>
          <w:szCs w:val="22"/>
        </w:rPr>
        <w:t xml:space="preserve">e </w:t>
      </w:r>
      <w:r>
        <w:rPr>
          <w:szCs w:val="22"/>
        </w:rPr>
        <w:t xml:space="preserve">enforce our equipment marketing rules and </w:t>
      </w:r>
      <w:r w:rsidRPr="00193A4F">
        <w:rPr>
          <w:szCs w:val="22"/>
        </w:rPr>
        <w:t>deny the Petition for Reconsideration</w:t>
      </w:r>
      <w:r>
        <w:rPr>
          <w:rStyle w:val="FootnoteReference"/>
          <w:szCs w:val="22"/>
        </w:rPr>
        <w:footnoteReference w:id="3"/>
      </w:r>
      <w:r w:rsidRPr="00193A4F">
        <w:rPr>
          <w:szCs w:val="22"/>
        </w:rPr>
        <w:t xml:space="preserve"> filed by </w:t>
      </w:r>
      <w:r w:rsidRPr="007B517E">
        <w:rPr>
          <w:szCs w:val="22"/>
        </w:rPr>
        <w:t xml:space="preserve">ABC Fulfillment Services LLC and Indubitably, Inc., d/b/a </w:t>
      </w:r>
      <w:r w:rsidRPr="007B517E">
        <w:rPr>
          <w:szCs w:val="22"/>
        </w:rPr>
        <w:t>HobbyKing</w:t>
      </w:r>
      <w:r w:rsidRPr="007B517E">
        <w:rPr>
          <w:szCs w:val="22"/>
        </w:rPr>
        <w:t xml:space="preserve"> (collectively, </w:t>
      </w:r>
      <w:r w:rsidRPr="007B517E">
        <w:rPr>
          <w:szCs w:val="22"/>
        </w:rPr>
        <w:t>HobbyKing</w:t>
      </w:r>
      <w:r w:rsidRPr="007B517E">
        <w:rPr>
          <w:szCs w:val="22"/>
        </w:rPr>
        <w:t xml:space="preserve"> or Company) </w:t>
      </w:r>
      <w:r w:rsidRPr="00193A4F">
        <w:rPr>
          <w:szCs w:val="22"/>
        </w:rPr>
        <w:t xml:space="preserve">seeking reconsideration of </w:t>
      </w:r>
      <w:r>
        <w:rPr>
          <w:szCs w:val="22"/>
        </w:rPr>
        <w:t xml:space="preserve">the Commission’s underlying </w:t>
      </w:r>
      <w:r w:rsidRPr="00FC3661">
        <w:rPr>
          <w:i/>
          <w:iCs/>
          <w:szCs w:val="22"/>
        </w:rPr>
        <w:t>Forfeiture Order</w:t>
      </w:r>
      <w:r>
        <w:rPr>
          <w:szCs w:val="22"/>
        </w:rPr>
        <w:t>.</w:t>
      </w:r>
      <w:r>
        <w:rPr>
          <w:rStyle w:val="FootnoteReference"/>
          <w:szCs w:val="22"/>
        </w:rPr>
        <w:footnoteReference w:id="4"/>
      </w:r>
      <w:r w:rsidRPr="00193A4F">
        <w:rPr>
          <w:szCs w:val="22"/>
        </w:rPr>
        <w:t xml:space="preserve">  In the </w:t>
      </w:r>
      <w:r w:rsidRPr="00DE3C98">
        <w:rPr>
          <w:i/>
          <w:iCs/>
          <w:szCs w:val="22"/>
        </w:rPr>
        <w:t>Forfeiture Order</w:t>
      </w:r>
      <w:r>
        <w:rPr>
          <w:szCs w:val="22"/>
        </w:rPr>
        <w:t>,</w:t>
      </w:r>
      <w:r w:rsidRPr="00193A4F">
        <w:rPr>
          <w:szCs w:val="22"/>
        </w:rPr>
        <w:t xml:space="preserve"> the </w:t>
      </w:r>
      <w:r>
        <w:rPr>
          <w:szCs w:val="22"/>
        </w:rPr>
        <w:t xml:space="preserve">Commission </w:t>
      </w:r>
      <w:r w:rsidRPr="00193A4F">
        <w:rPr>
          <w:szCs w:val="22"/>
        </w:rPr>
        <w:t xml:space="preserve">imposed a forfeiture of </w:t>
      </w:r>
      <w:r w:rsidRPr="007B517E">
        <w:rPr>
          <w:szCs w:val="22"/>
        </w:rPr>
        <w:t xml:space="preserve">$2,861,128 </w:t>
      </w:r>
      <w:r w:rsidRPr="00193A4F">
        <w:rPr>
          <w:szCs w:val="22"/>
        </w:rPr>
        <w:t xml:space="preserve">against </w:t>
      </w:r>
      <w:r>
        <w:rPr>
          <w:szCs w:val="22"/>
        </w:rPr>
        <w:t>HobbyKing</w:t>
      </w:r>
      <w:r>
        <w:rPr>
          <w:szCs w:val="22"/>
        </w:rPr>
        <w:t xml:space="preserve"> </w:t>
      </w:r>
      <w:r w:rsidRPr="00193A4F">
        <w:rPr>
          <w:szCs w:val="22"/>
        </w:rPr>
        <w:t>for</w:t>
      </w:r>
      <w:r>
        <w:rPr>
          <w:szCs w:val="22"/>
        </w:rPr>
        <w:t>:</w:t>
      </w:r>
      <w:r w:rsidRPr="00193A4F">
        <w:rPr>
          <w:szCs w:val="22"/>
        </w:rPr>
        <w:t xml:space="preserve"> </w:t>
      </w:r>
      <w:r>
        <w:rPr>
          <w:szCs w:val="22"/>
        </w:rPr>
        <w:t xml:space="preserve"> (</w:t>
      </w:r>
      <w:r>
        <w:rPr>
          <w:szCs w:val="22"/>
        </w:rPr>
        <w:t>i</w:t>
      </w:r>
      <w:r>
        <w:rPr>
          <w:szCs w:val="22"/>
        </w:rPr>
        <w:t xml:space="preserve">) </w:t>
      </w:r>
      <w:r w:rsidRPr="007B517E">
        <w:rPr>
          <w:szCs w:val="22"/>
        </w:rPr>
        <w:t>violating</w:t>
      </w:r>
      <w:r>
        <w:rPr>
          <w:szCs w:val="22"/>
        </w:rPr>
        <w:t xml:space="preserve"> </w:t>
      </w:r>
      <w:r>
        <w:t>s</w:t>
      </w:r>
      <w:r w:rsidRPr="007043A4">
        <w:t xml:space="preserve">ection 302 of the </w:t>
      </w:r>
      <w:r>
        <w:t>Communications Act of 1934, as amended (</w:t>
      </w:r>
      <w:r w:rsidRPr="007043A4">
        <w:t>Act</w:t>
      </w:r>
      <w:r>
        <w:t>)</w:t>
      </w:r>
      <w:r>
        <w:rPr>
          <w:rStyle w:val="FootnoteReference"/>
        </w:rPr>
        <w:footnoteReference w:id="5"/>
      </w:r>
      <w:r w:rsidRPr="007043A4">
        <w:t xml:space="preserve"> </w:t>
      </w:r>
      <w:r>
        <w:t>and s</w:t>
      </w:r>
      <w:r w:rsidRPr="007043A4">
        <w:t>ection</w:t>
      </w:r>
      <w:r>
        <w:t> </w:t>
      </w:r>
      <w:r w:rsidRPr="007043A4">
        <w:t>2.803</w:t>
      </w:r>
      <w:r>
        <w:t xml:space="preserve"> </w:t>
      </w:r>
      <w:r w:rsidRPr="007043A4">
        <w:t>of the Commission</w:t>
      </w:r>
      <w:r>
        <w:t>’</w:t>
      </w:r>
      <w:r w:rsidRPr="007043A4">
        <w:t>s rules</w:t>
      </w:r>
      <w:r>
        <w:rPr>
          <w:rStyle w:val="FootnoteReference"/>
        </w:rPr>
        <w:footnoteReference w:id="6"/>
      </w:r>
      <w:r>
        <w:t xml:space="preserve"> </w:t>
      </w:r>
      <w:r w:rsidRPr="0007571D">
        <w:t>by</w:t>
      </w:r>
      <w:r>
        <w:t xml:space="preserve"> marketing noncompliant radio frequency equipment</w:t>
      </w:r>
      <w:r w:rsidRPr="007B517E">
        <w:rPr>
          <w:szCs w:val="22"/>
        </w:rPr>
        <w:t xml:space="preserve">, and </w:t>
      </w:r>
      <w:r>
        <w:rPr>
          <w:szCs w:val="22"/>
        </w:rPr>
        <w:t>(ii) </w:t>
      </w:r>
      <w:r w:rsidRPr="007B517E">
        <w:rPr>
          <w:szCs w:val="22"/>
        </w:rPr>
        <w:t xml:space="preserve">failing to respond to Commission orders in the investigation of the </w:t>
      </w:r>
      <w:r>
        <w:rPr>
          <w:szCs w:val="22"/>
        </w:rPr>
        <w:t>C</w:t>
      </w:r>
      <w:r w:rsidRPr="007B517E">
        <w:rPr>
          <w:szCs w:val="22"/>
        </w:rPr>
        <w:t>ompany’s practices.</w:t>
      </w:r>
      <w:r>
        <w:rPr>
          <w:rStyle w:val="FootnoteReference"/>
          <w:szCs w:val="22"/>
        </w:rPr>
        <w:footnoteReference w:id="7"/>
      </w:r>
    </w:p>
    <w:p w:rsidR="00534EA3" w:rsidRPr="00193A4F" w:rsidP="00534EA3" w14:paraId="11D4AF04" w14:textId="77777777">
      <w:pPr>
        <w:pStyle w:val="Heading1"/>
      </w:pPr>
      <w:r>
        <w:t>BackGround</w:t>
      </w:r>
    </w:p>
    <w:p w:rsidR="00534EA3" w:rsidP="00534EA3" w14:paraId="274AF9A2" w14:textId="77777777">
      <w:pPr>
        <w:pStyle w:val="ParaNum"/>
      </w:pPr>
      <w:r>
        <w:t>The Commission’s equipment marketing rules, including the authorization requirements, are designed to ensure that equipment in the wireless ecosystem operates in a manner that minimizes the risks of harmful interference.</w:t>
      </w:r>
      <w:r>
        <w:rPr>
          <w:rStyle w:val="FootnoteReference"/>
        </w:rPr>
        <w:footnoteReference w:id="8"/>
      </w:r>
      <w:r>
        <w:t xml:space="preserve">  Unauthorized radio frequency equipment poses a serious threat to any number of important uses of spectrum, including aviation safety, public safety communications, and </w:t>
      </w:r>
      <w:r>
        <w:t>mobile broadband communications, because unauthorized and untested devices may not adhere to the technical requirements necessary to prevent harmful interference to other devices and services.</w:t>
      </w:r>
      <w:r>
        <w:rPr>
          <w:rStyle w:val="FootnoteReference"/>
        </w:rPr>
        <w:footnoteReference w:id="9"/>
      </w:r>
    </w:p>
    <w:p w:rsidR="00534EA3" w:rsidP="00534EA3" w14:paraId="025772C7" w14:textId="77777777">
      <w:pPr>
        <w:pStyle w:val="ParaNum"/>
      </w:pPr>
      <w:r>
        <w:t xml:space="preserve">The Enforcement Bureau’s Spectrum Enforcement Division received complaints about </w:t>
      </w:r>
      <w:r>
        <w:t>HobbyKing’s</w:t>
      </w:r>
      <w:r>
        <w:t xml:space="preserve"> equipment marketing and investigated the Company’s practices in 2016.</w:t>
      </w:r>
      <w:r>
        <w:rPr>
          <w:rStyle w:val="FootnoteReference"/>
        </w:rPr>
        <w:footnoteReference w:id="10"/>
      </w:r>
      <w:r>
        <w:t xml:space="preserve">  </w:t>
      </w:r>
      <w:r w:rsidRPr="00C12562">
        <w:rPr>
          <w:szCs w:val="22"/>
        </w:rPr>
        <w:t xml:space="preserve">After investigating, the Bureau issued </w:t>
      </w:r>
      <w:r w:rsidRPr="00C12562">
        <w:rPr>
          <w:szCs w:val="22"/>
        </w:rPr>
        <w:t>HobbyKing</w:t>
      </w:r>
      <w:r w:rsidRPr="00C12562">
        <w:rPr>
          <w:szCs w:val="22"/>
        </w:rPr>
        <w:t xml:space="preserve"> a Citation and Order </w:t>
      </w:r>
      <w:r>
        <w:rPr>
          <w:szCs w:val="22"/>
        </w:rPr>
        <w:t xml:space="preserve">in 2016 </w:t>
      </w:r>
      <w:r w:rsidRPr="00C12562">
        <w:rPr>
          <w:szCs w:val="22"/>
        </w:rPr>
        <w:t xml:space="preserve">for violations of </w:t>
      </w:r>
      <w:r>
        <w:rPr>
          <w:szCs w:val="22"/>
        </w:rPr>
        <w:t>s</w:t>
      </w:r>
      <w:r w:rsidRPr="00C12562">
        <w:rPr>
          <w:szCs w:val="22"/>
        </w:rPr>
        <w:t>ection 302 of the Act,</w:t>
      </w:r>
      <w:r>
        <w:rPr>
          <w:rStyle w:val="FootnoteReference"/>
          <w:szCs w:val="22"/>
        </w:rPr>
        <w:footnoteReference w:id="11"/>
      </w:r>
      <w:r w:rsidRPr="00C12562">
        <w:rPr>
          <w:szCs w:val="22"/>
        </w:rPr>
        <w:t xml:space="preserve"> and </w:t>
      </w:r>
      <w:r>
        <w:rPr>
          <w:szCs w:val="22"/>
        </w:rPr>
        <w:t>s</w:t>
      </w:r>
      <w:r w:rsidRPr="00C12562">
        <w:rPr>
          <w:szCs w:val="22"/>
        </w:rPr>
        <w:t>ections 2.803 and 2.925 of the Commission’s rules</w:t>
      </w:r>
      <w:r>
        <w:rPr>
          <w:rStyle w:val="FootnoteReference"/>
          <w:szCs w:val="22"/>
        </w:rPr>
        <w:footnoteReference w:id="12"/>
      </w:r>
      <w:r w:rsidRPr="00C12562">
        <w:rPr>
          <w:szCs w:val="22"/>
        </w:rPr>
        <w:t xml:space="preserve"> for illegally marketing noncompliant and unauthorized </w:t>
      </w:r>
      <w:r>
        <w:rPr>
          <w:szCs w:val="22"/>
        </w:rPr>
        <w:t xml:space="preserve">audio/video </w:t>
      </w:r>
      <w:r w:rsidRPr="00C12562">
        <w:rPr>
          <w:szCs w:val="22"/>
        </w:rPr>
        <w:t>transmitters.</w:t>
      </w:r>
      <w:r>
        <w:rPr>
          <w:rStyle w:val="FootnoteReference"/>
          <w:szCs w:val="22"/>
        </w:rPr>
        <w:footnoteReference w:id="13"/>
      </w:r>
      <w:r>
        <w:t xml:space="preserve">  The Bureau subsequently received additional equipment marketing complaints regarding </w:t>
      </w:r>
      <w:r>
        <w:t>HobbyKing</w:t>
      </w:r>
      <w:r>
        <w:t xml:space="preserve"> and initiated a second investigation.</w:t>
      </w:r>
      <w:r>
        <w:rPr>
          <w:rStyle w:val="FootnoteReference"/>
        </w:rPr>
        <w:footnoteReference w:id="14"/>
      </w:r>
      <w:r>
        <w:t xml:space="preserve">  </w:t>
      </w:r>
      <w:r>
        <w:t>HobbyKing</w:t>
      </w:r>
      <w:r>
        <w:t xml:space="preserve"> failed to respond to the Bureau’s Letter of Inquiry (</w:t>
      </w:r>
      <w:r>
        <w:t>LOI</w:t>
      </w:r>
      <w:r>
        <w:t xml:space="preserve">), and the Bureau thus issued a second Citation and Order ordering the Company to respond to the </w:t>
      </w:r>
      <w:r>
        <w:t>LOI</w:t>
      </w:r>
      <w:r>
        <w:t>,</w:t>
      </w:r>
      <w:r>
        <w:rPr>
          <w:rStyle w:val="FootnoteReference"/>
        </w:rPr>
        <w:footnoteReference w:id="15"/>
      </w:r>
      <w:r>
        <w:t xml:space="preserve"> which </w:t>
      </w:r>
      <w:r>
        <w:t>HobbyKing</w:t>
      </w:r>
      <w:r>
        <w:t xml:space="preserve"> also did not respond to.</w:t>
      </w:r>
      <w:r>
        <w:rPr>
          <w:rStyle w:val="FootnoteReference"/>
        </w:rPr>
        <w:footnoteReference w:id="16"/>
      </w:r>
    </w:p>
    <w:p w:rsidR="00534EA3" w:rsidRPr="00441CB5" w:rsidP="00534EA3" w14:paraId="6FDAF53C" w14:textId="77777777">
      <w:pPr>
        <w:pStyle w:val="ParaNum"/>
      </w:pPr>
      <w:r>
        <w:t>On June 5, 2018, the Commission issued a Notice of Apparent Liability for Forfeiture (</w:t>
      </w:r>
      <w:r w:rsidRPr="0058185B">
        <w:rPr>
          <w:i/>
          <w:iCs/>
        </w:rPr>
        <w:t>Notice</w:t>
      </w:r>
      <w:r>
        <w:t xml:space="preserve">) against </w:t>
      </w:r>
      <w:r>
        <w:t>HobbyKing</w:t>
      </w:r>
      <w:r>
        <w:t xml:space="preserve"> in the amount of $2,861,128 for its apparent willful and repeated violations of section 302 of the Act,</w:t>
      </w:r>
      <w:r>
        <w:rPr>
          <w:rStyle w:val="FootnoteReference"/>
        </w:rPr>
        <w:footnoteReference w:id="17"/>
      </w:r>
      <w:r>
        <w:t xml:space="preserve"> section 2.803 of the Commission’s rules,</w:t>
      </w:r>
      <w:r>
        <w:rPr>
          <w:rStyle w:val="FootnoteReference"/>
        </w:rPr>
        <w:footnoteReference w:id="18"/>
      </w:r>
      <w:r>
        <w:t xml:space="preserve"> and two Commission orders</w:t>
      </w:r>
      <w:r>
        <w:rPr>
          <w:rStyle w:val="FootnoteReference"/>
        </w:rPr>
        <w:footnoteReference w:id="19"/>
      </w:r>
      <w:r>
        <w:t xml:space="preserve"> by marketing noncompliant radio frequency devices and by refusing to provide full responses to Commission inquiries in the investigation.</w:t>
      </w:r>
      <w:r>
        <w:rPr>
          <w:rStyle w:val="FootnoteReference"/>
        </w:rPr>
        <w:footnoteReference w:id="20"/>
      </w:r>
      <w:r>
        <w:t xml:space="preserve">  On July 5, 2018, </w:t>
      </w:r>
      <w:r>
        <w:t>HobbyKing</w:t>
      </w:r>
      <w:r>
        <w:t xml:space="preserve"> filed a response to the </w:t>
      </w:r>
      <w:r w:rsidRPr="0058185B">
        <w:rPr>
          <w:i/>
          <w:iCs/>
        </w:rPr>
        <w:t>Notice</w:t>
      </w:r>
      <w:r>
        <w:t xml:space="preserve">, making a number of arguments as to why the </w:t>
      </w:r>
      <w:r w:rsidRPr="00D54A3A">
        <w:t>Notice</w:t>
      </w:r>
      <w:r>
        <w:t xml:space="preserve"> should be canceled or the forfeiture amount reduced.</w:t>
      </w:r>
      <w:r>
        <w:rPr>
          <w:rStyle w:val="FootnoteReference"/>
        </w:rPr>
        <w:footnoteReference w:id="21"/>
      </w:r>
      <w:r>
        <w:t xml:space="preserve">  Specifically, the Company argued:  </w:t>
      </w:r>
      <w:r w:rsidRPr="00D54A3A">
        <w:rPr>
          <w:snapToGrid/>
          <w:kern w:val="0"/>
          <w:szCs w:val="22"/>
        </w:rPr>
        <w:t>(</w:t>
      </w:r>
      <w:r w:rsidRPr="00D54A3A">
        <w:rPr>
          <w:snapToGrid/>
          <w:kern w:val="0"/>
          <w:szCs w:val="22"/>
        </w:rPr>
        <w:t>i</w:t>
      </w:r>
      <w:r w:rsidRPr="00D54A3A">
        <w:rPr>
          <w:snapToGrid/>
          <w:kern w:val="0"/>
          <w:szCs w:val="22"/>
        </w:rPr>
        <w:t xml:space="preserve">) </w:t>
      </w:r>
      <w:r w:rsidRPr="00D54A3A">
        <w:rPr>
          <w:rFonts w:ascii="TimesNewRomanPSMT" w:hAnsi="TimesNewRomanPSMT" w:cs="TimesNewRomanPSMT"/>
          <w:snapToGrid/>
          <w:kern w:val="0"/>
          <w:szCs w:val="22"/>
        </w:rPr>
        <w:t>the Company lacked notice that marketing AV transmitters that could operate on unauthorized frequencies was unlawful;</w:t>
      </w:r>
      <w:r>
        <w:rPr>
          <w:rFonts w:ascii="TimesNewRomanPSMT" w:hAnsi="TimesNewRomanPSMT" w:cs="TimesNewRomanPSMT"/>
          <w:snapToGrid/>
          <w:kern w:val="0"/>
          <w:szCs w:val="22"/>
        </w:rPr>
        <w:t xml:space="preserve"> (ii) </w:t>
      </w:r>
      <w:r w:rsidRPr="00D54A3A">
        <w:rPr>
          <w:rFonts w:ascii="TimesNewRomanPSMT" w:hAnsi="TimesNewRomanPSMT" w:cs="TimesNewRomanPSMT"/>
          <w:snapToGrid/>
          <w:kern w:val="0"/>
          <w:szCs w:val="22"/>
        </w:rPr>
        <w:t xml:space="preserve">the requirement to fully respond to the </w:t>
      </w:r>
      <w:r w:rsidRPr="00D54A3A">
        <w:rPr>
          <w:rFonts w:ascii="TimesNewRomanPSMT" w:hAnsi="TimesNewRomanPSMT" w:cs="TimesNewRomanPSMT"/>
          <w:snapToGrid/>
          <w:kern w:val="0"/>
          <w:szCs w:val="22"/>
        </w:rPr>
        <w:t>LOI</w:t>
      </w:r>
      <w:r w:rsidRPr="00D54A3A">
        <w:rPr>
          <w:rFonts w:ascii="TimesNewRomanPSMT" w:hAnsi="TimesNewRomanPSMT" w:cs="TimesNewRomanPSMT"/>
          <w:snapToGrid/>
          <w:kern w:val="0"/>
          <w:szCs w:val="22"/>
        </w:rPr>
        <w:t xml:space="preserve"> violated the</w:t>
      </w:r>
      <w:r w:rsidRPr="003631B2">
        <w:rPr>
          <w:rFonts w:ascii="TimesNewRomanPSMT" w:hAnsi="TimesNewRomanPSMT" w:cs="TimesNewRomanPSMT"/>
          <w:snapToGrid/>
          <w:kern w:val="0"/>
          <w:szCs w:val="22"/>
        </w:rPr>
        <w:t xml:space="preserve"> Company’s Fifth Amendment right against self-incrimination</w:t>
      </w:r>
      <w:r>
        <w:rPr>
          <w:rFonts w:ascii="TimesNewRomanPSMT" w:hAnsi="TimesNewRomanPSMT" w:cs="TimesNewRomanPSMT"/>
          <w:snapToGrid/>
          <w:kern w:val="0"/>
          <w:szCs w:val="22"/>
        </w:rPr>
        <w:t>;</w:t>
      </w:r>
      <w:r>
        <w:rPr>
          <w:i/>
          <w:iCs/>
          <w:snapToGrid/>
          <w:kern w:val="0"/>
          <w:szCs w:val="22"/>
        </w:rPr>
        <w:t xml:space="preserve"> </w:t>
      </w:r>
      <w:r>
        <w:rPr>
          <w:snapToGrid/>
          <w:kern w:val="0"/>
          <w:szCs w:val="22"/>
        </w:rPr>
        <w:t xml:space="preserve">(iii) </w:t>
      </w:r>
      <w:r w:rsidRPr="00D54A3A">
        <w:rPr>
          <w:rFonts w:ascii="TimesNewRomanPSMT" w:hAnsi="TimesNewRomanPSMT" w:cs="TimesNewRomanPSMT"/>
          <w:snapToGrid/>
          <w:kern w:val="0"/>
          <w:szCs w:val="22"/>
        </w:rPr>
        <w:t>the forfeiture amount should be reduced based on various downward adjustment factors, including inability to pay</w:t>
      </w:r>
      <w:r>
        <w:rPr>
          <w:rFonts w:ascii="TimesNewRomanPSMT" w:hAnsi="TimesNewRomanPSMT" w:cs="TimesNewRomanPSMT"/>
          <w:snapToGrid/>
          <w:kern w:val="0"/>
          <w:szCs w:val="22"/>
        </w:rPr>
        <w:t xml:space="preserve">; (iv) that ABC Fulfillment Services LLC was no longer involved in </w:t>
      </w:r>
      <w:r>
        <w:rPr>
          <w:rFonts w:ascii="TimesNewRomanPSMT" w:hAnsi="TimesNewRomanPSMT" w:cs="TimesNewRomanPSMT"/>
          <w:snapToGrid/>
          <w:kern w:val="0"/>
          <w:szCs w:val="22"/>
        </w:rPr>
        <w:t>HobbyKing’s</w:t>
      </w:r>
      <w:r>
        <w:rPr>
          <w:rFonts w:ascii="TimesNewRomanPSMT" w:hAnsi="TimesNewRomanPSMT" w:cs="TimesNewRomanPSMT"/>
          <w:snapToGrid/>
          <w:kern w:val="0"/>
          <w:szCs w:val="22"/>
        </w:rPr>
        <w:t xml:space="preserve"> business; and (v) </w:t>
      </w:r>
      <w:r w:rsidRPr="00D54A3A">
        <w:rPr>
          <w:rFonts w:ascii="TimesNewRomanPSMT" w:hAnsi="TimesNewRomanPSMT" w:cs="TimesNewRomanPSMT"/>
          <w:snapToGrid/>
          <w:kern w:val="0"/>
          <w:szCs w:val="22"/>
        </w:rPr>
        <w:t>the Commission does not have marketing rules that specifically address so-called “versatile” drone equipment that can operate on both amateur and non-amateur frequencies</w:t>
      </w:r>
      <w:r>
        <w:rPr>
          <w:rFonts w:ascii="TimesNewRomanPSMT" w:hAnsi="TimesNewRomanPSMT" w:cs="TimesNewRomanPSMT"/>
          <w:snapToGrid/>
          <w:kern w:val="0"/>
          <w:szCs w:val="22"/>
        </w:rPr>
        <w:t>.</w:t>
      </w:r>
      <w:r>
        <w:rPr>
          <w:rStyle w:val="FootnoteReference"/>
          <w:rFonts w:cs="TimesNewRomanPSMT"/>
          <w:snapToGrid/>
          <w:kern w:val="0"/>
          <w:szCs w:val="22"/>
        </w:rPr>
        <w:footnoteReference w:id="22"/>
      </w:r>
      <w:r>
        <w:rPr>
          <w:rFonts w:ascii="TimesNewRomanPSMT" w:hAnsi="TimesNewRomanPSMT" w:cs="TimesNewRomanPSMT"/>
          <w:snapToGrid/>
          <w:kern w:val="0"/>
          <w:szCs w:val="22"/>
        </w:rPr>
        <w:t xml:space="preserve"> </w:t>
      </w:r>
    </w:p>
    <w:p w:rsidR="00534EA3" w:rsidP="00534EA3" w14:paraId="3DFF00CD" w14:textId="77777777">
      <w:pPr>
        <w:pStyle w:val="ParaNum"/>
        <w:widowControl/>
      </w:pPr>
      <w:r>
        <w:t xml:space="preserve">The Commission issued the </w:t>
      </w:r>
      <w:r w:rsidRPr="00441CB5">
        <w:rPr>
          <w:i/>
          <w:iCs/>
        </w:rPr>
        <w:t>Forfeiture Order</w:t>
      </w:r>
      <w:r>
        <w:t xml:space="preserve"> on July 23, 2020, rejecting </w:t>
      </w:r>
      <w:r>
        <w:t>all of</w:t>
      </w:r>
      <w:r>
        <w:t xml:space="preserve"> </w:t>
      </w:r>
      <w:r>
        <w:t>HobbyKing’s</w:t>
      </w:r>
      <w:r>
        <w:t xml:space="preserve"> arguments and affirming the $2,861,128 forfeiture proposed in the Notice.</w:t>
      </w:r>
      <w:r>
        <w:rPr>
          <w:rStyle w:val="FootnoteReference"/>
        </w:rPr>
        <w:footnoteReference w:id="23"/>
      </w:r>
      <w:r>
        <w:t xml:space="preserve">  On August 24, 2020, </w:t>
      </w:r>
      <w:r>
        <w:t>HobbyKing</w:t>
      </w:r>
      <w:r>
        <w:t xml:space="preserve"> filed a Petition for Reconsideration seeking reconsideration of the Forfeiture Order.</w:t>
      </w:r>
      <w:r>
        <w:rPr>
          <w:rStyle w:val="FootnoteReference"/>
        </w:rPr>
        <w:footnoteReference w:id="24"/>
      </w:r>
    </w:p>
    <w:p w:rsidR="00534EA3" w:rsidRPr="000A30E1" w:rsidP="00534EA3" w14:paraId="7ACE8891" w14:textId="77777777">
      <w:pPr>
        <w:pStyle w:val="Heading1"/>
      </w:pPr>
      <w:r>
        <w:t>Standard of review</w:t>
      </w:r>
    </w:p>
    <w:p w:rsidR="00534EA3" w:rsidP="00534EA3" w14:paraId="605A298C" w14:textId="77777777">
      <w:pPr>
        <w:pStyle w:val="ParaNum"/>
        <w:widowControl/>
        <w:spacing w:line="259" w:lineRule="auto"/>
      </w:pPr>
      <w:r w:rsidRPr="005238CC">
        <w:t>Petitions for Reconsideration</w:t>
      </w:r>
      <w:r>
        <w:t xml:space="preserve"> under section 405 of the Act and section 1.106 of the Commission’s rules</w:t>
      </w:r>
      <w:r w:rsidRPr="005238CC">
        <w:t xml:space="preserve"> are granted only in limited circumstances.</w:t>
      </w:r>
      <w:r>
        <w:rPr>
          <w:rStyle w:val="FootnoteReference"/>
        </w:rPr>
        <w:footnoteReference w:id="25"/>
      </w:r>
      <w:r w:rsidRPr="005238CC">
        <w:t xml:space="preserve"> </w:t>
      </w:r>
      <w:r>
        <w:t xml:space="preserve"> In general, r</w:t>
      </w:r>
      <w:r w:rsidRPr="00193A4F">
        <w:t>econsideration is appropriate only when the petitioner either demonstrates a material error or omission in the underlying order or raises additional facts not known or not existing until after the petitioner’s last opportunity to present such matters.</w:t>
      </w:r>
      <w:r>
        <w:rPr>
          <w:rStyle w:val="FootnoteReference"/>
        </w:rPr>
        <w:footnoteReference w:id="26"/>
      </w:r>
      <w:r w:rsidRPr="00193A4F">
        <w:t xml:space="preserve">  </w:t>
      </w:r>
      <w:r w:rsidRPr="009617E8">
        <w:t>A petition that simply repeats arguments previously considered and rejected will be denied.</w:t>
      </w:r>
      <w:r>
        <w:rPr>
          <w:rStyle w:val="FootnoteReference"/>
        </w:rPr>
        <w:footnoteReference w:id="27"/>
      </w:r>
      <w:r>
        <w:t xml:space="preserve">  </w:t>
      </w:r>
    </w:p>
    <w:p w:rsidR="00534EA3" w:rsidRPr="000A30E1" w:rsidP="00534EA3" w14:paraId="7DF8B7E6" w14:textId="77777777">
      <w:pPr>
        <w:pStyle w:val="Heading1"/>
      </w:pPr>
      <w:r>
        <w:t>discussion</w:t>
      </w:r>
    </w:p>
    <w:p w:rsidR="00534EA3" w:rsidRPr="00193A4F" w:rsidP="00534EA3" w14:paraId="49B3DCCE" w14:textId="77777777">
      <w:pPr>
        <w:pStyle w:val="ParaNum"/>
        <w:widowControl/>
        <w:spacing w:line="259" w:lineRule="auto"/>
        <w:rPr>
          <w:szCs w:val="22"/>
        </w:rPr>
      </w:pPr>
      <w:r w:rsidRPr="00193A4F">
        <w:rPr>
          <w:szCs w:val="22"/>
        </w:rPr>
        <w:t xml:space="preserve">Upon review of </w:t>
      </w:r>
      <w:r>
        <w:rPr>
          <w:szCs w:val="22"/>
        </w:rPr>
        <w:t>HobbyKing’s</w:t>
      </w:r>
      <w:r w:rsidRPr="00193A4F">
        <w:rPr>
          <w:szCs w:val="22"/>
        </w:rPr>
        <w:t xml:space="preserve"> Petition for Reconsideration</w:t>
      </w:r>
      <w:r>
        <w:rPr>
          <w:szCs w:val="22"/>
        </w:rPr>
        <w:t xml:space="preserve"> </w:t>
      </w:r>
      <w:r w:rsidRPr="00193A4F">
        <w:rPr>
          <w:szCs w:val="22"/>
        </w:rPr>
        <w:t>and the entire record,</w:t>
      </w:r>
      <w:r w:rsidRPr="00193A4F">
        <w:t xml:space="preserve"> we find no basis for reconsideration</w:t>
      </w:r>
      <w:r>
        <w:t xml:space="preserve"> because the p</w:t>
      </w:r>
      <w:r w:rsidRPr="00592B52">
        <w:t xml:space="preserve">etition fails to present </w:t>
      </w:r>
      <w:r>
        <w:t xml:space="preserve">new </w:t>
      </w:r>
      <w:r w:rsidRPr="00592B52">
        <w:t>information</w:t>
      </w:r>
      <w:r>
        <w:t xml:space="preserve"> warranting reconsideration</w:t>
      </w:r>
      <w:r w:rsidRPr="00592B52">
        <w:t xml:space="preserve">. </w:t>
      </w:r>
      <w:r>
        <w:t xml:space="preserve"> Rather, </w:t>
      </w:r>
      <w:r>
        <w:t>HobbyKing</w:t>
      </w:r>
      <w:r>
        <w:t xml:space="preserve"> again raises the very same arguments already </w:t>
      </w:r>
      <w:r w:rsidRPr="009617E8">
        <w:t xml:space="preserve">considered and rejected in the </w:t>
      </w:r>
      <w:r w:rsidRPr="003E1D00">
        <w:rPr>
          <w:i/>
          <w:iCs/>
        </w:rPr>
        <w:t>Forfeiture Order</w:t>
      </w:r>
      <w:r w:rsidRPr="009617E8">
        <w:t>:</w:t>
      </w:r>
      <w:r>
        <w:t xml:space="preserve">  (</w:t>
      </w:r>
      <w:r>
        <w:t>i</w:t>
      </w:r>
      <w:r>
        <w:t xml:space="preserve">) that </w:t>
      </w:r>
      <w:r>
        <w:t>HobbyKing</w:t>
      </w:r>
      <w:r>
        <w:t xml:space="preserve"> had no notice of the Commission’s authorization requirements;</w:t>
      </w:r>
      <w:r>
        <w:rPr>
          <w:rStyle w:val="FootnoteReference"/>
        </w:rPr>
        <w:footnoteReference w:id="28"/>
      </w:r>
      <w:r>
        <w:t xml:space="preserve"> (ii) that the Fifth Amendment relieved </w:t>
      </w:r>
      <w:r>
        <w:t>HobbyKing</w:t>
      </w:r>
      <w:r>
        <w:t xml:space="preserve"> of its duty to respond;</w:t>
      </w:r>
      <w:r>
        <w:rPr>
          <w:rStyle w:val="FootnoteReference"/>
        </w:rPr>
        <w:footnoteReference w:id="29"/>
      </w:r>
      <w:r>
        <w:t xml:space="preserve"> (iii) that the forfeiture amount is inappropriate because Indubitably, Inc. lacks the ability to pay to the </w:t>
      </w:r>
      <w:r w:rsidRPr="003E1D00">
        <w:rPr>
          <w:i/>
          <w:iCs/>
        </w:rPr>
        <w:t>Forfeiture Order</w:t>
      </w:r>
      <w:r>
        <w:t>;</w:t>
      </w:r>
      <w:r>
        <w:rPr>
          <w:rStyle w:val="FootnoteReference"/>
        </w:rPr>
        <w:footnoteReference w:id="30"/>
      </w:r>
      <w:r>
        <w:t xml:space="preserve"> and (iv) that the Commission is time-barred from taking action against ABC Fulfillment Services LLC because it was not part of </w:t>
      </w:r>
      <w:r>
        <w:t>HobbyKing’s</w:t>
      </w:r>
      <w:r>
        <w:t xml:space="preserve"> business.</w:t>
      </w:r>
      <w:r>
        <w:rPr>
          <w:rStyle w:val="FootnoteReference"/>
        </w:rPr>
        <w:footnoteReference w:id="31"/>
      </w:r>
      <w:r>
        <w:t xml:space="preserve"> </w:t>
      </w:r>
      <w:r>
        <w:rPr>
          <w:szCs w:val="22"/>
        </w:rPr>
        <w:t xml:space="preserve"> </w:t>
      </w:r>
      <w:r w:rsidRPr="00193A4F">
        <w:rPr>
          <w:szCs w:val="22"/>
        </w:rPr>
        <w:t xml:space="preserve">We </w:t>
      </w:r>
      <w:r>
        <w:rPr>
          <w:szCs w:val="22"/>
        </w:rPr>
        <w:t xml:space="preserve">therefore </w:t>
      </w:r>
      <w:r w:rsidRPr="00193A4F">
        <w:rPr>
          <w:szCs w:val="22"/>
        </w:rPr>
        <w:t xml:space="preserve">find that the </w:t>
      </w:r>
      <w:r>
        <w:rPr>
          <w:szCs w:val="22"/>
        </w:rPr>
        <w:t>Commission</w:t>
      </w:r>
      <w:r w:rsidRPr="00193A4F">
        <w:rPr>
          <w:szCs w:val="22"/>
        </w:rPr>
        <w:t xml:space="preserve"> </w:t>
      </w:r>
      <w:r>
        <w:rPr>
          <w:szCs w:val="22"/>
        </w:rPr>
        <w:t>already</w:t>
      </w:r>
      <w:r w:rsidRPr="00193A4F">
        <w:rPr>
          <w:szCs w:val="22"/>
        </w:rPr>
        <w:t xml:space="preserve"> decided the matters raised, and </w:t>
      </w:r>
      <w:r>
        <w:rPr>
          <w:szCs w:val="22"/>
        </w:rPr>
        <w:t xml:space="preserve">with no new arguments or facts for consideration </w:t>
      </w:r>
      <w:r w:rsidRPr="00193A4F">
        <w:rPr>
          <w:szCs w:val="22"/>
        </w:rPr>
        <w:t xml:space="preserve">we </w:t>
      </w:r>
      <w:r>
        <w:rPr>
          <w:szCs w:val="22"/>
        </w:rPr>
        <w:t>reaffirm</w:t>
      </w:r>
      <w:r w:rsidRPr="00193A4F">
        <w:rPr>
          <w:szCs w:val="22"/>
        </w:rPr>
        <w:t xml:space="preserve"> th</w:t>
      </w:r>
      <w:r>
        <w:rPr>
          <w:szCs w:val="22"/>
        </w:rPr>
        <w:t xml:space="preserve">e </w:t>
      </w:r>
      <w:r w:rsidRPr="005057D9">
        <w:rPr>
          <w:i/>
          <w:iCs/>
          <w:szCs w:val="22"/>
        </w:rPr>
        <w:t>Forfeiture Order</w:t>
      </w:r>
      <w:r w:rsidRPr="00193A4F">
        <w:rPr>
          <w:szCs w:val="22"/>
        </w:rPr>
        <w:t xml:space="preserve"> for the reasons stated therein.</w:t>
      </w:r>
      <w:r>
        <w:rPr>
          <w:szCs w:val="22"/>
        </w:rPr>
        <w:t xml:space="preserve">  </w:t>
      </w:r>
    </w:p>
    <w:p w:rsidR="00534EA3" w:rsidP="00534EA3" w14:paraId="142A9432" w14:textId="77777777">
      <w:pPr>
        <w:pStyle w:val="Heading1"/>
      </w:pPr>
      <w:r>
        <w:t>ordering clauses</w:t>
      </w:r>
    </w:p>
    <w:p w:rsidR="00534EA3" w:rsidRPr="00193A4F" w:rsidP="00534EA3" w14:paraId="4083EEF9" w14:textId="77777777">
      <w:pPr>
        <w:pStyle w:val="ParaNum"/>
        <w:widowControl/>
        <w:spacing w:line="259" w:lineRule="auto"/>
      </w:pPr>
      <w:r w:rsidRPr="00193A4F">
        <w:t xml:space="preserve">Accordingly, </w:t>
      </w:r>
      <w:r w:rsidRPr="00193A4F">
        <w:rPr>
          <w:b/>
        </w:rPr>
        <w:t xml:space="preserve">IT IS ORDERED </w:t>
      </w:r>
      <w:r w:rsidRPr="00193A4F">
        <w:t xml:space="preserve">that, pursuant to </w:t>
      </w:r>
      <w:r>
        <w:t>s</w:t>
      </w:r>
      <w:r w:rsidRPr="00193A4F">
        <w:t xml:space="preserve">ection 405 of the Act, and </w:t>
      </w:r>
      <w:r>
        <w:t>s</w:t>
      </w:r>
      <w:r w:rsidRPr="00193A4F">
        <w:t xml:space="preserve">ection 1.106 of the </w:t>
      </w:r>
      <w:r>
        <w:t>Commission’s r</w:t>
      </w:r>
      <w:r w:rsidRPr="00193A4F">
        <w:t xml:space="preserve">ules, the Petition for Reconsideration filed by </w:t>
      </w:r>
      <w:r>
        <w:rPr>
          <w:szCs w:val="22"/>
        </w:rPr>
        <w:t>HobbyKing</w:t>
      </w:r>
      <w:r w:rsidRPr="00193A4F">
        <w:rPr>
          <w:spacing w:val="-2"/>
        </w:rPr>
        <w:t xml:space="preserve"> is hereby </w:t>
      </w:r>
      <w:r w:rsidRPr="00193A4F">
        <w:rPr>
          <w:b/>
        </w:rPr>
        <w:t>DENIED</w:t>
      </w:r>
      <w:r w:rsidRPr="00193A4F">
        <w:t>.</w:t>
      </w:r>
      <w:r>
        <w:rPr>
          <w:rStyle w:val="FootnoteReference"/>
        </w:rPr>
        <w:footnoteReference w:id="32"/>
      </w:r>
    </w:p>
    <w:p w:rsidR="00534EA3" w:rsidRPr="00193A4F" w:rsidP="00534EA3" w14:paraId="207391C3" w14:textId="77777777">
      <w:pPr>
        <w:pStyle w:val="ParaNum"/>
        <w:widowControl/>
        <w:spacing w:line="259" w:lineRule="auto"/>
      </w:pPr>
      <w:r w:rsidRPr="001D14E6">
        <w:rPr>
          <w:bCs/>
        </w:rPr>
        <w:t xml:space="preserve">The Commission hereby </w:t>
      </w:r>
      <w:r w:rsidRPr="00B27B60">
        <w:rPr>
          <w:b/>
        </w:rPr>
        <w:t>REAFFIRMS</w:t>
      </w:r>
      <w:r>
        <w:rPr>
          <w:bCs/>
        </w:rPr>
        <w:t xml:space="preserve"> </w:t>
      </w:r>
      <w:r w:rsidRPr="00193A4F">
        <w:t xml:space="preserve">that, pursuant to </w:t>
      </w:r>
      <w:r>
        <w:t>s</w:t>
      </w:r>
      <w:r w:rsidRPr="00193A4F">
        <w:t xml:space="preserve">ection 503(b) of the Act and </w:t>
      </w:r>
      <w:r>
        <w:t>s</w:t>
      </w:r>
      <w:r w:rsidRPr="00193A4F">
        <w:t xml:space="preserve">ection 1.80 of the </w:t>
      </w:r>
      <w:r>
        <w:t>Commission’s r</w:t>
      </w:r>
      <w:r w:rsidRPr="00193A4F">
        <w:t>ules,</w:t>
      </w:r>
      <w:r>
        <w:rPr>
          <w:rStyle w:val="FootnoteReference"/>
        </w:rPr>
        <w:footnoteReference w:id="33"/>
      </w:r>
      <w:r w:rsidRPr="00193A4F">
        <w:t xml:space="preserve"> </w:t>
      </w:r>
      <w:r w:rsidRPr="007043A4">
        <w:t>ABC Fulfillment Services LLC and Indubitably, Inc.</w:t>
      </w:r>
      <w:r>
        <w:t xml:space="preserve"> d/b/a </w:t>
      </w:r>
      <w:r>
        <w:t>HobbyKing</w:t>
      </w:r>
      <w:r w:rsidRPr="00193A4F">
        <w:rPr>
          <w:spacing w:val="-2"/>
        </w:rPr>
        <w:t xml:space="preserve"> </w:t>
      </w:r>
      <w:r w:rsidRPr="00193A4F">
        <w:rPr>
          <w:b/>
        </w:rPr>
        <w:t>IS LIABLE FOR A MONETARY FORFEITURE</w:t>
      </w:r>
      <w:r w:rsidRPr="00193A4F">
        <w:t xml:space="preserve"> </w:t>
      </w:r>
      <w:r w:rsidRPr="009A2403">
        <w:t xml:space="preserve">in the amount of </w:t>
      </w:r>
      <w:r>
        <w:t>two million eight hundred sixty-one thousand one hundred and twenty-eight</w:t>
      </w:r>
      <w:r w:rsidRPr="0007571D">
        <w:t xml:space="preserve"> dollars ($</w:t>
      </w:r>
      <w:r>
        <w:t>2,861,128</w:t>
      </w:r>
      <w:r w:rsidRPr="0007571D">
        <w:t xml:space="preserve">) for willfully </w:t>
      </w:r>
      <w:r>
        <w:t xml:space="preserve">and repeatedly </w:t>
      </w:r>
      <w:r w:rsidRPr="0007571D">
        <w:t xml:space="preserve">violating </w:t>
      </w:r>
      <w:r>
        <w:t>s</w:t>
      </w:r>
      <w:r w:rsidRPr="002B280B">
        <w:t>ection</w:t>
      </w:r>
      <w:r>
        <w:t> </w:t>
      </w:r>
      <w:r w:rsidRPr="002B280B">
        <w:t>302 of the Act</w:t>
      </w:r>
      <w:r>
        <w:t>,</w:t>
      </w:r>
      <w:r>
        <w:rPr>
          <w:rStyle w:val="FootnoteReference"/>
        </w:rPr>
        <w:footnoteReference w:id="34"/>
      </w:r>
      <w:r w:rsidRPr="002B280B">
        <w:t xml:space="preserve"> </w:t>
      </w:r>
      <w:r>
        <w:t>s</w:t>
      </w:r>
      <w:r w:rsidRPr="002B280B">
        <w:t>ection 2.803 of the Commission</w:t>
      </w:r>
      <w:r>
        <w:t>’</w:t>
      </w:r>
      <w:r w:rsidRPr="002B280B">
        <w:t>s rules</w:t>
      </w:r>
      <w:r>
        <w:t>,</w:t>
      </w:r>
      <w:r>
        <w:rPr>
          <w:rStyle w:val="FootnoteReference"/>
        </w:rPr>
        <w:footnoteReference w:id="35"/>
      </w:r>
      <w:r w:rsidRPr="002B280B">
        <w:t xml:space="preserve"> and Commission orders</w:t>
      </w:r>
      <w:r w:rsidRPr="00193A4F">
        <w:t>.</w:t>
      </w:r>
      <w:r>
        <w:rPr>
          <w:rStyle w:val="FootnoteReference"/>
        </w:rPr>
        <w:footnoteReference w:id="36"/>
      </w:r>
    </w:p>
    <w:p w:rsidR="00534EA3" w:rsidRPr="00193A4F" w:rsidP="00534EA3" w14:paraId="0CABAE60" w14:textId="77777777">
      <w:pPr>
        <w:pStyle w:val="ParaNum"/>
        <w:widowControl/>
        <w:tabs>
          <w:tab w:val="left" w:pos="360"/>
        </w:tabs>
        <w:spacing w:line="259" w:lineRule="auto"/>
        <w:rPr>
          <w:rFonts w:eastAsia="MS Mincho"/>
          <w:color w:val="000000"/>
          <w:szCs w:val="22"/>
        </w:rPr>
      </w:pPr>
      <w:r w:rsidRPr="00193A4F">
        <w:rPr>
          <w:rFonts w:eastAsia="MS Mincho"/>
          <w:szCs w:val="22"/>
        </w:rPr>
        <w:t xml:space="preserve">Payment of the forfeiture </w:t>
      </w:r>
      <w:r>
        <w:rPr>
          <w:rFonts w:eastAsia="MS Mincho"/>
          <w:szCs w:val="22"/>
        </w:rPr>
        <w:t>is required to</w:t>
      </w:r>
      <w:r w:rsidRPr="00193A4F">
        <w:rPr>
          <w:rFonts w:eastAsia="MS Mincho"/>
          <w:szCs w:val="22"/>
        </w:rPr>
        <w:t xml:space="preserve"> be made in the manner provided for in </w:t>
      </w:r>
      <w:r>
        <w:rPr>
          <w:rFonts w:eastAsia="MS Mincho"/>
          <w:szCs w:val="22"/>
        </w:rPr>
        <w:t>s</w:t>
      </w:r>
      <w:r w:rsidRPr="00193A4F">
        <w:rPr>
          <w:rFonts w:eastAsia="MS Mincho"/>
          <w:szCs w:val="22"/>
        </w:rPr>
        <w:t xml:space="preserve">ection 1.80 of the </w:t>
      </w:r>
      <w:r>
        <w:rPr>
          <w:rFonts w:eastAsia="MS Mincho"/>
          <w:szCs w:val="22"/>
        </w:rPr>
        <w:t>Commission’s r</w:t>
      </w:r>
      <w:r w:rsidRPr="00193A4F">
        <w:rPr>
          <w:rFonts w:eastAsia="MS Mincho"/>
          <w:szCs w:val="22"/>
        </w:rPr>
        <w:t>ules.</w:t>
      </w:r>
      <w:r>
        <w:rPr>
          <w:rStyle w:val="FootnoteReference"/>
          <w:rFonts w:eastAsia="MS Mincho"/>
          <w:szCs w:val="22"/>
        </w:rPr>
        <w:footnoteReference w:id="37"/>
      </w:r>
      <w:r w:rsidRPr="00193A4F">
        <w:rPr>
          <w:rFonts w:eastAsia="MS Mincho"/>
          <w:szCs w:val="22"/>
        </w:rPr>
        <w:t xml:space="preserve"> </w:t>
      </w:r>
      <w:r>
        <w:rPr>
          <w:rFonts w:eastAsia="MS Mincho"/>
          <w:szCs w:val="22"/>
        </w:rPr>
        <w:t xml:space="preserve"> </w:t>
      </w:r>
      <w:r w:rsidRPr="00D66E59">
        <w:rPr>
          <w:rFonts w:eastAsia="MS Mincho"/>
          <w:szCs w:val="22"/>
        </w:rPr>
        <w:t xml:space="preserve">ABC Fulfillment Services LLC and Indubitably, Inc. d/b/a </w:t>
      </w:r>
      <w:r w:rsidRPr="00D66E59">
        <w:rPr>
          <w:rFonts w:eastAsia="MS Mincho"/>
          <w:szCs w:val="22"/>
        </w:rPr>
        <w:t>HobbyKing</w:t>
      </w:r>
      <w:r w:rsidRPr="00D66E59">
        <w:rPr>
          <w:rFonts w:eastAsia="MS Mincho"/>
          <w:szCs w:val="22"/>
        </w:rPr>
        <w:t xml:space="preserve"> </w:t>
      </w:r>
      <w:r>
        <w:rPr>
          <w:rFonts w:eastAsia="MS Mincho"/>
          <w:szCs w:val="22"/>
        </w:rPr>
        <w:t>is required to</w:t>
      </w:r>
      <w:r w:rsidRPr="00D66E59">
        <w:rPr>
          <w:rFonts w:eastAsia="MS Mincho"/>
          <w:szCs w:val="22"/>
        </w:rPr>
        <w:t xml:space="preserve"> send electronic notification of payment to Chief, Spectrum Enforcement Division, Enforcement Bureau, Federal Communications Commission, at </w:t>
      </w:r>
      <w:hyperlink r:id="rId5" w:history="1">
        <w:r w:rsidRPr="00EA150E">
          <w:rPr>
            <w:rStyle w:val="Hyperlink"/>
            <w:rFonts w:eastAsia="MS Mincho"/>
            <w:szCs w:val="22"/>
          </w:rPr>
          <w:t>EB-SED-Response@fcc.gov</w:t>
        </w:r>
      </w:hyperlink>
      <w:r>
        <w:rPr>
          <w:rFonts w:eastAsia="MS Mincho"/>
          <w:szCs w:val="22"/>
        </w:rPr>
        <w:t xml:space="preserve"> </w:t>
      </w:r>
      <w:r w:rsidRPr="00D66E59">
        <w:rPr>
          <w:rFonts w:eastAsia="MS Mincho"/>
          <w:szCs w:val="22"/>
        </w:rPr>
        <w:t xml:space="preserve">on the date said payment is made.  </w:t>
      </w:r>
      <w:r w:rsidRPr="00193A4F">
        <w:rPr>
          <w:rFonts w:eastAsia="MS Mincho"/>
          <w:szCs w:val="22"/>
        </w:rPr>
        <w:t>If the forfeiture is not paid within the period specified</w:t>
      </w:r>
      <w:r>
        <w:rPr>
          <w:rFonts w:eastAsia="MS Mincho"/>
          <w:szCs w:val="22"/>
        </w:rPr>
        <w:t xml:space="preserve"> in the Forfeiture Order</w:t>
      </w:r>
      <w:r w:rsidRPr="00193A4F">
        <w:rPr>
          <w:rFonts w:eastAsia="MS Mincho"/>
          <w:szCs w:val="22"/>
        </w:rPr>
        <w:t xml:space="preserve">, the case may be referred to the U.S. Department of Justice for enforcement of the forfeiture pursuant to </w:t>
      </w:r>
      <w:r>
        <w:rPr>
          <w:rFonts w:eastAsia="MS Mincho"/>
          <w:szCs w:val="22"/>
        </w:rPr>
        <w:t>s</w:t>
      </w:r>
      <w:r w:rsidRPr="00193A4F">
        <w:rPr>
          <w:rFonts w:eastAsia="MS Mincho"/>
          <w:szCs w:val="22"/>
        </w:rPr>
        <w:t>ection 504(a) of the Act.</w:t>
      </w:r>
      <w:r>
        <w:rPr>
          <w:rStyle w:val="FootnoteReference"/>
          <w:rFonts w:eastAsia="MS Mincho"/>
          <w:szCs w:val="22"/>
        </w:rPr>
        <w:footnoteReference w:id="38"/>
      </w:r>
      <w:r w:rsidRPr="00193A4F">
        <w:rPr>
          <w:rFonts w:eastAsia="MS Mincho"/>
          <w:szCs w:val="22"/>
        </w:rPr>
        <w:t xml:space="preserve">  </w:t>
      </w:r>
    </w:p>
    <w:p w:rsidR="00534EA3" w:rsidRPr="00193A4F" w:rsidP="00534EA3" w14:paraId="314D45C2" w14:textId="77777777">
      <w:pPr>
        <w:pStyle w:val="ParaNum"/>
        <w:widowControl/>
        <w:spacing w:line="259" w:lineRule="auto"/>
        <w:rPr>
          <w:rFonts w:eastAsia="MS Mincho"/>
          <w:szCs w:val="22"/>
        </w:rPr>
      </w:pPr>
      <w:r w:rsidRPr="00AD0726">
        <w:t xml:space="preserve">Payment of the </w:t>
      </w:r>
      <w:r>
        <w:t>forfeiture</w:t>
      </w:r>
      <w:r w:rsidRPr="00AD0726">
        <w:t xml:space="preserve"> </w:t>
      </w:r>
      <w:r>
        <w:t>is required to</w:t>
      </w:r>
      <w:r w:rsidRPr="00AD0726">
        <w:t xml:space="preserve"> be made by credit card, ACH (Automated Clearing House) debit from a bank account using </w:t>
      </w:r>
      <w:r>
        <w:t xml:space="preserve">the Commission’s </w:t>
      </w:r>
      <w:r w:rsidRPr="00AD0726">
        <w:t>Fee Filer (</w:t>
      </w:r>
      <w:r>
        <w:t>the Commission’s</w:t>
      </w:r>
      <w:r w:rsidRPr="00AD0726">
        <w:t xml:space="preserve"> online payment system),</w:t>
      </w:r>
      <w:r>
        <w:rPr>
          <w:rStyle w:val="FootnoteReference"/>
        </w:rPr>
        <w:footnoteReference w:id="39"/>
      </w:r>
      <w:r w:rsidRPr="00AD0726">
        <w:t xml:space="preserve"> or by wire transfer.  </w:t>
      </w:r>
      <w:r>
        <w:t xml:space="preserve">The Commission no longer accepts forfeiture payments by check or money order.  </w:t>
      </w:r>
      <w:r w:rsidRPr="00AD0726">
        <w:t xml:space="preserve">Below are instructions that </w:t>
      </w:r>
      <w:r>
        <w:t>p</w:t>
      </w:r>
      <w:r w:rsidRPr="00AD0726">
        <w:t>ayor</w:t>
      </w:r>
      <w:r>
        <w:t>s</w:t>
      </w:r>
      <w:r w:rsidRPr="00AD0726">
        <w:t xml:space="preserve"> </w:t>
      </w:r>
      <w:r>
        <w:t>are required to</w:t>
      </w:r>
      <w:r w:rsidRPr="00AD0726">
        <w:t xml:space="preserve"> follow based on the form of payment select</w:t>
      </w:r>
      <w:r>
        <w:t>ed</w:t>
      </w:r>
      <w:r w:rsidRPr="00AD0726">
        <w:t>:</w:t>
      </w:r>
      <w:r>
        <w:rPr>
          <w:vertAlign w:val="superscript"/>
        </w:rPr>
        <w:footnoteReference w:id="40"/>
      </w:r>
      <w:r w:rsidRPr="00193A4F">
        <w:rPr>
          <w:color w:val="000000"/>
          <w:szCs w:val="22"/>
        </w:rPr>
        <w:t xml:space="preserve">  </w:t>
      </w:r>
    </w:p>
    <w:p w:rsidR="00534EA3" w:rsidRPr="00AD0726" w:rsidP="00534EA3" w14:paraId="7C79F5BF" w14:textId="77777777">
      <w:pPr>
        <w:widowControl/>
        <w:numPr>
          <w:ilvl w:val="0"/>
          <w:numId w:val="8"/>
        </w:numPr>
        <w:spacing w:after="120" w:line="259" w:lineRule="auto"/>
      </w:pPr>
      <w:r w:rsidRPr="00AD0726">
        <w:t xml:space="preserve">Payment by wire transfer must be made to ABA Number 021030004, receiving bank </w:t>
      </w:r>
      <w:r w:rsidRPr="00AD0726">
        <w:t>TREAS</w:t>
      </w:r>
      <w:r w:rsidRPr="00AD0726">
        <w:t xml:space="preserve">/NYC, and Account Number 27000001.  A completed Form 159 must be faxed to the Federal Communications Commission at 202-418-2843 or e-mailed to </w:t>
      </w:r>
      <w:hyperlink r:id="rId6" w:history="1">
        <w:r w:rsidRPr="00EA150E">
          <w:rPr>
            <w:rStyle w:val="Hyperlink"/>
          </w:rPr>
          <w:t>RROGWireFaxes@fcc.gov</w:t>
        </w:r>
      </w:hyperlink>
      <w:r>
        <w:t xml:space="preserve"> </w:t>
      </w:r>
      <w:r w:rsidRPr="00AD0726">
        <w:t>on the same business day the wire transfer is initiated.  Failure to provide all required information</w:t>
      </w:r>
      <w:r>
        <w:t xml:space="preserve"> in Form 159</w:t>
      </w:r>
      <w:r w:rsidRPr="00AD0726">
        <w:t xml:space="preserve"> may result in payment not being recognized as having been received. </w:t>
      </w:r>
      <w:r>
        <w:t xml:space="preserve"> When</w:t>
      </w:r>
      <w:r w:rsidRPr="00AD0726">
        <w:t xml:space="preserve"> completing FCC Form 159, enter the Account Number in block number 23A (call sign/other ID), enter the letters “</w:t>
      </w:r>
      <w:r w:rsidRPr="00AD0726">
        <w:t>FORF</w:t>
      </w:r>
      <w:r w:rsidRPr="00AD0726">
        <w:t xml:space="preserve">” in block number 24A (payment type code), and </w:t>
      </w:r>
      <w:r>
        <w:t>enter</w:t>
      </w:r>
      <w:r w:rsidRPr="00AD0726">
        <w:t xml:space="preserve"> </w:t>
      </w:r>
      <w:r>
        <w:t xml:space="preserve">in block number 11 </w:t>
      </w:r>
      <w:r w:rsidRPr="00AD0726">
        <w:t xml:space="preserve">the </w:t>
      </w:r>
      <w:r w:rsidRPr="00AD0726">
        <w:t>FRN</w:t>
      </w:r>
      <w:r w:rsidRPr="00AD0726">
        <w:t>(s) captioned abov</w:t>
      </w:r>
      <w:r>
        <w:t xml:space="preserve">e (Payor </w:t>
      </w:r>
      <w:r>
        <w:t>FRN</w:t>
      </w:r>
      <w:r>
        <w:t>)</w:t>
      </w:r>
      <w:r w:rsidRPr="00AD0726">
        <w:t>.</w:t>
      </w:r>
      <w:r>
        <w:rPr>
          <w:rStyle w:val="FootnoteReference"/>
        </w:rPr>
        <w:footnoteReference w:id="41"/>
      </w:r>
      <w:r w:rsidRPr="00AD0726">
        <w:t xml:space="preserve">  For additional detail and wire transfer instructions</w:t>
      </w:r>
      <w:r>
        <w:t>,</w:t>
      </w:r>
      <w:r w:rsidRPr="00AD0726">
        <w:t xml:space="preserve"> go to </w:t>
      </w:r>
      <w:hyperlink r:id="rId7" w:history="1">
        <w:r w:rsidRPr="00534EA3">
          <w:rPr>
            <w:rStyle w:val="Hyperlink"/>
            <w:rFonts w:eastAsia="Calibri"/>
            <w:kern w:val="0"/>
          </w:rPr>
          <w:t>https://www.fcc.gov/licensing-databases/fees/wire-transfer</w:t>
        </w:r>
      </w:hyperlink>
      <w:r w:rsidRPr="00AD0726">
        <w:t xml:space="preserve">.  </w:t>
      </w:r>
    </w:p>
    <w:p w:rsidR="00534EA3" w:rsidRPr="00AD0726" w:rsidP="00534EA3" w14:paraId="6DD58B28" w14:textId="77777777">
      <w:pPr>
        <w:widowControl/>
        <w:numPr>
          <w:ilvl w:val="0"/>
          <w:numId w:val="8"/>
        </w:numPr>
        <w:spacing w:after="120" w:line="259" w:lineRule="auto"/>
      </w:pPr>
      <w:r w:rsidRPr="00AD0726">
        <w:t xml:space="preserve">Payment by credit card must be made by using the </w:t>
      </w:r>
      <w:r>
        <w:t xml:space="preserve">Commission’s </w:t>
      </w:r>
      <w:r w:rsidRPr="00AD0726">
        <w:t xml:space="preserve">Fee Filer website at </w:t>
      </w:r>
      <w:hyperlink r:id="rId8" w:history="1">
        <w:r w:rsidRPr="0088797D">
          <w:rPr>
            <w:rStyle w:val="Hyperlink"/>
          </w:rPr>
          <w:t>https://apps.fcc.gov/FeeFiler/login.cfm</w:t>
        </w:r>
      </w:hyperlink>
      <w:r w:rsidRPr="00AD0726">
        <w:t xml:space="preserve">.  </w:t>
      </w:r>
      <w:r>
        <w:t xml:space="preserve">To pay by credit card, </w:t>
      </w:r>
      <w:r w:rsidRPr="00AD0726">
        <w:t xml:space="preserve">log-in using the </w:t>
      </w:r>
      <w:r w:rsidRPr="00AD0726">
        <w:t>FRN</w:t>
      </w:r>
      <w:r w:rsidRPr="00AD0726">
        <w:t xml:space="preserve"> captioned above.  If payment must be split across </w:t>
      </w:r>
      <w:r w:rsidRPr="00AD0726">
        <w:t>FRNs</w:t>
      </w:r>
      <w:r>
        <w:t>,</w:t>
      </w:r>
      <w:r w:rsidRPr="00AD0726">
        <w:t xml:space="preserve"> complete this process for each </w:t>
      </w:r>
      <w:r w:rsidRPr="00AD0726">
        <w:t>FRN</w:t>
      </w:r>
      <w:r w:rsidRPr="00AD0726">
        <w:t xml:space="preserve">. </w:t>
      </w:r>
      <w:r>
        <w:t xml:space="preserve"> </w:t>
      </w:r>
      <w:r>
        <w:t xml:space="preserve">Next, </w:t>
      </w:r>
      <w:r w:rsidRPr="00AD0726">
        <w:t>select “Pay bills” on the Fee Filer Menu</w:t>
      </w:r>
      <w:r>
        <w:t xml:space="preserve">, </w:t>
      </w:r>
      <w:r w:rsidRPr="00AD0726">
        <w:t xml:space="preserve">and select the bill number associated </w:t>
      </w:r>
      <w:r>
        <w:t>with</w:t>
      </w:r>
      <w:r w:rsidRPr="00AD0726">
        <w:t xml:space="preserve"> the </w:t>
      </w:r>
      <w:r w:rsidRPr="00AD0726">
        <w:t>NAL</w:t>
      </w:r>
      <w:r w:rsidRPr="00AD0726">
        <w:t xml:space="preserve"> Account – the bill number is the </w:t>
      </w:r>
      <w:r w:rsidRPr="00AD0726">
        <w:t>NAL</w:t>
      </w:r>
      <w:r w:rsidRPr="00AD0726">
        <w:t xml:space="preserve"> Account number with the first two digits excluded</w:t>
      </w:r>
      <w:r>
        <w:t xml:space="preserve"> – and then choose </w:t>
      </w:r>
      <w:r w:rsidRPr="00AD0726">
        <w:t>the “Pay by Credit Card” option.  Please note</w:t>
      </w:r>
      <w:r>
        <w:t xml:space="preserve"> that</w:t>
      </w:r>
      <w:r w:rsidRPr="00AD0726">
        <w:t xml:space="preserve"> there is a $24,999.99</w:t>
      </w:r>
      <w:r>
        <w:t xml:space="preserve"> </w:t>
      </w:r>
      <w:r w:rsidRPr="00AD0726">
        <w:t>limit on credit card transactions.</w:t>
      </w:r>
    </w:p>
    <w:p w:rsidR="00534EA3" w:rsidRPr="00193A4F" w:rsidP="00534EA3" w14:paraId="34487797" w14:textId="77777777">
      <w:pPr>
        <w:pStyle w:val="ParaNum"/>
        <w:widowControl/>
        <w:numPr>
          <w:ilvl w:val="0"/>
          <w:numId w:val="7"/>
        </w:numPr>
        <w:tabs>
          <w:tab w:val="clear" w:pos="1080"/>
        </w:tabs>
        <w:spacing w:line="259" w:lineRule="auto"/>
        <w:rPr>
          <w:rFonts w:eastAsia="MS Mincho"/>
          <w:szCs w:val="22"/>
        </w:rPr>
      </w:pPr>
      <w:r w:rsidRPr="00AD0726">
        <w:t>Payment by ACH</w:t>
      </w:r>
      <w:r>
        <w:t xml:space="preserve"> </w:t>
      </w:r>
      <w:r w:rsidRPr="00AD0726">
        <w:t xml:space="preserve">must be made by using the Commission’s Fee Filer website at </w:t>
      </w:r>
      <w:hyperlink r:id="rId8" w:history="1">
        <w:r w:rsidRPr="00534EA3">
          <w:rPr>
            <w:rStyle w:val="Hyperlink"/>
            <w:rFonts w:eastAsia="Calibri"/>
            <w:kern w:val="0"/>
          </w:rPr>
          <w:t>https://apps.fcc.gov/FeeFiler/login.cfm</w:t>
        </w:r>
      </w:hyperlink>
      <w:r w:rsidRPr="00AD0726">
        <w:t xml:space="preserve">.  </w:t>
      </w:r>
      <w:r>
        <w:t>To pay by ACH,</w:t>
      </w:r>
      <w:r w:rsidRPr="00AD0726">
        <w:t xml:space="preserve"> log</w:t>
      </w:r>
      <w:r>
        <w:t xml:space="preserve"> </w:t>
      </w:r>
      <w:r w:rsidRPr="00AD0726">
        <w:t xml:space="preserve">in using the </w:t>
      </w:r>
      <w:r w:rsidRPr="00AD0726">
        <w:t>FRN</w:t>
      </w:r>
      <w:r w:rsidRPr="00AD0726">
        <w:t xml:space="preserve"> captioned above.   If payment must be split across </w:t>
      </w:r>
      <w:r w:rsidRPr="00AD0726">
        <w:t>FRNs</w:t>
      </w:r>
      <w:r>
        <w:t>,</w:t>
      </w:r>
      <w:r w:rsidRPr="00AD0726">
        <w:t xml:space="preserve"> complete this process for each </w:t>
      </w:r>
      <w:r w:rsidRPr="00AD0726">
        <w:t>FRN</w:t>
      </w:r>
      <w:r w:rsidRPr="00AD0726">
        <w:t xml:space="preserve">. </w:t>
      </w:r>
      <w:r>
        <w:t xml:space="preserve"> Next, </w:t>
      </w:r>
      <w:r w:rsidRPr="00AD0726">
        <w:t xml:space="preserve">select “Pay bills” on the Fee Filer Menu and then select the bill number associated to the </w:t>
      </w:r>
      <w:r w:rsidRPr="00AD0726">
        <w:t>NAL</w:t>
      </w:r>
      <w:r w:rsidRPr="00AD0726">
        <w:t xml:space="preserve"> Account – the bill number is the </w:t>
      </w:r>
      <w:r w:rsidRPr="00AD0726">
        <w:t>NAL</w:t>
      </w:r>
      <w:r w:rsidRPr="00AD0726">
        <w:t xml:space="preserve"> Account number with the first two digits excluded</w:t>
      </w:r>
      <w:r>
        <w:t xml:space="preserve"> </w:t>
      </w:r>
      <w:r w:rsidRPr="00AD0726">
        <w:t xml:space="preserve">– </w:t>
      </w:r>
      <w:r>
        <w:t xml:space="preserve">and choose </w:t>
      </w:r>
      <w:r w:rsidRPr="00AD0726">
        <w:t xml:space="preserve">the “Pay from Bank Account” option.  </w:t>
      </w:r>
      <w:r>
        <w:t>Please</w:t>
      </w:r>
      <w:r w:rsidRPr="00AD0726">
        <w:t xml:space="preserve"> contact the</w:t>
      </w:r>
      <w:r>
        <w:t xml:space="preserve"> appropriate</w:t>
      </w:r>
      <w:r w:rsidRPr="00AD0726">
        <w:t xml:space="preserve"> financial institution to confirm the correct Routing Number </w:t>
      </w:r>
      <w:r>
        <w:t xml:space="preserve">and the correct account number from which payment will be made and </w:t>
      </w:r>
      <w:r w:rsidRPr="00AD0726">
        <w:t xml:space="preserve">verify with </w:t>
      </w:r>
      <w:r>
        <w:t>that financial institution</w:t>
      </w:r>
      <w:r w:rsidRPr="00AD0726">
        <w:t xml:space="preserve"> that the</w:t>
      </w:r>
      <w:r>
        <w:t xml:space="preserve"> designated</w:t>
      </w:r>
      <w:r w:rsidRPr="00AD0726">
        <w:t xml:space="preserve"> account has authorization to accept </w:t>
      </w:r>
      <w:r>
        <w:t xml:space="preserve">ACH </w:t>
      </w:r>
      <w:r w:rsidRPr="00AD0726">
        <w:t>transactions.</w:t>
      </w:r>
      <w:r w:rsidRPr="00193A4F">
        <w:rPr>
          <w:rFonts w:eastAsia="MS Mincho"/>
          <w:szCs w:val="22"/>
        </w:rPr>
        <w:t> </w:t>
      </w:r>
    </w:p>
    <w:p w:rsidR="00534EA3" w:rsidRPr="00C92A4D" w:rsidP="00534EA3" w14:paraId="5B20B1A6" w14:textId="77777777">
      <w:pPr>
        <w:pStyle w:val="ParaNum"/>
        <w:widowControl/>
        <w:spacing w:line="259" w:lineRule="auto"/>
        <w:rPr>
          <w:bCs/>
          <w:szCs w:val="22"/>
        </w:rPr>
      </w:pPr>
      <w:r w:rsidRPr="00CD6117">
        <w:rPr>
          <w:rFonts w:eastAsia="MS Mincho"/>
          <w:szCs w:val="22"/>
        </w:rPr>
        <w:t xml:space="preserve">Any request for making full payment over time under an installment plan should be sent to:  </w:t>
      </w:r>
      <w:r w:rsidRPr="006D73F2">
        <w:t xml:space="preserve">Chief Financial Officer – Financial Operations, Federal Communications Commission, 45 </w:t>
      </w:r>
      <w:r>
        <w:t>L</w:t>
      </w:r>
      <w:r w:rsidRPr="006D73F2">
        <w:t xml:space="preserve"> Street, </w:t>
      </w:r>
      <w:r>
        <w:t>NE,</w:t>
      </w:r>
      <w:r w:rsidRPr="00CD6117">
        <w:rPr>
          <w:rFonts w:eastAsia="MS Mincho"/>
          <w:szCs w:val="22"/>
        </w:rPr>
        <w:t xml:space="preserve"> </w:t>
      </w:r>
      <w:r w:rsidRPr="00CD6117">
        <w:rPr>
          <w:rFonts w:eastAsia="MS Mincho"/>
          <w:szCs w:val="22"/>
        </w:rPr>
        <w:t>Washington, D</w:t>
      </w:r>
      <w:r w:rsidRPr="00A47EAB">
        <w:rPr>
          <w:rFonts w:eastAsia="MS Mincho"/>
          <w:szCs w:val="22"/>
        </w:rPr>
        <w:t>.C. 20554.</w:t>
      </w:r>
      <w:r>
        <w:rPr>
          <w:rStyle w:val="FootnoteReference"/>
          <w:rFonts w:eastAsia="MS Mincho"/>
          <w:szCs w:val="22"/>
        </w:rPr>
        <w:footnoteReference w:id="42"/>
      </w:r>
      <w:r w:rsidRPr="00CD6117">
        <w:rPr>
          <w:rFonts w:eastAsia="MS Mincho"/>
          <w:szCs w:val="22"/>
        </w:rPr>
        <w:t xml:space="preserve">  Q</w:t>
      </w:r>
      <w:r w:rsidRPr="00A47EAB">
        <w:rPr>
          <w:rFonts w:eastAsia="MS Mincho"/>
          <w:szCs w:val="22"/>
        </w:rPr>
        <w:t>uestions regarding payment procedures should be directed to the Financial Operations Group Help Desk by phone, 1-877-480-3201, or by e</w:t>
      </w:r>
      <w:r w:rsidRPr="00A47EAB">
        <w:rPr>
          <w:rFonts w:eastAsia="MS Mincho"/>
          <w:szCs w:val="22"/>
        </w:rPr>
        <w:noBreakHyphen/>
        <w:t xml:space="preserve">mail, </w:t>
      </w:r>
      <w:hyperlink r:id="rId9" w:history="1">
        <w:r w:rsidRPr="00CD6117">
          <w:rPr>
            <w:rStyle w:val="Hyperlink"/>
            <w:rFonts w:eastAsia="MS Mincho"/>
            <w:szCs w:val="22"/>
          </w:rPr>
          <w:t>ARINQUIRIES@fcc.gov</w:t>
        </w:r>
      </w:hyperlink>
      <w:r w:rsidRPr="00CD6117">
        <w:rPr>
          <w:rFonts w:eastAsia="MS Mincho"/>
          <w:szCs w:val="22"/>
        </w:rPr>
        <w:t>. </w:t>
      </w:r>
    </w:p>
    <w:p w:rsidR="00534EA3" w:rsidRPr="00C92A4D" w:rsidP="00534EA3" w14:paraId="104C0653" w14:textId="77777777">
      <w:pPr>
        <w:pStyle w:val="ParaNum"/>
        <w:keepNext/>
        <w:widowControl/>
        <w:spacing w:line="259" w:lineRule="auto"/>
        <w:rPr>
          <w:bCs/>
          <w:szCs w:val="22"/>
        </w:rPr>
      </w:pPr>
      <w:r w:rsidRPr="00193A4F">
        <w:rPr>
          <w:b/>
          <w:szCs w:val="22"/>
        </w:rPr>
        <w:t>IT IS FURTHER ORDERED</w:t>
      </w:r>
      <w:r w:rsidRPr="00193A4F">
        <w:rPr>
          <w:szCs w:val="22"/>
        </w:rPr>
        <w:t xml:space="preserve"> </w:t>
      </w:r>
      <w:r w:rsidRPr="00F26DAF">
        <w:rPr>
          <w:szCs w:val="22"/>
        </w:rPr>
        <w:t xml:space="preserve">that a copy of this </w:t>
      </w:r>
      <w:r>
        <w:rPr>
          <w:szCs w:val="22"/>
        </w:rPr>
        <w:t xml:space="preserve">Memorandum Opinion and </w:t>
      </w:r>
      <w:r w:rsidRPr="00F26DAF">
        <w:rPr>
          <w:szCs w:val="22"/>
        </w:rPr>
        <w:t xml:space="preserve">Order shall be sent by first class mail and certified mail, return receipt requested, to Dennis P. Corbett, Esq., Telecommunications Law Professionals </w:t>
      </w:r>
      <w:r w:rsidRPr="00F26DAF">
        <w:rPr>
          <w:szCs w:val="22"/>
        </w:rPr>
        <w:t>PLLC</w:t>
      </w:r>
      <w:r w:rsidRPr="00F26DAF">
        <w:rPr>
          <w:szCs w:val="22"/>
        </w:rPr>
        <w:t xml:space="preserve">, Counsel to </w:t>
      </w:r>
      <w:r w:rsidRPr="00D66E59">
        <w:rPr>
          <w:rFonts w:eastAsia="MS Mincho"/>
          <w:szCs w:val="22"/>
        </w:rPr>
        <w:t xml:space="preserve">ABC Fulfillment Services LLC and Indubitably, Inc. d/b/a </w:t>
      </w:r>
      <w:r w:rsidRPr="00D66E59">
        <w:rPr>
          <w:rFonts w:eastAsia="MS Mincho"/>
          <w:szCs w:val="22"/>
        </w:rPr>
        <w:t>HobbyKing</w:t>
      </w:r>
      <w:r w:rsidRPr="00F26DAF">
        <w:rPr>
          <w:szCs w:val="22"/>
        </w:rPr>
        <w:t>, 1025 Connecticut Avenue, NW, Suite 1011, Washington, DC 20036.</w:t>
      </w:r>
    </w:p>
    <w:p w:rsidR="00534EA3" w:rsidP="00534EA3" w14:paraId="4F9B4989" w14:textId="77777777">
      <w:pPr>
        <w:keepNext/>
        <w:widowControl/>
        <w:rPr>
          <w:szCs w:val="22"/>
        </w:rPr>
      </w:pPr>
    </w:p>
    <w:p w:rsidR="00534EA3" w:rsidRPr="002A6579" w:rsidP="00534EA3" w14:paraId="1360ED21" w14:textId="77777777">
      <w:pPr>
        <w:keepNext/>
        <w:widowControl/>
      </w:pPr>
      <w:r w:rsidRPr="00193A4F">
        <w:rPr>
          <w:szCs w:val="22"/>
        </w:rPr>
        <w:tab/>
      </w:r>
      <w:r w:rsidRPr="00193A4F">
        <w:rPr>
          <w:szCs w:val="22"/>
        </w:rPr>
        <w:tab/>
      </w:r>
      <w:r w:rsidRPr="00193A4F">
        <w:rPr>
          <w:szCs w:val="22"/>
        </w:rPr>
        <w:tab/>
      </w:r>
      <w:r w:rsidRPr="00193A4F">
        <w:rPr>
          <w:szCs w:val="22"/>
        </w:rPr>
        <w:tab/>
      </w:r>
      <w:r w:rsidRPr="00193A4F">
        <w:rPr>
          <w:szCs w:val="22"/>
        </w:rPr>
        <w:tab/>
      </w:r>
      <w:r w:rsidRPr="00193A4F">
        <w:rPr>
          <w:szCs w:val="22"/>
        </w:rPr>
        <w:tab/>
      </w:r>
      <w:r w:rsidRPr="002A6579">
        <w:t>FEDERAL COMMUNICATIONS COMMISSION</w:t>
      </w:r>
    </w:p>
    <w:p w:rsidR="00534EA3" w:rsidRPr="00193A4F" w:rsidP="00534EA3" w14:paraId="0875D519" w14:textId="77777777">
      <w:pPr>
        <w:keepNext/>
        <w:widowControl/>
        <w:rPr>
          <w:szCs w:val="22"/>
        </w:rPr>
      </w:pPr>
    </w:p>
    <w:p w:rsidR="00534EA3" w:rsidP="00534EA3" w14:paraId="2B7CC5D9" w14:textId="77777777">
      <w:pPr>
        <w:keepNext/>
        <w:widowControl/>
        <w:rPr>
          <w:szCs w:val="22"/>
        </w:rPr>
      </w:pPr>
    </w:p>
    <w:p w:rsidR="00534EA3" w:rsidP="00534EA3" w14:paraId="6CBEDE49" w14:textId="77777777">
      <w:pPr>
        <w:keepNext/>
        <w:widowControl/>
        <w:rPr>
          <w:szCs w:val="22"/>
        </w:rPr>
      </w:pPr>
    </w:p>
    <w:p w:rsidR="00534EA3" w:rsidRPr="00193A4F" w:rsidP="00534EA3" w14:paraId="71628928" w14:textId="77777777">
      <w:pPr>
        <w:keepNext/>
        <w:widowControl/>
        <w:rPr>
          <w:szCs w:val="22"/>
        </w:rPr>
      </w:pPr>
    </w:p>
    <w:p w:rsidR="00534EA3" w:rsidRPr="00193A4F" w:rsidP="00534EA3" w14:paraId="6C34C06F" w14:textId="77777777">
      <w:pPr>
        <w:keepNext/>
        <w:widowControl/>
        <w:rPr>
          <w:szCs w:val="22"/>
        </w:rPr>
      </w:pPr>
      <w:r w:rsidRPr="00193A4F">
        <w:rPr>
          <w:szCs w:val="22"/>
        </w:rPr>
        <w:tab/>
      </w:r>
      <w:r w:rsidRPr="00193A4F">
        <w:rPr>
          <w:szCs w:val="22"/>
        </w:rPr>
        <w:tab/>
      </w:r>
      <w:r w:rsidRPr="00193A4F">
        <w:rPr>
          <w:szCs w:val="22"/>
        </w:rPr>
        <w:tab/>
      </w:r>
      <w:r w:rsidRPr="00193A4F">
        <w:rPr>
          <w:szCs w:val="22"/>
        </w:rPr>
        <w:tab/>
      </w:r>
      <w:r w:rsidRPr="00193A4F">
        <w:rPr>
          <w:szCs w:val="22"/>
        </w:rPr>
        <w:tab/>
      </w:r>
      <w:r w:rsidRPr="00193A4F">
        <w:rPr>
          <w:szCs w:val="22"/>
        </w:rPr>
        <w:tab/>
      </w:r>
      <w:r>
        <w:rPr>
          <w:szCs w:val="22"/>
        </w:rPr>
        <w:t>Marlene H. Dortch</w:t>
      </w:r>
    </w:p>
    <w:p w:rsidR="00534EA3" w:rsidRPr="00193A4F" w:rsidP="00534EA3" w14:paraId="3EC75ABC" w14:textId="77777777">
      <w:pPr>
        <w:rPr>
          <w:szCs w:val="22"/>
        </w:rPr>
      </w:pPr>
      <w:r w:rsidRPr="00193A4F">
        <w:rPr>
          <w:szCs w:val="22"/>
        </w:rPr>
        <w:tab/>
      </w:r>
      <w:r w:rsidRPr="00193A4F">
        <w:rPr>
          <w:szCs w:val="22"/>
        </w:rPr>
        <w:tab/>
      </w:r>
      <w:r w:rsidRPr="00193A4F">
        <w:rPr>
          <w:szCs w:val="22"/>
        </w:rPr>
        <w:tab/>
      </w:r>
      <w:r w:rsidRPr="00193A4F">
        <w:rPr>
          <w:szCs w:val="22"/>
        </w:rPr>
        <w:tab/>
      </w:r>
      <w:r w:rsidRPr="00193A4F">
        <w:rPr>
          <w:szCs w:val="22"/>
        </w:rPr>
        <w:tab/>
      </w:r>
      <w:r w:rsidRPr="00193A4F">
        <w:rPr>
          <w:szCs w:val="22"/>
        </w:rPr>
        <w:tab/>
      </w:r>
      <w:r>
        <w:rPr>
          <w:szCs w:val="22"/>
        </w:rPr>
        <w:t>Secretary</w:t>
      </w:r>
    </w:p>
    <w:p w:rsidR="00534EA3" w:rsidRPr="00F35729" w:rsidP="00534EA3" w14:paraId="00F0B43E" w14:textId="77777777">
      <w:pPr>
        <w:rPr>
          <w:szCs w:val="22"/>
        </w:rPr>
      </w:pPr>
      <w:r w:rsidRPr="00193A4F">
        <w:rPr>
          <w:szCs w:val="22"/>
        </w:rPr>
        <w:tab/>
      </w:r>
      <w:r w:rsidRPr="00193A4F">
        <w:rPr>
          <w:szCs w:val="22"/>
        </w:rPr>
        <w:tab/>
      </w:r>
      <w:r w:rsidRPr="00193A4F">
        <w:rPr>
          <w:szCs w:val="22"/>
        </w:rPr>
        <w:tab/>
      </w:r>
      <w:r w:rsidRPr="00193A4F">
        <w:rPr>
          <w:szCs w:val="22"/>
        </w:rPr>
        <w:tab/>
      </w:r>
      <w:r w:rsidRPr="00193A4F">
        <w:rPr>
          <w:szCs w:val="22"/>
        </w:rPr>
        <w:tab/>
      </w:r>
      <w:r w:rsidRPr="00193A4F">
        <w:rPr>
          <w:szCs w:val="22"/>
        </w:rPr>
        <w:tab/>
      </w:r>
    </w:p>
    <w:p w:rsidR="00212C15" w:rsidP="00534EA3" w14:paraId="5E5BA647" w14:textId="77777777">
      <w:pPr>
        <w:sectPr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pPr>
    </w:p>
    <w:p w:rsidR="00212C15" w:rsidRPr="005577AD" w:rsidP="00212C15" w14:paraId="431AE276" w14:textId="77777777">
      <w:pPr>
        <w:jc w:val="center"/>
        <w:rPr>
          <w:b/>
          <w:bCs/>
          <w:caps/>
          <w:szCs w:val="22"/>
        </w:rPr>
      </w:pPr>
      <w:r w:rsidRPr="005577AD">
        <w:rPr>
          <w:b/>
          <w:bCs/>
          <w:caps/>
          <w:szCs w:val="22"/>
        </w:rPr>
        <w:t>Statement of</w:t>
      </w:r>
    </w:p>
    <w:p w:rsidR="00212C15" w:rsidRPr="005577AD" w:rsidP="00212C15" w14:paraId="796EA254" w14:textId="77777777">
      <w:pPr>
        <w:jc w:val="center"/>
        <w:rPr>
          <w:b/>
          <w:bCs/>
          <w:caps/>
          <w:szCs w:val="22"/>
        </w:rPr>
      </w:pPr>
      <w:r w:rsidRPr="005F0D72">
        <w:rPr>
          <w:b/>
          <w:bCs/>
          <w:caps/>
          <w:szCs w:val="22"/>
        </w:rPr>
        <w:t xml:space="preserve">ACTING CHAIRWOMAN JESSICA </w:t>
      </w:r>
      <w:r w:rsidRPr="005F0D72">
        <w:rPr>
          <w:b/>
          <w:bCs/>
          <w:caps/>
          <w:szCs w:val="22"/>
        </w:rPr>
        <w:t>ROSENWORCEL</w:t>
      </w:r>
    </w:p>
    <w:p w:rsidR="00212C15" w:rsidRPr="005577AD" w:rsidP="00212C15" w14:paraId="24566C13" w14:textId="77777777">
      <w:pPr>
        <w:jc w:val="center"/>
        <w:rPr>
          <w:b/>
          <w:bCs/>
          <w:caps/>
          <w:szCs w:val="22"/>
        </w:rPr>
      </w:pPr>
    </w:p>
    <w:p w:rsidR="00212C15" w:rsidRPr="005F0D72" w:rsidP="00212C15" w14:paraId="227CDC9C" w14:textId="77777777">
      <w:pPr>
        <w:ind w:left="720" w:hanging="720"/>
        <w:rPr>
          <w:szCs w:val="22"/>
        </w:rPr>
      </w:pPr>
      <w:r w:rsidRPr="005577AD">
        <w:rPr>
          <w:iCs/>
          <w:szCs w:val="22"/>
        </w:rPr>
        <w:t>Re:</w:t>
      </w:r>
      <w:r w:rsidRPr="005577AD">
        <w:rPr>
          <w:szCs w:val="22"/>
        </w:rPr>
        <w:t xml:space="preserve"> </w:t>
      </w:r>
      <w:r w:rsidRPr="005577AD">
        <w:rPr>
          <w:szCs w:val="22"/>
        </w:rPr>
        <w:tab/>
      </w:r>
      <w:r w:rsidRPr="005F0D72">
        <w:rPr>
          <w:i/>
          <w:iCs/>
          <w:szCs w:val="22"/>
        </w:rPr>
        <w:t xml:space="preserve">In the Matter of ABC Fulfillment Services LLC d/b/a </w:t>
      </w:r>
      <w:r w:rsidRPr="005F0D72">
        <w:rPr>
          <w:i/>
          <w:iCs/>
          <w:szCs w:val="22"/>
        </w:rPr>
        <w:t>HobbyKing</w:t>
      </w:r>
      <w:r w:rsidRPr="005F0D72">
        <w:rPr>
          <w:i/>
          <w:iCs/>
          <w:szCs w:val="22"/>
        </w:rPr>
        <w:t xml:space="preserve"> USA LLC and HobbyKing.com; and Indubitably, Inc. d/b/a </w:t>
      </w:r>
      <w:r w:rsidRPr="005F0D72">
        <w:rPr>
          <w:i/>
          <w:iCs/>
          <w:szCs w:val="22"/>
        </w:rPr>
        <w:t>HobbyKing</w:t>
      </w:r>
      <w:r w:rsidRPr="005F0D72">
        <w:rPr>
          <w:i/>
          <w:iCs/>
          <w:szCs w:val="22"/>
        </w:rPr>
        <w:t xml:space="preserve"> Corp., </w:t>
      </w:r>
      <w:r w:rsidRPr="005F0D72">
        <w:rPr>
          <w:i/>
          <w:iCs/>
          <w:szCs w:val="22"/>
        </w:rPr>
        <w:t>HobbyKing</w:t>
      </w:r>
      <w:r w:rsidRPr="005F0D72">
        <w:rPr>
          <w:i/>
          <w:iCs/>
          <w:szCs w:val="22"/>
        </w:rPr>
        <w:t xml:space="preserve"> USA LLC, </w:t>
      </w:r>
      <w:r w:rsidRPr="005F0D72">
        <w:rPr>
          <w:i/>
          <w:iCs/>
          <w:szCs w:val="22"/>
        </w:rPr>
        <w:t>HobbyKing</w:t>
      </w:r>
      <w:r w:rsidRPr="005F0D72">
        <w:rPr>
          <w:i/>
          <w:iCs/>
          <w:szCs w:val="22"/>
        </w:rPr>
        <w:t>, and HobbyKing.com</w:t>
      </w:r>
      <w:r>
        <w:rPr>
          <w:i/>
          <w:iCs/>
          <w:szCs w:val="22"/>
        </w:rPr>
        <w:t>,</w:t>
      </w:r>
      <w:r w:rsidRPr="005F0D72">
        <w:rPr>
          <w:szCs w:val="22"/>
        </w:rPr>
        <w:t xml:space="preserve"> Memorandum Opinion and Order, File No. EB-SED-17-00023762</w:t>
      </w:r>
    </w:p>
    <w:p w:rsidR="00212C15" w:rsidRPr="005577AD" w:rsidP="00212C15" w14:paraId="2B281FFE" w14:textId="77777777">
      <w:pPr>
        <w:ind w:firstLine="720"/>
        <w:rPr>
          <w:szCs w:val="22"/>
        </w:rPr>
      </w:pPr>
    </w:p>
    <w:p w:rsidR="00212C15" w:rsidRPr="005F0D72" w:rsidP="00212C15" w14:paraId="3D602C83" w14:textId="77777777">
      <w:pPr>
        <w:spacing w:after="120"/>
        <w:ind w:firstLine="720"/>
        <w:rPr>
          <w:szCs w:val="22"/>
        </w:rPr>
      </w:pPr>
      <w:r w:rsidRPr="005F0D72">
        <w:rPr>
          <w:szCs w:val="22"/>
        </w:rPr>
        <w:t xml:space="preserve">Several years ago, the Federal Communications Commission issued a Notice of Apparent Liability against </w:t>
      </w:r>
      <w:r w:rsidRPr="005F0D72">
        <w:rPr>
          <w:szCs w:val="22"/>
        </w:rPr>
        <w:t>HobbyKing</w:t>
      </w:r>
      <w:r w:rsidRPr="005F0D72">
        <w:rPr>
          <w:szCs w:val="22"/>
        </w:rPr>
        <w:t xml:space="preserve"> for marketing drone transmitters that did not comply with our rules.  Failure to abide by our radiofrequency policies can lead to interference with other wireless users, including public safety authorities.  Today we finally bring this proceeding to a conclusion by upholding an order directing forfeiture of more than $2.8 million.  This is the right thing to do with this company.  Let it also be a notice to all others that we take our policies protecting our airwaves seriously and if you fail to do so, we will find you.  </w:t>
      </w:r>
    </w:p>
    <w:p w:rsidR="00212C15" w:rsidRPr="005577AD" w:rsidP="00212C15" w14:paraId="2D98843E" w14:textId="77777777">
      <w:pPr>
        <w:spacing w:after="120"/>
        <w:ind w:firstLine="720"/>
        <w:rPr>
          <w:szCs w:val="22"/>
        </w:rPr>
      </w:pPr>
      <w:r w:rsidRPr="005F0D72">
        <w:rPr>
          <w:szCs w:val="22"/>
        </w:rPr>
        <w:t>Thank you to the Enforcement Bureau for their work on this effort, including Rosemary Harold, Christopher Killion, Jason Koslofsky, Jeremy Marcus, Neal McNeil, Elizabeth Mumaw, Ashley Tyson, and Josh Zeldis.  Thank you also to David Horowitz, Douglas Klein, Linda Oliver, and William Richardson from the Office of General Counsel; Kari Hicks from the Wireless Telecommunications Bureau; and Thomas Struble from the Office of Engineering and Technology.</w:t>
      </w:r>
    </w:p>
    <w:p w:rsidR="00412FC5" w:rsidRPr="00534EA3" w:rsidP="00534EA3" w14:paraId="68BAFA7F" w14:textId="4ECB0A6C"/>
    <w:sectPr w:rsidSect="00504EAE">
      <w:headerReference w:type="default" r:id="rId16"/>
      <w:footerReference w:type="even" r:id="rId17"/>
      <w:footerReference w:type="default" r:id="rId18"/>
      <w:headerReference w:type="first" r:id="rId19"/>
      <w:endnotePr>
        <w:numFmt w:val="decimal"/>
      </w:endnotePr>
      <w:pgSz w:w="12240" w:h="15840"/>
      <w:pgMar w:top="1440" w:right="1440" w:bottom="720" w:left="1440" w:header="720" w:footer="720" w:gutter="0"/>
      <w:cols w:space="720"/>
      <w:noEndnote/>
      <w:docGrid w:linePitch="299"/>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96B2A8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F4C7EC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34EA3" w14:paraId="02FDAEE5" w14:textId="1EF6797E">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7FA6" w14:paraId="2304FAB7"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CFE470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1F802FB"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AEA9FC0"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55FF6F53"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50C4" w14:paraId="46E5205D" w14:textId="77777777">
      <w:r>
        <w:separator/>
      </w:r>
    </w:p>
  </w:footnote>
  <w:footnote w:type="continuationSeparator" w:id="1">
    <w:p w:rsidR="008C50C4" w:rsidP="00C721AC" w14:paraId="20756E36" w14:textId="77777777">
      <w:pPr>
        <w:spacing w:before="120"/>
        <w:rPr>
          <w:sz w:val="20"/>
        </w:rPr>
      </w:pPr>
      <w:r>
        <w:rPr>
          <w:sz w:val="20"/>
        </w:rPr>
        <w:t xml:space="preserve">(Continued from previous page)  </w:t>
      </w:r>
      <w:r>
        <w:rPr>
          <w:sz w:val="20"/>
        </w:rPr>
        <w:separator/>
      </w:r>
    </w:p>
  </w:footnote>
  <w:footnote w:type="continuationNotice" w:id="2">
    <w:p w:rsidR="008C50C4" w:rsidP="00C721AC" w14:paraId="4CFD8FC8" w14:textId="77777777">
      <w:pPr>
        <w:jc w:val="right"/>
        <w:rPr>
          <w:sz w:val="20"/>
        </w:rPr>
      </w:pPr>
      <w:r>
        <w:rPr>
          <w:sz w:val="20"/>
        </w:rPr>
        <w:t>(continued….)</w:t>
      </w:r>
    </w:p>
  </w:footnote>
  <w:footnote w:id="3">
    <w:p w:rsidR="00534EA3" w:rsidP="00534EA3" w14:paraId="2D3F6F1D" w14:textId="77777777">
      <w:pPr>
        <w:pStyle w:val="FootnoteText"/>
      </w:pPr>
      <w:r>
        <w:rPr>
          <w:rStyle w:val="FootnoteReference"/>
        </w:rPr>
        <w:footnoteRef/>
      </w:r>
      <w:r>
        <w:t xml:space="preserve"> Petition for Reconsideration of Forfeiture Order of </w:t>
      </w:r>
      <w:r w:rsidRPr="003E1D00">
        <w:rPr>
          <w:iCs/>
        </w:rPr>
        <w:t xml:space="preserve">ABC Fulfillment Services LLC d/b/a </w:t>
      </w:r>
      <w:r w:rsidRPr="003E1D00">
        <w:rPr>
          <w:iCs/>
        </w:rPr>
        <w:t>HobbyKing</w:t>
      </w:r>
      <w:r w:rsidRPr="003E1D00">
        <w:rPr>
          <w:iCs/>
        </w:rPr>
        <w:t xml:space="preserve"> USA LLC and HobbyKing.com, and Indubitably, Inc. d/b/a/ </w:t>
      </w:r>
      <w:r w:rsidRPr="003E1D00">
        <w:rPr>
          <w:iCs/>
        </w:rPr>
        <w:t>HobbyKing</w:t>
      </w:r>
      <w:r w:rsidRPr="003E1D00">
        <w:rPr>
          <w:iCs/>
        </w:rPr>
        <w:t xml:space="preserve"> Corp., </w:t>
      </w:r>
      <w:r w:rsidRPr="003E1D00">
        <w:rPr>
          <w:iCs/>
        </w:rPr>
        <w:t>HobbyKing</w:t>
      </w:r>
      <w:r w:rsidRPr="003E1D00">
        <w:rPr>
          <w:iCs/>
        </w:rPr>
        <w:t xml:space="preserve"> USA LLC, </w:t>
      </w:r>
      <w:r w:rsidRPr="003E1D00">
        <w:rPr>
          <w:iCs/>
        </w:rPr>
        <w:t>HobbyKing</w:t>
      </w:r>
      <w:r w:rsidRPr="003E1D00">
        <w:rPr>
          <w:iCs/>
        </w:rPr>
        <w:t xml:space="preserve"> and HobbyKing.com</w:t>
      </w:r>
      <w:r>
        <w:t>, File No. EB-SED-17-00023762, (Aug. 24, 2020) (on file in EB-SED-17-00023762) (Petition for Reconsideration).</w:t>
      </w:r>
    </w:p>
  </w:footnote>
  <w:footnote w:id="4">
    <w:p w:rsidR="00534EA3" w:rsidRPr="00FA6544" w:rsidP="00534EA3" w14:paraId="7596750A" w14:textId="77777777">
      <w:pPr>
        <w:pStyle w:val="FootnoteText"/>
      </w:pPr>
      <w:r>
        <w:rPr>
          <w:rStyle w:val="FootnoteReference"/>
        </w:rPr>
        <w:footnoteRef/>
      </w:r>
      <w:r>
        <w:t xml:space="preserve"> </w:t>
      </w:r>
      <w:r w:rsidRPr="009C4EE7">
        <w:rPr>
          <w:i/>
        </w:rPr>
        <w:t>ABC Fulf</w:t>
      </w:r>
      <w:r>
        <w:rPr>
          <w:i/>
        </w:rPr>
        <w:t>i</w:t>
      </w:r>
      <w:r w:rsidRPr="009C4EE7">
        <w:rPr>
          <w:i/>
        </w:rPr>
        <w:t xml:space="preserve">llment Services LLC d/b/a </w:t>
      </w:r>
      <w:r w:rsidRPr="009C4EE7">
        <w:rPr>
          <w:i/>
        </w:rPr>
        <w:t>HobbyKing</w:t>
      </w:r>
      <w:r w:rsidRPr="009C4EE7">
        <w:rPr>
          <w:i/>
        </w:rPr>
        <w:t xml:space="preserve"> USA LLC and HobbyKing.com, and Indubitably, Inc. d/b/a/ </w:t>
      </w:r>
      <w:r w:rsidRPr="009C4EE7">
        <w:rPr>
          <w:i/>
        </w:rPr>
        <w:t>HobbyKing</w:t>
      </w:r>
      <w:r w:rsidRPr="009C4EE7">
        <w:rPr>
          <w:i/>
        </w:rPr>
        <w:t xml:space="preserve"> Corp., </w:t>
      </w:r>
      <w:r w:rsidRPr="009C4EE7">
        <w:rPr>
          <w:i/>
        </w:rPr>
        <w:t>HobbyKing</w:t>
      </w:r>
      <w:r w:rsidRPr="009C4EE7">
        <w:rPr>
          <w:i/>
        </w:rPr>
        <w:t xml:space="preserve"> USA LLC, </w:t>
      </w:r>
      <w:r w:rsidRPr="009C4EE7">
        <w:rPr>
          <w:i/>
        </w:rPr>
        <w:t>HobbyKing</w:t>
      </w:r>
      <w:r w:rsidRPr="009C4EE7">
        <w:rPr>
          <w:i/>
        </w:rPr>
        <w:t xml:space="preserve"> and HobbyKing.com</w:t>
      </w:r>
      <w:r w:rsidRPr="009C4EE7">
        <w:t xml:space="preserve">, </w:t>
      </w:r>
      <w:r>
        <w:t>Forfeiture Order</w:t>
      </w:r>
      <w:r w:rsidRPr="009C4EE7">
        <w:t>, 3</w:t>
      </w:r>
      <w:r>
        <w:t>5</w:t>
      </w:r>
      <w:r w:rsidRPr="009C4EE7">
        <w:t xml:space="preserve"> FCC </w:t>
      </w:r>
      <w:r w:rsidRPr="009C4EE7">
        <w:t>Rcd</w:t>
      </w:r>
      <w:r w:rsidRPr="009C4EE7">
        <w:t xml:space="preserve"> </w:t>
      </w:r>
      <w:r>
        <w:t>7441</w:t>
      </w:r>
      <w:r w:rsidRPr="009C4EE7">
        <w:t xml:space="preserve"> (20</w:t>
      </w:r>
      <w:r>
        <w:t>20</w:t>
      </w:r>
      <w:r w:rsidRPr="009C4EE7">
        <w:t>)</w:t>
      </w:r>
      <w:r>
        <w:t xml:space="preserve"> (</w:t>
      </w:r>
      <w:r>
        <w:rPr>
          <w:i/>
          <w:iCs/>
        </w:rPr>
        <w:t xml:space="preserve">Forfeiture Order); </w:t>
      </w:r>
      <w:r w:rsidRPr="003A76D1">
        <w:rPr>
          <w:i/>
          <w:iCs/>
        </w:rPr>
        <w:t>see also</w:t>
      </w:r>
      <w:r>
        <w:t xml:space="preserve"> </w:t>
      </w:r>
      <w:r w:rsidRPr="009C4EE7">
        <w:rPr>
          <w:i/>
        </w:rPr>
        <w:t>ABC Fulf</w:t>
      </w:r>
      <w:r>
        <w:rPr>
          <w:i/>
        </w:rPr>
        <w:t>i</w:t>
      </w:r>
      <w:r w:rsidRPr="009C4EE7">
        <w:rPr>
          <w:i/>
        </w:rPr>
        <w:t xml:space="preserve">llment Services LLC d/b/a </w:t>
      </w:r>
      <w:r w:rsidRPr="009C4EE7">
        <w:rPr>
          <w:i/>
        </w:rPr>
        <w:t>HobbyKing</w:t>
      </w:r>
      <w:r w:rsidRPr="009C4EE7">
        <w:rPr>
          <w:i/>
        </w:rPr>
        <w:t xml:space="preserve"> USA LLC and HobbyKing.com, and Indubitably, Inc. d/b/a/ </w:t>
      </w:r>
      <w:r w:rsidRPr="009C4EE7">
        <w:rPr>
          <w:i/>
        </w:rPr>
        <w:t>HobbyKing</w:t>
      </w:r>
      <w:r w:rsidRPr="009C4EE7">
        <w:rPr>
          <w:i/>
        </w:rPr>
        <w:t xml:space="preserve"> Corp., </w:t>
      </w:r>
      <w:r w:rsidRPr="009C4EE7">
        <w:rPr>
          <w:i/>
        </w:rPr>
        <w:t>HobbyKing</w:t>
      </w:r>
      <w:r w:rsidRPr="009C4EE7">
        <w:rPr>
          <w:i/>
        </w:rPr>
        <w:t xml:space="preserve"> USA LLC, </w:t>
      </w:r>
      <w:r w:rsidRPr="009C4EE7">
        <w:rPr>
          <w:i/>
        </w:rPr>
        <w:t>HobbyKing</w:t>
      </w:r>
      <w:r w:rsidRPr="009C4EE7">
        <w:rPr>
          <w:i/>
        </w:rPr>
        <w:t xml:space="preserve"> and HobbyKing.com</w:t>
      </w:r>
      <w:r w:rsidRPr="009C4EE7">
        <w:t xml:space="preserve">, Notice of Apparent Liability for Forfeiture, 33 FCC </w:t>
      </w:r>
      <w:r w:rsidRPr="009C4EE7">
        <w:t>Rcd</w:t>
      </w:r>
      <w:r w:rsidRPr="009C4EE7">
        <w:t xml:space="preserve"> 5530 (2018)</w:t>
      </w:r>
      <w:r>
        <w:t>.</w:t>
      </w:r>
    </w:p>
  </w:footnote>
  <w:footnote w:id="5">
    <w:p w:rsidR="00534EA3" w:rsidRPr="009C4EE7" w:rsidP="00534EA3" w14:paraId="2814ED3E" w14:textId="77777777">
      <w:pPr>
        <w:pStyle w:val="FootnoteText"/>
      </w:pPr>
      <w:r w:rsidRPr="009C4EE7">
        <w:rPr>
          <w:rStyle w:val="FootnoteReference"/>
        </w:rPr>
        <w:footnoteRef/>
      </w:r>
      <w:r w:rsidRPr="009C4EE7">
        <w:t xml:space="preserve"> 47 U.S.C. § 302a.</w:t>
      </w:r>
    </w:p>
  </w:footnote>
  <w:footnote w:id="6">
    <w:p w:rsidR="00534EA3" w:rsidRPr="009C4EE7" w:rsidP="00534EA3" w14:paraId="45DE3545" w14:textId="77777777">
      <w:pPr>
        <w:pStyle w:val="FootnoteText"/>
      </w:pPr>
      <w:r w:rsidRPr="009C4EE7">
        <w:rPr>
          <w:rStyle w:val="FootnoteReference"/>
        </w:rPr>
        <w:footnoteRef/>
      </w:r>
      <w:r w:rsidRPr="009C4EE7">
        <w:t xml:space="preserve"> 47 CFR § 2.803.</w:t>
      </w:r>
    </w:p>
  </w:footnote>
  <w:footnote w:id="7">
    <w:p w:rsidR="00534EA3" w:rsidP="00534EA3" w14:paraId="78AE786C" w14:textId="77777777">
      <w:pPr>
        <w:pStyle w:val="FootnoteText"/>
      </w:pPr>
      <w:r>
        <w:rPr>
          <w:rStyle w:val="FootnoteReference"/>
        </w:rPr>
        <w:footnoteRef/>
      </w:r>
      <w:r>
        <w:t xml:space="preserve"> </w:t>
      </w:r>
      <w:r w:rsidRPr="00A06B1A">
        <w:t xml:space="preserve">Companies that receive </w:t>
      </w:r>
      <w:r>
        <w:t>inquirie</w:t>
      </w:r>
      <w:r w:rsidRPr="00A06B1A">
        <w:t>s</w:t>
      </w:r>
      <w:r>
        <w:t xml:space="preserve"> from the Commission</w:t>
      </w:r>
      <w:r w:rsidRPr="00A06B1A">
        <w:t xml:space="preserve"> must timely file complete and accurate responses.</w:t>
      </w:r>
      <w:r>
        <w:t xml:space="preserve">  </w:t>
      </w:r>
      <w:r w:rsidRPr="00A06B1A">
        <w:t xml:space="preserve">Failure to timely and fully respond to the </w:t>
      </w:r>
      <w:r>
        <w:t>Commission</w:t>
      </w:r>
      <w:r w:rsidRPr="00A06B1A">
        <w:t>'s inquiries violates the Act.</w:t>
      </w:r>
      <w:r>
        <w:t xml:space="preserve">  </w:t>
      </w:r>
      <w:r w:rsidRPr="00A06B1A">
        <w:rPr>
          <w:i/>
          <w:iCs/>
        </w:rPr>
        <w:t xml:space="preserve">See </w:t>
      </w:r>
      <w:r w:rsidRPr="00A06B1A">
        <w:t>47 U.S.C. §§ 154(</w:t>
      </w:r>
      <w:r w:rsidRPr="00A06B1A">
        <w:t>i</w:t>
      </w:r>
      <w:r w:rsidRPr="00A06B1A">
        <w:t xml:space="preserve">), 154(j), 403, 503(b)(1)(B); </w:t>
      </w:r>
      <w:r w:rsidRPr="00114678">
        <w:rPr>
          <w:i/>
          <w:iCs/>
        </w:rPr>
        <w:t>Aura Holdings of Wisconsin, Inc.</w:t>
      </w:r>
      <w:r w:rsidRPr="00114678">
        <w:t xml:space="preserve">, Notice of Apparent Liability for Forfeiture, 33 FCC </w:t>
      </w:r>
      <w:r w:rsidRPr="00114678">
        <w:t>Rcd</w:t>
      </w:r>
      <w:r w:rsidRPr="00114678">
        <w:t xml:space="preserve"> 3688, 3696, para. 21 (2018), </w:t>
      </w:r>
      <w:r w:rsidRPr="00114678">
        <w:rPr>
          <w:i/>
          <w:iCs/>
        </w:rPr>
        <w:t>forfeiture order issued</w:t>
      </w:r>
      <w:r w:rsidRPr="00114678">
        <w:t xml:space="preserve">, 34 FCC </w:t>
      </w:r>
      <w:r w:rsidRPr="00114678">
        <w:t>Rcd</w:t>
      </w:r>
      <w:r w:rsidRPr="00114678">
        <w:t xml:space="preserve"> 2540 (2019)</w:t>
      </w:r>
      <w:r>
        <w:t xml:space="preserve">; </w:t>
      </w:r>
      <w:r w:rsidRPr="00872ED5">
        <w:rPr>
          <w:i/>
          <w:iCs/>
        </w:rPr>
        <w:t>SBC</w:t>
      </w:r>
      <w:r>
        <w:rPr>
          <w:i/>
          <w:iCs/>
        </w:rPr>
        <w:t xml:space="preserve"> Commc’ns, Inc.</w:t>
      </w:r>
      <w:r w:rsidRPr="00A06B1A">
        <w:t xml:space="preserve">, </w:t>
      </w:r>
      <w:r>
        <w:t xml:space="preserve">Forfeiture Order, </w:t>
      </w:r>
      <w:r w:rsidRPr="00A06B1A">
        <w:t xml:space="preserve">17 FCC </w:t>
      </w:r>
      <w:r w:rsidRPr="00A06B1A">
        <w:t>Rcd</w:t>
      </w:r>
      <w:r w:rsidRPr="00A06B1A">
        <w:t xml:space="preserve"> </w:t>
      </w:r>
      <w:r>
        <w:t xml:space="preserve">7589, </w:t>
      </w:r>
      <w:r w:rsidRPr="00A06B1A">
        <w:t>7599-600, para</w:t>
      </w:r>
      <w:r>
        <w:t>s</w:t>
      </w:r>
      <w:r w:rsidRPr="00A06B1A">
        <w:t>. 23-28</w:t>
      </w:r>
      <w:r>
        <w:t xml:space="preserve"> (2002</w:t>
      </w:r>
      <w:r w:rsidRPr="00114678">
        <w:rPr>
          <w:i/>
          <w:iCs/>
        </w:rPr>
        <w:t>)</w:t>
      </w:r>
      <w:r>
        <w:t xml:space="preserve">; </w:t>
      </w:r>
      <w:r w:rsidRPr="00254560">
        <w:rPr>
          <w:i/>
          <w:iCs/>
        </w:rPr>
        <w:t>Net</w:t>
      </w:r>
      <w:r w:rsidRPr="00826245">
        <w:rPr>
          <w:i/>
        </w:rPr>
        <w:t xml:space="preserve"> One Int’l, Net One, LLC, </w:t>
      </w:r>
      <w:r w:rsidRPr="00826245">
        <w:rPr>
          <w:i/>
        </w:rPr>
        <w:t>Farrahtel</w:t>
      </w:r>
      <w:r w:rsidRPr="00826245">
        <w:rPr>
          <w:i/>
        </w:rPr>
        <w:t xml:space="preserve"> Int’l, LLC</w:t>
      </w:r>
      <w:r w:rsidRPr="00826245">
        <w:t xml:space="preserve">, Forfeiture Order, 29 FCC </w:t>
      </w:r>
      <w:r w:rsidRPr="00826245">
        <w:t>Rcd</w:t>
      </w:r>
      <w:r w:rsidRPr="00826245">
        <w:t xml:space="preserve"> 264, 267, para. 9 (EB 2014)</w:t>
      </w:r>
      <w:r>
        <w:t xml:space="preserve">, </w:t>
      </w:r>
      <w:r w:rsidRPr="00826245">
        <w:rPr>
          <w:i/>
        </w:rPr>
        <w:t>recons. denied</w:t>
      </w:r>
      <w:r w:rsidRPr="00826245">
        <w:t>,</w:t>
      </w:r>
      <w:r w:rsidRPr="00826245">
        <w:rPr>
          <w:i/>
        </w:rPr>
        <w:t xml:space="preserve"> </w:t>
      </w:r>
      <w:r w:rsidRPr="00826245">
        <w:t xml:space="preserve">Memorandum Opinion and Order, 30 FCC </w:t>
      </w:r>
      <w:r w:rsidRPr="00826245">
        <w:t>Rcd</w:t>
      </w:r>
      <w:r w:rsidRPr="00826245">
        <w:t xml:space="preserve"> 1021 (EB 2015</w:t>
      </w:r>
      <w:r>
        <w:t>).</w:t>
      </w:r>
    </w:p>
  </w:footnote>
  <w:footnote w:id="8">
    <w:p w:rsidR="00534EA3" w:rsidRPr="00C53C2D" w:rsidP="00534EA3" w14:paraId="584EB7B3" w14:textId="77777777">
      <w:pPr>
        <w:pStyle w:val="FootnoteText"/>
      </w:pPr>
      <w:r>
        <w:rPr>
          <w:rStyle w:val="FootnoteReference"/>
        </w:rPr>
        <w:footnoteRef/>
      </w:r>
      <w:r>
        <w:t xml:space="preserve"> </w:t>
      </w:r>
      <w:r>
        <w:rPr>
          <w:i/>
          <w:iCs/>
        </w:rPr>
        <w:t>See Forfeiture Order</w:t>
      </w:r>
      <w:r>
        <w:t xml:space="preserve">, 35 FCC </w:t>
      </w:r>
      <w:r>
        <w:t>Rcd</w:t>
      </w:r>
      <w:r>
        <w:t xml:space="preserve"> at 7442, para. 5.</w:t>
      </w:r>
    </w:p>
  </w:footnote>
  <w:footnote w:id="9">
    <w:p w:rsidR="00534EA3" w:rsidRPr="00C53C2D" w:rsidP="00534EA3" w14:paraId="5EEA4097" w14:textId="77777777">
      <w:pPr>
        <w:pStyle w:val="FootnoteText"/>
      </w:pPr>
      <w:r>
        <w:rPr>
          <w:rStyle w:val="FootnoteReference"/>
        </w:rPr>
        <w:footnoteRef/>
      </w:r>
      <w:r>
        <w:t xml:space="preserve"> </w:t>
      </w:r>
      <w:r>
        <w:rPr>
          <w:i/>
          <w:iCs/>
        </w:rPr>
        <w:t>Id</w:t>
      </w:r>
      <w:r>
        <w:t>.</w:t>
      </w:r>
    </w:p>
  </w:footnote>
  <w:footnote w:id="10">
    <w:p w:rsidR="00534EA3" w:rsidRPr="005F2F7D" w:rsidP="00534EA3" w14:paraId="5BBCD6A4" w14:textId="77777777">
      <w:pPr>
        <w:pStyle w:val="FootnoteText"/>
      </w:pPr>
      <w:r>
        <w:rPr>
          <w:rStyle w:val="FootnoteReference"/>
        </w:rPr>
        <w:footnoteRef/>
      </w:r>
      <w:r>
        <w:t xml:space="preserve"> </w:t>
      </w:r>
      <w:r>
        <w:rPr>
          <w:i/>
          <w:iCs/>
        </w:rPr>
        <w:t>Notice</w:t>
      </w:r>
      <w:r>
        <w:t xml:space="preserve">, 33 FCC </w:t>
      </w:r>
      <w:r>
        <w:t>Rcd</w:t>
      </w:r>
      <w:r>
        <w:t xml:space="preserve"> 5530, 5531, para. 4.</w:t>
      </w:r>
    </w:p>
  </w:footnote>
  <w:footnote w:id="11">
    <w:p w:rsidR="00534EA3" w:rsidP="00534EA3" w14:paraId="76834018" w14:textId="77777777">
      <w:pPr>
        <w:pStyle w:val="FootnoteText"/>
      </w:pPr>
      <w:r>
        <w:rPr>
          <w:rStyle w:val="FootnoteReference"/>
        </w:rPr>
        <w:footnoteRef/>
      </w:r>
      <w:r>
        <w:t xml:space="preserve"> 47 U.S.C.</w:t>
      </w:r>
      <w:r w:rsidRPr="00D54A3A">
        <w:t xml:space="preserve"> </w:t>
      </w:r>
      <w:r w:rsidRPr="009C4EE7">
        <w:t>§</w:t>
      </w:r>
      <w:r>
        <w:t xml:space="preserve"> 302a.</w:t>
      </w:r>
    </w:p>
  </w:footnote>
  <w:footnote w:id="12">
    <w:p w:rsidR="00534EA3" w:rsidP="00534EA3" w14:paraId="243ED5DA" w14:textId="77777777">
      <w:pPr>
        <w:pStyle w:val="FootnoteText"/>
      </w:pPr>
      <w:r>
        <w:rPr>
          <w:rStyle w:val="FootnoteReference"/>
        </w:rPr>
        <w:footnoteRef/>
      </w:r>
      <w:r>
        <w:t xml:space="preserve"> 47 CFR </w:t>
      </w:r>
      <w:r w:rsidRPr="009C4EE7">
        <w:t>§§</w:t>
      </w:r>
      <w:r>
        <w:t xml:space="preserve"> 2.803, 2.925. </w:t>
      </w:r>
    </w:p>
  </w:footnote>
  <w:footnote w:id="13">
    <w:p w:rsidR="00534EA3" w:rsidP="00534EA3" w14:paraId="199ECCDC" w14:textId="77777777">
      <w:pPr>
        <w:pStyle w:val="FootnoteText"/>
      </w:pPr>
      <w:r>
        <w:rPr>
          <w:rStyle w:val="FootnoteReference"/>
        </w:rPr>
        <w:footnoteRef/>
      </w:r>
      <w:r>
        <w:t xml:space="preserve"> </w:t>
      </w:r>
      <w:r w:rsidRPr="005F2F7D">
        <w:rPr>
          <w:i/>
          <w:iCs/>
        </w:rPr>
        <w:t xml:space="preserve">See </w:t>
      </w:r>
      <w:r w:rsidRPr="005F2F7D">
        <w:rPr>
          <w:i/>
          <w:iCs/>
        </w:rPr>
        <w:t>HobbyKing</w:t>
      </w:r>
      <w:r w:rsidRPr="005F2F7D">
        <w:rPr>
          <w:i/>
          <w:iCs/>
        </w:rPr>
        <w:t xml:space="preserve"> USA LLC</w:t>
      </w:r>
      <w:r w:rsidRPr="005F2F7D">
        <w:t xml:space="preserve">, Citation and Order, 31 FCC </w:t>
      </w:r>
      <w:r w:rsidRPr="005F2F7D">
        <w:t>Rcd</w:t>
      </w:r>
      <w:r w:rsidRPr="005F2F7D">
        <w:t xml:space="preserve"> 12581 (EB 2016)</w:t>
      </w:r>
      <w:r>
        <w:t xml:space="preserve"> (</w:t>
      </w:r>
      <w:r>
        <w:rPr>
          <w:i/>
          <w:iCs/>
        </w:rPr>
        <w:t>Marketing Citation</w:t>
      </w:r>
      <w:r>
        <w:t>).</w:t>
      </w:r>
    </w:p>
  </w:footnote>
  <w:footnote w:id="14">
    <w:p w:rsidR="00534EA3" w:rsidRPr="00427F62" w:rsidP="00534EA3" w14:paraId="7C25E464" w14:textId="77777777">
      <w:pPr>
        <w:pStyle w:val="FootnoteText"/>
      </w:pPr>
      <w:r>
        <w:rPr>
          <w:rStyle w:val="FootnoteReference"/>
        </w:rPr>
        <w:footnoteRef/>
      </w:r>
      <w:r>
        <w:t xml:space="preserve"> </w:t>
      </w:r>
      <w:r>
        <w:rPr>
          <w:i/>
          <w:iCs/>
        </w:rPr>
        <w:t>Notice</w:t>
      </w:r>
      <w:r>
        <w:t xml:space="preserve">, 33 FCC </w:t>
      </w:r>
      <w:r>
        <w:t>Rcd</w:t>
      </w:r>
      <w:r>
        <w:t xml:space="preserve"> 5530, 5531-32, para. 5.</w:t>
      </w:r>
    </w:p>
  </w:footnote>
  <w:footnote w:id="15">
    <w:p w:rsidR="00534EA3" w:rsidP="00534EA3" w14:paraId="54B7D3AD" w14:textId="77777777">
      <w:pPr>
        <w:widowControl/>
        <w:autoSpaceDE w:val="0"/>
        <w:autoSpaceDN w:val="0"/>
        <w:adjustRightInd w:val="0"/>
        <w:rPr>
          <w:i/>
          <w:iCs/>
          <w:snapToGrid/>
          <w:kern w:val="0"/>
          <w:sz w:val="20"/>
        </w:rPr>
      </w:pPr>
      <w:r>
        <w:rPr>
          <w:rStyle w:val="FootnoteReference"/>
        </w:rPr>
        <w:footnoteRef/>
      </w:r>
      <w:r>
        <w:t xml:space="preserve"> </w:t>
      </w:r>
      <w:r>
        <w:rPr>
          <w:i/>
          <w:iCs/>
          <w:snapToGrid/>
          <w:kern w:val="0"/>
          <w:sz w:val="20"/>
        </w:rPr>
        <w:t xml:space="preserve">See ABC Fulfillment Services LLC d/b/a </w:t>
      </w:r>
      <w:r>
        <w:rPr>
          <w:i/>
          <w:iCs/>
          <w:snapToGrid/>
          <w:kern w:val="0"/>
          <w:sz w:val="20"/>
        </w:rPr>
        <w:t>HobbyKing</w:t>
      </w:r>
      <w:r>
        <w:rPr>
          <w:i/>
          <w:iCs/>
          <w:snapToGrid/>
          <w:kern w:val="0"/>
          <w:sz w:val="20"/>
        </w:rPr>
        <w:t xml:space="preserve"> USA LLC and HobbyKing.com; and Indubitably, Inc. d/b/a</w:t>
      </w:r>
    </w:p>
    <w:p w:rsidR="00534EA3" w:rsidP="00534EA3" w14:paraId="2B407DB9" w14:textId="77777777">
      <w:pPr>
        <w:widowControl/>
        <w:autoSpaceDE w:val="0"/>
        <w:autoSpaceDN w:val="0"/>
        <w:adjustRightInd w:val="0"/>
        <w:rPr>
          <w:rFonts w:ascii="TimesNewRomanPSMT" w:hAnsi="TimesNewRomanPSMT" w:cs="TimesNewRomanPSMT"/>
          <w:snapToGrid/>
          <w:kern w:val="0"/>
          <w:sz w:val="20"/>
        </w:rPr>
      </w:pPr>
      <w:r>
        <w:rPr>
          <w:i/>
          <w:iCs/>
          <w:snapToGrid/>
          <w:kern w:val="0"/>
          <w:sz w:val="20"/>
        </w:rPr>
        <w:t>HobbyKing</w:t>
      </w:r>
      <w:r>
        <w:rPr>
          <w:i/>
          <w:iCs/>
          <w:snapToGrid/>
          <w:kern w:val="0"/>
          <w:sz w:val="20"/>
        </w:rPr>
        <w:t xml:space="preserve"> Corp., </w:t>
      </w:r>
      <w:r>
        <w:rPr>
          <w:i/>
          <w:iCs/>
          <w:snapToGrid/>
          <w:kern w:val="0"/>
          <w:sz w:val="20"/>
        </w:rPr>
        <w:t>HobbyKing</w:t>
      </w:r>
      <w:r>
        <w:rPr>
          <w:i/>
          <w:iCs/>
          <w:snapToGrid/>
          <w:kern w:val="0"/>
          <w:sz w:val="20"/>
        </w:rPr>
        <w:t xml:space="preserve"> USA LLC, </w:t>
      </w:r>
      <w:r>
        <w:rPr>
          <w:i/>
          <w:iCs/>
          <w:snapToGrid/>
          <w:kern w:val="0"/>
          <w:sz w:val="20"/>
        </w:rPr>
        <w:t>HobbyKing</w:t>
      </w:r>
      <w:r>
        <w:rPr>
          <w:i/>
          <w:iCs/>
          <w:snapToGrid/>
          <w:kern w:val="0"/>
          <w:sz w:val="20"/>
        </w:rPr>
        <w:t>, and HobbyKing.com</w:t>
      </w:r>
      <w:r>
        <w:rPr>
          <w:rFonts w:ascii="TimesNewRomanPSMT" w:hAnsi="TimesNewRomanPSMT" w:cs="TimesNewRomanPSMT"/>
          <w:snapToGrid/>
          <w:kern w:val="0"/>
          <w:sz w:val="20"/>
        </w:rPr>
        <w:t xml:space="preserve">, Citation and Order, 32 FCC </w:t>
      </w:r>
      <w:r>
        <w:rPr>
          <w:rFonts w:ascii="TimesNewRomanPSMT" w:hAnsi="TimesNewRomanPSMT" w:cs="TimesNewRomanPSMT"/>
          <w:snapToGrid/>
          <w:kern w:val="0"/>
          <w:sz w:val="20"/>
        </w:rPr>
        <w:t>Rcd</w:t>
      </w:r>
      <w:r>
        <w:rPr>
          <w:rFonts w:ascii="TimesNewRomanPSMT" w:hAnsi="TimesNewRomanPSMT" w:cs="TimesNewRomanPSMT"/>
          <w:snapToGrid/>
          <w:kern w:val="0"/>
          <w:sz w:val="20"/>
        </w:rPr>
        <w:t xml:space="preserve"> 7300</w:t>
      </w:r>
    </w:p>
    <w:p w:rsidR="00534EA3" w:rsidRPr="00427F62" w:rsidP="00534EA3" w14:paraId="6423EEEF" w14:textId="77777777">
      <w:pPr>
        <w:pStyle w:val="FootnoteText"/>
      </w:pPr>
      <w:r>
        <w:rPr>
          <w:rFonts w:ascii="TimesNewRomanPSMT" w:hAnsi="TimesNewRomanPSMT" w:cs="TimesNewRomanPSMT"/>
        </w:rPr>
        <w:t>(EB 2017) (</w:t>
      </w:r>
      <w:r>
        <w:rPr>
          <w:rFonts w:ascii="TimesNewRomanPSMT" w:hAnsi="TimesNewRomanPSMT" w:cs="TimesNewRomanPSMT"/>
          <w:i/>
          <w:iCs/>
        </w:rPr>
        <w:t>LOI</w:t>
      </w:r>
      <w:r>
        <w:rPr>
          <w:rFonts w:ascii="TimesNewRomanPSMT" w:hAnsi="TimesNewRomanPSMT" w:cs="TimesNewRomanPSMT"/>
          <w:i/>
          <w:iCs/>
        </w:rPr>
        <w:t xml:space="preserve"> Citation</w:t>
      </w:r>
      <w:r>
        <w:rPr>
          <w:rFonts w:ascii="TimesNewRomanPSMT" w:hAnsi="TimesNewRomanPSMT" w:cs="TimesNewRomanPSMT"/>
        </w:rPr>
        <w:t>).</w:t>
      </w:r>
    </w:p>
  </w:footnote>
  <w:footnote w:id="16">
    <w:p w:rsidR="00534EA3" w:rsidRPr="00441CB5" w:rsidP="00534EA3" w14:paraId="519220AA" w14:textId="77777777">
      <w:pPr>
        <w:pStyle w:val="FootnoteText"/>
        <w:rPr>
          <w:i/>
          <w:iCs/>
        </w:rPr>
      </w:pPr>
      <w:r>
        <w:rPr>
          <w:rStyle w:val="FootnoteReference"/>
        </w:rPr>
        <w:footnoteRef/>
      </w:r>
      <w:r>
        <w:t xml:space="preserve"> </w:t>
      </w:r>
      <w:r>
        <w:rPr>
          <w:i/>
          <w:iCs/>
        </w:rPr>
        <w:t>Id.</w:t>
      </w:r>
    </w:p>
  </w:footnote>
  <w:footnote w:id="17">
    <w:p w:rsidR="00534EA3" w:rsidP="00534EA3" w14:paraId="6DFBEB6D" w14:textId="77777777">
      <w:pPr>
        <w:pStyle w:val="FootnoteText"/>
      </w:pPr>
      <w:r>
        <w:rPr>
          <w:rStyle w:val="FootnoteReference"/>
        </w:rPr>
        <w:footnoteRef/>
      </w:r>
      <w:r>
        <w:t xml:space="preserve"> 47 U.S.C. </w:t>
      </w:r>
      <w:r w:rsidRPr="009C4EE7">
        <w:t>§</w:t>
      </w:r>
      <w:r>
        <w:t xml:space="preserve"> 302a.</w:t>
      </w:r>
    </w:p>
  </w:footnote>
  <w:footnote w:id="18">
    <w:p w:rsidR="00534EA3" w:rsidP="00534EA3" w14:paraId="7483B459" w14:textId="77777777">
      <w:pPr>
        <w:pStyle w:val="FootnoteText"/>
      </w:pPr>
      <w:r>
        <w:rPr>
          <w:rStyle w:val="FootnoteReference"/>
        </w:rPr>
        <w:footnoteRef/>
      </w:r>
      <w:r>
        <w:t xml:space="preserve"> 47 CFR </w:t>
      </w:r>
      <w:r w:rsidRPr="009C4EE7">
        <w:t>§</w:t>
      </w:r>
      <w:r>
        <w:t xml:space="preserve"> 2.803.</w:t>
      </w:r>
    </w:p>
  </w:footnote>
  <w:footnote w:id="19">
    <w:p w:rsidR="00534EA3" w:rsidP="00534EA3" w14:paraId="7BAAAEFE" w14:textId="77777777">
      <w:pPr>
        <w:pStyle w:val="FootnoteText"/>
      </w:pPr>
      <w:r>
        <w:rPr>
          <w:rStyle w:val="FootnoteReference"/>
        </w:rPr>
        <w:footnoteRef/>
      </w:r>
      <w:r>
        <w:t xml:space="preserve"> </w:t>
      </w:r>
      <w:r>
        <w:rPr>
          <w:i/>
          <w:iCs/>
        </w:rPr>
        <w:t xml:space="preserve">See generally Marketing Citation; </w:t>
      </w:r>
      <w:r>
        <w:rPr>
          <w:i/>
          <w:iCs/>
        </w:rPr>
        <w:t>LOI</w:t>
      </w:r>
      <w:r>
        <w:rPr>
          <w:i/>
          <w:iCs/>
        </w:rPr>
        <w:t xml:space="preserve"> Citation.</w:t>
      </w:r>
    </w:p>
  </w:footnote>
  <w:footnote w:id="20">
    <w:p w:rsidR="00534EA3" w:rsidP="00534EA3" w14:paraId="5E083F6E" w14:textId="77777777">
      <w:pPr>
        <w:pStyle w:val="FootnoteText"/>
      </w:pPr>
      <w:r>
        <w:rPr>
          <w:rStyle w:val="FootnoteReference"/>
        </w:rPr>
        <w:footnoteRef/>
      </w:r>
      <w:r>
        <w:t xml:space="preserve"> </w:t>
      </w:r>
      <w:r>
        <w:rPr>
          <w:i/>
          <w:iCs/>
        </w:rPr>
        <w:t>Notice</w:t>
      </w:r>
      <w:r>
        <w:rPr>
          <w:rFonts w:ascii="TimesNewRomanPSMT" w:hAnsi="TimesNewRomanPSMT" w:cs="TimesNewRomanPSMT"/>
        </w:rPr>
        <w:t xml:space="preserve">, 33 FCC </w:t>
      </w:r>
      <w:r>
        <w:rPr>
          <w:rFonts w:ascii="TimesNewRomanPSMT" w:hAnsi="TimesNewRomanPSMT" w:cs="TimesNewRomanPSMT"/>
        </w:rPr>
        <w:t>Rcd</w:t>
      </w:r>
      <w:r>
        <w:rPr>
          <w:rFonts w:ascii="TimesNewRomanPSMT" w:hAnsi="TimesNewRomanPSMT" w:cs="TimesNewRomanPSMT"/>
        </w:rPr>
        <w:t xml:space="preserve"> at 5537-38, para. 15 &amp; n.54-55.</w:t>
      </w:r>
    </w:p>
  </w:footnote>
  <w:footnote w:id="21">
    <w:p w:rsidR="00534EA3" w:rsidP="00534EA3" w14:paraId="7D765438" w14:textId="77777777">
      <w:pPr>
        <w:widowControl/>
        <w:autoSpaceDE w:val="0"/>
        <w:autoSpaceDN w:val="0"/>
        <w:adjustRightInd w:val="0"/>
        <w:rPr>
          <w:rFonts w:ascii="TimesNewRomanPSMT" w:hAnsi="TimesNewRomanPSMT" w:cs="TimesNewRomanPSMT"/>
          <w:snapToGrid/>
          <w:kern w:val="0"/>
          <w:sz w:val="20"/>
        </w:rPr>
      </w:pPr>
      <w:r>
        <w:rPr>
          <w:rStyle w:val="FootnoteReference"/>
        </w:rPr>
        <w:footnoteRef/>
      </w:r>
      <w:r>
        <w:t xml:space="preserve"> </w:t>
      </w:r>
      <w:r>
        <w:rPr>
          <w:rFonts w:ascii="TimesNewRomanPSMT" w:hAnsi="TimesNewRomanPSMT" w:cs="TimesNewRomanPSMT"/>
          <w:snapToGrid/>
          <w:kern w:val="0"/>
          <w:sz w:val="20"/>
        </w:rPr>
        <w:t>ABC Fulfillment Services LLC and Indubitably, Inc., Response to Notice of Apparent Liability (July 5, 2018) (on</w:t>
      </w:r>
    </w:p>
    <w:p w:rsidR="00534EA3" w:rsidP="00534EA3" w14:paraId="3F89F2D0" w14:textId="77777777">
      <w:pPr>
        <w:pStyle w:val="FootnoteText"/>
      </w:pPr>
      <w:r>
        <w:rPr>
          <w:rFonts w:ascii="TimesNewRomanPSMT" w:hAnsi="TimesNewRomanPSMT" w:cs="TimesNewRomanPSMT"/>
        </w:rPr>
        <w:t>file in EB-SED-17-00023762).</w:t>
      </w:r>
    </w:p>
  </w:footnote>
  <w:footnote w:id="22">
    <w:p w:rsidR="00534EA3" w:rsidRPr="00441CB5" w:rsidP="00534EA3" w14:paraId="2A34E2D1" w14:textId="77777777">
      <w:pPr>
        <w:pStyle w:val="FootnoteText"/>
        <w:rPr>
          <w:i/>
          <w:iCs/>
        </w:rPr>
      </w:pPr>
      <w:r>
        <w:rPr>
          <w:rStyle w:val="FootnoteReference"/>
        </w:rPr>
        <w:footnoteRef/>
      </w:r>
      <w:r>
        <w:t xml:space="preserve"> </w:t>
      </w:r>
      <w:r>
        <w:rPr>
          <w:i/>
          <w:iCs/>
        </w:rPr>
        <w:t>Id.</w:t>
      </w:r>
    </w:p>
  </w:footnote>
  <w:footnote w:id="23">
    <w:p w:rsidR="00534EA3" w:rsidRPr="00D54A3A" w:rsidP="00534EA3" w14:paraId="49EE29D1" w14:textId="77777777">
      <w:pPr>
        <w:pStyle w:val="FootnoteText"/>
      </w:pPr>
      <w:r>
        <w:rPr>
          <w:rStyle w:val="FootnoteReference"/>
        </w:rPr>
        <w:footnoteRef/>
      </w:r>
      <w:r>
        <w:t xml:space="preserve"> </w:t>
      </w:r>
      <w:r>
        <w:rPr>
          <w:i/>
          <w:iCs/>
        </w:rPr>
        <w:t>See generally Forfeiture Order</w:t>
      </w:r>
      <w:r>
        <w:t>.</w:t>
      </w:r>
    </w:p>
  </w:footnote>
  <w:footnote w:id="24">
    <w:p w:rsidR="00534EA3" w:rsidRPr="003631B2" w:rsidP="00534EA3" w14:paraId="50C7121D" w14:textId="77777777">
      <w:pPr>
        <w:pStyle w:val="FootnoteText"/>
      </w:pPr>
      <w:r>
        <w:rPr>
          <w:rStyle w:val="FootnoteReference"/>
        </w:rPr>
        <w:footnoteRef/>
      </w:r>
      <w:r>
        <w:t xml:space="preserve"> </w:t>
      </w:r>
      <w:r>
        <w:rPr>
          <w:i/>
          <w:iCs/>
        </w:rPr>
        <w:t>See generally Petition for Reconsideration</w:t>
      </w:r>
      <w:r>
        <w:t>.</w:t>
      </w:r>
    </w:p>
  </w:footnote>
  <w:footnote w:id="25">
    <w:p w:rsidR="00534EA3" w:rsidP="00534EA3" w14:paraId="000EBE8D" w14:textId="77777777">
      <w:pPr>
        <w:pStyle w:val="FootnoteText"/>
      </w:pPr>
      <w:r>
        <w:rPr>
          <w:rStyle w:val="FootnoteReference"/>
        </w:rPr>
        <w:footnoteRef/>
      </w:r>
      <w:r>
        <w:t xml:space="preserve"> 47 U.S.C. </w:t>
      </w:r>
      <w:r w:rsidRPr="009C4EE7">
        <w:t>§</w:t>
      </w:r>
      <w:r>
        <w:t xml:space="preserve"> 405; 47 CFR </w:t>
      </w:r>
      <w:r w:rsidRPr="009C4EE7">
        <w:t>§</w:t>
      </w:r>
      <w:r>
        <w:t xml:space="preserve"> 1.106.  </w:t>
      </w:r>
    </w:p>
  </w:footnote>
  <w:footnote w:id="26">
    <w:p w:rsidR="00534EA3" w:rsidRPr="00193A4F" w:rsidP="00534EA3" w14:paraId="50B0DCCC" w14:textId="77777777">
      <w:pPr>
        <w:pStyle w:val="FootnoteText"/>
      </w:pPr>
      <w:r w:rsidRPr="00193A4F">
        <w:rPr>
          <w:rStyle w:val="FootnoteReference"/>
        </w:rPr>
        <w:footnoteRef/>
      </w:r>
      <w:r w:rsidRPr="00193A4F">
        <w:t xml:space="preserve"> </w:t>
      </w:r>
      <w:r w:rsidRPr="00193A4F">
        <w:rPr>
          <w:i/>
        </w:rPr>
        <w:t xml:space="preserve">See </w:t>
      </w:r>
      <w:r w:rsidRPr="00193A4F">
        <w:rPr>
          <w:i/>
        </w:rPr>
        <w:t>EZ</w:t>
      </w:r>
      <w:r w:rsidRPr="00193A4F">
        <w:rPr>
          <w:i/>
        </w:rPr>
        <w:t xml:space="preserve"> Sacramento, Inc.</w:t>
      </w:r>
      <w:r w:rsidRPr="00193A4F">
        <w:t>,</w:t>
      </w:r>
      <w:r w:rsidRPr="00193A4F">
        <w:rPr>
          <w:i/>
        </w:rPr>
        <w:t xml:space="preserve"> </w:t>
      </w:r>
      <w:r w:rsidRPr="00193A4F">
        <w:t xml:space="preserve">Memorandum Opinion and Order, 15 FCC </w:t>
      </w:r>
      <w:r w:rsidRPr="00193A4F">
        <w:t>Rcd</w:t>
      </w:r>
      <w:r w:rsidRPr="00193A4F">
        <w:t xml:space="preserve"> 18257, 18257, para. 2 (EB 2000) (citing </w:t>
      </w:r>
      <w:r w:rsidRPr="00193A4F">
        <w:rPr>
          <w:i/>
        </w:rPr>
        <w:t>WWIZ</w:t>
      </w:r>
      <w:r w:rsidRPr="00193A4F">
        <w:rPr>
          <w:i/>
        </w:rPr>
        <w:t>, Inc.</w:t>
      </w:r>
      <w:r w:rsidRPr="00193A4F">
        <w:t>,</w:t>
      </w:r>
      <w:r w:rsidRPr="00193A4F">
        <w:rPr>
          <w:i/>
        </w:rPr>
        <w:t xml:space="preserve"> </w:t>
      </w:r>
      <w:r w:rsidRPr="00193A4F">
        <w:t xml:space="preserve">Memorandum Opinion and Order, 37 FCC 685, 686 (1964), </w:t>
      </w:r>
      <w:r w:rsidRPr="00193A4F">
        <w:rPr>
          <w:i/>
        </w:rPr>
        <w:t>aff’d sub. nom. Lorain Journal Co. v. FCC</w:t>
      </w:r>
      <w:r w:rsidRPr="00193A4F">
        <w:t>,</w:t>
      </w:r>
      <w:r w:rsidRPr="00193A4F">
        <w:rPr>
          <w:i/>
        </w:rPr>
        <w:t xml:space="preserve"> </w:t>
      </w:r>
      <w:r w:rsidRPr="00193A4F">
        <w:t xml:space="preserve">351 F.2d 824 (D.C. Cir. 1965), </w:t>
      </w:r>
      <w:r w:rsidRPr="00193A4F">
        <w:rPr>
          <w:i/>
        </w:rPr>
        <w:t>cert. denied</w:t>
      </w:r>
      <w:r w:rsidRPr="00193A4F">
        <w:t>,</w:t>
      </w:r>
      <w:r w:rsidRPr="00193A4F">
        <w:rPr>
          <w:i/>
        </w:rPr>
        <w:t xml:space="preserve"> </w:t>
      </w:r>
      <w:r w:rsidRPr="00193A4F">
        <w:t xml:space="preserve">383 U.S. 967 (1966)); </w:t>
      </w:r>
      <w:r w:rsidRPr="00193A4F">
        <w:rPr>
          <w:i/>
        </w:rPr>
        <w:t>see also</w:t>
      </w:r>
      <w:r w:rsidRPr="00193A4F">
        <w:t xml:space="preserve"> </w:t>
      </w:r>
      <w:r w:rsidRPr="00193A4F">
        <w:rPr>
          <w:i/>
        </w:rPr>
        <w:t>Ely Radio</w:t>
      </w:r>
      <w:r w:rsidRPr="00193A4F">
        <w:t>,</w:t>
      </w:r>
      <w:r w:rsidRPr="00193A4F">
        <w:rPr>
          <w:i/>
        </w:rPr>
        <w:t xml:space="preserve"> LLC</w:t>
      </w:r>
      <w:r w:rsidRPr="00193A4F">
        <w:t xml:space="preserve">, Memorandum Opinion and Order, 27 FCC </w:t>
      </w:r>
      <w:r w:rsidRPr="00193A4F">
        <w:t>Rcd</w:t>
      </w:r>
      <w:r w:rsidRPr="00193A4F">
        <w:t xml:space="preserve"> 7608, 7610, para. 6 (</w:t>
      </w:r>
      <w:r>
        <w:t>EB</w:t>
      </w:r>
      <w:r w:rsidRPr="00193A4F">
        <w:t xml:space="preserve"> 2012) (articulating the standard of review for Petitions for Reconsideration). </w:t>
      </w:r>
    </w:p>
  </w:footnote>
  <w:footnote w:id="27">
    <w:p w:rsidR="00534EA3" w:rsidP="00534EA3" w14:paraId="2C135315" w14:textId="77777777">
      <w:pPr>
        <w:pStyle w:val="FootnoteText"/>
      </w:pPr>
      <w:r>
        <w:rPr>
          <w:rStyle w:val="FootnoteReference"/>
        </w:rPr>
        <w:footnoteRef/>
      </w:r>
      <w:r>
        <w:t xml:space="preserve"> </w:t>
      </w:r>
      <w:r w:rsidRPr="009617E8">
        <w:rPr>
          <w:i/>
          <w:iCs/>
        </w:rPr>
        <w:t>See Infinity Broadcasting Operations, Inc</w:t>
      </w:r>
      <w:r>
        <w:t xml:space="preserve">., Memorandum Opinion and Order, 19 FCC </w:t>
      </w:r>
      <w:r>
        <w:t>Rcd</w:t>
      </w:r>
      <w:r>
        <w:t xml:space="preserve"> 4216, para. 2 (2004) (citing </w:t>
      </w:r>
      <w:r w:rsidRPr="009617E8">
        <w:rPr>
          <w:i/>
          <w:iCs/>
        </w:rPr>
        <w:t>Bennett Gilbert Gaines</w:t>
      </w:r>
      <w:r>
        <w:t xml:space="preserve">, 8 FCC </w:t>
      </w:r>
      <w:r>
        <w:t>Rcd</w:t>
      </w:r>
      <w:r>
        <w:t xml:space="preserve"> 3986 (Rev. Bd. 1993)).</w:t>
      </w:r>
    </w:p>
  </w:footnote>
  <w:footnote w:id="28">
    <w:p w:rsidR="00534EA3" w:rsidRPr="00FA6544" w:rsidP="00534EA3" w14:paraId="7C670CFD" w14:textId="77777777">
      <w:pPr>
        <w:pStyle w:val="FootnoteText"/>
      </w:pPr>
      <w:r>
        <w:rPr>
          <w:rStyle w:val="FootnoteReference"/>
        </w:rPr>
        <w:footnoteRef/>
      </w:r>
      <w:r>
        <w:t xml:space="preserve"> </w:t>
      </w:r>
      <w:r>
        <w:rPr>
          <w:i/>
          <w:iCs/>
        </w:rPr>
        <w:t>Forfeiture Order</w:t>
      </w:r>
      <w:r>
        <w:t xml:space="preserve">, 35 FCC </w:t>
      </w:r>
      <w:r>
        <w:t>Rcd</w:t>
      </w:r>
      <w:r>
        <w:t xml:space="preserve"> at 7447-49, paras. 17-23 (rejecting </w:t>
      </w:r>
      <w:r>
        <w:t>HobbyKing’s</w:t>
      </w:r>
      <w:r>
        <w:t xml:space="preserve"> assertion that it lacked fair notice of its legal obligations).</w:t>
      </w:r>
    </w:p>
  </w:footnote>
  <w:footnote w:id="29">
    <w:p w:rsidR="00534EA3" w:rsidP="00534EA3" w14:paraId="186A473D" w14:textId="77777777">
      <w:pPr>
        <w:pStyle w:val="FootnoteText"/>
      </w:pPr>
      <w:r>
        <w:rPr>
          <w:rStyle w:val="FootnoteReference"/>
        </w:rPr>
        <w:footnoteRef/>
      </w:r>
      <w:r>
        <w:t xml:space="preserve"> </w:t>
      </w:r>
      <w:r>
        <w:rPr>
          <w:i/>
          <w:iCs/>
        </w:rPr>
        <w:t>Id.</w:t>
      </w:r>
      <w:r>
        <w:t xml:space="preserve"> at 7450-51, paras. 24-26 (rejecting </w:t>
      </w:r>
      <w:r>
        <w:t>HobbyKing’s</w:t>
      </w:r>
      <w:r>
        <w:t xml:space="preserve"> assertion that requiring it to respond fully to the Letter of Inquiry violated its constitutional rights against self-incrimination).</w:t>
      </w:r>
    </w:p>
  </w:footnote>
  <w:footnote w:id="30">
    <w:p w:rsidR="00534EA3" w:rsidP="00534EA3" w14:paraId="403BB66B" w14:textId="77777777">
      <w:pPr>
        <w:pStyle w:val="FootnoteText"/>
      </w:pPr>
      <w:r>
        <w:rPr>
          <w:rStyle w:val="FootnoteReference"/>
        </w:rPr>
        <w:footnoteRef/>
      </w:r>
      <w:r>
        <w:t xml:space="preserve"> </w:t>
      </w:r>
      <w:r>
        <w:rPr>
          <w:i/>
          <w:iCs/>
        </w:rPr>
        <w:t xml:space="preserve">Id. </w:t>
      </w:r>
      <w:r w:rsidRPr="00497129">
        <w:t>a</w:t>
      </w:r>
      <w:r>
        <w:t xml:space="preserve">t 7451-55, paras. 27-39 (rejecting </w:t>
      </w:r>
      <w:r>
        <w:t>HobbyKing’s</w:t>
      </w:r>
      <w:r>
        <w:t xml:space="preserve"> arguments for lessening the proposed forfeiture amount and noting that even if </w:t>
      </w:r>
      <w:r>
        <w:t>HobbyKing</w:t>
      </w:r>
      <w:r>
        <w:t xml:space="preserve"> had been able to support a claim of inability to pay, the Commission would decline to reduce the forfeiture amount because of </w:t>
      </w:r>
      <w:r>
        <w:t>HobbyKing’s</w:t>
      </w:r>
      <w:r>
        <w:t xml:space="preserve"> long history of marketing noncompliant radio frequency devices).</w:t>
      </w:r>
    </w:p>
  </w:footnote>
  <w:footnote w:id="31">
    <w:p w:rsidR="00534EA3" w:rsidP="00534EA3" w14:paraId="4DD1F6BE" w14:textId="77777777">
      <w:pPr>
        <w:pStyle w:val="FootnoteText"/>
      </w:pPr>
      <w:r>
        <w:rPr>
          <w:rStyle w:val="FootnoteReference"/>
        </w:rPr>
        <w:footnoteRef/>
      </w:r>
      <w:r>
        <w:t xml:space="preserve"> </w:t>
      </w:r>
      <w:r>
        <w:rPr>
          <w:i/>
          <w:iCs/>
        </w:rPr>
        <w:t xml:space="preserve">Id. </w:t>
      </w:r>
      <w:r>
        <w:t xml:space="preserve">at 7451-52, para. 30 (noting that </w:t>
      </w:r>
      <w:r>
        <w:t>HobbyKing</w:t>
      </w:r>
      <w:r>
        <w:t xml:space="preserve"> </w:t>
      </w:r>
      <w:r w:rsidRPr="00AC2837">
        <w:t>did not provide tax returns, financial statements, or</w:t>
      </w:r>
      <w:r>
        <w:t xml:space="preserve"> </w:t>
      </w:r>
      <w:r w:rsidRPr="00AC2837">
        <w:t xml:space="preserve">any financial information, </w:t>
      </w:r>
      <w:r>
        <w:t xml:space="preserve">and therefore its claim that ABC Fulfillment Services LLC was involved in fulfillment services only until the end of 2015 was too vague to rule the company out as a source of payment where evidence exists that ABC Fulfillment Services LLC was an active company through 2017 and within the statute of limitations identified by the </w:t>
      </w:r>
      <w:r>
        <w:rPr>
          <w:i/>
          <w:iCs/>
        </w:rPr>
        <w:t>Notice</w:t>
      </w:r>
      <w:r>
        <w:t>).</w:t>
      </w:r>
    </w:p>
  </w:footnote>
  <w:footnote w:id="32">
    <w:p w:rsidR="00534EA3" w:rsidRPr="00193A4F" w:rsidP="00534EA3" w14:paraId="0AF3C8FE" w14:textId="77777777">
      <w:pPr>
        <w:pStyle w:val="FootnoteText"/>
      </w:pPr>
      <w:r w:rsidRPr="00193A4F">
        <w:rPr>
          <w:rStyle w:val="FootnoteReference"/>
        </w:rPr>
        <w:footnoteRef/>
      </w:r>
      <w:r w:rsidRPr="00193A4F">
        <w:t xml:space="preserve"> 47 U.S.C. § 405; 47 CFR § 1.106.</w:t>
      </w:r>
    </w:p>
  </w:footnote>
  <w:footnote w:id="33">
    <w:p w:rsidR="00534EA3" w:rsidP="00534EA3" w14:paraId="45727650" w14:textId="77777777">
      <w:pPr>
        <w:pStyle w:val="FootnoteText"/>
      </w:pPr>
      <w:r>
        <w:rPr>
          <w:rStyle w:val="FootnoteReference"/>
        </w:rPr>
        <w:footnoteRef/>
      </w:r>
      <w:r>
        <w:t xml:space="preserve"> </w:t>
      </w:r>
      <w:r w:rsidRPr="00DF7C14">
        <w:t>47 U.S.C. § 503(b); 47 CFR §</w:t>
      </w:r>
      <w:r>
        <w:t xml:space="preserve"> </w:t>
      </w:r>
      <w:r w:rsidRPr="00DF7C14">
        <w:t>1.80.</w:t>
      </w:r>
    </w:p>
  </w:footnote>
  <w:footnote w:id="34">
    <w:p w:rsidR="00534EA3" w:rsidP="00534EA3" w14:paraId="5331C430" w14:textId="77777777">
      <w:pPr>
        <w:pStyle w:val="FootnoteText"/>
      </w:pPr>
      <w:r>
        <w:rPr>
          <w:rStyle w:val="FootnoteReference"/>
        </w:rPr>
        <w:footnoteRef/>
      </w:r>
      <w:r>
        <w:t xml:space="preserve"> </w:t>
      </w:r>
      <w:r w:rsidRPr="009C4EE7">
        <w:rPr>
          <w:color w:val="000000"/>
          <w:lang w:val="es-ES"/>
        </w:rPr>
        <w:t xml:space="preserve">47 </w:t>
      </w:r>
      <w:r w:rsidRPr="009C4EE7">
        <w:rPr>
          <w:color w:val="000000"/>
          <w:lang w:val="es-ES"/>
        </w:rPr>
        <w:t>U.S.C</w:t>
      </w:r>
      <w:r w:rsidRPr="009C4EE7">
        <w:rPr>
          <w:color w:val="000000"/>
          <w:lang w:val="es-ES"/>
        </w:rPr>
        <w:t xml:space="preserve">. § </w:t>
      </w:r>
      <w:r w:rsidRPr="009C4EE7">
        <w:t>302a(b)</w:t>
      </w:r>
      <w:r w:rsidRPr="009C4EE7">
        <w:rPr>
          <w:color w:val="000000"/>
          <w:lang w:val="es-ES"/>
        </w:rPr>
        <w:t>.</w:t>
      </w:r>
      <w:r>
        <w:rPr>
          <w:color w:val="000000"/>
          <w:lang w:val="es-ES"/>
        </w:rPr>
        <w:t xml:space="preserve">  </w:t>
      </w:r>
    </w:p>
  </w:footnote>
  <w:footnote w:id="35">
    <w:p w:rsidR="00534EA3" w:rsidP="00534EA3" w14:paraId="37403935" w14:textId="77777777">
      <w:pPr>
        <w:pStyle w:val="FootnoteText"/>
      </w:pPr>
      <w:r>
        <w:rPr>
          <w:rStyle w:val="FootnoteReference"/>
        </w:rPr>
        <w:footnoteRef/>
      </w:r>
      <w:r>
        <w:t xml:space="preserve"> </w:t>
      </w:r>
      <w:r w:rsidRPr="009C4EE7">
        <w:rPr>
          <w:color w:val="000000"/>
          <w:lang w:val="es-ES"/>
        </w:rPr>
        <w:t xml:space="preserve">47 </w:t>
      </w:r>
      <w:r w:rsidRPr="009C4EE7">
        <w:rPr>
          <w:color w:val="000000"/>
          <w:lang w:val="es-ES"/>
        </w:rPr>
        <w:t>CFR</w:t>
      </w:r>
      <w:r w:rsidRPr="009C4EE7">
        <w:rPr>
          <w:color w:val="000000"/>
          <w:lang w:val="es-ES"/>
        </w:rPr>
        <w:t xml:space="preserve"> § </w:t>
      </w:r>
      <w:r w:rsidRPr="009C4EE7">
        <w:t>2.803</w:t>
      </w:r>
      <w:r w:rsidRPr="009C4EE7">
        <w:rPr>
          <w:color w:val="000000"/>
          <w:lang w:val="es-ES"/>
        </w:rPr>
        <w:t>.</w:t>
      </w:r>
      <w:r>
        <w:rPr>
          <w:color w:val="000000"/>
          <w:lang w:val="es-ES"/>
        </w:rPr>
        <w:t xml:space="preserve">  </w:t>
      </w:r>
    </w:p>
  </w:footnote>
  <w:footnote w:id="36">
    <w:p w:rsidR="00534EA3" w:rsidRPr="00193A4F" w:rsidP="00534EA3" w14:paraId="35DF82F1" w14:textId="77777777">
      <w:pPr>
        <w:pStyle w:val="FootnoteText"/>
      </w:pPr>
      <w:r w:rsidRPr="00193A4F">
        <w:rPr>
          <w:rStyle w:val="FootnoteReference"/>
        </w:rPr>
        <w:footnoteRef/>
      </w:r>
      <w:r w:rsidRPr="00193A4F">
        <w:t xml:space="preserve"> 47 U.S.C. § 503(b); 47 CFR § 1.80.</w:t>
      </w:r>
    </w:p>
  </w:footnote>
  <w:footnote w:id="37">
    <w:p w:rsidR="00534EA3" w:rsidRPr="00193A4F" w:rsidP="00534EA3" w14:paraId="5AAF257A" w14:textId="77777777">
      <w:pPr>
        <w:pStyle w:val="FootnoteText"/>
      </w:pPr>
      <w:r w:rsidRPr="00193A4F">
        <w:rPr>
          <w:rStyle w:val="FootnoteReference"/>
        </w:rPr>
        <w:footnoteRef/>
      </w:r>
      <w:r w:rsidRPr="00193A4F">
        <w:t xml:space="preserve"> 47 CFR § 1.80.</w:t>
      </w:r>
    </w:p>
  </w:footnote>
  <w:footnote w:id="38">
    <w:p w:rsidR="00534EA3" w:rsidRPr="00193A4F" w:rsidP="00534EA3" w14:paraId="0C3D8F91" w14:textId="77777777">
      <w:pPr>
        <w:pStyle w:val="FootnoteText"/>
      </w:pPr>
      <w:r w:rsidRPr="00193A4F">
        <w:rPr>
          <w:rStyle w:val="FootnoteReference"/>
        </w:rPr>
        <w:footnoteRef/>
      </w:r>
      <w:r w:rsidRPr="00193A4F">
        <w:t xml:space="preserve"> 47 U.S.C. § 504(a).</w:t>
      </w:r>
      <w:r w:rsidRPr="00254002">
        <w:t xml:space="preserve"> </w:t>
      </w:r>
      <w:r>
        <w:t xml:space="preserve"> A</w:t>
      </w:r>
      <w:r w:rsidRPr="00D87E6F">
        <w:t xml:space="preserve">ny entity that is a “Small Business Concern” as defined in the Small Business Act (Pub. L. 85-536, as amended) may avail itself of rights set forth in that Act, including rights set forth in 15 U.S.C. </w:t>
      </w:r>
      <w:r w:rsidRPr="00F14821">
        <w:t>§</w:t>
      </w:r>
      <w:r w:rsidRPr="00D87E6F">
        <w:t xml:space="preserve"> 657, “Oversight of Regulatory Enforcement,” in addition to other rights set forth herein.</w:t>
      </w:r>
    </w:p>
  </w:footnote>
  <w:footnote w:id="39">
    <w:p w:rsidR="00534EA3" w:rsidRPr="005476AB" w:rsidP="00534EA3" w14:paraId="30B963C6"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40">
    <w:p w:rsidR="00534EA3" w:rsidRPr="005476AB" w:rsidP="00534EA3" w14:paraId="53358250" w14:textId="77777777">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1" w:history="1">
        <w:r w:rsidRPr="005476AB">
          <w:rPr>
            <w:rStyle w:val="Hyperlink"/>
          </w:rPr>
          <w:t>ARINQUIRIES@fcc.gov</w:t>
        </w:r>
      </w:hyperlink>
      <w:r w:rsidRPr="005476AB">
        <w:t>.</w:t>
      </w:r>
    </w:p>
  </w:footnote>
  <w:footnote w:id="41">
    <w:p w:rsidR="00534EA3" w:rsidP="00534EA3" w14:paraId="46D519AB" w14:textId="77777777">
      <w:pPr>
        <w:pStyle w:val="FootnoteText"/>
      </w:pPr>
      <w:r w:rsidRPr="005476AB">
        <w:rPr>
          <w:rStyle w:val="FootnoteReference"/>
        </w:rPr>
        <w:footnoteRef/>
      </w:r>
      <w:r w:rsidRPr="005476AB">
        <w:t xml:space="preserve"> Instructions for completing the form may be obtained at </w:t>
      </w:r>
      <w:hyperlink r:id="rId2" w:history="1">
        <w:r w:rsidRPr="008A2184">
          <w:rPr>
            <w:rStyle w:val="Hyperlink"/>
          </w:rPr>
          <w:t>http://www.fcc.gov/Forms/Form159/159.pdf</w:t>
        </w:r>
      </w:hyperlink>
      <w:r w:rsidRPr="005476AB">
        <w:t>.</w:t>
      </w:r>
      <w:r>
        <w:t xml:space="preserve"> </w:t>
      </w:r>
    </w:p>
  </w:footnote>
  <w:footnote w:id="42">
    <w:p w:rsidR="00534EA3" w:rsidP="00534EA3" w14:paraId="78469075" w14:textId="77777777">
      <w:pPr>
        <w:pStyle w:val="FootnoteText"/>
      </w:pPr>
      <w:r w:rsidRPr="00193A4F">
        <w:rPr>
          <w:rStyle w:val="FootnoteReference"/>
        </w:rPr>
        <w:footnoteRef/>
      </w:r>
      <w:r w:rsidRPr="00193A4F">
        <w:t xml:space="preserve"> </w:t>
      </w:r>
      <w:r w:rsidRPr="00193A4F">
        <w:rPr>
          <w:i/>
        </w:rPr>
        <w:t>See</w:t>
      </w:r>
      <w:r w:rsidRPr="00193A4F">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C7FA6" w14:paraId="6FDFC09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534EA3" w:rsidP="00534EA3" w14:paraId="78465679" w14:textId="02185089">
    <w:pPr>
      <w:pStyle w:val="Header"/>
      <w:rPr>
        <w:b w:val="0"/>
      </w:rPr>
    </w:pPr>
    <w:r>
      <w:rPr>
        <w:noProof/>
      </w:rPr>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r w:rsidR="00534EA3">
      <w:tab/>
      <w:t>Federal Communications Commission</w:t>
    </w:r>
    <w:r w:rsidR="00534EA3">
      <w:tab/>
    </w:r>
    <w:r w:rsidR="00534EA3">
      <w:rPr>
        <w:spacing w:val="-2"/>
      </w:rPr>
      <w:t>FCC  21-76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534EA3" w:rsidP="00534EA3" w14:paraId="678B256B" w14:textId="7F1139DE">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rsidR="00534EA3">
      <w:tab/>
      <w:t>Federal Communications Commission</w:t>
    </w:r>
    <w:r w:rsidR="00534EA3">
      <w:tab/>
    </w:r>
    <w:bookmarkStart w:id="0" w:name="_Hlk74830389"/>
    <w:r w:rsidR="00534EA3">
      <w:rPr>
        <w:spacing w:val="-2"/>
      </w:rPr>
      <w:t>FCC  21-76</w:t>
    </w:r>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40AED9B" w14:textId="4A75EC9A">
    <w:pPr>
      <w:pStyle w:val="Header"/>
      <w:rPr>
        <w:b w:val="0"/>
      </w:rPr>
    </w:pPr>
    <w:r>
      <w:tab/>
      <w:t>Federal Communications Commission</w:t>
    </w:r>
    <w:r>
      <w:tab/>
    </w:r>
    <w:r w:rsidR="002C7FA6">
      <w:rPr>
        <w:spacing w:val="-2"/>
      </w:rPr>
      <w:t xml:space="preserve">FCC  </w:t>
    </w:r>
    <w:r w:rsidR="002C7FA6">
      <w:rPr>
        <w:spacing w:val="-2"/>
      </w:rPr>
      <w:t>21-76</w:t>
    </w:r>
  </w:p>
  <w:p w:rsidR="00D25FB5" w14:paraId="0249FED9"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6192" o:allowincell="f" fillcolor="black" stroked="f" strokeweight="0.05pt">
          <w10:wrap anchorx="margin"/>
        </v:rect>
      </w:pict>
    </w:r>
  </w:p>
  <w:p w:rsidR="00D25FB5" w14:paraId="6BC26C66"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38DC1D9" w14:textId="77777777">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sidR="009F777B">
      <w:rPr>
        <w:spacing w:val="-2"/>
      </w:rPr>
      <w:t>FCC  21-76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127E7E"/>
    <w:multiLevelType w:val="hybridMultilevel"/>
    <w:tmpl w:val="B8180428"/>
    <w:lvl w:ilvl="0">
      <w:start w:val="1"/>
      <w:numFmt w:val="bullet"/>
      <w:lvlText w:val=""/>
      <w:lvlJc w:val="left"/>
      <w:pPr>
        <w:tabs>
          <w:tab w:val="num" w:pos="1080"/>
        </w:tabs>
        <w:ind w:left="1080" w:hanging="360"/>
      </w:pPr>
      <w:rPr>
        <w:rFonts w:ascii="Wingdings" w:hAnsi="Wingdings" w:hint="default"/>
        <w:color w:val="auto"/>
        <w:sz w:val="16"/>
      </w:rPr>
    </w:lvl>
    <w:lvl w:ilvl="1">
      <w:start w:val="17"/>
      <w:numFmt w:val="decimal"/>
      <w:lvlText w:val="%2."/>
      <w:lvlJc w:val="left"/>
      <w:pPr>
        <w:tabs>
          <w:tab w:val="num" w:pos="0"/>
        </w:tabs>
        <w:ind w:left="0" w:hanging="360"/>
      </w:pPr>
      <w:rPr>
        <w:rFonts w:hint="default"/>
      </w:rPr>
    </w:lvl>
    <w:lvl w:ilvl="2">
      <w:start w:val="15"/>
      <w:numFmt w:val="decimal"/>
      <w:lvlText w:val="%3."/>
      <w:lvlJc w:val="left"/>
      <w:pPr>
        <w:tabs>
          <w:tab w:val="num" w:pos="900"/>
        </w:tabs>
        <w:ind w:left="900" w:hanging="360"/>
      </w:pPr>
      <w:rPr>
        <w:rFonts w:hint="default"/>
      </w:r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7571D"/>
    <w:rsid w:val="000875BF"/>
    <w:rsid w:val="00096D8C"/>
    <w:rsid w:val="000A30E1"/>
    <w:rsid w:val="000C0B65"/>
    <w:rsid w:val="000E05FE"/>
    <w:rsid w:val="000E3D42"/>
    <w:rsid w:val="00114678"/>
    <w:rsid w:val="00122BD5"/>
    <w:rsid w:val="00133F79"/>
    <w:rsid w:val="00193A4F"/>
    <w:rsid w:val="00194A66"/>
    <w:rsid w:val="001B0A1E"/>
    <w:rsid w:val="001D14E6"/>
    <w:rsid w:val="001D6BCF"/>
    <w:rsid w:val="001E01CA"/>
    <w:rsid w:val="00212C15"/>
    <w:rsid w:val="00254002"/>
    <w:rsid w:val="00254560"/>
    <w:rsid w:val="00275CF5"/>
    <w:rsid w:val="0028301F"/>
    <w:rsid w:val="00285017"/>
    <w:rsid w:val="002A2D2E"/>
    <w:rsid w:val="002A6579"/>
    <w:rsid w:val="002B280B"/>
    <w:rsid w:val="002C00E8"/>
    <w:rsid w:val="002C7FA6"/>
    <w:rsid w:val="00343749"/>
    <w:rsid w:val="003631B2"/>
    <w:rsid w:val="003660ED"/>
    <w:rsid w:val="003A76D1"/>
    <w:rsid w:val="003B0550"/>
    <w:rsid w:val="003B694F"/>
    <w:rsid w:val="003E1D00"/>
    <w:rsid w:val="003E7E6D"/>
    <w:rsid w:val="003F171C"/>
    <w:rsid w:val="00412FC5"/>
    <w:rsid w:val="00422276"/>
    <w:rsid w:val="004242F1"/>
    <w:rsid w:val="00427F62"/>
    <w:rsid w:val="00441CB5"/>
    <w:rsid w:val="00445A00"/>
    <w:rsid w:val="00451B0F"/>
    <w:rsid w:val="00497129"/>
    <w:rsid w:val="004C2EE3"/>
    <w:rsid w:val="004E4A22"/>
    <w:rsid w:val="00504EAE"/>
    <w:rsid w:val="005057D9"/>
    <w:rsid w:val="00511968"/>
    <w:rsid w:val="005238CC"/>
    <w:rsid w:val="00534EA3"/>
    <w:rsid w:val="005476AB"/>
    <w:rsid w:val="0055614C"/>
    <w:rsid w:val="005577AD"/>
    <w:rsid w:val="00566D06"/>
    <w:rsid w:val="0058185B"/>
    <w:rsid w:val="00592B52"/>
    <w:rsid w:val="005E14C2"/>
    <w:rsid w:val="005F0D72"/>
    <w:rsid w:val="005F2F7D"/>
    <w:rsid w:val="00607BA5"/>
    <w:rsid w:val="0061180A"/>
    <w:rsid w:val="00626EB6"/>
    <w:rsid w:val="00655D03"/>
    <w:rsid w:val="00683388"/>
    <w:rsid w:val="00683F84"/>
    <w:rsid w:val="006A6A81"/>
    <w:rsid w:val="006D73F2"/>
    <w:rsid w:val="006F7393"/>
    <w:rsid w:val="0070224F"/>
    <w:rsid w:val="007043A4"/>
    <w:rsid w:val="007115F7"/>
    <w:rsid w:val="00785689"/>
    <w:rsid w:val="0079754B"/>
    <w:rsid w:val="007A1E6D"/>
    <w:rsid w:val="007B0EB2"/>
    <w:rsid w:val="007B517E"/>
    <w:rsid w:val="00810B6F"/>
    <w:rsid w:val="00822CE0"/>
    <w:rsid w:val="00826245"/>
    <w:rsid w:val="00841AB1"/>
    <w:rsid w:val="00872ED5"/>
    <w:rsid w:val="0088797D"/>
    <w:rsid w:val="008A2184"/>
    <w:rsid w:val="008C50C4"/>
    <w:rsid w:val="008C68F1"/>
    <w:rsid w:val="00921803"/>
    <w:rsid w:val="00926503"/>
    <w:rsid w:val="009617E8"/>
    <w:rsid w:val="009726D8"/>
    <w:rsid w:val="009A2403"/>
    <w:rsid w:val="009C4EE7"/>
    <w:rsid w:val="009D7308"/>
    <w:rsid w:val="009F76DB"/>
    <w:rsid w:val="009F777B"/>
    <w:rsid w:val="00A06B1A"/>
    <w:rsid w:val="00A32C3B"/>
    <w:rsid w:val="00A45F4F"/>
    <w:rsid w:val="00A47EAB"/>
    <w:rsid w:val="00A600A9"/>
    <w:rsid w:val="00AA55B7"/>
    <w:rsid w:val="00AA5B9E"/>
    <w:rsid w:val="00AB2407"/>
    <w:rsid w:val="00AB53DF"/>
    <w:rsid w:val="00AC2837"/>
    <w:rsid w:val="00AD0726"/>
    <w:rsid w:val="00B07E5C"/>
    <w:rsid w:val="00B27B60"/>
    <w:rsid w:val="00B811F7"/>
    <w:rsid w:val="00BA0D76"/>
    <w:rsid w:val="00BA5DC6"/>
    <w:rsid w:val="00BA6196"/>
    <w:rsid w:val="00BC6D8C"/>
    <w:rsid w:val="00C12562"/>
    <w:rsid w:val="00C34006"/>
    <w:rsid w:val="00C36B4C"/>
    <w:rsid w:val="00C426B1"/>
    <w:rsid w:val="00C53C2D"/>
    <w:rsid w:val="00C66160"/>
    <w:rsid w:val="00C721AC"/>
    <w:rsid w:val="00C90D6A"/>
    <w:rsid w:val="00C92A4D"/>
    <w:rsid w:val="00CA247E"/>
    <w:rsid w:val="00CA6D21"/>
    <w:rsid w:val="00CC72B6"/>
    <w:rsid w:val="00CD6117"/>
    <w:rsid w:val="00D0218D"/>
    <w:rsid w:val="00D25FB5"/>
    <w:rsid w:val="00D44223"/>
    <w:rsid w:val="00D54A3A"/>
    <w:rsid w:val="00D66E59"/>
    <w:rsid w:val="00D87E6F"/>
    <w:rsid w:val="00DA2529"/>
    <w:rsid w:val="00DB130A"/>
    <w:rsid w:val="00DB2EBB"/>
    <w:rsid w:val="00DC10A1"/>
    <w:rsid w:val="00DC655F"/>
    <w:rsid w:val="00DD0B59"/>
    <w:rsid w:val="00DD7EBD"/>
    <w:rsid w:val="00DE3C98"/>
    <w:rsid w:val="00DF62B6"/>
    <w:rsid w:val="00DF7C14"/>
    <w:rsid w:val="00E07225"/>
    <w:rsid w:val="00E213CD"/>
    <w:rsid w:val="00E5409F"/>
    <w:rsid w:val="00EA150E"/>
    <w:rsid w:val="00EE6488"/>
    <w:rsid w:val="00F021FA"/>
    <w:rsid w:val="00F14821"/>
    <w:rsid w:val="00F26DAF"/>
    <w:rsid w:val="00F35729"/>
    <w:rsid w:val="00F62E97"/>
    <w:rsid w:val="00F64209"/>
    <w:rsid w:val="00F93BF5"/>
    <w:rsid w:val="00FA6544"/>
    <w:rsid w:val="00FC366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43935F6"/>
  <w15:chartTrackingRefBased/>
  <w15:docId w15:val="{6327C604-3834-4AEB-80A0-F654F4D7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FA6"/>
    <w:pPr>
      <w:widowControl w:val="0"/>
    </w:pPr>
    <w:rPr>
      <w:snapToGrid w:val="0"/>
      <w:kern w:val="28"/>
      <w:sz w:val="22"/>
    </w:rPr>
  </w:style>
  <w:style w:type="paragraph" w:styleId="Heading1">
    <w:name w:val="heading 1"/>
    <w:basedOn w:val="Normal"/>
    <w:next w:val="ParaNum"/>
    <w:qFormat/>
    <w:rsid w:val="002C7FA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C7FA6"/>
    <w:pPr>
      <w:keepNext/>
      <w:numPr>
        <w:ilvl w:val="1"/>
        <w:numId w:val="3"/>
      </w:numPr>
      <w:spacing w:after="120"/>
      <w:outlineLvl w:val="1"/>
    </w:pPr>
    <w:rPr>
      <w:b/>
    </w:rPr>
  </w:style>
  <w:style w:type="paragraph" w:styleId="Heading3">
    <w:name w:val="heading 3"/>
    <w:basedOn w:val="Normal"/>
    <w:next w:val="ParaNum"/>
    <w:qFormat/>
    <w:rsid w:val="002C7FA6"/>
    <w:pPr>
      <w:keepNext/>
      <w:numPr>
        <w:ilvl w:val="2"/>
        <w:numId w:val="3"/>
      </w:numPr>
      <w:tabs>
        <w:tab w:val="left" w:pos="2160"/>
      </w:tabs>
      <w:spacing w:after="120"/>
      <w:outlineLvl w:val="2"/>
    </w:pPr>
    <w:rPr>
      <w:b/>
    </w:rPr>
  </w:style>
  <w:style w:type="paragraph" w:styleId="Heading4">
    <w:name w:val="heading 4"/>
    <w:basedOn w:val="Normal"/>
    <w:next w:val="ParaNum"/>
    <w:qFormat/>
    <w:rsid w:val="002C7FA6"/>
    <w:pPr>
      <w:keepNext/>
      <w:numPr>
        <w:ilvl w:val="3"/>
        <w:numId w:val="3"/>
      </w:numPr>
      <w:tabs>
        <w:tab w:val="left" w:pos="2880"/>
      </w:tabs>
      <w:spacing w:after="120"/>
      <w:outlineLvl w:val="3"/>
    </w:pPr>
    <w:rPr>
      <w:b/>
    </w:rPr>
  </w:style>
  <w:style w:type="paragraph" w:styleId="Heading5">
    <w:name w:val="heading 5"/>
    <w:basedOn w:val="Normal"/>
    <w:next w:val="ParaNum"/>
    <w:qFormat/>
    <w:rsid w:val="002C7FA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C7FA6"/>
    <w:pPr>
      <w:numPr>
        <w:ilvl w:val="5"/>
        <w:numId w:val="3"/>
      </w:numPr>
      <w:tabs>
        <w:tab w:val="left" w:pos="4320"/>
      </w:tabs>
      <w:spacing w:after="120"/>
      <w:outlineLvl w:val="5"/>
    </w:pPr>
    <w:rPr>
      <w:b/>
    </w:rPr>
  </w:style>
  <w:style w:type="paragraph" w:styleId="Heading7">
    <w:name w:val="heading 7"/>
    <w:basedOn w:val="Normal"/>
    <w:next w:val="ParaNum"/>
    <w:qFormat/>
    <w:rsid w:val="002C7FA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C7FA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C7FA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C7FA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C7FA6"/>
  </w:style>
  <w:style w:type="paragraph" w:customStyle="1" w:styleId="ParaNum">
    <w:name w:val="ParaNum"/>
    <w:basedOn w:val="Normal"/>
    <w:link w:val="ParaNumChar"/>
    <w:rsid w:val="002C7FA6"/>
    <w:pPr>
      <w:numPr>
        <w:numId w:val="2"/>
      </w:numPr>
      <w:tabs>
        <w:tab w:val="clear" w:pos="1080"/>
        <w:tab w:val="num" w:pos="1440"/>
      </w:tabs>
      <w:spacing w:after="120"/>
    </w:pPr>
  </w:style>
  <w:style w:type="paragraph" w:styleId="EndnoteText">
    <w:name w:val="endnote text"/>
    <w:basedOn w:val="Normal"/>
    <w:semiHidden/>
    <w:rsid w:val="002C7FA6"/>
    <w:rPr>
      <w:sz w:val="20"/>
    </w:rPr>
  </w:style>
  <w:style w:type="character" w:styleId="EndnoteReference">
    <w:name w:val="endnote reference"/>
    <w:semiHidden/>
    <w:rsid w:val="002C7FA6"/>
    <w:rPr>
      <w:vertAlign w:val="superscript"/>
    </w:rPr>
  </w:style>
  <w:style w:type="paragraph" w:styleId="FootnoteText">
    <w:name w:val="footnote text"/>
    <w:aliases w:val="Footnote Text Char Cha,Footnote Text Char Char Char4 Char,Footnote Text Char1,Footnote Text Char2,Footnote Text Char4 Char1 Char,Footnote Text Char4 Char1 Char Char Char Char,Footnote Text Char7 Char,Footnote Text Char7 Char Char Char Char"/>
    <w:link w:val="FootnoteTextChar"/>
    <w:rsid w:val="002C7FA6"/>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C7FA6"/>
    <w:rPr>
      <w:rFonts w:ascii="Times New Roman" w:hAnsi="Times New Roman"/>
      <w:dstrike w:val="0"/>
      <w:color w:val="auto"/>
      <w:sz w:val="20"/>
      <w:vertAlign w:val="superscript"/>
    </w:rPr>
  </w:style>
  <w:style w:type="paragraph" w:styleId="TOC1">
    <w:name w:val="toc 1"/>
    <w:basedOn w:val="Normal"/>
    <w:next w:val="Normal"/>
    <w:semiHidden/>
    <w:rsid w:val="002C7FA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C7FA6"/>
    <w:pPr>
      <w:tabs>
        <w:tab w:val="left" w:pos="720"/>
        <w:tab w:val="right" w:leader="dot" w:pos="9360"/>
      </w:tabs>
      <w:suppressAutoHyphens/>
      <w:ind w:left="720" w:right="720" w:hanging="360"/>
    </w:pPr>
    <w:rPr>
      <w:noProof/>
    </w:rPr>
  </w:style>
  <w:style w:type="paragraph" w:styleId="TOC3">
    <w:name w:val="toc 3"/>
    <w:basedOn w:val="Normal"/>
    <w:next w:val="Normal"/>
    <w:semiHidden/>
    <w:rsid w:val="002C7FA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C7FA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C7FA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C7FA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C7FA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C7FA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C7FA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C7FA6"/>
    <w:pPr>
      <w:tabs>
        <w:tab w:val="right" w:pos="9360"/>
      </w:tabs>
      <w:suppressAutoHyphens/>
    </w:pPr>
  </w:style>
  <w:style w:type="character" w:customStyle="1" w:styleId="EquationCaption">
    <w:name w:val="_Equation Caption"/>
    <w:rsid w:val="002C7FA6"/>
  </w:style>
  <w:style w:type="paragraph" w:styleId="Header">
    <w:name w:val="header"/>
    <w:basedOn w:val="Normal"/>
    <w:link w:val="HeaderChar"/>
    <w:autoRedefine/>
    <w:rsid w:val="002C7FA6"/>
    <w:pPr>
      <w:tabs>
        <w:tab w:val="center" w:pos="4680"/>
        <w:tab w:val="right" w:pos="9360"/>
      </w:tabs>
    </w:pPr>
    <w:rPr>
      <w:b/>
    </w:rPr>
  </w:style>
  <w:style w:type="paragraph" w:styleId="Footer">
    <w:name w:val="footer"/>
    <w:basedOn w:val="Normal"/>
    <w:link w:val="FooterChar"/>
    <w:uiPriority w:val="99"/>
    <w:rsid w:val="002C7FA6"/>
    <w:pPr>
      <w:tabs>
        <w:tab w:val="center" w:pos="4320"/>
        <w:tab w:val="right" w:pos="8640"/>
      </w:tabs>
    </w:pPr>
  </w:style>
  <w:style w:type="character" w:styleId="PageNumber">
    <w:name w:val="page number"/>
    <w:basedOn w:val="DefaultParagraphFont"/>
    <w:rsid w:val="002C7FA6"/>
  </w:style>
  <w:style w:type="paragraph" w:styleId="BlockText">
    <w:name w:val="Block Text"/>
    <w:basedOn w:val="Normal"/>
    <w:rsid w:val="002C7FA6"/>
    <w:pPr>
      <w:spacing w:after="240"/>
      <w:ind w:left="1440" w:right="1440"/>
    </w:pPr>
  </w:style>
  <w:style w:type="paragraph" w:customStyle="1" w:styleId="Paratitle">
    <w:name w:val="Para title"/>
    <w:basedOn w:val="Normal"/>
    <w:rsid w:val="002C7FA6"/>
    <w:pPr>
      <w:tabs>
        <w:tab w:val="center" w:pos="9270"/>
      </w:tabs>
      <w:spacing w:after="240"/>
    </w:pPr>
    <w:rPr>
      <w:spacing w:val="-2"/>
    </w:rPr>
  </w:style>
  <w:style w:type="paragraph" w:customStyle="1" w:styleId="Bullet">
    <w:name w:val="Bullet"/>
    <w:basedOn w:val="Normal"/>
    <w:rsid w:val="002C7FA6"/>
    <w:pPr>
      <w:tabs>
        <w:tab w:val="left" w:pos="2160"/>
      </w:tabs>
      <w:spacing w:after="220"/>
      <w:ind w:left="2160" w:hanging="720"/>
    </w:pPr>
  </w:style>
  <w:style w:type="paragraph" w:customStyle="1" w:styleId="TableFormat">
    <w:name w:val="TableFormat"/>
    <w:basedOn w:val="Bullet"/>
    <w:rsid w:val="002C7FA6"/>
    <w:pPr>
      <w:tabs>
        <w:tab w:val="clear" w:pos="2160"/>
        <w:tab w:val="left" w:pos="5040"/>
      </w:tabs>
      <w:ind w:left="5040" w:hanging="3600"/>
    </w:pPr>
  </w:style>
  <w:style w:type="paragraph" w:customStyle="1" w:styleId="TOCTitle">
    <w:name w:val="TOC Title"/>
    <w:basedOn w:val="Normal"/>
    <w:rsid w:val="002C7FA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C7FA6"/>
    <w:pPr>
      <w:jc w:val="center"/>
    </w:pPr>
    <w:rPr>
      <w:rFonts w:ascii="Times New Roman Bold" w:hAnsi="Times New Roman Bold"/>
      <w:b/>
      <w:bCs/>
      <w:caps/>
      <w:szCs w:val="22"/>
    </w:rPr>
  </w:style>
  <w:style w:type="character" w:styleId="Hyperlink">
    <w:name w:val="Hyperlink"/>
    <w:rsid w:val="002C7FA6"/>
    <w:rPr>
      <w:color w:val="0000FF"/>
      <w:u w:val="single"/>
    </w:rPr>
  </w:style>
  <w:style w:type="character" w:customStyle="1" w:styleId="FooterChar">
    <w:name w:val="Footer Char"/>
    <w:link w:val="Footer"/>
    <w:uiPriority w:val="99"/>
    <w:rsid w:val="002C7FA6"/>
    <w:rPr>
      <w:snapToGrid w:val="0"/>
      <w:kern w:val="28"/>
      <w:sz w:val="22"/>
    </w:rPr>
  </w:style>
  <w:style w:type="character" w:customStyle="1" w:styleId="FootnoteTextChar">
    <w:name w:val="Footnote Text Char"/>
    <w:aliases w:val="Footnote Text Char Char Char4 Char Char,Footnote Text Char1 Char,Footnote Text Char4 Char1 Char Char,Footnote Text Char4 Char1 Char Char Char Char Char,Footnote Text Char7 Char Char,Footnote Text Char7 Char Char Char Char Char"/>
    <w:link w:val="FootnoteText"/>
    <w:rsid w:val="00534EA3"/>
  </w:style>
  <w:style w:type="character" w:customStyle="1" w:styleId="ParaNumChar">
    <w:name w:val="ParaNum Char"/>
    <w:link w:val="ParaNum"/>
    <w:locked/>
    <w:rsid w:val="00534EA3"/>
    <w:rPr>
      <w:snapToGrid w:val="0"/>
      <w:kern w:val="28"/>
      <w:sz w:val="22"/>
    </w:rPr>
  </w:style>
  <w:style w:type="character" w:customStyle="1" w:styleId="HeaderChar">
    <w:name w:val="Header Char"/>
    <w:link w:val="Header"/>
    <w:rsid w:val="00534EA3"/>
    <w:rPr>
      <w:b/>
      <w:snapToGrid w:val="0"/>
      <w:kern w:val="28"/>
      <w:sz w:val="22"/>
    </w:rPr>
  </w:style>
  <w:style w:type="paragraph" w:styleId="BalloonText">
    <w:name w:val="Balloon Text"/>
    <w:basedOn w:val="Normal"/>
    <w:link w:val="BalloonTextChar"/>
    <w:rsid w:val="00BA0D76"/>
    <w:rPr>
      <w:rFonts w:ascii="Segoe UI" w:hAnsi="Segoe UI" w:cs="Segoe UI"/>
      <w:sz w:val="18"/>
      <w:szCs w:val="18"/>
    </w:rPr>
  </w:style>
  <w:style w:type="character" w:customStyle="1" w:styleId="BalloonTextChar">
    <w:name w:val="Balloon Text Char"/>
    <w:link w:val="BalloonText"/>
    <w:rsid w:val="00BA0D7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5.xml" /><Relationship Id="rId2" Type="http://schemas.openxmlformats.org/officeDocument/2006/relationships/settings" Target="settings.xml" /><Relationship Id="rId20" Type="http://schemas.microsoft.com/office/2006/relationships/keyMapCustomizations" Target="customizations.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EB-SED-Response@fcc.gov"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FeeFiler/login.cfm" TargetMode="External" /><Relationship Id="rId9" Type="http://schemas.openxmlformats.org/officeDocument/2006/relationships/hyperlink" Target="mailto:ARINQUIRIE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