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3738F88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FA4251F" w14:textId="77777777">
      <w:pPr>
        <w:pStyle w:val="StyleBoldCentered"/>
      </w:pPr>
      <w:r>
        <w:t>F</w:t>
      </w:r>
      <w:r>
        <w:rPr>
          <w:caps w:val="0"/>
        </w:rPr>
        <w:t>ederal Communications Commission</w:t>
      </w:r>
    </w:p>
    <w:p w:rsidR="004C2EE3" w:rsidP="00096D8C" w14:paraId="7730DF50" w14:textId="77777777">
      <w:pPr>
        <w:pStyle w:val="StyleBoldCentered"/>
      </w:pPr>
      <w:r>
        <w:rPr>
          <w:caps w:val="0"/>
        </w:rPr>
        <w:t>Washington, D.C. 20554</w:t>
      </w:r>
    </w:p>
    <w:p w:rsidR="004C2EE3" w:rsidP="0070224F" w14:paraId="344D9BEE" w14:textId="77777777"/>
    <w:tbl>
      <w:tblPr>
        <w:tblW w:w="0" w:type="auto"/>
        <w:tblLayout w:type="fixed"/>
        <w:tblLook w:val="0000"/>
      </w:tblPr>
      <w:tblGrid>
        <w:gridCol w:w="4698"/>
        <w:gridCol w:w="630"/>
        <w:gridCol w:w="4248"/>
      </w:tblGrid>
      <w:tr w14:paraId="0388EF35" w14:textId="77777777">
        <w:tblPrEx>
          <w:tblW w:w="0" w:type="auto"/>
          <w:tblLayout w:type="fixed"/>
          <w:tblLook w:val="0000"/>
        </w:tblPrEx>
        <w:tc>
          <w:tcPr>
            <w:tcW w:w="4698" w:type="dxa"/>
          </w:tcPr>
          <w:p w:rsidR="004C2EE3" w14:paraId="2063CE6F" w14:textId="77777777">
            <w:pPr>
              <w:tabs>
                <w:tab w:val="center" w:pos="4680"/>
              </w:tabs>
              <w:suppressAutoHyphens/>
              <w:rPr>
                <w:spacing w:val="-2"/>
              </w:rPr>
            </w:pPr>
            <w:r>
              <w:rPr>
                <w:spacing w:val="-2"/>
              </w:rPr>
              <w:t>In the Matter of</w:t>
            </w:r>
          </w:p>
          <w:p w:rsidR="004C2EE3" w14:paraId="2FF32B0D" w14:textId="77777777">
            <w:pPr>
              <w:tabs>
                <w:tab w:val="center" w:pos="4680"/>
              </w:tabs>
              <w:suppressAutoHyphens/>
              <w:rPr>
                <w:spacing w:val="-2"/>
              </w:rPr>
            </w:pPr>
          </w:p>
          <w:p w:rsidR="00B15BC8" w:rsidRPr="00B15BC8" w:rsidP="00B15BC8" w14:paraId="2B8270FF" w14:textId="77777777">
            <w:pPr>
              <w:tabs>
                <w:tab w:val="center" w:pos="4680"/>
              </w:tabs>
              <w:suppressAutoHyphens/>
              <w:rPr>
                <w:spacing w:val="-2"/>
              </w:rPr>
            </w:pPr>
            <w:r w:rsidRPr="00B15BC8">
              <w:rPr>
                <w:spacing w:val="-2"/>
              </w:rPr>
              <w:t>State of Alaska</w:t>
            </w:r>
          </w:p>
          <w:p w:rsidR="004C2EE3" w:rsidRPr="007115F7" w:rsidP="00B15BC8" w14:paraId="1EC76A71" w14:textId="4635BE14">
            <w:pPr>
              <w:tabs>
                <w:tab w:val="center" w:pos="4680"/>
              </w:tabs>
              <w:suppressAutoHyphens/>
              <w:rPr>
                <w:spacing w:val="-2"/>
              </w:rPr>
            </w:pPr>
            <w:r w:rsidRPr="00B15BC8">
              <w:rPr>
                <w:spacing w:val="-2"/>
              </w:rPr>
              <w:t>Request for Waiver of Section 74.731(m) of the Commission’s Rules - Low Power Television Analog Termination Date</w:t>
            </w:r>
          </w:p>
        </w:tc>
        <w:tc>
          <w:tcPr>
            <w:tcW w:w="630" w:type="dxa"/>
          </w:tcPr>
          <w:p w:rsidR="004C2EE3" w14:paraId="634B26EC" w14:textId="77777777">
            <w:pPr>
              <w:tabs>
                <w:tab w:val="center" w:pos="4680"/>
              </w:tabs>
              <w:suppressAutoHyphens/>
              <w:rPr>
                <w:b/>
                <w:spacing w:val="-2"/>
              </w:rPr>
            </w:pPr>
            <w:r>
              <w:rPr>
                <w:b/>
                <w:spacing w:val="-2"/>
              </w:rPr>
              <w:t>)</w:t>
            </w:r>
          </w:p>
          <w:p w:rsidR="004C2EE3" w14:paraId="55211C93" w14:textId="77777777">
            <w:pPr>
              <w:tabs>
                <w:tab w:val="center" w:pos="4680"/>
              </w:tabs>
              <w:suppressAutoHyphens/>
              <w:rPr>
                <w:b/>
                <w:spacing w:val="-2"/>
              </w:rPr>
            </w:pPr>
            <w:r>
              <w:rPr>
                <w:b/>
                <w:spacing w:val="-2"/>
              </w:rPr>
              <w:t>)</w:t>
            </w:r>
          </w:p>
          <w:p w:rsidR="004C2EE3" w14:paraId="7252225E" w14:textId="77777777">
            <w:pPr>
              <w:tabs>
                <w:tab w:val="center" w:pos="4680"/>
              </w:tabs>
              <w:suppressAutoHyphens/>
              <w:rPr>
                <w:b/>
                <w:spacing w:val="-2"/>
              </w:rPr>
            </w:pPr>
            <w:r>
              <w:rPr>
                <w:b/>
                <w:spacing w:val="-2"/>
              </w:rPr>
              <w:t>)</w:t>
            </w:r>
          </w:p>
          <w:p w:rsidR="004C2EE3" w14:paraId="53FD70B9" w14:textId="77777777">
            <w:pPr>
              <w:tabs>
                <w:tab w:val="center" w:pos="4680"/>
              </w:tabs>
              <w:suppressAutoHyphens/>
              <w:rPr>
                <w:b/>
                <w:spacing w:val="-2"/>
              </w:rPr>
            </w:pPr>
            <w:r>
              <w:rPr>
                <w:b/>
                <w:spacing w:val="-2"/>
              </w:rPr>
              <w:t>)</w:t>
            </w:r>
          </w:p>
          <w:p w:rsidR="004C2EE3" w14:paraId="3CDA5DB9" w14:textId="77777777">
            <w:pPr>
              <w:tabs>
                <w:tab w:val="center" w:pos="4680"/>
              </w:tabs>
              <w:suppressAutoHyphens/>
              <w:rPr>
                <w:b/>
                <w:spacing w:val="-2"/>
              </w:rPr>
            </w:pPr>
            <w:r>
              <w:rPr>
                <w:b/>
                <w:spacing w:val="-2"/>
              </w:rPr>
              <w:t>)</w:t>
            </w:r>
          </w:p>
          <w:p w:rsidR="004C2EE3" w:rsidRPr="00B15BC8" w14:paraId="5EAA5EDB" w14:textId="083FEF5F">
            <w:pPr>
              <w:tabs>
                <w:tab w:val="center" w:pos="4680"/>
              </w:tabs>
              <w:suppressAutoHyphens/>
              <w:rPr>
                <w:b/>
                <w:spacing w:val="-2"/>
              </w:rPr>
            </w:pPr>
            <w:r>
              <w:rPr>
                <w:b/>
                <w:spacing w:val="-2"/>
              </w:rPr>
              <w:t>)</w:t>
            </w:r>
          </w:p>
        </w:tc>
        <w:tc>
          <w:tcPr>
            <w:tcW w:w="4248" w:type="dxa"/>
          </w:tcPr>
          <w:p w:rsidR="004C2EE3" w14:paraId="4905E1E2" w14:textId="77777777">
            <w:pPr>
              <w:tabs>
                <w:tab w:val="center" w:pos="4680"/>
              </w:tabs>
              <w:suppressAutoHyphens/>
              <w:rPr>
                <w:spacing w:val="-2"/>
              </w:rPr>
            </w:pPr>
          </w:p>
          <w:p w:rsidR="004C2EE3" w14:paraId="01B76B47" w14:textId="77777777">
            <w:pPr>
              <w:pStyle w:val="TOAHeading"/>
              <w:tabs>
                <w:tab w:val="center" w:pos="4680"/>
                <w:tab w:val="clear" w:pos="9360"/>
              </w:tabs>
              <w:rPr>
                <w:spacing w:val="-2"/>
              </w:rPr>
            </w:pPr>
          </w:p>
          <w:p w:rsidR="00B15BC8" w:rsidRPr="00B15BC8" w:rsidP="00B15BC8" w14:paraId="72EAA6CA" w14:textId="77777777">
            <w:pPr>
              <w:pStyle w:val="TOAHeading"/>
              <w:tabs>
                <w:tab w:val="center" w:pos="4680"/>
              </w:tabs>
              <w:rPr>
                <w:spacing w:val="-2"/>
              </w:rPr>
            </w:pPr>
            <w:r w:rsidRPr="00B15BC8">
              <w:rPr>
                <w:spacing w:val="-2"/>
              </w:rPr>
              <w:t xml:space="preserve">Facility ID Nos. 11552, 62370, 62489, 62508, </w:t>
            </w:r>
          </w:p>
          <w:p w:rsidR="00B15BC8" w:rsidRPr="00B15BC8" w:rsidP="00B15BC8" w14:paraId="2F0D94DC" w14:textId="77777777">
            <w:pPr>
              <w:pStyle w:val="TOAHeading"/>
              <w:tabs>
                <w:tab w:val="center" w:pos="4680"/>
              </w:tabs>
              <w:rPr>
                <w:spacing w:val="-2"/>
              </w:rPr>
            </w:pPr>
            <w:r w:rsidRPr="00B15BC8">
              <w:rPr>
                <w:spacing w:val="-2"/>
              </w:rPr>
              <w:t xml:space="preserve">62525, 62541, 62542, 62548, 62563, 62580,  </w:t>
            </w:r>
          </w:p>
          <w:p w:rsidR="004C2EE3" w:rsidP="00B15BC8" w14:paraId="749B43E7" w14:textId="371490F7">
            <w:pPr>
              <w:tabs>
                <w:tab w:val="center" w:pos="4680"/>
              </w:tabs>
              <w:suppressAutoHyphens/>
              <w:rPr>
                <w:spacing w:val="-2"/>
              </w:rPr>
            </w:pPr>
            <w:r w:rsidRPr="00B15BC8">
              <w:rPr>
                <w:spacing w:val="-2"/>
              </w:rPr>
              <w:t>62668, 62691, 62760, 62849 and 62850</w:t>
            </w:r>
          </w:p>
        </w:tc>
      </w:tr>
    </w:tbl>
    <w:p w:rsidR="004C2EE3" w:rsidP="0070224F" w14:paraId="374D793B" w14:textId="77777777"/>
    <w:p w:rsidR="00841AB1" w:rsidP="00F021FA" w14:paraId="32309005" w14:textId="0C30D28C">
      <w:pPr>
        <w:pStyle w:val="StyleBoldCentered"/>
      </w:pPr>
      <w:r>
        <w:t>Order</w:t>
      </w:r>
    </w:p>
    <w:p w:rsidR="004C2EE3" w14:paraId="0C11E384" w14:textId="77777777">
      <w:pPr>
        <w:tabs>
          <w:tab w:val="left" w:pos="-720"/>
        </w:tabs>
        <w:suppressAutoHyphens/>
        <w:spacing w:line="227" w:lineRule="auto"/>
        <w:rPr>
          <w:spacing w:val="-2"/>
        </w:rPr>
      </w:pPr>
    </w:p>
    <w:p w:rsidR="004C2EE3" w:rsidP="00133F79" w14:paraId="2551EE4F" w14:textId="6D65FCEE">
      <w:pPr>
        <w:tabs>
          <w:tab w:val="left" w:pos="720"/>
          <w:tab w:val="right" w:pos="9360"/>
        </w:tabs>
        <w:suppressAutoHyphens/>
        <w:spacing w:line="227" w:lineRule="auto"/>
        <w:rPr>
          <w:spacing w:val="-2"/>
        </w:rPr>
      </w:pPr>
      <w:r>
        <w:rPr>
          <w:b/>
          <w:spacing w:val="-2"/>
        </w:rPr>
        <w:t xml:space="preserve">Adopted:  </w:t>
      </w:r>
      <w:r w:rsidR="0088068D">
        <w:rPr>
          <w:b/>
          <w:spacing w:val="-2"/>
        </w:rPr>
        <w:t>June 21,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8068D">
        <w:rPr>
          <w:b/>
          <w:spacing w:val="-2"/>
        </w:rPr>
        <w:t>June 21, 2021</w:t>
      </w:r>
    </w:p>
    <w:p w:rsidR="00822CE0" w14:paraId="53301EBF" w14:textId="77777777"/>
    <w:p w:rsidR="004C2EE3" w14:paraId="78185B40" w14:textId="28F537E5">
      <w:pPr>
        <w:rPr>
          <w:spacing w:val="-2"/>
        </w:rPr>
      </w:pPr>
      <w:r>
        <w:t xml:space="preserve">By </w:t>
      </w:r>
      <w:r w:rsidR="004E4A22">
        <w:t>the</w:t>
      </w:r>
      <w:r w:rsidR="002A2D2E">
        <w:t xml:space="preserve"> </w:t>
      </w:r>
      <w:r w:rsidR="00B15BC8">
        <w:rPr>
          <w:spacing w:val="-2"/>
        </w:rPr>
        <w:t>Commission</w:t>
      </w:r>
      <w:r>
        <w:rPr>
          <w:spacing w:val="-2"/>
        </w:rPr>
        <w:t>:</w:t>
      </w:r>
    </w:p>
    <w:p w:rsidR="00822CE0" w14:paraId="5971AC98" w14:textId="77777777">
      <w:pPr>
        <w:rPr>
          <w:spacing w:val="-2"/>
        </w:rPr>
      </w:pPr>
    </w:p>
    <w:p w:rsidR="00B15BC8" w:rsidRPr="00BC4B09" w:rsidP="00B15BC8" w14:paraId="527930C0" w14:textId="77777777">
      <w:pPr>
        <w:pStyle w:val="Heading1"/>
        <w:keepNext w:val="0"/>
        <w:suppressAutoHyphens w:val="0"/>
        <w:rPr>
          <w:rFonts w:ascii="Times New Roman" w:hAnsi="Times New Roman"/>
          <w:szCs w:val="22"/>
        </w:rPr>
      </w:pPr>
      <w:bookmarkStart w:id="0" w:name="_Toc380163133"/>
      <w:bookmarkStart w:id="1" w:name="_Toc383005252"/>
      <w:bookmarkStart w:id="2" w:name="_Toc383005822"/>
      <w:bookmarkStart w:id="3" w:name="_Toc383072939"/>
      <w:bookmarkStart w:id="4" w:name="_Toc384134715"/>
      <w:bookmarkStart w:id="5" w:name="_Toc384135265"/>
      <w:bookmarkStart w:id="6" w:name="_Toc385340225"/>
      <w:bookmarkStart w:id="7" w:name="_Toc385340344"/>
      <w:bookmarkStart w:id="8" w:name="_Toc385340603"/>
      <w:bookmarkStart w:id="9" w:name="_Toc385346348"/>
      <w:bookmarkStart w:id="10" w:name="_Toc385516186"/>
      <w:bookmarkStart w:id="11" w:name="_Toc385603517"/>
      <w:bookmarkStart w:id="12" w:name="_Toc387858279"/>
      <w:bookmarkStart w:id="13" w:name="_Toc388962613"/>
      <w:bookmarkStart w:id="14" w:name="_Toc388975400"/>
      <w:r w:rsidRPr="00BC4B09">
        <w:rPr>
          <w:rFonts w:ascii="Times New Roman" w:hAnsi="Times New Roman"/>
          <w:szCs w:val="22"/>
        </w:rPr>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B15BC8" w:rsidRPr="00BC4B09" w:rsidP="00B15BC8" w14:paraId="0E502014" w14:textId="77777777">
      <w:pPr>
        <w:pStyle w:val="ParaNum"/>
        <w:rPr>
          <w:szCs w:val="22"/>
        </w:rPr>
      </w:pPr>
      <w:r w:rsidRPr="00BC4B09">
        <w:rPr>
          <w:szCs w:val="22"/>
        </w:rPr>
        <w:t xml:space="preserve">This Order grants a </w:t>
      </w:r>
      <w:r>
        <w:rPr>
          <w:szCs w:val="22"/>
        </w:rPr>
        <w:t xml:space="preserve">limited </w:t>
      </w:r>
      <w:r w:rsidRPr="00BC4B09">
        <w:rPr>
          <w:szCs w:val="22"/>
        </w:rPr>
        <w:t>waiver</w:t>
      </w:r>
      <w:r>
        <w:rPr>
          <w:rStyle w:val="FootnoteReference"/>
          <w:sz w:val="22"/>
          <w:szCs w:val="22"/>
        </w:rPr>
        <w:footnoteReference w:id="3"/>
      </w:r>
      <w:r w:rsidRPr="00BC4B09">
        <w:rPr>
          <w:szCs w:val="22"/>
        </w:rPr>
        <w:t xml:space="preserve"> to the State of Alaska (SOA)</w:t>
      </w:r>
      <w:r>
        <w:rPr>
          <w:szCs w:val="22"/>
        </w:rPr>
        <w:t xml:space="preserve"> to continue operation </w:t>
      </w:r>
      <w:r w:rsidRPr="00BC4B09">
        <w:rPr>
          <w:szCs w:val="22"/>
        </w:rPr>
        <w:t xml:space="preserve">of 15 analog television translators </w:t>
      </w:r>
      <w:r>
        <w:rPr>
          <w:szCs w:val="22"/>
        </w:rPr>
        <w:t xml:space="preserve">beyond the </w:t>
      </w:r>
      <w:r w:rsidRPr="00BC4B09">
        <w:rPr>
          <w:color w:val="000000"/>
          <w:szCs w:val="22"/>
        </w:rPr>
        <w:t xml:space="preserve">low power television </w:t>
      </w:r>
      <w:r>
        <w:rPr>
          <w:color w:val="000000"/>
          <w:szCs w:val="22"/>
        </w:rPr>
        <w:t>and</w:t>
      </w:r>
      <w:r w:rsidRPr="00BC4B09">
        <w:rPr>
          <w:color w:val="000000"/>
          <w:szCs w:val="22"/>
        </w:rPr>
        <w:t xml:space="preserve"> television translator station (LPTV/translator) </w:t>
      </w:r>
      <w:r>
        <w:rPr>
          <w:color w:val="000000"/>
          <w:szCs w:val="22"/>
        </w:rPr>
        <w:t xml:space="preserve">analog termination deadline of </w:t>
      </w:r>
      <w:r w:rsidRPr="00BC4B09">
        <w:rPr>
          <w:color w:val="000000"/>
          <w:szCs w:val="22"/>
        </w:rPr>
        <w:t xml:space="preserve">11:59 pm local time on </w:t>
      </w:r>
      <w:r w:rsidRPr="00BC4B09">
        <w:rPr>
          <w:szCs w:val="22"/>
        </w:rPr>
        <w:t>July 13, 2021.</w:t>
      </w:r>
      <w:r>
        <w:rPr>
          <w:rStyle w:val="FootnoteReference"/>
          <w:sz w:val="22"/>
          <w:szCs w:val="22"/>
        </w:rPr>
        <w:footnoteReference w:id="4"/>
      </w:r>
      <w:r w:rsidRPr="00BC4B09">
        <w:rPr>
          <w:color w:val="000000"/>
          <w:szCs w:val="22"/>
        </w:rPr>
        <w:t xml:space="preserve"> </w:t>
      </w:r>
      <w:r w:rsidRPr="00BC4B09">
        <w:rPr>
          <w:szCs w:val="22"/>
        </w:rPr>
        <w:t xml:space="preserve"> Due to novel factors facing SOA that prevented the completion of the Stations’ digital facilities, we hereby extend the analog termination deadline for the Stations to</w:t>
      </w:r>
      <w:r w:rsidRPr="00BC4B09">
        <w:rPr>
          <w:b/>
          <w:bCs/>
          <w:szCs w:val="22"/>
        </w:rPr>
        <w:t xml:space="preserve"> January 10, 2022</w:t>
      </w:r>
      <w:r w:rsidRPr="00BC4B09">
        <w:rPr>
          <w:szCs w:val="22"/>
        </w:rPr>
        <w:t>.</w:t>
      </w:r>
      <w:r>
        <w:rPr>
          <w:rStyle w:val="FootnoteReference"/>
          <w:sz w:val="22"/>
          <w:szCs w:val="22"/>
        </w:rPr>
        <w:footnoteReference w:id="5"/>
      </w:r>
      <w:r w:rsidRPr="00BC4B09">
        <w:rPr>
          <w:szCs w:val="22"/>
        </w:rPr>
        <w:t xml:space="preserve">  </w:t>
      </w:r>
    </w:p>
    <w:p w:rsidR="00B15BC8" w:rsidRPr="00BC4B09" w:rsidP="00B15BC8" w14:paraId="32EB4914" w14:textId="77777777">
      <w:pPr>
        <w:pStyle w:val="Heading1"/>
        <w:keepNext w:val="0"/>
        <w:suppressAutoHyphens w:val="0"/>
        <w:rPr>
          <w:rFonts w:ascii="Times New Roman" w:hAnsi="Times New Roman"/>
          <w:szCs w:val="22"/>
        </w:rPr>
      </w:pPr>
      <w:bookmarkStart w:id="15" w:name="_Toc385603520"/>
      <w:bookmarkStart w:id="16" w:name="_Toc383005254"/>
      <w:bookmarkStart w:id="17" w:name="_Toc383005824"/>
      <w:bookmarkStart w:id="18" w:name="_Toc383072941"/>
      <w:bookmarkStart w:id="19" w:name="_Toc384134717"/>
      <w:bookmarkStart w:id="20" w:name="_Toc384135267"/>
      <w:bookmarkStart w:id="21" w:name="_Toc385340227"/>
      <w:bookmarkStart w:id="22" w:name="_Toc385340346"/>
      <w:bookmarkStart w:id="23" w:name="_Toc385340605"/>
      <w:bookmarkStart w:id="24" w:name="_Toc385346350"/>
      <w:bookmarkStart w:id="25" w:name="_Toc385516188"/>
      <w:bookmarkStart w:id="26" w:name="_Toc385603521"/>
      <w:bookmarkStart w:id="27" w:name="_Toc387858281"/>
      <w:bookmarkStart w:id="28" w:name="_Toc388962615"/>
      <w:bookmarkStart w:id="29" w:name="_Toc388975402"/>
      <w:bookmarkEnd w:id="15"/>
      <w:r w:rsidRPr="00BC4B09">
        <w:rPr>
          <w:rFonts w:ascii="Times New Roman" w:hAnsi="Times New Roman"/>
          <w:szCs w:val="22"/>
        </w:rPr>
        <w:t>BACKGROUND</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B15BC8" w:rsidRPr="00BC4B09" w:rsidP="00B15BC8" w14:paraId="075F4562" w14:textId="77777777">
      <w:pPr>
        <w:pStyle w:val="ParaNum"/>
        <w:rPr>
          <w:szCs w:val="22"/>
        </w:rPr>
      </w:pPr>
      <w:r w:rsidRPr="00BC4B09">
        <w:rPr>
          <w:i/>
          <w:iCs/>
          <w:szCs w:val="22"/>
        </w:rPr>
        <w:t>The Digital Transition and Analog Termination Deadlines.</w:t>
      </w:r>
      <w:r>
        <w:rPr>
          <w:szCs w:val="22"/>
        </w:rPr>
        <w:t xml:space="preserve">  Full power television stations completed their transition to digital on June 12, 2009</w:t>
      </w:r>
      <w:r>
        <w:rPr>
          <w:rStyle w:val="FootnoteReference"/>
          <w:szCs w:val="22"/>
        </w:rPr>
        <w:footnoteReference w:id="6"/>
      </w:r>
      <w:r>
        <w:rPr>
          <w:szCs w:val="22"/>
        </w:rPr>
        <w:t xml:space="preserve"> and Class A television stations on September 1, 2015.</w:t>
      </w:r>
      <w:r>
        <w:rPr>
          <w:rStyle w:val="FootnoteReference"/>
          <w:szCs w:val="22"/>
        </w:rPr>
        <w:footnoteReference w:id="7"/>
      </w:r>
      <w:r>
        <w:rPr>
          <w:szCs w:val="22"/>
        </w:rPr>
        <w:t xml:space="preserve"> </w:t>
      </w:r>
      <w:r w:rsidRPr="00BC4B09">
        <w:rPr>
          <w:i/>
          <w:iCs/>
          <w:szCs w:val="22"/>
        </w:rPr>
        <w:t xml:space="preserve"> </w:t>
      </w:r>
      <w:r>
        <w:rPr>
          <w:szCs w:val="22"/>
        </w:rPr>
        <w:t>In 2011, w</w:t>
      </w:r>
      <w:r w:rsidRPr="00BC4B09">
        <w:rPr>
          <w:szCs w:val="22"/>
        </w:rPr>
        <w:t>hen the Commission first adopted a digital transition deadline for LPTV/translators and established September 1, 2015 as the deadline (original transition deadline), it concluded that “the Communications Act compelled low power television stations ultimately to convert to digital operation.”</w:t>
      </w:r>
      <w:r>
        <w:rPr>
          <w:rStyle w:val="FootnoteReference"/>
          <w:sz w:val="22"/>
          <w:szCs w:val="22"/>
        </w:rPr>
        <w:footnoteReference w:id="8"/>
      </w:r>
      <w:r>
        <w:rPr>
          <w:szCs w:val="22"/>
        </w:rPr>
        <w:t>The</w:t>
      </w:r>
      <w:r w:rsidRPr="00BC4B09">
        <w:rPr>
          <w:szCs w:val="22"/>
        </w:rPr>
        <w:t xml:space="preserve"> Commission </w:t>
      </w:r>
      <w:r>
        <w:rPr>
          <w:szCs w:val="22"/>
        </w:rPr>
        <w:t>reasoned</w:t>
      </w:r>
      <w:r w:rsidRPr="00BC4B09">
        <w:rPr>
          <w:szCs w:val="22"/>
        </w:rPr>
        <w:t xml:space="preserve"> that “allowing low power stations to continue operating in analog and to substantially delay or forgo completing their conversion to digital would prevent consumers from enjoying the benefits of digital broadcast technology, including improved picture and sound quality, and </w:t>
      </w:r>
      <w:r w:rsidRPr="00BC4B09">
        <w:rPr>
          <w:szCs w:val="22"/>
        </w:rPr>
        <w:t>additional program offerings through multicasting.”</w:t>
      </w:r>
      <w:r>
        <w:rPr>
          <w:rStyle w:val="FootnoteReference"/>
          <w:sz w:val="22"/>
          <w:szCs w:val="22"/>
        </w:rPr>
        <w:footnoteReference w:id="9"/>
      </w:r>
      <w:r w:rsidRPr="00BC4B09">
        <w:rPr>
          <w:szCs w:val="22"/>
        </w:rPr>
        <w:t xml:space="preserve">  In adopting a “hard deadline” for LPTV/translator stations to terminate analog operations and begin operating in digital, the Commission stated that “setting a hard deadline  . . . balances the concerns raised by low power operators with the need to complete the digital conversion across all television services in order to use the spectrum designated for broadcast efficiently and to bring the benefits of digital technology to all viewers.”</w:t>
      </w:r>
      <w:r>
        <w:rPr>
          <w:rStyle w:val="FootnoteReference"/>
          <w:sz w:val="22"/>
          <w:szCs w:val="22"/>
        </w:rPr>
        <w:footnoteReference w:id="10"/>
      </w:r>
    </w:p>
    <w:p w:rsidR="00B15BC8" w:rsidP="00B15BC8" w14:paraId="6CF56E28" w14:textId="77777777">
      <w:pPr>
        <w:pStyle w:val="ParaNum"/>
        <w:rPr>
          <w:szCs w:val="22"/>
        </w:rPr>
      </w:pPr>
      <w:r>
        <w:rPr>
          <w:szCs w:val="22"/>
        </w:rPr>
        <w:t>The</w:t>
      </w:r>
      <w:r w:rsidRPr="00BC4B09">
        <w:rPr>
          <w:szCs w:val="22"/>
        </w:rPr>
        <w:t xml:space="preserve"> 2015 </w:t>
      </w:r>
      <w:r w:rsidRPr="00BC4B09">
        <w:rPr>
          <w:i/>
          <w:iCs/>
          <w:szCs w:val="22"/>
        </w:rPr>
        <w:t>LPTV DTV Third R&amp;O</w:t>
      </w:r>
      <w:r>
        <w:rPr>
          <w:szCs w:val="22"/>
        </w:rPr>
        <w:t xml:space="preserve"> </w:t>
      </w:r>
      <w:r w:rsidRPr="00BC4B09">
        <w:rPr>
          <w:szCs w:val="22"/>
        </w:rPr>
        <w:t xml:space="preserve">extended </w:t>
      </w:r>
      <w:r>
        <w:rPr>
          <w:szCs w:val="22"/>
        </w:rPr>
        <w:t>the</w:t>
      </w:r>
      <w:r w:rsidRPr="00BC4B09">
        <w:rPr>
          <w:szCs w:val="22"/>
        </w:rPr>
        <w:t xml:space="preserve"> original deadline for analog LPTV/translator stations to complete their transition to digital</w:t>
      </w:r>
      <w:r>
        <w:rPr>
          <w:szCs w:val="22"/>
        </w:rPr>
        <w:t xml:space="preserve"> to</w:t>
      </w:r>
      <w:r w:rsidRPr="00BC4B09">
        <w:rPr>
          <w:szCs w:val="22"/>
        </w:rPr>
        <w:t xml:space="preserve"> 12 months after the completion of the 39-month Post-Incentive Auction Transition Period, which became July 13, 2021.</w:t>
      </w:r>
      <w:r>
        <w:rPr>
          <w:rStyle w:val="FootnoteReference"/>
          <w:sz w:val="22"/>
          <w:szCs w:val="22"/>
        </w:rPr>
        <w:footnoteReference w:id="11"/>
      </w:r>
      <w:r w:rsidRPr="00BC4B09">
        <w:rPr>
          <w:szCs w:val="22"/>
        </w:rPr>
        <w:t xml:space="preserve">  </w:t>
      </w:r>
      <w:r>
        <w:rPr>
          <w:szCs w:val="22"/>
        </w:rPr>
        <w:t>T</w:t>
      </w:r>
      <w:r w:rsidRPr="00BC4B09">
        <w:rPr>
          <w:szCs w:val="22"/>
        </w:rPr>
        <w:t>he Commission</w:t>
      </w:r>
      <w:r>
        <w:rPr>
          <w:szCs w:val="22"/>
        </w:rPr>
        <w:t xml:space="preserve"> also</w:t>
      </w:r>
      <w:r w:rsidRPr="00BC4B09">
        <w:rPr>
          <w:szCs w:val="22"/>
        </w:rPr>
        <w:t xml:space="preserve"> set July 13, 2021, at 11:59 pm as the analog termination deadline - the date and time by which all LPTV/translator stations must terminate all analog television operations regardless of whether their digital facilities are operational.</w:t>
      </w:r>
      <w:r>
        <w:rPr>
          <w:rStyle w:val="FootnoteReference"/>
          <w:sz w:val="22"/>
          <w:szCs w:val="22"/>
        </w:rPr>
        <w:footnoteReference w:id="12"/>
      </w:r>
      <w:r>
        <w:rPr>
          <w:szCs w:val="22"/>
        </w:rPr>
        <w:t xml:space="preserve">  This delay</w:t>
      </w:r>
      <w:r w:rsidRPr="00BC4B09">
        <w:rPr>
          <w:szCs w:val="22"/>
        </w:rPr>
        <w:t xml:space="preserve"> recognized that the Incentive Auction would likely have a significant impact on LPTV/translator digital conversion plans and, as such, the timing of the Incentive Auction necessitated a modification of the digital transition deadline.</w:t>
      </w:r>
      <w:r>
        <w:rPr>
          <w:rStyle w:val="FootnoteReference"/>
          <w:sz w:val="22"/>
          <w:szCs w:val="22"/>
        </w:rPr>
        <w:footnoteReference w:id="13"/>
      </w:r>
      <w:r w:rsidRPr="00BC4B09">
        <w:rPr>
          <w:szCs w:val="22"/>
        </w:rPr>
        <w:t xml:space="preserve">  Although it extended the digital transition </w:t>
      </w:r>
      <w:r>
        <w:rPr>
          <w:szCs w:val="22"/>
        </w:rPr>
        <w:t xml:space="preserve">and analog termination </w:t>
      </w:r>
      <w:r w:rsidRPr="00BC4B09">
        <w:rPr>
          <w:szCs w:val="22"/>
        </w:rPr>
        <w:t xml:space="preserve">deadline, the Commission affirmed </w:t>
      </w:r>
      <w:r>
        <w:rPr>
          <w:szCs w:val="22"/>
        </w:rPr>
        <w:t>the</w:t>
      </w:r>
      <w:r w:rsidRPr="00BC4B09">
        <w:rPr>
          <w:szCs w:val="22"/>
        </w:rPr>
        <w:t xml:space="preserve"> commitment to completing the LPTV</w:t>
      </w:r>
      <w:r>
        <w:rPr>
          <w:szCs w:val="22"/>
        </w:rPr>
        <w:t>/translator</w:t>
      </w:r>
      <w:r w:rsidRPr="00BC4B09">
        <w:rPr>
          <w:szCs w:val="22"/>
        </w:rPr>
        <w:t xml:space="preserve"> digital transition by a date certain</w:t>
      </w:r>
      <w:r>
        <w:rPr>
          <w:szCs w:val="22"/>
        </w:rPr>
        <w:t xml:space="preserve">, concluding </w:t>
      </w:r>
      <w:r w:rsidRPr="00BC4B09">
        <w:rPr>
          <w:szCs w:val="22"/>
        </w:rPr>
        <w:t>that the new deadline must continue to be a “hard deadline” where all LPTV/translator stations must terminate all analog operations regardless of whether their digital facilities are operational.</w:t>
      </w:r>
      <w:r>
        <w:rPr>
          <w:rStyle w:val="FootnoteReference"/>
          <w:sz w:val="22"/>
          <w:szCs w:val="22"/>
        </w:rPr>
        <w:footnoteReference w:id="14"/>
      </w:r>
      <w:r w:rsidRPr="00BC4B09">
        <w:rPr>
          <w:szCs w:val="22"/>
        </w:rPr>
        <w:t xml:space="preserve">  In </w:t>
      </w:r>
      <w:r>
        <w:rPr>
          <w:szCs w:val="22"/>
        </w:rPr>
        <w:t>so doing</w:t>
      </w:r>
      <w:r w:rsidRPr="00BC4B09">
        <w:rPr>
          <w:szCs w:val="22"/>
        </w:rPr>
        <w:t xml:space="preserve">, the Commission </w:t>
      </w:r>
      <w:r>
        <w:rPr>
          <w:szCs w:val="22"/>
        </w:rPr>
        <w:t>recognized</w:t>
      </w:r>
      <w:r w:rsidRPr="00BC4B09">
        <w:rPr>
          <w:szCs w:val="22"/>
        </w:rPr>
        <w:t xml:space="preserve"> that “fewer and fewer households rely on analog television service, and…the slight potential for the loss of analog service that may occur on the transition date is outweighed by the need to ensure that all analog LPTV and TV translator stations complete a timely digital conversion.”</w:t>
      </w:r>
      <w:r>
        <w:rPr>
          <w:rStyle w:val="FootnoteReference"/>
          <w:sz w:val="22"/>
          <w:szCs w:val="22"/>
        </w:rPr>
        <w:footnoteReference w:id="15"/>
      </w:r>
    </w:p>
    <w:p w:rsidR="00B15BC8" w:rsidRPr="0066266E" w:rsidP="00B15BC8" w14:paraId="1E8FDF28" w14:textId="77777777">
      <w:pPr>
        <w:pStyle w:val="ParaNum"/>
        <w:rPr>
          <w:szCs w:val="22"/>
        </w:rPr>
      </w:pPr>
      <w:r w:rsidRPr="0066266E">
        <w:rPr>
          <w:i/>
          <w:iCs/>
          <w:szCs w:val="22"/>
        </w:rPr>
        <w:t>State of Alaska Translator Network.</w:t>
      </w:r>
      <w:r w:rsidRPr="0066266E">
        <w:rPr>
          <w:szCs w:val="22"/>
        </w:rPr>
        <w:t xml:space="preserve">  In its Waiver Request, SOA states that since the late 1970s it has owned and operated a network of analog TV translator stations located in rural and bush Alaska Native communities.</w:t>
      </w:r>
      <w:r>
        <w:rPr>
          <w:rStyle w:val="FootnoteReference"/>
          <w:sz w:val="22"/>
          <w:szCs w:val="22"/>
        </w:rPr>
        <w:footnoteReference w:id="16"/>
      </w:r>
      <w:r w:rsidRPr="0066266E">
        <w:rPr>
          <w:szCs w:val="22"/>
        </w:rPr>
        <w:t xml:space="preserve">  This system is now called the Alaska Rural Communications System (ARCS).  SOA states that ARCS sites provide free, over-the-air television and radio programming, </w:t>
      </w:r>
      <w:r w:rsidRPr="0066266E">
        <w:rPr>
          <w:szCs w:val="22"/>
        </w:rPr>
        <w:t>including the emergency alert system (EAS), across much of rural Alaska.</w:t>
      </w:r>
      <w:r>
        <w:rPr>
          <w:rStyle w:val="FootnoteReference"/>
          <w:sz w:val="22"/>
          <w:szCs w:val="22"/>
        </w:rPr>
        <w:footnoteReference w:id="17"/>
      </w:r>
      <w:r w:rsidRPr="0066266E">
        <w:rPr>
          <w:szCs w:val="22"/>
        </w:rPr>
        <w:t xml:space="preserve">  SOA maintains that the Stations are part of a network of over 200 analog TV translator stations that receive programing via a satellite from an uplink at the University of Alaska – Fairbanks and then broadcast an over-the-air signal to the local communities.</w:t>
      </w:r>
      <w:r>
        <w:rPr>
          <w:rStyle w:val="FootnoteReference"/>
          <w:sz w:val="22"/>
          <w:szCs w:val="22"/>
        </w:rPr>
        <w:footnoteReference w:id="18"/>
      </w:r>
      <w:r w:rsidRPr="0066266E">
        <w:rPr>
          <w:szCs w:val="22"/>
        </w:rPr>
        <w:t xml:space="preserve">  The Stations air a mix of programing</w:t>
      </w:r>
      <w:r>
        <w:rPr>
          <w:szCs w:val="22"/>
        </w:rPr>
        <w:t>,</w:t>
      </w:r>
      <w:r w:rsidRPr="0066266E">
        <w:rPr>
          <w:szCs w:val="22"/>
        </w:rPr>
        <w:t xml:space="preserve"> Alaskan produced news and public affairs, emergency alert and weather information</w:t>
      </w:r>
      <w:r>
        <w:rPr>
          <w:szCs w:val="22"/>
        </w:rPr>
        <w:t xml:space="preserve"> provided by the National Oceanic and Atmospheric Administration (NOAA)</w:t>
      </w:r>
      <w:r w:rsidRPr="0066266E">
        <w:rPr>
          <w:szCs w:val="22"/>
        </w:rPr>
        <w:t>, and educational and informational programming from a variety of sources.</w:t>
      </w:r>
      <w:r>
        <w:rPr>
          <w:rStyle w:val="FootnoteReference"/>
          <w:sz w:val="22"/>
          <w:szCs w:val="22"/>
        </w:rPr>
        <w:footnoteReference w:id="19"/>
      </w:r>
      <w:r w:rsidRPr="0066266E">
        <w:rPr>
          <w:szCs w:val="22"/>
        </w:rPr>
        <w:t xml:space="preserve">  According to SOA, it has been the responsibility of the remote local communities and volunteers from those communities to maintain the Stations.</w:t>
      </w:r>
      <w:r>
        <w:rPr>
          <w:rStyle w:val="FootnoteReference"/>
          <w:sz w:val="22"/>
          <w:szCs w:val="22"/>
        </w:rPr>
        <w:footnoteReference w:id="20"/>
      </w:r>
    </w:p>
    <w:p w:rsidR="00B15BC8" w:rsidP="00B15BC8" w14:paraId="1070C74B" w14:textId="77777777">
      <w:pPr>
        <w:pStyle w:val="ParaNum"/>
        <w:rPr>
          <w:szCs w:val="22"/>
        </w:rPr>
      </w:pPr>
      <w:r w:rsidRPr="00BC4B09">
        <w:rPr>
          <w:szCs w:val="22"/>
        </w:rPr>
        <w:t xml:space="preserve"> </w:t>
      </w:r>
      <w:r w:rsidRPr="00BC4B09">
        <w:rPr>
          <w:i/>
          <w:iCs/>
          <w:szCs w:val="22"/>
        </w:rPr>
        <w:t xml:space="preserve">Digital Construction Efforts. </w:t>
      </w:r>
      <w:r>
        <w:rPr>
          <w:szCs w:val="22"/>
        </w:rPr>
        <w:t xml:space="preserve"> SOA’s </w:t>
      </w:r>
      <w:r w:rsidRPr="00BC4B09">
        <w:rPr>
          <w:szCs w:val="22"/>
        </w:rPr>
        <w:t>Department of Administration (DOA) has received capital appropriations to construct the ARCS digital facilities</w:t>
      </w:r>
      <w:r>
        <w:rPr>
          <w:szCs w:val="22"/>
        </w:rPr>
        <w:t xml:space="preserve">. </w:t>
      </w:r>
      <w:r>
        <w:rPr>
          <w:rStyle w:val="FootnoteReference"/>
          <w:sz w:val="22"/>
          <w:szCs w:val="22"/>
        </w:rPr>
        <w:footnoteReference w:id="21"/>
      </w:r>
      <w:r w:rsidRPr="00BC4B09">
        <w:rPr>
          <w:szCs w:val="22"/>
        </w:rPr>
        <w:t xml:space="preserve"> </w:t>
      </w:r>
      <w:r>
        <w:rPr>
          <w:szCs w:val="22"/>
        </w:rPr>
        <w:t xml:space="preserve"> When the conversion project began in </w:t>
      </w:r>
      <w:r w:rsidRPr="009763DD">
        <w:rPr>
          <w:szCs w:val="22"/>
        </w:rPr>
        <w:t>2013,</w:t>
      </w:r>
      <w:r>
        <w:rPr>
          <w:szCs w:val="22"/>
        </w:rPr>
        <w:t xml:space="preserve"> </w:t>
      </w:r>
      <w:r w:rsidRPr="009763DD">
        <w:rPr>
          <w:szCs w:val="22"/>
        </w:rPr>
        <w:t>digital upgrades for all of the SOA’s analog TV translator stations</w:t>
      </w:r>
      <w:r>
        <w:rPr>
          <w:szCs w:val="22"/>
        </w:rPr>
        <w:t xml:space="preserve"> were expected to</w:t>
      </w:r>
      <w:r w:rsidRPr="009763DD">
        <w:rPr>
          <w:szCs w:val="22"/>
        </w:rPr>
        <w:t xml:space="preserve"> be completed in three to four years – between 2016 and 2017.</w:t>
      </w:r>
      <w:r>
        <w:rPr>
          <w:rStyle w:val="FootnoteReference"/>
          <w:sz w:val="22"/>
          <w:szCs w:val="22"/>
        </w:rPr>
        <w:footnoteReference w:id="22"/>
      </w:r>
      <w:r w:rsidRPr="009763DD">
        <w:rPr>
          <w:szCs w:val="22"/>
        </w:rPr>
        <w:t xml:space="preserve">  </w:t>
      </w:r>
      <w:r>
        <w:rPr>
          <w:szCs w:val="22"/>
        </w:rPr>
        <w:t xml:space="preserve">However, only 86 of SOA’s analog TV translators have deployed digital facilities to date.  SOA states that construction of the digital facilities for the remainder of its analog TV translators </w:t>
      </w:r>
      <w:r w:rsidRPr="00BC4B09">
        <w:rPr>
          <w:szCs w:val="22"/>
        </w:rPr>
        <w:t>encountered man</w:t>
      </w:r>
      <w:r>
        <w:rPr>
          <w:szCs w:val="22"/>
        </w:rPr>
        <w:t>y</w:t>
      </w:r>
      <w:r w:rsidRPr="00BC4B09">
        <w:rPr>
          <w:szCs w:val="22"/>
        </w:rPr>
        <w:t xml:space="preserve"> challenges that delayed construction.</w:t>
      </w:r>
      <w:r>
        <w:rPr>
          <w:rStyle w:val="FootnoteReference"/>
          <w:sz w:val="22"/>
          <w:szCs w:val="22"/>
        </w:rPr>
        <w:footnoteReference w:id="23"/>
      </w:r>
      <w:r>
        <w:rPr>
          <w:szCs w:val="22"/>
        </w:rPr>
        <w:t xml:space="preserve">  </w:t>
      </w:r>
      <w:r w:rsidRPr="00CA5E0B">
        <w:rPr>
          <w:szCs w:val="22"/>
        </w:rPr>
        <w:t>Because of the extreme remoteness,</w:t>
      </w:r>
      <w:r>
        <w:rPr>
          <w:szCs w:val="22"/>
        </w:rPr>
        <w:t xml:space="preserve"> limited</w:t>
      </w:r>
      <w:r w:rsidRPr="00CA5E0B">
        <w:rPr>
          <w:szCs w:val="22"/>
        </w:rPr>
        <w:t xml:space="preserve"> communications, small population, and extreme weather of these </w:t>
      </w:r>
      <w:r>
        <w:rPr>
          <w:szCs w:val="22"/>
        </w:rPr>
        <w:t xml:space="preserve">remaining </w:t>
      </w:r>
      <w:r w:rsidRPr="00CA5E0B">
        <w:rPr>
          <w:szCs w:val="22"/>
        </w:rPr>
        <w:t>communities</w:t>
      </w:r>
      <w:r>
        <w:rPr>
          <w:szCs w:val="22"/>
        </w:rPr>
        <w:t>,</w:t>
      </w:r>
      <w:r w:rsidRPr="00CA5E0B">
        <w:rPr>
          <w:szCs w:val="22"/>
        </w:rPr>
        <w:t xml:space="preserve"> not all of the “deployed” equipment was ever operational.</w:t>
      </w:r>
      <w:r>
        <w:rPr>
          <w:rStyle w:val="FootnoteReference"/>
          <w:szCs w:val="22"/>
        </w:rPr>
        <w:footnoteReference w:id="24"/>
      </w:r>
      <w:r w:rsidRPr="00CA5E0B">
        <w:rPr>
          <w:szCs w:val="22"/>
        </w:rPr>
        <w:t xml:space="preserve">  </w:t>
      </w:r>
      <w:r>
        <w:rPr>
          <w:szCs w:val="22"/>
        </w:rPr>
        <w:t xml:space="preserve">SOA states that </w:t>
      </w:r>
      <w:r w:rsidRPr="00CA5E0B">
        <w:rPr>
          <w:szCs w:val="22"/>
        </w:rPr>
        <w:t xml:space="preserve">over 90 </w:t>
      </w:r>
      <w:r>
        <w:rPr>
          <w:szCs w:val="22"/>
        </w:rPr>
        <w:t xml:space="preserve">of the stations’ transmitter </w:t>
      </w:r>
      <w:r w:rsidRPr="00CA5E0B">
        <w:rPr>
          <w:szCs w:val="22"/>
        </w:rPr>
        <w:t>sites required major infrastructure improvements/repairs and/or had special geophysical or community</w:t>
      </w:r>
      <w:r>
        <w:rPr>
          <w:szCs w:val="22"/>
        </w:rPr>
        <w:t>-</w:t>
      </w:r>
      <w:r w:rsidRPr="00CA5E0B">
        <w:rPr>
          <w:szCs w:val="22"/>
        </w:rPr>
        <w:t>related challenges that made upgrades more difficult.</w:t>
      </w:r>
      <w:r>
        <w:rPr>
          <w:rStyle w:val="FootnoteReference"/>
          <w:szCs w:val="22"/>
        </w:rPr>
        <w:footnoteReference w:id="25"/>
      </w:r>
      <w:r w:rsidRPr="00CA5E0B">
        <w:rPr>
          <w:szCs w:val="22"/>
        </w:rPr>
        <w:t xml:space="preserve">  Almost none of these communities is connected to the road system and some have less than 100 residents with little or no local government.</w:t>
      </w:r>
      <w:r>
        <w:rPr>
          <w:rStyle w:val="FootnoteReference"/>
          <w:szCs w:val="22"/>
        </w:rPr>
        <w:footnoteReference w:id="26"/>
      </w:r>
      <w:r w:rsidRPr="00CA5E0B">
        <w:rPr>
          <w:szCs w:val="22"/>
        </w:rPr>
        <w:t xml:space="preserve">  </w:t>
      </w:r>
    </w:p>
    <w:p w:rsidR="00B15BC8" w:rsidRPr="009763DD" w:rsidP="00B15BC8" w14:paraId="519A3FD8" w14:textId="77777777">
      <w:pPr>
        <w:pStyle w:val="ParaNum"/>
        <w:rPr>
          <w:szCs w:val="22"/>
        </w:rPr>
      </w:pPr>
      <w:r>
        <w:rPr>
          <w:szCs w:val="22"/>
        </w:rPr>
        <w:t xml:space="preserve">In total, SOA has </w:t>
      </w:r>
      <w:r w:rsidRPr="002C26DF">
        <w:rPr>
          <w:szCs w:val="22"/>
        </w:rPr>
        <w:t>24</w:t>
      </w:r>
      <w:r w:rsidRPr="00C15AFF">
        <w:rPr>
          <w:szCs w:val="22"/>
        </w:rPr>
        <w:t>3</w:t>
      </w:r>
      <w:r w:rsidRPr="009763DD">
        <w:rPr>
          <w:szCs w:val="22"/>
        </w:rPr>
        <w:t xml:space="preserve"> stations</w:t>
      </w:r>
      <w:r>
        <w:rPr>
          <w:szCs w:val="22"/>
        </w:rPr>
        <w:t xml:space="preserve"> that either have converted from analog or still need to convert to digital.  Of these, </w:t>
      </w:r>
      <w:r w:rsidRPr="009763DD">
        <w:rPr>
          <w:szCs w:val="22"/>
        </w:rPr>
        <w:t xml:space="preserve">SOA reports that approximately: </w:t>
      </w:r>
    </w:p>
    <w:p w:rsidR="00B15BC8" w:rsidRPr="00BC4B09" w:rsidP="00B15BC8" w14:paraId="259012C5" w14:textId="77777777">
      <w:pPr>
        <w:pStyle w:val="ParaNum"/>
        <w:numPr>
          <w:ilvl w:val="0"/>
          <w:numId w:val="7"/>
        </w:numPr>
        <w:rPr>
          <w:szCs w:val="22"/>
        </w:rPr>
      </w:pPr>
      <w:r>
        <w:rPr>
          <w:szCs w:val="22"/>
        </w:rPr>
        <w:t>91</w:t>
      </w:r>
      <w:r w:rsidRPr="00BC4B09">
        <w:rPr>
          <w:szCs w:val="22"/>
        </w:rPr>
        <w:t xml:space="preserve"> of its analog TV translator stations have already been converted to digital </w:t>
      </w:r>
      <w:r>
        <w:rPr>
          <w:szCs w:val="22"/>
        </w:rPr>
        <w:t>or</w:t>
      </w:r>
      <w:r w:rsidRPr="00BC4B09">
        <w:rPr>
          <w:szCs w:val="22"/>
        </w:rPr>
        <w:t xml:space="preserve"> have digital equipment on site and are poised to convert to digital by the digital transition deadline.</w:t>
      </w:r>
      <w:r>
        <w:rPr>
          <w:rStyle w:val="FootnoteReference"/>
          <w:sz w:val="22"/>
          <w:szCs w:val="22"/>
        </w:rPr>
        <w:footnoteReference w:id="27"/>
      </w:r>
      <w:r w:rsidRPr="00BC4B09">
        <w:rPr>
          <w:szCs w:val="22"/>
        </w:rPr>
        <w:t xml:space="preserve"> </w:t>
      </w:r>
    </w:p>
    <w:p w:rsidR="00B15BC8" w:rsidRPr="00DB62B1" w:rsidP="00B15BC8" w14:paraId="232CC61E" w14:textId="77777777">
      <w:pPr>
        <w:pStyle w:val="ParaNum"/>
        <w:widowControl/>
        <w:numPr>
          <w:ilvl w:val="0"/>
          <w:numId w:val="7"/>
        </w:numPr>
        <w:rPr>
          <w:szCs w:val="22"/>
        </w:rPr>
      </w:pPr>
      <w:r w:rsidRPr="00BC4B09">
        <w:rPr>
          <w:szCs w:val="22"/>
        </w:rPr>
        <w:t>74 analog TV translator stations were never earmarked for digital conversion</w:t>
      </w:r>
      <w:r>
        <w:rPr>
          <w:szCs w:val="22"/>
        </w:rPr>
        <w:t xml:space="preserve">, </w:t>
      </w:r>
      <w:r w:rsidRPr="00BC4B09">
        <w:rPr>
          <w:szCs w:val="22"/>
        </w:rPr>
        <w:t xml:space="preserve">do not have digital </w:t>
      </w:r>
      <w:r>
        <w:rPr>
          <w:szCs w:val="22"/>
        </w:rPr>
        <w:t xml:space="preserve">construction </w:t>
      </w:r>
      <w:r w:rsidRPr="00BC4B09">
        <w:rPr>
          <w:szCs w:val="22"/>
        </w:rPr>
        <w:t>permits</w:t>
      </w:r>
      <w:r>
        <w:rPr>
          <w:szCs w:val="22"/>
        </w:rPr>
        <w:t>, and SOA does not plan to convert them to digital</w:t>
      </w:r>
      <w:r w:rsidRPr="00BC4B09">
        <w:rPr>
          <w:szCs w:val="22"/>
        </w:rPr>
        <w:t>.</w:t>
      </w:r>
      <w:r>
        <w:rPr>
          <w:rStyle w:val="FootnoteReference"/>
          <w:sz w:val="22"/>
          <w:szCs w:val="22"/>
        </w:rPr>
        <w:footnoteReference w:id="28"/>
      </w:r>
      <w:r w:rsidRPr="00BC4B09">
        <w:rPr>
          <w:szCs w:val="22"/>
        </w:rPr>
        <w:t xml:space="preserve"> </w:t>
      </w:r>
      <w:r>
        <w:rPr>
          <w:szCs w:val="22"/>
        </w:rPr>
        <w:t xml:space="preserve"> While SOA has not confirmed the operational status of all of these stations, most are silent and the remaining operating stations will </w:t>
      </w:r>
      <w:r w:rsidRPr="00BC4B09">
        <w:rPr>
          <w:szCs w:val="22"/>
        </w:rPr>
        <w:t>continue operating</w:t>
      </w:r>
      <w:r>
        <w:rPr>
          <w:szCs w:val="22"/>
        </w:rPr>
        <w:t xml:space="preserve"> </w:t>
      </w:r>
      <w:r w:rsidRPr="00BC4B09">
        <w:rPr>
          <w:szCs w:val="22"/>
        </w:rPr>
        <w:t xml:space="preserve">until the analog </w:t>
      </w:r>
      <w:r w:rsidRPr="00DB62B1">
        <w:rPr>
          <w:szCs w:val="22"/>
        </w:rPr>
        <w:t xml:space="preserve">termination deadline at </w:t>
      </w:r>
      <w:r w:rsidRPr="00DB62B1">
        <w:rPr>
          <w:szCs w:val="22"/>
        </w:rPr>
        <w:t xml:space="preserve">which time they will cease operations.  </w:t>
      </w:r>
      <w:r w:rsidRPr="001A6749">
        <w:rPr>
          <w:szCs w:val="22"/>
        </w:rPr>
        <w:t xml:space="preserve">SOA plans to allow </w:t>
      </w:r>
      <w:r w:rsidRPr="001A6749">
        <w:rPr>
          <w:szCs w:val="22"/>
        </w:rPr>
        <w:t>all of</w:t>
      </w:r>
      <w:r w:rsidRPr="001A6749">
        <w:rPr>
          <w:szCs w:val="22"/>
        </w:rPr>
        <w:t xml:space="preserve"> these stations</w:t>
      </w:r>
      <w:r>
        <w:rPr>
          <w:szCs w:val="22"/>
        </w:rPr>
        <w:t>’</w:t>
      </w:r>
      <w:r w:rsidRPr="001A6749">
        <w:rPr>
          <w:szCs w:val="22"/>
        </w:rPr>
        <w:t xml:space="preserve"> licenses to automatically be cancelled after 11:59 </w:t>
      </w:r>
      <w:r w:rsidRPr="00AE243E">
        <w:rPr>
          <w:szCs w:val="22"/>
        </w:rPr>
        <w:t>pm on July 13, 2021.</w:t>
      </w:r>
      <w:r>
        <w:rPr>
          <w:rStyle w:val="FootnoteReference"/>
          <w:sz w:val="22"/>
          <w:szCs w:val="22"/>
        </w:rPr>
        <w:footnoteReference w:id="29"/>
      </w:r>
      <w:r>
        <w:rPr>
          <w:szCs w:val="22"/>
        </w:rPr>
        <w:t xml:space="preserve"> </w:t>
      </w:r>
    </w:p>
    <w:p w:rsidR="00B15BC8" w:rsidRPr="00DB62B1" w:rsidP="00B15BC8" w14:paraId="07B9295F" w14:textId="77777777">
      <w:pPr>
        <w:pStyle w:val="ParaNum"/>
        <w:numPr>
          <w:ilvl w:val="0"/>
          <w:numId w:val="7"/>
        </w:numPr>
        <w:rPr>
          <w:szCs w:val="22"/>
        </w:rPr>
      </w:pPr>
      <w:r w:rsidRPr="00DB62B1">
        <w:rPr>
          <w:szCs w:val="22"/>
        </w:rPr>
        <w:t xml:space="preserve">78 </w:t>
      </w:r>
      <w:r w:rsidRPr="00BC4B09">
        <w:rPr>
          <w:szCs w:val="22"/>
        </w:rPr>
        <w:t>analog TV translator stations, which includes the Stations</w:t>
      </w:r>
      <w:r>
        <w:rPr>
          <w:szCs w:val="22"/>
        </w:rPr>
        <w:t xml:space="preserve"> at issue here</w:t>
      </w:r>
      <w:r w:rsidRPr="00BC4B09">
        <w:rPr>
          <w:szCs w:val="22"/>
        </w:rPr>
        <w:t>, were earmarked for digital conversion, but none have receive</w:t>
      </w:r>
      <w:r>
        <w:rPr>
          <w:szCs w:val="22"/>
        </w:rPr>
        <w:t>d</w:t>
      </w:r>
      <w:r w:rsidRPr="00BC4B09">
        <w:rPr>
          <w:szCs w:val="22"/>
        </w:rPr>
        <w:t xml:space="preserve"> digital equipment to </w:t>
      </w:r>
      <w:r>
        <w:rPr>
          <w:szCs w:val="22"/>
        </w:rPr>
        <w:t xml:space="preserve">date to </w:t>
      </w:r>
      <w:r w:rsidRPr="00BC4B09">
        <w:rPr>
          <w:szCs w:val="22"/>
        </w:rPr>
        <w:t>complete their conversion.</w:t>
      </w:r>
      <w:r>
        <w:rPr>
          <w:rStyle w:val="FootnoteReference"/>
          <w:sz w:val="22"/>
          <w:szCs w:val="22"/>
        </w:rPr>
        <w:footnoteReference w:id="30"/>
      </w:r>
      <w:r w:rsidRPr="00BC4B09">
        <w:rPr>
          <w:szCs w:val="22"/>
        </w:rPr>
        <w:t xml:space="preserve">  Of those </w:t>
      </w:r>
      <w:r>
        <w:rPr>
          <w:szCs w:val="22"/>
        </w:rPr>
        <w:t xml:space="preserve">78 stations, </w:t>
      </w:r>
      <w:r w:rsidRPr="00BC4B09">
        <w:rPr>
          <w:szCs w:val="22"/>
        </w:rPr>
        <w:t xml:space="preserve">15 are operational (i.e. the Stations </w:t>
      </w:r>
      <w:r>
        <w:rPr>
          <w:szCs w:val="22"/>
        </w:rPr>
        <w:t>that are the subject of this Order</w:t>
      </w:r>
      <w:r w:rsidRPr="00BC4B09">
        <w:rPr>
          <w:szCs w:val="22"/>
        </w:rPr>
        <w:t>)</w:t>
      </w:r>
      <w:r>
        <w:rPr>
          <w:szCs w:val="22"/>
        </w:rPr>
        <w:t>.</w:t>
      </w:r>
      <w:r>
        <w:rPr>
          <w:rStyle w:val="FootnoteReference"/>
          <w:sz w:val="22"/>
          <w:szCs w:val="22"/>
        </w:rPr>
        <w:footnoteReference w:id="31"/>
      </w:r>
      <w:r w:rsidRPr="00BC4B09">
        <w:rPr>
          <w:szCs w:val="22"/>
        </w:rPr>
        <w:t xml:space="preserve">  </w:t>
      </w:r>
      <w:r w:rsidRPr="00DB62B1">
        <w:rPr>
          <w:szCs w:val="22"/>
        </w:rPr>
        <w:t xml:space="preserve"> </w:t>
      </w:r>
    </w:p>
    <w:p w:rsidR="00B15BC8" w:rsidRPr="00BC4B09" w:rsidP="00B15BC8" w14:paraId="6574C507" w14:textId="77777777">
      <w:pPr>
        <w:pStyle w:val="ParaNum"/>
        <w:rPr>
          <w:szCs w:val="22"/>
        </w:rPr>
      </w:pPr>
      <w:r w:rsidRPr="00BC4B09">
        <w:rPr>
          <w:szCs w:val="22"/>
        </w:rPr>
        <w:t>SOA states that</w:t>
      </w:r>
      <w:r>
        <w:rPr>
          <w:szCs w:val="22"/>
        </w:rPr>
        <w:t xml:space="preserve"> the Station’s facilities </w:t>
      </w:r>
      <w:r w:rsidRPr="00BC4B09">
        <w:rPr>
          <w:szCs w:val="22"/>
        </w:rPr>
        <w:t>are located at sites where conditions make them more difficult to deploy and/or make operational.</w:t>
      </w:r>
      <w:r>
        <w:rPr>
          <w:rStyle w:val="FootnoteReference"/>
          <w:sz w:val="22"/>
          <w:szCs w:val="22"/>
        </w:rPr>
        <w:footnoteReference w:id="32"/>
      </w:r>
      <w:r w:rsidRPr="00BC4B09">
        <w:rPr>
          <w:szCs w:val="22"/>
        </w:rPr>
        <w:t xml:space="preserve">  For example, SOA states that, after more than thirty years of service, many of the stations, particularly the remote sites, have equipment that has become degraded by long exposure to extreme conditions.</w:t>
      </w:r>
      <w:r>
        <w:rPr>
          <w:rStyle w:val="FootnoteReference"/>
          <w:sz w:val="22"/>
          <w:szCs w:val="22"/>
        </w:rPr>
        <w:footnoteReference w:id="33"/>
      </w:r>
      <w:r w:rsidRPr="00BC4B09">
        <w:rPr>
          <w:szCs w:val="22"/>
        </w:rPr>
        <w:t xml:space="preserve">  </w:t>
      </w:r>
      <w:r>
        <w:rPr>
          <w:szCs w:val="22"/>
        </w:rPr>
        <w:t>M</w:t>
      </w:r>
      <w:r w:rsidRPr="00BC4B09">
        <w:rPr>
          <w:szCs w:val="22"/>
        </w:rPr>
        <w:t>any are suffering the effects of vandalism, corrosion, high</w:t>
      </w:r>
      <w:r>
        <w:rPr>
          <w:szCs w:val="22"/>
        </w:rPr>
        <w:t>-</w:t>
      </w:r>
      <w:r w:rsidRPr="00BC4B09">
        <w:rPr>
          <w:szCs w:val="22"/>
        </w:rPr>
        <w:t>wind damage, and shifting foundation</w:t>
      </w:r>
      <w:r>
        <w:rPr>
          <w:szCs w:val="22"/>
        </w:rPr>
        <w:t>s</w:t>
      </w:r>
      <w:r w:rsidRPr="00BC4B09">
        <w:rPr>
          <w:szCs w:val="22"/>
        </w:rPr>
        <w:t xml:space="preserve"> from freeze/thaw cycles.</w:t>
      </w:r>
      <w:r>
        <w:rPr>
          <w:rStyle w:val="FootnoteReference"/>
          <w:sz w:val="22"/>
          <w:szCs w:val="22"/>
        </w:rPr>
        <w:footnoteReference w:id="34"/>
      </w:r>
      <w:r w:rsidRPr="00BC4B09">
        <w:rPr>
          <w:szCs w:val="22"/>
        </w:rPr>
        <w:t xml:space="preserve">  Many sites no longer have local support for housing, power, and operational maintenance.  SOA maintains that these issues require that digital upgrades at many sites will require more than just a digital transmitter to replace the old analog transmitter and additional infrastructure repairs and operational establishment will be necessary.</w:t>
      </w:r>
      <w:r>
        <w:rPr>
          <w:rStyle w:val="FootnoteReference"/>
          <w:sz w:val="22"/>
          <w:szCs w:val="22"/>
        </w:rPr>
        <w:footnoteReference w:id="35"/>
      </w:r>
      <w:r w:rsidRPr="00BC4B09">
        <w:rPr>
          <w:szCs w:val="22"/>
        </w:rPr>
        <w:t xml:space="preserve">  SOA </w:t>
      </w:r>
      <w:r>
        <w:rPr>
          <w:szCs w:val="22"/>
        </w:rPr>
        <w:t xml:space="preserve">also </w:t>
      </w:r>
      <w:r w:rsidRPr="00BC4B09">
        <w:rPr>
          <w:szCs w:val="22"/>
        </w:rPr>
        <w:t>cites to the fact that most of these communities are not connected to Alaska’s very limited road system and most of these communities consist of fewer than 300 residents.</w:t>
      </w:r>
      <w:r>
        <w:rPr>
          <w:rStyle w:val="FootnoteReference"/>
          <w:sz w:val="22"/>
          <w:szCs w:val="22"/>
        </w:rPr>
        <w:footnoteReference w:id="36"/>
      </w:r>
      <w:r w:rsidRPr="00BC4B09">
        <w:rPr>
          <w:szCs w:val="22"/>
        </w:rPr>
        <w:t xml:space="preserve">  These facts are exacerbated by Alaska’s climate and short construction period</w:t>
      </w:r>
      <w:r>
        <w:rPr>
          <w:szCs w:val="22"/>
        </w:rPr>
        <w:t>,</w:t>
      </w:r>
      <w:r w:rsidRPr="00BC4B09">
        <w:rPr>
          <w:szCs w:val="22"/>
        </w:rPr>
        <w:t xml:space="preserve"> </w:t>
      </w:r>
      <w:r>
        <w:rPr>
          <w:szCs w:val="22"/>
        </w:rPr>
        <w:t>which</w:t>
      </w:r>
      <w:r w:rsidRPr="00BC4B09">
        <w:rPr>
          <w:szCs w:val="22"/>
        </w:rPr>
        <w:t xml:space="preserve"> generally only lasts</w:t>
      </w:r>
      <w:r>
        <w:rPr>
          <w:szCs w:val="22"/>
        </w:rPr>
        <w:t xml:space="preserve"> for 12 weeks</w:t>
      </w:r>
      <w:r w:rsidRPr="00BC4B09">
        <w:rPr>
          <w:szCs w:val="22"/>
        </w:rPr>
        <w:t xml:space="preserve"> from June through August</w:t>
      </w:r>
      <w:r w:rsidRPr="009502CF">
        <w:rPr>
          <w:szCs w:val="22"/>
        </w:rPr>
        <w:t xml:space="preserve">.  </w:t>
      </w:r>
      <w:r w:rsidRPr="00BC4B09">
        <w:rPr>
          <w:szCs w:val="22"/>
        </w:rPr>
        <w:t xml:space="preserve">Taken together, these </w:t>
      </w:r>
      <w:r>
        <w:rPr>
          <w:szCs w:val="22"/>
        </w:rPr>
        <w:t>circumstances</w:t>
      </w:r>
      <w:r w:rsidRPr="00BC4B09">
        <w:rPr>
          <w:szCs w:val="22"/>
        </w:rPr>
        <w:t xml:space="preserve"> make construction of new digital facilities very challenging and adds layers of difficulty not faced by other LPTV/TV translator licensees.</w:t>
      </w:r>
      <w:r>
        <w:rPr>
          <w:rStyle w:val="FootnoteReference"/>
          <w:szCs w:val="22"/>
        </w:rPr>
        <w:footnoteReference w:id="37"/>
      </w:r>
    </w:p>
    <w:p w:rsidR="00B15BC8" w:rsidRPr="00BC4B09" w:rsidP="00B15BC8" w14:paraId="4BB77B21" w14:textId="77777777">
      <w:pPr>
        <w:pStyle w:val="ParaNum"/>
        <w:rPr>
          <w:szCs w:val="22"/>
        </w:rPr>
      </w:pPr>
      <w:r w:rsidRPr="00BC4B09">
        <w:rPr>
          <w:i/>
          <w:iCs/>
          <w:szCs w:val="22"/>
        </w:rPr>
        <w:t xml:space="preserve">Waiver Request.  </w:t>
      </w:r>
      <w:r w:rsidRPr="00BC4B09">
        <w:rPr>
          <w:szCs w:val="22"/>
        </w:rPr>
        <w:t>SOA contends that good cause exists for waiver of the analog termination deadline for its 15 analog TV translator stations that are currently operational and will not be able to complete their digital conversion by the digital transition deadline.</w:t>
      </w:r>
      <w:r>
        <w:rPr>
          <w:rStyle w:val="FootnoteReference"/>
          <w:sz w:val="22"/>
          <w:szCs w:val="22"/>
        </w:rPr>
        <w:footnoteReference w:id="38"/>
      </w:r>
      <w:r w:rsidRPr="00BC4B09">
        <w:rPr>
          <w:szCs w:val="22"/>
        </w:rPr>
        <w:t xml:space="preserve">  SOA asserts there are considerations of hardship, equity, and effective implementation of the underlying policy rationale for the digital transition</w:t>
      </w:r>
      <w:r>
        <w:rPr>
          <w:szCs w:val="22"/>
        </w:rPr>
        <w:t xml:space="preserve"> that justify the instant waiver request</w:t>
      </w:r>
      <w:r w:rsidRPr="00BC4B09">
        <w:rPr>
          <w:szCs w:val="22"/>
        </w:rPr>
        <w:t>.</w:t>
      </w:r>
      <w:r>
        <w:rPr>
          <w:rStyle w:val="FootnoteReference"/>
          <w:sz w:val="22"/>
          <w:szCs w:val="22"/>
        </w:rPr>
        <w:footnoteReference w:id="39"/>
      </w:r>
      <w:r w:rsidRPr="00BC4B09">
        <w:rPr>
          <w:szCs w:val="22"/>
        </w:rPr>
        <w:t xml:space="preserve">  SOA maintains that waiver will serve the public interest by maintaining the </w:t>
      </w:r>
      <w:r>
        <w:rPr>
          <w:szCs w:val="22"/>
        </w:rPr>
        <w:t>sole</w:t>
      </w:r>
      <w:r w:rsidRPr="00BC4B09">
        <w:rPr>
          <w:szCs w:val="22"/>
        </w:rPr>
        <w:t xml:space="preserve"> over-the-air broadcast television service to the remote rural and Alaskan bush communities served by these 15 operational analog stations and that the public has come to depend upon for not just enjoyment, but critical, life-saving, information.</w:t>
      </w:r>
      <w:r>
        <w:rPr>
          <w:rStyle w:val="FootnoteReference"/>
          <w:sz w:val="22"/>
          <w:szCs w:val="22"/>
        </w:rPr>
        <w:footnoteReference w:id="40"/>
      </w:r>
      <w:r w:rsidRPr="00BC4B09">
        <w:rPr>
          <w:szCs w:val="22"/>
        </w:rPr>
        <w:t xml:space="preserve">  Moreover, SOA argues, the waiver will not harm other broadcasters or users of the TV spectrum or defer the analog termination deadline for other analog TV translators. </w:t>
      </w:r>
      <w:r>
        <w:rPr>
          <w:szCs w:val="22"/>
        </w:rPr>
        <w:t xml:space="preserve"> </w:t>
      </w:r>
      <w:r w:rsidRPr="00BC4B09">
        <w:rPr>
          <w:szCs w:val="22"/>
        </w:rPr>
        <w:t>SOA maintains</w:t>
      </w:r>
      <w:r>
        <w:rPr>
          <w:szCs w:val="22"/>
        </w:rPr>
        <w:t xml:space="preserve"> such relief is necessary because </w:t>
      </w:r>
      <w:r w:rsidRPr="00BC4B09">
        <w:rPr>
          <w:szCs w:val="22"/>
        </w:rPr>
        <w:t>these highly remote, rural, bush communities in Alaska depend on SOA’s stations as their only over</w:t>
      </w:r>
      <w:r>
        <w:rPr>
          <w:szCs w:val="22"/>
        </w:rPr>
        <w:t>-</w:t>
      </w:r>
      <w:r w:rsidRPr="00BC4B09">
        <w:rPr>
          <w:szCs w:val="22"/>
        </w:rPr>
        <w:t>the</w:t>
      </w:r>
      <w:r>
        <w:rPr>
          <w:szCs w:val="22"/>
        </w:rPr>
        <w:t>-</w:t>
      </w:r>
      <w:r w:rsidRPr="00BC4B09">
        <w:rPr>
          <w:szCs w:val="22"/>
        </w:rPr>
        <w:t xml:space="preserve">air broadcast television </w:t>
      </w:r>
      <w:r w:rsidRPr="00BC4B09">
        <w:rPr>
          <w:szCs w:val="22"/>
        </w:rPr>
        <w:t xml:space="preserve">service.  SOA states that the purpose of this waiver is to continue existing broadcast </w:t>
      </w:r>
      <w:r>
        <w:rPr>
          <w:szCs w:val="22"/>
        </w:rPr>
        <w:t xml:space="preserve">television </w:t>
      </w:r>
      <w:r w:rsidRPr="00BC4B09">
        <w:rPr>
          <w:szCs w:val="22"/>
        </w:rPr>
        <w:t>service to these remote areas until the time that the digital transition can be implemented at these difficult to reach station sites which are often only accessible for</w:t>
      </w:r>
      <w:r>
        <w:rPr>
          <w:szCs w:val="22"/>
        </w:rPr>
        <w:t xml:space="preserve"> extremely</w:t>
      </w:r>
      <w:r w:rsidRPr="00BC4B09">
        <w:rPr>
          <w:szCs w:val="22"/>
        </w:rPr>
        <w:t xml:space="preserve"> limited portions of the year and </w:t>
      </w:r>
      <w:r>
        <w:rPr>
          <w:szCs w:val="22"/>
        </w:rPr>
        <w:t xml:space="preserve">in some cases only </w:t>
      </w:r>
      <w:r w:rsidRPr="00BC4B09">
        <w:rPr>
          <w:szCs w:val="22"/>
        </w:rPr>
        <w:t>by air.</w:t>
      </w:r>
      <w:r>
        <w:rPr>
          <w:rStyle w:val="FootnoteReference"/>
          <w:sz w:val="22"/>
          <w:szCs w:val="22"/>
        </w:rPr>
        <w:footnoteReference w:id="41"/>
      </w:r>
    </w:p>
    <w:p w:rsidR="00B15BC8" w:rsidRPr="00BC4B09" w:rsidP="00B15BC8" w14:paraId="58FB75CE" w14:textId="77777777">
      <w:pPr>
        <w:pStyle w:val="ParaNum"/>
        <w:rPr>
          <w:szCs w:val="22"/>
        </w:rPr>
      </w:pPr>
      <w:r w:rsidRPr="00BC4B09">
        <w:rPr>
          <w:szCs w:val="22"/>
        </w:rPr>
        <w:t>SOA continues that the public interest would be served by waiving the analog termination deadline because, absent a waiver, these rural and remote populations would lose their only over the air broadcast service as of July 13, 2021.</w:t>
      </w:r>
      <w:r>
        <w:rPr>
          <w:rStyle w:val="FootnoteReference"/>
          <w:sz w:val="22"/>
          <w:szCs w:val="22"/>
        </w:rPr>
        <w:footnoteReference w:id="42"/>
      </w:r>
      <w:r w:rsidRPr="00BC4B09">
        <w:rPr>
          <w:szCs w:val="22"/>
        </w:rPr>
        <w:t xml:space="preserve">  Although SOA recognizes that the Commission had sound public</w:t>
      </w:r>
      <w:r>
        <w:rPr>
          <w:szCs w:val="22"/>
        </w:rPr>
        <w:t xml:space="preserve"> </w:t>
      </w:r>
      <w:r w:rsidRPr="00BC4B09">
        <w:rPr>
          <w:szCs w:val="22"/>
        </w:rPr>
        <w:t xml:space="preserve">policy reasons for setting the digital transition deadline for July 13, 2021, </w:t>
      </w:r>
      <w:r>
        <w:rPr>
          <w:szCs w:val="22"/>
        </w:rPr>
        <w:t>it</w:t>
      </w:r>
      <w:r w:rsidRPr="00BC4B09">
        <w:rPr>
          <w:szCs w:val="22"/>
        </w:rPr>
        <w:t xml:space="preserve"> believes that those public policy rationales would be subverted </w:t>
      </w:r>
      <w:r>
        <w:rPr>
          <w:szCs w:val="22"/>
        </w:rPr>
        <w:t>by requiring the</w:t>
      </w:r>
      <w:r w:rsidRPr="00BC4B09">
        <w:rPr>
          <w:szCs w:val="22"/>
        </w:rPr>
        <w:t xml:space="preserve"> Stations </w:t>
      </w:r>
      <w:r>
        <w:rPr>
          <w:szCs w:val="22"/>
        </w:rPr>
        <w:t xml:space="preserve">to cease analog operation given their </w:t>
      </w:r>
      <w:r w:rsidRPr="00BC4B09">
        <w:rPr>
          <w:szCs w:val="22"/>
        </w:rPr>
        <w:t>situation.</w:t>
      </w:r>
      <w:r>
        <w:rPr>
          <w:rStyle w:val="FootnoteReference"/>
          <w:sz w:val="22"/>
          <w:szCs w:val="22"/>
        </w:rPr>
        <w:footnoteReference w:id="43"/>
      </w:r>
      <w:r w:rsidRPr="00BC4B09">
        <w:rPr>
          <w:szCs w:val="22"/>
        </w:rPr>
        <w:t xml:space="preserve">  Instead of realizing the benefits of digital broadcast service and despite SOA’s efforts to convert these stations to digital</w:t>
      </w:r>
      <w:r>
        <w:rPr>
          <w:szCs w:val="22"/>
        </w:rPr>
        <w:t xml:space="preserve">, </w:t>
      </w:r>
      <w:r w:rsidRPr="00BC4B09">
        <w:rPr>
          <w:szCs w:val="22"/>
        </w:rPr>
        <w:t>SOA notes that these communities would be left with no broadcast television service at all.</w:t>
      </w:r>
      <w:r>
        <w:rPr>
          <w:rStyle w:val="FootnoteReference"/>
          <w:sz w:val="22"/>
          <w:szCs w:val="22"/>
        </w:rPr>
        <w:footnoteReference w:id="44"/>
      </w:r>
      <w:r w:rsidRPr="00BC4B09">
        <w:rPr>
          <w:szCs w:val="22"/>
        </w:rPr>
        <w:t xml:space="preserve">  Therefore, SOA concludes, waiver of the analog termination deadline would permit continuation of broadcast service to citizens of the United States that have no other local broadcast television stations, no broadband connections, and in many instances, no roads to or from their communities.</w:t>
      </w:r>
      <w:r>
        <w:rPr>
          <w:rStyle w:val="FootnoteReference"/>
          <w:sz w:val="22"/>
          <w:szCs w:val="22"/>
        </w:rPr>
        <w:footnoteReference w:id="45"/>
      </w:r>
      <w:r w:rsidRPr="00BC4B09">
        <w:rPr>
          <w:szCs w:val="22"/>
        </w:rPr>
        <w:t xml:space="preserve"> </w:t>
      </w:r>
    </w:p>
    <w:p w:rsidR="00B15BC8" w:rsidRPr="00BC4B09" w:rsidP="00B15BC8" w14:paraId="41E3515A" w14:textId="77777777">
      <w:pPr>
        <w:pStyle w:val="Heading1"/>
        <w:keepNext w:val="0"/>
        <w:suppressAutoHyphens w:val="0"/>
        <w:rPr>
          <w:rFonts w:ascii="Times New Roman" w:hAnsi="Times New Roman"/>
          <w:szCs w:val="22"/>
        </w:rPr>
      </w:pPr>
      <w:bookmarkStart w:id="30" w:name="_Toc385603538"/>
      <w:bookmarkStart w:id="31" w:name="_Toc383005295"/>
      <w:bookmarkStart w:id="32" w:name="_Toc383005865"/>
      <w:bookmarkStart w:id="33" w:name="_Toc383072983"/>
      <w:bookmarkStart w:id="34" w:name="_Toc384134760"/>
      <w:bookmarkStart w:id="35" w:name="_Toc384135308"/>
      <w:bookmarkStart w:id="36" w:name="_Toc385340269"/>
      <w:bookmarkStart w:id="37" w:name="_Toc385340388"/>
      <w:bookmarkStart w:id="38" w:name="_Toc385340646"/>
      <w:bookmarkStart w:id="39" w:name="_Toc385346391"/>
      <w:bookmarkStart w:id="40" w:name="_Toc385516229"/>
      <w:bookmarkStart w:id="41" w:name="_Toc385603539"/>
      <w:bookmarkStart w:id="42" w:name="_Toc387858298"/>
      <w:bookmarkStart w:id="43" w:name="_Toc388962632"/>
      <w:bookmarkStart w:id="44" w:name="_Toc388975441"/>
      <w:bookmarkEnd w:id="30"/>
      <w:r w:rsidRPr="00BC4B09">
        <w:rPr>
          <w:rFonts w:ascii="Times New Roman" w:hAnsi="Times New Roman"/>
          <w:szCs w:val="22"/>
        </w:rPr>
        <w:t>DISCUSSION</w:t>
      </w:r>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B15BC8" w:rsidRPr="00BC4B09" w:rsidP="00B15BC8" w14:paraId="48B4CAA7" w14:textId="77777777">
      <w:pPr>
        <w:pStyle w:val="ParaNum"/>
        <w:rPr>
          <w:szCs w:val="22"/>
        </w:rPr>
      </w:pPr>
      <w:bookmarkStart w:id="45" w:name="_Toc313637846"/>
      <w:bookmarkStart w:id="46" w:name="_Toc313638351"/>
      <w:bookmarkStart w:id="47" w:name="_Toc313880987"/>
      <w:bookmarkStart w:id="48" w:name="_Toc316992332"/>
      <w:bookmarkStart w:id="49" w:name="_Toc316999270"/>
      <w:bookmarkStart w:id="50" w:name="_Toc317002636"/>
      <w:bookmarkStart w:id="51" w:name="_Toc317161354"/>
      <w:bookmarkStart w:id="52" w:name="_Toc317164443"/>
      <w:bookmarkStart w:id="53" w:name="_Toc317168540"/>
      <w:bookmarkStart w:id="54" w:name="_Toc317174547"/>
      <w:bookmarkStart w:id="55" w:name="_Toc317240086"/>
      <w:bookmarkStart w:id="56" w:name="_Toc317240510"/>
      <w:bookmarkStart w:id="57" w:name="_Toc248739649"/>
      <w:bookmarkStart w:id="58" w:name="_Toc248740840"/>
      <w:bookmarkStart w:id="59" w:name="_Toc248803150"/>
      <w:bookmarkStart w:id="60" w:name="_Toc248804906"/>
      <w:bookmarkStart w:id="61" w:name="_Toc248814260"/>
      <w:bookmarkStart w:id="62" w:name="_Toc248909530"/>
      <w:bookmarkStart w:id="63" w:name="_Toc259178210"/>
      <w:bookmarkStart w:id="64" w:name="_Toc259178319"/>
      <w:bookmarkStart w:id="65" w:name="_Toc259779418"/>
      <w:bookmarkStart w:id="66" w:name="_Toc260058985"/>
      <w:bookmarkStart w:id="67" w:name="_Toc260125053"/>
      <w:bookmarkStart w:id="68" w:name="_Toc260135932"/>
      <w:bookmarkStart w:id="69" w:name="_Toc260388815"/>
      <w:bookmarkStart w:id="70" w:name="_Toc260905145"/>
      <w:bookmarkStart w:id="71" w:name="_Toc261507242"/>
      <w:bookmarkStart w:id="72" w:name="_Toc261585634"/>
      <w:bookmarkStart w:id="73" w:name="_Toc262717601"/>
      <w:bookmarkStart w:id="74" w:name="_Toc263400933"/>
      <w:bookmarkStart w:id="75" w:name="_Toc263688798"/>
      <w:bookmarkStart w:id="76" w:name="_Toc312236283"/>
      <w:bookmarkStart w:id="77" w:name="_Toc312237006"/>
      <w:bookmarkStart w:id="78" w:name="_Toc312237041"/>
      <w:bookmarkStart w:id="79" w:name="_Toc313634752"/>
      <w:bookmarkStart w:id="80" w:name="_Toc313635154"/>
      <w:bookmarkStart w:id="81" w:name="_Toc313635175"/>
      <w:bookmarkStart w:id="82" w:name="_Toc313635222"/>
      <w:bookmarkStart w:id="83" w:name="_Toc313635269"/>
      <w:bookmarkStart w:id="84" w:name="_Toc313635798"/>
      <w:bookmarkStart w:id="85" w:name="_Toc313635864"/>
      <w:bookmarkStart w:id="86" w:name="_Toc313636646"/>
      <w:bookmarkStart w:id="87" w:name="_Toc313637349"/>
      <w:bookmarkStart w:id="88" w:name="_Toc313637861"/>
      <w:bookmarkStart w:id="89" w:name="_Toc313638366"/>
      <w:bookmarkStart w:id="90" w:name="_Toc313881004"/>
      <w:bookmarkStart w:id="91" w:name="_Toc314216648"/>
      <w:bookmarkStart w:id="92" w:name="_Toc314216884"/>
      <w:bookmarkStart w:id="93" w:name="_Toc314218141"/>
      <w:bookmarkStart w:id="94" w:name="_Toc314228881"/>
      <w:bookmarkStart w:id="95" w:name="_Toc314229198"/>
      <w:bookmarkStart w:id="96" w:name="_Toc314234433"/>
      <w:bookmarkStart w:id="97" w:name="_Toc314234888"/>
      <w:bookmarkStart w:id="98" w:name="_Toc314236019"/>
      <w:bookmarkStart w:id="99" w:name="_Toc314238383"/>
      <w:bookmarkStart w:id="100" w:name="_Toc315344706"/>
      <w:bookmarkStart w:id="101" w:name="_Toc315349201"/>
      <w:bookmarkStart w:id="102" w:name="_Toc315349306"/>
      <w:bookmarkStart w:id="103" w:name="_Toc315349728"/>
      <w:bookmarkStart w:id="104" w:name="_Toc315351124"/>
      <w:bookmarkStart w:id="105" w:name="_Toc315352210"/>
      <w:bookmarkStart w:id="106" w:name="_Toc315443567"/>
      <w:bookmarkStart w:id="107" w:name="_Toc316030675"/>
      <w:bookmarkStart w:id="108" w:name="_Toc316032520"/>
      <w:bookmarkStart w:id="109" w:name="_Toc316033717"/>
      <w:bookmarkStart w:id="110" w:name="_Toc316037005"/>
      <w:bookmarkStart w:id="111" w:name="_Toc316037270"/>
      <w:bookmarkStart w:id="112" w:name="_Toc316038304"/>
      <w:bookmarkStart w:id="113" w:name="_Toc316038496"/>
      <w:bookmarkStart w:id="114" w:name="_Toc316038588"/>
      <w:bookmarkStart w:id="115" w:name="_Toc316041933"/>
      <w:bookmarkStart w:id="116" w:name="_Toc316043797"/>
      <w:bookmarkStart w:id="117" w:name="_Toc316059852"/>
      <w:bookmarkStart w:id="118" w:name="_Toc316060987"/>
      <w:bookmarkStart w:id="119" w:name="_Toc316392578"/>
      <w:bookmarkStart w:id="120" w:name="_Toc316393293"/>
      <w:bookmarkStart w:id="121" w:name="_Toc316393462"/>
      <w:bookmarkStart w:id="122" w:name="_Toc316394260"/>
      <w:bookmarkStart w:id="123" w:name="_Toc316396247"/>
      <w:bookmarkStart w:id="124" w:name="_Toc316987389"/>
      <w:bookmarkStart w:id="125" w:name="_Toc316987948"/>
      <w:bookmarkStart w:id="126" w:name="_Toc316992336"/>
      <w:bookmarkStart w:id="127" w:name="_Toc316999274"/>
      <w:bookmarkStart w:id="128" w:name="_Toc317002640"/>
      <w:bookmarkStart w:id="129" w:name="_Toc331429669"/>
      <w:bookmarkStart w:id="130" w:name="_Toc331690589"/>
      <w:bookmarkStart w:id="131" w:name="_Toc330388149"/>
      <w:bookmarkStart w:id="132" w:name="_Toc330388410"/>
      <w:bookmarkStart w:id="133" w:name="_Toc330390655"/>
      <w:bookmarkStart w:id="134" w:name="_Toc330391412"/>
      <w:bookmarkStart w:id="135" w:name="_Toc330391792"/>
      <w:bookmarkStart w:id="136" w:name="_Toc333476895"/>
      <w:bookmarkStart w:id="137" w:name="_Toc333477028"/>
      <w:bookmarkStart w:id="138" w:name="_Toc333477369"/>
      <w:r w:rsidRPr="00BC4B09">
        <w:rPr>
          <w:snapToGrid/>
          <w:kern w:val="0"/>
          <w:szCs w:val="22"/>
        </w:rPr>
        <w:t>We grant SOA’s waiver request and permit the Stations to continue operating in analog past the July 13, 2021 analog termination deadline until January 10, 2022.  A</w:t>
      </w:r>
      <w:r w:rsidRPr="00BC4B09">
        <w:rPr>
          <w:iCs/>
          <w:szCs w:val="22"/>
        </w:rPr>
        <w:t xml:space="preserve"> waiver of our rules is appropriate where the particular facts would make strict compliance inconsistent with the public interest and deviation from the general rule would relieve hardship, promote equity, or produce a more effective implementation of overall policy on an individual basis.</w:t>
      </w:r>
      <w:r>
        <w:rPr>
          <w:rStyle w:val="FootnoteReference"/>
          <w:sz w:val="22"/>
          <w:szCs w:val="22"/>
        </w:rPr>
        <w:footnoteReference w:id="46"/>
      </w:r>
      <w:r w:rsidRPr="00BC4B09">
        <w:rPr>
          <w:iCs/>
          <w:szCs w:val="22"/>
        </w:rPr>
        <w:t xml:space="preserve">  We find that</w:t>
      </w:r>
      <w:r>
        <w:rPr>
          <w:iCs/>
          <w:szCs w:val="22"/>
        </w:rPr>
        <w:t xml:space="preserve"> a grant of</w:t>
      </w:r>
      <w:r w:rsidRPr="00BC4B09">
        <w:rPr>
          <w:iCs/>
          <w:szCs w:val="22"/>
        </w:rPr>
        <w:t xml:space="preserve"> SOA</w:t>
      </w:r>
      <w:r w:rsidRPr="00BC4B09">
        <w:rPr>
          <w:szCs w:val="22"/>
        </w:rPr>
        <w:t>’s request for a limited waiver of section 74.731(m) of our rules</w:t>
      </w:r>
      <w:r>
        <w:rPr>
          <w:rStyle w:val="FootnoteReference"/>
          <w:sz w:val="22"/>
          <w:szCs w:val="22"/>
        </w:rPr>
        <w:footnoteReference w:id="47"/>
      </w:r>
      <w:r w:rsidRPr="00BC4B09">
        <w:rPr>
          <w:szCs w:val="22"/>
        </w:rPr>
        <w:t xml:space="preserve"> is justified due to a </w:t>
      </w:r>
      <w:r>
        <w:rPr>
          <w:szCs w:val="22"/>
        </w:rPr>
        <w:t xml:space="preserve">novel </w:t>
      </w:r>
      <w:r w:rsidRPr="00BC4B09">
        <w:rPr>
          <w:szCs w:val="22"/>
        </w:rPr>
        <w:t xml:space="preserve">set of </w:t>
      </w:r>
      <w:r>
        <w:rPr>
          <w:szCs w:val="22"/>
        </w:rPr>
        <w:t xml:space="preserve">facts and </w:t>
      </w:r>
      <w:r w:rsidRPr="00BC4B09">
        <w:rPr>
          <w:szCs w:val="22"/>
        </w:rPr>
        <w:t>circumstances that have prevented SOA from completing the digital transition for these operational analog Stations</w:t>
      </w:r>
      <w:r>
        <w:rPr>
          <w:szCs w:val="22"/>
        </w:rPr>
        <w:t xml:space="preserve"> and given the remote Alaskan communities for which these Stations are the sole source of video programming</w:t>
      </w:r>
      <w:r w:rsidRPr="00BC4B09">
        <w:rPr>
          <w:szCs w:val="22"/>
        </w:rPr>
        <w:t xml:space="preserve">.  </w:t>
      </w:r>
    </w:p>
    <w:p w:rsidR="00B15BC8" w:rsidRPr="00F738DD" w:rsidP="00E11FBE" w14:paraId="5ACF4427" w14:textId="77777777">
      <w:pPr>
        <w:pStyle w:val="ParaNum"/>
        <w:widowControl/>
        <w:rPr>
          <w:szCs w:val="22"/>
        </w:rPr>
      </w:pPr>
      <w:r>
        <w:rPr>
          <w:szCs w:val="22"/>
        </w:rPr>
        <w:t xml:space="preserve">Based on the facts presented in the waiver petition, </w:t>
      </w:r>
      <w:r w:rsidRPr="00BC4B09">
        <w:rPr>
          <w:szCs w:val="22"/>
        </w:rPr>
        <w:t>we find that allow</w:t>
      </w:r>
      <w:r>
        <w:rPr>
          <w:szCs w:val="22"/>
        </w:rPr>
        <w:t>ing</w:t>
      </w:r>
      <w:r w:rsidRPr="00BC4B09">
        <w:rPr>
          <w:szCs w:val="22"/>
        </w:rPr>
        <w:t xml:space="preserve"> the Stations to </w:t>
      </w:r>
      <w:r>
        <w:rPr>
          <w:szCs w:val="22"/>
        </w:rPr>
        <w:t>continue analog operations</w:t>
      </w:r>
      <w:r w:rsidRPr="00BC4B09">
        <w:rPr>
          <w:szCs w:val="22"/>
        </w:rPr>
        <w:t xml:space="preserve"> for a brief period of time after the July 13, 2021 analog termination deadline, while SOA completes their digital </w:t>
      </w:r>
      <w:r>
        <w:rPr>
          <w:szCs w:val="22"/>
        </w:rPr>
        <w:t>transition</w:t>
      </w:r>
      <w:r w:rsidRPr="00BC4B09">
        <w:rPr>
          <w:szCs w:val="22"/>
        </w:rPr>
        <w:t xml:space="preserve">, will provide substantial public interest benefits.  </w:t>
      </w:r>
      <w:r>
        <w:rPr>
          <w:szCs w:val="22"/>
        </w:rPr>
        <w:t xml:space="preserve">As it attempted to convert the Station’s analog facilities to digital, </w:t>
      </w:r>
      <w:r w:rsidRPr="00BC4B09">
        <w:rPr>
          <w:szCs w:val="22"/>
        </w:rPr>
        <w:t>SOA encountered construction delays that were beyond its control related to the nature of its State-wide translator network.  As noted above, the Stations’ transmitter facilities are located at some of the most remote locations in the United States</w:t>
      </w:r>
      <w:r>
        <w:rPr>
          <w:szCs w:val="22"/>
        </w:rPr>
        <w:t>,</w:t>
      </w:r>
      <w:r w:rsidRPr="00BC4B09">
        <w:rPr>
          <w:szCs w:val="22"/>
        </w:rPr>
        <w:t xml:space="preserve"> </w:t>
      </w:r>
      <w:r>
        <w:rPr>
          <w:szCs w:val="22"/>
        </w:rPr>
        <w:t>which create</w:t>
      </w:r>
      <w:r w:rsidRPr="00BC4B09">
        <w:rPr>
          <w:szCs w:val="22"/>
        </w:rPr>
        <w:t xml:space="preserve"> difficult</w:t>
      </w:r>
      <w:r>
        <w:rPr>
          <w:szCs w:val="22"/>
        </w:rPr>
        <w:t>ies in</w:t>
      </w:r>
      <w:r w:rsidRPr="00BC4B09">
        <w:rPr>
          <w:szCs w:val="22"/>
        </w:rPr>
        <w:t xml:space="preserve"> undertak</w:t>
      </w:r>
      <w:r>
        <w:rPr>
          <w:szCs w:val="22"/>
        </w:rPr>
        <w:t>ing</w:t>
      </w:r>
      <w:r w:rsidRPr="00BC4B09">
        <w:rPr>
          <w:szCs w:val="22"/>
        </w:rPr>
        <w:t xml:space="preserve"> the necessary engineering changes to prepare for digital operations. </w:t>
      </w:r>
      <w:r>
        <w:rPr>
          <w:szCs w:val="22"/>
        </w:rPr>
        <w:t xml:space="preserve"> For example, most communities where the Stations are located are not connected to Alaska’s very limited road system.  Moreover, necessary </w:t>
      </w:r>
      <w:r w:rsidRPr="00BC4B09">
        <w:rPr>
          <w:szCs w:val="22"/>
        </w:rPr>
        <w:t>tower site work can only be completed for a short window of “Alaska Summer” lasting approximately 12 weeks a year</w:t>
      </w:r>
      <w:r w:rsidRPr="00F738DD">
        <w:rPr>
          <w:szCs w:val="22"/>
        </w:rPr>
        <w:t xml:space="preserve">. </w:t>
      </w:r>
      <w:r>
        <w:rPr>
          <w:szCs w:val="22"/>
        </w:rPr>
        <w:t xml:space="preserve"> </w:t>
      </w:r>
      <w:r>
        <w:rPr>
          <w:szCs w:val="22"/>
        </w:rPr>
        <w:t>All of</w:t>
      </w:r>
      <w:r>
        <w:rPr>
          <w:szCs w:val="22"/>
        </w:rPr>
        <w:t xml:space="preserve"> these challenging circumstances, which include </w:t>
      </w:r>
      <w:r>
        <w:rPr>
          <w:szCs w:val="22"/>
        </w:rPr>
        <w:t xml:space="preserve">many beyond SOA’s control, </w:t>
      </w:r>
      <w:r w:rsidRPr="00F738DD">
        <w:rPr>
          <w:szCs w:val="22"/>
        </w:rPr>
        <w:t xml:space="preserve">have contributed to unprecedented delays in completing the Stations’ digital conversion.  </w:t>
      </w:r>
    </w:p>
    <w:p w:rsidR="00B15BC8" w:rsidRPr="00BC4B09" w:rsidP="00B15BC8" w14:paraId="5C76840D" w14:textId="77777777">
      <w:pPr>
        <w:pStyle w:val="ParaNum"/>
        <w:rPr>
          <w:szCs w:val="22"/>
        </w:rPr>
      </w:pPr>
      <w:r>
        <w:rPr>
          <w:szCs w:val="22"/>
        </w:rPr>
        <w:t>Significantly, a</w:t>
      </w:r>
      <w:r w:rsidRPr="00BC4B09">
        <w:rPr>
          <w:szCs w:val="22"/>
        </w:rPr>
        <w:t xml:space="preserve">llowing the Stations to continue to operate in analog will ensure the continued provision of local over-the-air television service to isolated, rural, and </w:t>
      </w:r>
      <w:r>
        <w:rPr>
          <w:szCs w:val="22"/>
        </w:rPr>
        <w:t xml:space="preserve">potentially </w:t>
      </w:r>
      <w:r w:rsidRPr="00BC4B09">
        <w:rPr>
          <w:szCs w:val="22"/>
        </w:rPr>
        <w:t>impoverished communities in Alaska</w:t>
      </w:r>
      <w:r>
        <w:rPr>
          <w:szCs w:val="22"/>
        </w:rPr>
        <w:t>, many of whom rely on the Stations as their sole television service</w:t>
      </w:r>
      <w:r w:rsidRPr="00BC4B09">
        <w:rPr>
          <w:szCs w:val="22"/>
        </w:rPr>
        <w:t>.  The Stations’ programming is vital to the lives of the communities they serve as they provide important news, public affairs, weather</w:t>
      </w:r>
      <w:r>
        <w:rPr>
          <w:szCs w:val="22"/>
        </w:rPr>
        <w:t>,</w:t>
      </w:r>
      <w:r w:rsidRPr="00BC4B09">
        <w:rPr>
          <w:szCs w:val="22"/>
        </w:rPr>
        <w:t xml:space="preserve"> and EAS alerts</w:t>
      </w:r>
      <w:r>
        <w:rPr>
          <w:szCs w:val="22"/>
        </w:rPr>
        <w:t>.</w:t>
      </w:r>
      <w:r>
        <w:rPr>
          <w:rStyle w:val="FootnoteReference"/>
          <w:sz w:val="22"/>
          <w:szCs w:val="22"/>
        </w:rPr>
        <w:footnoteReference w:id="48"/>
      </w:r>
      <w:r w:rsidRPr="00BC4B09">
        <w:rPr>
          <w:szCs w:val="22"/>
        </w:rPr>
        <w:t xml:space="preserve">  These isolated communities are not served by cellular telephone, broadband or cable service and because of their extreme Northern locations, are not able to reliably receive satellite service.  SOA’s State-wide network of analog TV translator stations </w:t>
      </w:r>
      <w:r>
        <w:rPr>
          <w:szCs w:val="22"/>
        </w:rPr>
        <w:t xml:space="preserve">is oftentimes </w:t>
      </w:r>
      <w:r w:rsidRPr="00BC4B09">
        <w:rPr>
          <w:szCs w:val="22"/>
        </w:rPr>
        <w:t xml:space="preserve">the </w:t>
      </w:r>
      <w:r>
        <w:rPr>
          <w:szCs w:val="22"/>
        </w:rPr>
        <w:t>only</w:t>
      </w:r>
      <w:r w:rsidRPr="00BC4B09">
        <w:rPr>
          <w:szCs w:val="22"/>
        </w:rPr>
        <w:t xml:space="preserve"> connection to the outside world for these Alaskan communities.  Therefore, grant of SOA’s waiver would relieve significant hardship caused by forcing the Stations to terminate analog operations and cutting off these remote communities from their sole source of entertainment, news, public affairs, </w:t>
      </w:r>
      <w:r>
        <w:rPr>
          <w:szCs w:val="22"/>
        </w:rPr>
        <w:t xml:space="preserve">and most importantly emergency </w:t>
      </w:r>
      <w:r w:rsidRPr="00BC4B09">
        <w:rPr>
          <w:szCs w:val="22"/>
        </w:rPr>
        <w:t xml:space="preserve">and weather information that is critically important to their daily lives and survival.   </w:t>
      </w:r>
    </w:p>
    <w:p w:rsidR="00B15BC8" w:rsidRPr="00BC4B09" w:rsidP="00B15BC8" w14:paraId="49B4D88A" w14:textId="77777777">
      <w:pPr>
        <w:pStyle w:val="ParaNum"/>
        <w:rPr>
          <w:szCs w:val="22"/>
        </w:rPr>
      </w:pPr>
      <w:r w:rsidRPr="00BC4B09">
        <w:rPr>
          <w:szCs w:val="22"/>
        </w:rPr>
        <w:t xml:space="preserve">We find that there will be little if any impact or burden on other television broadcasters or the overall LPTV digital transition by allowing a very small number of rural Alaskan LPTV/translator stations to continue to operate in analog for </w:t>
      </w:r>
      <w:r>
        <w:rPr>
          <w:szCs w:val="22"/>
        </w:rPr>
        <w:t xml:space="preserve">a </w:t>
      </w:r>
      <w:r w:rsidRPr="00BC4B09">
        <w:rPr>
          <w:szCs w:val="22"/>
        </w:rPr>
        <w:t>limited period of time.  The Stations’ continued analog operations will not prevent other Alaskan television stations from proposing new or expanded digital television service.  Because the Stations will be flash cutting to digital on their existing analog channels</w:t>
      </w:r>
      <w:r>
        <w:rPr>
          <w:szCs w:val="22"/>
        </w:rPr>
        <w:t>,</w:t>
      </w:r>
      <w:r w:rsidRPr="00BC4B09">
        <w:rPr>
          <w:szCs w:val="22"/>
        </w:rPr>
        <w:t xml:space="preserve"> and not relinquishing their analog channels and converting to a new digital companion channel, the Stations are not holding up the return of any television frequencies that could be used by other television broadcasters.  As such, we fail to find any other Alaska television broadcaster will be impacted by grant of SOA’s waiver.  </w:t>
      </w:r>
    </w:p>
    <w:p w:rsidR="00B15BC8" w:rsidRPr="00BC4B09" w:rsidP="00B15BC8" w14:paraId="39E3FC9A" w14:textId="77777777">
      <w:pPr>
        <w:pStyle w:val="ParaNum"/>
        <w:rPr>
          <w:szCs w:val="22"/>
        </w:rPr>
      </w:pPr>
      <w:r w:rsidRPr="00BC4B09">
        <w:rPr>
          <w:szCs w:val="22"/>
        </w:rPr>
        <w:t>Moreover, grant of SOA’s waiver will not harm the overall LPTV digital transition</w:t>
      </w:r>
      <w:r>
        <w:rPr>
          <w:szCs w:val="22"/>
        </w:rPr>
        <w:t xml:space="preserve"> and the underlying policy behind it</w:t>
      </w:r>
      <w:r w:rsidRPr="00BC4B09">
        <w:rPr>
          <w:szCs w:val="22"/>
        </w:rPr>
        <w:t>.  While we use this opportunity to reaffirm our finding that the July 13, 2021 “hard” analog termination deadline will ensure that the public is able to obtain the benefits of digital television,</w:t>
      </w:r>
      <w:r>
        <w:rPr>
          <w:rStyle w:val="FootnoteReference"/>
          <w:sz w:val="22"/>
          <w:szCs w:val="22"/>
        </w:rPr>
        <w:footnoteReference w:id="49"/>
      </w:r>
      <w:r w:rsidRPr="00BC4B09">
        <w:rPr>
          <w:szCs w:val="22"/>
        </w:rPr>
        <w:t xml:space="preserve"> we find this effort will not be undermined by allowing in this case a small number of operational TV translator stations in rural Alaskan communities that provide the sole source of over-the-air television service to continue to operate in analog for a limited period of time.  Failure to take this action </w:t>
      </w:r>
      <w:r>
        <w:rPr>
          <w:szCs w:val="22"/>
        </w:rPr>
        <w:t>would</w:t>
      </w:r>
      <w:r w:rsidRPr="00BC4B09">
        <w:rPr>
          <w:szCs w:val="22"/>
        </w:rPr>
        <w:t xml:space="preserve"> require these analog stations go silent on July 13, 2021</w:t>
      </w:r>
      <w:r>
        <w:rPr>
          <w:szCs w:val="22"/>
        </w:rPr>
        <w:t>,</w:t>
      </w:r>
      <w:r w:rsidRPr="00BC4B09">
        <w:rPr>
          <w:szCs w:val="22"/>
        </w:rPr>
        <w:t xml:space="preserve"> </w:t>
      </w:r>
      <w:r>
        <w:rPr>
          <w:szCs w:val="22"/>
        </w:rPr>
        <w:t xml:space="preserve">and risk </w:t>
      </w:r>
      <w:r w:rsidRPr="00BC4B09">
        <w:rPr>
          <w:szCs w:val="22"/>
        </w:rPr>
        <w:t>cut</w:t>
      </w:r>
      <w:r>
        <w:rPr>
          <w:szCs w:val="22"/>
        </w:rPr>
        <w:t>ting</w:t>
      </w:r>
      <w:r w:rsidRPr="00BC4B09">
        <w:rPr>
          <w:szCs w:val="22"/>
        </w:rPr>
        <w:t xml:space="preserve"> these communities off from the outside world.</w:t>
      </w:r>
      <w:r w:rsidRPr="00822277">
        <w:rPr>
          <w:szCs w:val="22"/>
        </w:rPr>
        <w:t xml:space="preserve">  </w:t>
      </w:r>
      <w:r>
        <w:rPr>
          <w:szCs w:val="22"/>
        </w:rPr>
        <w:t>We note that t</w:t>
      </w:r>
      <w:r w:rsidRPr="00822277">
        <w:rPr>
          <w:szCs w:val="22"/>
        </w:rPr>
        <w:t xml:space="preserve">he Commission has previously </w:t>
      </w:r>
      <w:r>
        <w:rPr>
          <w:szCs w:val="22"/>
        </w:rPr>
        <w:t xml:space="preserve">recognized </w:t>
      </w:r>
      <w:r w:rsidRPr="00822277">
        <w:rPr>
          <w:szCs w:val="22"/>
        </w:rPr>
        <w:t>the challenges facing Alaska</w:t>
      </w:r>
      <w:r>
        <w:rPr>
          <w:szCs w:val="22"/>
        </w:rPr>
        <w:t xml:space="preserve"> communication providers</w:t>
      </w:r>
      <w:r w:rsidRPr="00822277">
        <w:rPr>
          <w:szCs w:val="22"/>
        </w:rPr>
        <w:t xml:space="preserve"> when considering whether to </w:t>
      </w:r>
      <w:r>
        <w:rPr>
          <w:szCs w:val="22"/>
        </w:rPr>
        <w:t>grant requests for waiver or relief in other contexts.</w:t>
      </w:r>
      <w:r>
        <w:rPr>
          <w:rStyle w:val="FootnoteReference"/>
          <w:szCs w:val="22"/>
        </w:rPr>
        <w:footnoteReference w:id="50"/>
      </w:r>
      <w:r>
        <w:rPr>
          <w:szCs w:val="22"/>
        </w:rPr>
        <w:t xml:space="preserve">  </w:t>
      </w:r>
      <w:r w:rsidRPr="00BC4B09">
        <w:rPr>
          <w:szCs w:val="22"/>
        </w:rPr>
        <w:t xml:space="preserve">Therefore, we conclude that strict compliance with the analog termination deadline </w:t>
      </w:r>
      <w:r>
        <w:rPr>
          <w:szCs w:val="22"/>
        </w:rPr>
        <w:t>rule</w:t>
      </w:r>
      <w:r w:rsidRPr="00BC4B09">
        <w:rPr>
          <w:szCs w:val="22"/>
        </w:rPr>
        <w:t xml:space="preserve"> would not serve the public interest and that waiver is justified </w:t>
      </w:r>
      <w:r>
        <w:rPr>
          <w:szCs w:val="22"/>
        </w:rPr>
        <w:t>given the facts of this particular</w:t>
      </w:r>
      <w:r w:rsidRPr="00BC4B09">
        <w:rPr>
          <w:szCs w:val="22"/>
        </w:rPr>
        <w:t xml:space="preserve"> case</w:t>
      </w:r>
      <w:r>
        <w:rPr>
          <w:szCs w:val="22"/>
        </w:rPr>
        <w:t xml:space="preserve">. </w:t>
      </w:r>
    </w:p>
    <w:p w:rsidR="00B15BC8" w:rsidRPr="007F0F29" w:rsidP="00B15BC8" w14:paraId="7A5E6AF2" w14:textId="77777777">
      <w:pPr>
        <w:pStyle w:val="ParaNum"/>
        <w:widowControl/>
        <w:rPr>
          <w:szCs w:val="22"/>
        </w:rPr>
      </w:pPr>
      <w:r w:rsidRPr="00BC4B09">
        <w:t>Also pending before the Commission are applications filed by SOA for extension of the Stations’ digital construction permits.</w:t>
      </w:r>
      <w:r>
        <w:rPr>
          <w:rStyle w:val="FootnoteReference"/>
          <w:sz w:val="22"/>
          <w:szCs w:val="22"/>
        </w:rPr>
        <w:footnoteReference w:id="51"/>
      </w:r>
      <w:r w:rsidRPr="00BC4B09">
        <w:t xml:space="preserve">  For similar reasons, we grant the Stations’ extension applications and extend their digital construction permit expiration dates to January 10, 2022.  </w:t>
      </w:r>
      <w:r>
        <w:t xml:space="preserve">We will require that SOA submit a progress report on October 13, 2021, </w:t>
      </w:r>
      <w:r w:rsidRPr="007F0F29">
        <w:rPr>
          <w:szCs w:val="22"/>
        </w:rPr>
        <w:t xml:space="preserve">detailing the status of the digital construction for the </w:t>
      </w:r>
      <w:r>
        <w:rPr>
          <w:szCs w:val="22"/>
        </w:rPr>
        <w:t>S</w:t>
      </w:r>
      <w:r w:rsidRPr="007F0F29">
        <w:rPr>
          <w:szCs w:val="22"/>
        </w:rPr>
        <w:t>tations</w:t>
      </w:r>
      <w:r>
        <w:rPr>
          <w:szCs w:val="22"/>
        </w:rPr>
        <w:t>.</w:t>
      </w:r>
    </w:p>
    <w:p w:rsidR="00B15BC8" w:rsidRPr="00BC4B09" w:rsidP="00B15BC8" w14:paraId="1339BF4D" w14:textId="77777777">
      <w:pPr>
        <w:pStyle w:val="ParaNum"/>
        <w:rPr>
          <w:szCs w:val="22"/>
        </w:rPr>
      </w:pPr>
      <w:r w:rsidRPr="00BC4B09">
        <w:rPr>
          <w:szCs w:val="22"/>
        </w:rPr>
        <w:t xml:space="preserve">Finally, we </w:t>
      </w:r>
      <w:r>
        <w:rPr>
          <w:szCs w:val="22"/>
        </w:rPr>
        <w:t xml:space="preserve">delegate authority to the Media Bureau </w:t>
      </w:r>
      <w:r w:rsidRPr="00BC4B09">
        <w:rPr>
          <w:szCs w:val="22"/>
        </w:rPr>
        <w:t>to consider future requests seeking similar waiver and relief consistent with the considerations included herein.</w:t>
      </w:r>
    </w:p>
    <w:p w:rsidR="00B15BC8" w:rsidRPr="00BC4B09" w:rsidP="00B15BC8" w14:paraId="296CAA57" w14:textId="77777777">
      <w:pPr>
        <w:pStyle w:val="Heading1"/>
        <w:keepNext w:val="0"/>
        <w:suppressAutoHyphens w:val="0"/>
        <w:rPr>
          <w:rFonts w:ascii="Times New Roman" w:hAnsi="Times New Roman"/>
          <w:szCs w:val="22"/>
        </w:rPr>
      </w:pPr>
      <w:bookmarkStart w:id="140" w:name="_Toc385603571"/>
      <w:bookmarkStart w:id="141" w:name="_Toc385603573"/>
      <w:bookmarkStart w:id="142" w:name="_Toc380163283"/>
      <w:bookmarkStart w:id="143" w:name="_Toc383005369"/>
      <w:bookmarkStart w:id="144" w:name="_Toc383005939"/>
      <w:bookmarkStart w:id="145" w:name="_Toc383073057"/>
      <w:bookmarkStart w:id="146" w:name="_Toc384134836"/>
      <w:bookmarkStart w:id="147" w:name="_Toc384135383"/>
      <w:bookmarkStart w:id="148" w:name="_Toc385340343"/>
      <w:bookmarkStart w:id="149" w:name="_Toc385340462"/>
      <w:bookmarkStart w:id="150" w:name="_Toc385340720"/>
      <w:bookmarkStart w:id="151" w:name="_Toc385346465"/>
      <w:bookmarkStart w:id="152" w:name="_Toc385516303"/>
      <w:bookmarkStart w:id="153" w:name="_Toc385603574"/>
      <w:bookmarkStart w:id="154" w:name="_Toc387858329"/>
      <w:bookmarkStart w:id="155" w:name="_Toc388962663"/>
      <w:bookmarkStart w:id="156" w:name="_Toc388975515"/>
      <w:bookmarkEnd w:id="45"/>
      <w:bookmarkEnd w:id="46"/>
      <w:bookmarkEnd w:id="47"/>
      <w:bookmarkEnd w:id="140"/>
      <w:bookmarkEnd w:id="141"/>
      <w:r w:rsidRPr="00BC4B09">
        <w:rPr>
          <w:rFonts w:ascii="Times New Roman" w:hAnsi="Times New Roman"/>
          <w:szCs w:val="22"/>
        </w:rPr>
        <w:t>Ordering clauses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rsidR="00B15BC8" w:rsidRPr="00BC4B09" w:rsidP="00B15BC8" w14:paraId="48CF9C61" w14:textId="77777777">
      <w:pPr>
        <w:pStyle w:val="ParaNum"/>
        <w:rPr>
          <w:szCs w:val="22"/>
        </w:rPr>
      </w:pPr>
      <w:r w:rsidRPr="00BC4B09">
        <w:rPr>
          <w:szCs w:val="22"/>
        </w:rPr>
        <w:t xml:space="preserve">Accordingly, </w:t>
      </w:r>
      <w:r w:rsidRPr="00BC4B09">
        <w:rPr>
          <w:b/>
          <w:bCs/>
          <w:szCs w:val="22"/>
        </w:rPr>
        <w:t>IT IS ORDERED</w:t>
      </w:r>
      <w:r w:rsidRPr="00BC4B09">
        <w:rPr>
          <w:szCs w:val="22"/>
        </w:rPr>
        <w:t xml:space="preserve"> that, pursuant to section 1.3 of the Commission’s rules, 47 CFR § 1.3, the State of Alaska’s</w:t>
      </w:r>
      <w:r w:rsidRPr="00BC4B09">
        <w:rPr>
          <w:szCs w:val="22"/>
        </w:rPr>
        <w:t xml:space="preserve"> </w:t>
      </w:r>
      <w:r w:rsidRPr="00BC4B09">
        <w:rPr>
          <w:iCs/>
          <w:szCs w:val="22"/>
        </w:rPr>
        <w:t>Requests for Waiver</w:t>
      </w:r>
      <w:r w:rsidRPr="00BC4B09">
        <w:rPr>
          <w:i/>
          <w:szCs w:val="22"/>
        </w:rPr>
        <w:t xml:space="preserve"> </w:t>
      </w:r>
      <w:r w:rsidRPr="00BC4B09">
        <w:rPr>
          <w:iCs/>
          <w:szCs w:val="22"/>
        </w:rPr>
        <w:t xml:space="preserve">of </w:t>
      </w:r>
      <w:r w:rsidRPr="00BC4B09">
        <w:rPr>
          <w:szCs w:val="22"/>
        </w:rPr>
        <w:t>section</w:t>
      </w:r>
      <w:r w:rsidRPr="00BC4B09">
        <w:rPr>
          <w:color w:val="000000"/>
          <w:szCs w:val="22"/>
        </w:rPr>
        <w:t xml:space="preserve"> 74.731(m) of the Commission’s rules, 47 CFR </w:t>
      </w:r>
      <w:r w:rsidRPr="00613537">
        <w:rPr>
          <w:color w:val="000000"/>
          <w:szCs w:val="22"/>
        </w:rPr>
        <w:t>§</w:t>
      </w:r>
      <w:r>
        <w:rPr>
          <w:color w:val="000000"/>
          <w:szCs w:val="22"/>
        </w:rPr>
        <w:t xml:space="preserve"> </w:t>
      </w:r>
      <w:r w:rsidRPr="00BC4B09">
        <w:rPr>
          <w:color w:val="000000"/>
          <w:szCs w:val="22"/>
        </w:rPr>
        <w:t xml:space="preserve">74.731(m) set forth in the Appendix, </w:t>
      </w:r>
      <w:r w:rsidRPr="00BC4B09">
        <w:rPr>
          <w:b/>
          <w:bCs/>
          <w:color w:val="000000"/>
          <w:szCs w:val="22"/>
        </w:rPr>
        <w:t>ARE GRANTED</w:t>
      </w:r>
      <w:r w:rsidRPr="00BC4B09">
        <w:rPr>
          <w:color w:val="000000"/>
          <w:szCs w:val="22"/>
        </w:rPr>
        <w:t xml:space="preserve">. </w:t>
      </w:r>
    </w:p>
    <w:p w:rsidR="00B15BC8" w:rsidRPr="00BC4B09" w:rsidP="00B15BC8" w14:paraId="5FAF07BC" w14:textId="77777777">
      <w:pPr>
        <w:pStyle w:val="ParaNum"/>
        <w:rPr>
          <w:szCs w:val="22"/>
        </w:rPr>
      </w:pPr>
      <w:r w:rsidRPr="00BC4B09">
        <w:rPr>
          <w:b/>
          <w:bCs/>
          <w:szCs w:val="22"/>
        </w:rPr>
        <w:t>IT IS FURTHER ORDERED</w:t>
      </w:r>
      <w:r w:rsidRPr="00BC4B09">
        <w:rPr>
          <w:szCs w:val="22"/>
        </w:rPr>
        <w:t xml:space="preserve"> that the July </w:t>
      </w:r>
      <w:r>
        <w:rPr>
          <w:szCs w:val="22"/>
        </w:rPr>
        <w:t>1</w:t>
      </w:r>
      <w:r w:rsidRPr="00BC4B09">
        <w:rPr>
          <w:szCs w:val="22"/>
        </w:rPr>
        <w:t xml:space="preserve">3, 2021 analog termination deadline for the analog television translators set forth in the Appendix </w:t>
      </w:r>
      <w:r w:rsidRPr="00BC4B09">
        <w:rPr>
          <w:b/>
          <w:bCs/>
          <w:szCs w:val="22"/>
        </w:rPr>
        <w:t>ARE MODIFIED</w:t>
      </w:r>
      <w:r w:rsidRPr="00BC4B09">
        <w:rPr>
          <w:szCs w:val="22"/>
        </w:rPr>
        <w:t xml:space="preserve"> </w:t>
      </w:r>
      <w:r w:rsidRPr="00BC4B09">
        <w:rPr>
          <w:b/>
          <w:szCs w:val="22"/>
        </w:rPr>
        <w:t>to January 10, 2022</w:t>
      </w:r>
      <w:r w:rsidRPr="00BC4B09">
        <w:rPr>
          <w:szCs w:val="22"/>
        </w:rPr>
        <w:t xml:space="preserve">.  </w:t>
      </w:r>
    </w:p>
    <w:p w:rsidR="00B15BC8" w:rsidRPr="00BC4B09" w:rsidP="00B15BC8" w14:paraId="58C8909C" w14:textId="77777777">
      <w:pPr>
        <w:pStyle w:val="ParaNum"/>
        <w:rPr>
          <w:szCs w:val="22"/>
        </w:rPr>
      </w:pPr>
      <w:r w:rsidRPr="00BC4B09">
        <w:rPr>
          <w:b/>
          <w:bCs/>
          <w:szCs w:val="22"/>
        </w:rPr>
        <w:t>IT IS FURTHER ORDERED</w:t>
      </w:r>
      <w:r w:rsidRPr="00BC4B09">
        <w:rPr>
          <w:szCs w:val="22"/>
        </w:rPr>
        <w:t xml:space="preserve"> that the analog television translator stations set forth in the Appendix are required to cease analog operations </w:t>
      </w:r>
      <w:r w:rsidRPr="00BC4B09">
        <w:rPr>
          <w:b/>
          <w:szCs w:val="22"/>
        </w:rPr>
        <w:t>no later than 11:59 pm local time on January 10, 2022</w:t>
      </w:r>
      <w:r w:rsidRPr="00BC4B09">
        <w:rPr>
          <w:szCs w:val="22"/>
        </w:rPr>
        <w:t>.</w:t>
      </w:r>
      <w:bookmarkStart w:id="157" w:name="_Hlk518047728"/>
      <w:r>
        <w:rPr>
          <w:rStyle w:val="FootnoteReference"/>
          <w:szCs w:val="22"/>
        </w:rPr>
        <w:footnoteReference w:id="52"/>
      </w:r>
    </w:p>
    <w:p w:rsidR="00B15BC8" w:rsidP="00B15BC8" w14:paraId="21609E4B" w14:textId="77777777">
      <w:pPr>
        <w:pStyle w:val="ParaNum"/>
        <w:rPr>
          <w:szCs w:val="22"/>
        </w:rPr>
      </w:pPr>
      <w:r w:rsidRPr="00BC4B09">
        <w:rPr>
          <w:b/>
          <w:bCs/>
          <w:szCs w:val="22"/>
        </w:rPr>
        <w:t>IT IS FURTHER ORDERED</w:t>
      </w:r>
      <w:r w:rsidRPr="00BC4B09">
        <w:rPr>
          <w:b/>
          <w:bCs/>
          <w:i/>
          <w:iCs/>
          <w:szCs w:val="22"/>
        </w:rPr>
        <w:t xml:space="preserve"> </w:t>
      </w:r>
      <w:r w:rsidRPr="00BC4B09">
        <w:rPr>
          <w:szCs w:val="22"/>
        </w:rPr>
        <w:t xml:space="preserve">that the applications for extension of digital construction permits set forth in the Appendix </w:t>
      </w:r>
      <w:r w:rsidRPr="00BC4B09">
        <w:rPr>
          <w:b/>
          <w:bCs/>
          <w:szCs w:val="22"/>
        </w:rPr>
        <w:t xml:space="preserve">ARE GRANTED </w:t>
      </w:r>
      <w:r w:rsidRPr="00BC4B09">
        <w:rPr>
          <w:szCs w:val="22"/>
        </w:rPr>
        <w:t xml:space="preserve">and the digital construction permits </w:t>
      </w:r>
      <w:r w:rsidRPr="00BC4B09">
        <w:rPr>
          <w:b/>
          <w:bCs/>
          <w:szCs w:val="22"/>
        </w:rPr>
        <w:t xml:space="preserve">EXTENDED </w:t>
      </w:r>
      <w:r w:rsidRPr="00BC4B09">
        <w:rPr>
          <w:szCs w:val="22"/>
        </w:rPr>
        <w:t>to</w:t>
      </w:r>
      <w:r w:rsidRPr="00BC4B09">
        <w:rPr>
          <w:b/>
          <w:bCs/>
          <w:szCs w:val="22"/>
        </w:rPr>
        <w:t xml:space="preserve"> January 10, 2022</w:t>
      </w:r>
      <w:r w:rsidRPr="00BC4B09">
        <w:rPr>
          <w:szCs w:val="22"/>
        </w:rPr>
        <w:t>.</w:t>
      </w:r>
      <w:r>
        <w:rPr>
          <w:szCs w:val="22"/>
        </w:rPr>
        <w:t xml:space="preserve">  </w:t>
      </w:r>
      <w:bookmarkEnd w:id="157"/>
      <w:r>
        <w:rPr>
          <w:szCs w:val="22"/>
        </w:rPr>
        <w:t>A</w:t>
      </w:r>
      <w:r w:rsidRPr="00CF2076">
        <w:rPr>
          <w:szCs w:val="22"/>
        </w:rPr>
        <w:t>dditional time to construct may be sought only pursuant to the Commission’s “tolling” rule.</w:t>
      </w:r>
      <w:r>
        <w:rPr>
          <w:rStyle w:val="FootnoteReference"/>
          <w:szCs w:val="22"/>
        </w:rPr>
        <w:footnoteReference w:id="53"/>
      </w:r>
    </w:p>
    <w:p w:rsidR="00B15BC8" w:rsidP="00B15BC8" w14:paraId="12A5731F" w14:textId="7BCC2520">
      <w:pPr>
        <w:pStyle w:val="ParaNum"/>
        <w:rPr>
          <w:szCs w:val="22"/>
        </w:rPr>
      </w:pPr>
      <w:r>
        <w:rPr>
          <w:b/>
          <w:bCs/>
          <w:szCs w:val="22"/>
        </w:rPr>
        <w:t xml:space="preserve">IT IS FURTHER ORDERD </w:t>
      </w:r>
      <w:r>
        <w:rPr>
          <w:szCs w:val="22"/>
        </w:rPr>
        <w:t xml:space="preserve">that, on October 13, 2021, the State of Alaska shall submit a progress report detailing the status of the digital construction for the stations set forth in the Appendix. </w:t>
      </w:r>
    </w:p>
    <w:p w:rsidR="00E11FBE" w:rsidRPr="00BC4B09" w:rsidP="00E11FBE" w14:paraId="61B938A1" w14:textId="77777777">
      <w:pPr>
        <w:pStyle w:val="ParaNum"/>
        <w:numPr>
          <w:ilvl w:val="0"/>
          <w:numId w:val="0"/>
        </w:numPr>
        <w:ind w:left="720"/>
        <w:rPr>
          <w:szCs w:val="22"/>
        </w:rPr>
      </w:pPr>
    </w:p>
    <w:p w:rsidR="00B15BC8" w:rsidRPr="00BC4B09" w:rsidP="00B15BC8" w14:paraId="703E37DD" w14:textId="77777777">
      <w:pPr>
        <w:rPr>
          <w:szCs w:val="22"/>
        </w:rPr>
      </w:pPr>
      <w:r w:rsidRPr="00BC4B09">
        <w:rPr>
          <w:szCs w:val="22"/>
        </w:rPr>
        <w:tab/>
      </w:r>
      <w:r w:rsidRPr="00BC4B09">
        <w:rPr>
          <w:szCs w:val="22"/>
        </w:rPr>
        <w:tab/>
      </w:r>
      <w:r w:rsidRPr="00BC4B09">
        <w:rPr>
          <w:szCs w:val="22"/>
        </w:rPr>
        <w:tab/>
      </w:r>
      <w:r w:rsidRPr="00BC4B09">
        <w:rPr>
          <w:szCs w:val="22"/>
        </w:rPr>
        <w:tab/>
      </w:r>
      <w:r w:rsidRPr="00BC4B09">
        <w:rPr>
          <w:szCs w:val="22"/>
        </w:rPr>
        <w:tab/>
      </w:r>
      <w:r w:rsidRPr="00BC4B09">
        <w:rPr>
          <w:szCs w:val="22"/>
        </w:rPr>
        <w:tab/>
        <w:t>FEDERAL COMMUNICATIONS COMMISSION</w:t>
      </w:r>
    </w:p>
    <w:p w:rsidR="00B15BC8" w:rsidRPr="00BC4B09" w:rsidP="00B15BC8" w14:paraId="1DF1FDB1" w14:textId="77777777">
      <w:pPr>
        <w:rPr>
          <w:szCs w:val="22"/>
        </w:rPr>
      </w:pPr>
    </w:p>
    <w:p w:rsidR="00B15BC8" w:rsidRPr="00BC4B09" w:rsidP="00B15BC8" w14:paraId="679E320F" w14:textId="77777777">
      <w:pPr>
        <w:rPr>
          <w:szCs w:val="22"/>
        </w:rPr>
      </w:pPr>
    </w:p>
    <w:p w:rsidR="00B15BC8" w:rsidRPr="00BC4B09" w:rsidP="00B15BC8" w14:paraId="3AF36395" w14:textId="77777777">
      <w:pPr>
        <w:rPr>
          <w:szCs w:val="22"/>
        </w:rPr>
      </w:pPr>
    </w:p>
    <w:p w:rsidR="00B15BC8" w:rsidRPr="00BC4B09" w:rsidP="00B15BC8" w14:paraId="264027D1" w14:textId="77777777">
      <w:pPr>
        <w:rPr>
          <w:szCs w:val="22"/>
        </w:rPr>
      </w:pPr>
    </w:p>
    <w:p w:rsidR="00B15BC8" w:rsidRPr="00BC4B09" w:rsidP="00B15BC8" w14:paraId="06444ADB" w14:textId="77777777">
      <w:pPr>
        <w:rPr>
          <w:szCs w:val="22"/>
        </w:rPr>
      </w:pPr>
      <w:r w:rsidRPr="00BC4B09">
        <w:rPr>
          <w:szCs w:val="22"/>
        </w:rPr>
        <w:tab/>
      </w:r>
      <w:r w:rsidRPr="00BC4B09">
        <w:rPr>
          <w:szCs w:val="22"/>
        </w:rPr>
        <w:tab/>
      </w:r>
      <w:r w:rsidRPr="00BC4B09">
        <w:rPr>
          <w:szCs w:val="22"/>
        </w:rPr>
        <w:tab/>
      </w:r>
      <w:r w:rsidRPr="00BC4B09">
        <w:rPr>
          <w:szCs w:val="22"/>
        </w:rPr>
        <w:tab/>
      </w:r>
      <w:r w:rsidRPr="00BC4B09">
        <w:rPr>
          <w:szCs w:val="22"/>
        </w:rPr>
        <w:tab/>
      </w:r>
      <w:r w:rsidRPr="00BC4B09">
        <w:rPr>
          <w:szCs w:val="22"/>
        </w:rPr>
        <w:tab/>
        <w:t>Marlene H. Dortch</w:t>
      </w:r>
    </w:p>
    <w:p w:rsidR="00B15BC8" w:rsidP="00B15BC8" w14:paraId="2083F1CF" w14:textId="77777777">
      <w:pPr>
        <w:rPr>
          <w:szCs w:val="2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rsidRPr="00BC4B09">
        <w:rPr>
          <w:szCs w:val="22"/>
        </w:rPr>
        <w:tab/>
      </w:r>
      <w:r w:rsidRPr="00BC4B09">
        <w:rPr>
          <w:szCs w:val="22"/>
        </w:rPr>
        <w:tab/>
      </w:r>
      <w:r w:rsidRPr="00BC4B09">
        <w:rPr>
          <w:szCs w:val="22"/>
        </w:rPr>
        <w:tab/>
      </w:r>
      <w:r w:rsidRPr="00BC4B09">
        <w:rPr>
          <w:szCs w:val="22"/>
        </w:rPr>
        <w:tab/>
      </w:r>
      <w:r w:rsidRPr="00BC4B09">
        <w:rPr>
          <w:szCs w:val="22"/>
        </w:rPr>
        <w:tab/>
      </w:r>
      <w:r w:rsidRPr="00BC4B09">
        <w:rPr>
          <w:szCs w:val="22"/>
        </w:rPr>
        <w:tab/>
        <w:t>Secretary</w:t>
      </w:r>
    </w:p>
    <w:p w:rsidR="00B15BC8" w:rsidP="00B15BC8" w14:paraId="6E8D4407" w14:textId="77777777">
      <w:pPr>
        <w:jc w:val="center"/>
        <w:rPr>
          <w:b/>
          <w:bCs/>
        </w:rPr>
      </w:pPr>
      <w:r>
        <w:rPr>
          <w:b/>
          <w:bCs/>
        </w:rPr>
        <w:t>APPENDIX</w:t>
      </w:r>
    </w:p>
    <w:p w:rsidR="00B15BC8" w:rsidP="00B15BC8" w14:paraId="3C77A3C0" w14:textId="77777777">
      <w:pPr>
        <w:jc w:val="center"/>
        <w:rPr>
          <w:b/>
          <w:bCs/>
        </w:rPr>
      </w:pPr>
    </w:p>
    <w:p w:rsidR="00B15BC8" w:rsidRPr="00E66B6C" w:rsidP="00B15BC8" w14:paraId="54D1C31B" w14:textId="77777777">
      <w:pPr>
        <w:rPr>
          <w:b/>
          <w:bCs/>
        </w:rPr>
      </w:pPr>
    </w:p>
    <w:tbl>
      <w:tblPr>
        <w:tblW w:w="8980" w:type="dxa"/>
        <w:tblLook w:val="04A0"/>
      </w:tblPr>
      <w:tblGrid>
        <w:gridCol w:w="1120"/>
        <w:gridCol w:w="2700"/>
        <w:gridCol w:w="900"/>
        <w:gridCol w:w="1460"/>
        <w:gridCol w:w="2800"/>
      </w:tblGrid>
      <w:tr w14:paraId="420B84D5" w14:textId="77777777" w:rsidTr="005C6DBF">
        <w:tblPrEx>
          <w:tblW w:w="8980" w:type="dxa"/>
          <w:tblLook w:val="04A0"/>
        </w:tblPrEx>
        <w:trPr>
          <w:trHeight w:val="1020"/>
        </w:trPr>
        <w:tc>
          <w:tcPr>
            <w:tcW w:w="1120" w:type="dxa"/>
            <w:tcBorders>
              <w:top w:val="single" w:sz="12" w:space="0" w:color="auto"/>
              <w:left w:val="single" w:sz="12" w:space="0" w:color="auto"/>
              <w:bottom w:val="single" w:sz="12" w:space="0" w:color="auto"/>
              <w:right w:val="nil"/>
            </w:tcBorders>
            <w:shd w:val="clear" w:color="auto" w:fill="auto"/>
            <w:noWrap/>
            <w:vAlign w:val="bottom"/>
            <w:hideMark/>
          </w:tcPr>
          <w:p w:rsidR="00B15BC8" w:rsidRPr="0041461B" w:rsidP="005C6DBF" w14:paraId="0E36D228" w14:textId="77777777">
            <w:pPr>
              <w:widowControl/>
              <w:jc w:val="center"/>
              <w:rPr>
                <w:b/>
                <w:bCs/>
                <w:snapToGrid/>
                <w:color w:val="000000"/>
                <w:kern w:val="0"/>
                <w:szCs w:val="22"/>
              </w:rPr>
            </w:pPr>
            <w:r w:rsidRPr="0041461B">
              <w:rPr>
                <w:b/>
                <w:bCs/>
                <w:snapToGrid/>
                <w:color w:val="000000"/>
                <w:kern w:val="0"/>
                <w:szCs w:val="22"/>
              </w:rPr>
              <w:t>Call Sign</w:t>
            </w:r>
          </w:p>
        </w:tc>
        <w:tc>
          <w:tcPr>
            <w:tcW w:w="2700" w:type="dxa"/>
            <w:tcBorders>
              <w:top w:val="single" w:sz="12" w:space="0" w:color="auto"/>
              <w:left w:val="nil"/>
              <w:bottom w:val="single" w:sz="12" w:space="0" w:color="auto"/>
              <w:right w:val="nil"/>
            </w:tcBorders>
            <w:shd w:val="clear" w:color="auto" w:fill="auto"/>
            <w:noWrap/>
            <w:vAlign w:val="bottom"/>
            <w:hideMark/>
          </w:tcPr>
          <w:p w:rsidR="00B15BC8" w:rsidRPr="0041461B" w:rsidP="005C6DBF" w14:paraId="6828F8DC" w14:textId="77777777">
            <w:pPr>
              <w:widowControl/>
              <w:jc w:val="center"/>
              <w:rPr>
                <w:b/>
                <w:bCs/>
                <w:snapToGrid/>
                <w:color w:val="000000"/>
                <w:kern w:val="0"/>
                <w:szCs w:val="22"/>
              </w:rPr>
            </w:pPr>
            <w:r w:rsidRPr="0041461B">
              <w:rPr>
                <w:b/>
                <w:bCs/>
                <w:snapToGrid/>
                <w:color w:val="000000"/>
                <w:kern w:val="0"/>
                <w:szCs w:val="22"/>
              </w:rPr>
              <w:t>City</w:t>
            </w:r>
          </w:p>
        </w:tc>
        <w:tc>
          <w:tcPr>
            <w:tcW w:w="900" w:type="dxa"/>
            <w:tcBorders>
              <w:top w:val="single" w:sz="12" w:space="0" w:color="auto"/>
              <w:left w:val="nil"/>
              <w:bottom w:val="single" w:sz="12" w:space="0" w:color="auto"/>
              <w:right w:val="nil"/>
            </w:tcBorders>
            <w:shd w:val="clear" w:color="auto" w:fill="auto"/>
            <w:noWrap/>
            <w:vAlign w:val="bottom"/>
            <w:hideMark/>
          </w:tcPr>
          <w:p w:rsidR="00B15BC8" w:rsidRPr="0041461B" w:rsidP="005C6DBF" w14:paraId="06DFEFD5" w14:textId="77777777">
            <w:pPr>
              <w:widowControl/>
              <w:jc w:val="center"/>
              <w:rPr>
                <w:b/>
                <w:bCs/>
                <w:snapToGrid/>
                <w:color w:val="000000"/>
                <w:kern w:val="0"/>
                <w:szCs w:val="22"/>
              </w:rPr>
            </w:pPr>
            <w:r w:rsidRPr="0041461B">
              <w:rPr>
                <w:b/>
                <w:bCs/>
                <w:snapToGrid/>
                <w:color w:val="000000"/>
                <w:kern w:val="0"/>
                <w:szCs w:val="22"/>
              </w:rPr>
              <w:t>Fac Id.</w:t>
            </w:r>
          </w:p>
        </w:tc>
        <w:tc>
          <w:tcPr>
            <w:tcW w:w="1460" w:type="dxa"/>
            <w:tcBorders>
              <w:top w:val="single" w:sz="12" w:space="0" w:color="auto"/>
              <w:left w:val="nil"/>
              <w:bottom w:val="single" w:sz="12" w:space="0" w:color="auto"/>
              <w:right w:val="nil"/>
            </w:tcBorders>
            <w:shd w:val="clear" w:color="auto" w:fill="auto"/>
            <w:vAlign w:val="bottom"/>
            <w:hideMark/>
          </w:tcPr>
          <w:p w:rsidR="00B15BC8" w:rsidRPr="0041461B" w:rsidP="005C6DBF" w14:paraId="58008509" w14:textId="77777777">
            <w:pPr>
              <w:widowControl/>
              <w:jc w:val="center"/>
              <w:rPr>
                <w:b/>
                <w:bCs/>
                <w:snapToGrid/>
                <w:color w:val="000000"/>
                <w:kern w:val="0"/>
                <w:szCs w:val="22"/>
              </w:rPr>
            </w:pPr>
            <w:r w:rsidRPr="0041461B">
              <w:rPr>
                <w:b/>
                <w:bCs/>
                <w:snapToGrid/>
                <w:color w:val="000000"/>
                <w:kern w:val="0"/>
                <w:szCs w:val="22"/>
              </w:rPr>
              <w:t>Extension                 LMS File No.</w:t>
            </w:r>
          </w:p>
        </w:tc>
        <w:tc>
          <w:tcPr>
            <w:tcW w:w="2800" w:type="dxa"/>
            <w:tcBorders>
              <w:top w:val="single" w:sz="12" w:space="0" w:color="auto"/>
              <w:left w:val="nil"/>
              <w:bottom w:val="single" w:sz="12" w:space="0" w:color="auto"/>
              <w:right w:val="single" w:sz="12" w:space="0" w:color="auto"/>
            </w:tcBorders>
            <w:shd w:val="clear" w:color="auto" w:fill="auto"/>
            <w:vAlign w:val="bottom"/>
            <w:hideMark/>
          </w:tcPr>
          <w:p w:rsidR="00B15BC8" w:rsidRPr="0041461B" w:rsidP="005C6DBF" w14:paraId="26FC8F20" w14:textId="77777777">
            <w:pPr>
              <w:widowControl/>
              <w:jc w:val="center"/>
              <w:rPr>
                <w:b/>
                <w:bCs/>
                <w:snapToGrid/>
                <w:color w:val="000000"/>
                <w:kern w:val="0"/>
                <w:szCs w:val="22"/>
              </w:rPr>
            </w:pPr>
            <w:r w:rsidRPr="0041461B">
              <w:rPr>
                <w:b/>
                <w:bCs/>
                <w:snapToGrid/>
                <w:color w:val="000000"/>
                <w:kern w:val="0"/>
                <w:szCs w:val="22"/>
              </w:rPr>
              <w:t>Construction Permit                      LMS File No.</w:t>
            </w:r>
          </w:p>
        </w:tc>
      </w:tr>
      <w:tr w14:paraId="79F8C72D" w14:textId="77777777" w:rsidTr="005C6DBF">
        <w:tblPrEx>
          <w:tblW w:w="8980" w:type="dxa"/>
          <w:tblLook w:val="04A0"/>
        </w:tblPrEx>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15BC8" w:rsidRPr="0041461B" w:rsidP="005C6DBF" w14:paraId="4EF3C0C9" w14:textId="77777777">
            <w:pPr>
              <w:widowControl/>
              <w:rPr>
                <w:snapToGrid/>
                <w:color w:val="000000"/>
                <w:kern w:val="0"/>
                <w:szCs w:val="22"/>
              </w:rPr>
            </w:pPr>
            <w:r w:rsidRPr="0041461B">
              <w:rPr>
                <w:snapToGrid/>
                <w:color w:val="000000"/>
                <w:kern w:val="0"/>
                <w:szCs w:val="22"/>
              </w:rPr>
              <w:t>K07RK</w:t>
            </w:r>
          </w:p>
        </w:tc>
        <w:tc>
          <w:tcPr>
            <w:tcW w:w="2700" w:type="dxa"/>
            <w:tcBorders>
              <w:top w:val="nil"/>
              <w:left w:val="nil"/>
              <w:bottom w:val="single" w:sz="4" w:space="0" w:color="auto"/>
              <w:right w:val="single" w:sz="4" w:space="0" w:color="auto"/>
            </w:tcBorders>
            <w:shd w:val="clear" w:color="auto" w:fill="auto"/>
            <w:vAlign w:val="center"/>
            <w:hideMark/>
          </w:tcPr>
          <w:p w:rsidR="00B15BC8" w:rsidRPr="0041461B" w:rsidP="005C6DBF" w14:paraId="7837BDF3" w14:textId="77777777">
            <w:pPr>
              <w:widowControl/>
              <w:rPr>
                <w:snapToGrid/>
                <w:color w:val="000000"/>
                <w:kern w:val="0"/>
                <w:szCs w:val="22"/>
              </w:rPr>
            </w:pPr>
            <w:r w:rsidRPr="0041461B">
              <w:rPr>
                <w:snapToGrid/>
                <w:color w:val="000000"/>
                <w:kern w:val="0"/>
                <w:szCs w:val="22"/>
              </w:rPr>
              <w:t>ST. MARYS</w:t>
            </w:r>
          </w:p>
        </w:tc>
        <w:tc>
          <w:tcPr>
            <w:tcW w:w="900" w:type="dxa"/>
            <w:tcBorders>
              <w:top w:val="nil"/>
              <w:left w:val="nil"/>
              <w:bottom w:val="single" w:sz="4" w:space="0" w:color="auto"/>
              <w:right w:val="single" w:sz="4" w:space="0" w:color="auto"/>
            </w:tcBorders>
            <w:shd w:val="clear" w:color="auto" w:fill="auto"/>
            <w:vAlign w:val="center"/>
            <w:hideMark/>
          </w:tcPr>
          <w:p w:rsidR="00B15BC8" w:rsidRPr="0041461B" w:rsidP="005C6DBF" w14:paraId="0D7F18CE" w14:textId="77777777">
            <w:pPr>
              <w:widowControl/>
              <w:rPr>
                <w:snapToGrid/>
                <w:color w:val="000000"/>
                <w:kern w:val="0"/>
                <w:szCs w:val="22"/>
              </w:rPr>
            </w:pPr>
            <w:r w:rsidRPr="0041461B">
              <w:rPr>
                <w:snapToGrid/>
                <w:color w:val="000000"/>
                <w:kern w:val="0"/>
                <w:szCs w:val="22"/>
              </w:rPr>
              <w:t>11552 </w:t>
            </w:r>
          </w:p>
        </w:tc>
        <w:tc>
          <w:tcPr>
            <w:tcW w:w="1460" w:type="dxa"/>
            <w:tcBorders>
              <w:top w:val="nil"/>
              <w:left w:val="nil"/>
              <w:bottom w:val="single" w:sz="4" w:space="0" w:color="auto"/>
              <w:right w:val="single" w:sz="4" w:space="0" w:color="auto"/>
            </w:tcBorders>
            <w:shd w:val="clear" w:color="auto" w:fill="auto"/>
            <w:vAlign w:val="center"/>
            <w:hideMark/>
          </w:tcPr>
          <w:p w:rsidR="00B15BC8" w:rsidRPr="0041461B" w:rsidP="005C6DBF" w14:paraId="5FE73E52" w14:textId="77777777">
            <w:pPr>
              <w:widowControl/>
              <w:rPr>
                <w:snapToGrid/>
                <w:color w:val="000000"/>
                <w:kern w:val="0"/>
                <w:szCs w:val="22"/>
              </w:rPr>
            </w:pPr>
            <w:r w:rsidRPr="0041461B">
              <w:rPr>
                <w:snapToGrid/>
                <w:color w:val="000000"/>
                <w:kern w:val="0"/>
                <w:szCs w:val="22"/>
              </w:rPr>
              <w:t>0000146918</w:t>
            </w:r>
          </w:p>
        </w:tc>
        <w:tc>
          <w:tcPr>
            <w:tcW w:w="2800" w:type="dxa"/>
            <w:tcBorders>
              <w:top w:val="nil"/>
              <w:left w:val="nil"/>
              <w:bottom w:val="single" w:sz="4" w:space="0" w:color="auto"/>
              <w:right w:val="single" w:sz="4" w:space="0" w:color="auto"/>
            </w:tcBorders>
            <w:shd w:val="clear" w:color="auto" w:fill="auto"/>
            <w:vAlign w:val="bottom"/>
            <w:hideMark/>
          </w:tcPr>
          <w:p w:rsidR="00B15BC8" w:rsidRPr="0041461B" w:rsidP="005C6DBF" w14:paraId="454EC56D" w14:textId="77777777">
            <w:pPr>
              <w:widowControl/>
              <w:rPr>
                <w:snapToGrid/>
                <w:color w:val="000000"/>
                <w:kern w:val="0"/>
                <w:szCs w:val="22"/>
              </w:rPr>
            </w:pPr>
            <w:r w:rsidRPr="0041461B">
              <w:rPr>
                <w:snapToGrid/>
                <w:color w:val="000000"/>
                <w:kern w:val="0"/>
                <w:szCs w:val="22"/>
              </w:rPr>
              <w:t>BDFCDVL-20141223AAQ</w:t>
            </w:r>
          </w:p>
        </w:tc>
      </w:tr>
      <w:tr w14:paraId="30F46116" w14:textId="77777777" w:rsidTr="005C6DBF">
        <w:tblPrEx>
          <w:tblW w:w="8980" w:type="dxa"/>
          <w:tblLook w:val="04A0"/>
        </w:tblPrEx>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15BC8" w:rsidRPr="0041461B" w:rsidP="005C6DBF" w14:paraId="57FE0EB8" w14:textId="77777777">
            <w:pPr>
              <w:widowControl/>
              <w:rPr>
                <w:snapToGrid/>
                <w:color w:val="000000"/>
                <w:kern w:val="0"/>
                <w:szCs w:val="22"/>
              </w:rPr>
            </w:pPr>
            <w:r w:rsidRPr="0041461B">
              <w:rPr>
                <w:snapToGrid/>
                <w:color w:val="000000"/>
                <w:kern w:val="0"/>
                <w:szCs w:val="22"/>
              </w:rPr>
              <w:t>K13TD</w:t>
            </w:r>
          </w:p>
        </w:tc>
        <w:tc>
          <w:tcPr>
            <w:tcW w:w="2700" w:type="dxa"/>
            <w:tcBorders>
              <w:top w:val="nil"/>
              <w:left w:val="nil"/>
              <w:bottom w:val="single" w:sz="4" w:space="0" w:color="auto"/>
              <w:right w:val="single" w:sz="4" w:space="0" w:color="auto"/>
            </w:tcBorders>
            <w:shd w:val="clear" w:color="auto" w:fill="auto"/>
            <w:vAlign w:val="center"/>
            <w:hideMark/>
          </w:tcPr>
          <w:p w:rsidR="00B15BC8" w:rsidRPr="0041461B" w:rsidP="005C6DBF" w14:paraId="48878EF9" w14:textId="77777777">
            <w:pPr>
              <w:widowControl/>
              <w:rPr>
                <w:snapToGrid/>
                <w:color w:val="000000"/>
                <w:kern w:val="0"/>
                <w:szCs w:val="22"/>
              </w:rPr>
            </w:pPr>
            <w:r w:rsidRPr="0041461B">
              <w:rPr>
                <w:snapToGrid/>
                <w:color w:val="000000"/>
                <w:kern w:val="0"/>
                <w:szCs w:val="22"/>
              </w:rPr>
              <w:t>WHITE MOUNTAIN</w:t>
            </w:r>
          </w:p>
        </w:tc>
        <w:tc>
          <w:tcPr>
            <w:tcW w:w="900" w:type="dxa"/>
            <w:tcBorders>
              <w:top w:val="nil"/>
              <w:left w:val="nil"/>
              <w:bottom w:val="single" w:sz="4" w:space="0" w:color="auto"/>
              <w:right w:val="single" w:sz="4" w:space="0" w:color="auto"/>
            </w:tcBorders>
            <w:shd w:val="clear" w:color="auto" w:fill="auto"/>
            <w:vAlign w:val="center"/>
            <w:hideMark/>
          </w:tcPr>
          <w:p w:rsidR="00B15BC8" w:rsidRPr="0041461B" w:rsidP="005C6DBF" w14:paraId="1384B00A" w14:textId="77777777">
            <w:pPr>
              <w:widowControl/>
              <w:rPr>
                <w:snapToGrid/>
                <w:color w:val="000000"/>
                <w:kern w:val="0"/>
                <w:szCs w:val="22"/>
              </w:rPr>
            </w:pPr>
            <w:r w:rsidRPr="0041461B">
              <w:rPr>
                <w:snapToGrid/>
                <w:color w:val="000000"/>
                <w:kern w:val="0"/>
                <w:szCs w:val="22"/>
              </w:rPr>
              <w:t>62370 </w:t>
            </w:r>
          </w:p>
        </w:tc>
        <w:tc>
          <w:tcPr>
            <w:tcW w:w="1460" w:type="dxa"/>
            <w:tcBorders>
              <w:top w:val="nil"/>
              <w:left w:val="nil"/>
              <w:bottom w:val="single" w:sz="4" w:space="0" w:color="auto"/>
              <w:right w:val="single" w:sz="4" w:space="0" w:color="auto"/>
            </w:tcBorders>
            <w:shd w:val="clear" w:color="auto" w:fill="auto"/>
            <w:vAlign w:val="center"/>
            <w:hideMark/>
          </w:tcPr>
          <w:p w:rsidR="00B15BC8" w:rsidRPr="0041461B" w:rsidP="005C6DBF" w14:paraId="64623158" w14:textId="77777777">
            <w:pPr>
              <w:widowControl/>
              <w:rPr>
                <w:snapToGrid/>
                <w:color w:val="000000"/>
                <w:kern w:val="0"/>
                <w:szCs w:val="22"/>
              </w:rPr>
            </w:pPr>
            <w:r w:rsidRPr="0041461B">
              <w:rPr>
                <w:snapToGrid/>
                <w:color w:val="000000"/>
                <w:kern w:val="0"/>
                <w:szCs w:val="22"/>
              </w:rPr>
              <w:t>0000146907</w:t>
            </w:r>
          </w:p>
        </w:tc>
        <w:tc>
          <w:tcPr>
            <w:tcW w:w="2800" w:type="dxa"/>
            <w:tcBorders>
              <w:top w:val="nil"/>
              <w:left w:val="nil"/>
              <w:bottom w:val="single" w:sz="4" w:space="0" w:color="auto"/>
              <w:right w:val="single" w:sz="4" w:space="0" w:color="auto"/>
            </w:tcBorders>
            <w:shd w:val="clear" w:color="auto" w:fill="auto"/>
            <w:vAlign w:val="bottom"/>
            <w:hideMark/>
          </w:tcPr>
          <w:p w:rsidR="00B15BC8" w:rsidRPr="0041461B" w:rsidP="005C6DBF" w14:paraId="260BE246" w14:textId="77777777">
            <w:pPr>
              <w:widowControl/>
              <w:rPr>
                <w:snapToGrid/>
                <w:color w:val="000000"/>
                <w:kern w:val="0"/>
                <w:szCs w:val="22"/>
              </w:rPr>
            </w:pPr>
            <w:r w:rsidRPr="0041461B">
              <w:rPr>
                <w:snapToGrid/>
                <w:color w:val="000000"/>
                <w:kern w:val="0"/>
                <w:szCs w:val="22"/>
              </w:rPr>
              <w:t>BDFCDVL-20141229AWA</w:t>
            </w:r>
          </w:p>
        </w:tc>
      </w:tr>
      <w:tr w14:paraId="0B1106A0" w14:textId="77777777" w:rsidTr="005C6DBF">
        <w:tblPrEx>
          <w:tblW w:w="8980" w:type="dxa"/>
          <w:tblLook w:val="04A0"/>
        </w:tblPrEx>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15BC8" w:rsidRPr="0041461B" w:rsidP="005C6DBF" w14:paraId="2A3D51AD" w14:textId="77777777">
            <w:pPr>
              <w:widowControl/>
              <w:rPr>
                <w:snapToGrid/>
                <w:color w:val="000000"/>
                <w:kern w:val="0"/>
                <w:szCs w:val="22"/>
              </w:rPr>
            </w:pPr>
            <w:r w:rsidRPr="0041461B">
              <w:rPr>
                <w:snapToGrid/>
                <w:color w:val="000000"/>
                <w:kern w:val="0"/>
                <w:szCs w:val="22"/>
              </w:rPr>
              <w:t>K09QX</w:t>
            </w:r>
          </w:p>
        </w:tc>
        <w:tc>
          <w:tcPr>
            <w:tcW w:w="2700" w:type="dxa"/>
            <w:tcBorders>
              <w:top w:val="nil"/>
              <w:left w:val="nil"/>
              <w:bottom w:val="single" w:sz="4" w:space="0" w:color="auto"/>
              <w:right w:val="single" w:sz="4" w:space="0" w:color="auto"/>
            </w:tcBorders>
            <w:shd w:val="clear" w:color="auto" w:fill="auto"/>
            <w:vAlign w:val="center"/>
            <w:hideMark/>
          </w:tcPr>
          <w:p w:rsidR="00B15BC8" w:rsidRPr="0041461B" w:rsidP="005C6DBF" w14:paraId="0D7314AB" w14:textId="77777777">
            <w:pPr>
              <w:widowControl/>
              <w:rPr>
                <w:snapToGrid/>
                <w:color w:val="000000"/>
                <w:kern w:val="0"/>
                <w:szCs w:val="22"/>
              </w:rPr>
            </w:pPr>
            <w:r w:rsidRPr="0041461B">
              <w:rPr>
                <w:snapToGrid/>
                <w:color w:val="000000"/>
                <w:kern w:val="0"/>
                <w:szCs w:val="22"/>
              </w:rPr>
              <w:t>ST. MICHAEL</w:t>
            </w:r>
          </w:p>
        </w:tc>
        <w:tc>
          <w:tcPr>
            <w:tcW w:w="900" w:type="dxa"/>
            <w:tcBorders>
              <w:top w:val="nil"/>
              <w:left w:val="nil"/>
              <w:bottom w:val="single" w:sz="4" w:space="0" w:color="auto"/>
              <w:right w:val="single" w:sz="4" w:space="0" w:color="auto"/>
            </w:tcBorders>
            <w:shd w:val="clear" w:color="auto" w:fill="auto"/>
            <w:vAlign w:val="center"/>
            <w:hideMark/>
          </w:tcPr>
          <w:p w:rsidR="00B15BC8" w:rsidRPr="0041461B" w:rsidP="005C6DBF" w14:paraId="12ECAE27" w14:textId="77777777">
            <w:pPr>
              <w:widowControl/>
              <w:rPr>
                <w:snapToGrid/>
                <w:color w:val="000000"/>
                <w:kern w:val="0"/>
                <w:szCs w:val="22"/>
              </w:rPr>
            </w:pPr>
            <w:r w:rsidRPr="0041461B">
              <w:rPr>
                <w:snapToGrid/>
                <w:color w:val="000000"/>
                <w:kern w:val="0"/>
                <w:szCs w:val="22"/>
              </w:rPr>
              <w:t>62489 </w:t>
            </w:r>
          </w:p>
        </w:tc>
        <w:tc>
          <w:tcPr>
            <w:tcW w:w="1460" w:type="dxa"/>
            <w:tcBorders>
              <w:top w:val="nil"/>
              <w:left w:val="nil"/>
              <w:bottom w:val="single" w:sz="4" w:space="0" w:color="auto"/>
              <w:right w:val="single" w:sz="4" w:space="0" w:color="auto"/>
            </w:tcBorders>
            <w:shd w:val="clear" w:color="auto" w:fill="auto"/>
            <w:vAlign w:val="center"/>
            <w:hideMark/>
          </w:tcPr>
          <w:p w:rsidR="00B15BC8" w:rsidRPr="0041461B" w:rsidP="005C6DBF" w14:paraId="1CE1D354" w14:textId="77777777">
            <w:pPr>
              <w:widowControl/>
              <w:rPr>
                <w:snapToGrid/>
                <w:color w:val="000000"/>
                <w:kern w:val="0"/>
                <w:szCs w:val="22"/>
              </w:rPr>
            </w:pPr>
            <w:r w:rsidRPr="0041461B">
              <w:rPr>
                <w:snapToGrid/>
                <w:color w:val="000000"/>
                <w:kern w:val="0"/>
                <w:szCs w:val="22"/>
              </w:rPr>
              <w:t>0000146914</w:t>
            </w:r>
          </w:p>
        </w:tc>
        <w:tc>
          <w:tcPr>
            <w:tcW w:w="2800" w:type="dxa"/>
            <w:tcBorders>
              <w:top w:val="nil"/>
              <w:left w:val="nil"/>
              <w:bottom w:val="single" w:sz="4" w:space="0" w:color="auto"/>
              <w:right w:val="single" w:sz="4" w:space="0" w:color="auto"/>
            </w:tcBorders>
            <w:shd w:val="clear" w:color="auto" w:fill="auto"/>
            <w:vAlign w:val="bottom"/>
            <w:hideMark/>
          </w:tcPr>
          <w:p w:rsidR="00B15BC8" w:rsidRPr="0041461B" w:rsidP="005C6DBF" w14:paraId="1E750A18" w14:textId="77777777">
            <w:pPr>
              <w:widowControl/>
              <w:rPr>
                <w:snapToGrid/>
                <w:color w:val="000000"/>
                <w:kern w:val="0"/>
                <w:szCs w:val="22"/>
              </w:rPr>
            </w:pPr>
            <w:r w:rsidRPr="0041461B">
              <w:rPr>
                <w:snapToGrid/>
                <w:color w:val="000000"/>
                <w:kern w:val="0"/>
                <w:szCs w:val="22"/>
              </w:rPr>
              <w:t>BDFCDVL-20141223ABG</w:t>
            </w:r>
          </w:p>
        </w:tc>
      </w:tr>
      <w:tr w14:paraId="56699D7B" w14:textId="77777777" w:rsidTr="005C6DBF">
        <w:tblPrEx>
          <w:tblW w:w="8980" w:type="dxa"/>
          <w:tblLook w:val="04A0"/>
        </w:tblPrEx>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15BC8" w:rsidRPr="0041461B" w:rsidP="005C6DBF" w14:paraId="2737DBAD" w14:textId="77777777">
            <w:pPr>
              <w:widowControl/>
              <w:rPr>
                <w:snapToGrid/>
                <w:color w:val="000000"/>
                <w:kern w:val="0"/>
                <w:szCs w:val="22"/>
              </w:rPr>
            </w:pPr>
            <w:r w:rsidRPr="0041461B">
              <w:rPr>
                <w:snapToGrid/>
                <w:color w:val="000000"/>
                <w:kern w:val="0"/>
                <w:szCs w:val="22"/>
              </w:rPr>
              <w:t>K09RE</w:t>
            </w:r>
          </w:p>
        </w:tc>
        <w:tc>
          <w:tcPr>
            <w:tcW w:w="2700" w:type="dxa"/>
            <w:tcBorders>
              <w:top w:val="nil"/>
              <w:left w:val="nil"/>
              <w:bottom w:val="single" w:sz="4" w:space="0" w:color="auto"/>
              <w:right w:val="single" w:sz="4" w:space="0" w:color="auto"/>
            </w:tcBorders>
            <w:shd w:val="clear" w:color="auto" w:fill="auto"/>
            <w:vAlign w:val="center"/>
            <w:hideMark/>
          </w:tcPr>
          <w:p w:rsidR="00B15BC8" w:rsidRPr="0041461B" w:rsidP="005C6DBF" w14:paraId="24F3547D" w14:textId="77777777">
            <w:pPr>
              <w:widowControl/>
              <w:rPr>
                <w:snapToGrid/>
                <w:color w:val="000000"/>
                <w:kern w:val="0"/>
                <w:szCs w:val="22"/>
              </w:rPr>
            </w:pPr>
            <w:r w:rsidRPr="0041461B">
              <w:rPr>
                <w:snapToGrid/>
                <w:color w:val="000000"/>
                <w:kern w:val="0"/>
                <w:szCs w:val="22"/>
              </w:rPr>
              <w:t>ST. GEORGE</w:t>
            </w:r>
          </w:p>
        </w:tc>
        <w:tc>
          <w:tcPr>
            <w:tcW w:w="900" w:type="dxa"/>
            <w:tcBorders>
              <w:top w:val="nil"/>
              <w:left w:val="nil"/>
              <w:bottom w:val="single" w:sz="4" w:space="0" w:color="auto"/>
              <w:right w:val="single" w:sz="4" w:space="0" w:color="auto"/>
            </w:tcBorders>
            <w:shd w:val="clear" w:color="auto" w:fill="auto"/>
            <w:vAlign w:val="center"/>
            <w:hideMark/>
          </w:tcPr>
          <w:p w:rsidR="00B15BC8" w:rsidRPr="0041461B" w:rsidP="005C6DBF" w14:paraId="25FD14AE" w14:textId="77777777">
            <w:pPr>
              <w:widowControl/>
              <w:rPr>
                <w:snapToGrid/>
                <w:color w:val="000000"/>
                <w:kern w:val="0"/>
                <w:szCs w:val="22"/>
              </w:rPr>
            </w:pPr>
            <w:r w:rsidRPr="0041461B">
              <w:rPr>
                <w:snapToGrid/>
                <w:color w:val="000000"/>
                <w:kern w:val="0"/>
                <w:szCs w:val="22"/>
              </w:rPr>
              <w:t>62508 </w:t>
            </w:r>
          </w:p>
        </w:tc>
        <w:tc>
          <w:tcPr>
            <w:tcW w:w="1460" w:type="dxa"/>
            <w:tcBorders>
              <w:top w:val="nil"/>
              <w:left w:val="nil"/>
              <w:bottom w:val="single" w:sz="4" w:space="0" w:color="auto"/>
              <w:right w:val="single" w:sz="4" w:space="0" w:color="auto"/>
            </w:tcBorders>
            <w:shd w:val="clear" w:color="auto" w:fill="auto"/>
            <w:vAlign w:val="center"/>
            <w:hideMark/>
          </w:tcPr>
          <w:p w:rsidR="00B15BC8" w:rsidRPr="0041461B" w:rsidP="005C6DBF" w14:paraId="790F25CF" w14:textId="77777777">
            <w:pPr>
              <w:widowControl/>
              <w:rPr>
                <w:snapToGrid/>
                <w:color w:val="000000"/>
                <w:kern w:val="0"/>
                <w:szCs w:val="22"/>
              </w:rPr>
            </w:pPr>
            <w:r w:rsidRPr="0041461B">
              <w:rPr>
                <w:snapToGrid/>
                <w:color w:val="000000"/>
                <w:kern w:val="0"/>
                <w:szCs w:val="22"/>
              </w:rPr>
              <w:t>0000146919</w:t>
            </w:r>
          </w:p>
        </w:tc>
        <w:tc>
          <w:tcPr>
            <w:tcW w:w="2800" w:type="dxa"/>
            <w:tcBorders>
              <w:top w:val="nil"/>
              <w:left w:val="nil"/>
              <w:bottom w:val="single" w:sz="4" w:space="0" w:color="auto"/>
              <w:right w:val="single" w:sz="4" w:space="0" w:color="auto"/>
            </w:tcBorders>
            <w:shd w:val="clear" w:color="auto" w:fill="auto"/>
            <w:vAlign w:val="bottom"/>
            <w:hideMark/>
          </w:tcPr>
          <w:p w:rsidR="00B15BC8" w:rsidRPr="0041461B" w:rsidP="005C6DBF" w14:paraId="552A64CB" w14:textId="77777777">
            <w:pPr>
              <w:widowControl/>
              <w:rPr>
                <w:snapToGrid/>
                <w:color w:val="000000"/>
                <w:kern w:val="0"/>
                <w:szCs w:val="22"/>
              </w:rPr>
            </w:pPr>
            <w:r w:rsidRPr="0041461B">
              <w:rPr>
                <w:snapToGrid/>
                <w:color w:val="000000"/>
                <w:kern w:val="0"/>
                <w:szCs w:val="22"/>
              </w:rPr>
              <w:t>BDFCDVL-20141223AAO</w:t>
            </w:r>
          </w:p>
        </w:tc>
      </w:tr>
      <w:tr w14:paraId="3C11EFED" w14:textId="77777777" w:rsidTr="005C6DBF">
        <w:tblPrEx>
          <w:tblW w:w="8980" w:type="dxa"/>
          <w:tblLook w:val="04A0"/>
        </w:tblPrEx>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15BC8" w:rsidRPr="0041461B" w:rsidP="005C6DBF" w14:paraId="2CCB5A71" w14:textId="77777777">
            <w:pPr>
              <w:widowControl/>
              <w:rPr>
                <w:snapToGrid/>
                <w:color w:val="000000"/>
                <w:kern w:val="0"/>
                <w:szCs w:val="22"/>
              </w:rPr>
            </w:pPr>
            <w:r w:rsidRPr="0041461B">
              <w:rPr>
                <w:snapToGrid/>
                <w:color w:val="000000"/>
                <w:kern w:val="0"/>
                <w:szCs w:val="22"/>
              </w:rPr>
              <w:t>K07ST</w:t>
            </w:r>
          </w:p>
        </w:tc>
        <w:tc>
          <w:tcPr>
            <w:tcW w:w="2700" w:type="dxa"/>
            <w:tcBorders>
              <w:top w:val="nil"/>
              <w:left w:val="nil"/>
              <w:bottom w:val="single" w:sz="4" w:space="0" w:color="auto"/>
              <w:right w:val="single" w:sz="4" w:space="0" w:color="auto"/>
            </w:tcBorders>
            <w:shd w:val="clear" w:color="auto" w:fill="auto"/>
            <w:vAlign w:val="center"/>
            <w:hideMark/>
          </w:tcPr>
          <w:p w:rsidR="00B15BC8" w:rsidRPr="0041461B" w:rsidP="005C6DBF" w14:paraId="105963F7" w14:textId="77777777">
            <w:pPr>
              <w:widowControl/>
              <w:rPr>
                <w:snapToGrid/>
                <w:color w:val="000000"/>
                <w:kern w:val="0"/>
                <w:szCs w:val="22"/>
              </w:rPr>
            </w:pPr>
            <w:r w:rsidRPr="0041461B">
              <w:rPr>
                <w:snapToGrid/>
                <w:color w:val="000000"/>
                <w:kern w:val="0"/>
                <w:szCs w:val="22"/>
              </w:rPr>
              <w:t>WOMENS BAY</w:t>
            </w:r>
          </w:p>
        </w:tc>
        <w:tc>
          <w:tcPr>
            <w:tcW w:w="900" w:type="dxa"/>
            <w:tcBorders>
              <w:top w:val="nil"/>
              <w:left w:val="nil"/>
              <w:bottom w:val="single" w:sz="4" w:space="0" w:color="auto"/>
              <w:right w:val="single" w:sz="4" w:space="0" w:color="auto"/>
            </w:tcBorders>
            <w:shd w:val="clear" w:color="auto" w:fill="auto"/>
            <w:vAlign w:val="center"/>
            <w:hideMark/>
          </w:tcPr>
          <w:p w:rsidR="00B15BC8" w:rsidRPr="0041461B" w:rsidP="005C6DBF" w14:paraId="505CB613" w14:textId="77777777">
            <w:pPr>
              <w:widowControl/>
              <w:rPr>
                <w:snapToGrid/>
                <w:color w:val="000000"/>
                <w:kern w:val="0"/>
                <w:szCs w:val="22"/>
              </w:rPr>
            </w:pPr>
            <w:r w:rsidRPr="0041461B">
              <w:rPr>
                <w:snapToGrid/>
                <w:color w:val="000000"/>
                <w:kern w:val="0"/>
                <w:szCs w:val="22"/>
              </w:rPr>
              <w:t>62525 </w:t>
            </w:r>
          </w:p>
        </w:tc>
        <w:tc>
          <w:tcPr>
            <w:tcW w:w="1460" w:type="dxa"/>
            <w:tcBorders>
              <w:top w:val="nil"/>
              <w:left w:val="nil"/>
              <w:bottom w:val="single" w:sz="4" w:space="0" w:color="auto"/>
              <w:right w:val="single" w:sz="4" w:space="0" w:color="auto"/>
            </w:tcBorders>
            <w:shd w:val="clear" w:color="auto" w:fill="auto"/>
            <w:vAlign w:val="center"/>
            <w:hideMark/>
          </w:tcPr>
          <w:p w:rsidR="00B15BC8" w:rsidRPr="0041461B" w:rsidP="005C6DBF" w14:paraId="0FC1CB5A" w14:textId="77777777">
            <w:pPr>
              <w:widowControl/>
              <w:rPr>
                <w:snapToGrid/>
                <w:color w:val="000000"/>
                <w:kern w:val="0"/>
                <w:szCs w:val="22"/>
              </w:rPr>
            </w:pPr>
            <w:r w:rsidRPr="0041461B">
              <w:rPr>
                <w:snapToGrid/>
                <w:color w:val="000000"/>
                <w:kern w:val="0"/>
                <w:szCs w:val="22"/>
              </w:rPr>
              <w:t>0000146910</w:t>
            </w:r>
          </w:p>
        </w:tc>
        <w:tc>
          <w:tcPr>
            <w:tcW w:w="2800" w:type="dxa"/>
            <w:tcBorders>
              <w:top w:val="nil"/>
              <w:left w:val="nil"/>
              <w:bottom w:val="single" w:sz="4" w:space="0" w:color="auto"/>
              <w:right w:val="single" w:sz="4" w:space="0" w:color="auto"/>
            </w:tcBorders>
            <w:shd w:val="clear" w:color="auto" w:fill="auto"/>
            <w:vAlign w:val="bottom"/>
            <w:hideMark/>
          </w:tcPr>
          <w:p w:rsidR="00B15BC8" w:rsidRPr="0041461B" w:rsidP="005C6DBF" w14:paraId="18A2E402" w14:textId="77777777">
            <w:pPr>
              <w:widowControl/>
              <w:rPr>
                <w:snapToGrid/>
                <w:color w:val="000000"/>
                <w:kern w:val="0"/>
                <w:szCs w:val="22"/>
              </w:rPr>
            </w:pPr>
            <w:r w:rsidRPr="0041461B">
              <w:rPr>
                <w:snapToGrid/>
                <w:color w:val="000000"/>
                <w:kern w:val="0"/>
                <w:szCs w:val="22"/>
              </w:rPr>
              <w:t>BDFCDVL-20141015ADG</w:t>
            </w:r>
          </w:p>
        </w:tc>
      </w:tr>
      <w:tr w14:paraId="18FCBA7A" w14:textId="77777777" w:rsidTr="005C6DBF">
        <w:tblPrEx>
          <w:tblW w:w="8980" w:type="dxa"/>
          <w:tblLook w:val="04A0"/>
        </w:tblPrEx>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15BC8" w:rsidRPr="0041461B" w:rsidP="005C6DBF" w14:paraId="172E30B7" w14:textId="77777777">
            <w:pPr>
              <w:widowControl/>
              <w:rPr>
                <w:snapToGrid/>
                <w:color w:val="000000"/>
                <w:kern w:val="0"/>
                <w:szCs w:val="22"/>
              </w:rPr>
            </w:pPr>
            <w:r w:rsidRPr="0041461B">
              <w:rPr>
                <w:snapToGrid/>
                <w:color w:val="000000"/>
                <w:kern w:val="0"/>
                <w:szCs w:val="22"/>
              </w:rPr>
              <w:t>K11SD</w:t>
            </w:r>
          </w:p>
        </w:tc>
        <w:tc>
          <w:tcPr>
            <w:tcW w:w="2700" w:type="dxa"/>
            <w:tcBorders>
              <w:top w:val="nil"/>
              <w:left w:val="nil"/>
              <w:bottom w:val="single" w:sz="4" w:space="0" w:color="auto"/>
              <w:right w:val="single" w:sz="4" w:space="0" w:color="auto"/>
            </w:tcBorders>
            <w:shd w:val="clear" w:color="auto" w:fill="auto"/>
            <w:vAlign w:val="center"/>
            <w:hideMark/>
          </w:tcPr>
          <w:p w:rsidR="00B15BC8" w:rsidRPr="0041461B" w:rsidP="005C6DBF" w14:paraId="620F993F" w14:textId="77777777">
            <w:pPr>
              <w:widowControl/>
              <w:rPr>
                <w:snapToGrid/>
                <w:color w:val="000000"/>
                <w:kern w:val="0"/>
                <w:szCs w:val="22"/>
              </w:rPr>
            </w:pPr>
            <w:r w:rsidRPr="0041461B">
              <w:rPr>
                <w:snapToGrid/>
                <w:color w:val="000000"/>
                <w:kern w:val="0"/>
                <w:szCs w:val="22"/>
              </w:rPr>
              <w:t>EEK</w:t>
            </w:r>
          </w:p>
        </w:tc>
        <w:tc>
          <w:tcPr>
            <w:tcW w:w="900" w:type="dxa"/>
            <w:tcBorders>
              <w:top w:val="nil"/>
              <w:left w:val="nil"/>
              <w:bottom w:val="single" w:sz="4" w:space="0" w:color="auto"/>
              <w:right w:val="single" w:sz="4" w:space="0" w:color="auto"/>
            </w:tcBorders>
            <w:shd w:val="clear" w:color="auto" w:fill="auto"/>
            <w:vAlign w:val="center"/>
            <w:hideMark/>
          </w:tcPr>
          <w:p w:rsidR="00B15BC8" w:rsidRPr="0041461B" w:rsidP="005C6DBF" w14:paraId="0B76EBA5" w14:textId="77777777">
            <w:pPr>
              <w:widowControl/>
              <w:rPr>
                <w:snapToGrid/>
                <w:color w:val="000000"/>
                <w:kern w:val="0"/>
                <w:szCs w:val="22"/>
              </w:rPr>
            </w:pPr>
            <w:r w:rsidRPr="0041461B">
              <w:rPr>
                <w:snapToGrid/>
                <w:color w:val="000000"/>
                <w:kern w:val="0"/>
                <w:szCs w:val="22"/>
              </w:rPr>
              <w:t>62541 </w:t>
            </w:r>
          </w:p>
        </w:tc>
        <w:tc>
          <w:tcPr>
            <w:tcW w:w="1460" w:type="dxa"/>
            <w:tcBorders>
              <w:top w:val="nil"/>
              <w:left w:val="nil"/>
              <w:bottom w:val="single" w:sz="4" w:space="0" w:color="auto"/>
              <w:right w:val="single" w:sz="4" w:space="0" w:color="auto"/>
            </w:tcBorders>
            <w:shd w:val="clear" w:color="auto" w:fill="auto"/>
            <w:vAlign w:val="center"/>
            <w:hideMark/>
          </w:tcPr>
          <w:p w:rsidR="00B15BC8" w:rsidRPr="0041461B" w:rsidP="005C6DBF" w14:paraId="6C3ABFAD" w14:textId="77777777">
            <w:pPr>
              <w:widowControl/>
              <w:rPr>
                <w:snapToGrid/>
                <w:color w:val="000000"/>
                <w:kern w:val="0"/>
                <w:szCs w:val="22"/>
              </w:rPr>
            </w:pPr>
            <w:r w:rsidRPr="0041461B">
              <w:rPr>
                <w:snapToGrid/>
                <w:color w:val="000000"/>
                <w:kern w:val="0"/>
                <w:szCs w:val="22"/>
              </w:rPr>
              <w:t>0000146924</w:t>
            </w:r>
          </w:p>
        </w:tc>
        <w:tc>
          <w:tcPr>
            <w:tcW w:w="2800" w:type="dxa"/>
            <w:tcBorders>
              <w:top w:val="nil"/>
              <w:left w:val="nil"/>
              <w:bottom w:val="single" w:sz="4" w:space="0" w:color="auto"/>
              <w:right w:val="single" w:sz="4" w:space="0" w:color="auto"/>
            </w:tcBorders>
            <w:shd w:val="clear" w:color="auto" w:fill="auto"/>
            <w:vAlign w:val="bottom"/>
            <w:hideMark/>
          </w:tcPr>
          <w:p w:rsidR="00B15BC8" w:rsidRPr="0041461B" w:rsidP="005C6DBF" w14:paraId="24D84C88" w14:textId="77777777">
            <w:pPr>
              <w:widowControl/>
              <w:rPr>
                <w:snapToGrid/>
                <w:color w:val="000000"/>
                <w:kern w:val="0"/>
                <w:szCs w:val="22"/>
              </w:rPr>
            </w:pPr>
            <w:r w:rsidRPr="0041461B">
              <w:rPr>
                <w:snapToGrid/>
                <w:color w:val="000000"/>
                <w:kern w:val="0"/>
                <w:szCs w:val="22"/>
              </w:rPr>
              <w:t>BDFCDVL-20141113AGA</w:t>
            </w:r>
          </w:p>
        </w:tc>
      </w:tr>
      <w:tr w14:paraId="74020215" w14:textId="77777777" w:rsidTr="005C6DBF">
        <w:tblPrEx>
          <w:tblW w:w="8980" w:type="dxa"/>
          <w:tblLook w:val="04A0"/>
        </w:tblPrEx>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15BC8" w:rsidRPr="0041461B" w:rsidP="005C6DBF" w14:paraId="328A8F39" w14:textId="77777777">
            <w:pPr>
              <w:widowControl/>
              <w:rPr>
                <w:snapToGrid/>
                <w:color w:val="000000"/>
                <w:kern w:val="0"/>
                <w:szCs w:val="22"/>
              </w:rPr>
            </w:pPr>
            <w:r w:rsidRPr="0041461B">
              <w:rPr>
                <w:snapToGrid/>
                <w:color w:val="000000"/>
                <w:kern w:val="0"/>
                <w:szCs w:val="22"/>
              </w:rPr>
              <w:t>K04LJ</w:t>
            </w:r>
          </w:p>
        </w:tc>
        <w:tc>
          <w:tcPr>
            <w:tcW w:w="2700" w:type="dxa"/>
            <w:tcBorders>
              <w:top w:val="nil"/>
              <w:left w:val="nil"/>
              <w:bottom w:val="single" w:sz="4" w:space="0" w:color="auto"/>
              <w:right w:val="single" w:sz="4" w:space="0" w:color="auto"/>
            </w:tcBorders>
            <w:shd w:val="clear" w:color="auto" w:fill="auto"/>
            <w:vAlign w:val="center"/>
            <w:hideMark/>
          </w:tcPr>
          <w:p w:rsidR="00B15BC8" w:rsidRPr="0041461B" w:rsidP="005C6DBF" w14:paraId="08A53A54" w14:textId="77777777">
            <w:pPr>
              <w:widowControl/>
              <w:rPr>
                <w:snapToGrid/>
                <w:color w:val="000000"/>
                <w:kern w:val="0"/>
                <w:szCs w:val="22"/>
              </w:rPr>
            </w:pPr>
            <w:r w:rsidRPr="0041461B">
              <w:rPr>
                <w:snapToGrid/>
                <w:color w:val="000000"/>
                <w:kern w:val="0"/>
                <w:szCs w:val="22"/>
              </w:rPr>
              <w:t>ATKA</w:t>
            </w:r>
          </w:p>
        </w:tc>
        <w:tc>
          <w:tcPr>
            <w:tcW w:w="900" w:type="dxa"/>
            <w:tcBorders>
              <w:top w:val="nil"/>
              <w:left w:val="nil"/>
              <w:bottom w:val="single" w:sz="4" w:space="0" w:color="auto"/>
              <w:right w:val="single" w:sz="4" w:space="0" w:color="auto"/>
            </w:tcBorders>
            <w:shd w:val="clear" w:color="auto" w:fill="auto"/>
            <w:vAlign w:val="center"/>
            <w:hideMark/>
          </w:tcPr>
          <w:p w:rsidR="00B15BC8" w:rsidRPr="0041461B" w:rsidP="005C6DBF" w14:paraId="45BB59F8" w14:textId="77777777">
            <w:pPr>
              <w:widowControl/>
              <w:rPr>
                <w:snapToGrid/>
                <w:color w:val="000000"/>
                <w:kern w:val="0"/>
                <w:szCs w:val="22"/>
              </w:rPr>
            </w:pPr>
            <w:r w:rsidRPr="0041461B">
              <w:rPr>
                <w:snapToGrid/>
                <w:color w:val="000000"/>
                <w:kern w:val="0"/>
                <w:szCs w:val="22"/>
              </w:rPr>
              <w:t>62542 </w:t>
            </w:r>
          </w:p>
        </w:tc>
        <w:tc>
          <w:tcPr>
            <w:tcW w:w="1460" w:type="dxa"/>
            <w:tcBorders>
              <w:top w:val="nil"/>
              <w:left w:val="nil"/>
              <w:bottom w:val="single" w:sz="4" w:space="0" w:color="auto"/>
              <w:right w:val="single" w:sz="4" w:space="0" w:color="auto"/>
            </w:tcBorders>
            <w:shd w:val="clear" w:color="auto" w:fill="auto"/>
            <w:vAlign w:val="center"/>
            <w:hideMark/>
          </w:tcPr>
          <w:p w:rsidR="00B15BC8" w:rsidRPr="0041461B" w:rsidP="005C6DBF" w14:paraId="3F775470" w14:textId="77777777">
            <w:pPr>
              <w:widowControl/>
              <w:rPr>
                <w:snapToGrid/>
                <w:color w:val="000000"/>
                <w:kern w:val="0"/>
                <w:szCs w:val="22"/>
              </w:rPr>
            </w:pPr>
            <w:r w:rsidRPr="0041461B">
              <w:rPr>
                <w:snapToGrid/>
                <w:color w:val="000000"/>
                <w:kern w:val="0"/>
                <w:szCs w:val="22"/>
              </w:rPr>
              <w:t>0000146925</w:t>
            </w:r>
          </w:p>
        </w:tc>
        <w:tc>
          <w:tcPr>
            <w:tcW w:w="2800" w:type="dxa"/>
            <w:tcBorders>
              <w:top w:val="nil"/>
              <w:left w:val="nil"/>
              <w:bottom w:val="single" w:sz="4" w:space="0" w:color="auto"/>
              <w:right w:val="single" w:sz="4" w:space="0" w:color="auto"/>
            </w:tcBorders>
            <w:shd w:val="clear" w:color="auto" w:fill="auto"/>
            <w:vAlign w:val="bottom"/>
            <w:hideMark/>
          </w:tcPr>
          <w:p w:rsidR="00B15BC8" w:rsidRPr="0041461B" w:rsidP="005C6DBF" w14:paraId="5FEF2241" w14:textId="77777777">
            <w:pPr>
              <w:widowControl/>
              <w:rPr>
                <w:snapToGrid/>
                <w:color w:val="000000"/>
                <w:kern w:val="0"/>
                <w:szCs w:val="22"/>
              </w:rPr>
            </w:pPr>
            <w:r w:rsidRPr="0041461B">
              <w:rPr>
                <w:snapToGrid/>
                <w:color w:val="000000"/>
                <w:kern w:val="0"/>
                <w:szCs w:val="22"/>
              </w:rPr>
              <w:t>BDFCDVL-20141024ADE</w:t>
            </w:r>
          </w:p>
        </w:tc>
      </w:tr>
      <w:tr w14:paraId="31775EBC" w14:textId="77777777" w:rsidTr="005C6DBF">
        <w:tblPrEx>
          <w:tblW w:w="8980" w:type="dxa"/>
          <w:tblLook w:val="04A0"/>
        </w:tblPrEx>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15BC8" w:rsidRPr="0041461B" w:rsidP="005C6DBF" w14:paraId="0C16E41B" w14:textId="77777777">
            <w:pPr>
              <w:widowControl/>
              <w:rPr>
                <w:snapToGrid/>
                <w:color w:val="000000"/>
                <w:kern w:val="0"/>
                <w:szCs w:val="22"/>
              </w:rPr>
            </w:pPr>
            <w:r w:rsidRPr="0041461B">
              <w:rPr>
                <w:snapToGrid/>
                <w:color w:val="000000"/>
                <w:kern w:val="0"/>
                <w:szCs w:val="22"/>
              </w:rPr>
              <w:t>K07TH</w:t>
            </w:r>
          </w:p>
        </w:tc>
        <w:tc>
          <w:tcPr>
            <w:tcW w:w="2700" w:type="dxa"/>
            <w:tcBorders>
              <w:top w:val="nil"/>
              <w:left w:val="nil"/>
              <w:bottom w:val="single" w:sz="4" w:space="0" w:color="auto"/>
              <w:right w:val="single" w:sz="4" w:space="0" w:color="auto"/>
            </w:tcBorders>
            <w:shd w:val="clear" w:color="auto" w:fill="auto"/>
            <w:vAlign w:val="center"/>
            <w:hideMark/>
          </w:tcPr>
          <w:p w:rsidR="00B15BC8" w:rsidRPr="0041461B" w:rsidP="005C6DBF" w14:paraId="653998AD" w14:textId="77777777">
            <w:pPr>
              <w:widowControl/>
              <w:rPr>
                <w:snapToGrid/>
                <w:color w:val="000000"/>
                <w:kern w:val="0"/>
                <w:szCs w:val="22"/>
              </w:rPr>
            </w:pPr>
            <w:r w:rsidRPr="0041461B">
              <w:rPr>
                <w:snapToGrid/>
                <w:color w:val="000000"/>
                <w:kern w:val="0"/>
                <w:szCs w:val="22"/>
              </w:rPr>
              <w:t>LIME VILLAGE</w:t>
            </w:r>
          </w:p>
        </w:tc>
        <w:tc>
          <w:tcPr>
            <w:tcW w:w="900" w:type="dxa"/>
            <w:tcBorders>
              <w:top w:val="nil"/>
              <w:left w:val="nil"/>
              <w:bottom w:val="single" w:sz="4" w:space="0" w:color="auto"/>
              <w:right w:val="single" w:sz="4" w:space="0" w:color="auto"/>
            </w:tcBorders>
            <w:shd w:val="clear" w:color="auto" w:fill="auto"/>
            <w:vAlign w:val="center"/>
            <w:hideMark/>
          </w:tcPr>
          <w:p w:rsidR="00B15BC8" w:rsidRPr="0041461B" w:rsidP="005C6DBF" w14:paraId="6DA31FE1" w14:textId="77777777">
            <w:pPr>
              <w:widowControl/>
              <w:rPr>
                <w:snapToGrid/>
                <w:color w:val="000000"/>
                <w:kern w:val="0"/>
                <w:szCs w:val="22"/>
              </w:rPr>
            </w:pPr>
            <w:r w:rsidRPr="0041461B">
              <w:rPr>
                <w:snapToGrid/>
                <w:color w:val="000000"/>
                <w:kern w:val="0"/>
                <w:szCs w:val="22"/>
              </w:rPr>
              <w:t>62548 </w:t>
            </w:r>
          </w:p>
        </w:tc>
        <w:tc>
          <w:tcPr>
            <w:tcW w:w="1460" w:type="dxa"/>
            <w:tcBorders>
              <w:top w:val="nil"/>
              <w:left w:val="nil"/>
              <w:bottom w:val="single" w:sz="4" w:space="0" w:color="auto"/>
              <w:right w:val="single" w:sz="4" w:space="0" w:color="auto"/>
            </w:tcBorders>
            <w:shd w:val="clear" w:color="auto" w:fill="auto"/>
            <w:vAlign w:val="center"/>
            <w:hideMark/>
          </w:tcPr>
          <w:p w:rsidR="00B15BC8" w:rsidRPr="0041461B" w:rsidP="005C6DBF" w14:paraId="260ADE52" w14:textId="77777777">
            <w:pPr>
              <w:widowControl/>
              <w:rPr>
                <w:snapToGrid/>
                <w:color w:val="000000"/>
                <w:kern w:val="0"/>
                <w:szCs w:val="22"/>
              </w:rPr>
            </w:pPr>
            <w:r w:rsidRPr="0041461B">
              <w:rPr>
                <w:snapToGrid/>
                <w:color w:val="000000"/>
                <w:kern w:val="0"/>
                <w:szCs w:val="22"/>
              </w:rPr>
              <w:t>0000146927</w:t>
            </w:r>
          </w:p>
        </w:tc>
        <w:tc>
          <w:tcPr>
            <w:tcW w:w="2800" w:type="dxa"/>
            <w:tcBorders>
              <w:top w:val="nil"/>
              <w:left w:val="nil"/>
              <w:bottom w:val="single" w:sz="4" w:space="0" w:color="auto"/>
              <w:right w:val="single" w:sz="4" w:space="0" w:color="auto"/>
            </w:tcBorders>
            <w:shd w:val="clear" w:color="auto" w:fill="auto"/>
            <w:vAlign w:val="bottom"/>
            <w:hideMark/>
          </w:tcPr>
          <w:p w:rsidR="00B15BC8" w:rsidRPr="0041461B" w:rsidP="005C6DBF" w14:paraId="09FFB2B4" w14:textId="77777777">
            <w:pPr>
              <w:widowControl/>
              <w:rPr>
                <w:snapToGrid/>
                <w:color w:val="000000"/>
                <w:kern w:val="0"/>
                <w:szCs w:val="22"/>
              </w:rPr>
            </w:pPr>
            <w:r w:rsidRPr="0041461B">
              <w:rPr>
                <w:snapToGrid/>
                <w:color w:val="000000"/>
                <w:kern w:val="0"/>
                <w:szCs w:val="22"/>
              </w:rPr>
              <w:t>BDFCDVL-20141215ABZ</w:t>
            </w:r>
          </w:p>
        </w:tc>
      </w:tr>
      <w:tr w14:paraId="7BE7B424" w14:textId="77777777" w:rsidTr="005C6DBF">
        <w:tblPrEx>
          <w:tblW w:w="8980" w:type="dxa"/>
          <w:tblLook w:val="04A0"/>
        </w:tblPrEx>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15BC8" w:rsidRPr="0041461B" w:rsidP="005C6DBF" w14:paraId="4B7A26BE" w14:textId="77777777">
            <w:pPr>
              <w:widowControl/>
              <w:rPr>
                <w:snapToGrid/>
                <w:color w:val="000000"/>
                <w:kern w:val="0"/>
                <w:szCs w:val="22"/>
              </w:rPr>
            </w:pPr>
            <w:r w:rsidRPr="0041461B">
              <w:rPr>
                <w:snapToGrid/>
                <w:color w:val="000000"/>
                <w:kern w:val="0"/>
                <w:szCs w:val="22"/>
              </w:rPr>
              <w:t>K13SV</w:t>
            </w:r>
          </w:p>
        </w:tc>
        <w:tc>
          <w:tcPr>
            <w:tcW w:w="2700" w:type="dxa"/>
            <w:tcBorders>
              <w:top w:val="nil"/>
              <w:left w:val="nil"/>
              <w:bottom w:val="single" w:sz="4" w:space="0" w:color="auto"/>
              <w:right w:val="single" w:sz="4" w:space="0" w:color="auto"/>
            </w:tcBorders>
            <w:shd w:val="clear" w:color="auto" w:fill="auto"/>
            <w:vAlign w:val="center"/>
            <w:hideMark/>
          </w:tcPr>
          <w:p w:rsidR="00B15BC8" w:rsidRPr="0041461B" w:rsidP="005C6DBF" w14:paraId="282D15B3" w14:textId="77777777">
            <w:pPr>
              <w:widowControl/>
              <w:rPr>
                <w:snapToGrid/>
                <w:color w:val="000000"/>
                <w:kern w:val="0"/>
                <w:szCs w:val="22"/>
              </w:rPr>
            </w:pPr>
            <w:r w:rsidRPr="0041461B">
              <w:rPr>
                <w:snapToGrid/>
                <w:color w:val="000000"/>
                <w:kern w:val="0"/>
                <w:szCs w:val="22"/>
              </w:rPr>
              <w:t>PEDRO BAY</w:t>
            </w:r>
          </w:p>
        </w:tc>
        <w:tc>
          <w:tcPr>
            <w:tcW w:w="900" w:type="dxa"/>
            <w:tcBorders>
              <w:top w:val="nil"/>
              <w:left w:val="nil"/>
              <w:bottom w:val="single" w:sz="4" w:space="0" w:color="auto"/>
              <w:right w:val="single" w:sz="4" w:space="0" w:color="auto"/>
            </w:tcBorders>
            <w:shd w:val="clear" w:color="auto" w:fill="auto"/>
            <w:vAlign w:val="center"/>
            <w:hideMark/>
          </w:tcPr>
          <w:p w:rsidR="00B15BC8" w:rsidRPr="0041461B" w:rsidP="005C6DBF" w14:paraId="64A6433A" w14:textId="77777777">
            <w:pPr>
              <w:widowControl/>
              <w:rPr>
                <w:snapToGrid/>
                <w:color w:val="000000"/>
                <w:kern w:val="0"/>
                <w:szCs w:val="22"/>
              </w:rPr>
            </w:pPr>
            <w:r w:rsidRPr="0041461B">
              <w:rPr>
                <w:snapToGrid/>
                <w:color w:val="000000"/>
                <w:kern w:val="0"/>
                <w:szCs w:val="22"/>
              </w:rPr>
              <w:t>62563 </w:t>
            </w:r>
          </w:p>
        </w:tc>
        <w:tc>
          <w:tcPr>
            <w:tcW w:w="1460" w:type="dxa"/>
            <w:tcBorders>
              <w:top w:val="nil"/>
              <w:left w:val="nil"/>
              <w:bottom w:val="single" w:sz="4" w:space="0" w:color="auto"/>
              <w:right w:val="single" w:sz="4" w:space="0" w:color="auto"/>
            </w:tcBorders>
            <w:shd w:val="clear" w:color="auto" w:fill="auto"/>
            <w:vAlign w:val="center"/>
            <w:hideMark/>
          </w:tcPr>
          <w:p w:rsidR="00B15BC8" w:rsidRPr="0041461B" w:rsidP="005C6DBF" w14:paraId="596DE1AF" w14:textId="77777777">
            <w:pPr>
              <w:widowControl/>
              <w:rPr>
                <w:snapToGrid/>
                <w:color w:val="000000"/>
                <w:kern w:val="0"/>
                <w:szCs w:val="22"/>
              </w:rPr>
            </w:pPr>
            <w:r w:rsidRPr="0041461B">
              <w:rPr>
                <w:snapToGrid/>
                <w:color w:val="000000"/>
                <w:kern w:val="0"/>
                <w:szCs w:val="22"/>
              </w:rPr>
              <w:t>0000146923</w:t>
            </w:r>
          </w:p>
        </w:tc>
        <w:tc>
          <w:tcPr>
            <w:tcW w:w="2800" w:type="dxa"/>
            <w:tcBorders>
              <w:top w:val="nil"/>
              <w:left w:val="nil"/>
              <w:bottom w:val="single" w:sz="4" w:space="0" w:color="auto"/>
              <w:right w:val="single" w:sz="4" w:space="0" w:color="auto"/>
            </w:tcBorders>
            <w:shd w:val="clear" w:color="auto" w:fill="auto"/>
            <w:vAlign w:val="bottom"/>
            <w:hideMark/>
          </w:tcPr>
          <w:p w:rsidR="00B15BC8" w:rsidRPr="0041461B" w:rsidP="005C6DBF" w14:paraId="6777D9B4" w14:textId="77777777">
            <w:pPr>
              <w:widowControl/>
              <w:rPr>
                <w:snapToGrid/>
                <w:color w:val="000000"/>
                <w:kern w:val="0"/>
                <w:szCs w:val="22"/>
              </w:rPr>
            </w:pPr>
            <w:r w:rsidRPr="0041461B">
              <w:rPr>
                <w:snapToGrid/>
                <w:color w:val="000000"/>
                <w:kern w:val="0"/>
                <w:szCs w:val="22"/>
              </w:rPr>
              <w:t>BDFCDVL-20141222ABJ</w:t>
            </w:r>
          </w:p>
        </w:tc>
      </w:tr>
      <w:tr w14:paraId="1FBE925F" w14:textId="77777777" w:rsidTr="005C6DBF">
        <w:tblPrEx>
          <w:tblW w:w="8980" w:type="dxa"/>
          <w:tblLook w:val="04A0"/>
        </w:tblPrEx>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15BC8" w:rsidRPr="0041461B" w:rsidP="005C6DBF" w14:paraId="02F6BC8C" w14:textId="77777777">
            <w:pPr>
              <w:widowControl/>
              <w:rPr>
                <w:snapToGrid/>
                <w:color w:val="000000"/>
                <w:kern w:val="0"/>
                <w:szCs w:val="22"/>
              </w:rPr>
            </w:pPr>
            <w:r w:rsidRPr="0041461B">
              <w:rPr>
                <w:snapToGrid/>
                <w:color w:val="000000"/>
                <w:kern w:val="0"/>
                <w:szCs w:val="22"/>
              </w:rPr>
              <w:t>K03GL</w:t>
            </w:r>
          </w:p>
        </w:tc>
        <w:tc>
          <w:tcPr>
            <w:tcW w:w="2700" w:type="dxa"/>
            <w:tcBorders>
              <w:top w:val="nil"/>
              <w:left w:val="nil"/>
              <w:bottom w:val="single" w:sz="4" w:space="0" w:color="auto"/>
              <w:right w:val="single" w:sz="4" w:space="0" w:color="auto"/>
            </w:tcBorders>
            <w:shd w:val="clear" w:color="auto" w:fill="auto"/>
            <w:vAlign w:val="center"/>
            <w:hideMark/>
          </w:tcPr>
          <w:p w:rsidR="00B15BC8" w:rsidRPr="0041461B" w:rsidP="005C6DBF" w14:paraId="4EABF6E3" w14:textId="77777777">
            <w:pPr>
              <w:widowControl/>
              <w:rPr>
                <w:snapToGrid/>
                <w:color w:val="000000"/>
                <w:kern w:val="0"/>
                <w:szCs w:val="22"/>
              </w:rPr>
            </w:pPr>
            <w:r w:rsidRPr="0041461B">
              <w:rPr>
                <w:snapToGrid/>
                <w:color w:val="000000"/>
                <w:kern w:val="0"/>
                <w:szCs w:val="22"/>
              </w:rPr>
              <w:t>KING MOUNTAIN, ETC.</w:t>
            </w:r>
          </w:p>
        </w:tc>
        <w:tc>
          <w:tcPr>
            <w:tcW w:w="900" w:type="dxa"/>
            <w:tcBorders>
              <w:top w:val="nil"/>
              <w:left w:val="nil"/>
              <w:bottom w:val="single" w:sz="4" w:space="0" w:color="auto"/>
              <w:right w:val="single" w:sz="4" w:space="0" w:color="auto"/>
            </w:tcBorders>
            <w:shd w:val="clear" w:color="auto" w:fill="auto"/>
            <w:vAlign w:val="center"/>
            <w:hideMark/>
          </w:tcPr>
          <w:p w:rsidR="00B15BC8" w:rsidRPr="0041461B" w:rsidP="005C6DBF" w14:paraId="362B4CDE" w14:textId="77777777">
            <w:pPr>
              <w:widowControl/>
              <w:rPr>
                <w:snapToGrid/>
                <w:color w:val="000000"/>
                <w:kern w:val="0"/>
                <w:szCs w:val="22"/>
              </w:rPr>
            </w:pPr>
            <w:r w:rsidRPr="0041461B">
              <w:rPr>
                <w:snapToGrid/>
                <w:color w:val="000000"/>
                <w:kern w:val="0"/>
                <w:szCs w:val="22"/>
              </w:rPr>
              <w:t>62580 </w:t>
            </w:r>
          </w:p>
        </w:tc>
        <w:tc>
          <w:tcPr>
            <w:tcW w:w="1460" w:type="dxa"/>
            <w:tcBorders>
              <w:top w:val="nil"/>
              <w:left w:val="nil"/>
              <w:bottom w:val="single" w:sz="4" w:space="0" w:color="auto"/>
              <w:right w:val="single" w:sz="4" w:space="0" w:color="auto"/>
            </w:tcBorders>
            <w:shd w:val="clear" w:color="auto" w:fill="auto"/>
            <w:vAlign w:val="center"/>
            <w:hideMark/>
          </w:tcPr>
          <w:p w:rsidR="00B15BC8" w:rsidRPr="0041461B" w:rsidP="005C6DBF" w14:paraId="3630A86E" w14:textId="77777777">
            <w:pPr>
              <w:widowControl/>
              <w:rPr>
                <w:snapToGrid/>
                <w:color w:val="000000"/>
                <w:kern w:val="0"/>
                <w:szCs w:val="22"/>
              </w:rPr>
            </w:pPr>
            <w:r w:rsidRPr="0041461B">
              <w:rPr>
                <w:snapToGrid/>
                <w:color w:val="000000"/>
                <w:kern w:val="0"/>
                <w:szCs w:val="22"/>
              </w:rPr>
              <w:t>0000145181</w:t>
            </w:r>
          </w:p>
        </w:tc>
        <w:tc>
          <w:tcPr>
            <w:tcW w:w="2800" w:type="dxa"/>
            <w:tcBorders>
              <w:top w:val="nil"/>
              <w:left w:val="nil"/>
              <w:bottom w:val="single" w:sz="4" w:space="0" w:color="auto"/>
              <w:right w:val="single" w:sz="4" w:space="0" w:color="auto"/>
            </w:tcBorders>
            <w:shd w:val="clear" w:color="auto" w:fill="auto"/>
            <w:vAlign w:val="center"/>
            <w:hideMark/>
          </w:tcPr>
          <w:p w:rsidR="00B15BC8" w:rsidRPr="0041461B" w:rsidP="005C6DBF" w14:paraId="03BA5E41" w14:textId="77777777">
            <w:pPr>
              <w:widowControl/>
              <w:rPr>
                <w:snapToGrid/>
                <w:color w:val="000000"/>
                <w:kern w:val="0"/>
                <w:szCs w:val="22"/>
              </w:rPr>
            </w:pPr>
            <w:r w:rsidRPr="0041461B">
              <w:rPr>
                <w:snapToGrid/>
                <w:color w:val="000000"/>
                <w:kern w:val="0"/>
                <w:szCs w:val="22"/>
              </w:rPr>
              <w:t>BDFCDVL-20141120AEX</w:t>
            </w:r>
          </w:p>
        </w:tc>
      </w:tr>
      <w:tr w14:paraId="33154877" w14:textId="77777777" w:rsidTr="005C6DBF">
        <w:tblPrEx>
          <w:tblW w:w="8980" w:type="dxa"/>
          <w:tblLook w:val="04A0"/>
        </w:tblPrEx>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15BC8" w:rsidRPr="0041461B" w:rsidP="005C6DBF" w14:paraId="6D02072C" w14:textId="77777777">
            <w:pPr>
              <w:widowControl/>
              <w:rPr>
                <w:snapToGrid/>
                <w:color w:val="000000"/>
                <w:kern w:val="0"/>
                <w:szCs w:val="22"/>
              </w:rPr>
            </w:pPr>
            <w:r w:rsidRPr="0041461B">
              <w:rPr>
                <w:snapToGrid/>
                <w:color w:val="000000"/>
                <w:kern w:val="0"/>
                <w:szCs w:val="22"/>
              </w:rPr>
              <w:t>K04LE</w:t>
            </w:r>
          </w:p>
        </w:tc>
        <w:tc>
          <w:tcPr>
            <w:tcW w:w="2700" w:type="dxa"/>
            <w:tcBorders>
              <w:top w:val="nil"/>
              <w:left w:val="nil"/>
              <w:bottom w:val="single" w:sz="4" w:space="0" w:color="auto"/>
              <w:right w:val="single" w:sz="4" w:space="0" w:color="auto"/>
            </w:tcBorders>
            <w:shd w:val="clear" w:color="auto" w:fill="auto"/>
            <w:vAlign w:val="center"/>
            <w:hideMark/>
          </w:tcPr>
          <w:p w:rsidR="00B15BC8" w:rsidRPr="0041461B" w:rsidP="005C6DBF" w14:paraId="01DA19D3" w14:textId="77777777">
            <w:pPr>
              <w:widowControl/>
              <w:rPr>
                <w:snapToGrid/>
                <w:color w:val="000000"/>
                <w:kern w:val="0"/>
                <w:szCs w:val="22"/>
              </w:rPr>
            </w:pPr>
            <w:r w:rsidRPr="0041461B">
              <w:rPr>
                <w:snapToGrid/>
                <w:color w:val="000000"/>
                <w:kern w:val="0"/>
                <w:szCs w:val="22"/>
              </w:rPr>
              <w:t>STEBBINS</w:t>
            </w:r>
          </w:p>
        </w:tc>
        <w:tc>
          <w:tcPr>
            <w:tcW w:w="900" w:type="dxa"/>
            <w:tcBorders>
              <w:top w:val="nil"/>
              <w:left w:val="nil"/>
              <w:bottom w:val="single" w:sz="4" w:space="0" w:color="auto"/>
              <w:right w:val="single" w:sz="4" w:space="0" w:color="auto"/>
            </w:tcBorders>
            <w:shd w:val="clear" w:color="auto" w:fill="auto"/>
            <w:vAlign w:val="center"/>
            <w:hideMark/>
          </w:tcPr>
          <w:p w:rsidR="00B15BC8" w:rsidRPr="0041461B" w:rsidP="005C6DBF" w14:paraId="271D6A6D" w14:textId="77777777">
            <w:pPr>
              <w:widowControl/>
              <w:rPr>
                <w:snapToGrid/>
                <w:color w:val="000000"/>
                <w:kern w:val="0"/>
                <w:szCs w:val="22"/>
              </w:rPr>
            </w:pPr>
            <w:r w:rsidRPr="0041461B">
              <w:rPr>
                <w:snapToGrid/>
                <w:color w:val="000000"/>
                <w:kern w:val="0"/>
                <w:szCs w:val="22"/>
              </w:rPr>
              <w:t>62668 </w:t>
            </w:r>
          </w:p>
        </w:tc>
        <w:tc>
          <w:tcPr>
            <w:tcW w:w="1460" w:type="dxa"/>
            <w:tcBorders>
              <w:top w:val="nil"/>
              <w:left w:val="nil"/>
              <w:bottom w:val="single" w:sz="4" w:space="0" w:color="auto"/>
              <w:right w:val="single" w:sz="4" w:space="0" w:color="auto"/>
            </w:tcBorders>
            <w:shd w:val="clear" w:color="auto" w:fill="auto"/>
            <w:vAlign w:val="center"/>
            <w:hideMark/>
          </w:tcPr>
          <w:p w:rsidR="00B15BC8" w:rsidRPr="0041461B" w:rsidP="005C6DBF" w14:paraId="2E88A8F9" w14:textId="77777777">
            <w:pPr>
              <w:widowControl/>
              <w:rPr>
                <w:snapToGrid/>
                <w:color w:val="000000"/>
                <w:kern w:val="0"/>
                <w:szCs w:val="22"/>
              </w:rPr>
            </w:pPr>
            <w:r w:rsidRPr="0041461B">
              <w:rPr>
                <w:snapToGrid/>
                <w:color w:val="000000"/>
                <w:kern w:val="0"/>
                <w:szCs w:val="22"/>
              </w:rPr>
              <w:t>0000146912</w:t>
            </w:r>
          </w:p>
        </w:tc>
        <w:tc>
          <w:tcPr>
            <w:tcW w:w="2800" w:type="dxa"/>
            <w:tcBorders>
              <w:top w:val="nil"/>
              <w:left w:val="nil"/>
              <w:bottom w:val="single" w:sz="4" w:space="0" w:color="auto"/>
              <w:right w:val="single" w:sz="4" w:space="0" w:color="auto"/>
            </w:tcBorders>
            <w:shd w:val="clear" w:color="auto" w:fill="auto"/>
            <w:vAlign w:val="bottom"/>
            <w:hideMark/>
          </w:tcPr>
          <w:p w:rsidR="00B15BC8" w:rsidRPr="0041461B" w:rsidP="005C6DBF" w14:paraId="4BC72CFA" w14:textId="77777777">
            <w:pPr>
              <w:widowControl/>
              <w:rPr>
                <w:snapToGrid/>
                <w:color w:val="000000"/>
                <w:kern w:val="0"/>
                <w:szCs w:val="22"/>
              </w:rPr>
            </w:pPr>
            <w:r w:rsidRPr="0041461B">
              <w:rPr>
                <w:snapToGrid/>
                <w:color w:val="000000"/>
                <w:kern w:val="0"/>
                <w:szCs w:val="22"/>
              </w:rPr>
              <w:t>BDFCDVL-20141229ADC</w:t>
            </w:r>
          </w:p>
        </w:tc>
      </w:tr>
      <w:tr w14:paraId="0A73CC1A" w14:textId="77777777" w:rsidTr="005C6DBF">
        <w:tblPrEx>
          <w:tblW w:w="8980" w:type="dxa"/>
          <w:tblLook w:val="04A0"/>
        </w:tblPrEx>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15BC8" w:rsidRPr="0041461B" w:rsidP="005C6DBF" w14:paraId="5289C84F" w14:textId="77777777">
            <w:pPr>
              <w:widowControl/>
              <w:rPr>
                <w:snapToGrid/>
                <w:color w:val="000000"/>
                <w:kern w:val="0"/>
                <w:szCs w:val="22"/>
              </w:rPr>
            </w:pPr>
            <w:r w:rsidRPr="0041461B">
              <w:rPr>
                <w:snapToGrid/>
                <w:color w:val="000000"/>
                <w:kern w:val="0"/>
                <w:szCs w:val="22"/>
              </w:rPr>
              <w:t>K09RB</w:t>
            </w:r>
          </w:p>
        </w:tc>
        <w:tc>
          <w:tcPr>
            <w:tcW w:w="2700" w:type="dxa"/>
            <w:tcBorders>
              <w:top w:val="nil"/>
              <w:left w:val="nil"/>
              <w:bottom w:val="single" w:sz="4" w:space="0" w:color="auto"/>
              <w:right w:val="single" w:sz="4" w:space="0" w:color="auto"/>
            </w:tcBorders>
            <w:shd w:val="clear" w:color="auto" w:fill="auto"/>
            <w:vAlign w:val="center"/>
            <w:hideMark/>
          </w:tcPr>
          <w:p w:rsidR="00B15BC8" w:rsidRPr="0041461B" w:rsidP="005C6DBF" w14:paraId="0AD658B1" w14:textId="77777777">
            <w:pPr>
              <w:widowControl/>
              <w:rPr>
                <w:snapToGrid/>
                <w:color w:val="000000"/>
                <w:kern w:val="0"/>
                <w:szCs w:val="22"/>
              </w:rPr>
            </w:pPr>
            <w:r w:rsidRPr="0041461B">
              <w:rPr>
                <w:snapToGrid/>
                <w:color w:val="000000"/>
                <w:kern w:val="0"/>
                <w:szCs w:val="22"/>
              </w:rPr>
              <w:t>ST. PAUL</w:t>
            </w:r>
          </w:p>
        </w:tc>
        <w:tc>
          <w:tcPr>
            <w:tcW w:w="900" w:type="dxa"/>
            <w:tcBorders>
              <w:top w:val="nil"/>
              <w:left w:val="nil"/>
              <w:bottom w:val="single" w:sz="4" w:space="0" w:color="auto"/>
              <w:right w:val="single" w:sz="4" w:space="0" w:color="auto"/>
            </w:tcBorders>
            <w:shd w:val="clear" w:color="auto" w:fill="auto"/>
            <w:vAlign w:val="center"/>
            <w:hideMark/>
          </w:tcPr>
          <w:p w:rsidR="00B15BC8" w:rsidRPr="0041461B" w:rsidP="005C6DBF" w14:paraId="5C15378B" w14:textId="77777777">
            <w:pPr>
              <w:widowControl/>
              <w:rPr>
                <w:snapToGrid/>
                <w:color w:val="000000"/>
                <w:kern w:val="0"/>
                <w:szCs w:val="22"/>
              </w:rPr>
            </w:pPr>
            <w:r w:rsidRPr="0041461B">
              <w:rPr>
                <w:snapToGrid/>
                <w:color w:val="000000"/>
                <w:kern w:val="0"/>
                <w:szCs w:val="22"/>
              </w:rPr>
              <w:t>62691 </w:t>
            </w:r>
          </w:p>
        </w:tc>
        <w:tc>
          <w:tcPr>
            <w:tcW w:w="1460" w:type="dxa"/>
            <w:tcBorders>
              <w:top w:val="nil"/>
              <w:left w:val="nil"/>
              <w:bottom w:val="single" w:sz="4" w:space="0" w:color="auto"/>
              <w:right w:val="single" w:sz="4" w:space="0" w:color="auto"/>
            </w:tcBorders>
            <w:shd w:val="clear" w:color="auto" w:fill="auto"/>
            <w:vAlign w:val="center"/>
            <w:hideMark/>
          </w:tcPr>
          <w:p w:rsidR="00B15BC8" w:rsidRPr="0041461B" w:rsidP="005C6DBF" w14:paraId="3500C702" w14:textId="77777777">
            <w:pPr>
              <w:widowControl/>
              <w:rPr>
                <w:snapToGrid/>
                <w:color w:val="000000"/>
                <w:kern w:val="0"/>
                <w:szCs w:val="22"/>
              </w:rPr>
            </w:pPr>
            <w:r w:rsidRPr="0041461B">
              <w:rPr>
                <w:snapToGrid/>
                <w:color w:val="000000"/>
                <w:kern w:val="0"/>
                <w:szCs w:val="22"/>
              </w:rPr>
              <w:t>0000146913</w:t>
            </w:r>
          </w:p>
        </w:tc>
        <w:tc>
          <w:tcPr>
            <w:tcW w:w="2800" w:type="dxa"/>
            <w:tcBorders>
              <w:top w:val="nil"/>
              <w:left w:val="nil"/>
              <w:bottom w:val="single" w:sz="4" w:space="0" w:color="auto"/>
              <w:right w:val="single" w:sz="4" w:space="0" w:color="auto"/>
            </w:tcBorders>
            <w:shd w:val="clear" w:color="auto" w:fill="auto"/>
            <w:vAlign w:val="bottom"/>
            <w:hideMark/>
          </w:tcPr>
          <w:p w:rsidR="00B15BC8" w:rsidRPr="0041461B" w:rsidP="005C6DBF" w14:paraId="79DF66B3" w14:textId="77777777">
            <w:pPr>
              <w:widowControl/>
              <w:rPr>
                <w:snapToGrid/>
                <w:color w:val="000000"/>
                <w:kern w:val="0"/>
                <w:szCs w:val="22"/>
              </w:rPr>
            </w:pPr>
            <w:r w:rsidRPr="0041461B">
              <w:rPr>
                <w:snapToGrid/>
                <w:color w:val="000000"/>
                <w:kern w:val="0"/>
                <w:szCs w:val="22"/>
              </w:rPr>
              <w:t>BDFCDVL-20141223ABH</w:t>
            </w:r>
          </w:p>
        </w:tc>
      </w:tr>
      <w:tr w14:paraId="13558E5C" w14:textId="77777777" w:rsidTr="005C6DBF">
        <w:tblPrEx>
          <w:tblW w:w="8980" w:type="dxa"/>
          <w:tblLook w:val="04A0"/>
        </w:tblPrEx>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15BC8" w:rsidRPr="0041461B" w:rsidP="005C6DBF" w14:paraId="1769CAA7" w14:textId="77777777">
            <w:pPr>
              <w:widowControl/>
              <w:rPr>
                <w:snapToGrid/>
                <w:color w:val="000000"/>
                <w:kern w:val="0"/>
                <w:szCs w:val="22"/>
              </w:rPr>
            </w:pPr>
            <w:r w:rsidRPr="0041461B">
              <w:rPr>
                <w:snapToGrid/>
                <w:color w:val="000000"/>
                <w:kern w:val="0"/>
                <w:szCs w:val="22"/>
              </w:rPr>
              <w:t>K04KV</w:t>
            </w:r>
          </w:p>
        </w:tc>
        <w:tc>
          <w:tcPr>
            <w:tcW w:w="2700" w:type="dxa"/>
            <w:tcBorders>
              <w:top w:val="nil"/>
              <w:left w:val="nil"/>
              <w:bottom w:val="single" w:sz="4" w:space="0" w:color="auto"/>
              <w:right w:val="single" w:sz="4" w:space="0" w:color="auto"/>
            </w:tcBorders>
            <w:shd w:val="clear" w:color="auto" w:fill="auto"/>
            <w:vAlign w:val="center"/>
            <w:hideMark/>
          </w:tcPr>
          <w:p w:rsidR="00B15BC8" w:rsidRPr="0041461B" w:rsidP="005C6DBF" w14:paraId="50902DE7" w14:textId="77777777">
            <w:pPr>
              <w:widowControl/>
              <w:rPr>
                <w:snapToGrid/>
                <w:color w:val="000000"/>
                <w:kern w:val="0"/>
                <w:szCs w:val="22"/>
              </w:rPr>
            </w:pPr>
            <w:r w:rsidRPr="0041461B">
              <w:rPr>
                <w:snapToGrid/>
                <w:color w:val="000000"/>
                <w:kern w:val="0"/>
                <w:szCs w:val="22"/>
              </w:rPr>
              <w:t>UNALASKA</w:t>
            </w:r>
          </w:p>
        </w:tc>
        <w:tc>
          <w:tcPr>
            <w:tcW w:w="900" w:type="dxa"/>
            <w:tcBorders>
              <w:top w:val="nil"/>
              <w:left w:val="nil"/>
              <w:bottom w:val="single" w:sz="4" w:space="0" w:color="auto"/>
              <w:right w:val="single" w:sz="4" w:space="0" w:color="auto"/>
            </w:tcBorders>
            <w:shd w:val="clear" w:color="auto" w:fill="auto"/>
            <w:vAlign w:val="center"/>
            <w:hideMark/>
          </w:tcPr>
          <w:p w:rsidR="00B15BC8" w:rsidRPr="0041461B" w:rsidP="005C6DBF" w14:paraId="463DCA77" w14:textId="77777777">
            <w:pPr>
              <w:widowControl/>
              <w:rPr>
                <w:snapToGrid/>
                <w:color w:val="000000"/>
                <w:kern w:val="0"/>
                <w:szCs w:val="22"/>
              </w:rPr>
            </w:pPr>
            <w:r w:rsidRPr="0041461B">
              <w:rPr>
                <w:snapToGrid/>
                <w:color w:val="000000"/>
                <w:kern w:val="0"/>
                <w:szCs w:val="22"/>
              </w:rPr>
              <w:t>62760 </w:t>
            </w:r>
          </w:p>
        </w:tc>
        <w:tc>
          <w:tcPr>
            <w:tcW w:w="1460" w:type="dxa"/>
            <w:tcBorders>
              <w:top w:val="nil"/>
              <w:left w:val="nil"/>
              <w:bottom w:val="single" w:sz="4" w:space="0" w:color="auto"/>
              <w:right w:val="single" w:sz="4" w:space="0" w:color="auto"/>
            </w:tcBorders>
            <w:shd w:val="clear" w:color="auto" w:fill="auto"/>
            <w:vAlign w:val="center"/>
            <w:hideMark/>
          </w:tcPr>
          <w:p w:rsidR="00B15BC8" w:rsidRPr="0041461B" w:rsidP="005C6DBF" w14:paraId="4B8CFF03" w14:textId="77777777">
            <w:pPr>
              <w:widowControl/>
              <w:rPr>
                <w:snapToGrid/>
                <w:color w:val="000000"/>
                <w:kern w:val="0"/>
                <w:szCs w:val="22"/>
              </w:rPr>
            </w:pPr>
            <w:r w:rsidRPr="0041461B">
              <w:rPr>
                <w:snapToGrid/>
                <w:color w:val="000000"/>
                <w:kern w:val="0"/>
                <w:szCs w:val="22"/>
              </w:rPr>
              <w:t>0000146911</w:t>
            </w:r>
          </w:p>
        </w:tc>
        <w:tc>
          <w:tcPr>
            <w:tcW w:w="2800" w:type="dxa"/>
            <w:tcBorders>
              <w:top w:val="nil"/>
              <w:left w:val="nil"/>
              <w:bottom w:val="single" w:sz="4" w:space="0" w:color="auto"/>
              <w:right w:val="single" w:sz="4" w:space="0" w:color="auto"/>
            </w:tcBorders>
            <w:shd w:val="clear" w:color="auto" w:fill="auto"/>
            <w:vAlign w:val="bottom"/>
            <w:hideMark/>
          </w:tcPr>
          <w:p w:rsidR="00B15BC8" w:rsidRPr="0041461B" w:rsidP="005C6DBF" w14:paraId="7B1FF060" w14:textId="77777777">
            <w:pPr>
              <w:widowControl/>
              <w:rPr>
                <w:snapToGrid/>
                <w:color w:val="000000"/>
                <w:kern w:val="0"/>
                <w:szCs w:val="22"/>
              </w:rPr>
            </w:pPr>
            <w:r w:rsidRPr="0041461B">
              <w:rPr>
                <w:snapToGrid/>
                <w:color w:val="000000"/>
                <w:kern w:val="0"/>
                <w:szCs w:val="22"/>
              </w:rPr>
              <w:t>BDFCDVL-20141229AGV</w:t>
            </w:r>
          </w:p>
        </w:tc>
      </w:tr>
      <w:tr w14:paraId="25F75B79" w14:textId="77777777" w:rsidTr="005C6DBF">
        <w:tblPrEx>
          <w:tblW w:w="8980" w:type="dxa"/>
          <w:tblLook w:val="04A0"/>
        </w:tblPrEx>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15BC8" w:rsidRPr="0041461B" w:rsidP="005C6DBF" w14:paraId="54432016" w14:textId="77777777">
            <w:pPr>
              <w:widowControl/>
              <w:rPr>
                <w:snapToGrid/>
                <w:color w:val="000000"/>
                <w:kern w:val="0"/>
                <w:szCs w:val="22"/>
              </w:rPr>
            </w:pPr>
            <w:r w:rsidRPr="0041461B">
              <w:rPr>
                <w:snapToGrid/>
                <w:color w:val="000000"/>
                <w:kern w:val="0"/>
                <w:szCs w:val="22"/>
              </w:rPr>
              <w:t>K13SM</w:t>
            </w:r>
          </w:p>
        </w:tc>
        <w:tc>
          <w:tcPr>
            <w:tcW w:w="2700" w:type="dxa"/>
            <w:tcBorders>
              <w:top w:val="nil"/>
              <w:left w:val="nil"/>
              <w:bottom w:val="single" w:sz="4" w:space="0" w:color="auto"/>
              <w:right w:val="single" w:sz="4" w:space="0" w:color="auto"/>
            </w:tcBorders>
            <w:shd w:val="clear" w:color="auto" w:fill="auto"/>
            <w:vAlign w:val="center"/>
            <w:hideMark/>
          </w:tcPr>
          <w:p w:rsidR="00B15BC8" w:rsidRPr="0041461B" w:rsidP="005C6DBF" w14:paraId="2E32BC77" w14:textId="77777777">
            <w:pPr>
              <w:widowControl/>
              <w:rPr>
                <w:snapToGrid/>
                <w:color w:val="000000"/>
                <w:kern w:val="0"/>
                <w:szCs w:val="22"/>
              </w:rPr>
            </w:pPr>
            <w:r w:rsidRPr="0041461B">
              <w:rPr>
                <w:snapToGrid/>
                <w:color w:val="000000"/>
                <w:kern w:val="0"/>
                <w:szCs w:val="22"/>
              </w:rPr>
              <w:t>SLANA</w:t>
            </w:r>
          </w:p>
        </w:tc>
        <w:tc>
          <w:tcPr>
            <w:tcW w:w="900" w:type="dxa"/>
            <w:tcBorders>
              <w:top w:val="nil"/>
              <w:left w:val="nil"/>
              <w:bottom w:val="single" w:sz="4" w:space="0" w:color="auto"/>
              <w:right w:val="single" w:sz="4" w:space="0" w:color="auto"/>
            </w:tcBorders>
            <w:shd w:val="clear" w:color="auto" w:fill="auto"/>
            <w:vAlign w:val="center"/>
            <w:hideMark/>
          </w:tcPr>
          <w:p w:rsidR="00B15BC8" w:rsidRPr="0041461B" w:rsidP="005C6DBF" w14:paraId="6B74FE37" w14:textId="77777777">
            <w:pPr>
              <w:widowControl/>
              <w:rPr>
                <w:snapToGrid/>
                <w:color w:val="000000"/>
                <w:kern w:val="0"/>
                <w:szCs w:val="22"/>
              </w:rPr>
            </w:pPr>
            <w:r w:rsidRPr="0041461B">
              <w:rPr>
                <w:snapToGrid/>
                <w:color w:val="000000"/>
                <w:kern w:val="0"/>
                <w:szCs w:val="22"/>
              </w:rPr>
              <w:t>62849 </w:t>
            </w:r>
          </w:p>
        </w:tc>
        <w:tc>
          <w:tcPr>
            <w:tcW w:w="1460" w:type="dxa"/>
            <w:tcBorders>
              <w:top w:val="nil"/>
              <w:left w:val="nil"/>
              <w:bottom w:val="single" w:sz="4" w:space="0" w:color="auto"/>
              <w:right w:val="single" w:sz="4" w:space="0" w:color="auto"/>
            </w:tcBorders>
            <w:shd w:val="clear" w:color="auto" w:fill="auto"/>
            <w:vAlign w:val="center"/>
            <w:hideMark/>
          </w:tcPr>
          <w:p w:rsidR="00B15BC8" w:rsidRPr="0041461B" w:rsidP="005C6DBF" w14:paraId="02496DC9" w14:textId="77777777">
            <w:pPr>
              <w:widowControl/>
              <w:rPr>
                <w:snapToGrid/>
                <w:color w:val="000000"/>
                <w:kern w:val="0"/>
                <w:szCs w:val="22"/>
              </w:rPr>
            </w:pPr>
            <w:r w:rsidRPr="0041461B">
              <w:rPr>
                <w:snapToGrid/>
                <w:color w:val="000000"/>
                <w:kern w:val="0"/>
                <w:szCs w:val="22"/>
              </w:rPr>
              <w:t>0000146920</w:t>
            </w:r>
          </w:p>
        </w:tc>
        <w:tc>
          <w:tcPr>
            <w:tcW w:w="2800" w:type="dxa"/>
            <w:tcBorders>
              <w:top w:val="nil"/>
              <w:left w:val="nil"/>
              <w:bottom w:val="single" w:sz="4" w:space="0" w:color="auto"/>
              <w:right w:val="single" w:sz="4" w:space="0" w:color="auto"/>
            </w:tcBorders>
            <w:shd w:val="clear" w:color="auto" w:fill="auto"/>
            <w:vAlign w:val="bottom"/>
            <w:hideMark/>
          </w:tcPr>
          <w:p w:rsidR="00B15BC8" w:rsidRPr="0041461B" w:rsidP="005C6DBF" w14:paraId="5605576A" w14:textId="77777777">
            <w:pPr>
              <w:widowControl/>
              <w:rPr>
                <w:snapToGrid/>
                <w:color w:val="000000"/>
                <w:kern w:val="0"/>
                <w:szCs w:val="22"/>
              </w:rPr>
            </w:pPr>
            <w:r w:rsidRPr="0041461B">
              <w:rPr>
                <w:snapToGrid/>
                <w:color w:val="000000"/>
                <w:kern w:val="0"/>
                <w:szCs w:val="22"/>
              </w:rPr>
              <w:t>BDFCDVL-20141229ADA</w:t>
            </w:r>
          </w:p>
        </w:tc>
      </w:tr>
      <w:tr w14:paraId="694A44A7" w14:textId="77777777" w:rsidTr="005C6DBF">
        <w:tblPrEx>
          <w:tblW w:w="8980" w:type="dxa"/>
          <w:tblLook w:val="04A0"/>
        </w:tblPrEx>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15BC8" w:rsidRPr="0041461B" w:rsidP="005C6DBF" w14:paraId="1D7CF2E5" w14:textId="77777777">
            <w:pPr>
              <w:widowControl/>
              <w:rPr>
                <w:snapToGrid/>
                <w:color w:val="000000"/>
                <w:kern w:val="0"/>
                <w:szCs w:val="22"/>
              </w:rPr>
            </w:pPr>
            <w:r w:rsidRPr="0041461B">
              <w:rPr>
                <w:snapToGrid/>
                <w:color w:val="000000"/>
                <w:kern w:val="0"/>
                <w:szCs w:val="22"/>
              </w:rPr>
              <w:t>K13SA</w:t>
            </w:r>
          </w:p>
        </w:tc>
        <w:tc>
          <w:tcPr>
            <w:tcW w:w="2700" w:type="dxa"/>
            <w:tcBorders>
              <w:top w:val="nil"/>
              <w:left w:val="nil"/>
              <w:bottom w:val="single" w:sz="4" w:space="0" w:color="auto"/>
              <w:right w:val="single" w:sz="4" w:space="0" w:color="auto"/>
            </w:tcBorders>
            <w:shd w:val="clear" w:color="auto" w:fill="auto"/>
            <w:vAlign w:val="center"/>
            <w:hideMark/>
          </w:tcPr>
          <w:p w:rsidR="00B15BC8" w:rsidRPr="0041461B" w:rsidP="005C6DBF" w14:paraId="5D7F0F09" w14:textId="77777777">
            <w:pPr>
              <w:widowControl/>
              <w:rPr>
                <w:snapToGrid/>
                <w:color w:val="000000"/>
                <w:kern w:val="0"/>
                <w:szCs w:val="22"/>
              </w:rPr>
            </w:pPr>
            <w:r w:rsidRPr="0041461B">
              <w:rPr>
                <w:snapToGrid/>
                <w:color w:val="000000"/>
                <w:kern w:val="0"/>
                <w:szCs w:val="22"/>
              </w:rPr>
              <w:t>PORT HEIDEN</w:t>
            </w:r>
          </w:p>
        </w:tc>
        <w:tc>
          <w:tcPr>
            <w:tcW w:w="900" w:type="dxa"/>
            <w:tcBorders>
              <w:top w:val="nil"/>
              <w:left w:val="nil"/>
              <w:bottom w:val="single" w:sz="4" w:space="0" w:color="auto"/>
              <w:right w:val="single" w:sz="4" w:space="0" w:color="auto"/>
            </w:tcBorders>
            <w:shd w:val="clear" w:color="auto" w:fill="auto"/>
            <w:vAlign w:val="center"/>
            <w:hideMark/>
          </w:tcPr>
          <w:p w:rsidR="00B15BC8" w:rsidRPr="0041461B" w:rsidP="005C6DBF" w14:paraId="6E70AFEC" w14:textId="77777777">
            <w:pPr>
              <w:widowControl/>
              <w:rPr>
                <w:snapToGrid/>
                <w:color w:val="000000"/>
                <w:kern w:val="0"/>
                <w:szCs w:val="22"/>
              </w:rPr>
            </w:pPr>
            <w:r w:rsidRPr="0041461B">
              <w:rPr>
                <w:snapToGrid/>
                <w:color w:val="000000"/>
                <w:kern w:val="0"/>
                <w:szCs w:val="22"/>
              </w:rPr>
              <w:t>62850 </w:t>
            </w:r>
          </w:p>
        </w:tc>
        <w:tc>
          <w:tcPr>
            <w:tcW w:w="1460" w:type="dxa"/>
            <w:tcBorders>
              <w:top w:val="nil"/>
              <w:left w:val="nil"/>
              <w:bottom w:val="single" w:sz="4" w:space="0" w:color="auto"/>
              <w:right w:val="single" w:sz="4" w:space="0" w:color="auto"/>
            </w:tcBorders>
            <w:shd w:val="clear" w:color="auto" w:fill="auto"/>
            <w:vAlign w:val="center"/>
            <w:hideMark/>
          </w:tcPr>
          <w:p w:rsidR="00B15BC8" w:rsidRPr="0041461B" w:rsidP="005C6DBF" w14:paraId="7419E0E6" w14:textId="77777777">
            <w:pPr>
              <w:widowControl/>
              <w:rPr>
                <w:snapToGrid/>
                <w:color w:val="000000"/>
                <w:kern w:val="0"/>
                <w:szCs w:val="22"/>
              </w:rPr>
            </w:pPr>
            <w:r w:rsidRPr="0041461B">
              <w:rPr>
                <w:snapToGrid/>
                <w:color w:val="000000"/>
                <w:kern w:val="0"/>
                <w:szCs w:val="22"/>
              </w:rPr>
              <w:t>0000146922</w:t>
            </w:r>
          </w:p>
        </w:tc>
        <w:tc>
          <w:tcPr>
            <w:tcW w:w="2800" w:type="dxa"/>
            <w:tcBorders>
              <w:top w:val="nil"/>
              <w:left w:val="nil"/>
              <w:bottom w:val="single" w:sz="4" w:space="0" w:color="auto"/>
              <w:right w:val="single" w:sz="4" w:space="0" w:color="auto"/>
            </w:tcBorders>
            <w:shd w:val="clear" w:color="auto" w:fill="auto"/>
            <w:vAlign w:val="bottom"/>
            <w:hideMark/>
          </w:tcPr>
          <w:p w:rsidR="00B15BC8" w:rsidRPr="0041461B" w:rsidP="005C6DBF" w14:paraId="1FD5D49D" w14:textId="77777777">
            <w:pPr>
              <w:widowControl/>
              <w:rPr>
                <w:snapToGrid/>
                <w:color w:val="000000"/>
                <w:kern w:val="0"/>
                <w:szCs w:val="22"/>
              </w:rPr>
            </w:pPr>
            <w:r w:rsidRPr="0041461B">
              <w:rPr>
                <w:snapToGrid/>
                <w:color w:val="000000"/>
                <w:kern w:val="0"/>
                <w:szCs w:val="22"/>
              </w:rPr>
              <w:t>BDFCDVL-20141230AAQ</w:t>
            </w:r>
          </w:p>
        </w:tc>
      </w:tr>
    </w:tbl>
    <w:p w:rsidR="00412FC5" w:rsidRPr="00B15BC8" w:rsidP="00B15BC8" w14:paraId="78F73748" w14:textId="0DDADE04">
      <w:pPr>
        <w:rPr>
          <w:szCs w:val="22"/>
        </w:rPr>
      </w:pPr>
    </w:p>
    <w:sectPr w:rsidSect="00B15BC8">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783417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17302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15BC8" w14:paraId="2573B1DA" w14:textId="70DFDE0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15BC8" w14:paraId="410C0703" w14:textId="1305ECB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5BC8" w14:paraId="3F10ACDB" w14:textId="77777777">
      <w:r>
        <w:separator/>
      </w:r>
    </w:p>
  </w:footnote>
  <w:footnote w:type="continuationSeparator" w:id="1">
    <w:p w:rsidR="00B15BC8" w:rsidP="00C721AC" w14:paraId="6B672BDC" w14:textId="77777777">
      <w:pPr>
        <w:spacing w:before="120"/>
        <w:rPr>
          <w:sz w:val="20"/>
        </w:rPr>
      </w:pPr>
      <w:r>
        <w:rPr>
          <w:sz w:val="20"/>
        </w:rPr>
        <w:t xml:space="preserve">(Continued from previous page)  </w:t>
      </w:r>
      <w:r>
        <w:rPr>
          <w:sz w:val="20"/>
        </w:rPr>
        <w:separator/>
      </w:r>
    </w:p>
  </w:footnote>
  <w:footnote w:type="continuationNotice" w:id="2">
    <w:p w:rsidR="00B15BC8" w:rsidP="00C721AC" w14:paraId="5E8018F6" w14:textId="77777777">
      <w:pPr>
        <w:jc w:val="right"/>
        <w:rPr>
          <w:sz w:val="20"/>
        </w:rPr>
      </w:pPr>
      <w:r>
        <w:rPr>
          <w:sz w:val="20"/>
        </w:rPr>
        <w:t>(continued….)</w:t>
      </w:r>
    </w:p>
  </w:footnote>
  <w:footnote w:id="3">
    <w:p w:rsidR="00B15BC8" w:rsidRPr="00BC4B09" w:rsidP="00B15BC8" w14:paraId="480B9C26" w14:textId="40CF402E">
      <w:pPr>
        <w:pStyle w:val="FootnoteText"/>
        <w:widowControl w:val="0"/>
      </w:pPr>
      <w:r w:rsidRPr="00BC4B09">
        <w:rPr>
          <w:rStyle w:val="FootnoteReference"/>
        </w:rPr>
        <w:footnoteRef/>
      </w:r>
      <w:r w:rsidRPr="00BC4B09">
        <w:t xml:space="preserve"> </w:t>
      </w:r>
      <w:r w:rsidRPr="00BC4B09">
        <w:rPr>
          <w:i/>
          <w:iCs/>
        </w:rPr>
        <w:t xml:space="preserve">See </w:t>
      </w:r>
      <w:r w:rsidRPr="00BC4B09">
        <w:t>State of Alaska Waiver Request, May 13, 2021 (Waiver Request)</w:t>
      </w:r>
      <w:r>
        <w:t xml:space="preserve"> and State of Alaska Waiver Supplement, June 11, 2021 (Waiver Supplement)</w:t>
      </w:r>
      <w:r w:rsidRPr="00BC4B09">
        <w:t>.  A list of the 15 analog television translator stations that are the subject of this proceeding is included in the Appendix (referred to collectively as Stations).</w:t>
      </w:r>
      <w:r>
        <w:t xml:space="preserve">  Copies of the waiver request and supplement are available as an attachment to the extension applications listed in the Appendix. </w:t>
      </w:r>
    </w:p>
  </w:footnote>
  <w:footnote w:id="4">
    <w:p w:rsidR="00B15BC8" w:rsidRPr="00BC4B09" w:rsidP="00B15BC8" w14:paraId="00723D31" w14:textId="77777777">
      <w:pPr>
        <w:pStyle w:val="FootnoteText"/>
        <w:widowControl w:val="0"/>
      </w:pPr>
      <w:r w:rsidRPr="00BC4B09">
        <w:rPr>
          <w:rStyle w:val="FootnoteReference"/>
        </w:rPr>
        <w:footnoteRef/>
      </w:r>
      <w:r w:rsidRPr="00BC4B09">
        <w:t xml:space="preserve"> 47 CFR §§ 73.616(d), </w:t>
      </w:r>
      <w:r w:rsidRPr="00BC4B09">
        <w:rPr>
          <w:color w:val="000000"/>
        </w:rPr>
        <w:t>73.3700(b)(4)(iii).</w:t>
      </w:r>
    </w:p>
  </w:footnote>
  <w:footnote w:id="5">
    <w:p w:rsidR="00B15BC8" w:rsidRPr="00BC4B09" w:rsidP="00B15BC8" w14:paraId="39A23D0B" w14:textId="77777777">
      <w:pPr>
        <w:pStyle w:val="FootnoteText"/>
        <w:widowControl w:val="0"/>
      </w:pPr>
      <w:r w:rsidRPr="00BC4B09">
        <w:rPr>
          <w:rStyle w:val="FootnoteReference"/>
        </w:rPr>
        <w:footnoteRef/>
      </w:r>
      <w:r w:rsidRPr="00BC4B09">
        <w:t xml:space="preserve">  Also pending are applications for extension of the Stations’ digital construction permits</w:t>
      </w:r>
      <w:r w:rsidRPr="00BC4B09">
        <w:rPr>
          <w:color w:val="000000"/>
        </w:rPr>
        <w:t xml:space="preserve">.  </w:t>
      </w:r>
      <w:r w:rsidRPr="00BC4B09">
        <w:rPr>
          <w:i/>
          <w:iCs/>
          <w:color w:val="000000"/>
        </w:rPr>
        <w:t xml:space="preserve">See </w:t>
      </w:r>
      <w:r w:rsidRPr="00BC4B09">
        <w:rPr>
          <w:color w:val="000000"/>
        </w:rPr>
        <w:t xml:space="preserve">Appendix.  For </w:t>
      </w:r>
      <w:r>
        <w:rPr>
          <w:color w:val="000000"/>
        </w:rPr>
        <w:t>the</w:t>
      </w:r>
      <w:r w:rsidRPr="00BC4B09">
        <w:rPr>
          <w:color w:val="000000"/>
        </w:rPr>
        <w:t xml:space="preserve"> reasons</w:t>
      </w:r>
      <w:r>
        <w:rPr>
          <w:color w:val="000000"/>
        </w:rPr>
        <w:t xml:space="preserve"> discussed herein, </w:t>
      </w:r>
      <w:r w:rsidRPr="00BC4B09">
        <w:rPr>
          <w:color w:val="000000"/>
        </w:rPr>
        <w:t xml:space="preserve">we grant the Stations’ extension applications and extend the digital construction permit expiration dates </w:t>
      </w:r>
      <w:r w:rsidRPr="00BC4B09">
        <w:rPr>
          <w:b/>
          <w:bCs/>
          <w:color w:val="000000"/>
        </w:rPr>
        <w:t>to January 10, 2022</w:t>
      </w:r>
      <w:r w:rsidRPr="00BC4B09">
        <w:rPr>
          <w:color w:val="000000"/>
        </w:rPr>
        <w:t xml:space="preserve">.  </w:t>
      </w:r>
      <w:r w:rsidRPr="00BC4B09">
        <w:rPr>
          <w:i/>
          <w:iCs/>
          <w:color w:val="000000"/>
        </w:rPr>
        <w:t>See</w:t>
      </w:r>
      <w:r w:rsidRPr="00BC4B09">
        <w:rPr>
          <w:color w:val="000000"/>
        </w:rPr>
        <w:t xml:space="preserve"> 47 CFR § 74.788</w:t>
      </w:r>
      <w:r>
        <w:rPr>
          <w:color w:val="000000"/>
        </w:rPr>
        <w:t>(c)(1)</w:t>
      </w:r>
      <w:r w:rsidRPr="00BC4B09">
        <w:rPr>
          <w:color w:val="000000"/>
        </w:rPr>
        <w:t xml:space="preserve">.    </w:t>
      </w:r>
    </w:p>
  </w:footnote>
  <w:footnote w:id="6">
    <w:p w:rsidR="00B15BC8" w:rsidP="00B15BC8" w14:paraId="200CAA56" w14:textId="77777777">
      <w:pPr>
        <w:pStyle w:val="FootnoteText"/>
        <w:widowControl w:val="0"/>
      </w:pPr>
      <w:r>
        <w:rPr>
          <w:rStyle w:val="FootnoteReference"/>
        </w:rPr>
        <w:footnoteRef/>
      </w:r>
      <w:r>
        <w:t xml:space="preserve"> </w:t>
      </w:r>
      <w:r>
        <w:rPr>
          <w:i/>
        </w:rPr>
        <w:t>See</w:t>
      </w:r>
      <w:r>
        <w:t xml:space="preserve"> </w:t>
      </w:r>
      <w:r>
        <w:rPr>
          <w:i/>
        </w:rPr>
        <w:t>DTV Delay Act</w:t>
      </w:r>
      <w:r>
        <w:t>, Pub. L. No.111-4, 123 Stat. 112 (2009); Digital Television and Public Safety Act of 2005 which is Title III of the Deficit Reduction Act of 2005, Pub. L. No. 109-171, 120 Stat. 4 (2006) (</w:t>
      </w:r>
      <w:r>
        <w:rPr>
          <w:i/>
        </w:rPr>
        <w:t>codified at</w:t>
      </w:r>
      <w:r>
        <w:t xml:space="preserve"> 47 U.S.C. §§ 309(j)(14) and 337(e)).  </w:t>
      </w:r>
    </w:p>
  </w:footnote>
  <w:footnote w:id="7">
    <w:p w:rsidR="00B15BC8" w:rsidRPr="00F349E5" w:rsidP="00B15BC8" w14:paraId="20EF744B" w14:textId="77777777">
      <w:pPr>
        <w:pStyle w:val="FootnoteText"/>
        <w:widowControl w:val="0"/>
        <w:rPr>
          <w:iCs/>
        </w:rPr>
      </w:pPr>
      <w:r>
        <w:rPr>
          <w:rStyle w:val="FootnoteReference"/>
        </w:rPr>
        <w:footnoteRef/>
      </w:r>
      <w:r>
        <w:t xml:space="preserve"> </w:t>
      </w:r>
      <w:r>
        <w:rPr>
          <w:i/>
          <w:iCs/>
        </w:rPr>
        <w:t>See</w:t>
      </w:r>
      <w:r>
        <w:t xml:space="preserve"> </w:t>
      </w:r>
      <w:r w:rsidRPr="00BC4B09">
        <w:rPr>
          <w:i/>
        </w:rPr>
        <w:t>Amendment of Parts 73 and 74 of the Commission’s Rules to Establish Rules for Digital Low Power Television and Television Translator Stations,</w:t>
      </w:r>
      <w:r w:rsidRPr="00BC4B09">
        <w:t xml:space="preserve"> MB Docket No. 03-185, Second Report and Order, 30 FCC </w:t>
      </w:r>
      <w:r w:rsidRPr="00BC4B09">
        <w:t>Rcd</w:t>
      </w:r>
      <w:r w:rsidRPr="00BC4B09">
        <w:t xml:space="preserve"> 10732, 1073</w:t>
      </w:r>
      <w:r>
        <w:t>5</w:t>
      </w:r>
      <w:r w:rsidRPr="00BC4B09">
        <w:t xml:space="preserve"> </w:t>
      </w:r>
      <w:r w:rsidRPr="00BC4B09">
        <w:t>para</w:t>
      </w:r>
      <w:r w:rsidRPr="00BC4B09">
        <w:t xml:space="preserve">. </w:t>
      </w:r>
      <w:r>
        <w:t>7</w:t>
      </w:r>
      <w:r w:rsidRPr="00BC4B09">
        <w:t xml:space="preserve"> (2011) (</w:t>
      </w:r>
      <w:r w:rsidRPr="00BC4B09">
        <w:rPr>
          <w:i/>
        </w:rPr>
        <w:t>LPTV DTV Second R&amp;O</w:t>
      </w:r>
      <w:r w:rsidRPr="00BC4B09">
        <w:rPr>
          <w:iCs/>
        </w:rPr>
        <w:t>).</w:t>
      </w:r>
    </w:p>
  </w:footnote>
  <w:footnote w:id="8">
    <w:p w:rsidR="00B15BC8" w:rsidRPr="00BC4B09" w:rsidP="00B15BC8" w14:paraId="1D4D2CED" w14:textId="77777777">
      <w:pPr>
        <w:pStyle w:val="FootnoteText"/>
        <w:widowControl w:val="0"/>
        <w:rPr>
          <w:iCs/>
        </w:rPr>
      </w:pPr>
      <w:r w:rsidRPr="00BC4B09">
        <w:rPr>
          <w:rStyle w:val="FootnoteReference"/>
        </w:rPr>
        <w:footnoteRef/>
      </w:r>
      <w:r w:rsidRPr="00BC4B09">
        <w:t xml:space="preserve"> </w:t>
      </w:r>
      <w:r>
        <w:rPr>
          <w:i/>
          <w:iCs/>
        </w:rPr>
        <w:t>Id.</w:t>
      </w:r>
      <w:r>
        <w:t xml:space="preserve"> at </w:t>
      </w:r>
      <w:r w:rsidRPr="00BC4B09">
        <w:t>10738-9, para. 12</w:t>
      </w:r>
      <w:r>
        <w:t xml:space="preserve"> (also noting that </w:t>
      </w:r>
      <w:r w:rsidRPr="00BC4B09">
        <w:rPr>
          <w:szCs w:val="22"/>
        </w:rPr>
        <w:t>“the statute forbids permitting low power television stations to forever avoid converting to digital</w:t>
      </w:r>
      <w:r>
        <w:rPr>
          <w:szCs w:val="22"/>
        </w:rPr>
        <w:t>”)</w:t>
      </w:r>
      <w:r w:rsidRPr="00BC4B09">
        <w:rPr>
          <w:iCs/>
        </w:rPr>
        <w:t>.</w:t>
      </w:r>
    </w:p>
  </w:footnote>
  <w:footnote w:id="9">
    <w:p w:rsidR="00B15BC8" w:rsidRPr="00BC4B09" w:rsidP="00B15BC8" w14:paraId="34C1451C" w14:textId="77777777">
      <w:pPr>
        <w:pStyle w:val="FootnoteText"/>
        <w:widowControl w:val="0"/>
        <w:rPr>
          <w:i/>
          <w:iCs/>
        </w:rPr>
      </w:pPr>
      <w:r w:rsidRPr="00BC4B09">
        <w:rPr>
          <w:rStyle w:val="FootnoteReference"/>
        </w:rPr>
        <w:footnoteRef/>
      </w:r>
      <w:r w:rsidRPr="00BC4B09">
        <w:t xml:space="preserve"> </w:t>
      </w:r>
      <w:r w:rsidRPr="00BC4B09">
        <w:rPr>
          <w:i/>
          <w:iCs/>
        </w:rPr>
        <w:t>Id.</w:t>
      </w:r>
    </w:p>
  </w:footnote>
  <w:footnote w:id="10">
    <w:p w:rsidR="00B15BC8" w:rsidRPr="00BC4B09" w:rsidP="00B15BC8" w14:paraId="758501CF" w14:textId="77777777">
      <w:pPr>
        <w:pStyle w:val="FootnoteText"/>
        <w:widowControl w:val="0"/>
        <w:rPr>
          <w:i/>
          <w:iCs/>
        </w:rPr>
      </w:pPr>
      <w:r w:rsidRPr="00BC4B09">
        <w:rPr>
          <w:rStyle w:val="FootnoteReference"/>
        </w:rPr>
        <w:footnoteRef/>
      </w:r>
      <w:r w:rsidRPr="00BC4B09">
        <w:t xml:space="preserve"> </w:t>
      </w:r>
      <w:r w:rsidRPr="00BC4B09">
        <w:rPr>
          <w:i/>
          <w:iCs/>
        </w:rPr>
        <w:t>Id.</w:t>
      </w:r>
    </w:p>
  </w:footnote>
  <w:footnote w:id="11">
    <w:p w:rsidR="00B15BC8" w:rsidRPr="00BC4B09" w:rsidP="00B15BC8" w14:paraId="0AA35CB6" w14:textId="77777777">
      <w:pPr>
        <w:pStyle w:val="FootnoteText"/>
        <w:widowControl w:val="0"/>
      </w:pPr>
      <w:r w:rsidRPr="00BC4B09">
        <w:rPr>
          <w:rStyle w:val="FootnoteReference"/>
        </w:rPr>
        <w:footnoteRef/>
      </w:r>
      <w:r w:rsidRPr="00BC4B09">
        <w:t xml:space="preserve"> </w:t>
      </w:r>
      <w:r w:rsidRPr="00BC4B09">
        <w:rPr>
          <w:i/>
          <w:iCs/>
        </w:rPr>
        <w:t xml:space="preserve">See </w:t>
      </w:r>
      <w:r w:rsidRPr="00BC4B09">
        <w:rPr>
          <w:i/>
        </w:rPr>
        <w:t>Amendment of Parts 73 and 74 of the Commission’s Rules to Establish Rules for Digital Low Power Television and Television Translator Stations,</w:t>
      </w:r>
      <w:r w:rsidRPr="00BC4B09">
        <w:t xml:space="preserve"> MB Docket No. 03-185, Third Report and Order and Fourth Notice of Proposed Rulemaking, 30 FCC </w:t>
      </w:r>
      <w:r w:rsidRPr="00BC4B09">
        <w:t>Rcd</w:t>
      </w:r>
      <w:r w:rsidRPr="00BC4B09">
        <w:t xml:space="preserve"> 14927, 14932-33, para. 9 (2015) (</w:t>
      </w:r>
      <w:r w:rsidRPr="00BC4B09">
        <w:rPr>
          <w:i/>
        </w:rPr>
        <w:t>LPTV DTV Third R&amp;O</w:t>
      </w:r>
      <w:r w:rsidRPr="00BC4B09">
        <w:t xml:space="preserve">).  </w:t>
      </w:r>
      <w:r w:rsidRPr="00BC4B09">
        <w:rPr>
          <w:i/>
          <w:iCs/>
        </w:rPr>
        <w:t xml:space="preserve">See also </w:t>
      </w:r>
      <w:r w:rsidRPr="00BC4B09">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Pr="00BC4B09">
        <w:t xml:space="preserve">, Public Notice, 32 FCC </w:t>
      </w:r>
      <w:r w:rsidRPr="00BC4B09">
        <w:t>Rcd</w:t>
      </w:r>
      <w:r w:rsidRPr="00BC4B09">
        <w:t xml:space="preserve"> 2786 (IATF and MB 2018) (</w:t>
      </w:r>
      <w:r w:rsidRPr="00BC4B09">
        <w:rPr>
          <w:i/>
        </w:rPr>
        <w:t>Closing and Channel Reassignment Public Notice</w:t>
      </w:r>
      <w:r w:rsidRPr="00BC4B09">
        <w:rPr>
          <w:iCs/>
        </w:rPr>
        <w:t xml:space="preserve">).  </w:t>
      </w:r>
      <w:r w:rsidRPr="00BC4B09">
        <w:t xml:space="preserve">Given the April 13, 2017 release date of the </w:t>
      </w:r>
      <w:r w:rsidRPr="00BC4B09">
        <w:rPr>
          <w:i/>
          <w:iCs/>
        </w:rPr>
        <w:t>Closing and Channel Reassignment Public Notice</w:t>
      </w:r>
      <w:r w:rsidRPr="00BC4B09">
        <w:t>, the LPTV digital transition date is July 13, 2021.</w:t>
      </w:r>
    </w:p>
  </w:footnote>
  <w:footnote w:id="12">
    <w:p w:rsidR="00B15BC8" w:rsidRPr="00BC4B09" w:rsidP="00B15BC8" w14:paraId="382864FF" w14:textId="77777777">
      <w:pPr>
        <w:pStyle w:val="FootnoteText"/>
        <w:widowControl w:val="0"/>
      </w:pPr>
      <w:r w:rsidRPr="00BC4B09">
        <w:rPr>
          <w:rStyle w:val="FootnoteReference"/>
        </w:rPr>
        <w:footnoteRef/>
      </w:r>
      <w:r w:rsidRPr="00BC4B09">
        <w:t xml:space="preserve"> </w:t>
      </w:r>
      <w:r w:rsidRPr="00BC4B09">
        <w:rPr>
          <w:i/>
          <w:iCs/>
        </w:rPr>
        <w:t>See</w:t>
      </w:r>
      <w:r w:rsidRPr="00BC4B09">
        <w:t xml:space="preserve"> 47 CFR § 74.731(m).</w:t>
      </w:r>
      <w:r>
        <w:t xml:space="preserve">  I</w:t>
      </w:r>
      <w:r w:rsidRPr="00BC4B09">
        <w:t xml:space="preserve">n accordance with our rules all licenses for analog operations shall </w:t>
      </w:r>
      <w:r w:rsidRPr="00BC4B09">
        <w:rPr>
          <w:i/>
          <w:iCs/>
        </w:rPr>
        <w:t>automatically cancel</w:t>
      </w:r>
      <w:r w:rsidRPr="00BC4B09">
        <w:t xml:space="preserve"> after 11:59 pm on July 13, 2021, without any affirmative action by the Commission</w:t>
      </w:r>
      <w:r>
        <w:t xml:space="preserve">.  </w:t>
      </w:r>
      <w:r w:rsidRPr="00BC4B09">
        <w:rPr>
          <w:i/>
          <w:iCs/>
        </w:rPr>
        <w:t>Id.</w:t>
      </w:r>
      <w:r>
        <w:t xml:space="preserve"> (emphasis added)</w:t>
      </w:r>
    </w:p>
  </w:footnote>
  <w:footnote w:id="13">
    <w:p w:rsidR="00B15BC8" w:rsidRPr="00BC4B09" w:rsidP="00B15BC8" w14:paraId="00B74AEE" w14:textId="77777777">
      <w:pPr>
        <w:pStyle w:val="FootnoteText"/>
        <w:widowControl w:val="0"/>
      </w:pPr>
      <w:r w:rsidRPr="00BC4B09">
        <w:rPr>
          <w:rStyle w:val="FootnoteReference"/>
        </w:rPr>
        <w:footnoteRef/>
      </w:r>
      <w:r w:rsidRPr="00BC4B09">
        <w:t xml:space="preserve"> </w:t>
      </w:r>
      <w:r w:rsidRPr="00BC4B09">
        <w:rPr>
          <w:i/>
          <w:iCs/>
        </w:rPr>
        <w:t>LPTV DTV Third R&amp;O</w:t>
      </w:r>
      <w:r w:rsidRPr="00BC4B09">
        <w:t xml:space="preserve">, 30 FCC </w:t>
      </w:r>
      <w:r w:rsidRPr="00BC4B09">
        <w:t>Rcd</w:t>
      </w:r>
      <w:r w:rsidRPr="00BC4B09">
        <w:t xml:space="preserve"> at 33, para. 8.</w:t>
      </w:r>
    </w:p>
  </w:footnote>
  <w:footnote w:id="14">
    <w:p w:rsidR="00B15BC8" w:rsidRPr="00BC4B09" w:rsidP="00B15BC8" w14:paraId="12C23A18" w14:textId="77777777">
      <w:pPr>
        <w:pStyle w:val="FootnoteText"/>
        <w:widowControl w:val="0"/>
        <w:rPr>
          <w:i/>
          <w:iCs/>
        </w:rPr>
      </w:pPr>
      <w:r w:rsidRPr="00BC4B09">
        <w:rPr>
          <w:rStyle w:val="FootnoteReference"/>
        </w:rPr>
        <w:footnoteRef/>
      </w:r>
      <w:r w:rsidRPr="00BC4B09">
        <w:t xml:space="preserve"> </w:t>
      </w:r>
      <w:r w:rsidRPr="00BC4B09">
        <w:rPr>
          <w:i/>
          <w:iCs/>
        </w:rPr>
        <w:t>Id.</w:t>
      </w:r>
      <w:r w:rsidRPr="00C006C9">
        <w:rPr>
          <w:szCs w:val="22"/>
        </w:rPr>
        <w:t xml:space="preserve"> </w:t>
      </w:r>
      <w:r>
        <w:rPr>
          <w:szCs w:val="22"/>
        </w:rPr>
        <w:t>(noting that</w:t>
      </w:r>
      <w:r w:rsidRPr="00BC4B09">
        <w:rPr>
          <w:szCs w:val="22"/>
        </w:rPr>
        <w:t xml:space="preserve"> “this requirement is necessary in order to ensure that analog LPTV and TV translator stations take all steps necessary to complete their digital construction in a timely manner</w:t>
      </w:r>
      <w:r>
        <w:rPr>
          <w:szCs w:val="22"/>
        </w:rPr>
        <w:t>”).</w:t>
      </w:r>
    </w:p>
  </w:footnote>
  <w:footnote w:id="15">
    <w:p w:rsidR="00B15BC8" w:rsidRPr="00BC4B09" w:rsidP="00B15BC8" w14:paraId="403B75F3" w14:textId="77777777">
      <w:pPr>
        <w:pStyle w:val="FootnoteText"/>
        <w:widowControl w:val="0"/>
        <w:rPr>
          <w:i/>
          <w:iCs/>
        </w:rPr>
      </w:pPr>
      <w:r w:rsidRPr="00BC4B09">
        <w:rPr>
          <w:rStyle w:val="FootnoteReference"/>
        </w:rPr>
        <w:footnoteRef/>
      </w:r>
      <w:r w:rsidRPr="00BC4B09">
        <w:t xml:space="preserve"> </w:t>
      </w:r>
      <w:r w:rsidRPr="00BC4B09">
        <w:rPr>
          <w:i/>
          <w:iCs/>
        </w:rPr>
        <w:t>Id.</w:t>
      </w:r>
    </w:p>
  </w:footnote>
  <w:footnote w:id="16">
    <w:p w:rsidR="00B15BC8" w:rsidRPr="009763DD" w:rsidP="00B15BC8" w14:paraId="4428B857" w14:textId="77777777">
      <w:pPr>
        <w:pStyle w:val="FootnoteText"/>
        <w:widowControl w:val="0"/>
      </w:pPr>
      <w:r w:rsidRPr="00BC4B09">
        <w:rPr>
          <w:rStyle w:val="FootnoteReference"/>
        </w:rPr>
        <w:footnoteRef/>
      </w:r>
      <w:r w:rsidRPr="00BC4B09">
        <w:t xml:space="preserve"> Waiver Request at 1. </w:t>
      </w:r>
      <w:r>
        <w:t xml:space="preserve"> </w:t>
      </w:r>
      <w:r w:rsidRPr="009763DD">
        <w:t xml:space="preserve">SOA maintains that the rural and Alaska Bush communities that would benefit from this waiver are rural, sparely populated and, in some situations, impoverished communities that are most likely in need of free, over-the-air broadcast television service to connect to the wider world.  For example, SOA cites the example of K04LJ, Atka, Alaska, which serves the east side of an island in the Aleutian chain. </w:t>
      </w:r>
      <w:r>
        <w:t xml:space="preserve"> </w:t>
      </w:r>
      <w:r w:rsidRPr="009763DD">
        <w:t>SOA states that, according to the 2010 US Census, the hamlet had a population of 61; the population is nearly entirely Aleut (</w:t>
      </w:r>
      <w:r w:rsidRPr="009763DD">
        <w:t>Unangan</w:t>
      </w:r>
      <w:r w:rsidRPr="009763DD">
        <w:t xml:space="preserve">) and the major industry is fishing.  Another example cited by SOA is K13TD, White Mountain, Alaska, which serves an </w:t>
      </w:r>
      <w:r w:rsidRPr="009763DD">
        <w:t>Igaluinmuit</w:t>
      </w:r>
      <w:r w:rsidRPr="009763DD">
        <w:t xml:space="preserve"> (Fish River tribe) Inupiat village where subsistence activities are prevalent and necessary for survival.</w:t>
      </w:r>
      <w:r>
        <w:t xml:space="preserve">  </w:t>
      </w:r>
      <w:r>
        <w:rPr>
          <w:i/>
          <w:iCs/>
        </w:rPr>
        <w:t>Id.</w:t>
      </w:r>
      <w:r>
        <w:t xml:space="preserve"> at 4-5.</w:t>
      </w:r>
    </w:p>
  </w:footnote>
  <w:footnote w:id="17">
    <w:p w:rsidR="00B15BC8" w:rsidRPr="00BC4B09" w:rsidP="00B15BC8" w14:paraId="6934C7A8" w14:textId="77777777">
      <w:pPr>
        <w:pStyle w:val="FootnoteText"/>
        <w:widowControl w:val="0"/>
      </w:pPr>
      <w:r w:rsidRPr="00BC4B09">
        <w:rPr>
          <w:rStyle w:val="FootnoteReference"/>
        </w:rPr>
        <w:footnoteRef/>
      </w:r>
      <w:r w:rsidRPr="00BC4B09">
        <w:t xml:space="preserve"> </w:t>
      </w:r>
      <w:r w:rsidRPr="00BC4B09">
        <w:rPr>
          <w:i/>
          <w:iCs/>
        </w:rPr>
        <w:t>Id.</w:t>
      </w:r>
      <w:r w:rsidRPr="00BC4B09">
        <w:t xml:space="preserve"> at 1-2.</w:t>
      </w:r>
    </w:p>
  </w:footnote>
  <w:footnote w:id="18">
    <w:p w:rsidR="00B15BC8" w:rsidRPr="00BC4B09" w:rsidP="00B15BC8" w14:paraId="28DC6102" w14:textId="77777777">
      <w:pPr>
        <w:pStyle w:val="FootnoteText"/>
        <w:widowControl w:val="0"/>
      </w:pPr>
      <w:r w:rsidRPr="00BC4B09">
        <w:rPr>
          <w:rStyle w:val="FootnoteReference"/>
        </w:rPr>
        <w:footnoteRef/>
      </w:r>
      <w:r w:rsidRPr="00BC4B09">
        <w:t xml:space="preserve"> </w:t>
      </w:r>
      <w:r w:rsidRPr="00BC4B09">
        <w:rPr>
          <w:i/>
          <w:iCs/>
        </w:rPr>
        <w:t>Id.</w:t>
      </w:r>
      <w:r w:rsidRPr="00BC4B09">
        <w:t xml:space="preserve"> at 2.</w:t>
      </w:r>
    </w:p>
  </w:footnote>
  <w:footnote w:id="19">
    <w:p w:rsidR="00B15BC8" w:rsidRPr="00BC4B09" w:rsidP="00B15BC8" w14:paraId="29824F90" w14:textId="77777777">
      <w:pPr>
        <w:pStyle w:val="FootnoteText"/>
        <w:widowControl w:val="0"/>
      </w:pPr>
      <w:r w:rsidRPr="00BC4B09">
        <w:rPr>
          <w:rStyle w:val="FootnoteReference"/>
        </w:rPr>
        <w:footnoteRef/>
      </w:r>
      <w:r w:rsidRPr="00BC4B09">
        <w:t xml:space="preserve"> </w:t>
      </w:r>
      <w:r w:rsidRPr="00BC4B09">
        <w:rPr>
          <w:i/>
          <w:iCs/>
        </w:rPr>
        <w:t>Id.</w:t>
      </w:r>
    </w:p>
  </w:footnote>
  <w:footnote w:id="20">
    <w:p w:rsidR="00B15BC8" w:rsidRPr="00BC4B09" w:rsidP="00B15BC8" w14:paraId="073305E2" w14:textId="77777777">
      <w:pPr>
        <w:pStyle w:val="FootnoteText"/>
        <w:widowControl w:val="0"/>
        <w:rPr>
          <w:i/>
          <w:iCs/>
        </w:rPr>
      </w:pPr>
      <w:r w:rsidRPr="00BC4B09">
        <w:rPr>
          <w:rStyle w:val="FootnoteReference"/>
        </w:rPr>
        <w:footnoteRef/>
      </w:r>
      <w:r w:rsidRPr="00BC4B09">
        <w:t xml:space="preserve"> </w:t>
      </w:r>
      <w:r w:rsidRPr="00BC4B09">
        <w:rPr>
          <w:i/>
          <w:iCs/>
        </w:rPr>
        <w:t>Id.</w:t>
      </w:r>
    </w:p>
  </w:footnote>
  <w:footnote w:id="21">
    <w:p w:rsidR="00B15BC8" w:rsidRPr="00BC4B09" w:rsidP="00B15BC8" w14:paraId="4B7555EA" w14:textId="77777777">
      <w:pPr>
        <w:pStyle w:val="FootnoteText"/>
        <w:widowControl w:val="0"/>
        <w:rPr>
          <w:i/>
          <w:iCs/>
        </w:rPr>
      </w:pPr>
      <w:r w:rsidRPr="00BC4B09">
        <w:rPr>
          <w:rStyle w:val="FootnoteReference"/>
        </w:rPr>
        <w:footnoteRef/>
      </w:r>
      <w:r w:rsidRPr="00BC4B09">
        <w:t xml:space="preserve"> </w:t>
      </w:r>
      <w:r w:rsidRPr="00BC4B09">
        <w:rPr>
          <w:i/>
          <w:iCs/>
        </w:rPr>
        <w:t>Id.</w:t>
      </w:r>
    </w:p>
  </w:footnote>
  <w:footnote w:id="22">
    <w:p w:rsidR="00B15BC8" w:rsidRPr="00BC4B09" w:rsidP="00B15BC8" w14:paraId="6F6DCF4A" w14:textId="77777777">
      <w:pPr>
        <w:pStyle w:val="FootnoteText"/>
        <w:widowControl w:val="0"/>
        <w:rPr>
          <w:i/>
          <w:iCs/>
        </w:rPr>
      </w:pPr>
      <w:r w:rsidRPr="00BC4B09">
        <w:rPr>
          <w:rStyle w:val="FootnoteReference"/>
        </w:rPr>
        <w:footnoteRef/>
      </w:r>
      <w:r w:rsidRPr="00BC4B09">
        <w:t xml:space="preserve"> </w:t>
      </w:r>
      <w:r w:rsidRPr="00BC4B09">
        <w:rPr>
          <w:i/>
          <w:iCs/>
        </w:rPr>
        <w:t>Id.</w:t>
      </w:r>
    </w:p>
  </w:footnote>
  <w:footnote w:id="23">
    <w:p w:rsidR="00B15BC8" w:rsidRPr="00BC4B09" w:rsidP="00B15BC8" w14:paraId="62B64F8E" w14:textId="77777777">
      <w:pPr>
        <w:pStyle w:val="FootnoteText"/>
        <w:widowControl w:val="0"/>
        <w:rPr>
          <w:i/>
          <w:iCs/>
        </w:rPr>
      </w:pPr>
      <w:r w:rsidRPr="00BC4B09">
        <w:rPr>
          <w:rStyle w:val="FootnoteReference"/>
        </w:rPr>
        <w:footnoteRef/>
      </w:r>
      <w:r w:rsidRPr="00BC4B09">
        <w:t xml:space="preserve"> </w:t>
      </w:r>
      <w:r w:rsidRPr="00BC4B09">
        <w:rPr>
          <w:i/>
          <w:iCs/>
        </w:rPr>
        <w:t>Id.</w:t>
      </w:r>
    </w:p>
  </w:footnote>
  <w:footnote w:id="24">
    <w:p w:rsidR="00B15BC8" w:rsidP="00B15BC8" w14:paraId="0716D63A" w14:textId="77777777">
      <w:pPr>
        <w:pStyle w:val="FootnoteText"/>
        <w:widowControl w:val="0"/>
      </w:pPr>
      <w:r>
        <w:rPr>
          <w:rStyle w:val="FootnoteReference"/>
        </w:rPr>
        <w:footnoteRef/>
      </w:r>
      <w:r>
        <w:t xml:space="preserve"> Waiver Supplement at 2. </w:t>
      </w:r>
    </w:p>
  </w:footnote>
  <w:footnote w:id="25">
    <w:p w:rsidR="00B15BC8" w:rsidRPr="005B4046" w:rsidP="00B15BC8" w14:paraId="1225282B" w14:textId="22EC62AF">
      <w:pPr>
        <w:pStyle w:val="FootnoteText"/>
        <w:widowControl w:val="0"/>
      </w:pPr>
      <w:r>
        <w:rPr>
          <w:rStyle w:val="FootnoteReference"/>
        </w:rPr>
        <w:footnoteRef/>
      </w:r>
      <w:r>
        <w:t xml:space="preserve"> </w:t>
      </w:r>
      <w:r>
        <w:rPr>
          <w:i/>
          <w:iCs/>
        </w:rPr>
        <w:t xml:space="preserve">Id. </w:t>
      </w:r>
      <w:r>
        <w:t>at 1-2.</w:t>
      </w:r>
    </w:p>
  </w:footnote>
  <w:footnote w:id="26">
    <w:p w:rsidR="00B15BC8" w:rsidRPr="00385FCC" w:rsidP="00B15BC8" w14:paraId="3682BCD5" w14:textId="77777777">
      <w:pPr>
        <w:pStyle w:val="FootnoteText"/>
        <w:widowControl w:val="0"/>
        <w:rPr>
          <w:i/>
          <w:iCs/>
        </w:rPr>
      </w:pPr>
      <w:r>
        <w:rPr>
          <w:rStyle w:val="FootnoteReference"/>
        </w:rPr>
        <w:footnoteRef/>
      </w:r>
      <w:r>
        <w:t xml:space="preserve"> </w:t>
      </w:r>
      <w:r>
        <w:rPr>
          <w:i/>
          <w:iCs/>
        </w:rPr>
        <w:t>Id.</w:t>
      </w:r>
    </w:p>
  </w:footnote>
  <w:footnote w:id="27">
    <w:p w:rsidR="00B15BC8" w:rsidRPr="00CF2076" w:rsidP="00B15BC8" w14:paraId="50930E98" w14:textId="7FDFE898">
      <w:pPr>
        <w:pStyle w:val="FootnoteText"/>
        <w:widowControl w:val="0"/>
      </w:pPr>
      <w:r w:rsidRPr="00BC4B09">
        <w:rPr>
          <w:rStyle w:val="FootnoteReference"/>
        </w:rPr>
        <w:footnoteRef/>
      </w:r>
      <w:r w:rsidRPr="00BC4B09">
        <w:t xml:space="preserve"> </w:t>
      </w:r>
      <w:r w:rsidRPr="00721316" w:rsidR="00721316">
        <w:rPr>
          <w:i/>
          <w:iCs/>
        </w:rPr>
        <w:t>Id.</w:t>
      </w:r>
      <w:r>
        <w:t xml:space="preserve"> at 3.  We note that a</w:t>
      </w:r>
      <w:r w:rsidRPr="00CF2076">
        <w:t>ny construction permit for which construction has not been completed and for which an application for license or extension of time has not been filed, shall be automatically forfeited upon expiration without any further affirmative cancellation by the Commission.</w:t>
      </w:r>
      <w:r>
        <w:t xml:space="preserve">  47 CFR § 74.788(b). </w:t>
      </w:r>
    </w:p>
  </w:footnote>
  <w:footnote w:id="28">
    <w:p w:rsidR="00B15BC8" w:rsidRPr="00BC4B09" w:rsidP="00B15BC8" w14:paraId="34A3C78B" w14:textId="77777777">
      <w:pPr>
        <w:pStyle w:val="FootnoteText"/>
        <w:widowControl w:val="0"/>
        <w:rPr>
          <w:i/>
          <w:iCs/>
        </w:rPr>
      </w:pPr>
      <w:r w:rsidRPr="00BC4B09">
        <w:rPr>
          <w:rStyle w:val="FootnoteReference"/>
        </w:rPr>
        <w:footnoteRef/>
      </w:r>
      <w:r w:rsidRPr="00BC4B09">
        <w:t xml:space="preserve"> </w:t>
      </w:r>
      <w:r>
        <w:t>Waiver Supplement at 3</w:t>
      </w:r>
      <w:r>
        <w:rPr>
          <w:i/>
          <w:iCs/>
        </w:rPr>
        <w:t>.</w:t>
      </w:r>
    </w:p>
  </w:footnote>
  <w:footnote w:id="29">
    <w:p w:rsidR="00B15BC8" w:rsidRPr="007367B5" w:rsidP="00B15BC8" w14:paraId="0A2AEFAC" w14:textId="3C4AF6D7">
      <w:pPr>
        <w:pStyle w:val="FootnoteText"/>
        <w:widowControl w:val="0"/>
      </w:pPr>
      <w:r w:rsidRPr="00BC4B09">
        <w:rPr>
          <w:rStyle w:val="FootnoteReference"/>
        </w:rPr>
        <w:footnoteRef/>
      </w:r>
      <w:r w:rsidRPr="00BC4B09">
        <w:t xml:space="preserve"> </w:t>
      </w:r>
      <w:r w:rsidRPr="00BC4B09">
        <w:rPr>
          <w:i/>
          <w:iCs/>
        </w:rPr>
        <w:t>Id.</w:t>
      </w:r>
      <w:r>
        <w:t xml:space="preserve">  </w:t>
      </w:r>
      <w:r w:rsidRPr="007367B5">
        <w:rPr>
          <w:i/>
          <w:iCs/>
        </w:rPr>
        <w:t>See supra</w:t>
      </w:r>
      <w:r>
        <w:t xml:space="preserve"> notes 9 and 10.</w:t>
      </w:r>
    </w:p>
  </w:footnote>
  <w:footnote w:id="30">
    <w:p w:rsidR="00B15BC8" w:rsidRPr="00BC4B09" w:rsidP="00B15BC8" w14:paraId="2C395A99" w14:textId="77777777">
      <w:pPr>
        <w:pStyle w:val="FootnoteText"/>
        <w:widowControl w:val="0"/>
        <w:rPr>
          <w:i/>
          <w:iCs/>
        </w:rPr>
      </w:pPr>
      <w:r w:rsidRPr="00BC4B09">
        <w:rPr>
          <w:rStyle w:val="FootnoteReference"/>
        </w:rPr>
        <w:footnoteRef/>
      </w:r>
      <w:r w:rsidRPr="00BC4B09">
        <w:t xml:space="preserve"> </w:t>
      </w:r>
      <w:r w:rsidRPr="007367B5">
        <w:t xml:space="preserve">Waiver </w:t>
      </w:r>
      <w:r>
        <w:t>Supplement</w:t>
      </w:r>
      <w:r w:rsidRPr="007367B5">
        <w:t xml:space="preserve"> at </w:t>
      </w:r>
      <w:r>
        <w:t>3</w:t>
      </w:r>
      <w:r w:rsidRPr="007367B5">
        <w:t>.</w:t>
      </w:r>
      <w:r>
        <w:rPr>
          <w:i/>
          <w:iCs/>
        </w:rPr>
        <w:t xml:space="preserve"> </w:t>
      </w:r>
    </w:p>
  </w:footnote>
  <w:footnote w:id="31">
    <w:p w:rsidR="00B15BC8" w:rsidRPr="00BC4B09" w:rsidP="00B15BC8" w14:paraId="2F557381" w14:textId="77777777">
      <w:pPr>
        <w:pStyle w:val="FootnoteText"/>
        <w:widowControl w:val="0"/>
      </w:pPr>
      <w:r w:rsidRPr="00BC4B09">
        <w:rPr>
          <w:rStyle w:val="FootnoteReference"/>
        </w:rPr>
        <w:footnoteRef/>
      </w:r>
      <w:r w:rsidRPr="00BC4B09">
        <w:t xml:space="preserve"> </w:t>
      </w:r>
      <w:r>
        <w:rPr>
          <w:i/>
          <w:iCs/>
        </w:rPr>
        <w:t>Id.</w:t>
      </w:r>
    </w:p>
  </w:footnote>
  <w:footnote w:id="32">
    <w:p w:rsidR="00B15BC8" w:rsidRPr="00BC4B09" w:rsidP="00B15BC8" w14:paraId="7C3CE01F" w14:textId="77777777">
      <w:pPr>
        <w:pStyle w:val="FootnoteText"/>
        <w:widowControl w:val="0"/>
      </w:pPr>
      <w:r w:rsidRPr="00BC4B09">
        <w:rPr>
          <w:rStyle w:val="FootnoteReference"/>
        </w:rPr>
        <w:footnoteRef/>
      </w:r>
      <w:r w:rsidRPr="00BC4B09">
        <w:t xml:space="preserve"> </w:t>
      </w:r>
      <w:r>
        <w:t>Waiver Request</w:t>
      </w:r>
      <w:r w:rsidRPr="00BC4B09">
        <w:t xml:space="preserve"> at 3.</w:t>
      </w:r>
    </w:p>
  </w:footnote>
  <w:footnote w:id="33">
    <w:p w:rsidR="00B15BC8" w:rsidRPr="00BC4B09" w:rsidP="00B15BC8" w14:paraId="466EF14F" w14:textId="77777777">
      <w:pPr>
        <w:pStyle w:val="FootnoteText"/>
        <w:widowControl w:val="0"/>
        <w:rPr>
          <w:i/>
          <w:iCs/>
        </w:rPr>
      </w:pPr>
      <w:r w:rsidRPr="00BC4B09">
        <w:rPr>
          <w:rStyle w:val="FootnoteReference"/>
        </w:rPr>
        <w:footnoteRef/>
      </w:r>
      <w:r w:rsidRPr="00BC4B09">
        <w:t xml:space="preserve"> </w:t>
      </w:r>
      <w:r w:rsidRPr="00BC4B09">
        <w:rPr>
          <w:i/>
          <w:iCs/>
        </w:rPr>
        <w:t>Id.</w:t>
      </w:r>
    </w:p>
  </w:footnote>
  <w:footnote w:id="34">
    <w:p w:rsidR="00B15BC8" w:rsidRPr="00BC4B09" w:rsidP="00B15BC8" w14:paraId="292C3AD8" w14:textId="77777777">
      <w:pPr>
        <w:pStyle w:val="FootnoteText"/>
        <w:widowControl w:val="0"/>
        <w:rPr>
          <w:i/>
          <w:iCs/>
        </w:rPr>
      </w:pPr>
      <w:r w:rsidRPr="00BC4B09">
        <w:rPr>
          <w:rStyle w:val="FootnoteReference"/>
        </w:rPr>
        <w:footnoteRef/>
      </w:r>
      <w:r w:rsidRPr="00BC4B09">
        <w:t xml:space="preserve"> </w:t>
      </w:r>
      <w:r w:rsidRPr="00BC4B09">
        <w:rPr>
          <w:i/>
          <w:iCs/>
        </w:rPr>
        <w:t>Id.</w:t>
      </w:r>
    </w:p>
  </w:footnote>
  <w:footnote w:id="35">
    <w:p w:rsidR="00B15BC8" w:rsidRPr="00BC4B09" w:rsidP="00B15BC8" w14:paraId="20DA2D76" w14:textId="77777777">
      <w:pPr>
        <w:pStyle w:val="FootnoteText"/>
        <w:widowControl w:val="0"/>
        <w:rPr>
          <w:i/>
          <w:iCs/>
        </w:rPr>
      </w:pPr>
      <w:r w:rsidRPr="00BC4B09">
        <w:rPr>
          <w:rStyle w:val="FootnoteReference"/>
        </w:rPr>
        <w:footnoteRef/>
      </w:r>
      <w:r w:rsidRPr="00BC4B09">
        <w:t xml:space="preserve"> </w:t>
      </w:r>
      <w:r w:rsidRPr="00BC4B09">
        <w:rPr>
          <w:i/>
          <w:iCs/>
        </w:rPr>
        <w:t>Id.</w:t>
      </w:r>
    </w:p>
  </w:footnote>
  <w:footnote w:id="36">
    <w:p w:rsidR="00B15BC8" w:rsidRPr="00BC4B09" w:rsidP="00B15BC8" w14:paraId="6D0EDC29" w14:textId="77777777">
      <w:pPr>
        <w:pStyle w:val="FootnoteText"/>
        <w:widowControl w:val="0"/>
        <w:rPr>
          <w:i/>
          <w:iCs/>
        </w:rPr>
      </w:pPr>
      <w:r w:rsidRPr="00BC4B09">
        <w:rPr>
          <w:rStyle w:val="FootnoteReference"/>
        </w:rPr>
        <w:footnoteRef/>
      </w:r>
      <w:r w:rsidRPr="00BC4B09">
        <w:t xml:space="preserve"> </w:t>
      </w:r>
      <w:r w:rsidRPr="00BC4B09">
        <w:rPr>
          <w:i/>
          <w:iCs/>
        </w:rPr>
        <w:t>Id.</w:t>
      </w:r>
    </w:p>
  </w:footnote>
  <w:footnote w:id="37">
    <w:p w:rsidR="00B15BC8" w:rsidP="00B15BC8" w14:paraId="6E20F7FE" w14:textId="77777777">
      <w:pPr>
        <w:pStyle w:val="FootnoteText"/>
        <w:widowControl w:val="0"/>
      </w:pPr>
      <w:r>
        <w:rPr>
          <w:rStyle w:val="FootnoteReference"/>
        </w:rPr>
        <w:footnoteRef/>
      </w:r>
      <w:r>
        <w:rPr>
          <w:szCs w:val="22"/>
        </w:rPr>
        <w:t xml:space="preserve"> </w:t>
      </w:r>
      <w:r w:rsidRPr="007B3F74">
        <w:rPr>
          <w:szCs w:val="22"/>
        </w:rPr>
        <w:t xml:space="preserve">SOA </w:t>
      </w:r>
      <w:r>
        <w:rPr>
          <w:szCs w:val="22"/>
        </w:rPr>
        <w:t xml:space="preserve">also notes </w:t>
      </w:r>
      <w:r w:rsidRPr="007B3F74">
        <w:rPr>
          <w:szCs w:val="22"/>
        </w:rPr>
        <w:t>that, like other State-owned broadcasters, it is required to follow the State-mandated procurement and contracting procedures that include the requirement that contractors be hired through a competitive “request for proposal” system.</w:t>
      </w:r>
      <w:r>
        <w:rPr>
          <w:szCs w:val="22"/>
        </w:rPr>
        <w:t xml:space="preserve">  </w:t>
      </w:r>
      <w:r>
        <w:t>Waiver Supplement at 1</w:t>
      </w:r>
      <w:r>
        <w:rPr>
          <w:szCs w:val="22"/>
        </w:rPr>
        <w:t xml:space="preserve">.  </w:t>
      </w:r>
      <w:r w:rsidRPr="007B3F74">
        <w:rPr>
          <w:szCs w:val="22"/>
        </w:rPr>
        <w:t>The procurement process is very time consuming and can take many months to complete.</w:t>
      </w:r>
      <w:r>
        <w:rPr>
          <w:szCs w:val="22"/>
        </w:rPr>
        <w:t xml:space="preserve">  </w:t>
      </w:r>
      <w:r w:rsidRPr="005C6EF3">
        <w:rPr>
          <w:i/>
          <w:iCs/>
          <w:szCs w:val="22"/>
        </w:rPr>
        <w:t>Id.</w:t>
      </w:r>
    </w:p>
  </w:footnote>
  <w:footnote w:id="38">
    <w:p w:rsidR="00B15BC8" w:rsidRPr="005C6EF3" w:rsidP="00B15BC8" w14:paraId="01D6C915" w14:textId="77777777">
      <w:pPr>
        <w:pStyle w:val="FootnoteText"/>
        <w:widowControl w:val="0"/>
      </w:pPr>
      <w:r w:rsidRPr="00BC4B09">
        <w:rPr>
          <w:rStyle w:val="FootnoteReference"/>
        </w:rPr>
        <w:footnoteRef/>
      </w:r>
      <w:r w:rsidRPr="00BC4B09">
        <w:t xml:space="preserve"> </w:t>
      </w:r>
      <w:r>
        <w:t>Waiver Request at 3.</w:t>
      </w:r>
    </w:p>
  </w:footnote>
  <w:footnote w:id="39">
    <w:p w:rsidR="00B15BC8" w:rsidRPr="00BC4B09" w:rsidP="00B15BC8" w14:paraId="27ECDD35" w14:textId="77777777">
      <w:pPr>
        <w:pStyle w:val="FootnoteText"/>
        <w:widowControl w:val="0"/>
        <w:rPr>
          <w:i/>
          <w:iCs/>
        </w:rPr>
      </w:pPr>
      <w:r w:rsidRPr="00BC4B09">
        <w:rPr>
          <w:rStyle w:val="FootnoteReference"/>
        </w:rPr>
        <w:footnoteRef/>
      </w:r>
      <w:r w:rsidRPr="00BC4B09">
        <w:t xml:space="preserve"> </w:t>
      </w:r>
      <w:r w:rsidRPr="00BC4B09">
        <w:rPr>
          <w:i/>
          <w:iCs/>
        </w:rPr>
        <w:t>Id.</w:t>
      </w:r>
    </w:p>
  </w:footnote>
  <w:footnote w:id="40">
    <w:p w:rsidR="00B15BC8" w:rsidRPr="00BC4B09" w:rsidP="00B15BC8" w14:paraId="44EF0509" w14:textId="77777777">
      <w:pPr>
        <w:pStyle w:val="FootnoteText"/>
        <w:widowControl w:val="0"/>
        <w:rPr>
          <w:i/>
          <w:iCs/>
        </w:rPr>
      </w:pPr>
      <w:r w:rsidRPr="00BC4B09">
        <w:rPr>
          <w:rStyle w:val="FootnoteReference"/>
        </w:rPr>
        <w:footnoteRef/>
      </w:r>
      <w:r w:rsidRPr="00BC4B09">
        <w:t xml:space="preserve"> </w:t>
      </w:r>
      <w:r w:rsidRPr="00BC4B09">
        <w:rPr>
          <w:i/>
          <w:iCs/>
        </w:rPr>
        <w:t>Id.</w:t>
      </w:r>
      <w:r>
        <w:rPr>
          <w:i/>
          <w:iCs/>
        </w:rPr>
        <w:t xml:space="preserve">  </w:t>
      </w:r>
      <w:r w:rsidRPr="000B1782">
        <w:rPr>
          <w:i/>
          <w:iCs/>
        </w:rPr>
        <w:t>See supra</w:t>
      </w:r>
      <w:r>
        <w:t xml:space="preserve"> para. 4 (discussing the programming aired by </w:t>
      </w:r>
      <w:r>
        <w:rPr>
          <w:szCs w:val="22"/>
        </w:rPr>
        <w:t>the</w:t>
      </w:r>
      <w:r w:rsidRPr="007F0F29">
        <w:rPr>
          <w:szCs w:val="22"/>
        </w:rPr>
        <w:t xml:space="preserve"> Stations</w:t>
      </w:r>
      <w:r>
        <w:t>).</w:t>
      </w:r>
    </w:p>
  </w:footnote>
  <w:footnote w:id="41">
    <w:p w:rsidR="00B15BC8" w:rsidRPr="00BC4B09" w:rsidP="00B15BC8" w14:paraId="20A0FF64" w14:textId="77777777">
      <w:pPr>
        <w:pStyle w:val="FootnoteText"/>
        <w:widowControl w:val="0"/>
      </w:pPr>
      <w:r w:rsidRPr="00BC4B09">
        <w:rPr>
          <w:rStyle w:val="FootnoteReference"/>
        </w:rPr>
        <w:footnoteRef/>
      </w:r>
      <w:r w:rsidRPr="00BC4B09">
        <w:t xml:space="preserve"> </w:t>
      </w:r>
      <w:r w:rsidRPr="00BC4B09">
        <w:rPr>
          <w:i/>
          <w:iCs/>
        </w:rPr>
        <w:t xml:space="preserve">Id. </w:t>
      </w:r>
      <w:r w:rsidRPr="00BC4B09">
        <w:t>at 4-5.</w:t>
      </w:r>
    </w:p>
  </w:footnote>
  <w:footnote w:id="42">
    <w:p w:rsidR="00B15BC8" w:rsidRPr="00BC4B09" w:rsidP="00B15BC8" w14:paraId="5B725FFD" w14:textId="77777777">
      <w:pPr>
        <w:pStyle w:val="FootnoteText"/>
        <w:widowControl w:val="0"/>
      </w:pPr>
      <w:r w:rsidRPr="00BC4B09">
        <w:rPr>
          <w:rStyle w:val="FootnoteReference"/>
        </w:rPr>
        <w:footnoteRef/>
      </w:r>
      <w:r w:rsidRPr="00BC4B09">
        <w:t xml:space="preserve"> </w:t>
      </w:r>
      <w:r w:rsidRPr="00BC4B09">
        <w:rPr>
          <w:i/>
          <w:iCs/>
        </w:rPr>
        <w:t>Id.</w:t>
      </w:r>
      <w:r w:rsidRPr="00BC4B09">
        <w:t xml:space="preserve"> at 5.</w:t>
      </w:r>
    </w:p>
  </w:footnote>
  <w:footnote w:id="43">
    <w:p w:rsidR="00B15BC8" w:rsidRPr="00BC4B09" w:rsidP="00B15BC8" w14:paraId="4DD963BF" w14:textId="77777777">
      <w:pPr>
        <w:pStyle w:val="FootnoteText"/>
        <w:widowControl w:val="0"/>
        <w:rPr>
          <w:i/>
          <w:iCs/>
        </w:rPr>
      </w:pPr>
      <w:r w:rsidRPr="00BC4B09">
        <w:rPr>
          <w:rStyle w:val="FootnoteReference"/>
        </w:rPr>
        <w:footnoteRef/>
      </w:r>
      <w:r w:rsidRPr="00BC4B09">
        <w:t xml:space="preserve"> </w:t>
      </w:r>
      <w:r w:rsidRPr="00BC4B09">
        <w:rPr>
          <w:i/>
          <w:iCs/>
        </w:rPr>
        <w:t>Id.</w:t>
      </w:r>
    </w:p>
  </w:footnote>
  <w:footnote w:id="44">
    <w:p w:rsidR="00B15BC8" w:rsidRPr="00BC4B09" w:rsidP="00B15BC8" w14:paraId="27D47360" w14:textId="77777777">
      <w:pPr>
        <w:pStyle w:val="FootnoteText"/>
        <w:widowControl w:val="0"/>
        <w:rPr>
          <w:i/>
          <w:iCs/>
        </w:rPr>
      </w:pPr>
      <w:r w:rsidRPr="00BC4B09">
        <w:rPr>
          <w:rStyle w:val="FootnoteReference"/>
        </w:rPr>
        <w:footnoteRef/>
      </w:r>
      <w:r w:rsidRPr="00BC4B09">
        <w:t xml:space="preserve"> </w:t>
      </w:r>
      <w:r w:rsidRPr="00BC4B09">
        <w:rPr>
          <w:i/>
          <w:iCs/>
        </w:rPr>
        <w:t>Id.</w:t>
      </w:r>
    </w:p>
  </w:footnote>
  <w:footnote w:id="45">
    <w:p w:rsidR="00B15BC8" w:rsidRPr="00BC4B09" w:rsidP="00B15BC8" w14:paraId="1C5AED50" w14:textId="77777777">
      <w:pPr>
        <w:pStyle w:val="FootnoteText"/>
        <w:widowControl w:val="0"/>
        <w:rPr>
          <w:i/>
          <w:iCs/>
        </w:rPr>
      </w:pPr>
      <w:r w:rsidRPr="00BC4B09">
        <w:rPr>
          <w:rStyle w:val="FootnoteReference"/>
        </w:rPr>
        <w:footnoteRef/>
      </w:r>
      <w:r w:rsidRPr="00BC4B09">
        <w:t xml:space="preserve"> </w:t>
      </w:r>
      <w:r w:rsidRPr="00BC4B09">
        <w:rPr>
          <w:i/>
          <w:iCs/>
        </w:rPr>
        <w:t>Id.</w:t>
      </w:r>
    </w:p>
  </w:footnote>
  <w:footnote w:id="46">
    <w:p w:rsidR="00B15BC8" w:rsidRPr="00BC4B09" w:rsidP="00B15BC8" w14:paraId="674EDBD2" w14:textId="77777777">
      <w:pPr>
        <w:pStyle w:val="FootnoteText"/>
        <w:widowControl w:val="0"/>
      </w:pPr>
      <w:r w:rsidRPr="00BC4B09">
        <w:rPr>
          <w:rStyle w:val="FootnoteReference"/>
        </w:rPr>
        <w:footnoteRef/>
      </w:r>
      <w:r w:rsidRPr="00BC4B09">
        <w:t xml:space="preserve"> </w:t>
      </w:r>
      <w:r w:rsidRPr="00BC4B09">
        <w:rPr>
          <w:i/>
        </w:rPr>
        <w:t>See</w:t>
      </w:r>
      <w:r w:rsidRPr="00BC4B09">
        <w:t xml:space="preserve"> </w:t>
      </w:r>
      <w:r w:rsidRPr="00BC4B09">
        <w:rPr>
          <w:i/>
        </w:rPr>
        <w:t>Northeast Cellular Telephone Co. v. FCC</w:t>
      </w:r>
      <w:r w:rsidRPr="00BC4B09">
        <w:t xml:space="preserve">, 897 F.2d 1164, 1166 (D.C. Cir. 1990); </w:t>
      </w:r>
      <w:r w:rsidRPr="00BC4B09">
        <w:rPr>
          <w:i/>
        </w:rPr>
        <w:t>WAIT Radio v. FCC</w:t>
      </w:r>
      <w:r w:rsidRPr="00BC4B09">
        <w:t>, 418 F.2d 1153, 1159 (D.C. Cir. 1969); 47 CFR § 1.3 (waiver for good cause shown).  Waiver of the Commission’s rules is appropriate only if both (</w:t>
      </w:r>
      <w:r w:rsidRPr="00BC4B09">
        <w:t>i</w:t>
      </w:r>
      <w:r w:rsidRPr="00BC4B09">
        <w:t xml:space="preserve">) special circumstances warrant a deviation from the general rule, and (ii) such deviation will serve the public interest.  </w:t>
      </w:r>
      <w:r w:rsidRPr="00BC4B09">
        <w:rPr>
          <w:i/>
        </w:rPr>
        <w:t>NetworkIP</w:t>
      </w:r>
      <w:r w:rsidRPr="00BC4B09">
        <w:rPr>
          <w:i/>
        </w:rPr>
        <w:t xml:space="preserve"> v. FCC</w:t>
      </w:r>
      <w:r w:rsidRPr="00BC4B09">
        <w:rPr>
          <w:iCs/>
        </w:rPr>
        <w:t xml:space="preserve">, 548 F.3d 116, 125-28 (D.C. Cir. 2008).  </w:t>
      </w:r>
      <w:r w:rsidRPr="00BC4B09">
        <w:rPr>
          <w:i/>
        </w:rPr>
        <w:t>See also Transition Scheduling Adoption Public Notice</w:t>
      </w:r>
      <w:r w:rsidRPr="00BC4B09">
        <w:t xml:space="preserve">, 32 FCC </w:t>
      </w:r>
      <w:r w:rsidRPr="00BC4B09">
        <w:t>Rcd</w:t>
      </w:r>
      <w:r w:rsidRPr="00BC4B09">
        <w:t xml:space="preserve"> at 913-14, para. 51 and n.171.</w:t>
      </w:r>
    </w:p>
  </w:footnote>
  <w:footnote w:id="47">
    <w:p w:rsidR="00B15BC8" w:rsidRPr="00BC4B09" w:rsidP="00B15BC8" w14:paraId="5753E53F" w14:textId="77777777">
      <w:pPr>
        <w:pStyle w:val="FootnoteText"/>
        <w:widowControl w:val="0"/>
      </w:pPr>
      <w:r w:rsidRPr="00BC4B09">
        <w:rPr>
          <w:rStyle w:val="FootnoteReference"/>
        </w:rPr>
        <w:footnoteRef/>
      </w:r>
      <w:r w:rsidRPr="00BC4B09">
        <w:t xml:space="preserve"> </w:t>
      </w:r>
      <w:r w:rsidRPr="00BC4B09">
        <w:rPr>
          <w:color w:val="000000"/>
        </w:rPr>
        <w:t xml:space="preserve">47 CFR </w:t>
      </w:r>
      <w:bookmarkStart w:id="139" w:name="_Hlk42122853"/>
      <w:r w:rsidRPr="00BC4B09">
        <w:t xml:space="preserve">§§ 73.616(d), </w:t>
      </w:r>
      <w:r w:rsidRPr="00BC4B09">
        <w:rPr>
          <w:color w:val="000000"/>
        </w:rPr>
        <w:t>73.3700(b)(4)(iii</w:t>
      </w:r>
      <w:bookmarkEnd w:id="139"/>
      <w:r w:rsidRPr="00BC4B09">
        <w:rPr>
          <w:color w:val="000000"/>
        </w:rPr>
        <w:t>).</w:t>
      </w:r>
    </w:p>
  </w:footnote>
  <w:footnote w:id="48">
    <w:p w:rsidR="00B15BC8" w:rsidRPr="00BC4B09" w:rsidP="00B15BC8" w14:paraId="488E998C" w14:textId="77777777">
      <w:pPr>
        <w:pStyle w:val="FootnoteText"/>
        <w:widowControl w:val="0"/>
      </w:pPr>
      <w:r w:rsidRPr="00BC4B09">
        <w:rPr>
          <w:rStyle w:val="FootnoteReference"/>
        </w:rPr>
        <w:footnoteRef/>
      </w:r>
      <w:r w:rsidRPr="00BC4B09">
        <w:t xml:space="preserve"> </w:t>
      </w:r>
      <w:r w:rsidRPr="00BC4B09">
        <w:rPr>
          <w:i/>
          <w:iCs/>
        </w:rPr>
        <w:t>See</w:t>
      </w:r>
      <w:r w:rsidRPr="00BC4B09">
        <w:t xml:space="preserve"> Waiver Request at 4</w:t>
      </w:r>
      <w:r>
        <w:t xml:space="preserve"> and </w:t>
      </w:r>
      <w:r w:rsidRPr="00F86BCA">
        <w:rPr>
          <w:i/>
          <w:iCs/>
        </w:rPr>
        <w:t>supra</w:t>
      </w:r>
      <w:r>
        <w:t xml:space="preserve"> para. 4 (discussing the programming aired by </w:t>
      </w:r>
      <w:r>
        <w:rPr>
          <w:szCs w:val="22"/>
        </w:rPr>
        <w:t>the</w:t>
      </w:r>
      <w:r w:rsidRPr="007F0F29">
        <w:rPr>
          <w:szCs w:val="22"/>
        </w:rPr>
        <w:t xml:space="preserve"> Stations</w:t>
      </w:r>
      <w:r>
        <w:t>)</w:t>
      </w:r>
      <w:r w:rsidRPr="00BC4B09">
        <w:t>.</w:t>
      </w:r>
    </w:p>
  </w:footnote>
  <w:footnote w:id="49">
    <w:p w:rsidR="00B15BC8" w:rsidRPr="00BC4B09" w:rsidP="00B15BC8" w14:paraId="21A56CC6" w14:textId="77777777">
      <w:pPr>
        <w:pStyle w:val="FootnoteText"/>
        <w:widowControl w:val="0"/>
      </w:pPr>
      <w:r w:rsidRPr="00BC4B09">
        <w:rPr>
          <w:rStyle w:val="FootnoteReference"/>
        </w:rPr>
        <w:footnoteRef/>
      </w:r>
      <w:r w:rsidRPr="00BC4B09">
        <w:t xml:space="preserve"> </w:t>
      </w:r>
      <w:r w:rsidRPr="00BC4B09">
        <w:rPr>
          <w:i/>
          <w:iCs/>
        </w:rPr>
        <w:t>See LPTV DTV Second R&amp;O</w:t>
      </w:r>
      <w:r w:rsidRPr="00BC4B09">
        <w:t xml:space="preserve">, 30 FCC </w:t>
      </w:r>
      <w:r w:rsidRPr="00BC4B09">
        <w:t>Rcd</w:t>
      </w:r>
      <w:r w:rsidRPr="00BC4B09">
        <w:t xml:space="preserve"> at 10738-9, para. 12.</w:t>
      </w:r>
    </w:p>
  </w:footnote>
  <w:footnote w:id="50">
    <w:p w:rsidR="00B15BC8" w:rsidRPr="00822277" w:rsidP="00B15BC8" w14:paraId="624AA465" w14:textId="77777777">
      <w:pPr>
        <w:pStyle w:val="FootnoteText"/>
        <w:widowControl w:val="0"/>
      </w:pPr>
      <w:r>
        <w:rPr>
          <w:rStyle w:val="FootnoteReference"/>
        </w:rPr>
        <w:footnoteRef/>
      </w:r>
      <w:r>
        <w:t xml:space="preserve"> </w:t>
      </w:r>
      <w:r>
        <w:rPr>
          <w:i/>
          <w:iCs/>
        </w:rPr>
        <w:t>See</w:t>
      </w:r>
      <w:r>
        <w:t>, e.g.¸</w:t>
      </w:r>
      <w:r w:rsidRPr="00822277">
        <w:t xml:space="preserve"> </w:t>
      </w:r>
      <w:r w:rsidRPr="00385FCC">
        <w:rPr>
          <w:i/>
          <w:iCs/>
        </w:rPr>
        <w:t>Amendment of Section 73.622(</w:t>
      </w:r>
      <w:r w:rsidRPr="00385FCC">
        <w:rPr>
          <w:i/>
          <w:iCs/>
        </w:rPr>
        <w:t>i</w:t>
      </w:r>
      <w:r w:rsidRPr="00385FCC">
        <w:rPr>
          <w:i/>
          <w:iCs/>
        </w:rPr>
        <w:t>) - Post-Transition Table of DTV Allotment (Anchorage, Alaska)</w:t>
      </w:r>
      <w:r>
        <w:t xml:space="preserve">, Report and Order, 32 FCC </w:t>
      </w:r>
      <w:r>
        <w:t>Rcd</w:t>
      </w:r>
      <w:r>
        <w:t xml:space="preserve"> 3294, para. 2 (MB 2017) (citing the remote location and lack of reliable power source at station’s transmission site as factors weighing in favor of granting a waiver of the freeze on filing petitions for rulemaking for full power television stations to change channels); </w:t>
      </w:r>
      <w:r w:rsidRPr="00385FCC">
        <w:rPr>
          <w:i/>
          <w:iCs/>
        </w:rPr>
        <w:t>Fireweed Communications LLC</w:t>
      </w:r>
      <w:r>
        <w:t xml:space="preserve">, Letter Order, 31 FCC </w:t>
      </w:r>
      <w:r>
        <w:t>Rcd</w:t>
      </w:r>
      <w:r>
        <w:t xml:space="preserve"> 6997, 7001 (MB 2016) (citing the unique terrain and characteristics of television markets in Alaska as a factor in granting a “failing station” multiple ownership waiver); </w:t>
      </w:r>
      <w:r w:rsidRPr="00385FCC">
        <w:rPr>
          <w:i/>
          <w:iCs/>
        </w:rPr>
        <w:t>Petition of General Communication, Inc. for Waiver of Certain Channelization and Other Restrictions on Common Carrier Fixed Point-to-Point Operations Between 6425 and 7125 MHz</w:t>
      </w:r>
      <w:r>
        <w:t xml:space="preserve">, Order, 31 FCC </w:t>
      </w:r>
      <w:r>
        <w:t>Rcd</w:t>
      </w:r>
      <w:r>
        <w:t xml:space="preserve"> 11792, 11797, para. 5 (WTB 2016) (citing </w:t>
      </w:r>
      <w:r w:rsidRPr="000E21C9">
        <w:t>unique circumstances</w:t>
      </w:r>
      <w:r>
        <w:t xml:space="preserve"> </w:t>
      </w:r>
      <w:r w:rsidRPr="000E21C9">
        <w:t>including Alaska’s large size, varied terrain, harsh climate, isolated populations, limited availability of personnel to construct networks and shortened construction season</w:t>
      </w:r>
      <w:r>
        <w:t xml:space="preserve"> as factors in granting </w:t>
      </w:r>
      <w:r w:rsidRPr="000E21C9">
        <w:t>Upper 6 GHz band</w:t>
      </w:r>
      <w:r>
        <w:t xml:space="preserve"> channelization waiver).</w:t>
      </w:r>
    </w:p>
  </w:footnote>
  <w:footnote w:id="51">
    <w:p w:rsidR="00B15BC8" w:rsidRPr="00BC4B09" w:rsidP="00B15BC8" w14:paraId="6491A6EF" w14:textId="77777777">
      <w:pPr>
        <w:pStyle w:val="FootnoteText"/>
        <w:widowControl w:val="0"/>
      </w:pPr>
      <w:r w:rsidRPr="00BC4B09">
        <w:rPr>
          <w:rStyle w:val="FootnoteReference"/>
        </w:rPr>
        <w:footnoteRef/>
      </w:r>
      <w:r w:rsidRPr="00BC4B09">
        <w:t xml:space="preserve"> </w:t>
      </w:r>
      <w:r w:rsidRPr="00BC4B09">
        <w:rPr>
          <w:i/>
          <w:iCs/>
        </w:rPr>
        <w:t xml:space="preserve">See </w:t>
      </w:r>
      <w:r w:rsidRPr="00BC4B09">
        <w:t>Appendix.</w:t>
      </w:r>
    </w:p>
  </w:footnote>
  <w:footnote w:id="52">
    <w:p w:rsidR="00B15BC8" w:rsidP="00B15BC8" w14:paraId="42BDFC69" w14:textId="77777777">
      <w:pPr>
        <w:pStyle w:val="FootnoteText"/>
        <w:widowControl w:val="0"/>
      </w:pPr>
      <w:r>
        <w:rPr>
          <w:rStyle w:val="FootnoteReference"/>
        </w:rPr>
        <w:footnoteRef/>
      </w:r>
      <w:r>
        <w:t xml:space="preserve"> </w:t>
      </w:r>
      <w:r>
        <w:rPr>
          <w:szCs w:val="22"/>
        </w:rPr>
        <w:t>Absent a separate request for waiver all other SOA stations must cease analog operation no later than 11:59 pm local time on July 13, 2021.</w:t>
      </w:r>
    </w:p>
  </w:footnote>
  <w:footnote w:id="53">
    <w:p w:rsidR="00B15BC8" w:rsidP="00B15BC8" w14:paraId="0D891CF7" w14:textId="77777777">
      <w:pPr>
        <w:pStyle w:val="FootnoteText"/>
        <w:widowControl w:val="0"/>
      </w:pPr>
      <w:r>
        <w:rPr>
          <w:rStyle w:val="FootnoteReference"/>
        </w:rPr>
        <w:footnoteRef/>
      </w:r>
      <w:r>
        <w:t xml:space="preserve"> </w:t>
      </w:r>
      <w:r w:rsidRPr="00CF2076">
        <w:rPr>
          <w:i/>
          <w:iCs/>
        </w:rPr>
        <w:t>See</w:t>
      </w:r>
      <w:r w:rsidRPr="00CF2076">
        <w:t xml:space="preserve"> 47 CFR § 73.3598(b)</w:t>
      </w:r>
      <w:r>
        <w:t xml:space="preserve">.  </w:t>
      </w:r>
      <w:r w:rsidRPr="00CF2076">
        <w:rPr>
          <w:i/>
          <w:iCs/>
        </w:rPr>
        <w:t>See also</w:t>
      </w:r>
      <w:r>
        <w:t xml:space="preserve"> </w:t>
      </w:r>
      <w:r w:rsidRPr="00CF2076">
        <w:rPr>
          <w:i/>
          <w:iCs/>
        </w:rPr>
        <w:t>Media Bureau Reminds Low Power Television and Television Translator Stations of July 13, 2021, Digital Transition Date</w:t>
      </w:r>
      <w:r>
        <w:t>, Public Notice, DA 21-260 (rel. Mar. 4,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8759EC" w14:textId="235A6172">
    <w:pPr>
      <w:pStyle w:val="Header"/>
      <w:rPr>
        <w:b w:val="0"/>
      </w:rPr>
    </w:pPr>
    <w:r>
      <w:tab/>
      <w:t>Federal Communications Commission</w:t>
    </w:r>
    <w:r>
      <w:tab/>
    </w:r>
    <w:r w:rsidR="00B15BC8">
      <w:t>FCC 2</w:t>
    </w:r>
    <w:r w:rsidR="001F4104">
      <w:t>1-78</w:t>
    </w:r>
  </w:p>
  <w:p w:rsidR="00D25FB5" w14:paraId="18918C3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2BC55B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ED4214" w14:textId="167E33D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15BC8">
      <w:rPr>
        <w:spacing w:val="-2"/>
      </w:rPr>
      <w:t>FCC 2</w:t>
    </w:r>
    <w:r w:rsidR="001F4104">
      <w:rPr>
        <w:spacing w:val="-2"/>
      </w:rPr>
      <w:t>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9735974"/>
    <w:multiLevelType w:val="hybridMultilevel"/>
    <w:tmpl w:val="1520D88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C8"/>
    <w:rsid w:val="00036039"/>
    <w:rsid w:val="00037F90"/>
    <w:rsid w:val="000875BF"/>
    <w:rsid w:val="00096D8C"/>
    <w:rsid w:val="000B1782"/>
    <w:rsid w:val="000C0B65"/>
    <w:rsid w:val="000E05FE"/>
    <w:rsid w:val="000E21C9"/>
    <w:rsid w:val="000E3D42"/>
    <w:rsid w:val="00122BD5"/>
    <w:rsid w:val="00133F79"/>
    <w:rsid w:val="00194A66"/>
    <w:rsid w:val="001A6749"/>
    <w:rsid w:val="001D6BCF"/>
    <w:rsid w:val="001E01CA"/>
    <w:rsid w:val="001F4104"/>
    <w:rsid w:val="00275CF5"/>
    <w:rsid w:val="0028301F"/>
    <w:rsid w:val="00285017"/>
    <w:rsid w:val="002A2D2E"/>
    <w:rsid w:val="002C00E8"/>
    <w:rsid w:val="002C26DF"/>
    <w:rsid w:val="00343749"/>
    <w:rsid w:val="003660ED"/>
    <w:rsid w:val="00385FCC"/>
    <w:rsid w:val="003B0550"/>
    <w:rsid w:val="003B694F"/>
    <w:rsid w:val="003F171C"/>
    <w:rsid w:val="00412FC5"/>
    <w:rsid w:val="0041461B"/>
    <w:rsid w:val="00422276"/>
    <w:rsid w:val="004242F1"/>
    <w:rsid w:val="00445A00"/>
    <w:rsid w:val="00451B0F"/>
    <w:rsid w:val="004C2EE3"/>
    <w:rsid w:val="004E4A22"/>
    <w:rsid w:val="00511968"/>
    <w:rsid w:val="0055614C"/>
    <w:rsid w:val="00566D06"/>
    <w:rsid w:val="005B4046"/>
    <w:rsid w:val="005C4A0E"/>
    <w:rsid w:val="005C6DBF"/>
    <w:rsid w:val="005C6EF3"/>
    <w:rsid w:val="005E14C2"/>
    <w:rsid w:val="00607BA5"/>
    <w:rsid w:val="0061180A"/>
    <w:rsid w:val="00613537"/>
    <w:rsid w:val="00626EB6"/>
    <w:rsid w:val="00655D03"/>
    <w:rsid w:val="0066266E"/>
    <w:rsid w:val="00683388"/>
    <w:rsid w:val="00683F84"/>
    <w:rsid w:val="006A6A81"/>
    <w:rsid w:val="006F7393"/>
    <w:rsid w:val="0070224F"/>
    <w:rsid w:val="007115F7"/>
    <w:rsid w:val="00721316"/>
    <w:rsid w:val="007367B5"/>
    <w:rsid w:val="00785689"/>
    <w:rsid w:val="0079754B"/>
    <w:rsid w:val="007A1E6D"/>
    <w:rsid w:val="007B0EB2"/>
    <w:rsid w:val="007B3F74"/>
    <w:rsid w:val="007F0F29"/>
    <w:rsid w:val="00810B6F"/>
    <w:rsid w:val="00822277"/>
    <w:rsid w:val="00822CE0"/>
    <w:rsid w:val="00841AB1"/>
    <w:rsid w:val="0088068D"/>
    <w:rsid w:val="008C68F1"/>
    <w:rsid w:val="00921803"/>
    <w:rsid w:val="00926503"/>
    <w:rsid w:val="009502CF"/>
    <w:rsid w:val="009540C1"/>
    <w:rsid w:val="009726D8"/>
    <w:rsid w:val="009763DD"/>
    <w:rsid w:val="009D7308"/>
    <w:rsid w:val="009F76DB"/>
    <w:rsid w:val="00A32C3B"/>
    <w:rsid w:val="00A45F4F"/>
    <w:rsid w:val="00A600A9"/>
    <w:rsid w:val="00AA55B7"/>
    <w:rsid w:val="00AA5B9E"/>
    <w:rsid w:val="00AB2407"/>
    <w:rsid w:val="00AB53DF"/>
    <w:rsid w:val="00AE243E"/>
    <w:rsid w:val="00B07E5C"/>
    <w:rsid w:val="00B15BC8"/>
    <w:rsid w:val="00B811F7"/>
    <w:rsid w:val="00BA5DC6"/>
    <w:rsid w:val="00BA6196"/>
    <w:rsid w:val="00BC4B09"/>
    <w:rsid w:val="00BC6D8C"/>
    <w:rsid w:val="00C006C9"/>
    <w:rsid w:val="00C15AFF"/>
    <w:rsid w:val="00C34006"/>
    <w:rsid w:val="00C36B4C"/>
    <w:rsid w:val="00C426B1"/>
    <w:rsid w:val="00C66160"/>
    <w:rsid w:val="00C721AC"/>
    <w:rsid w:val="00C90D6A"/>
    <w:rsid w:val="00CA247E"/>
    <w:rsid w:val="00CA5E0B"/>
    <w:rsid w:val="00CA6D21"/>
    <w:rsid w:val="00CC72B6"/>
    <w:rsid w:val="00CF2076"/>
    <w:rsid w:val="00D0218D"/>
    <w:rsid w:val="00D25FB5"/>
    <w:rsid w:val="00D44223"/>
    <w:rsid w:val="00DA2529"/>
    <w:rsid w:val="00DB130A"/>
    <w:rsid w:val="00DB2EBB"/>
    <w:rsid w:val="00DB62B1"/>
    <w:rsid w:val="00DC10A1"/>
    <w:rsid w:val="00DC655F"/>
    <w:rsid w:val="00DD0B59"/>
    <w:rsid w:val="00DD7EBD"/>
    <w:rsid w:val="00DF62B6"/>
    <w:rsid w:val="00E07225"/>
    <w:rsid w:val="00E11FBE"/>
    <w:rsid w:val="00E5409F"/>
    <w:rsid w:val="00E66B6C"/>
    <w:rsid w:val="00EE6488"/>
    <w:rsid w:val="00F021FA"/>
    <w:rsid w:val="00F349E5"/>
    <w:rsid w:val="00F62E97"/>
    <w:rsid w:val="00F64209"/>
    <w:rsid w:val="00F738DD"/>
    <w:rsid w:val="00F86BCA"/>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49794D"/>
  <w15:chartTrackingRefBased/>
  <w15:docId w15:val="{4AC246C0-49DD-49F3-9B00-4B15022D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68D"/>
    <w:pPr>
      <w:widowControl w:val="0"/>
    </w:pPr>
    <w:rPr>
      <w:snapToGrid w:val="0"/>
      <w:kern w:val="28"/>
      <w:sz w:val="22"/>
    </w:rPr>
  </w:style>
  <w:style w:type="paragraph" w:styleId="Heading1">
    <w:name w:val="heading 1"/>
    <w:aliases w:val="Heading 1 Char,Heading 1 Char Char Char,Heading 1 Char Char Char Char Char Char,Heading 1 Char Char1,Heading 1 Char Char1 Char,Heading 1 Char1 Char,Heading 1 Char1 Char Char Char2 Char,Heading 1 Char2,Heading 1 Char2 Char Char1 Char"/>
    <w:basedOn w:val="Normal"/>
    <w:next w:val="ParaNum"/>
    <w:link w:val="Heading1Char1"/>
    <w:qFormat/>
    <w:rsid w:val="0088068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88068D"/>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rsid w:val="0088068D"/>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88068D"/>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88068D"/>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88068D"/>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88068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8068D"/>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88068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806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068D"/>
  </w:style>
  <w:style w:type="paragraph" w:customStyle="1" w:styleId="ParaNum">
    <w:name w:val="ParaNum"/>
    <w:basedOn w:val="Normal"/>
    <w:link w:val="ParaNumChar"/>
    <w:rsid w:val="0088068D"/>
    <w:pPr>
      <w:numPr>
        <w:numId w:val="2"/>
      </w:numPr>
      <w:tabs>
        <w:tab w:val="clear" w:pos="1080"/>
        <w:tab w:val="num" w:pos="1440"/>
      </w:tabs>
      <w:spacing w:after="120"/>
    </w:pPr>
  </w:style>
  <w:style w:type="paragraph" w:styleId="EndnoteText">
    <w:name w:val="endnote text"/>
    <w:basedOn w:val="Normal"/>
    <w:semiHidden/>
    <w:rsid w:val="0088068D"/>
    <w:rPr>
      <w:sz w:val="20"/>
    </w:rPr>
  </w:style>
  <w:style w:type="character" w:styleId="EndnoteReference">
    <w:name w:val="endnote reference"/>
    <w:semiHidden/>
    <w:rsid w:val="0088068D"/>
    <w:rPr>
      <w:vertAlign w:val="superscript"/>
    </w:rPr>
  </w:style>
  <w:style w:type="paragraph" w:styleId="FootnoteText">
    <w:name w:val="footnote text"/>
    <w:aliases w:val="ALTS FOOTNOT,Footnote Text Char,Footnote Text Char Char6 Char,Footnote Text Char Char6 Char Char1 Char1,Footnote Text Char2 Char3,Footnote Text Char4 Char2 Char Char Char Char,Footnote Text Char6 Char,Footnote Text Char6 Char Char Char,fn"/>
    <w:link w:val="FootnoteTextChar1"/>
    <w:rsid w:val="0088068D"/>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88068D"/>
    <w:rPr>
      <w:rFonts w:ascii="Times New Roman" w:hAnsi="Times New Roman"/>
      <w:dstrike w:val="0"/>
      <w:color w:val="auto"/>
      <w:sz w:val="20"/>
      <w:vertAlign w:val="superscript"/>
    </w:rPr>
  </w:style>
  <w:style w:type="paragraph" w:styleId="TOC1">
    <w:name w:val="toc 1"/>
    <w:basedOn w:val="Normal"/>
    <w:next w:val="Normal"/>
    <w:semiHidden/>
    <w:rsid w:val="0088068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8068D"/>
    <w:pPr>
      <w:tabs>
        <w:tab w:val="left" w:pos="720"/>
        <w:tab w:val="right" w:leader="dot" w:pos="9360"/>
      </w:tabs>
      <w:suppressAutoHyphens/>
      <w:ind w:left="720" w:right="720" w:hanging="360"/>
    </w:pPr>
    <w:rPr>
      <w:noProof/>
    </w:rPr>
  </w:style>
  <w:style w:type="paragraph" w:styleId="TOC3">
    <w:name w:val="toc 3"/>
    <w:basedOn w:val="Normal"/>
    <w:next w:val="Normal"/>
    <w:semiHidden/>
    <w:rsid w:val="0088068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8068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8068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8068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8068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8068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8068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8068D"/>
    <w:pPr>
      <w:tabs>
        <w:tab w:val="right" w:pos="9360"/>
      </w:tabs>
      <w:suppressAutoHyphens/>
    </w:pPr>
  </w:style>
  <w:style w:type="character" w:customStyle="1" w:styleId="EquationCaption">
    <w:name w:val="_Equation Caption"/>
    <w:rsid w:val="0088068D"/>
  </w:style>
  <w:style w:type="paragraph" w:styleId="Header">
    <w:name w:val="header"/>
    <w:basedOn w:val="Normal"/>
    <w:autoRedefine/>
    <w:rsid w:val="0088068D"/>
    <w:pPr>
      <w:tabs>
        <w:tab w:val="center" w:pos="4680"/>
        <w:tab w:val="right" w:pos="9360"/>
      </w:tabs>
    </w:pPr>
    <w:rPr>
      <w:b/>
    </w:rPr>
  </w:style>
  <w:style w:type="paragraph" w:styleId="Footer">
    <w:name w:val="footer"/>
    <w:basedOn w:val="Normal"/>
    <w:link w:val="FooterChar"/>
    <w:uiPriority w:val="99"/>
    <w:rsid w:val="0088068D"/>
    <w:pPr>
      <w:tabs>
        <w:tab w:val="center" w:pos="4320"/>
        <w:tab w:val="right" w:pos="8640"/>
      </w:tabs>
    </w:pPr>
  </w:style>
  <w:style w:type="character" w:styleId="PageNumber">
    <w:name w:val="page number"/>
    <w:basedOn w:val="DefaultParagraphFont"/>
    <w:rsid w:val="0088068D"/>
  </w:style>
  <w:style w:type="paragraph" w:styleId="BlockText">
    <w:name w:val="Block Text"/>
    <w:basedOn w:val="Normal"/>
    <w:rsid w:val="0088068D"/>
    <w:pPr>
      <w:spacing w:after="240"/>
      <w:ind w:left="1440" w:right="1440"/>
    </w:pPr>
  </w:style>
  <w:style w:type="paragraph" w:customStyle="1" w:styleId="Paratitle">
    <w:name w:val="Para title"/>
    <w:basedOn w:val="Normal"/>
    <w:rsid w:val="0088068D"/>
    <w:pPr>
      <w:tabs>
        <w:tab w:val="center" w:pos="9270"/>
      </w:tabs>
      <w:spacing w:after="240"/>
    </w:pPr>
    <w:rPr>
      <w:spacing w:val="-2"/>
    </w:rPr>
  </w:style>
  <w:style w:type="paragraph" w:customStyle="1" w:styleId="Bullet">
    <w:name w:val="Bullet"/>
    <w:basedOn w:val="Normal"/>
    <w:rsid w:val="0088068D"/>
    <w:pPr>
      <w:tabs>
        <w:tab w:val="left" w:pos="2160"/>
      </w:tabs>
      <w:spacing w:after="220"/>
      <w:ind w:left="2160" w:hanging="720"/>
    </w:pPr>
  </w:style>
  <w:style w:type="paragraph" w:customStyle="1" w:styleId="TableFormat">
    <w:name w:val="TableFormat"/>
    <w:basedOn w:val="Bullet"/>
    <w:rsid w:val="0088068D"/>
    <w:pPr>
      <w:tabs>
        <w:tab w:val="clear" w:pos="2160"/>
        <w:tab w:val="left" w:pos="5040"/>
      </w:tabs>
      <w:ind w:left="5040" w:hanging="3600"/>
    </w:pPr>
  </w:style>
  <w:style w:type="paragraph" w:customStyle="1" w:styleId="TOCTitle">
    <w:name w:val="TOC Title"/>
    <w:basedOn w:val="Normal"/>
    <w:rsid w:val="008806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8068D"/>
    <w:pPr>
      <w:jc w:val="center"/>
    </w:pPr>
    <w:rPr>
      <w:rFonts w:ascii="Times New Roman Bold" w:hAnsi="Times New Roman Bold"/>
      <w:b/>
      <w:bCs/>
      <w:caps/>
      <w:szCs w:val="22"/>
    </w:rPr>
  </w:style>
  <w:style w:type="character" w:styleId="Hyperlink">
    <w:name w:val="Hyperlink"/>
    <w:rsid w:val="0088068D"/>
    <w:rPr>
      <w:color w:val="0000FF"/>
      <w:u w:val="single"/>
    </w:rPr>
  </w:style>
  <w:style w:type="character" w:customStyle="1" w:styleId="FooterChar">
    <w:name w:val="Footer Char"/>
    <w:link w:val="Footer"/>
    <w:uiPriority w:val="99"/>
    <w:rsid w:val="0088068D"/>
    <w:rPr>
      <w:snapToGrid w:val="0"/>
      <w:kern w:val="28"/>
      <w:sz w:val="22"/>
    </w:rPr>
  </w:style>
  <w:style w:type="character" w:customStyle="1" w:styleId="ParaNumChar">
    <w:name w:val="ParaNum Char"/>
    <w:link w:val="ParaNum"/>
    <w:locked/>
    <w:rsid w:val="00B15BC8"/>
    <w:rPr>
      <w:snapToGrid w:val="0"/>
      <w:kern w:val="28"/>
      <w:sz w:val="22"/>
    </w:rPr>
  </w:style>
  <w:style w:type="character" w:customStyle="1" w:styleId="Heading1Char1">
    <w:name w:val="Heading 1 Char1"/>
    <w:aliases w:val="Heading 1 Char Char,Heading 1 Char Char Char Char,Heading 1 Char Char1 Char Char,Heading 1 Char Char1 Char1,Heading 1 Char1 Char Char,Heading 1 Char1 Char Char Char2 Char Char,Heading 1 Char2 Char,Heading 1 Char2 Char Char1 Char Char"/>
    <w:link w:val="Heading1"/>
    <w:locked/>
    <w:rsid w:val="00B15BC8"/>
    <w:rPr>
      <w:rFonts w:ascii="Times New Roman Bold" w:hAnsi="Times New Roman Bold"/>
      <w:b/>
      <w:caps/>
      <w:snapToGrid w:val="0"/>
      <w:kern w:val="28"/>
      <w:sz w:val="22"/>
    </w:rPr>
  </w:style>
  <w:style w:type="character" w:customStyle="1" w:styleId="FootnoteTextChar1">
    <w:name w:val="Footnote Text Char1"/>
    <w:aliases w:val="Footnote Text Char Char,Footnote Text Char Char6 Char Char,Footnote Text Char Char6 Char Char1 Char1 Char,Footnote Text Char2 Char3 Char,Footnote Text Char4 Char2 Char Char Char Char Char,Footnote Text Char6 Char Char Char Char"/>
    <w:link w:val="FootnoteText"/>
    <w:locked/>
    <w:rsid w:val="00B15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