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728C4" w:rsidP="00F728C4" w14:paraId="54C13894" w14:textId="77777777">
      <w:pPr>
        <w:jc w:val="center"/>
        <w:rPr>
          <w:rFonts w:ascii="Times New Roman Bold" w:hAnsi="Times New Roman Bold"/>
          <w:b/>
          <w:bCs/>
          <w:szCs w:val="22"/>
        </w:rPr>
      </w:pPr>
      <w:bookmarkStart w:id="0" w:name="_Hlk528323898"/>
    </w:p>
    <w:p w:rsidR="00071F30" w:rsidRPr="00071F30" w:rsidP="00F728C4" w14:paraId="4F6AA69E" w14:textId="2E7EE26D">
      <w:pPr>
        <w:jc w:val="center"/>
        <w:rPr>
          <w:rFonts w:ascii="Times New Roman Bold" w:hAnsi="Times New Roman Bold"/>
          <w:b/>
          <w:bCs/>
          <w:szCs w:val="22"/>
        </w:rPr>
      </w:pPr>
      <w:r>
        <w:rPr>
          <w:rFonts w:ascii="Times New Roman Bold" w:hAnsi="Times New Roman Bold"/>
          <w:b/>
          <w:bCs/>
          <w:szCs w:val="22"/>
        </w:rPr>
        <w:t>B</w:t>
      </w:r>
      <w:r w:rsidRPr="00071F30">
        <w:rPr>
          <w:rFonts w:ascii="Times New Roman Bold" w:hAnsi="Times New Roman Bold"/>
          <w:b/>
          <w:bCs/>
          <w:szCs w:val="22"/>
        </w:rPr>
        <w:t>efore the</w:t>
      </w:r>
    </w:p>
    <w:p w:rsidR="00071F30" w:rsidRPr="00071F30" w:rsidP="00071F30" w14:paraId="4986DD54" w14:textId="77777777">
      <w:pPr>
        <w:jc w:val="center"/>
        <w:rPr>
          <w:rFonts w:ascii="Times New Roman Bold" w:hAnsi="Times New Roman Bold"/>
          <w:b/>
          <w:bCs/>
          <w:szCs w:val="22"/>
        </w:rPr>
      </w:pPr>
      <w:r w:rsidRPr="00071F30">
        <w:rPr>
          <w:rFonts w:ascii="Times New Roman Bold" w:hAnsi="Times New Roman Bold"/>
          <w:b/>
          <w:bCs/>
          <w:szCs w:val="22"/>
        </w:rPr>
        <w:t>Federal Communications Commission</w:t>
      </w:r>
    </w:p>
    <w:p w:rsidR="00071F30" w:rsidRPr="00071F30" w:rsidP="00071F30" w14:paraId="55E5C8DD" w14:textId="77777777">
      <w:pPr>
        <w:jc w:val="center"/>
        <w:rPr>
          <w:rFonts w:ascii="Times New Roman Bold" w:hAnsi="Times New Roman Bold"/>
          <w:b/>
          <w:bCs/>
          <w:szCs w:val="22"/>
        </w:rPr>
      </w:pPr>
      <w:r w:rsidRPr="00071F30">
        <w:rPr>
          <w:rFonts w:ascii="Times New Roman Bold" w:hAnsi="Times New Roman Bold"/>
          <w:b/>
          <w:bCs/>
          <w:szCs w:val="22"/>
        </w:rPr>
        <w:t>Washington, D.C. 20554</w:t>
      </w:r>
    </w:p>
    <w:p w:rsidR="00071F30" w:rsidRPr="00071F30" w:rsidP="00071F30" w14:paraId="6B57AEF5" w14:textId="77777777"/>
    <w:p w:rsidR="00071F30" w:rsidRPr="00071F30" w:rsidP="00071F30" w14:paraId="1DDFE3B1" w14:textId="77777777"/>
    <w:tbl>
      <w:tblPr>
        <w:tblW w:w="0" w:type="auto"/>
        <w:tblLayout w:type="fixed"/>
        <w:tblLook w:val="0000"/>
      </w:tblPr>
      <w:tblGrid>
        <w:gridCol w:w="4698"/>
        <w:gridCol w:w="630"/>
        <w:gridCol w:w="4248"/>
      </w:tblGrid>
      <w:tr w14:paraId="7B6A1D2A" w14:textId="77777777" w:rsidTr="00071F30">
        <w:tblPrEx>
          <w:tblW w:w="0" w:type="auto"/>
          <w:tblLayout w:type="fixed"/>
          <w:tblLook w:val="0000"/>
        </w:tblPrEx>
        <w:tc>
          <w:tcPr>
            <w:tcW w:w="4698" w:type="dxa"/>
          </w:tcPr>
          <w:p w:rsidR="00071F30" w:rsidRPr="00071F30" w:rsidP="00071F30" w14:paraId="312ECC5A" w14:textId="77777777">
            <w:pPr>
              <w:tabs>
                <w:tab w:val="center" w:pos="4680"/>
              </w:tabs>
              <w:suppressAutoHyphens/>
              <w:rPr>
                <w:spacing w:val="-2"/>
              </w:rPr>
            </w:pPr>
            <w:r w:rsidRPr="00071F30">
              <w:rPr>
                <w:spacing w:val="-2"/>
              </w:rPr>
              <w:t>In the Matter of</w:t>
            </w:r>
          </w:p>
          <w:p w:rsidR="00071F30" w:rsidRPr="00071F30" w:rsidP="00071F30" w14:paraId="6B62645F" w14:textId="77777777">
            <w:pPr>
              <w:tabs>
                <w:tab w:val="center" w:pos="4680"/>
              </w:tabs>
              <w:suppressAutoHyphens/>
              <w:rPr>
                <w:spacing w:val="-2"/>
              </w:rPr>
            </w:pPr>
          </w:p>
          <w:p w:rsidR="00071F30" w:rsidRPr="00071F30" w:rsidP="00071F30" w14:paraId="38B17BE2" w14:textId="77777777">
            <w:pPr>
              <w:tabs>
                <w:tab w:val="center" w:pos="4680"/>
              </w:tabs>
              <w:suppressAutoHyphens/>
              <w:rPr>
                <w:spacing w:val="-2"/>
              </w:rPr>
            </w:pPr>
            <w:r w:rsidRPr="003E517B">
              <w:rPr>
                <w:spacing w:val="-2"/>
              </w:rPr>
              <w:t>Amendment of Part 1 of the Commission’s Rules, Concerning Practice and Procedure, Amendment of CORES Registration System</w:t>
            </w:r>
          </w:p>
          <w:p w:rsidR="00071F30" w:rsidRPr="00071F30" w:rsidP="00071F30" w14:paraId="0BEA722F" w14:textId="77777777">
            <w:pPr>
              <w:tabs>
                <w:tab w:val="center" w:pos="4680"/>
              </w:tabs>
              <w:suppressAutoHyphens/>
              <w:rPr>
                <w:spacing w:val="-2"/>
              </w:rPr>
            </w:pPr>
          </w:p>
          <w:p w:rsidR="00071F30" w:rsidRPr="00071F30" w:rsidP="00071F30" w14:paraId="3C2B29D3" w14:textId="77777777">
            <w:pPr>
              <w:tabs>
                <w:tab w:val="center" w:pos="4680"/>
              </w:tabs>
              <w:suppressAutoHyphens/>
              <w:rPr>
                <w:spacing w:val="-2"/>
              </w:rPr>
            </w:pPr>
          </w:p>
        </w:tc>
        <w:tc>
          <w:tcPr>
            <w:tcW w:w="630" w:type="dxa"/>
          </w:tcPr>
          <w:p w:rsidR="00071F30" w:rsidRPr="00071F30" w:rsidP="00071F30" w14:paraId="5EF058B2" w14:textId="77777777">
            <w:pPr>
              <w:tabs>
                <w:tab w:val="center" w:pos="4680"/>
              </w:tabs>
              <w:suppressAutoHyphens/>
              <w:rPr>
                <w:b/>
                <w:bCs/>
                <w:spacing w:val="-2"/>
              </w:rPr>
            </w:pPr>
            <w:r w:rsidRPr="00071F30">
              <w:rPr>
                <w:b/>
                <w:bCs/>
                <w:spacing w:val="-2"/>
              </w:rPr>
              <w:t>)</w:t>
            </w:r>
          </w:p>
          <w:p w:rsidR="00071F30" w:rsidRPr="00071F30" w:rsidP="00071F30" w14:paraId="458784B9" w14:textId="77777777">
            <w:pPr>
              <w:tabs>
                <w:tab w:val="center" w:pos="4680"/>
              </w:tabs>
              <w:suppressAutoHyphens/>
              <w:rPr>
                <w:b/>
                <w:bCs/>
                <w:spacing w:val="-2"/>
              </w:rPr>
            </w:pPr>
            <w:r w:rsidRPr="00071F30">
              <w:rPr>
                <w:b/>
                <w:bCs/>
                <w:spacing w:val="-2"/>
              </w:rPr>
              <w:t>)</w:t>
            </w:r>
          </w:p>
          <w:p w:rsidR="00071F30" w:rsidRPr="00071F30" w:rsidP="00071F30" w14:paraId="7AFB81CC" w14:textId="77777777">
            <w:pPr>
              <w:tabs>
                <w:tab w:val="center" w:pos="4680"/>
              </w:tabs>
              <w:suppressAutoHyphens/>
              <w:rPr>
                <w:b/>
                <w:bCs/>
                <w:spacing w:val="-2"/>
              </w:rPr>
            </w:pPr>
            <w:r w:rsidRPr="00071F30">
              <w:rPr>
                <w:b/>
                <w:bCs/>
                <w:spacing w:val="-2"/>
              </w:rPr>
              <w:t>)</w:t>
            </w:r>
          </w:p>
          <w:p w:rsidR="00071F30" w:rsidRPr="00071F30" w:rsidP="00071F30" w14:paraId="1DAF7216" w14:textId="77777777">
            <w:pPr>
              <w:tabs>
                <w:tab w:val="center" w:pos="4680"/>
              </w:tabs>
              <w:suppressAutoHyphens/>
              <w:rPr>
                <w:b/>
                <w:bCs/>
                <w:spacing w:val="-2"/>
              </w:rPr>
            </w:pPr>
            <w:r w:rsidRPr="00071F30">
              <w:rPr>
                <w:b/>
                <w:bCs/>
                <w:spacing w:val="-2"/>
              </w:rPr>
              <w:t>)</w:t>
            </w:r>
          </w:p>
          <w:p w:rsidR="00071F30" w:rsidRPr="00071F30" w:rsidP="00071F30" w14:paraId="6EB87CF2" w14:textId="77777777">
            <w:pPr>
              <w:tabs>
                <w:tab w:val="center" w:pos="4680"/>
              </w:tabs>
              <w:suppressAutoHyphens/>
              <w:rPr>
                <w:b/>
                <w:bCs/>
                <w:spacing w:val="-2"/>
              </w:rPr>
            </w:pPr>
            <w:r w:rsidRPr="00071F30">
              <w:rPr>
                <w:b/>
                <w:bCs/>
                <w:spacing w:val="-2"/>
              </w:rPr>
              <w:t>)</w:t>
            </w:r>
          </w:p>
          <w:p w:rsidR="00071F30" w:rsidRPr="00071F30" w:rsidP="00071F30" w14:paraId="369E50A4" w14:textId="77777777">
            <w:pPr>
              <w:tabs>
                <w:tab w:val="center" w:pos="4680"/>
              </w:tabs>
              <w:suppressAutoHyphens/>
              <w:rPr>
                <w:b/>
                <w:bCs/>
                <w:spacing w:val="-2"/>
              </w:rPr>
            </w:pPr>
            <w:r w:rsidRPr="00071F30">
              <w:rPr>
                <w:b/>
                <w:bCs/>
                <w:spacing w:val="-2"/>
              </w:rPr>
              <w:t>)</w:t>
            </w:r>
          </w:p>
          <w:p w:rsidR="00071F30" w:rsidRPr="00071F30" w:rsidP="00071F30" w14:paraId="72887FD0" w14:textId="77777777">
            <w:pPr>
              <w:tabs>
                <w:tab w:val="center" w:pos="4680"/>
              </w:tabs>
              <w:suppressAutoHyphens/>
              <w:rPr>
                <w:b/>
                <w:bCs/>
                <w:spacing w:val="-2"/>
              </w:rPr>
            </w:pPr>
            <w:r w:rsidRPr="00071F30">
              <w:rPr>
                <w:b/>
                <w:bCs/>
                <w:spacing w:val="-2"/>
              </w:rPr>
              <w:t>)</w:t>
            </w:r>
          </w:p>
          <w:p w:rsidR="00071F30" w:rsidRPr="00071F30" w:rsidP="00071F30" w14:paraId="799C3F67" w14:textId="77777777">
            <w:pPr>
              <w:tabs>
                <w:tab w:val="center" w:pos="4680"/>
              </w:tabs>
              <w:suppressAutoHyphens/>
              <w:rPr>
                <w:b/>
                <w:bCs/>
                <w:spacing w:val="-2"/>
              </w:rPr>
            </w:pPr>
            <w:r w:rsidRPr="00071F30">
              <w:rPr>
                <w:b/>
                <w:bCs/>
                <w:spacing w:val="-2"/>
              </w:rPr>
              <w:t>)</w:t>
            </w:r>
          </w:p>
          <w:p w:rsidR="00071F30" w:rsidRPr="00071F30" w:rsidP="00071F30" w14:paraId="7A394189" w14:textId="77777777">
            <w:pPr>
              <w:tabs>
                <w:tab w:val="center" w:pos="4680"/>
              </w:tabs>
              <w:suppressAutoHyphens/>
              <w:rPr>
                <w:spacing w:val="-2"/>
              </w:rPr>
            </w:pPr>
          </w:p>
        </w:tc>
        <w:tc>
          <w:tcPr>
            <w:tcW w:w="4248" w:type="dxa"/>
          </w:tcPr>
          <w:p w:rsidR="00071F30" w:rsidRPr="00071F30" w:rsidP="00071F30" w14:paraId="01940D00" w14:textId="77777777">
            <w:pPr>
              <w:tabs>
                <w:tab w:val="center" w:pos="4680"/>
              </w:tabs>
              <w:suppressAutoHyphens/>
              <w:rPr>
                <w:spacing w:val="-2"/>
              </w:rPr>
            </w:pPr>
          </w:p>
          <w:p w:rsidR="00071F30" w:rsidRPr="00071F30" w:rsidP="00C90BE0" w14:paraId="27C35F97" w14:textId="77777777">
            <w:pPr>
              <w:tabs>
                <w:tab w:val="left" w:pos="2844"/>
              </w:tabs>
              <w:suppressAutoHyphens/>
              <w:rPr>
                <w:spacing w:val="-2"/>
              </w:rPr>
            </w:pPr>
            <w:r>
              <w:rPr>
                <w:spacing w:val="-2"/>
              </w:rPr>
              <w:tab/>
            </w:r>
          </w:p>
          <w:p w:rsidR="00071F30" w:rsidRPr="00071F30" w:rsidP="00071F30" w14:paraId="0D36EC3E" w14:textId="77777777">
            <w:pPr>
              <w:tabs>
                <w:tab w:val="center" w:pos="4680"/>
              </w:tabs>
              <w:suppressAutoHyphens/>
              <w:rPr>
                <w:spacing w:val="-2"/>
              </w:rPr>
            </w:pPr>
            <w:r>
              <w:rPr>
                <w:spacing w:val="-2"/>
              </w:rPr>
              <w:t>MD Docket No. 10-234</w:t>
            </w:r>
          </w:p>
          <w:p w:rsidR="00071F30" w:rsidRPr="00071F30" w:rsidP="00071F30" w14:paraId="0F11B0F9" w14:textId="77777777">
            <w:pPr>
              <w:tabs>
                <w:tab w:val="center" w:pos="4680"/>
              </w:tabs>
              <w:suppressAutoHyphens/>
              <w:rPr>
                <w:spacing w:val="-2"/>
              </w:rPr>
            </w:pPr>
          </w:p>
          <w:p w:rsidR="00CD3480" w:rsidP="00071F30" w14:paraId="34BF0342" w14:textId="77777777">
            <w:pPr>
              <w:tabs>
                <w:tab w:val="center" w:pos="4680"/>
              </w:tabs>
              <w:suppressAutoHyphens/>
              <w:rPr>
                <w:spacing w:val="-2"/>
              </w:rPr>
            </w:pPr>
          </w:p>
          <w:p w:rsidR="00071F30" w:rsidRPr="00CD3480" w:rsidP="00CD3480" w14:paraId="1EECBF0D" w14:textId="77777777">
            <w:pPr>
              <w:tabs>
                <w:tab w:val="left" w:pos="1200"/>
              </w:tabs>
            </w:pPr>
            <w:r>
              <w:tab/>
            </w:r>
          </w:p>
        </w:tc>
      </w:tr>
    </w:tbl>
    <w:p w:rsidR="00071F30" w:rsidRPr="00071F30" w:rsidP="00684637" w14:paraId="30EDC8BC" w14:textId="77777777">
      <w:pPr>
        <w:pStyle w:val="StyleBoldCentered"/>
      </w:pPr>
      <w:r w:rsidRPr="00071F30">
        <w:t xml:space="preserve">Report and order </w:t>
      </w:r>
    </w:p>
    <w:p w:rsidR="00071F30" w:rsidRPr="00071F30" w:rsidP="00071F30" w14:paraId="2D3AA8E4" w14:textId="77777777">
      <w:pPr>
        <w:tabs>
          <w:tab w:val="left" w:pos="-720"/>
        </w:tabs>
        <w:suppressAutoHyphens/>
        <w:spacing w:line="227" w:lineRule="auto"/>
        <w:rPr>
          <w:spacing w:val="-2"/>
        </w:rPr>
      </w:pPr>
    </w:p>
    <w:p w:rsidR="00071F30" w:rsidRPr="00FE6356" w:rsidP="00FE6356" w14:paraId="3E6E0F71" w14:textId="172B6026">
      <w:pPr>
        <w:tabs>
          <w:tab w:val="left" w:pos="720"/>
          <w:tab w:val="right" w:pos="9360"/>
        </w:tabs>
        <w:suppressAutoHyphens/>
        <w:spacing w:line="227" w:lineRule="auto"/>
        <w:rPr>
          <w:spacing w:val="-2"/>
        </w:rPr>
      </w:pPr>
      <w:r w:rsidRPr="00071F30">
        <w:rPr>
          <w:b/>
          <w:bCs/>
          <w:spacing w:val="-2"/>
        </w:rPr>
        <w:t xml:space="preserve">Adopted:  </w:t>
      </w:r>
      <w:r w:rsidR="00F1269E">
        <w:rPr>
          <w:b/>
          <w:spacing w:val="-2"/>
        </w:rPr>
        <w:t xml:space="preserve">June </w:t>
      </w:r>
      <w:r w:rsidR="00B86F98">
        <w:rPr>
          <w:b/>
          <w:spacing w:val="-2"/>
        </w:rPr>
        <w:t>21</w:t>
      </w:r>
      <w:r w:rsidR="00FE6356">
        <w:rPr>
          <w:b/>
          <w:spacing w:val="-2"/>
        </w:rPr>
        <w:t>, 20</w:t>
      </w:r>
      <w:r w:rsidR="004740D4">
        <w:rPr>
          <w:b/>
          <w:spacing w:val="-2"/>
        </w:rPr>
        <w:t>2</w:t>
      </w:r>
      <w:r w:rsidR="00F728C4">
        <w:rPr>
          <w:b/>
          <w:spacing w:val="-2"/>
        </w:rPr>
        <w:t>1</w:t>
      </w:r>
      <w:r w:rsidR="00FE6356">
        <w:rPr>
          <w:b/>
          <w:spacing w:val="-2"/>
        </w:rPr>
        <w:t xml:space="preserve"> </w:t>
      </w:r>
      <w:r w:rsidR="00FE6356">
        <w:rPr>
          <w:b/>
          <w:spacing w:val="-2"/>
        </w:rPr>
        <w:tab/>
        <w:t>Released:</w:t>
      </w:r>
      <w:r w:rsidR="005A2BB1">
        <w:rPr>
          <w:b/>
          <w:spacing w:val="-2"/>
        </w:rPr>
        <w:t xml:space="preserve"> </w:t>
      </w:r>
      <w:r w:rsidR="00F1269E">
        <w:rPr>
          <w:b/>
          <w:spacing w:val="-2"/>
        </w:rPr>
        <w:t>June</w:t>
      </w:r>
      <w:r w:rsidR="00FE6356">
        <w:rPr>
          <w:b/>
          <w:spacing w:val="-2"/>
        </w:rPr>
        <w:t xml:space="preserve"> </w:t>
      </w:r>
      <w:r w:rsidR="00B86F98">
        <w:rPr>
          <w:b/>
          <w:spacing w:val="-2"/>
        </w:rPr>
        <w:t>22</w:t>
      </w:r>
      <w:r w:rsidR="00FE6356">
        <w:rPr>
          <w:b/>
          <w:spacing w:val="-2"/>
        </w:rPr>
        <w:t>, 2</w:t>
      </w:r>
      <w:r w:rsidR="004740D4">
        <w:rPr>
          <w:b/>
          <w:spacing w:val="-2"/>
        </w:rPr>
        <w:t>02</w:t>
      </w:r>
      <w:r w:rsidR="00F728C4">
        <w:rPr>
          <w:b/>
          <w:spacing w:val="-2"/>
        </w:rPr>
        <w:t>1</w:t>
      </w:r>
    </w:p>
    <w:p w:rsidR="00071F30" w:rsidRPr="00071F30" w:rsidP="00071F30" w14:paraId="1F532903" w14:textId="77777777"/>
    <w:p w:rsidR="00071F30" w:rsidRPr="00071F30" w:rsidP="00071F30" w14:paraId="54590C17" w14:textId="77777777">
      <w:pPr>
        <w:rPr>
          <w:spacing w:val="-2"/>
        </w:rPr>
      </w:pPr>
      <w:r w:rsidRPr="00071F30">
        <w:t xml:space="preserve">By the </w:t>
      </w:r>
      <w:r w:rsidRPr="00071F30">
        <w:rPr>
          <w:spacing w:val="-2"/>
        </w:rPr>
        <w:t>Commission:</w:t>
      </w:r>
    </w:p>
    <w:p w:rsidR="00071F30" w:rsidRPr="00071F30" w:rsidP="00071F30" w14:paraId="7731AA70" w14:textId="77777777">
      <w:pPr>
        <w:tabs>
          <w:tab w:val="left" w:pos="360"/>
          <w:tab w:val="left" w:pos="720"/>
          <w:tab w:val="right" w:leader="dot" w:pos="9360"/>
        </w:tabs>
        <w:suppressAutoHyphens/>
        <w:ind w:right="720"/>
        <w:rPr>
          <w:noProof/>
        </w:rPr>
      </w:pPr>
    </w:p>
    <w:p w:rsidR="00071F30" w:rsidRPr="00071F30" w:rsidP="00071F30" w14:paraId="476493F5" w14:textId="77777777">
      <w:pPr>
        <w:pStyle w:val="Heading1"/>
      </w:pPr>
      <w:bookmarkStart w:id="1" w:name="_Toc525642315"/>
      <w:bookmarkStart w:id="2" w:name="_Toc525642827"/>
      <w:bookmarkStart w:id="3" w:name="_Toc526959554"/>
      <w:bookmarkStart w:id="4" w:name="_Toc528657354"/>
      <w:bookmarkStart w:id="5" w:name="_Toc530139566"/>
      <w:bookmarkStart w:id="6" w:name="_Toc534019002"/>
      <w:bookmarkStart w:id="7" w:name="_Toc959616"/>
      <w:r w:rsidRPr="00071F30">
        <w:t>Introduction</w:t>
      </w:r>
      <w:bookmarkEnd w:id="1"/>
      <w:bookmarkEnd w:id="2"/>
      <w:bookmarkEnd w:id="3"/>
      <w:bookmarkEnd w:id="4"/>
      <w:bookmarkEnd w:id="5"/>
      <w:bookmarkEnd w:id="6"/>
      <w:bookmarkEnd w:id="7"/>
    </w:p>
    <w:p w:rsidR="00645452" w:rsidP="00336ED3" w14:paraId="788CEED9" w14:textId="77777777">
      <w:pPr>
        <w:pStyle w:val="ParaNum"/>
      </w:pPr>
      <w:r w:rsidRPr="00071F30">
        <w:t xml:space="preserve">The </w:t>
      </w:r>
      <w:r w:rsidR="0014252C">
        <w:t>Commission Registration System (CORES) is the</w:t>
      </w:r>
      <w:r w:rsidR="004145F6">
        <w:t xml:space="preserve"> </w:t>
      </w:r>
      <w:r w:rsidR="0014252C">
        <w:t xml:space="preserve">system the Federal Communications Commission (Commission) </w:t>
      </w:r>
      <w:r w:rsidR="000E3361">
        <w:t xml:space="preserve">uses to facilitate the assignment of </w:t>
      </w:r>
      <w:r w:rsidR="0014252C">
        <w:t>FCC Registration Number</w:t>
      </w:r>
      <w:r w:rsidR="000E3361">
        <w:t>s</w:t>
      </w:r>
      <w:r w:rsidR="0014252C">
        <w:t xml:space="preserve"> (FRN</w:t>
      </w:r>
      <w:r w:rsidR="000E3361">
        <w:t>s</w:t>
      </w:r>
      <w:r w:rsidR="0014252C">
        <w:t xml:space="preserve">) to all persons and entities seeking to do business with the Commission.  </w:t>
      </w:r>
      <w:r w:rsidR="000E3361">
        <w:t xml:space="preserve">Commission rules require an </w:t>
      </w:r>
      <w:r w:rsidR="0014252C">
        <w:t>FRN</w:t>
      </w:r>
      <w:r w:rsidR="000E3361">
        <w:t xml:space="preserve"> to be sup</w:t>
      </w:r>
      <w:r w:rsidR="0014252C">
        <w:t xml:space="preserve">plied </w:t>
      </w:r>
      <w:r w:rsidR="00D72B94">
        <w:t xml:space="preserve">by </w:t>
      </w:r>
      <w:r w:rsidR="000F1338">
        <w:t xml:space="preserve">anyone doing business with </w:t>
      </w:r>
      <w:r w:rsidR="00D72B94">
        <w:t>the Commission</w:t>
      </w:r>
      <w:r w:rsidR="0014252C">
        <w:t>, including,</w:t>
      </w:r>
      <w:r w:rsidR="0088475F">
        <w:t xml:space="preserve"> </w:t>
      </w:r>
      <w:r w:rsidR="0014252C">
        <w:t>but not limited to</w:t>
      </w:r>
      <w:r w:rsidR="00D72B94">
        <w:t>,</w:t>
      </w:r>
      <w:r w:rsidR="003925BA">
        <w:t xml:space="preserve"> </w:t>
      </w:r>
      <w:r w:rsidR="00D72B94">
        <w:t>remitting payments</w:t>
      </w:r>
      <w:r w:rsidR="003925BA">
        <w:t xml:space="preserve">, </w:t>
      </w:r>
      <w:r w:rsidR="00D72B94">
        <w:t xml:space="preserve">applying for licenses, participating in auctions, and </w:t>
      </w:r>
      <w:r w:rsidR="003925BA">
        <w:t xml:space="preserve">filing </w:t>
      </w:r>
      <w:r w:rsidR="00D72B94">
        <w:t xml:space="preserve">certain </w:t>
      </w:r>
      <w:r w:rsidR="003925BA">
        <w:t>applications</w:t>
      </w:r>
      <w:r w:rsidR="00BC4AC9">
        <w:t>.</w:t>
      </w:r>
      <w:r>
        <w:rPr>
          <w:rStyle w:val="FootnoteReference"/>
        </w:rPr>
        <w:footnoteReference w:id="3"/>
      </w:r>
      <w:r w:rsidR="00BC4AC9">
        <w:t xml:space="preserve">  </w:t>
      </w:r>
      <w:r w:rsidR="008C1067">
        <w:t xml:space="preserve">In this Order, we adopt an outstanding proposal to modify </w:t>
      </w:r>
      <w:r w:rsidR="00D006FF">
        <w:t>o</w:t>
      </w:r>
      <w:r w:rsidR="008C1067">
        <w:t xml:space="preserve">ur rules to require </w:t>
      </w:r>
      <w:r w:rsidR="00FA5E1C">
        <w:t>all current and future FRN registrants to provide the Commission with a v</w:t>
      </w:r>
      <w:r w:rsidR="000812D3">
        <w:t xml:space="preserve">alid </w:t>
      </w:r>
      <w:r w:rsidR="008C1067">
        <w:t>e</w:t>
      </w:r>
      <w:r w:rsidR="00F4491A">
        <w:t>-</w:t>
      </w:r>
      <w:r w:rsidR="008C1067">
        <w:t>mail address</w:t>
      </w:r>
      <w:r w:rsidR="00FA5E1C">
        <w:t xml:space="preserve">.   </w:t>
      </w:r>
      <w:r w:rsidR="00D006FF">
        <w:t xml:space="preserve"> </w:t>
      </w:r>
    </w:p>
    <w:p w:rsidR="00071F30" w:rsidRPr="00071F30" w:rsidP="00071F30" w14:paraId="51B3FAA9" w14:textId="77777777">
      <w:pPr>
        <w:pStyle w:val="Heading1"/>
      </w:pPr>
      <w:bookmarkStart w:id="8" w:name="_Toc525228313"/>
      <w:bookmarkStart w:id="9" w:name="_Toc525642318"/>
      <w:bookmarkStart w:id="10" w:name="_Toc525642830"/>
      <w:bookmarkStart w:id="11" w:name="_Toc526959556"/>
      <w:bookmarkStart w:id="12" w:name="_Toc528657356"/>
      <w:bookmarkStart w:id="13" w:name="_Toc530139567"/>
      <w:bookmarkStart w:id="14" w:name="_Toc534019003"/>
      <w:bookmarkStart w:id="15" w:name="_Toc959617"/>
      <w:r w:rsidRPr="00071F30">
        <w:t>Background</w:t>
      </w:r>
      <w:bookmarkEnd w:id="8"/>
      <w:bookmarkEnd w:id="9"/>
      <w:bookmarkEnd w:id="10"/>
      <w:bookmarkEnd w:id="11"/>
      <w:bookmarkEnd w:id="12"/>
      <w:bookmarkEnd w:id="13"/>
      <w:bookmarkEnd w:id="14"/>
      <w:bookmarkEnd w:id="15"/>
    </w:p>
    <w:p w:rsidR="009A3E85" w:rsidP="00336ED3" w14:paraId="00A3FABE" w14:textId="77777777">
      <w:pPr>
        <w:pStyle w:val="ParaNum"/>
        <w:rPr>
          <w:rFonts w:eastAsia="Calibri"/>
        </w:rPr>
      </w:pPr>
      <w:r>
        <w:rPr>
          <w:snapToGrid/>
        </w:rPr>
        <w:t xml:space="preserve">In </w:t>
      </w:r>
      <w:r w:rsidR="00852B1F">
        <w:rPr>
          <w:snapToGrid/>
        </w:rPr>
        <w:t>2000</w:t>
      </w:r>
      <w:r w:rsidRPr="67143981" w:rsidR="001F73F9">
        <w:rPr>
          <w:snapToGrid/>
        </w:rPr>
        <w:t xml:space="preserve">, the Commission </w:t>
      </w:r>
      <w:r w:rsidRPr="67143981" w:rsidR="00D96DCF">
        <w:rPr>
          <w:snapToGrid/>
        </w:rPr>
        <w:t xml:space="preserve">established </w:t>
      </w:r>
      <w:r w:rsidRPr="67143981" w:rsidR="001F73F9">
        <w:rPr>
          <w:snapToGrid/>
        </w:rPr>
        <w:t>CORES</w:t>
      </w:r>
      <w:r w:rsidRPr="67143981" w:rsidR="00D96DCF">
        <w:t xml:space="preserve">, </w:t>
      </w:r>
      <w:r w:rsidRPr="67143981" w:rsidR="00D96DCF">
        <w:rPr>
          <w:snapToGrid/>
        </w:rPr>
        <w:t>a web-based, password-protected, registration system that assigns a unique</w:t>
      </w:r>
      <w:r w:rsidR="00D006FF">
        <w:rPr>
          <w:snapToGrid/>
        </w:rPr>
        <w:t xml:space="preserve"> </w:t>
      </w:r>
      <w:r w:rsidRPr="67143981" w:rsidR="00D96DCF">
        <w:rPr>
          <w:snapToGrid/>
        </w:rPr>
        <w:t>10-digit FRN to a registrant for use when doing business with the FCC</w:t>
      </w:r>
      <w:r w:rsidRPr="67143981">
        <w:t xml:space="preserve">.  </w:t>
      </w:r>
      <w:r w:rsidR="001F6599">
        <w:t xml:space="preserve">While initially voluntary, in </w:t>
      </w:r>
      <w:r>
        <w:t xml:space="preserve">2001 </w:t>
      </w:r>
      <w:r w:rsidR="001F6599">
        <w:t xml:space="preserve">the Commission established that </w:t>
      </w:r>
      <w:r>
        <w:t>i</w:t>
      </w:r>
      <w:r w:rsidR="00F30A1E">
        <w:rPr>
          <w:snapToGrid/>
        </w:rPr>
        <w:t xml:space="preserve">ndividuals and </w:t>
      </w:r>
      <w:r>
        <w:rPr>
          <w:rFonts w:eastAsia="Calibri"/>
        </w:rPr>
        <w:t xml:space="preserve">entities </w:t>
      </w:r>
      <w:r w:rsidR="001F6599">
        <w:rPr>
          <w:rFonts w:eastAsia="Calibri"/>
        </w:rPr>
        <w:t xml:space="preserve">were </w:t>
      </w:r>
      <w:r w:rsidR="00264BA9">
        <w:rPr>
          <w:rFonts w:eastAsia="Calibri"/>
        </w:rPr>
        <w:t xml:space="preserve">required to </w:t>
      </w:r>
      <w:r>
        <w:rPr>
          <w:rFonts w:eastAsia="Calibri"/>
        </w:rPr>
        <w:t xml:space="preserve">obtain </w:t>
      </w:r>
      <w:r w:rsidRPr="00D96DCF" w:rsidR="00D96DCF">
        <w:rPr>
          <w:rFonts w:eastAsia="Calibri"/>
        </w:rPr>
        <w:t xml:space="preserve">FRNs </w:t>
      </w:r>
      <w:r>
        <w:rPr>
          <w:rFonts w:eastAsia="Calibri"/>
        </w:rPr>
        <w:t xml:space="preserve">and supply </w:t>
      </w:r>
      <w:r w:rsidR="00B118AC">
        <w:rPr>
          <w:rFonts w:eastAsia="Calibri"/>
        </w:rPr>
        <w:t>FRNs</w:t>
      </w:r>
      <w:r>
        <w:rPr>
          <w:rFonts w:eastAsia="Calibri"/>
        </w:rPr>
        <w:t xml:space="preserve"> when doing business with the Commission.</w:t>
      </w:r>
      <w:r>
        <w:rPr>
          <w:rStyle w:val="FootnoteReference"/>
          <w:rFonts w:eastAsia="Calibri"/>
        </w:rPr>
        <w:footnoteReference w:id="4"/>
      </w:r>
      <w:r>
        <w:t xml:space="preserve">  </w:t>
      </w:r>
      <w:r w:rsidRPr="000B05D7" w:rsidR="002E383C">
        <w:rPr>
          <w:rFonts w:eastAsia="Calibri"/>
        </w:rPr>
        <w:t>Section 1.8002(b)(1) of the Commission’s rules lists the information currently required from entities seeking to register for an FRN</w:t>
      </w:r>
      <w:r w:rsidR="002E383C">
        <w:rPr>
          <w:rFonts w:eastAsia="Calibri"/>
        </w:rPr>
        <w:t>.</w:t>
      </w:r>
      <w:r>
        <w:rPr>
          <w:rStyle w:val="FootnoteReference"/>
          <w:rFonts w:eastAsia="Calibri"/>
        </w:rPr>
        <w:footnoteReference w:id="5"/>
      </w:r>
      <w:r w:rsidR="002E383C">
        <w:rPr>
          <w:rFonts w:eastAsia="Calibri"/>
        </w:rPr>
        <w:t xml:space="preserve">  E-mail address information has not been previously required under the rule.</w:t>
      </w:r>
      <w:r w:rsidR="00E75DC6">
        <w:rPr>
          <w:rFonts w:eastAsia="Calibri"/>
        </w:rPr>
        <w:t xml:space="preserve">  Section 1.8002(b)(2) requires that the information used to register for an FRN be kept current by the registrant.</w:t>
      </w:r>
      <w:r>
        <w:rPr>
          <w:rStyle w:val="FootnoteReference"/>
          <w:rFonts w:eastAsia="Calibri"/>
        </w:rPr>
        <w:footnoteReference w:id="6"/>
      </w:r>
      <w:r w:rsidR="00E75DC6">
        <w:rPr>
          <w:rFonts w:eastAsia="Calibri"/>
        </w:rPr>
        <w:t xml:space="preserve"> </w:t>
      </w:r>
    </w:p>
    <w:p w:rsidR="008C1067" w:rsidRPr="00D006FF" w:rsidP="00336ED3" w14:paraId="2DD6FA3B" w14:textId="77777777">
      <w:pPr>
        <w:pStyle w:val="ParaNum"/>
        <w:rPr>
          <w:rFonts w:eastAsia="Calibri"/>
        </w:rPr>
      </w:pPr>
      <w:r w:rsidRPr="000B05D7">
        <w:rPr>
          <w:rFonts w:eastAsia="Calibri"/>
        </w:rPr>
        <w:t>In 2010, the Commission proposed modifications to CORES</w:t>
      </w:r>
      <w:r w:rsidR="00631992">
        <w:rPr>
          <w:rFonts w:eastAsia="Calibri"/>
        </w:rPr>
        <w:t>,</w:t>
      </w:r>
      <w:r w:rsidRPr="000B05D7">
        <w:rPr>
          <w:rFonts w:eastAsia="Calibri"/>
        </w:rPr>
        <w:t xml:space="preserve"> </w:t>
      </w:r>
      <w:r w:rsidR="00631992">
        <w:rPr>
          <w:rFonts w:eastAsia="Calibri"/>
        </w:rPr>
        <w:t xml:space="preserve">seeking </w:t>
      </w:r>
      <w:r w:rsidRPr="000B05D7">
        <w:rPr>
          <w:rFonts w:eastAsia="Calibri"/>
        </w:rPr>
        <w:t xml:space="preserve">comment </w:t>
      </w:r>
      <w:r w:rsidRPr="000B05D7" w:rsidR="00B118AC">
        <w:rPr>
          <w:rFonts w:eastAsia="Calibri"/>
        </w:rPr>
        <w:t xml:space="preserve">targeted at </w:t>
      </w:r>
      <w:r w:rsidRPr="000B05D7">
        <w:rPr>
          <w:rFonts w:eastAsia="Calibri"/>
        </w:rPr>
        <w:t>mak</w:t>
      </w:r>
      <w:r w:rsidRPr="000B05D7" w:rsidR="00B118AC">
        <w:rPr>
          <w:rFonts w:eastAsia="Calibri"/>
        </w:rPr>
        <w:t>ing</w:t>
      </w:r>
      <w:r w:rsidRPr="000B05D7">
        <w:rPr>
          <w:rFonts w:eastAsia="Calibri"/>
        </w:rPr>
        <w:t xml:space="preserve"> CORES more </w:t>
      </w:r>
      <w:r w:rsidRPr="000B05D7" w:rsidR="00B118AC">
        <w:rPr>
          <w:rFonts w:eastAsia="Calibri"/>
        </w:rPr>
        <w:t>user and feature</w:t>
      </w:r>
      <w:r w:rsidRPr="000B05D7">
        <w:rPr>
          <w:rFonts w:eastAsia="Calibri"/>
        </w:rPr>
        <w:t>-friendly and eliminat</w:t>
      </w:r>
      <w:r w:rsidRPr="000B05D7" w:rsidR="00B118AC">
        <w:rPr>
          <w:rFonts w:eastAsia="Calibri"/>
        </w:rPr>
        <w:t>ing</w:t>
      </w:r>
      <w:r w:rsidRPr="000B05D7">
        <w:rPr>
          <w:rFonts w:eastAsia="Calibri"/>
        </w:rPr>
        <w:t xml:space="preserve"> some of the system’s </w:t>
      </w:r>
      <w:r w:rsidRPr="000B05D7" w:rsidR="00B118AC">
        <w:rPr>
          <w:rFonts w:eastAsia="Calibri"/>
        </w:rPr>
        <w:t>then-</w:t>
      </w:r>
      <w:r w:rsidRPr="000B05D7">
        <w:rPr>
          <w:rFonts w:eastAsia="Calibri"/>
        </w:rPr>
        <w:t>current limitations.</w:t>
      </w:r>
      <w:r>
        <w:rPr>
          <w:rStyle w:val="FootnoteReference"/>
          <w:rFonts w:eastAsia="Calibri"/>
        </w:rPr>
        <w:footnoteReference w:id="7"/>
      </w:r>
      <w:r w:rsidRPr="000B05D7">
        <w:rPr>
          <w:rFonts w:eastAsia="Calibri"/>
        </w:rPr>
        <w:t xml:space="preserve">  </w:t>
      </w:r>
      <w:r w:rsidR="00897E08">
        <w:rPr>
          <w:rFonts w:eastAsia="Calibri"/>
        </w:rPr>
        <w:t xml:space="preserve">The </w:t>
      </w:r>
      <w:r w:rsidR="00B57B1A">
        <w:rPr>
          <w:rFonts w:eastAsia="Calibri"/>
          <w:i/>
        </w:rPr>
        <w:t xml:space="preserve">2010 </w:t>
      </w:r>
      <w:r w:rsidRPr="00B57B1A" w:rsidR="00B57B1A">
        <w:rPr>
          <w:rFonts w:eastAsia="Calibri"/>
          <w:i/>
        </w:rPr>
        <w:t>NPRM</w:t>
      </w:r>
      <w:r w:rsidR="00B57B1A">
        <w:rPr>
          <w:rFonts w:eastAsia="Calibri"/>
        </w:rPr>
        <w:t xml:space="preserve"> </w:t>
      </w:r>
      <w:r w:rsidR="009A3597">
        <w:rPr>
          <w:rFonts w:eastAsia="Calibri"/>
        </w:rPr>
        <w:t xml:space="preserve">sought comment about potential changes to the </w:t>
      </w:r>
      <w:r w:rsidR="004A39B7">
        <w:rPr>
          <w:rFonts w:eastAsia="Calibri"/>
        </w:rPr>
        <w:t>FRN requir</w:t>
      </w:r>
      <w:r w:rsidR="00A55D4E">
        <w:rPr>
          <w:rFonts w:eastAsia="Calibri"/>
        </w:rPr>
        <w:t>ements</w:t>
      </w:r>
      <w:r w:rsidR="004A39B7">
        <w:rPr>
          <w:rFonts w:eastAsia="Calibri"/>
        </w:rPr>
        <w:t>, including whether e-mail a</w:t>
      </w:r>
      <w:r w:rsidRPr="000B05D7" w:rsidR="00B118AC">
        <w:rPr>
          <w:rFonts w:eastAsia="Calibri"/>
        </w:rPr>
        <w:t>ddresses</w:t>
      </w:r>
      <w:r w:rsidR="004A39B7">
        <w:rPr>
          <w:rFonts w:eastAsia="Calibri"/>
        </w:rPr>
        <w:t xml:space="preserve"> should be required to be provided</w:t>
      </w:r>
      <w:r w:rsidRPr="000B05D7" w:rsidR="00B118AC">
        <w:rPr>
          <w:rFonts w:eastAsia="Calibri"/>
        </w:rPr>
        <w:t xml:space="preserve"> as part of the CORES registration process.</w:t>
      </w:r>
      <w:r>
        <w:rPr>
          <w:rStyle w:val="FootnoteReference"/>
          <w:rFonts w:eastAsia="Calibri"/>
        </w:rPr>
        <w:footnoteReference w:id="8"/>
      </w:r>
      <w:r w:rsidRPr="000B05D7" w:rsidR="00B118AC">
        <w:rPr>
          <w:rFonts w:eastAsia="Calibri"/>
        </w:rPr>
        <w:t xml:space="preserve">  </w:t>
      </w:r>
      <w:r w:rsidR="00D006FF">
        <w:rPr>
          <w:rFonts w:eastAsia="Calibri"/>
        </w:rPr>
        <w:t>T</w:t>
      </w:r>
      <w:r w:rsidRPr="002E383C" w:rsidR="002E383C">
        <w:rPr>
          <w:rFonts w:eastAsia="Calibri"/>
        </w:rPr>
        <w:t>he Commission tentatively concluded that “[g]</w:t>
      </w:r>
      <w:r w:rsidRPr="002E383C" w:rsidR="002E383C">
        <w:rPr>
          <w:rFonts w:eastAsia="Calibri"/>
        </w:rPr>
        <w:t>iven</w:t>
      </w:r>
      <w:r w:rsidRPr="002E383C" w:rsidR="002E383C">
        <w:rPr>
          <w:rFonts w:eastAsia="Calibri"/>
        </w:rPr>
        <w:t xml:space="preserve"> the significant increase in the use of and dependence on e-mail in the years since CORES first became operational” all FRN holders should be required to provide an e-mail address upon registering in CORES.</w:t>
      </w:r>
      <w:r>
        <w:rPr>
          <w:rStyle w:val="FootnoteReference"/>
          <w:rFonts w:eastAsia="Calibri"/>
        </w:rPr>
        <w:footnoteReference w:id="9"/>
      </w:r>
      <w:r w:rsidR="00DE17E7">
        <w:rPr>
          <w:rFonts w:eastAsia="Calibri"/>
        </w:rPr>
        <w:t xml:space="preserve">  </w:t>
      </w:r>
      <w:r w:rsidRPr="002E383C" w:rsidR="002E383C">
        <w:rPr>
          <w:rFonts w:eastAsia="Calibri"/>
        </w:rPr>
        <w:t>The Commission also tentatively concluded that entities and individuals should be required to validate e-mail addresses at the time of registration by clicking on a link that CORES would automatically send to the e-mail address that was provided.</w:t>
      </w:r>
      <w:r>
        <w:rPr>
          <w:rStyle w:val="FootnoteReference"/>
          <w:rFonts w:eastAsia="Calibri"/>
        </w:rPr>
        <w:footnoteReference w:id="10"/>
      </w:r>
      <w:r w:rsidR="003A184C">
        <w:rPr>
          <w:rFonts w:eastAsia="Calibri"/>
        </w:rPr>
        <w:t xml:space="preserve">   </w:t>
      </w:r>
      <w:r w:rsidR="00D006FF">
        <w:rPr>
          <w:rFonts w:eastAsia="Calibri"/>
        </w:rPr>
        <w:t xml:space="preserve"> </w:t>
      </w:r>
    </w:p>
    <w:p w:rsidR="00A8561A" w:rsidRPr="00631992" w:rsidP="00336ED3" w14:paraId="2B4A6D8C" w14:textId="501723B4">
      <w:pPr>
        <w:pStyle w:val="ParaNum"/>
        <w:rPr>
          <w:rFonts w:eastAsia="Calibri"/>
        </w:rPr>
      </w:pPr>
      <w:r>
        <w:rPr>
          <w:rFonts w:eastAsia="Calibri"/>
        </w:rPr>
        <w:t xml:space="preserve">In 2016, </w:t>
      </w:r>
      <w:r w:rsidRPr="00631992" w:rsidR="004509E5">
        <w:rPr>
          <w:rFonts w:eastAsia="Calibri"/>
        </w:rPr>
        <w:t>the Office of Managing Directo</w:t>
      </w:r>
      <w:r w:rsidRPr="00631992" w:rsidR="00BD08F1">
        <w:rPr>
          <w:rFonts w:eastAsia="Calibri"/>
        </w:rPr>
        <w:t xml:space="preserve">r </w:t>
      </w:r>
      <w:r w:rsidR="00157AE4">
        <w:rPr>
          <w:rFonts w:eastAsia="Calibri"/>
        </w:rPr>
        <w:t xml:space="preserve">(OMD) </w:t>
      </w:r>
      <w:r w:rsidR="0030070F">
        <w:rPr>
          <w:rFonts w:eastAsia="Calibri"/>
        </w:rPr>
        <w:t xml:space="preserve">posted </w:t>
      </w:r>
      <w:r w:rsidRPr="00631992" w:rsidR="00BD08F1">
        <w:rPr>
          <w:rFonts w:eastAsia="Calibri"/>
        </w:rPr>
        <w:t xml:space="preserve">an upgraded version of CORES </w:t>
      </w:r>
      <w:r w:rsidR="0030070F">
        <w:rPr>
          <w:rFonts w:eastAsia="Calibri"/>
        </w:rPr>
        <w:t>on the Commission’s website</w:t>
      </w:r>
      <w:r>
        <w:rPr>
          <w:rFonts w:eastAsia="Calibri"/>
        </w:rPr>
        <w:t xml:space="preserve"> providing </w:t>
      </w:r>
      <w:r w:rsidRPr="00631992" w:rsidR="00BD08F1">
        <w:rPr>
          <w:rFonts w:eastAsia="Calibri"/>
        </w:rPr>
        <w:t>FRN registrants more user-friendly and secure features</w:t>
      </w:r>
      <w:r>
        <w:rPr>
          <w:rFonts w:eastAsia="Calibri"/>
        </w:rPr>
        <w:t xml:space="preserve"> such as </w:t>
      </w:r>
      <w:r w:rsidRPr="00631992">
        <w:rPr>
          <w:rFonts w:eastAsia="Calibri"/>
        </w:rPr>
        <w:t>enabl</w:t>
      </w:r>
      <w:r>
        <w:rPr>
          <w:rFonts w:eastAsia="Calibri"/>
        </w:rPr>
        <w:t>ing</w:t>
      </w:r>
      <w:r w:rsidRPr="00631992">
        <w:rPr>
          <w:rFonts w:eastAsia="Calibri"/>
        </w:rPr>
        <w:t xml:space="preserve"> existing and new users to designate</w:t>
      </w:r>
      <w:r>
        <w:rPr>
          <w:rFonts w:eastAsia="Calibri"/>
        </w:rPr>
        <w:t xml:space="preserve"> </w:t>
      </w:r>
      <w:r w:rsidRPr="00631992">
        <w:rPr>
          <w:rFonts w:eastAsia="Calibri"/>
        </w:rPr>
        <w:t>usernames to access FRNs and allow</w:t>
      </w:r>
      <w:r w:rsidR="00BD6A1B">
        <w:rPr>
          <w:rFonts w:eastAsia="Calibri"/>
        </w:rPr>
        <w:t>ing</w:t>
      </w:r>
      <w:r w:rsidRPr="00631992">
        <w:rPr>
          <w:rFonts w:eastAsia="Calibri"/>
        </w:rPr>
        <w:t xml:space="preserve"> registrants to establish multiple usernames for each FRN with different levels of access</w:t>
      </w:r>
      <w:r w:rsidRPr="00631992" w:rsidR="00836892">
        <w:rPr>
          <w:rFonts w:eastAsia="Calibri"/>
        </w:rPr>
        <w:t>.</w:t>
      </w:r>
      <w:r>
        <w:rPr>
          <w:rStyle w:val="FootnoteReference"/>
          <w:rFonts w:eastAsia="Calibri"/>
        </w:rPr>
        <w:footnoteReference w:id="11"/>
      </w:r>
      <w:r w:rsidRPr="00631992" w:rsidR="00F0480B">
        <w:rPr>
          <w:rFonts w:eastAsia="Calibri"/>
        </w:rPr>
        <w:t xml:space="preserve">  </w:t>
      </w:r>
      <w:r w:rsidRPr="00631992" w:rsidR="00B245DF">
        <w:rPr>
          <w:rFonts w:eastAsia="Calibri"/>
        </w:rPr>
        <w:t xml:space="preserve">Password recovery, already a feature of the </w:t>
      </w:r>
      <w:r w:rsidRPr="00631992" w:rsidR="00F0480B">
        <w:rPr>
          <w:rFonts w:eastAsia="Calibri"/>
        </w:rPr>
        <w:t>legacy CORES,</w:t>
      </w:r>
      <w:r>
        <w:rPr>
          <w:rStyle w:val="FootnoteReference"/>
          <w:rFonts w:eastAsia="Calibri"/>
        </w:rPr>
        <w:footnoteReference w:id="12"/>
      </w:r>
      <w:r w:rsidRPr="00631992" w:rsidR="00F0480B">
        <w:rPr>
          <w:rFonts w:eastAsia="Calibri"/>
        </w:rPr>
        <w:t xml:space="preserve"> </w:t>
      </w:r>
      <w:r w:rsidR="00F43BCE">
        <w:rPr>
          <w:rFonts w:eastAsia="Calibri"/>
        </w:rPr>
        <w:t xml:space="preserve">was </w:t>
      </w:r>
      <w:r w:rsidRPr="00631992" w:rsidR="00B245DF">
        <w:rPr>
          <w:rFonts w:eastAsia="Calibri"/>
        </w:rPr>
        <w:t xml:space="preserve">also a component of </w:t>
      </w:r>
      <w:r w:rsidRPr="00631992" w:rsidR="00F0480B">
        <w:rPr>
          <w:rFonts w:eastAsia="Calibri"/>
        </w:rPr>
        <w:t xml:space="preserve">the new version </w:t>
      </w:r>
      <w:r w:rsidRPr="00631992" w:rsidR="00B245DF">
        <w:rPr>
          <w:rFonts w:eastAsia="Calibri"/>
        </w:rPr>
        <w:t>of CORES, providing users</w:t>
      </w:r>
      <w:r w:rsidRPr="00631992" w:rsidR="00F0480B">
        <w:rPr>
          <w:rFonts w:eastAsia="Calibri"/>
        </w:rPr>
        <w:t xml:space="preserve"> with password-recovery security questions to enable </w:t>
      </w:r>
      <w:r w:rsidRPr="00631992" w:rsidR="00B245DF">
        <w:rPr>
          <w:rFonts w:eastAsia="Calibri"/>
        </w:rPr>
        <w:t xml:space="preserve">them </w:t>
      </w:r>
      <w:r w:rsidRPr="00631992" w:rsidR="00F0480B">
        <w:rPr>
          <w:rFonts w:eastAsia="Calibri"/>
        </w:rPr>
        <w:t>to recover forgotten passwords.</w:t>
      </w:r>
      <w:r>
        <w:rPr>
          <w:rStyle w:val="FootnoteReference"/>
          <w:rFonts w:eastAsia="Calibri"/>
        </w:rPr>
        <w:footnoteReference w:id="13"/>
      </w:r>
      <w:r w:rsidRPr="00631992" w:rsidR="00F0480B">
        <w:rPr>
          <w:rFonts w:eastAsia="Calibri"/>
        </w:rPr>
        <w:t xml:space="preserve"> </w:t>
      </w:r>
      <w:r w:rsidR="005418A2">
        <w:rPr>
          <w:rFonts w:eastAsia="Calibri"/>
        </w:rPr>
        <w:t xml:space="preserve"> </w:t>
      </w:r>
      <w:r w:rsidR="007422BE">
        <w:rPr>
          <w:rFonts w:eastAsia="Calibri"/>
        </w:rPr>
        <w:t xml:space="preserve">Although </w:t>
      </w:r>
      <w:r w:rsidR="00A37843">
        <w:rPr>
          <w:rFonts w:eastAsia="Calibri"/>
        </w:rPr>
        <w:t>th</w:t>
      </w:r>
      <w:r w:rsidRPr="00631992">
        <w:rPr>
          <w:rFonts w:eastAsia="Calibri"/>
        </w:rPr>
        <w:t>e new CORES</w:t>
      </w:r>
      <w:r w:rsidR="005418A2">
        <w:rPr>
          <w:rFonts w:eastAsia="Calibri"/>
        </w:rPr>
        <w:t xml:space="preserve"> has been available since</w:t>
      </w:r>
      <w:r w:rsidR="007422BE">
        <w:rPr>
          <w:rFonts w:eastAsia="Calibri"/>
        </w:rPr>
        <w:t xml:space="preserve"> </w:t>
      </w:r>
      <w:r w:rsidRPr="00631992">
        <w:rPr>
          <w:rFonts w:eastAsia="Calibri"/>
        </w:rPr>
        <w:t xml:space="preserve">2016, </w:t>
      </w:r>
      <w:r w:rsidR="00EA6B71">
        <w:rPr>
          <w:rFonts w:eastAsia="Calibri"/>
        </w:rPr>
        <w:t>the original “</w:t>
      </w:r>
      <w:r w:rsidRPr="00631992">
        <w:rPr>
          <w:rFonts w:eastAsia="Calibri"/>
        </w:rPr>
        <w:t>legacy</w:t>
      </w:r>
      <w:r w:rsidR="00EA6B71">
        <w:rPr>
          <w:rFonts w:eastAsia="Calibri"/>
        </w:rPr>
        <w:t>”</w:t>
      </w:r>
      <w:r w:rsidRPr="00631992">
        <w:rPr>
          <w:rFonts w:eastAsia="Calibri"/>
        </w:rPr>
        <w:t xml:space="preserve"> </w:t>
      </w:r>
      <w:r w:rsidR="00EA6B71">
        <w:rPr>
          <w:rFonts w:eastAsia="Calibri"/>
        </w:rPr>
        <w:t xml:space="preserve">version of </w:t>
      </w:r>
      <w:r w:rsidR="00C633F2">
        <w:rPr>
          <w:rFonts w:eastAsia="Calibri"/>
        </w:rPr>
        <w:t>COR</w:t>
      </w:r>
      <w:r w:rsidR="00B37F66">
        <w:rPr>
          <w:rFonts w:eastAsia="Calibri"/>
        </w:rPr>
        <w:t>ES</w:t>
      </w:r>
      <w:r w:rsidR="005418A2">
        <w:rPr>
          <w:rFonts w:eastAsia="Calibri"/>
        </w:rPr>
        <w:t xml:space="preserve"> has also remained available</w:t>
      </w:r>
      <w:r w:rsidR="00EA6B71">
        <w:rPr>
          <w:rFonts w:eastAsia="Calibri"/>
        </w:rPr>
        <w:t xml:space="preserve"> and in use for FRN registration</w:t>
      </w:r>
      <w:r w:rsidR="00B42317">
        <w:rPr>
          <w:rFonts w:eastAsia="Calibri"/>
        </w:rPr>
        <w:t>.</w:t>
      </w:r>
      <w:r w:rsidR="00FA5E1C">
        <w:rPr>
          <w:rFonts w:eastAsia="Calibri"/>
        </w:rPr>
        <w:t xml:space="preserve">  Maintaining both the new and legacy CORES on the Commission’s website is consistent with the Commission’s practice of rolling out upgrades to the CORES systems </w:t>
      </w:r>
      <w:r w:rsidR="00275CAA">
        <w:rPr>
          <w:rFonts w:eastAsia="Calibri"/>
        </w:rPr>
        <w:t>o</w:t>
      </w:r>
      <w:r w:rsidR="00FA5E1C">
        <w:rPr>
          <w:rFonts w:eastAsia="Calibri"/>
        </w:rPr>
        <w:t xml:space="preserve">n a voluntary basis before making </w:t>
      </w:r>
      <w:r w:rsidR="00FA6968">
        <w:rPr>
          <w:rFonts w:eastAsia="Calibri"/>
        </w:rPr>
        <w:t xml:space="preserve">such </w:t>
      </w:r>
      <w:r w:rsidR="00FA5E1C">
        <w:rPr>
          <w:rFonts w:eastAsia="Calibri"/>
        </w:rPr>
        <w:t>changes mandatory.</w:t>
      </w:r>
      <w:r>
        <w:rPr>
          <w:rStyle w:val="FootnoteReference"/>
          <w:rFonts w:eastAsia="Calibri"/>
        </w:rPr>
        <w:footnoteReference w:id="14"/>
      </w:r>
      <w:r w:rsidR="00FA5E1C">
        <w:rPr>
          <w:rFonts w:eastAsia="Calibri"/>
        </w:rPr>
        <w:t xml:space="preserve"> </w:t>
      </w:r>
      <w:r w:rsidR="00AA0991">
        <w:rPr>
          <w:rFonts w:eastAsia="Calibri"/>
        </w:rPr>
        <w:t xml:space="preserve">  </w:t>
      </w:r>
    </w:p>
    <w:p w:rsidR="002E383C" w:rsidRPr="00F51570" w:rsidP="00336ED3" w14:paraId="3B6F94B1" w14:textId="63C85A83">
      <w:pPr>
        <w:pStyle w:val="ParaNum"/>
        <w:rPr>
          <w:rFonts w:eastAsia="Calibri"/>
        </w:rPr>
      </w:pPr>
      <w:r>
        <w:rPr>
          <w:rFonts w:eastAsia="Calibri"/>
        </w:rPr>
        <w:t>Entities and individuals that register for FRNs in the new version of CORES</w:t>
      </w:r>
      <w:r w:rsidR="0053057D">
        <w:rPr>
          <w:rFonts w:eastAsia="Calibri"/>
        </w:rPr>
        <w:t xml:space="preserve"> </w:t>
      </w:r>
      <w:r>
        <w:rPr>
          <w:rFonts w:eastAsia="Calibri"/>
        </w:rPr>
        <w:t>must provide e-mail address information which is verified through an e-mail verification link</w:t>
      </w:r>
      <w:r w:rsidRPr="00EE66D2" w:rsidR="00EE66D2">
        <w:t xml:space="preserve"> </w:t>
      </w:r>
      <w:r w:rsidR="00EE66D2">
        <w:rPr>
          <w:rFonts w:eastAsia="Calibri"/>
        </w:rPr>
        <w:t>in</w:t>
      </w:r>
      <w:r w:rsidRPr="00EE66D2" w:rsidR="00EE66D2">
        <w:rPr>
          <w:rFonts w:eastAsia="Calibri"/>
        </w:rPr>
        <w:t xml:space="preserve"> the FCC User Registration System</w:t>
      </w:r>
      <w:r>
        <w:rPr>
          <w:rFonts w:eastAsia="Calibri"/>
        </w:rPr>
        <w:t>.</w:t>
      </w:r>
      <w:r>
        <w:rPr>
          <w:rStyle w:val="FootnoteReference"/>
          <w:rFonts w:eastAsia="Calibri"/>
        </w:rPr>
        <w:footnoteReference w:id="15"/>
      </w:r>
      <w:r w:rsidR="0053057D">
        <w:rPr>
          <w:rFonts w:eastAsia="Calibri"/>
        </w:rPr>
        <w:t xml:space="preserve">  An e</w:t>
      </w:r>
      <w:r w:rsidRPr="0053057D" w:rsidR="0053057D">
        <w:rPr>
          <w:rFonts w:eastAsia="Calibri"/>
        </w:rPr>
        <w:t xml:space="preserve">-mail </w:t>
      </w:r>
      <w:r w:rsidR="0053057D">
        <w:rPr>
          <w:rFonts w:eastAsia="Calibri"/>
        </w:rPr>
        <w:t xml:space="preserve">address remains an optional information request in </w:t>
      </w:r>
      <w:r w:rsidRPr="0053057D" w:rsidR="0053057D">
        <w:rPr>
          <w:rFonts w:eastAsia="Calibri"/>
        </w:rPr>
        <w:t xml:space="preserve">legacy CORES. </w:t>
      </w:r>
      <w:r>
        <w:rPr>
          <w:rFonts w:eastAsia="Calibri"/>
        </w:rPr>
        <w:t xml:space="preserve"> </w:t>
      </w:r>
      <w:r w:rsidR="003A184C">
        <w:rPr>
          <w:rFonts w:eastAsia="Calibri"/>
        </w:rPr>
        <w:t xml:space="preserve">The current version of the paper forms </w:t>
      </w:r>
      <w:r w:rsidR="00A8561A">
        <w:rPr>
          <w:rFonts w:eastAsia="Calibri"/>
        </w:rPr>
        <w:t xml:space="preserve">for obtaining or updating an FRN, FCC Forms </w:t>
      </w:r>
      <w:r w:rsidR="00844046">
        <w:rPr>
          <w:rFonts w:eastAsia="Calibri"/>
        </w:rPr>
        <w:t>1</w:t>
      </w:r>
      <w:r w:rsidR="00A8561A">
        <w:rPr>
          <w:rFonts w:eastAsia="Calibri"/>
        </w:rPr>
        <w:t xml:space="preserve">60 and </w:t>
      </w:r>
      <w:r w:rsidR="00844046">
        <w:rPr>
          <w:rFonts w:eastAsia="Calibri"/>
        </w:rPr>
        <w:t>1</w:t>
      </w:r>
      <w:r w:rsidR="00A8561A">
        <w:rPr>
          <w:rFonts w:eastAsia="Calibri"/>
        </w:rPr>
        <w:t xml:space="preserve">61, </w:t>
      </w:r>
      <w:r w:rsidR="00EF7AC7">
        <w:rPr>
          <w:rFonts w:eastAsia="Calibri"/>
        </w:rPr>
        <w:t xml:space="preserve">however, </w:t>
      </w:r>
      <w:r w:rsidR="00A8561A">
        <w:rPr>
          <w:rFonts w:eastAsia="Calibri"/>
        </w:rPr>
        <w:t>requir</w:t>
      </w:r>
      <w:r w:rsidR="00F010BC">
        <w:rPr>
          <w:rFonts w:eastAsia="Calibri"/>
        </w:rPr>
        <w:t>e</w:t>
      </w:r>
      <w:r w:rsidR="00A8561A">
        <w:rPr>
          <w:rFonts w:eastAsia="Calibri"/>
        </w:rPr>
        <w:t xml:space="preserve"> filer</w:t>
      </w:r>
      <w:r w:rsidR="00F010BC">
        <w:rPr>
          <w:rFonts w:eastAsia="Calibri"/>
        </w:rPr>
        <w:t>s to</w:t>
      </w:r>
      <w:r w:rsidR="00A8561A">
        <w:rPr>
          <w:rFonts w:eastAsia="Calibri"/>
        </w:rPr>
        <w:t xml:space="preserve"> provide a contact e-mail address as part of the registration process.</w:t>
      </w:r>
      <w:r>
        <w:rPr>
          <w:rStyle w:val="FootnoteReference"/>
          <w:rFonts w:eastAsia="Calibri"/>
        </w:rPr>
        <w:footnoteReference w:id="16"/>
      </w:r>
      <w:r w:rsidR="00A8561A">
        <w:rPr>
          <w:rFonts w:eastAsia="Calibri"/>
        </w:rPr>
        <w:t xml:space="preserve"> </w:t>
      </w:r>
      <w:r w:rsidR="0005360F">
        <w:rPr>
          <w:rFonts w:eastAsia="Calibri"/>
        </w:rPr>
        <w:t xml:space="preserve"> </w:t>
      </w:r>
    </w:p>
    <w:p w:rsidR="00071F30" w:rsidRPr="00071F30" w:rsidP="00071F30" w14:paraId="42A81F6B" w14:textId="77777777">
      <w:pPr>
        <w:pStyle w:val="Heading1"/>
      </w:pPr>
      <w:bookmarkStart w:id="21" w:name="_Toc525228312"/>
      <w:bookmarkStart w:id="22" w:name="_Toc525642316"/>
      <w:bookmarkStart w:id="23" w:name="_Toc525642828"/>
      <w:bookmarkStart w:id="24" w:name="_Toc526959555"/>
      <w:bookmarkStart w:id="25" w:name="_Toc528657355"/>
      <w:bookmarkStart w:id="26" w:name="_Toc530139570"/>
      <w:bookmarkStart w:id="27" w:name="_Toc534019006"/>
      <w:bookmarkStart w:id="28" w:name="_Toc959620"/>
      <w:r w:rsidRPr="00071F30">
        <w:t>Report and ORDER</w:t>
      </w:r>
      <w:bookmarkEnd w:id="21"/>
      <w:bookmarkEnd w:id="22"/>
      <w:bookmarkEnd w:id="23"/>
      <w:bookmarkEnd w:id="24"/>
      <w:bookmarkEnd w:id="25"/>
      <w:bookmarkEnd w:id="26"/>
      <w:bookmarkEnd w:id="27"/>
      <w:bookmarkEnd w:id="28"/>
    </w:p>
    <w:p w:rsidR="00D76473" w:rsidRPr="00011EA0" w:rsidP="00336ED3" w14:paraId="46CA32E6" w14:textId="7DC402AD">
      <w:pPr>
        <w:pStyle w:val="ParaNum"/>
        <w:rPr>
          <w:rFonts w:eastAsia="Calibri"/>
        </w:rPr>
      </w:pPr>
      <w:bookmarkStart w:id="29" w:name="_Toc525642317"/>
      <w:bookmarkStart w:id="30" w:name="_Toc525642829"/>
      <w:bookmarkStart w:id="31" w:name="_Hlk31200346"/>
      <w:bookmarkEnd w:id="29"/>
      <w:bookmarkEnd w:id="30"/>
      <w:r w:rsidRPr="67143981">
        <w:rPr>
          <w:rFonts w:eastAsia="Calibri"/>
        </w:rPr>
        <w:t xml:space="preserve">We amend </w:t>
      </w:r>
      <w:r w:rsidR="00517857">
        <w:rPr>
          <w:rFonts w:eastAsia="Calibri"/>
        </w:rPr>
        <w:t xml:space="preserve">section </w:t>
      </w:r>
      <w:r w:rsidRPr="00517857" w:rsidR="00517857">
        <w:rPr>
          <w:rFonts w:eastAsia="Calibri"/>
        </w:rPr>
        <w:t xml:space="preserve">1.8002(b) </w:t>
      </w:r>
      <w:r w:rsidR="00517857">
        <w:rPr>
          <w:rFonts w:eastAsia="Calibri"/>
        </w:rPr>
        <w:t>of the Commission</w:t>
      </w:r>
      <w:r w:rsidR="00517857">
        <w:rPr>
          <w:rFonts w:eastAsia="Calibri"/>
          <w:szCs w:val="22"/>
        </w:rPr>
        <w:t>’s rules</w:t>
      </w:r>
      <w:r w:rsidR="00883EE1">
        <w:rPr>
          <w:rFonts w:eastAsia="Calibri"/>
          <w:szCs w:val="22"/>
        </w:rPr>
        <w:t xml:space="preserve"> </w:t>
      </w:r>
      <w:r w:rsidRPr="00517857">
        <w:rPr>
          <w:rFonts w:eastAsia="Calibri"/>
        </w:rPr>
        <w:t>to require entities and individuals doing business with the Commission to provide their e-mail addresses when they register for FRNs</w:t>
      </w:r>
      <w:r w:rsidR="0053057D">
        <w:rPr>
          <w:rFonts w:eastAsia="Calibri"/>
        </w:rPr>
        <w:t xml:space="preserve"> and to keep the e-mail information current along with other information used to register</w:t>
      </w:r>
      <w:bookmarkEnd w:id="31"/>
      <w:r w:rsidR="0053057D">
        <w:rPr>
          <w:rFonts w:eastAsia="Calibri"/>
        </w:rPr>
        <w:t>.</w:t>
      </w:r>
      <w:r>
        <w:rPr>
          <w:rStyle w:val="FootnoteReference"/>
          <w:rFonts w:eastAsia="Calibri"/>
        </w:rPr>
        <w:footnoteReference w:id="17"/>
      </w:r>
      <w:r w:rsidRPr="00517857">
        <w:rPr>
          <w:rFonts w:eastAsia="Calibri"/>
        </w:rPr>
        <w:t xml:space="preserve">  We find that it is in the public interest to require e-mail </w:t>
      </w:r>
      <w:r w:rsidR="00883EE1">
        <w:rPr>
          <w:rFonts w:eastAsia="Calibri"/>
        </w:rPr>
        <w:t xml:space="preserve">address information </w:t>
      </w:r>
      <w:r w:rsidRPr="00517857">
        <w:rPr>
          <w:rFonts w:eastAsia="Calibri"/>
        </w:rPr>
        <w:t>as part of the FRN registration process</w:t>
      </w:r>
      <w:r w:rsidR="0053057D">
        <w:rPr>
          <w:rFonts w:eastAsia="Calibri"/>
        </w:rPr>
        <w:t xml:space="preserve"> and to maintain </w:t>
      </w:r>
      <w:r w:rsidR="00275CAA">
        <w:rPr>
          <w:rFonts w:eastAsia="Calibri"/>
        </w:rPr>
        <w:t xml:space="preserve">a valid </w:t>
      </w:r>
      <w:r w:rsidR="0053057D">
        <w:rPr>
          <w:rFonts w:eastAsia="Calibri"/>
        </w:rPr>
        <w:t>e-mail address for all FRN registrants</w:t>
      </w:r>
      <w:r w:rsidRPr="00517857">
        <w:rPr>
          <w:rFonts w:eastAsia="Calibri"/>
        </w:rPr>
        <w:t xml:space="preserve">.  This change will enable </w:t>
      </w:r>
      <w:r w:rsidR="007D724C">
        <w:rPr>
          <w:rFonts w:eastAsia="Calibri"/>
        </w:rPr>
        <w:t xml:space="preserve">OMD </w:t>
      </w:r>
      <w:r w:rsidRPr="00517857">
        <w:rPr>
          <w:rFonts w:eastAsia="Calibri"/>
        </w:rPr>
        <w:t xml:space="preserve">to </w:t>
      </w:r>
      <w:r w:rsidR="00C35B5F">
        <w:rPr>
          <w:rFonts w:eastAsia="Calibri"/>
        </w:rPr>
        <w:t xml:space="preserve">remove access to </w:t>
      </w:r>
      <w:r w:rsidRPr="00517857">
        <w:rPr>
          <w:rFonts w:eastAsia="Calibri"/>
        </w:rPr>
        <w:t xml:space="preserve">legacy CORES </w:t>
      </w:r>
      <w:r w:rsidR="00C35B5F">
        <w:rPr>
          <w:rFonts w:eastAsia="Calibri"/>
        </w:rPr>
        <w:t>from the Commission’s website</w:t>
      </w:r>
      <w:r w:rsidR="00530550">
        <w:rPr>
          <w:rFonts w:eastAsia="Calibri"/>
        </w:rPr>
        <w:t xml:space="preserve"> </w:t>
      </w:r>
      <w:r w:rsidR="00BF1D35">
        <w:rPr>
          <w:rFonts w:eastAsia="Calibri"/>
        </w:rPr>
        <w:t>at a later date</w:t>
      </w:r>
      <w:r w:rsidR="00C35B5F">
        <w:rPr>
          <w:rFonts w:eastAsia="Calibri"/>
        </w:rPr>
        <w:t xml:space="preserve"> </w:t>
      </w:r>
      <w:r w:rsidRPr="00517857">
        <w:rPr>
          <w:rFonts w:eastAsia="Calibri"/>
        </w:rPr>
        <w:t>and maintain only the modernized version of CORES for FRN registration</w:t>
      </w:r>
      <w:r w:rsidR="00C35B5F">
        <w:rPr>
          <w:rFonts w:eastAsia="Calibri"/>
        </w:rPr>
        <w:t>.  The new CORES</w:t>
      </w:r>
      <w:r w:rsidRPr="00517857">
        <w:rPr>
          <w:rFonts w:eastAsia="Calibri"/>
        </w:rPr>
        <w:t xml:space="preserve"> is </w:t>
      </w:r>
      <w:r w:rsidR="00C35B5F">
        <w:rPr>
          <w:rFonts w:eastAsia="Calibri"/>
        </w:rPr>
        <w:t xml:space="preserve">a </w:t>
      </w:r>
      <w:r w:rsidRPr="00517857">
        <w:rPr>
          <w:rFonts w:eastAsia="Calibri"/>
        </w:rPr>
        <w:t xml:space="preserve">more efficient and secure </w:t>
      </w:r>
      <w:r w:rsidR="00E51BE6">
        <w:rPr>
          <w:rFonts w:eastAsia="Calibri"/>
        </w:rPr>
        <w:t xml:space="preserve">system </w:t>
      </w:r>
      <w:r w:rsidRPr="00517857">
        <w:rPr>
          <w:rFonts w:eastAsia="Calibri"/>
        </w:rPr>
        <w:t>for managing the Commission’s financial and management matters.</w:t>
      </w:r>
      <w:r>
        <w:rPr>
          <w:rStyle w:val="FootnoteReference"/>
          <w:rFonts w:eastAsia="Calibri"/>
        </w:rPr>
        <w:footnoteReference w:id="18"/>
      </w:r>
      <w:r w:rsidRPr="00517857">
        <w:rPr>
          <w:rFonts w:eastAsia="Calibri"/>
        </w:rPr>
        <w:t xml:space="preserve">  The change will also be </w:t>
      </w:r>
      <w:r w:rsidRPr="00517857" w:rsidR="00D27F6D">
        <w:rPr>
          <w:rFonts w:eastAsia="Calibri"/>
        </w:rPr>
        <w:t xml:space="preserve">more </w:t>
      </w:r>
      <w:r w:rsidRPr="00517857">
        <w:rPr>
          <w:rFonts w:eastAsia="Calibri"/>
        </w:rPr>
        <w:t xml:space="preserve">user-friendly and streamlined for CORES registrants that </w:t>
      </w:r>
      <w:r w:rsidRPr="00517857" w:rsidR="00334061">
        <w:rPr>
          <w:rFonts w:eastAsia="Calibri"/>
        </w:rPr>
        <w:t xml:space="preserve">currently </w:t>
      </w:r>
      <w:r w:rsidR="007D1DE8">
        <w:rPr>
          <w:rFonts w:eastAsia="Calibri"/>
        </w:rPr>
        <w:t>must</w:t>
      </w:r>
      <w:r w:rsidR="00637B79">
        <w:rPr>
          <w:rFonts w:eastAsia="Calibri"/>
        </w:rPr>
        <w:t xml:space="preserve"> decide</w:t>
      </w:r>
      <w:r w:rsidRPr="00517857" w:rsidR="00C0601C">
        <w:rPr>
          <w:rFonts w:eastAsia="Calibri"/>
        </w:rPr>
        <w:t xml:space="preserve"> </w:t>
      </w:r>
      <w:r w:rsidRPr="00517857" w:rsidR="003E663C">
        <w:rPr>
          <w:rFonts w:eastAsia="Calibri"/>
        </w:rPr>
        <w:t xml:space="preserve">between </w:t>
      </w:r>
      <w:r w:rsidRPr="00517857">
        <w:rPr>
          <w:rFonts w:eastAsia="Calibri"/>
        </w:rPr>
        <w:t xml:space="preserve">two versions of CORES.  </w:t>
      </w:r>
      <w:r w:rsidR="00275CAA">
        <w:rPr>
          <w:rFonts w:eastAsia="Calibri"/>
        </w:rPr>
        <w:t xml:space="preserve">  </w:t>
      </w:r>
    </w:p>
    <w:p w:rsidR="00F51570" w:rsidP="00336ED3" w14:paraId="74C1B6A7" w14:textId="62211333">
      <w:pPr>
        <w:pStyle w:val="ParaNum"/>
        <w:rPr>
          <w:rFonts w:eastAsia="Calibri"/>
        </w:rPr>
      </w:pPr>
      <w:r w:rsidRPr="005E089C">
        <w:rPr>
          <w:rFonts w:eastAsia="Calibri"/>
        </w:rPr>
        <w:t>The Commission</w:t>
      </w:r>
      <w:r w:rsidRPr="005E089C" w:rsidR="00FA197F">
        <w:rPr>
          <w:rFonts w:eastAsia="Calibri"/>
        </w:rPr>
        <w:t xml:space="preserve"> received</w:t>
      </w:r>
      <w:r w:rsidRPr="005E089C">
        <w:rPr>
          <w:rFonts w:eastAsia="Calibri"/>
        </w:rPr>
        <w:t xml:space="preserve"> </w:t>
      </w:r>
      <w:r w:rsidR="00C8443F">
        <w:rPr>
          <w:rFonts w:eastAsia="Calibri"/>
        </w:rPr>
        <w:t xml:space="preserve">several </w:t>
      </w:r>
      <w:r w:rsidRPr="005E089C" w:rsidR="00FA197F">
        <w:rPr>
          <w:rFonts w:eastAsia="Calibri"/>
        </w:rPr>
        <w:t>comments on th</w:t>
      </w:r>
      <w:r w:rsidRPr="005E089C">
        <w:rPr>
          <w:rFonts w:eastAsia="Calibri"/>
        </w:rPr>
        <w:t>e</w:t>
      </w:r>
      <w:r w:rsidRPr="005E089C" w:rsidR="00FA197F">
        <w:rPr>
          <w:rFonts w:eastAsia="Calibri"/>
        </w:rPr>
        <w:t xml:space="preserve"> proposal</w:t>
      </w:r>
      <w:r w:rsidRPr="005E089C">
        <w:rPr>
          <w:rFonts w:eastAsia="Calibri"/>
        </w:rPr>
        <w:t xml:space="preserve"> to require e-mail addresses</w:t>
      </w:r>
      <w:r w:rsidR="004374BD">
        <w:rPr>
          <w:rFonts w:eastAsia="Calibri"/>
        </w:rPr>
        <w:t xml:space="preserve"> as part of CORES registration</w:t>
      </w:r>
      <w:r w:rsidRPr="005E089C" w:rsidR="00FA197F">
        <w:rPr>
          <w:rFonts w:eastAsia="Calibri"/>
        </w:rPr>
        <w:t>.  Sprint</w:t>
      </w:r>
      <w:r w:rsidR="00C8443F">
        <w:rPr>
          <w:rFonts w:eastAsia="Calibri"/>
        </w:rPr>
        <w:t>,</w:t>
      </w:r>
      <w:r w:rsidRPr="005E089C" w:rsidR="00FA197F">
        <w:rPr>
          <w:rFonts w:eastAsia="Calibri"/>
        </w:rPr>
        <w:t xml:space="preserve"> AT&amp;T</w:t>
      </w:r>
      <w:r w:rsidR="007E4EBB">
        <w:rPr>
          <w:rFonts w:eastAsia="Calibri"/>
        </w:rPr>
        <w:t>, and Frontier</w:t>
      </w:r>
      <w:r w:rsidRPr="005E089C" w:rsidR="00FA197F">
        <w:rPr>
          <w:rFonts w:eastAsia="Calibri"/>
        </w:rPr>
        <w:t xml:space="preserve"> support</w:t>
      </w:r>
      <w:r w:rsidR="007E4EBB">
        <w:rPr>
          <w:rFonts w:eastAsia="Calibri"/>
        </w:rPr>
        <w:t xml:space="preserve">ed the Commission’s proposal to collect </w:t>
      </w:r>
      <w:r w:rsidRPr="005E089C" w:rsidR="00FA197F">
        <w:rPr>
          <w:rFonts w:eastAsia="Calibri"/>
        </w:rPr>
        <w:t xml:space="preserve">e-mail addresses for FRN holders and </w:t>
      </w:r>
      <w:r w:rsidR="00505483">
        <w:rPr>
          <w:rFonts w:eastAsia="Calibri"/>
        </w:rPr>
        <w:t xml:space="preserve">also </w:t>
      </w:r>
      <w:r w:rsidR="002742AD">
        <w:rPr>
          <w:rFonts w:eastAsia="Calibri"/>
        </w:rPr>
        <w:t>support</w:t>
      </w:r>
      <w:r w:rsidR="00530550">
        <w:rPr>
          <w:rFonts w:eastAsia="Calibri"/>
        </w:rPr>
        <w:t>ed</w:t>
      </w:r>
      <w:r w:rsidR="002742AD">
        <w:rPr>
          <w:rFonts w:eastAsia="Calibri"/>
        </w:rPr>
        <w:t xml:space="preserve"> the Commission </w:t>
      </w:r>
      <w:r w:rsidR="009060EE">
        <w:rPr>
          <w:rFonts w:eastAsia="Calibri"/>
        </w:rPr>
        <w:t>us</w:t>
      </w:r>
      <w:r w:rsidR="002742AD">
        <w:rPr>
          <w:rFonts w:eastAsia="Calibri"/>
        </w:rPr>
        <w:t>ing</w:t>
      </w:r>
      <w:r w:rsidR="00302038">
        <w:rPr>
          <w:rFonts w:eastAsia="Calibri"/>
        </w:rPr>
        <w:t xml:space="preserve"> e-mail addres</w:t>
      </w:r>
      <w:r w:rsidR="009060EE">
        <w:rPr>
          <w:rFonts w:eastAsia="Calibri"/>
        </w:rPr>
        <w:t xml:space="preserve">s information to </w:t>
      </w:r>
      <w:r w:rsidR="0021096A">
        <w:rPr>
          <w:rFonts w:eastAsia="Calibri"/>
        </w:rPr>
        <w:t>communicate with FRN holders</w:t>
      </w:r>
      <w:r w:rsidRPr="005E089C" w:rsidR="00FA197F">
        <w:rPr>
          <w:rFonts w:eastAsia="Calibri"/>
        </w:rPr>
        <w:t>.</w:t>
      </w:r>
      <w:r>
        <w:rPr>
          <w:rStyle w:val="FootnoteReference"/>
          <w:rFonts w:eastAsia="Calibri"/>
        </w:rPr>
        <w:footnoteReference w:id="19"/>
      </w:r>
      <w:r w:rsidRPr="005E089C" w:rsidR="00FA197F">
        <w:rPr>
          <w:rFonts w:eastAsia="Calibri"/>
        </w:rPr>
        <w:t xml:space="preserve"> </w:t>
      </w:r>
      <w:r w:rsidRPr="005E089C">
        <w:rPr>
          <w:rFonts w:eastAsia="Calibri"/>
        </w:rPr>
        <w:t xml:space="preserve"> </w:t>
      </w:r>
      <w:r w:rsidRPr="005E089C" w:rsidR="00FA197F">
        <w:rPr>
          <w:rFonts w:eastAsia="Calibri"/>
        </w:rPr>
        <w:t>Sprint</w:t>
      </w:r>
      <w:r w:rsidR="00890F50">
        <w:rPr>
          <w:rFonts w:eastAsia="Calibri"/>
        </w:rPr>
        <w:t>, for example,</w:t>
      </w:r>
      <w:r w:rsidRPr="005E089C" w:rsidR="00FA197F">
        <w:rPr>
          <w:rFonts w:eastAsia="Calibri"/>
        </w:rPr>
        <w:t xml:space="preserve"> maintain</w:t>
      </w:r>
      <w:r w:rsidR="00D42553">
        <w:rPr>
          <w:rFonts w:eastAsia="Calibri"/>
        </w:rPr>
        <w:t>ed</w:t>
      </w:r>
      <w:r w:rsidRPr="005E089C" w:rsidR="00FA197F">
        <w:rPr>
          <w:rFonts w:eastAsia="Calibri"/>
        </w:rPr>
        <w:t xml:space="preserve"> that such a mandate “will help avoid misrouted inquiries and delayed responses between entities and the Commission</w:t>
      </w:r>
      <w:r w:rsidR="00584B11">
        <w:rPr>
          <w:rFonts w:eastAsia="Calibri"/>
        </w:rPr>
        <w:t>.</w:t>
      </w:r>
      <w:r w:rsidRPr="005E089C" w:rsidR="00FA197F">
        <w:rPr>
          <w:rFonts w:eastAsia="Calibri"/>
        </w:rPr>
        <w:t>”</w:t>
      </w:r>
      <w:r>
        <w:rPr>
          <w:rStyle w:val="FootnoteReference"/>
          <w:rFonts w:eastAsia="Calibri"/>
        </w:rPr>
        <w:footnoteReference w:id="20"/>
      </w:r>
      <w:r w:rsidRPr="005E089C" w:rsidR="00FA197F">
        <w:rPr>
          <w:rFonts w:eastAsia="Calibri"/>
        </w:rPr>
        <w:t xml:space="preserve">  </w:t>
      </w:r>
      <w:bookmarkStart w:id="33" w:name="_Hlk8986297"/>
      <w:r w:rsidR="00C8267D">
        <w:rPr>
          <w:rFonts w:eastAsia="Calibri"/>
        </w:rPr>
        <w:t xml:space="preserve">The National Association for </w:t>
      </w:r>
      <w:r w:rsidR="00C079C5">
        <w:rPr>
          <w:rFonts w:eastAsia="Calibri"/>
        </w:rPr>
        <w:t>Amateur Radio (</w:t>
      </w:r>
      <w:r w:rsidR="00077A5F">
        <w:rPr>
          <w:rFonts w:eastAsia="Calibri"/>
        </w:rPr>
        <w:t>ARRL</w:t>
      </w:r>
      <w:r w:rsidR="00C079C5">
        <w:rPr>
          <w:rFonts w:eastAsia="Calibri"/>
        </w:rPr>
        <w:t xml:space="preserve">) </w:t>
      </w:r>
      <w:r w:rsidR="00BC33E3">
        <w:rPr>
          <w:rFonts w:eastAsia="Calibri"/>
        </w:rPr>
        <w:t xml:space="preserve">and </w:t>
      </w:r>
      <w:r w:rsidRPr="005E089C" w:rsidR="00FA197F">
        <w:rPr>
          <w:rFonts w:eastAsia="Calibri"/>
        </w:rPr>
        <w:t>Blooston</w:t>
      </w:r>
      <w:r w:rsidRPr="005E089C" w:rsidR="00FA197F">
        <w:rPr>
          <w:rFonts w:eastAsia="Calibri"/>
        </w:rPr>
        <w:t xml:space="preserve"> Law</w:t>
      </w:r>
      <w:bookmarkEnd w:id="33"/>
      <w:r w:rsidR="00BC33E3">
        <w:rPr>
          <w:rFonts w:eastAsia="Calibri"/>
        </w:rPr>
        <w:t>, however, argued for</w:t>
      </w:r>
      <w:r w:rsidR="00051FC8">
        <w:rPr>
          <w:rFonts w:eastAsia="Calibri"/>
        </w:rPr>
        <w:t xml:space="preserve"> </w:t>
      </w:r>
      <w:r w:rsidR="00BC33E3">
        <w:rPr>
          <w:rFonts w:eastAsia="Calibri"/>
        </w:rPr>
        <w:t>e-mail address</w:t>
      </w:r>
      <w:r w:rsidR="00051FC8">
        <w:rPr>
          <w:rFonts w:eastAsia="Calibri"/>
        </w:rPr>
        <w:t xml:space="preserve"> </w:t>
      </w:r>
      <w:r w:rsidR="00195561">
        <w:rPr>
          <w:rFonts w:eastAsia="Calibri"/>
        </w:rPr>
        <w:t>information</w:t>
      </w:r>
      <w:r w:rsidR="00BC33E3">
        <w:rPr>
          <w:rFonts w:eastAsia="Calibri"/>
        </w:rPr>
        <w:t xml:space="preserve"> to remain optional</w:t>
      </w:r>
      <w:r w:rsidR="00195561">
        <w:rPr>
          <w:rFonts w:eastAsia="Calibri"/>
        </w:rPr>
        <w:t>.</w:t>
      </w:r>
      <w:r>
        <w:rPr>
          <w:rStyle w:val="FootnoteReference"/>
          <w:rFonts w:eastAsia="Calibri"/>
        </w:rPr>
        <w:footnoteReference w:id="21"/>
      </w:r>
      <w:r w:rsidRPr="005E089C" w:rsidR="00FA197F">
        <w:rPr>
          <w:rFonts w:eastAsia="Calibri"/>
        </w:rPr>
        <w:t xml:space="preserve"> </w:t>
      </w:r>
      <w:r w:rsidR="00D42553">
        <w:rPr>
          <w:rFonts w:eastAsia="Calibri"/>
        </w:rPr>
        <w:t xml:space="preserve"> </w:t>
      </w:r>
      <w:r w:rsidR="00077A5F">
        <w:rPr>
          <w:rFonts w:eastAsia="Calibri"/>
        </w:rPr>
        <w:t>ARRL</w:t>
      </w:r>
      <w:r w:rsidR="00C432DC">
        <w:rPr>
          <w:rFonts w:eastAsia="Calibri"/>
        </w:rPr>
        <w:t xml:space="preserve"> </w:t>
      </w:r>
      <w:r w:rsidR="00583D5B">
        <w:rPr>
          <w:rFonts w:eastAsia="Calibri"/>
        </w:rPr>
        <w:t>assert</w:t>
      </w:r>
      <w:r w:rsidR="00DF4F9C">
        <w:rPr>
          <w:rFonts w:eastAsia="Calibri"/>
        </w:rPr>
        <w:t>ed</w:t>
      </w:r>
      <w:r w:rsidR="00583D5B">
        <w:rPr>
          <w:rFonts w:eastAsia="Calibri"/>
        </w:rPr>
        <w:t xml:space="preserve"> that </w:t>
      </w:r>
      <w:r w:rsidR="000840AF">
        <w:rPr>
          <w:rFonts w:eastAsia="Calibri"/>
        </w:rPr>
        <w:t xml:space="preserve">certain individuals </w:t>
      </w:r>
      <w:r w:rsidR="00A53E95">
        <w:rPr>
          <w:rFonts w:eastAsia="Calibri"/>
        </w:rPr>
        <w:t>do not have and cannot obtain e-mail addresses</w:t>
      </w:r>
      <w:r w:rsidR="00E2278B">
        <w:rPr>
          <w:rFonts w:eastAsia="Calibri"/>
        </w:rPr>
        <w:t>,</w:t>
      </w:r>
      <w:r w:rsidR="00A53E95">
        <w:rPr>
          <w:rFonts w:eastAsia="Calibri"/>
        </w:rPr>
        <w:t xml:space="preserve"> such as those that are economically disadvantage</w:t>
      </w:r>
      <w:r w:rsidR="00071985">
        <w:rPr>
          <w:rFonts w:eastAsia="Calibri"/>
        </w:rPr>
        <w:t>d</w:t>
      </w:r>
      <w:r w:rsidR="007836FE">
        <w:rPr>
          <w:rFonts w:eastAsia="Calibri"/>
        </w:rPr>
        <w:t xml:space="preserve">, those that </w:t>
      </w:r>
      <w:r w:rsidR="00071985">
        <w:rPr>
          <w:rFonts w:eastAsia="Calibri"/>
        </w:rPr>
        <w:t xml:space="preserve">live </w:t>
      </w:r>
      <w:r w:rsidR="007836FE">
        <w:rPr>
          <w:rFonts w:eastAsia="Calibri"/>
        </w:rPr>
        <w:t xml:space="preserve">in very rural areas, </w:t>
      </w:r>
      <w:r w:rsidR="005976FA">
        <w:rPr>
          <w:rFonts w:eastAsia="Calibri"/>
        </w:rPr>
        <w:t>and children.</w:t>
      </w:r>
      <w:r>
        <w:rPr>
          <w:rStyle w:val="FootnoteReference"/>
          <w:rFonts w:eastAsia="Calibri"/>
        </w:rPr>
        <w:footnoteReference w:id="22"/>
      </w:r>
      <w:r w:rsidR="005976FA">
        <w:rPr>
          <w:rFonts w:eastAsia="Calibri"/>
        </w:rPr>
        <w:t xml:space="preserve">  </w:t>
      </w:r>
      <w:r w:rsidR="00295DE6">
        <w:rPr>
          <w:rFonts w:eastAsia="Calibri"/>
        </w:rPr>
        <w:t>Blooston</w:t>
      </w:r>
      <w:r w:rsidR="00295DE6">
        <w:rPr>
          <w:rFonts w:eastAsia="Calibri"/>
        </w:rPr>
        <w:t xml:space="preserve"> Law highlights that </w:t>
      </w:r>
      <w:r w:rsidRPr="00BC33E3" w:rsidR="00BC33E3">
        <w:rPr>
          <w:rFonts w:eastAsia="Calibri"/>
        </w:rPr>
        <w:t xml:space="preserve">Internet access is less available and can be absent in very remote </w:t>
      </w:r>
      <w:r w:rsidRPr="00BC33E3" w:rsidR="00BC33E3">
        <w:rPr>
          <w:rFonts w:eastAsia="Calibri"/>
        </w:rPr>
        <w:t>areas</w:t>
      </w:r>
      <w:r w:rsidR="008F5884">
        <w:rPr>
          <w:rFonts w:eastAsia="Calibri"/>
        </w:rPr>
        <w:t>.</w:t>
      </w:r>
      <w:r>
        <w:rPr>
          <w:rStyle w:val="FootnoteReference"/>
          <w:rFonts w:eastAsia="Calibri"/>
        </w:rPr>
        <w:footnoteReference w:id="23"/>
      </w:r>
      <w:r w:rsidRPr="00BC33E3" w:rsidR="00BC33E3">
        <w:rPr>
          <w:rFonts w:eastAsia="Calibri"/>
        </w:rPr>
        <w:t xml:space="preserve"> </w:t>
      </w:r>
      <w:r w:rsidR="000E4E8B">
        <w:rPr>
          <w:rFonts w:eastAsia="Calibri"/>
        </w:rPr>
        <w:t xml:space="preserve"> </w:t>
      </w:r>
      <w:r w:rsidR="006158B1">
        <w:rPr>
          <w:rFonts w:eastAsia="Calibri"/>
        </w:rPr>
        <w:t xml:space="preserve">It </w:t>
      </w:r>
      <w:r w:rsidR="00D42553">
        <w:rPr>
          <w:rFonts w:eastAsia="Calibri"/>
        </w:rPr>
        <w:t>also s</w:t>
      </w:r>
      <w:r w:rsidR="00376121">
        <w:rPr>
          <w:rFonts w:eastAsia="Calibri"/>
        </w:rPr>
        <w:t>uggested</w:t>
      </w:r>
      <w:r w:rsidR="00D42553">
        <w:rPr>
          <w:rFonts w:eastAsia="Calibri"/>
        </w:rPr>
        <w:t xml:space="preserve"> that </w:t>
      </w:r>
      <w:r w:rsidR="00287E29">
        <w:rPr>
          <w:rFonts w:eastAsia="Calibri"/>
        </w:rPr>
        <w:t xml:space="preserve">some FRN </w:t>
      </w:r>
      <w:r w:rsidR="00AD169A">
        <w:rPr>
          <w:rFonts w:eastAsia="Calibri"/>
        </w:rPr>
        <w:t>users</w:t>
      </w:r>
      <w:r w:rsidRPr="005E089C" w:rsidR="00FA197F">
        <w:rPr>
          <w:rFonts w:eastAsia="Calibri"/>
        </w:rPr>
        <w:t xml:space="preserve"> do not subscribe to an </w:t>
      </w:r>
      <w:r w:rsidR="00C85478">
        <w:rPr>
          <w:rFonts w:eastAsia="Calibri"/>
        </w:rPr>
        <w:t>I</w:t>
      </w:r>
      <w:r w:rsidRPr="005E089C" w:rsidR="00FA197F">
        <w:rPr>
          <w:rFonts w:eastAsia="Calibri"/>
        </w:rPr>
        <w:t>nternet service due to cost</w:t>
      </w:r>
      <w:r w:rsidR="007E4F6B">
        <w:rPr>
          <w:rFonts w:eastAsia="Calibri"/>
        </w:rPr>
        <w:t xml:space="preserve"> and </w:t>
      </w:r>
      <w:r w:rsidR="00D42553">
        <w:rPr>
          <w:rFonts w:eastAsia="Calibri"/>
        </w:rPr>
        <w:t xml:space="preserve">asserted </w:t>
      </w:r>
      <w:r w:rsidRPr="005E089C" w:rsidR="00FA197F">
        <w:rPr>
          <w:rFonts w:eastAsia="Calibri"/>
        </w:rPr>
        <w:t>that the best methods for communication remain telephone and U</w:t>
      </w:r>
      <w:r w:rsidR="002D4AA8">
        <w:rPr>
          <w:rFonts w:eastAsia="Calibri"/>
        </w:rPr>
        <w:t>.</w:t>
      </w:r>
      <w:r w:rsidRPr="005E089C" w:rsidR="00FA197F">
        <w:rPr>
          <w:rFonts w:eastAsia="Calibri"/>
        </w:rPr>
        <w:t>S</w:t>
      </w:r>
      <w:r w:rsidR="002D4AA8">
        <w:rPr>
          <w:rFonts w:eastAsia="Calibri"/>
        </w:rPr>
        <w:t>.</w:t>
      </w:r>
      <w:r w:rsidRPr="005E089C" w:rsidR="00FA197F">
        <w:rPr>
          <w:rFonts w:eastAsia="Calibri"/>
        </w:rPr>
        <w:t xml:space="preserve"> Mail</w:t>
      </w:r>
      <w:r w:rsidR="007E4F6B">
        <w:rPr>
          <w:rFonts w:eastAsia="Calibri"/>
        </w:rPr>
        <w:t>,</w:t>
      </w:r>
      <w:r w:rsidRPr="005E089C" w:rsidR="00FA197F">
        <w:rPr>
          <w:rFonts w:eastAsia="Calibri"/>
        </w:rPr>
        <w:t xml:space="preserve"> so that in the event of an absence, another contact representative is able to </w:t>
      </w:r>
      <w:r w:rsidR="001A4320">
        <w:rPr>
          <w:rFonts w:eastAsia="Calibri"/>
        </w:rPr>
        <w:t>address</w:t>
      </w:r>
      <w:r w:rsidRPr="005E089C" w:rsidR="00FA197F">
        <w:rPr>
          <w:rFonts w:eastAsia="Calibri"/>
        </w:rPr>
        <w:t xml:space="preserve"> the matter.</w:t>
      </w:r>
      <w:r>
        <w:rPr>
          <w:rStyle w:val="FootnoteReference"/>
          <w:rFonts w:eastAsia="Calibri"/>
        </w:rPr>
        <w:footnoteReference w:id="24"/>
      </w:r>
      <w:r w:rsidRPr="005E089C" w:rsidR="00FA197F">
        <w:rPr>
          <w:rFonts w:eastAsia="Calibri"/>
        </w:rPr>
        <w:t xml:space="preserve">  </w:t>
      </w:r>
    </w:p>
    <w:p w:rsidR="00220CDE" w:rsidP="00336ED3" w14:paraId="560F7207" w14:textId="2950091D">
      <w:pPr>
        <w:pStyle w:val="ParaNum"/>
        <w:rPr>
          <w:rFonts w:eastAsia="Calibri"/>
        </w:rPr>
      </w:pPr>
      <w:r w:rsidRPr="005E089C">
        <w:rPr>
          <w:rFonts w:eastAsia="Calibri"/>
        </w:rPr>
        <w:t xml:space="preserve">Although some </w:t>
      </w:r>
      <w:r w:rsidRPr="005E089C" w:rsidR="005E089C">
        <w:rPr>
          <w:rFonts w:eastAsia="Calibri"/>
        </w:rPr>
        <w:t xml:space="preserve">individuals may lack resources or connectivity for </w:t>
      </w:r>
      <w:r w:rsidR="00D42553">
        <w:rPr>
          <w:rFonts w:eastAsia="Calibri"/>
        </w:rPr>
        <w:t xml:space="preserve">a personal or home </w:t>
      </w:r>
      <w:r w:rsidRPr="005E089C" w:rsidR="005E089C">
        <w:rPr>
          <w:rFonts w:eastAsia="Calibri"/>
        </w:rPr>
        <w:t xml:space="preserve">Internet service, </w:t>
      </w:r>
      <w:r w:rsidR="00E05BC8">
        <w:rPr>
          <w:rFonts w:eastAsia="Calibri"/>
        </w:rPr>
        <w:t>as compared to</w:t>
      </w:r>
      <w:r w:rsidRPr="00E05BC8" w:rsidR="00E05BC8">
        <w:t xml:space="preserve"> </w:t>
      </w:r>
      <w:r w:rsidR="00E05BC8">
        <w:rPr>
          <w:rFonts w:eastAsia="Calibri"/>
        </w:rPr>
        <w:t xml:space="preserve">what was present </w:t>
      </w:r>
      <w:r w:rsidRPr="00E05BC8" w:rsidR="00E05BC8">
        <w:rPr>
          <w:rFonts w:eastAsia="Calibri"/>
        </w:rPr>
        <w:t xml:space="preserve">at the time of the comment window for the </w:t>
      </w:r>
      <w:r w:rsidRPr="00F1269E" w:rsidR="00E05BC8">
        <w:rPr>
          <w:rFonts w:eastAsia="Calibri"/>
          <w:i/>
          <w:iCs/>
        </w:rPr>
        <w:t>2010 NPRM</w:t>
      </w:r>
      <w:r w:rsidR="00E05BC8">
        <w:rPr>
          <w:rFonts w:eastAsia="Calibri"/>
        </w:rPr>
        <w:t xml:space="preserve">, </w:t>
      </w:r>
      <w:r w:rsidRPr="005E089C" w:rsidR="005E089C">
        <w:rPr>
          <w:rFonts w:eastAsia="Calibri"/>
        </w:rPr>
        <w:t>there is</w:t>
      </w:r>
      <w:r w:rsidR="00E05BC8">
        <w:rPr>
          <w:rFonts w:eastAsia="Calibri"/>
        </w:rPr>
        <w:t xml:space="preserve"> wide</w:t>
      </w:r>
      <w:r w:rsidRPr="005E089C" w:rsidR="005E089C">
        <w:rPr>
          <w:rFonts w:eastAsia="Calibri"/>
        </w:rPr>
        <w:t xml:space="preserve"> availability of </w:t>
      </w:r>
      <w:r w:rsidR="00121556">
        <w:rPr>
          <w:rFonts w:eastAsia="Calibri"/>
        </w:rPr>
        <w:t xml:space="preserve">free </w:t>
      </w:r>
      <w:r w:rsidR="00287E29">
        <w:rPr>
          <w:rFonts w:eastAsia="Calibri"/>
        </w:rPr>
        <w:t>or low</w:t>
      </w:r>
      <w:r w:rsidR="00F728C4">
        <w:rPr>
          <w:rFonts w:eastAsia="Calibri"/>
        </w:rPr>
        <w:t xml:space="preserve"> </w:t>
      </w:r>
      <w:r w:rsidR="00287E29">
        <w:rPr>
          <w:rFonts w:eastAsia="Calibri"/>
        </w:rPr>
        <w:t xml:space="preserve">cost </w:t>
      </w:r>
      <w:r w:rsidRPr="005E089C" w:rsidR="005E089C">
        <w:rPr>
          <w:rFonts w:eastAsia="Calibri"/>
        </w:rPr>
        <w:t>public Internet access toda</w:t>
      </w:r>
      <w:r w:rsidR="00E05BC8">
        <w:rPr>
          <w:rFonts w:eastAsia="Calibri"/>
        </w:rPr>
        <w:t>y</w:t>
      </w:r>
      <w:r w:rsidRPr="005E089C" w:rsidR="005E089C">
        <w:rPr>
          <w:rFonts w:eastAsia="Calibri"/>
        </w:rPr>
        <w:t>.  For example, users may access the Internet for free in public libraries</w:t>
      </w:r>
      <w:r w:rsidR="00130B47">
        <w:rPr>
          <w:rFonts w:eastAsia="Calibri"/>
        </w:rPr>
        <w:t>,</w:t>
      </w:r>
      <w:r w:rsidRPr="005E089C" w:rsidR="005E089C">
        <w:rPr>
          <w:rFonts w:eastAsia="Calibri"/>
        </w:rPr>
        <w:t xml:space="preserve"> and </w:t>
      </w:r>
      <w:r w:rsidR="00B116C9">
        <w:rPr>
          <w:rFonts w:eastAsia="Calibri"/>
        </w:rPr>
        <w:t xml:space="preserve">also in </w:t>
      </w:r>
      <w:r w:rsidRPr="005E089C" w:rsidR="005E089C">
        <w:rPr>
          <w:rFonts w:eastAsia="Calibri"/>
        </w:rPr>
        <w:t>schools that offer Internet connectivity for after-hours community use.</w:t>
      </w:r>
      <w:r>
        <w:rPr>
          <w:rStyle w:val="FootnoteReference"/>
          <w:rFonts w:eastAsia="Calibri"/>
        </w:rPr>
        <w:footnoteReference w:id="25"/>
      </w:r>
      <w:r w:rsidR="005E089C">
        <w:rPr>
          <w:rFonts w:eastAsia="Calibri"/>
        </w:rPr>
        <w:t xml:space="preserve">  </w:t>
      </w:r>
      <w:r w:rsidR="009039ED">
        <w:rPr>
          <w:rFonts w:eastAsia="Calibri"/>
        </w:rPr>
        <w:t>Also, other Commission proceedings</w:t>
      </w:r>
      <w:r w:rsidRPr="009039ED" w:rsidR="009039ED">
        <w:rPr>
          <w:rFonts w:eastAsia="Calibri"/>
        </w:rPr>
        <w:t xml:space="preserve"> </w:t>
      </w:r>
      <w:r w:rsidR="009039ED">
        <w:rPr>
          <w:rFonts w:eastAsia="Calibri"/>
        </w:rPr>
        <w:t>have demonstrated that there is a vast majority of entities that already communicate with the Commission electronically.</w:t>
      </w:r>
      <w:r>
        <w:rPr>
          <w:rStyle w:val="FootnoteReference"/>
          <w:rFonts w:eastAsia="Calibri"/>
        </w:rPr>
        <w:footnoteReference w:id="26"/>
      </w:r>
      <w:r w:rsidR="009039ED">
        <w:rPr>
          <w:rFonts w:eastAsia="Calibri"/>
        </w:rPr>
        <w:t xml:space="preserve">  If there are </w:t>
      </w:r>
      <w:r w:rsidR="00AF68F6">
        <w:rPr>
          <w:rFonts w:eastAsia="Calibri"/>
        </w:rPr>
        <w:t>e</w:t>
      </w:r>
      <w:r w:rsidRPr="002E7196" w:rsidR="002E7196">
        <w:rPr>
          <w:rFonts w:eastAsia="Calibri"/>
        </w:rPr>
        <w:t>ntities and individuals that seek to do business with the Commission</w:t>
      </w:r>
      <w:r w:rsidR="009039ED">
        <w:rPr>
          <w:rFonts w:eastAsia="Calibri"/>
        </w:rPr>
        <w:t xml:space="preserve"> that </w:t>
      </w:r>
      <w:r w:rsidRPr="002E7196" w:rsidR="002E7196">
        <w:rPr>
          <w:rFonts w:eastAsia="Calibri"/>
        </w:rPr>
        <w:t xml:space="preserve">lack access to Internet service, </w:t>
      </w:r>
      <w:r w:rsidR="009039ED">
        <w:rPr>
          <w:rFonts w:eastAsia="Calibri"/>
        </w:rPr>
        <w:t xml:space="preserve">they </w:t>
      </w:r>
      <w:r w:rsidRPr="002E7196" w:rsidR="002E7196">
        <w:rPr>
          <w:rFonts w:eastAsia="Calibri"/>
        </w:rPr>
        <w:t>may need to use a proxy to register for an FRN with a valid e-mail address</w:t>
      </w:r>
      <w:r w:rsidR="00F8739B">
        <w:rPr>
          <w:rFonts w:eastAsia="Calibri"/>
        </w:rPr>
        <w:t>, such as children seeking amateur radio licenses who rely on a parent or guardian to assist with the licensing process</w:t>
      </w:r>
      <w:r w:rsidR="00AF4EE3">
        <w:rPr>
          <w:rFonts w:eastAsia="Calibri"/>
        </w:rPr>
        <w:t xml:space="preserve">.  </w:t>
      </w:r>
      <w:bookmarkStart w:id="34" w:name="_Hlk9523429"/>
      <w:r w:rsidR="000D7BAF">
        <w:rPr>
          <w:rFonts w:eastAsia="Calibri"/>
        </w:rPr>
        <w:t>R</w:t>
      </w:r>
      <w:r w:rsidRPr="002E7196" w:rsidR="002E7196">
        <w:rPr>
          <w:rFonts w:eastAsia="Calibri"/>
        </w:rPr>
        <w:t xml:space="preserve">egistrants </w:t>
      </w:r>
      <w:r w:rsidR="000D7BAF">
        <w:rPr>
          <w:rFonts w:eastAsia="Calibri"/>
        </w:rPr>
        <w:t xml:space="preserve">are also </w:t>
      </w:r>
      <w:r w:rsidRPr="002E7196" w:rsidR="002E7196">
        <w:rPr>
          <w:rFonts w:eastAsia="Calibri"/>
        </w:rPr>
        <w:t>able t</w:t>
      </w:r>
      <w:r w:rsidR="000D7BAF">
        <w:rPr>
          <w:rFonts w:eastAsia="Calibri"/>
        </w:rPr>
        <w:t>o use online support services or call a help desk t</w:t>
      </w:r>
      <w:r w:rsidRPr="002E7196" w:rsidR="002E7196">
        <w:rPr>
          <w:rFonts w:eastAsia="Calibri"/>
        </w:rPr>
        <w:t>o ask questions and receive help with their registrations</w:t>
      </w:r>
      <w:r w:rsidR="006554C7">
        <w:rPr>
          <w:rFonts w:eastAsia="Calibri"/>
        </w:rPr>
        <w:t>.</w:t>
      </w:r>
      <w:r>
        <w:rPr>
          <w:rStyle w:val="FootnoteReference"/>
          <w:rFonts w:eastAsia="Calibri"/>
        </w:rPr>
        <w:footnoteReference w:id="27"/>
      </w:r>
    </w:p>
    <w:bookmarkEnd w:id="34"/>
    <w:p w:rsidR="004740D4" w:rsidP="00336ED3" w14:paraId="78AE55CF" w14:textId="77777777">
      <w:pPr>
        <w:pStyle w:val="ParaNum"/>
        <w:rPr>
          <w:rFonts w:eastAsia="Calibri"/>
        </w:rPr>
      </w:pPr>
      <w:r>
        <w:rPr>
          <w:rFonts w:eastAsia="Calibri"/>
        </w:rPr>
        <w:t>T</w:t>
      </w:r>
      <w:r w:rsidR="0075352C">
        <w:rPr>
          <w:rFonts w:eastAsia="Calibri"/>
        </w:rPr>
        <w:t xml:space="preserve">he </w:t>
      </w:r>
      <w:r>
        <w:rPr>
          <w:rFonts w:eastAsia="Calibri"/>
        </w:rPr>
        <w:t xml:space="preserve">public benefit of </w:t>
      </w:r>
      <w:r w:rsidR="00354B92">
        <w:rPr>
          <w:rFonts w:eastAsia="Calibri"/>
        </w:rPr>
        <w:t>adopting</w:t>
      </w:r>
      <w:r>
        <w:rPr>
          <w:rFonts w:eastAsia="Calibri"/>
        </w:rPr>
        <w:t xml:space="preserve"> </w:t>
      </w:r>
      <w:r w:rsidR="001077C3">
        <w:rPr>
          <w:rFonts w:eastAsia="Calibri"/>
        </w:rPr>
        <w:t xml:space="preserve">this </w:t>
      </w:r>
      <w:r w:rsidR="0075352C">
        <w:rPr>
          <w:rFonts w:eastAsia="Calibri"/>
        </w:rPr>
        <w:t>rule change</w:t>
      </w:r>
      <w:r w:rsidR="00347024">
        <w:rPr>
          <w:rFonts w:eastAsia="Calibri"/>
        </w:rPr>
        <w:t>,</w:t>
      </w:r>
      <w:r w:rsidR="0075352C">
        <w:rPr>
          <w:rFonts w:eastAsia="Calibri"/>
        </w:rPr>
        <w:t xml:space="preserve"> </w:t>
      </w:r>
      <w:r>
        <w:rPr>
          <w:rFonts w:eastAsia="Calibri"/>
        </w:rPr>
        <w:t>which will</w:t>
      </w:r>
      <w:r w:rsidR="0075352C">
        <w:rPr>
          <w:rFonts w:eastAsia="Calibri"/>
        </w:rPr>
        <w:t xml:space="preserve"> enable the Commission to re</w:t>
      </w:r>
      <w:r w:rsidR="00030542">
        <w:rPr>
          <w:rFonts w:eastAsia="Calibri"/>
        </w:rPr>
        <w:t xml:space="preserve">tire legacy CORES and retain the new CORES </w:t>
      </w:r>
      <w:r>
        <w:rPr>
          <w:rFonts w:eastAsia="Calibri"/>
        </w:rPr>
        <w:t xml:space="preserve">to deliver </w:t>
      </w:r>
      <w:r w:rsidR="00771B60">
        <w:rPr>
          <w:rFonts w:eastAsia="Calibri"/>
        </w:rPr>
        <w:t xml:space="preserve">enhanced features and security, </w:t>
      </w:r>
      <w:r w:rsidR="008454A6">
        <w:rPr>
          <w:rFonts w:eastAsia="Calibri"/>
        </w:rPr>
        <w:t xml:space="preserve">outweighs the potential burdens that may be faced by a </w:t>
      </w:r>
      <w:r w:rsidR="003808A1">
        <w:rPr>
          <w:rFonts w:eastAsia="Calibri"/>
        </w:rPr>
        <w:t xml:space="preserve">small subset of users to provide e-mail address information.  </w:t>
      </w:r>
      <w:r w:rsidRPr="00354B92" w:rsidR="00354B92">
        <w:rPr>
          <w:rFonts w:eastAsia="Calibri"/>
        </w:rPr>
        <w:t xml:space="preserve">Because it helps authenticate the individuals who will be utilizing the Commission’s information systems, the new CORES </w:t>
      </w:r>
      <w:r w:rsidR="00F93163">
        <w:rPr>
          <w:rFonts w:eastAsia="Calibri"/>
        </w:rPr>
        <w:t xml:space="preserve">is a </w:t>
      </w:r>
      <w:r w:rsidR="009B4AE6">
        <w:rPr>
          <w:rFonts w:eastAsia="Calibri"/>
        </w:rPr>
        <w:t xml:space="preserve">more </w:t>
      </w:r>
      <w:r w:rsidRPr="00354B92" w:rsidR="00354B92">
        <w:rPr>
          <w:rFonts w:eastAsia="Calibri"/>
        </w:rPr>
        <w:t xml:space="preserve">secure </w:t>
      </w:r>
      <w:r w:rsidR="00FE28AC">
        <w:rPr>
          <w:rFonts w:eastAsia="Calibri"/>
        </w:rPr>
        <w:t xml:space="preserve">tool </w:t>
      </w:r>
      <w:r w:rsidR="00825103">
        <w:rPr>
          <w:rFonts w:eastAsia="Calibri"/>
        </w:rPr>
        <w:t xml:space="preserve">for </w:t>
      </w:r>
      <w:r w:rsidR="00FE2555">
        <w:rPr>
          <w:rFonts w:eastAsia="Calibri"/>
        </w:rPr>
        <w:t xml:space="preserve">the </w:t>
      </w:r>
      <w:r w:rsidR="003B2CB7">
        <w:rPr>
          <w:rFonts w:eastAsia="Calibri"/>
        </w:rPr>
        <w:t>Commission</w:t>
      </w:r>
      <w:r w:rsidR="000264D8">
        <w:rPr>
          <w:rFonts w:eastAsia="Calibri"/>
        </w:rPr>
        <w:t xml:space="preserve"> and ext</w:t>
      </w:r>
      <w:r w:rsidR="00550EB9">
        <w:rPr>
          <w:rFonts w:eastAsia="Calibri"/>
        </w:rPr>
        <w:t>ernal users</w:t>
      </w:r>
      <w:r w:rsidRPr="00112546" w:rsidR="00112546">
        <w:t xml:space="preserve"> </w:t>
      </w:r>
      <w:r w:rsidRPr="00112546" w:rsidR="00112546">
        <w:rPr>
          <w:rFonts w:eastAsia="Calibri"/>
        </w:rPr>
        <w:t>through the use of personal username registration and e</w:t>
      </w:r>
      <w:r w:rsidR="000B49FF">
        <w:rPr>
          <w:rFonts w:eastAsia="Calibri"/>
        </w:rPr>
        <w:t>-</w:t>
      </w:r>
      <w:r w:rsidRPr="00112546" w:rsidR="00112546">
        <w:rPr>
          <w:rFonts w:eastAsia="Calibri"/>
        </w:rPr>
        <w:t>mail verification</w:t>
      </w:r>
      <w:r w:rsidRPr="00354B92" w:rsidR="00354B92">
        <w:rPr>
          <w:rFonts w:eastAsia="Calibri"/>
        </w:rPr>
        <w:t>.</w:t>
      </w:r>
      <w:r>
        <w:rPr>
          <w:rStyle w:val="FootnoteReference"/>
          <w:rFonts w:eastAsia="Calibri"/>
        </w:rPr>
        <w:footnoteReference w:id="28"/>
      </w:r>
      <w:r w:rsidRPr="00CA6AC0" w:rsidR="00CA6AC0">
        <w:rPr>
          <w:rFonts w:eastAsia="Calibri"/>
        </w:rPr>
        <w:t xml:space="preserve"> </w:t>
      </w:r>
      <w:r w:rsidR="00C820D4">
        <w:rPr>
          <w:rFonts w:eastAsia="Calibri"/>
        </w:rPr>
        <w:t xml:space="preserve"> </w:t>
      </w:r>
      <w:r w:rsidR="00112546">
        <w:rPr>
          <w:rFonts w:eastAsia="Calibri"/>
        </w:rPr>
        <w:t>An</w:t>
      </w:r>
      <w:r w:rsidRPr="00112546" w:rsidR="00112546">
        <w:rPr>
          <w:rFonts w:eastAsia="Calibri"/>
        </w:rPr>
        <w:t xml:space="preserve"> e</w:t>
      </w:r>
      <w:r w:rsidR="000B49FF">
        <w:rPr>
          <w:rFonts w:eastAsia="Calibri"/>
        </w:rPr>
        <w:t>-</w:t>
      </w:r>
      <w:r w:rsidRPr="00112546" w:rsidR="00112546">
        <w:rPr>
          <w:rFonts w:eastAsia="Calibri"/>
        </w:rPr>
        <w:t xml:space="preserve">mail address is a unique ID and/or digital identity for each user </w:t>
      </w:r>
      <w:r w:rsidR="00112546">
        <w:rPr>
          <w:rFonts w:eastAsia="Calibri"/>
        </w:rPr>
        <w:t>that not only</w:t>
      </w:r>
      <w:r w:rsidRPr="00112546" w:rsidR="00112546">
        <w:rPr>
          <w:rFonts w:eastAsia="Calibri"/>
        </w:rPr>
        <w:t xml:space="preserve"> help</w:t>
      </w:r>
      <w:r w:rsidR="00112546">
        <w:rPr>
          <w:rFonts w:eastAsia="Calibri"/>
        </w:rPr>
        <w:t>s</w:t>
      </w:r>
      <w:r w:rsidRPr="00112546" w:rsidR="00112546">
        <w:rPr>
          <w:rFonts w:eastAsia="Calibri"/>
        </w:rPr>
        <w:t xml:space="preserve"> ensure </w:t>
      </w:r>
      <w:r w:rsidR="00112546">
        <w:rPr>
          <w:rFonts w:eastAsia="Calibri"/>
        </w:rPr>
        <w:t xml:space="preserve">the </w:t>
      </w:r>
      <w:r w:rsidRPr="00112546" w:rsidR="00112546">
        <w:rPr>
          <w:rFonts w:eastAsia="Calibri"/>
        </w:rPr>
        <w:t xml:space="preserve">FCC provides better service and user experience based on data collected per </w:t>
      </w:r>
      <w:r w:rsidR="00112546">
        <w:rPr>
          <w:rFonts w:eastAsia="Calibri"/>
        </w:rPr>
        <w:t>a</w:t>
      </w:r>
      <w:r w:rsidRPr="00112546" w:rsidR="00112546">
        <w:rPr>
          <w:rFonts w:eastAsia="Calibri"/>
        </w:rPr>
        <w:t xml:space="preserve"> registered e</w:t>
      </w:r>
      <w:r w:rsidR="000B49FF">
        <w:rPr>
          <w:rFonts w:eastAsia="Calibri"/>
        </w:rPr>
        <w:t>-</w:t>
      </w:r>
      <w:r w:rsidRPr="00112546" w:rsidR="00112546">
        <w:rPr>
          <w:rFonts w:eastAsia="Calibri"/>
        </w:rPr>
        <w:t>mail address</w:t>
      </w:r>
      <w:r w:rsidR="00112546">
        <w:rPr>
          <w:rFonts w:eastAsia="Calibri"/>
        </w:rPr>
        <w:t>, i</w:t>
      </w:r>
      <w:r w:rsidRPr="00112546" w:rsidR="00112546">
        <w:rPr>
          <w:rFonts w:eastAsia="Calibri"/>
        </w:rPr>
        <w:t xml:space="preserve">t differentiates one user from another by establishing a digital identity to each person.  </w:t>
      </w:r>
      <w:r w:rsidR="00FE28AC">
        <w:rPr>
          <w:rFonts w:eastAsia="Calibri"/>
        </w:rPr>
        <w:t>By using a</w:t>
      </w:r>
      <w:r w:rsidRPr="00112546" w:rsidR="00112546">
        <w:rPr>
          <w:rFonts w:eastAsia="Calibri"/>
        </w:rPr>
        <w:t>n established e</w:t>
      </w:r>
      <w:r w:rsidR="000B49FF">
        <w:rPr>
          <w:rFonts w:eastAsia="Calibri"/>
        </w:rPr>
        <w:t>-</w:t>
      </w:r>
      <w:r w:rsidRPr="00112546" w:rsidR="00112546">
        <w:rPr>
          <w:rFonts w:eastAsia="Calibri"/>
        </w:rPr>
        <w:t>mail address and associated password</w:t>
      </w:r>
      <w:r w:rsidR="00FE28AC">
        <w:rPr>
          <w:rFonts w:eastAsia="Calibri"/>
        </w:rPr>
        <w:t>,</w:t>
      </w:r>
      <w:r w:rsidRPr="00112546" w:rsidR="00112546">
        <w:rPr>
          <w:rFonts w:eastAsia="Calibri"/>
        </w:rPr>
        <w:t xml:space="preserve"> a user is granted appropriate access to do business with FCC.</w:t>
      </w:r>
      <w:r w:rsidR="00112546">
        <w:rPr>
          <w:rFonts w:eastAsia="Calibri"/>
        </w:rPr>
        <w:t xml:space="preserve">  </w:t>
      </w:r>
      <w:bookmarkStart w:id="37" w:name="_Hlk31197798"/>
    </w:p>
    <w:p w:rsidR="00071F30" w:rsidRPr="00AE63D5" w:rsidP="00336ED3" w14:paraId="29965388" w14:textId="6EB586D8">
      <w:pPr>
        <w:pStyle w:val="ParaNum"/>
        <w:rPr>
          <w:rFonts w:eastAsia="Calibri"/>
        </w:rPr>
      </w:pPr>
      <w:bookmarkStart w:id="38" w:name="_Hlk54081211"/>
      <w:r>
        <w:rPr>
          <w:rFonts w:eastAsia="Calibri"/>
        </w:rPr>
        <w:t xml:space="preserve">Requiring e-mail address information as part of FRN registration and </w:t>
      </w:r>
      <w:r w:rsidR="00DD76E2">
        <w:t xml:space="preserve">requiring users to keep </w:t>
      </w:r>
      <w:r w:rsidRPr="00AB38B9" w:rsidR="00DD76E2">
        <w:t>up-to-date e-mail addresses</w:t>
      </w:r>
      <w:r w:rsidR="006339D1">
        <w:t xml:space="preserve"> in CORES</w:t>
      </w:r>
      <w:r w:rsidRPr="00AB38B9" w:rsidR="00DD76E2">
        <w:t xml:space="preserve"> will </w:t>
      </w:r>
      <w:r w:rsidR="00DD76E2">
        <w:t xml:space="preserve">enable </w:t>
      </w:r>
      <w:r w:rsidRPr="00AB38B9" w:rsidR="00DD76E2">
        <w:t xml:space="preserve">the Commission </w:t>
      </w:r>
      <w:r w:rsidR="00DD76E2">
        <w:t xml:space="preserve">to </w:t>
      </w:r>
      <w:r w:rsidR="00DD76E2">
        <w:rPr>
          <w:rFonts w:eastAsia="Calibri"/>
        </w:rPr>
        <w:t xml:space="preserve">fully </w:t>
      </w:r>
      <w:r w:rsidR="006339D1">
        <w:rPr>
          <w:rFonts w:eastAsia="Calibri"/>
        </w:rPr>
        <w:t xml:space="preserve">finalize its </w:t>
      </w:r>
      <w:r w:rsidRPr="004740D4">
        <w:rPr>
          <w:rFonts w:eastAsia="Calibri"/>
        </w:rPr>
        <w:t xml:space="preserve">shift from U.S. Postal Service </w:t>
      </w:r>
      <w:r>
        <w:rPr>
          <w:rFonts w:eastAsia="Calibri"/>
        </w:rPr>
        <w:t xml:space="preserve">delivery </w:t>
      </w:r>
      <w:r w:rsidRPr="004740D4">
        <w:rPr>
          <w:rFonts w:eastAsia="Calibri"/>
        </w:rPr>
        <w:t xml:space="preserve">to electronic delivery of </w:t>
      </w:r>
      <w:r w:rsidR="00DD76E2">
        <w:rPr>
          <w:rFonts w:eastAsia="Calibri"/>
        </w:rPr>
        <w:t xml:space="preserve">notices and other </w:t>
      </w:r>
      <w:r w:rsidRPr="004740D4">
        <w:rPr>
          <w:rFonts w:eastAsia="Calibri"/>
        </w:rPr>
        <w:t xml:space="preserve">correspondence </w:t>
      </w:r>
      <w:r w:rsidRPr="00DD76E2" w:rsidR="00DD76E2">
        <w:rPr>
          <w:rFonts w:eastAsia="Calibri"/>
        </w:rPr>
        <w:t>related to CORES</w:t>
      </w:r>
      <w:bookmarkEnd w:id="38"/>
      <w:r>
        <w:rPr>
          <w:rFonts w:eastAsia="Calibri"/>
        </w:rPr>
        <w:t xml:space="preserve">.  </w:t>
      </w:r>
      <w:r>
        <w:rPr>
          <w:rFonts w:eastAsia="Calibri"/>
        </w:rPr>
        <w:t>Therefore, r</w:t>
      </w:r>
      <w:r w:rsidR="008A2B83">
        <w:rPr>
          <w:rFonts w:eastAsia="Calibri"/>
        </w:rPr>
        <w:t xml:space="preserve">etiring </w:t>
      </w:r>
      <w:r w:rsidR="000558B8">
        <w:rPr>
          <w:rFonts w:eastAsia="Calibri"/>
        </w:rPr>
        <w:t xml:space="preserve">legacy CORES </w:t>
      </w:r>
      <w:r w:rsidRPr="00C57937" w:rsidR="00C57937">
        <w:rPr>
          <w:rFonts w:eastAsia="Calibri"/>
        </w:rPr>
        <w:t xml:space="preserve">allows the Commission </w:t>
      </w:r>
      <w:r w:rsidR="00022BF1">
        <w:rPr>
          <w:rFonts w:eastAsia="Calibri"/>
        </w:rPr>
        <w:t xml:space="preserve">to </w:t>
      </w:r>
      <w:r w:rsidRPr="00C57937" w:rsidR="00C57937">
        <w:rPr>
          <w:rFonts w:eastAsia="Calibri"/>
        </w:rPr>
        <w:t>operate more eff</w:t>
      </w:r>
      <w:r w:rsidR="00EB4659">
        <w:rPr>
          <w:rFonts w:eastAsia="Calibri"/>
        </w:rPr>
        <w:t>iciently</w:t>
      </w:r>
      <w:r w:rsidRPr="00C57937" w:rsidR="00C57937">
        <w:rPr>
          <w:rFonts w:eastAsia="Calibri"/>
        </w:rPr>
        <w:t xml:space="preserve"> </w:t>
      </w:r>
      <w:r w:rsidR="00677D5C">
        <w:rPr>
          <w:rFonts w:eastAsia="Calibri"/>
        </w:rPr>
        <w:t xml:space="preserve">and effectively </w:t>
      </w:r>
      <w:bookmarkStart w:id="39" w:name="_Hlk63338711"/>
      <w:r w:rsidR="00923D8F">
        <w:rPr>
          <w:rFonts w:eastAsia="Calibri"/>
        </w:rPr>
        <w:t>by</w:t>
      </w:r>
      <w:r w:rsidR="00C57937">
        <w:rPr>
          <w:rFonts w:eastAsia="Calibri"/>
        </w:rPr>
        <w:t xml:space="preserve"> free</w:t>
      </w:r>
      <w:r w:rsidR="00923D8F">
        <w:rPr>
          <w:rFonts w:eastAsia="Calibri"/>
        </w:rPr>
        <w:t>ing</w:t>
      </w:r>
      <w:r w:rsidR="00C57937">
        <w:rPr>
          <w:rFonts w:eastAsia="Calibri"/>
        </w:rPr>
        <w:t xml:space="preserve"> up</w:t>
      </w:r>
      <w:r w:rsidR="00923D8F">
        <w:rPr>
          <w:rFonts w:eastAsia="Calibri"/>
        </w:rPr>
        <w:t xml:space="preserve"> </w:t>
      </w:r>
      <w:r w:rsidR="00677D5C">
        <w:rPr>
          <w:rFonts w:eastAsia="Calibri"/>
        </w:rPr>
        <w:t xml:space="preserve">the </w:t>
      </w:r>
      <w:r w:rsidR="007E3DB9">
        <w:rPr>
          <w:rFonts w:eastAsia="Calibri"/>
        </w:rPr>
        <w:t>resources</w:t>
      </w:r>
      <w:r w:rsidR="00825103">
        <w:rPr>
          <w:rFonts w:eastAsia="Calibri"/>
        </w:rPr>
        <w:t xml:space="preserve"> </w:t>
      </w:r>
      <w:r w:rsidR="00677D5C">
        <w:rPr>
          <w:rFonts w:eastAsia="Calibri"/>
        </w:rPr>
        <w:t xml:space="preserve">currently </w:t>
      </w:r>
      <w:r w:rsidR="00C57937">
        <w:rPr>
          <w:rFonts w:eastAsia="Calibri"/>
        </w:rPr>
        <w:t>being use</w:t>
      </w:r>
      <w:r w:rsidR="00923D8F">
        <w:rPr>
          <w:rFonts w:eastAsia="Calibri"/>
        </w:rPr>
        <w:t>d</w:t>
      </w:r>
      <w:r w:rsidR="00C57937">
        <w:rPr>
          <w:rFonts w:eastAsia="Calibri"/>
        </w:rPr>
        <w:t xml:space="preserve"> to </w:t>
      </w:r>
      <w:r w:rsidR="00825103">
        <w:rPr>
          <w:rFonts w:eastAsia="Calibri"/>
        </w:rPr>
        <w:t>maintain and operate</w:t>
      </w:r>
      <w:r w:rsidR="00C57937">
        <w:rPr>
          <w:rFonts w:eastAsia="Calibri"/>
        </w:rPr>
        <w:t xml:space="preserve"> </w:t>
      </w:r>
      <w:r>
        <w:rPr>
          <w:rFonts w:eastAsia="Calibri"/>
        </w:rPr>
        <w:t xml:space="preserve">two CORES </w:t>
      </w:r>
      <w:r w:rsidR="00923D8F">
        <w:rPr>
          <w:rFonts w:eastAsia="Calibri"/>
        </w:rPr>
        <w:t>system</w:t>
      </w:r>
      <w:r>
        <w:rPr>
          <w:rFonts w:eastAsia="Calibri"/>
        </w:rPr>
        <w:t>s</w:t>
      </w:r>
      <w:r w:rsidR="00677D5C">
        <w:rPr>
          <w:rFonts w:eastAsia="Calibri"/>
        </w:rPr>
        <w:t xml:space="preserve">, and by allowing the Commission to e-mail </w:t>
      </w:r>
      <w:r w:rsidR="002D4AA8">
        <w:rPr>
          <w:rFonts w:eastAsia="Calibri"/>
        </w:rPr>
        <w:t xml:space="preserve">CORES </w:t>
      </w:r>
      <w:r w:rsidR="00677D5C">
        <w:rPr>
          <w:rFonts w:eastAsia="Calibri"/>
        </w:rPr>
        <w:t xml:space="preserve">registrants CORES and FRN-related information rather than </w:t>
      </w:r>
      <w:r w:rsidR="002D4AA8">
        <w:rPr>
          <w:rFonts w:eastAsia="Calibri"/>
        </w:rPr>
        <w:t xml:space="preserve">needing to </w:t>
      </w:r>
      <w:r w:rsidR="00677D5C">
        <w:rPr>
          <w:rFonts w:eastAsia="Calibri"/>
        </w:rPr>
        <w:t xml:space="preserve">send this information </w:t>
      </w:r>
      <w:r w:rsidR="002D4AA8">
        <w:rPr>
          <w:rFonts w:eastAsia="Calibri"/>
        </w:rPr>
        <w:t>in mailed letters</w:t>
      </w:r>
      <w:bookmarkEnd w:id="39"/>
      <w:r w:rsidR="00825103">
        <w:rPr>
          <w:rFonts w:eastAsia="Calibri"/>
        </w:rPr>
        <w:t>.</w:t>
      </w:r>
      <w:r w:rsidRPr="00AE63D5" w:rsidR="00AE63D5">
        <w:t xml:space="preserve"> </w:t>
      </w:r>
      <w:bookmarkEnd w:id="37"/>
      <w:r w:rsidR="00AE63D5">
        <w:t xml:space="preserve"> </w:t>
      </w:r>
      <w:r w:rsidRPr="00AE63D5" w:rsidR="00AE63D5">
        <w:rPr>
          <w:rFonts w:eastAsia="Calibri"/>
        </w:rPr>
        <w:t xml:space="preserve">We provide further guidance on OMD’s implementation of this </w:t>
      </w:r>
      <w:r w:rsidR="00F9261C">
        <w:rPr>
          <w:rFonts w:eastAsia="Calibri"/>
        </w:rPr>
        <w:t>transition</w:t>
      </w:r>
      <w:r w:rsidRPr="00AE63D5" w:rsidR="00AE63D5">
        <w:rPr>
          <w:rFonts w:eastAsia="Calibri"/>
        </w:rPr>
        <w:t xml:space="preserve"> below.    </w:t>
      </w:r>
    </w:p>
    <w:p w:rsidR="00AE63D5" w:rsidP="00336ED3" w14:paraId="070F4BD8" w14:textId="3033ABF2">
      <w:pPr>
        <w:pStyle w:val="ParaNum"/>
        <w:rPr>
          <w:rFonts w:eastAsia="Calibri"/>
        </w:rPr>
      </w:pPr>
      <w:r w:rsidRPr="003A184C">
        <w:rPr>
          <w:rFonts w:eastAsia="Calibri"/>
          <w:u w:val="single"/>
        </w:rPr>
        <w:t>Implementation of the Rule Change</w:t>
      </w:r>
      <w:r>
        <w:rPr>
          <w:rFonts w:eastAsia="Calibri"/>
        </w:rPr>
        <w:t xml:space="preserve">.  </w:t>
      </w:r>
      <w:r w:rsidRPr="00275CAA" w:rsidR="00275CAA">
        <w:rPr>
          <w:rFonts w:eastAsia="Calibri"/>
        </w:rPr>
        <w:t>After the rule revision goes into effect,</w:t>
      </w:r>
      <w:r w:rsidR="002017B6">
        <w:rPr>
          <w:rFonts w:eastAsia="Calibri"/>
        </w:rPr>
        <w:t xml:space="preserve"> we direct </w:t>
      </w:r>
      <w:r w:rsidRPr="00275CAA" w:rsidR="00275CAA">
        <w:rPr>
          <w:rFonts w:eastAsia="Calibri"/>
        </w:rPr>
        <w:t xml:space="preserve">OMD </w:t>
      </w:r>
      <w:r w:rsidR="002017B6">
        <w:rPr>
          <w:rFonts w:eastAsia="Calibri"/>
        </w:rPr>
        <w:t xml:space="preserve">to </w:t>
      </w:r>
      <w:r w:rsidRPr="00275CAA" w:rsidR="00275CAA">
        <w:rPr>
          <w:rFonts w:eastAsia="Calibri"/>
        </w:rPr>
        <w:t xml:space="preserve">announce </w:t>
      </w:r>
      <w:r w:rsidR="002017B6">
        <w:rPr>
          <w:rFonts w:eastAsia="Calibri"/>
        </w:rPr>
        <w:t xml:space="preserve">by public notice </w:t>
      </w:r>
      <w:r w:rsidRPr="00275CAA" w:rsidR="00275CAA">
        <w:rPr>
          <w:rFonts w:eastAsia="Calibri"/>
        </w:rPr>
        <w:t xml:space="preserve">the </w:t>
      </w:r>
      <w:r w:rsidR="00C35B5F">
        <w:rPr>
          <w:rFonts w:eastAsia="Calibri"/>
        </w:rPr>
        <w:t>end date</w:t>
      </w:r>
      <w:r w:rsidRPr="00275CAA" w:rsidR="00275CAA">
        <w:rPr>
          <w:rFonts w:eastAsia="Calibri"/>
        </w:rPr>
        <w:t xml:space="preserve"> </w:t>
      </w:r>
      <w:r w:rsidR="00C35B5F">
        <w:rPr>
          <w:rFonts w:eastAsia="Calibri"/>
        </w:rPr>
        <w:t>for</w:t>
      </w:r>
      <w:r w:rsidRPr="00275CAA" w:rsidR="00275CAA">
        <w:rPr>
          <w:rFonts w:eastAsia="Calibri"/>
        </w:rPr>
        <w:t xml:space="preserve"> </w:t>
      </w:r>
      <w:r w:rsidR="00C35B5F">
        <w:rPr>
          <w:rFonts w:eastAsia="Calibri"/>
        </w:rPr>
        <w:t xml:space="preserve">access to </w:t>
      </w:r>
      <w:r w:rsidRPr="00275CAA" w:rsidR="00275CAA">
        <w:rPr>
          <w:rFonts w:eastAsia="Calibri"/>
        </w:rPr>
        <w:t>legacy CORES.  To streamline this transition and best prepare for any upcoming Commission business, new and current registrants are encouraged to use the modernized CORES as soon as possible.</w:t>
      </w:r>
      <w:r>
        <w:rPr>
          <w:rFonts w:eastAsia="Calibri"/>
        </w:rPr>
        <w:t xml:space="preserve">  </w:t>
      </w:r>
      <w:r w:rsidRPr="00275CAA" w:rsidR="00275CAA">
        <w:rPr>
          <w:rFonts w:eastAsia="Calibri"/>
        </w:rPr>
        <w:t xml:space="preserve">Because the modernized CORES </w:t>
      </w:r>
      <w:r>
        <w:rPr>
          <w:rFonts w:eastAsia="Calibri"/>
        </w:rPr>
        <w:t>has been available since 2016</w:t>
      </w:r>
      <w:r w:rsidRPr="00275CAA" w:rsidR="00275CAA">
        <w:rPr>
          <w:rFonts w:eastAsia="Calibri"/>
        </w:rPr>
        <w:t>, users do not need to wait for legacy CORES to be retired or for the rule change announced here to go into effect to take this step.</w:t>
      </w:r>
      <w:r>
        <w:rPr>
          <w:rFonts w:eastAsia="Calibri"/>
        </w:rPr>
        <w:t xml:space="preserve">  </w:t>
      </w:r>
    </w:p>
    <w:p w:rsidR="0053057D" w:rsidRPr="0053057D" w:rsidP="00336ED3" w14:paraId="70DD6339" w14:textId="77777777">
      <w:pPr>
        <w:pStyle w:val="ParaNum"/>
        <w:rPr>
          <w:rFonts w:eastAsia="Calibri"/>
        </w:rPr>
      </w:pPr>
      <w:r w:rsidRPr="0053057D">
        <w:rPr>
          <w:rFonts w:eastAsia="Calibri"/>
        </w:rPr>
        <w:t>Retiring legacy CORES will primarily impact three groups of CORES users</w:t>
      </w:r>
      <w:r w:rsidR="003A184C">
        <w:rPr>
          <w:rFonts w:eastAsia="Calibri"/>
        </w:rPr>
        <w:t xml:space="preserve">.  </w:t>
      </w:r>
      <w:r w:rsidR="00011EA0">
        <w:rPr>
          <w:rFonts w:eastAsia="Calibri"/>
        </w:rPr>
        <w:t>First, u</w:t>
      </w:r>
      <w:r w:rsidRPr="0053057D">
        <w:rPr>
          <w:rFonts w:eastAsia="Calibri"/>
        </w:rPr>
        <w:t xml:space="preserve">sers seeking to make changes related to their FRN will need to do so in the new CORES by associating with their FRN a user-specific identification (username) and password to continue managing their FRN.  </w:t>
      </w:r>
      <w:r w:rsidR="00011EA0">
        <w:rPr>
          <w:rFonts w:eastAsia="Calibri"/>
        </w:rPr>
        <w:t>Second, a</w:t>
      </w:r>
      <w:r w:rsidRPr="0053057D">
        <w:rPr>
          <w:rFonts w:eastAsia="Calibri"/>
        </w:rPr>
        <w:t xml:space="preserve">ny person or entity that does not yet have an FRN, but seeks to do business with the Commission, will use the new CORES to register.  </w:t>
      </w:r>
      <w:r w:rsidR="00011EA0">
        <w:rPr>
          <w:rFonts w:eastAsia="Calibri"/>
        </w:rPr>
        <w:t>Third, u</w:t>
      </w:r>
      <w:r w:rsidRPr="0053057D">
        <w:rPr>
          <w:rFonts w:eastAsia="Calibri"/>
        </w:rPr>
        <w:t xml:space="preserve">sers that forget their password and seek to reset their password online will use the new CORES to reset their password.  </w:t>
      </w:r>
    </w:p>
    <w:p w:rsidR="009D3E8B" w:rsidP="00336ED3" w14:paraId="78348607" w14:textId="667F8D17">
      <w:pPr>
        <w:pStyle w:val="ParaNum"/>
        <w:rPr>
          <w:rFonts w:eastAsia="Calibri"/>
        </w:rPr>
      </w:pPr>
      <w:bookmarkStart w:id="40" w:name="_Hlk38280614"/>
      <w:r>
        <w:rPr>
          <w:rFonts w:eastAsia="Calibri"/>
        </w:rPr>
        <w:t>After the legacy CORES is retired, we delegate authority to OMD to allow users</w:t>
      </w:r>
      <w:r w:rsidR="002017B6">
        <w:rPr>
          <w:rFonts w:eastAsia="Calibri"/>
        </w:rPr>
        <w:t xml:space="preserve"> </w:t>
      </w:r>
      <w:r w:rsidRPr="008F0254" w:rsidR="008F0254">
        <w:rPr>
          <w:rFonts w:eastAsia="Calibri"/>
        </w:rPr>
        <w:t>that obtained their FRN through legacy CORES</w:t>
      </w:r>
      <w:r w:rsidR="004D1215">
        <w:rPr>
          <w:rFonts w:eastAsia="Calibri"/>
        </w:rPr>
        <w:t xml:space="preserve"> </w:t>
      </w:r>
      <w:r>
        <w:rPr>
          <w:rFonts w:eastAsia="Calibri"/>
        </w:rPr>
        <w:t xml:space="preserve">and have not associated a valid e-mail address with </w:t>
      </w:r>
      <w:r w:rsidR="00D777A4">
        <w:rPr>
          <w:rFonts w:eastAsia="Calibri"/>
        </w:rPr>
        <w:t xml:space="preserve">their </w:t>
      </w:r>
      <w:r>
        <w:rPr>
          <w:rFonts w:eastAsia="Calibri"/>
        </w:rPr>
        <w:t>FRN</w:t>
      </w:r>
      <w:r w:rsidR="00D777A4">
        <w:rPr>
          <w:rFonts w:eastAsia="Calibri"/>
        </w:rPr>
        <w:t>,</w:t>
      </w:r>
      <w:r>
        <w:rPr>
          <w:rFonts w:eastAsia="Calibri"/>
        </w:rPr>
        <w:t xml:space="preserve"> </w:t>
      </w:r>
      <w:r w:rsidRPr="008F0254" w:rsidR="008F0254">
        <w:rPr>
          <w:rFonts w:eastAsia="Calibri"/>
        </w:rPr>
        <w:t xml:space="preserve">to continue to </w:t>
      </w:r>
      <w:r w:rsidR="00A34B65">
        <w:rPr>
          <w:rFonts w:eastAsia="Calibri"/>
        </w:rPr>
        <w:t xml:space="preserve">use </w:t>
      </w:r>
      <w:r w:rsidRPr="008F0254" w:rsidR="008F0254">
        <w:rPr>
          <w:rFonts w:eastAsia="Calibri"/>
        </w:rPr>
        <w:t xml:space="preserve">that FRN </w:t>
      </w:r>
      <w:r w:rsidR="00A34B65">
        <w:rPr>
          <w:rFonts w:eastAsia="Calibri"/>
        </w:rPr>
        <w:t xml:space="preserve">without an associated valid e-mail address </w:t>
      </w:r>
      <w:r w:rsidRPr="00A34B65" w:rsidR="00A34B65">
        <w:rPr>
          <w:rFonts w:eastAsia="Calibri"/>
        </w:rPr>
        <w:t>for a limited period</w:t>
      </w:r>
      <w:r w:rsidRPr="008F0254" w:rsidR="008F0254">
        <w:rPr>
          <w:rFonts w:eastAsia="Calibri"/>
        </w:rPr>
        <w:t>.</w:t>
      </w:r>
      <w:bookmarkStart w:id="41" w:name="_Hlk9523932"/>
      <w:r w:rsidR="00616807">
        <w:rPr>
          <w:rFonts w:eastAsia="Calibri"/>
        </w:rPr>
        <w:t xml:space="preserve">  </w:t>
      </w:r>
      <w:r>
        <w:rPr>
          <w:rFonts w:eastAsia="Calibri"/>
        </w:rPr>
        <w:t xml:space="preserve">OMD, in consultation with the </w:t>
      </w:r>
      <w:r w:rsidR="00505434">
        <w:rPr>
          <w:rFonts w:eastAsia="Calibri"/>
        </w:rPr>
        <w:t>Commission’s Chief Information Officer</w:t>
      </w:r>
      <w:r>
        <w:rPr>
          <w:rFonts w:eastAsia="Calibri"/>
        </w:rPr>
        <w:t xml:space="preserve">, </w:t>
      </w:r>
      <w:r w:rsidR="002234EB">
        <w:rPr>
          <w:rFonts w:eastAsia="Calibri"/>
        </w:rPr>
        <w:t>will</w:t>
      </w:r>
      <w:r>
        <w:rPr>
          <w:rFonts w:eastAsia="Calibri"/>
        </w:rPr>
        <w:t xml:space="preserve"> determine what steps to take to bring such users into compliance and ensure that the benefits of the rule change are fully utilized.</w:t>
      </w:r>
      <w:r w:rsidR="00616807">
        <w:rPr>
          <w:rFonts w:eastAsia="Calibri"/>
        </w:rPr>
        <w:t xml:space="preserve">  </w:t>
      </w:r>
      <w:r>
        <w:rPr>
          <w:rFonts w:eastAsia="Calibri"/>
        </w:rPr>
        <w:t xml:space="preserve">We note, however, that </w:t>
      </w:r>
      <w:r w:rsidR="002017B6">
        <w:rPr>
          <w:rFonts w:eastAsia="Calibri"/>
        </w:rPr>
        <w:t xml:space="preserve">this limited </w:t>
      </w:r>
      <w:r>
        <w:rPr>
          <w:rFonts w:eastAsia="Calibri"/>
        </w:rPr>
        <w:t xml:space="preserve">flexibility with respect to CORES does not negate the fact that certain </w:t>
      </w:r>
      <w:r w:rsidRPr="004D1215" w:rsidR="004D1215">
        <w:rPr>
          <w:rFonts w:eastAsia="Calibri"/>
        </w:rPr>
        <w:t>Commission</w:t>
      </w:r>
      <w:r w:rsidR="00696991">
        <w:rPr>
          <w:rFonts w:eastAsia="Calibri"/>
        </w:rPr>
        <w:t xml:space="preserve"> information</w:t>
      </w:r>
      <w:r w:rsidRPr="004D1215" w:rsidR="004D1215">
        <w:rPr>
          <w:rFonts w:eastAsia="Calibri"/>
        </w:rPr>
        <w:t xml:space="preserve"> systems </w:t>
      </w:r>
      <w:r w:rsidR="00A34B65">
        <w:rPr>
          <w:rFonts w:eastAsia="Calibri"/>
        </w:rPr>
        <w:t xml:space="preserve">and applications </w:t>
      </w:r>
      <w:r w:rsidR="00696991">
        <w:rPr>
          <w:rFonts w:eastAsia="Calibri"/>
        </w:rPr>
        <w:t>current</w:t>
      </w:r>
      <w:r w:rsidR="00C37328">
        <w:rPr>
          <w:rFonts w:eastAsia="Calibri"/>
        </w:rPr>
        <w:t>l</w:t>
      </w:r>
      <w:r w:rsidR="00696991">
        <w:rPr>
          <w:rFonts w:eastAsia="Calibri"/>
        </w:rPr>
        <w:t>y</w:t>
      </w:r>
      <w:r w:rsidR="003331D9">
        <w:rPr>
          <w:rFonts w:eastAsia="Calibri"/>
        </w:rPr>
        <w:t xml:space="preserve"> require</w:t>
      </w:r>
      <w:r w:rsidR="00C37328">
        <w:rPr>
          <w:rFonts w:eastAsia="Calibri"/>
        </w:rPr>
        <w:t xml:space="preserve">, or </w:t>
      </w:r>
      <w:r w:rsidR="006B65A7">
        <w:rPr>
          <w:rFonts w:eastAsia="Calibri"/>
        </w:rPr>
        <w:t>may</w:t>
      </w:r>
      <w:r w:rsidR="00646DC2">
        <w:rPr>
          <w:rFonts w:eastAsia="Calibri"/>
        </w:rPr>
        <w:t xml:space="preserve"> </w:t>
      </w:r>
      <w:r w:rsidR="00696991">
        <w:rPr>
          <w:rFonts w:eastAsia="Calibri"/>
        </w:rPr>
        <w:t>in the future</w:t>
      </w:r>
      <w:r w:rsidR="003331D9">
        <w:rPr>
          <w:rFonts w:eastAsia="Calibri"/>
        </w:rPr>
        <w:t xml:space="preserve"> require</w:t>
      </w:r>
      <w:r w:rsidR="00C37328">
        <w:rPr>
          <w:rFonts w:eastAsia="Calibri"/>
        </w:rPr>
        <w:t>,</w:t>
      </w:r>
      <w:r w:rsidR="00116A75">
        <w:rPr>
          <w:rFonts w:eastAsia="Calibri"/>
        </w:rPr>
        <w:t xml:space="preserve"> valid</w:t>
      </w:r>
      <w:r w:rsidRPr="004D1215" w:rsidR="004D1215">
        <w:rPr>
          <w:rFonts w:eastAsia="Calibri"/>
        </w:rPr>
        <w:t xml:space="preserve"> e-mail address information to gain entry or otherwise use </w:t>
      </w:r>
      <w:r>
        <w:rPr>
          <w:rFonts w:eastAsia="Calibri"/>
        </w:rPr>
        <w:t xml:space="preserve">such </w:t>
      </w:r>
      <w:r w:rsidRPr="004D1215" w:rsidR="004D1215">
        <w:rPr>
          <w:rFonts w:eastAsia="Calibri"/>
        </w:rPr>
        <w:t>system</w:t>
      </w:r>
      <w:r>
        <w:rPr>
          <w:rFonts w:eastAsia="Calibri"/>
        </w:rPr>
        <w:t>s</w:t>
      </w:r>
      <w:r w:rsidR="00BE34E4">
        <w:rPr>
          <w:rFonts w:eastAsia="Calibri"/>
        </w:rPr>
        <w:t>.</w:t>
      </w:r>
      <w:r>
        <w:rPr>
          <w:rStyle w:val="FootnoteReference"/>
          <w:rFonts w:eastAsia="Calibri"/>
        </w:rPr>
        <w:footnoteReference w:id="29"/>
      </w:r>
      <w:bookmarkEnd w:id="40"/>
      <w:r w:rsidRPr="004D1215" w:rsidR="004D1215">
        <w:rPr>
          <w:rFonts w:eastAsia="Calibri"/>
        </w:rPr>
        <w:t xml:space="preserve"> </w:t>
      </w:r>
      <w:r w:rsidR="00646DC2">
        <w:rPr>
          <w:rFonts w:eastAsia="Calibri"/>
        </w:rPr>
        <w:t xml:space="preserve"> </w:t>
      </w:r>
      <w:bookmarkEnd w:id="41"/>
      <w:r>
        <w:rPr>
          <w:rFonts w:eastAsia="Calibri"/>
        </w:rPr>
        <w:t xml:space="preserve"> </w:t>
      </w:r>
    </w:p>
    <w:p w:rsidR="009A6F15" w:rsidRPr="00D777A4" w:rsidP="00336ED3" w14:paraId="4FBD6169" w14:textId="4A9FC7A7">
      <w:pPr>
        <w:pStyle w:val="ParaNum"/>
        <w:rPr>
          <w:rFonts w:eastAsia="Calibri"/>
        </w:rPr>
      </w:pPr>
      <w:r>
        <w:t xml:space="preserve">We are also deleting section </w:t>
      </w:r>
      <w:r w:rsidRPr="009A6F15">
        <w:t xml:space="preserve">1.8002(e) of the Commission’s rules </w:t>
      </w:r>
      <w:r>
        <w:t xml:space="preserve">because </w:t>
      </w:r>
      <w:r w:rsidR="00F04929">
        <w:t>it is</w:t>
      </w:r>
      <w:r w:rsidR="00DE7D5C">
        <w:t xml:space="preserve"> </w:t>
      </w:r>
      <w:r>
        <w:t>out of date</w:t>
      </w:r>
      <w:r w:rsidR="00F04929">
        <w:t>.</w:t>
      </w:r>
      <w:r w:rsidRPr="00DE7D5C" w:rsidR="00DE7D5C">
        <w:t xml:space="preserve"> </w:t>
      </w:r>
      <w:r w:rsidR="00D70DD8">
        <w:t xml:space="preserve"> </w:t>
      </w:r>
      <w:r w:rsidRPr="00DE7D5C" w:rsidR="00DE7D5C">
        <w:t>FRNs must be assigned through CORES and cannot be assigned by the Billing and Collection Agent for North American Numbering Plan Administration and the Administrators of the Universal Service Fund and the Telecommunications Relay Services Fund as suggested in section 1.8002(e).</w:t>
      </w:r>
      <w:r>
        <w:rPr>
          <w:rStyle w:val="FootnoteReference"/>
        </w:rPr>
        <w:footnoteReference w:id="30"/>
      </w:r>
      <w:r>
        <w:t xml:space="preserve"> </w:t>
      </w:r>
      <w:r w:rsidR="00F04929">
        <w:t xml:space="preserve"> </w:t>
      </w:r>
    </w:p>
    <w:p w:rsidR="00071F30" w:rsidRPr="00071F30" w:rsidP="00071F30" w14:paraId="25F5119F" w14:textId="77777777">
      <w:pPr>
        <w:pStyle w:val="Heading1"/>
      </w:pPr>
      <w:bookmarkStart w:id="42" w:name="_Toc490122931"/>
      <w:bookmarkStart w:id="43" w:name="_Toc509315058"/>
      <w:bookmarkStart w:id="44" w:name="_Toc509316121"/>
      <w:bookmarkStart w:id="45" w:name="_Toc516755897"/>
      <w:bookmarkStart w:id="46" w:name="_Toc521505971"/>
      <w:bookmarkStart w:id="47" w:name="_Toc521506083"/>
      <w:bookmarkStart w:id="48" w:name="_Toc521517599"/>
      <w:bookmarkStart w:id="49" w:name="_Toc525228325"/>
      <w:bookmarkStart w:id="50" w:name="_Toc525642330"/>
      <w:bookmarkStart w:id="51" w:name="_Toc525642841"/>
      <w:bookmarkStart w:id="52" w:name="_Toc526959565"/>
      <w:bookmarkStart w:id="53" w:name="_Toc528657363"/>
      <w:bookmarkStart w:id="54" w:name="_Toc530139577"/>
      <w:bookmarkStart w:id="55" w:name="_Toc534019013"/>
      <w:bookmarkStart w:id="56" w:name="_Toc959628"/>
      <w:r w:rsidRPr="00071F30">
        <w:t>Procedural Issues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071F30" w:rsidRPr="00071F30" w:rsidP="00336ED3" w14:paraId="45B1BBF4" w14:textId="77777777">
      <w:pPr>
        <w:pStyle w:val="ParaNum"/>
      </w:pPr>
      <w:r w:rsidRPr="67143981">
        <w:rPr>
          <w:i/>
          <w:iCs/>
        </w:rPr>
        <w:t xml:space="preserve">Final Regulatory Flexibility Analysis. </w:t>
      </w:r>
      <w:r w:rsidRPr="00071F30">
        <w:t xml:space="preserve"> As required by the Regulatory Flexibility Act of 1980, as amended (RFA),</w:t>
      </w:r>
      <w:r>
        <w:rPr>
          <w:rStyle w:val="FootnoteReference"/>
        </w:rPr>
        <w:footnoteReference w:id="31"/>
      </w:r>
      <w:r w:rsidRPr="00071F30">
        <w:t xml:space="preserve"> the Commission has prepared a Final Regulatory Flexibility Analysis (FRFA) relating to this Report and Order.  The FRFA is set forth in Appendix </w:t>
      </w:r>
      <w:r w:rsidR="00C4758A">
        <w:t>C</w:t>
      </w:r>
      <w:r w:rsidRPr="00071F30">
        <w:t>.</w:t>
      </w:r>
    </w:p>
    <w:p w:rsidR="00981F90" w:rsidP="00336ED3" w14:paraId="34E9C7E7" w14:textId="00324A49">
      <w:pPr>
        <w:pStyle w:val="ParaNum"/>
      </w:pPr>
      <w:r w:rsidRPr="67143981">
        <w:rPr>
          <w:i/>
          <w:iCs/>
        </w:rPr>
        <w:t>Paperwork Reduction Act Analysis</w:t>
      </w:r>
      <w:r w:rsidRPr="00071F30">
        <w:t>.  The Report and Order adopts</w:t>
      </w:r>
      <w:r w:rsidR="008905B3">
        <w:t xml:space="preserve"> a</w:t>
      </w:r>
      <w:r w:rsidRPr="00071F30">
        <w:t xml:space="preserve"> new information collection requirement subject to the Paperwork Reduction Act of 1995 (PRA).</w:t>
      </w:r>
      <w:r>
        <w:rPr>
          <w:rStyle w:val="FootnoteReference"/>
        </w:rPr>
        <w:footnoteReference w:id="32"/>
      </w:r>
      <w:r w:rsidRPr="00071F30">
        <w:t xml:space="preserve"> </w:t>
      </w:r>
      <w:bookmarkStart w:id="57" w:name="_Hlk11084969"/>
      <w:r w:rsidRPr="00B37E93">
        <w:t>The new information collection requirement w</w:t>
      </w:r>
      <w:r w:rsidRPr="00B37E93" w:rsidR="0097369A">
        <w:t>as</w:t>
      </w:r>
      <w:r w:rsidRPr="00B37E93">
        <w:t xml:space="preserve"> submitted to the Office of Management and Budget (OMB) for review under section 3507(d) of the PRA</w:t>
      </w:r>
      <w:r w:rsidRPr="00B37E93" w:rsidR="008F560A">
        <w:t xml:space="preserve"> and </w:t>
      </w:r>
      <w:r w:rsidRPr="00B37E93" w:rsidR="00EE61FC">
        <w:t>pre-</w:t>
      </w:r>
      <w:r w:rsidRPr="00B37E93" w:rsidR="008F560A">
        <w:t>approved</w:t>
      </w:r>
      <w:r w:rsidRPr="00B37E93" w:rsidR="00645DCB">
        <w:t xml:space="preserve"> on March 15, 2011</w:t>
      </w:r>
      <w:r w:rsidRPr="00B37E93">
        <w:t>.</w:t>
      </w:r>
      <w:r>
        <w:rPr>
          <w:rStyle w:val="FootnoteReference"/>
        </w:rPr>
        <w:footnoteReference w:id="33"/>
      </w:r>
      <w:r w:rsidR="00373FD4">
        <w:t xml:space="preserve">  </w:t>
      </w:r>
      <w:r w:rsidRPr="00A5226A" w:rsidR="00373FD4">
        <w:t xml:space="preserve">In addition, the Report and Order adopts a non-substantive change to an existing approved information collection.  This non-substantive </w:t>
      </w:r>
      <w:r w:rsidRPr="00A5226A" w:rsidR="00373FD4">
        <w:t>change will be submitted to OMB for approval under the PRA.</w:t>
      </w:r>
    </w:p>
    <w:p w:rsidR="00071F30" w:rsidRPr="00071F30" w:rsidP="00336ED3" w14:paraId="4E846C83" w14:textId="212A7AA6">
      <w:pPr>
        <w:pStyle w:val="ParaNum"/>
      </w:pPr>
      <w:r w:rsidRPr="00116FAD">
        <w:t>The Commission has determined, and the Administrator of the Office of Information and Regulatory Affairs, Office of Management and Budget, concurs that th</w:t>
      </w:r>
      <w:r w:rsidR="008D2E33">
        <w:t>is</w:t>
      </w:r>
      <w:r w:rsidRPr="00116FAD">
        <w:t xml:space="preserve"> rule</w:t>
      </w:r>
      <w:r w:rsidR="008D2E33">
        <w:t xml:space="preserve"> is</w:t>
      </w:r>
      <w:r w:rsidRPr="00116FAD">
        <w:t xml:space="preserve"> non-major</w:t>
      </w:r>
      <w:r w:rsidRPr="00116FAD" w:rsidR="00116FAD">
        <w:t xml:space="preserve"> </w:t>
      </w:r>
      <w:r w:rsidRPr="00116FAD">
        <w:t xml:space="preserve">under the Congressional Review Act, 5 U.S.C. § 804(2).  The Commission will send a copy of this Report </w:t>
      </w:r>
      <w:r w:rsidRPr="00116FAD" w:rsidR="00505434">
        <w:t>and</w:t>
      </w:r>
      <w:r w:rsidRPr="00116FAD">
        <w:t xml:space="preserve"> Order</w:t>
      </w:r>
      <w:r w:rsidRPr="00116FAD" w:rsidR="00505434">
        <w:t xml:space="preserve"> </w:t>
      </w:r>
      <w:r w:rsidRPr="00116FAD">
        <w:t>to Congress and the Government Accountability Office pursuant to 5 U.S.C. § 801(a)(1)(A).</w:t>
      </w:r>
      <w:r w:rsidRPr="00116FAD" w:rsidR="00505434">
        <w:t>]</w:t>
      </w:r>
    </w:p>
    <w:p w:rsidR="00071F30" w:rsidRPr="003B6DF8" w:rsidP="00071F30" w14:paraId="4943B482" w14:textId="77777777">
      <w:pPr>
        <w:pStyle w:val="Heading1"/>
      </w:pPr>
      <w:bookmarkStart w:id="58" w:name="_Toc475724472"/>
      <w:bookmarkStart w:id="59" w:name="_Toc475724804"/>
      <w:bookmarkStart w:id="60" w:name="_Toc476077833"/>
      <w:bookmarkStart w:id="61" w:name="_Toc477963693"/>
      <w:bookmarkStart w:id="62" w:name="_Toc484696735"/>
      <w:bookmarkStart w:id="63" w:name="_Toc484696881"/>
      <w:bookmarkStart w:id="64" w:name="_Toc484697273"/>
      <w:bookmarkStart w:id="65" w:name="_Toc484697337"/>
      <w:bookmarkStart w:id="66" w:name="_Toc490122935"/>
      <w:bookmarkStart w:id="67" w:name="_Toc509315059"/>
      <w:bookmarkStart w:id="68" w:name="_Toc509316125"/>
      <w:bookmarkStart w:id="69" w:name="_Toc516755901"/>
      <w:bookmarkStart w:id="70" w:name="_Toc521505975"/>
      <w:bookmarkStart w:id="71" w:name="_Toc521506087"/>
      <w:bookmarkStart w:id="72" w:name="_Toc521517603"/>
      <w:bookmarkStart w:id="73" w:name="_Toc525228329"/>
      <w:bookmarkStart w:id="74" w:name="_Toc525642334"/>
      <w:bookmarkStart w:id="75" w:name="_Toc525642845"/>
      <w:bookmarkStart w:id="76" w:name="_Toc526959566"/>
      <w:bookmarkStart w:id="77" w:name="_Toc528657364"/>
      <w:bookmarkStart w:id="78" w:name="_Toc530139578"/>
      <w:bookmarkStart w:id="79" w:name="_Toc534019014"/>
      <w:bookmarkStart w:id="80" w:name="_Toc959629"/>
      <w:bookmarkStart w:id="81" w:name="_Ref199744579"/>
      <w:bookmarkEnd w:id="57"/>
      <w:r w:rsidRPr="003B6DF8">
        <w:t>ORDERING CLAUSES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bookmarkEnd w:id="81"/>
    <w:p w:rsidR="00071F30" w:rsidRPr="00071F30" w:rsidP="00336ED3" w14:paraId="4570ADAD" w14:textId="0108508C">
      <w:pPr>
        <w:pStyle w:val="ParaNum"/>
      </w:pPr>
      <w:r>
        <w:t xml:space="preserve">Accordingly, </w:t>
      </w:r>
      <w:r w:rsidRPr="002000CD">
        <w:t>IT IS ORDERED</w:t>
      </w:r>
      <w:r>
        <w:t xml:space="preserve"> that pursuant to </w:t>
      </w:r>
      <w:r w:rsidRPr="005B796B">
        <w:t xml:space="preserve">Sections </w:t>
      </w:r>
      <w:r w:rsidRPr="005B796B">
        <w:rPr>
          <w:rStyle w:val="documentbody"/>
          <w:szCs w:val="22"/>
        </w:rPr>
        <w:t>4(i), 8(c)(2), 9(c)(2), and 303(r) of the Communications Act of 1934, as amended, 47 U.S.C. §§ 154(i), 158(c)(2), 159(c)(2), and 303(r); and Section 7701 of the Debt Collection Improvement Act of 1996, 31 U.S.C. § 7701(c)(1)</w:t>
      </w:r>
      <w:r w:rsidRPr="005B796B">
        <w:t xml:space="preserve">, </w:t>
      </w:r>
      <w:r>
        <w:t xml:space="preserve">this </w:t>
      </w:r>
      <w:r w:rsidRPr="00E67BCA">
        <w:t>Report and Order</w:t>
      </w:r>
      <w:r>
        <w:t xml:space="preserve"> IS ADOPTED and the Commission’s rules ARE HEREBY AMENDED as set forth in Appendix B. </w:t>
      </w:r>
      <w:r w:rsidR="00616807">
        <w:t xml:space="preserve"> </w:t>
      </w:r>
      <w:r>
        <w:t xml:space="preserve">The rules and procedures adopted in this </w:t>
      </w:r>
      <w:r w:rsidRPr="00E67BCA">
        <w:t>Report and Order</w:t>
      </w:r>
      <w:r>
        <w:t xml:space="preserve"> are effective </w:t>
      </w:r>
      <w:r w:rsidR="005C53BE">
        <w:t xml:space="preserve">30 days </w:t>
      </w:r>
      <w:r w:rsidRPr="00C42099">
        <w:rPr>
          <w:spacing w:val="-3"/>
        </w:rPr>
        <w:t xml:space="preserve">after the date of publication of the summary of this </w:t>
      </w:r>
      <w:r w:rsidRPr="00E67BCA">
        <w:rPr>
          <w:spacing w:val="-3"/>
        </w:rPr>
        <w:t>Report and Order</w:t>
      </w:r>
      <w:r w:rsidRPr="00C42099">
        <w:rPr>
          <w:spacing w:val="-3"/>
        </w:rPr>
        <w:t xml:space="preserve"> in the Federal Register</w:t>
      </w:r>
      <w:r w:rsidRPr="00373FD4" w:rsidR="00373FD4">
        <w:t xml:space="preserve"> </w:t>
      </w:r>
      <w:r w:rsidRPr="00116FAD" w:rsidR="00373FD4">
        <w:t>provided, however, that the revision to section 1.8002(b)(2) of the Commission’s rules shall not be effective until the non-substantive change to an information collection effected by that revision has been approved by OMB.  The Commission will publish a notice in the Federal Register announcing when OMB approval for this rule change has been received.</w:t>
      </w:r>
    </w:p>
    <w:p w:rsidR="00071F30" w:rsidRPr="00071F30" w:rsidP="00336ED3" w14:paraId="0EC3A682" w14:textId="77777777">
      <w:pPr>
        <w:pStyle w:val="ParaNum"/>
      </w:pPr>
      <w:r w:rsidRPr="002000CD">
        <w:t>IT IS FURTHER ORDERED</w:t>
      </w:r>
      <w:r>
        <w:t xml:space="preserve"> that this Report and Order SHALL BE EFFECTIVE 30 days after publication of a summary in the Federal Register.</w:t>
      </w:r>
    </w:p>
    <w:p w:rsidR="00071F30" w:rsidRPr="00071F30" w:rsidP="00336ED3" w14:paraId="02D788D8" w14:textId="77777777">
      <w:pPr>
        <w:pStyle w:val="ParaNum"/>
      </w:pPr>
      <w:r>
        <w:t>IT IS FURTHER ORDERED that the Commission SHALL SEND a copy of the Report and Order, in a report to be sent to Congress and the Government Accountability Office pursuant to the Congressional Review Act, 5 U.S.C. § 801(a)(1)(A).</w:t>
      </w:r>
    </w:p>
    <w:p w:rsidR="00071F30" w:rsidRPr="00071F30" w:rsidP="00336ED3" w14:paraId="21A9821D" w14:textId="77777777">
      <w:pPr>
        <w:pStyle w:val="ParaNum"/>
      </w:pPr>
      <w:r>
        <w:t xml:space="preserve">IT IS FURTHER ORDERED that the Commission’s Consumer and Governmental Affairs Bureau, </w:t>
      </w:r>
      <w:r w:rsidRPr="00336ED3">
        <w:t>Reference</w:t>
      </w:r>
      <w:r>
        <w:t xml:space="preserve"> Information Center, SHALL SEND a copy of the Report and Order, including the Final Regulatory Flexibility Analysis, to the Chief Counsel for Advocacy of the Small Business Administration.</w:t>
      </w:r>
    </w:p>
    <w:p w:rsidR="00071F30" w:rsidRPr="00071F30" w:rsidP="00071F30" w14:paraId="7EF15C7D" w14:textId="77777777"/>
    <w:p w:rsidR="00071F30" w:rsidRPr="00071F30" w:rsidP="00071F30" w14:paraId="0C7622F8" w14:textId="77777777">
      <w:pPr>
        <w:ind w:left="4320"/>
      </w:pPr>
      <w:r w:rsidRPr="00071F30">
        <w:t>FEDERAL COMMUNICATIONS COMMISSION</w:t>
      </w:r>
    </w:p>
    <w:p w:rsidR="00071F30" w:rsidRPr="00071F30" w:rsidP="00071F30" w14:paraId="2B284BCD" w14:textId="77777777"/>
    <w:p w:rsidR="00071F30" w:rsidRPr="00071F30" w:rsidP="00071F30" w14:paraId="43F0CACB" w14:textId="77777777"/>
    <w:p w:rsidR="00071F30" w:rsidRPr="00071F30" w:rsidP="00071F30" w14:paraId="07A0A6FD" w14:textId="77777777"/>
    <w:p w:rsidR="00071F30" w:rsidRPr="00071F30" w:rsidP="00071F30" w14:paraId="3932F833" w14:textId="77777777">
      <w:pPr>
        <w:ind w:left="4320"/>
      </w:pPr>
    </w:p>
    <w:p w:rsidR="00071F30" w:rsidRPr="00071F30" w:rsidP="00071F30" w14:paraId="73689085" w14:textId="77777777">
      <w:pPr>
        <w:ind w:left="4320"/>
        <w:sectPr w:rsidSect="00071F30">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cols w:space="720"/>
          <w:noEndnote/>
          <w:titlePg/>
          <w:docGrid w:linePitch="299"/>
        </w:sectPr>
      </w:pPr>
      <w:r w:rsidRPr="00071F30">
        <w:t>Marlene H. Dortch</w:t>
      </w:r>
      <w:r w:rsidRPr="00071F30">
        <w:br/>
        <w:t>Secretary</w:t>
      </w:r>
    </w:p>
    <w:p w:rsidR="00A8561A" w:rsidRPr="00A8561A" w:rsidP="00A8561A" w14:paraId="0D7D2FE9" w14:textId="77777777">
      <w:pPr>
        <w:widowControl/>
        <w:jc w:val="center"/>
        <w:rPr>
          <w:b/>
          <w:snapToGrid/>
          <w:kern w:val="0"/>
        </w:rPr>
      </w:pPr>
      <w:r w:rsidRPr="00A8561A">
        <w:rPr>
          <w:b/>
          <w:snapToGrid/>
          <w:kern w:val="0"/>
        </w:rPr>
        <w:t>APPENDIX A</w:t>
      </w:r>
    </w:p>
    <w:p w:rsidR="00A8561A" w:rsidRPr="00A8561A" w:rsidP="00A8561A" w14:paraId="16A3BF36" w14:textId="77777777">
      <w:pPr>
        <w:widowControl/>
        <w:jc w:val="center"/>
        <w:rPr>
          <w:b/>
          <w:snapToGrid/>
          <w:kern w:val="0"/>
        </w:rPr>
      </w:pPr>
    </w:p>
    <w:p w:rsidR="00A8561A" w:rsidRPr="00A8561A" w:rsidP="00A8561A" w14:paraId="22EB2B9F" w14:textId="77777777">
      <w:pPr>
        <w:widowControl/>
        <w:jc w:val="center"/>
        <w:rPr>
          <w:b/>
          <w:snapToGrid/>
          <w:kern w:val="0"/>
        </w:rPr>
      </w:pPr>
      <w:r w:rsidRPr="00A8561A">
        <w:rPr>
          <w:b/>
          <w:snapToGrid/>
          <w:kern w:val="0"/>
        </w:rPr>
        <w:t>List of Commenters</w:t>
      </w:r>
    </w:p>
    <w:p w:rsidR="00A8561A" w:rsidRPr="00A8561A" w:rsidP="00A8561A" w14:paraId="32F544A9" w14:textId="77777777">
      <w:pPr>
        <w:widowControl/>
        <w:jc w:val="center"/>
        <w:rPr>
          <w:b/>
          <w:snapToGrid/>
          <w:kern w:val="0"/>
        </w:rPr>
      </w:pPr>
    </w:p>
    <w:p w:rsidR="00A8561A" w:rsidRPr="00A8561A" w:rsidP="00A8561A" w14:paraId="0657CF54" w14:textId="77777777">
      <w:pPr>
        <w:widowControl/>
        <w:jc w:val="both"/>
        <w:rPr>
          <w:b/>
          <w:snapToGrid/>
          <w:kern w:val="0"/>
          <w:szCs w:val="22"/>
          <w:u w:val="single"/>
        </w:rPr>
      </w:pPr>
      <w:r w:rsidRPr="00A8561A">
        <w:rPr>
          <w:b/>
          <w:snapToGrid/>
          <w:kern w:val="0"/>
          <w:szCs w:val="22"/>
          <w:u w:val="single"/>
        </w:rPr>
        <w:t>Comments</w:t>
      </w:r>
    </w:p>
    <w:p w:rsidR="00A8561A" w:rsidRPr="00A8561A" w:rsidP="00A8561A" w14:paraId="71B98B60" w14:textId="77777777">
      <w:pPr>
        <w:widowControl/>
        <w:jc w:val="both"/>
        <w:rPr>
          <w:snapToGrid/>
          <w:color w:val="000000"/>
          <w:kern w:val="0"/>
          <w:szCs w:val="22"/>
        </w:rPr>
      </w:pPr>
    </w:p>
    <w:p w:rsidR="00A8561A" w:rsidRPr="00A8561A" w:rsidP="00A8561A" w14:paraId="7624D51D" w14:textId="77777777">
      <w:pPr>
        <w:widowControl/>
        <w:jc w:val="both"/>
        <w:rPr>
          <w:snapToGrid/>
          <w:color w:val="000000"/>
          <w:kern w:val="0"/>
          <w:szCs w:val="22"/>
        </w:rPr>
      </w:pPr>
      <w:r w:rsidRPr="00A8561A">
        <w:rPr>
          <w:snapToGrid/>
          <w:color w:val="000000"/>
          <w:kern w:val="0"/>
          <w:szCs w:val="22"/>
        </w:rPr>
        <w:t>ARRL (formerly known as the American Radio Relay League) (“ARRL”)</w:t>
      </w:r>
    </w:p>
    <w:p w:rsidR="00A8561A" w:rsidRPr="00A8561A" w:rsidP="00A8561A" w14:paraId="7E10A175" w14:textId="77777777">
      <w:pPr>
        <w:widowControl/>
        <w:jc w:val="both"/>
        <w:rPr>
          <w:snapToGrid/>
          <w:color w:val="000000"/>
          <w:kern w:val="0"/>
          <w:szCs w:val="22"/>
        </w:rPr>
      </w:pPr>
      <w:r w:rsidRPr="00A8561A">
        <w:rPr>
          <w:snapToGrid/>
          <w:color w:val="000000"/>
          <w:kern w:val="0"/>
          <w:szCs w:val="22"/>
        </w:rPr>
        <w:t>The Boeing Company (“Boeing”)</w:t>
      </w:r>
    </w:p>
    <w:p w:rsidR="00A8561A" w:rsidRPr="00A8561A" w:rsidP="00A8561A" w14:paraId="5F0F034F" w14:textId="77777777">
      <w:pPr>
        <w:widowControl/>
        <w:jc w:val="both"/>
        <w:rPr>
          <w:snapToGrid/>
          <w:color w:val="000000"/>
          <w:kern w:val="0"/>
          <w:szCs w:val="22"/>
        </w:rPr>
      </w:pPr>
      <w:r w:rsidRPr="00A8561A">
        <w:rPr>
          <w:snapToGrid/>
          <w:color w:val="000000"/>
          <w:kern w:val="0"/>
          <w:szCs w:val="22"/>
        </w:rPr>
        <w:t>Frontier Communications Corp. (“Frontier”)</w:t>
      </w:r>
    </w:p>
    <w:p w:rsidR="00A8561A" w:rsidRPr="00A8561A" w:rsidP="00A8561A" w14:paraId="5DFEC6A3" w14:textId="77777777">
      <w:pPr>
        <w:widowControl/>
        <w:jc w:val="both"/>
        <w:rPr>
          <w:snapToGrid/>
          <w:color w:val="000000"/>
          <w:kern w:val="0"/>
          <w:szCs w:val="22"/>
        </w:rPr>
      </w:pPr>
      <w:r w:rsidRPr="00A8561A">
        <w:rPr>
          <w:snapToGrid/>
          <w:color w:val="000000"/>
          <w:kern w:val="0"/>
          <w:szCs w:val="22"/>
        </w:rPr>
        <w:t>Inmarsat, Inc. and Vodafone Americas, Inc. (“Inmarsat”)</w:t>
      </w:r>
    </w:p>
    <w:p w:rsidR="00A8561A" w:rsidRPr="00A8561A" w:rsidP="00A8561A" w14:paraId="12174C5C" w14:textId="77777777">
      <w:pPr>
        <w:widowControl/>
        <w:jc w:val="both"/>
        <w:rPr>
          <w:snapToGrid/>
          <w:color w:val="000000"/>
          <w:kern w:val="0"/>
          <w:szCs w:val="22"/>
        </w:rPr>
      </w:pPr>
      <w:r w:rsidRPr="00A8561A">
        <w:rPr>
          <w:snapToGrid/>
          <w:color w:val="000000"/>
          <w:kern w:val="0"/>
          <w:szCs w:val="22"/>
        </w:rPr>
        <w:t>Sprint Nextel Corp. (“Sprint”)</w:t>
      </w:r>
    </w:p>
    <w:p w:rsidR="00A8561A" w:rsidRPr="00A8561A" w:rsidP="00A8561A" w14:paraId="22D9238A" w14:textId="77777777">
      <w:pPr>
        <w:widowControl/>
        <w:jc w:val="both"/>
        <w:rPr>
          <w:snapToGrid/>
          <w:color w:val="000000"/>
          <w:kern w:val="0"/>
          <w:szCs w:val="22"/>
        </w:rPr>
      </w:pPr>
    </w:p>
    <w:p w:rsidR="00A8561A" w:rsidRPr="00A8561A" w:rsidP="00A8561A" w14:paraId="7F352EDC" w14:textId="77777777">
      <w:pPr>
        <w:widowControl/>
        <w:jc w:val="both"/>
        <w:rPr>
          <w:b/>
          <w:snapToGrid/>
          <w:color w:val="000000"/>
          <w:kern w:val="0"/>
          <w:szCs w:val="22"/>
          <w:u w:val="single"/>
        </w:rPr>
      </w:pPr>
      <w:r w:rsidRPr="00A8561A">
        <w:rPr>
          <w:b/>
          <w:snapToGrid/>
          <w:color w:val="000000"/>
          <w:kern w:val="0"/>
          <w:szCs w:val="22"/>
          <w:u w:val="single"/>
        </w:rPr>
        <w:t>Reply Comments</w:t>
      </w:r>
    </w:p>
    <w:p w:rsidR="00A8561A" w:rsidRPr="00A8561A" w:rsidP="00A8561A" w14:paraId="3653A3EF" w14:textId="77777777">
      <w:pPr>
        <w:widowControl/>
        <w:jc w:val="both"/>
        <w:rPr>
          <w:snapToGrid/>
          <w:color w:val="000000"/>
          <w:kern w:val="0"/>
          <w:szCs w:val="22"/>
        </w:rPr>
      </w:pPr>
    </w:p>
    <w:p w:rsidR="00A8561A" w:rsidRPr="00A8561A" w:rsidP="00A8561A" w14:paraId="41C4E4F6" w14:textId="77777777">
      <w:pPr>
        <w:widowControl/>
        <w:jc w:val="both"/>
        <w:rPr>
          <w:snapToGrid/>
          <w:color w:val="000000"/>
          <w:kern w:val="0"/>
          <w:szCs w:val="22"/>
        </w:rPr>
      </w:pPr>
      <w:r w:rsidRPr="00A8561A">
        <w:rPr>
          <w:snapToGrid/>
          <w:color w:val="000000"/>
          <w:kern w:val="0"/>
          <w:szCs w:val="22"/>
        </w:rPr>
        <w:t>AT&amp;T Inc. (“AT&amp;T”)</w:t>
      </w:r>
    </w:p>
    <w:p w:rsidR="00A8561A" w:rsidP="00A8561A" w14:paraId="399082BD" w14:textId="77777777">
      <w:pPr>
        <w:widowControl/>
        <w:jc w:val="both"/>
        <w:rPr>
          <w:snapToGrid/>
          <w:color w:val="000000"/>
          <w:kern w:val="0"/>
          <w:szCs w:val="22"/>
        </w:rPr>
      </w:pPr>
      <w:r w:rsidRPr="00A8561A">
        <w:rPr>
          <w:snapToGrid/>
          <w:color w:val="000000"/>
          <w:kern w:val="0"/>
          <w:szCs w:val="22"/>
        </w:rPr>
        <w:t>Blooston</w:t>
      </w:r>
      <w:r w:rsidRPr="00A8561A">
        <w:rPr>
          <w:snapToGrid/>
          <w:color w:val="000000"/>
          <w:kern w:val="0"/>
          <w:szCs w:val="22"/>
        </w:rPr>
        <w:t xml:space="preserve">, </w:t>
      </w:r>
      <w:r w:rsidRPr="00A8561A">
        <w:rPr>
          <w:snapToGrid/>
          <w:color w:val="000000"/>
          <w:kern w:val="0"/>
          <w:szCs w:val="22"/>
        </w:rPr>
        <w:t>Mordkofsky</w:t>
      </w:r>
      <w:r w:rsidRPr="00A8561A">
        <w:rPr>
          <w:snapToGrid/>
          <w:color w:val="000000"/>
          <w:kern w:val="0"/>
          <w:szCs w:val="22"/>
        </w:rPr>
        <w:t>, Dickens, Duffy &amp; Prendergast, LLP (“</w:t>
      </w:r>
      <w:r w:rsidRPr="00A8561A">
        <w:rPr>
          <w:snapToGrid/>
          <w:color w:val="000000"/>
          <w:kern w:val="0"/>
          <w:szCs w:val="22"/>
        </w:rPr>
        <w:t>Blooston</w:t>
      </w:r>
      <w:r w:rsidRPr="00A8561A">
        <w:rPr>
          <w:snapToGrid/>
          <w:color w:val="000000"/>
          <w:kern w:val="0"/>
          <w:szCs w:val="22"/>
        </w:rPr>
        <w:t xml:space="preserve"> Law”)</w:t>
      </w:r>
    </w:p>
    <w:p w:rsidR="008F560A" w:rsidP="00A8561A" w14:paraId="77F47089" w14:textId="77777777">
      <w:pPr>
        <w:widowControl/>
        <w:jc w:val="both"/>
        <w:rPr>
          <w:snapToGrid/>
          <w:color w:val="000000"/>
          <w:kern w:val="0"/>
          <w:szCs w:val="22"/>
        </w:rPr>
      </w:pPr>
    </w:p>
    <w:p w:rsidR="00A8561A" w:rsidRPr="00A8561A" w:rsidP="00A8561A" w14:paraId="778E3CD7" w14:textId="77777777">
      <w:pPr>
        <w:widowControl/>
        <w:jc w:val="both"/>
        <w:rPr>
          <w:snapToGrid/>
          <w:color w:val="000000"/>
          <w:kern w:val="0"/>
          <w:szCs w:val="22"/>
        </w:rPr>
      </w:pPr>
    </w:p>
    <w:p w:rsidR="00071F30" w:rsidRPr="00071F30" w:rsidP="00071F30" w14:paraId="26C0F4B9" w14:textId="77777777">
      <w:pPr>
        <w:sectPr w:rsidSect="00071F30">
          <w:footnotePr>
            <w:numRestart w:val="eachSect"/>
          </w:footnotePr>
          <w:endnotePr>
            <w:numFmt w:val="decimal"/>
          </w:endnotePr>
          <w:pgSz w:w="12240" w:h="15840"/>
          <w:pgMar w:top="1440" w:right="1440" w:bottom="720" w:left="1440" w:header="720" w:footer="720" w:gutter="0"/>
          <w:cols w:space="720"/>
          <w:noEndnote/>
          <w:docGrid w:linePitch="299"/>
        </w:sectPr>
      </w:pPr>
    </w:p>
    <w:bookmarkEnd w:id="0"/>
    <w:p w:rsidR="00CF0D30" w:rsidRPr="00071F30" w:rsidP="00CF0D30" w14:paraId="53793758" w14:textId="77777777">
      <w:pPr>
        <w:spacing w:after="120"/>
        <w:jc w:val="center"/>
        <w:rPr>
          <w:b/>
          <w:bCs/>
          <w:caps/>
        </w:rPr>
      </w:pPr>
      <w:r w:rsidRPr="00071F30">
        <w:rPr>
          <w:b/>
          <w:bCs/>
          <w:caps/>
        </w:rPr>
        <w:t>APPENDIX B</w:t>
      </w:r>
    </w:p>
    <w:p w:rsidR="00CF0D30" w:rsidRPr="00071F30" w:rsidP="00CF0D30" w14:paraId="6C4D1883" w14:textId="77777777">
      <w:pPr>
        <w:spacing w:after="120"/>
        <w:jc w:val="center"/>
        <w:rPr>
          <w:b/>
          <w:bCs/>
          <w:caps/>
        </w:rPr>
      </w:pPr>
      <w:r w:rsidRPr="00071F30">
        <w:rPr>
          <w:b/>
          <w:bCs/>
          <w:caps/>
        </w:rPr>
        <w:t>FINAL RULES</w:t>
      </w:r>
    </w:p>
    <w:p w:rsidR="008F560A" w:rsidRPr="008F560A" w:rsidP="008F560A" w14:paraId="64B248DB" w14:textId="218B4C14">
      <w:pPr>
        <w:widowControl/>
        <w:ind w:firstLine="720"/>
        <w:rPr>
          <w:snapToGrid/>
          <w:color w:val="000000"/>
          <w:kern w:val="0"/>
          <w:szCs w:val="22"/>
        </w:rPr>
      </w:pPr>
      <w:r w:rsidRPr="00122D99">
        <w:rPr>
          <w:snapToGrid/>
          <w:color w:val="000000"/>
          <w:kern w:val="0"/>
          <w:szCs w:val="22"/>
        </w:rPr>
        <w:t xml:space="preserve">For the reasons set forth above, Part </w:t>
      </w:r>
      <w:r>
        <w:rPr>
          <w:snapToGrid/>
          <w:color w:val="000000"/>
          <w:kern w:val="0"/>
          <w:szCs w:val="22"/>
        </w:rPr>
        <w:t>1</w:t>
      </w:r>
      <w:r w:rsidRPr="00122D99">
        <w:rPr>
          <w:snapToGrid/>
          <w:color w:val="000000"/>
          <w:kern w:val="0"/>
          <w:szCs w:val="22"/>
        </w:rPr>
        <w:t xml:space="preserve"> of Title 47 of the Code of Federal Regulations is amended as follows: </w:t>
      </w:r>
    </w:p>
    <w:p w:rsidR="008F560A" w:rsidRPr="008F560A" w:rsidP="008F560A" w14:paraId="26A1EFB9" w14:textId="77777777">
      <w:pPr>
        <w:widowControl/>
        <w:rPr>
          <w:snapToGrid/>
          <w:color w:val="000000"/>
          <w:kern w:val="0"/>
          <w:szCs w:val="22"/>
        </w:rPr>
      </w:pPr>
    </w:p>
    <w:p w:rsidR="008F560A" w:rsidRPr="008F560A" w:rsidP="00122D99" w14:paraId="2D7650D8" w14:textId="77777777">
      <w:pPr>
        <w:widowControl/>
        <w:tabs>
          <w:tab w:val="left" w:pos="1440"/>
        </w:tabs>
        <w:rPr>
          <w:b/>
          <w:snapToGrid/>
          <w:color w:val="000000"/>
          <w:kern w:val="0"/>
          <w:szCs w:val="22"/>
          <w:shd w:val="clear" w:color="auto" w:fill="FFFFFF"/>
        </w:rPr>
      </w:pPr>
      <w:r w:rsidRPr="008F560A">
        <w:rPr>
          <w:b/>
          <w:snapToGrid/>
          <w:color w:val="000000"/>
          <w:kern w:val="0"/>
          <w:szCs w:val="22"/>
          <w:shd w:val="clear" w:color="auto" w:fill="FFFFFF"/>
        </w:rPr>
        <w:t>PART 1 – PRACTICE AND PROCEDURE</w:t>
      </w:r>
    </w:p>
    <w:p w:rsidR="00122D99" w:rsidP="008F560A" w14:paraId="73D2B25E" w14:textId="77777777">
      <w:pPr>
        <w:widowControl/>
        <w:spacing w:after="100" w:afterAutospacing="1"/>
        <w:rPr>
          <w:snapToGrid/>
          <w:kern w:val="0"/>
        </w:rPr>
      </w:pPr>
    </w:p>
    <w:p w:rsidR="008F560A" w:rsidRPr="008F560A" w:rsidP="008F560A" w14:paraId="3FBDF074" w14:textId="78FBED7C">
      <w:pPr>
        <w:widowControl/>
        <w:spacing w:after="100" w:afterAutospacing="1"/>
        <w:rPr>
          <w:snapToGrid/>
          <w:kern w:val="0"/>
        </w:rPr>
      </w:pPr>
      <w:r w:rsidRPr="008F560A">
        <w:rPr>
          <w:snapToGrid/>
          <w:kern w:val="0"/>
        </w:rPr>
        <w:t xml:space="preserve">1.  The authority citation for Part 1 continues to read as follows:  </w:t>
      </w:r>
    </w:p>
    <w:p w:rsidR="008F560A" w:rsidP="00117B89" w14:paraId="595B7313" w14:textId="676275AE">
      <w:pPr>
        <w:widowControl/>
        <w:spacing w:after="100" w:afterAutospacing="1"/>
      </w:pPr>
      <w:r>
        <w:t>AUTHORITY: 47 U.S.C. 151, 154(i) and (j), 155, 157, 160, 201, 224, 225, 227, 303, 309, 310, 332, 1403, 1404, 1451, 1452, and 1455.</w:t>
      </w:r>
    </w:p>
    <w:p w:rsidR="00122D99" w:rsidRPr="008F560A" w:rsidP="00117B89" w14:paraId="47497132" w14:textId="4DE104E7">
      <w:pPr>
        <w:widowControl/>
        <w:spacing w:after="100" w:afterAutospacing="1"/>
        <w:rPr>
          <w:snapToGrid/>
          <w:kern w:val="0"/>
          <w:szCs w:val="22"/>
        </w:rPr>
      </w:pPr>
      <w:r>
        <w:rPr>
          <w:snapToGrid/>
          <w:kern w:val="0"/>
          <w:szCs w:val="22"/>
        </w:rPr>
        <w:t>SUBPART W</w:t>
      </w:r>
      <w:r w:rsidRPr="008F560A">
        <w:rPr>
          <w:snapToGrid/>
          <w:kern w:val="0"/>
          <w:szCs w:val="22"/>
        </w:rPr>
        <w:t xml:space="preserve">—FCC </w:t>
      </w:r>
      <w:r>
        <w:rPr>
          <w:snapToGrid/>
          <w:kern w:val="0"/>
          <w:szCs w:val="22"/>
        </w:rPr>
        <w:t>REGISTRATION NUMBER</w:t>
      </w:r>
    </w:p>
    <w:p w:rsidR="008F560A" w:rsidRPr="008F560A" w:rsidP="008F560A" w14:paraId="245A8E33" w14:textId="5CCC3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snapToGrid/>
          <w:color w:val="000000"/>
          <w:kern w:val="0"/>
          <w:szCs w:val="22"/>
          <w:shd w:val="clear" w:color="auto" w:fill="FFFFFF"/>
        </w:rPr>
      </w:pPr>
      <w:r>
        <w:rPr>
          <w:snapToGrid/>
          <w:kern w:val="0"/>
        </w:rPr>
        <w:t>2</w:t>
      </w:r>
      <w:r w:rsidRPr="008F560A">
        <w:rPr>
          <w:snapToGrid/>
          <w:kern w:val="0"/>
        </w:rPr>
        <w:t>.  Amend § 1.8002 by revising paragraph (b)(1) and (</w:t>
      </w:r>
      <w:r w:rsidR="003E58D9">
        <w:rPr>
          <w:snapToGrid/>
          <w:kern w:val="0"/>
        </w:rPr>
        <w:t>2</w:t>
      </w:r>
      <w:r w:rsidRPr="008F560A">
        <w:rPr>
          <w:snapToGrid/>
          <w:kern w:val="0"/>
        </w:rPr>
        <w:t>) to read as follows:</w:t>
      </w:r>
    </w:p>
    <w:p w:rsidR="008F560A" w:rsidRPr="008F560A" w:rsidP="008F560A" w14:paraId="410DFC64" w14:textId="5ED24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b/>
          <w:snapToGrid/>
          <w:kern w:val="0"/>
          <w:szCs w:val="22"/>
        </w:rPr>
      </w:pPr>
      <w:r w:rsidRPr="008F560A">
        <w:rPr>
          <w:b/>
          <w:snapToGrid/>
          <w:kern w:val="0"/>
          <w:szCs w:val="22"/>
        </w:rPr>
        <w:t>§ 1.8002  Obtaining an FRN</w:t>
      </w:r>
      <w:r w:rsidR="00F04929">
        <w:rPr>
          <w:b/>
          <w:snapToGrid/>
          <w:kern w:val="0"/>
          <w:szCs w:val="22"/>
        </w:rPr>
        <w:t>.</w:t>
      </w:r>
    </w:p>
    <w:p w:rsidR="008F560A" w:rsidRPr="008F560A" w:rsidP="008F560A" w14:paraId="50985534" w14:textId="77777777">
      <w:pPr>
        <w:widowControl/>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snapToGrid/>
          <w:kern w:val="0"/>
          <w:szCs w:val="22"/>
        </w:rPr>
      </w:pPr>
      <w:r w:rsidRPr="008F560A">
        <w:rPr>
          <w:snapToGrid/>
          <w:kern w:val="0"/>
          <w:szCs w:val="22"/>
        </w:rPr>
        <w:t xml:space="preserve">    </w:t>
      </w:r>
      <w:r w:rsidRPr="008F560A">
        <w:rPr>
          <w:snapToGrid/>
          <w:kern w:val="0"/>
          <w:szCs w:val="22"/>
        </w:rPr>
        <w:tab/>
        <w:t xml:space="preserve">(a) </w:t>
      </w:r>
      <w:r w:rsidRPr="008F560A">
        <w:rPr>
          <w:snapToGrid/>
          <w:kern w:val="0"/>
          <w:szCs w:val="22"/>
        </w:rPr>
        <w:tab/>
        <w:t xml:space="preserve">* * * </w:t>
      </w:r>
    </w:p>
    <w:p w:rsidR="00864E90" w:rsidP="008F560A" w14:paraId="7F0993AA" w14:textId="77777777">
      <w:pPr>
        <w:spacing w:after="120"/>
        <w:rPr>
          <w:snapToGrid/>
          <w:kern w:val="0"/>
          <w:szCs w:val="22"/>
        </w:rPr>
      </w:pPr>
      <w:r w:rsidRPr="008F560A">
        <w:rPr>
          <w:snapToGrid/>
          <w:kern w:val="0"/>
          <w:szCs w:val="22"/>
        </w:rPr>
        <w:t xml:space="preserve">    </w:t>
      </w:r>
      <w:r w:rsidRPr="008F560A">
        <w:rPr>
          <w:snapToGrid/>
          <w:kern w:val="0"/>
          <w:szCs w:val="22"/>
        </w:rPr>
        <w:tab/>
        <w:t xml:space="preserve">(b)(1) </w:t>
      </w:r>
      <w:r w:rsidRPr="008F560A">
        <w:rPr>
          <w:snapToGrid/>
          <w:kern w:val="0"/>
          <w:szCs w:val="22"/>
        </w:rPr>
        <w:tab/>
        <w:t xml:space="preserve">When registering for an FRN through the CORES, an entity’s name, entity type, contact name and title, address, valid e-mail address, and taxpayer identifying number (TIN) must be provided.  </w:t>
      </w:r>
      <w:r w:rsidR="005E34C1">
        <w:rPr>
          <w:snapToGrid/>
          <w:kern w:val="0"/>
          <w:szCs w:val="22"/>
        </w:rPr>
        <w:t xml:space="preserve">For individuals, the TIN is the </w:t>
      </w:r>
      <w:r w:rsidR="00C73B86">
        <w:rPr>
          <w:snapToGrid/>
          <w:kern w:val="0"/>
          <w:szCs w:val="22"/>
        </w:rPr>
        <w:t>s</w:t>
      </w:r>
      <w:r w:rsidR="005E34C1">
        <w:rPr>
          <w:snapToGrid/>
          <w:kern w:val="0"/>
          <w:szCs w:val="22"/>
        </w:rPr>
        <w:t xml:space="preserve">ocial </w:t>
      </w:r>
      <w:r w:rsidR="00C73B86">
        <w:rPr>
          <w:snapToGrid/>
          <w:kern w:val="0"/>
          <w:szCs w:val="22"/>
        </w:rPr>
        <w:t>s</w:t>
      </w:r>
      <w:r w:rsidR="005E34C1">
        <w:rPr>
          <w:snapToGrid/>
          <w:kern w:val="0"/>
          <w:szCs w:val="22"/>
        </w:rPr>
        <w:t xml:space="preserve">ecurity </w:t>
      </w:r>
      <w:r w:rsidR="00C73B86">
        <w:rPr>
          <w:snapToGrid/>
          <w:kern w:val="0"/>
          <w:szCs w:val="22"/>
        </w:rPr>
        <w:t>n</w:t>
      </w:r>
      <w:r w:rsidR="005E34C1">
        <w:rPr>
          <w:snapToGrid/>
          <w:kern w:val="0"/>
          <w:szCs w:val="22"/>
        </w:rPr>
        <w:t>umber</w:t>
      </w:r>
      <w:r w:rsidR="00A21B28">
        <w:rPr>
          <w:snapToGrid/>
          <w:kern w:val="0"/>
          <w:szCs w:val="22"/>
        </w:rPr>
        <w:t xml:space="preserve"> (SSN)</w:t>
      </w:r>
      <w:r>
        <w:rPr>
          <w:snapToGrid/>
          <w:kern w:val="0"/>
          <w:szCs w:val="22"/>
        </w:rPr>
        <w:t>.</w:t>
      </w:r>
    </w:p>
    <w:p w:rsidR="00864E90" w:rsidP="008F560A" w14:paraId="2D72D08D" w14:textId="77777777">
      <w:pPr>
        <w:spacing w:after="120"/>
        <w:rPr>
          <w:snapToGrid/>
          <w:kern w:val="0"/>
          <w:szCs w:val="22"/>
        </w:rPr>
      </w:pPr>
      <w:r>
        <w:rPr>
          <w:snapToGrid/>
          <w:kern w:val="0"/>
          <w:szCs w:val="22"/>
        </w:rPr>
        <w:tab/>
        <w:t>(b)(2)</w:t>
      </w:r>
      <w:r w:rsidR="00C710CE">
        <w:rPr>
          <w:snapToGrid/>
          <w:kern w:val="0"/>
          <w:szCs w:val="22"/>
        </w:rPr>
        <w:tab/>
      </w:r>
      <w:r w:rsidRPr="00C710CE" w:rsidR="00C710CE">
        <w:rPr>
          <w:snapToGrid/>
          <w:kern w:val="0"/>
          <w:szCs w:val="22"/>
        </w:rPr>
        <w:t>Information listed in (b)(1) must be kept current by registrants either by updating the information on-line at the CORES link at www.fcc.gov or by filing FCC Form 161 (CORES Update/Change Form).</w:t>
      </w:r>
    </w:p>
    <w:p w:rsidR="00864E90" w:rsidP="008F560A" w14:paraId="63C21392" w14:textId="77777777">
      <w:pPr>
        <w:spacing w:after="120"/>
        <w:rPr>
          <w:snapToGrid/>
          <w:kern w:val="0"/>
          <w:szCs w:val="22"/>
        </w:rPr>
      </w:pPr>
    </w:p>
    <w:p w:rsidR="00557880" w:rsidRPr="00864E90" w:rsidP="008F560A" w14:paraId="28B78B5D" w14:textId="7334E319">
      <w:pPr>
        <w:spacing w:after="120"/>
        <w:rPr>
          <w:snapToGrid/>
          <w:kern w:val="0"/>
          <w:szCs w:val="22"/>
        </w:rPr>
        <w:sectPr w:rsidSect="00071F30">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r>
        <w:rPr>
          <w:snapToGrid/>
          <w:kern w:val="0"/>
          <w:szCs w:val="22"/>
        </w:rPr>
        <w:t>3.</w:t>
      </w:r>
      <w:r w:rsidR="00FA4349">
        <w:rPr>
          <w:snapToGrid/>
          <w:kern w:val="0"/>
          <w:szCs w:val="22"/>
        </w:rPr>
        <w:t xml:space="preserve">  </w:t>
      </w:r>
      <w:r w:rsidRPr="00FA4349" w:rsidR="00FA4349">
        <w:rPr>
          <w:snapToGrid/>
          <w:kern w:val="0"/>
          <w:szCs w:val="22"/>
        </w:rPr>
        <w:t xml:space="preserve">In § </w:t>
      </w:r>
      <w:r w:rsidR="00FA4349">
        <w:rPr>
          <w:snapToGrid/>
          <w:kern w:val="0"/>
          <w:szCs w:val="22"/>
        </w:rPr>
        <w:t>1</w:t>
      </w:r>
      <w:r w:rsidRPr="00FA4349" w:rsidR="00FA4349">
        <w:rPr>
          <w:snapToGrid/>
          <w:kern w:val="0"/>
          <w:szCs w:val="22"/>
        </w:rPr>
        <w:t>.</w:t>
      </w:r>
      <w:r w:rsidR="00FA4349">
        <w:rPr>
          <w:snapToGrid/>
          <w:kern w:val="0"/>
          <w:szCs w:val="22"/>
        </w:rPr>
        <w:t>8002</w:t>
      </w:r>
      <w:r w:rsidRPr="00FA4349" w:rsidR="00FA4349">
        <w:rPr>
          <w:snapToGrid/>
          <w:kern w:val="0"/>
          <w:szCs w:val="22"/>
        </w:rPr>
        <w:t xml:space="preserve"> remove and reserve </w:t>
      </w:r>
      <w:r w:rsidR="00FA4349">
        <w:rPr>
          <w:snapToGrid/>
          <w:kern w:val="0"/>
          <w:szCs w:val="22"/>
        </w:rPr>
        <w:t>sub</w:t>
      </w:r>
      <w:r w:rsidRPr="00FA4349" w:rsidR="00FA4349">
        <w:rPr>
          <w:snapToGrid/>
          <w:kern w:val="0"/>
          <w:szCs w:val="22"/>
        </w:rPr>
        <w:t>paragraph (</w:t>
      </w:r>
      <w:r w:rsidR="00FA4349">
        <w:rPr>
          <w:snapToGrid/>
          <w:kern w:val="0"/>
          <w:szCs w:val="22"/>
        </w:rPr>
        <w:t>e</w:t>
      </w:r>
      <w:r w:rsidRPr="00FA4349" w:rsidR="00FA4349">
        <w:rPr>
          <w:snapToGrid/>
          <w:kern w:val="0"/>
          <w:szCs w:val="22"/>
        </w:rPr>
        <w:t>).</w:t>
      </w:r>
    </w:p>
    <w:p w:rsidR="004C6034" w:rsidRPr="00846A24" w:rsidP="004C6034" w14:paraId="3B7CA9C7" w14:textId="77777777">
      <w:pPr>
        <w:spacing w:after="120"/>
        <w:jc w:val="center"/>
        <w:rPr>
          <w:b/>
          <w:bCs/>
          <w:caps/>
          <w:szCs w:val="22"/>
        </w:rPr>
      </w:pPr>
      <w:r w:rsidRPr="00846A24">
        <w:rPr>
          <w:b/>
          <w:bCs/>
          <w:caps/>
          <w:szCs w:val="22"/>
        </w:rPr>
        <w:t>APPENDIX C</w:t>
      </w:r>
    </w:p>
    <w:p w:rsidR="004C6034" w:rsidRPr="00846A24" w:rsidP="004C6034" w14:paraId="388A0631" w14:textId="77777777">
      <w:pPr>
        <w:spacing w:after="120"/>
        <w:jc w:val="center"/>
        <w:rPr>
          <w:b/>
          <w:bCs/>
          <w:caps/>
          <w:szCs w:val="22"/>
        </w:rPr>
      </w:pPr>
      <w:r w:rsidRPr="00846A24">
        <w:rPr>
          <w:b/>
          <w:bCs/>
          <w:caps/>
          <w:szCs w:val="22"/>
        </w:rPr>
        <w:t>Final Regulatory Flexibility Analysis</w:t>
      </w:r>
    </w:p>
    <w:p w:rsidR="004C6034" w:rsidRPr="00846A24" w:rsidP="004C6034" w14:paraId="221C69E8" w14:textId="77777777">
      <w:pPr>
        <w:spacing w:after="120"/>
        <w:jc w:val="both"/>
        <w:rPr>
          <w:snapToGrid/>
          <w:color w:val="000000"/>
          <w:kern w:val="0"/>
          <w:szCs w:val="22"/>
        </w:rPr>
      </w:pPr>
    </w:p>
    <w:p w:rsidR="004C6034" w:rsidRPr="00336ED3" w:rsidP="00336ED3" w14:paraId="3717B688" w14:textId="77777777">
      <w:pPr>
        <w:pStyle w:val="ParaNum"/>
        <w:numPr>
          <w:ilvl w:val="0"/>
          <w:numId w:val="36"/>
        </w:numPr>
        <w:tabs>
          <w:tab w:val="clear" w:pos="1080"/>
        </w:tabs>
        <w:rPr>
          <w:snapToGrid/>
        </w:rPr>
      </w:pPr>
      <w:r w:rsidRPr="00336ED3">
        <w:rPr>
          <w:snapToGrid/>
        </w:rPr>
        <w:t xml:space="preserve">As required by the Regulatory Flexibility Act of 1980, as amended (“RFA”) we incorporated an Initial Regulatory Flexibility Analysis (IRFA) of the possible significant economic impact on a substantial number of small entities by the policies and rules proposed in the Notice of Proposed Rulemaking (NPRM).  No comments were filed addressing the IRFA.  Because we amend a Commission rule in this Report and Order, we have included this Final Regulatory Flexibility Analysis (FRFA).  This present FRFA conforms to the RFA. </w:t>
      </w:r>
    </w:p>
    <w:p w:rsidR="004C6034" w:rsidRPr="00846A24" w:rsidP="004C6034" w14:paraId="23C263AA" w14:textId="77777777">
      <w:pPr>
        <w:spacing w:after="120"/>
        <w:rPr>
          <w:snapToGrid/>
          <w:color w:val="000000"/>
          <w:kern w:val="0"/>
          <w:szCs w:val="22"/>
        </w:rPr>
      </w:pPr>
      <w:r w:rsidRPr="00110EBD">
        <w:rPr>
          <w:b/>
          <w:bCs/>
          <w:snapToGrid/>
          <w:color w:val="000000"/>
          <w:kern w:val="0"/>
          <w:szCs w:val="22"/>
        </w:rPr>
        <w:t>A.</w:t>
      </w:r>
      <w:r w:rsidRPr="00846A24">
        <w:rPr>
          <w:snapToGrid/>
          <w:color w:val="000000"/>
          <w:kern w:val="0"/>
          <w:szCs w:val="22"/>
        </w:rPr>
        <w:tab/>
      </w:r>
      <w:r w:rsidRPr="00846A24">
        <w:rPr>
          <w:b/>
          <w:snapToGrid/>
          <w:color w:val="000000"/>
          <w:kern w:val="0"/>
          <w:szCs w:val="22"/>
        </w:rPr>
        <w:t>Need for and Objectives of the Proposed Rules</w:t>
      </w:r>
    </w:p>
    <w:p w:rsidR="004C6034" w:rsidRPr="00846A24" w:rsidP="00336ED3" w14:paraId="73762594" w14:textId="6D739D61">
      <w:pPr>
        <w:pStyle w:val="ParaNum"/>
        <w:rPr>
          <w:snapToGrid/>
          <w:color w:val="000000"/>
          <w:kern w:val="0"/>
        </w:rPr>
      </w:pPr>
      <w:r w:rsidRPr="00846A24">
        <w:rPr>
          <w:snapToGrid/>
          <w:color w:val="000000"/>
          <w:kern w:val="0"/>
        </w:rPr>
        <w:t xml:space="preserve">In </w:t>
      </w:r>
      <w:r w:rsidRPr="002F2398">
        <w:rPr>
          <w:snapToGrid/>
        </w:rPr>
        <w:t>this</w:t>
      </w:r>
      <w:r w:rsidRPr="00846A24">
        <w:rPr>
          <w:snapToGrid/>
          <w:color w:val="000000"/>
          <w:kern w:val="0"/>
        </w:rPr>
        <w:t xml:space="preserve"> Report and Order, the Commission </w:t>
      </w:r>
      <w:r w:rsidRPr="00846A24">
        <w:rPr>
          <w:rFonts w:eastAsia="Calibri"/>
        </w:rPr>
        <w:t>amends section 1.8002(b) of the Commission’s rules to require entities and individuals doing business with the Commission</w:t>
      </w:r>
      <w:r w:rsidR="007B27BC">
        <w:rPr>
          <w:rFonts w:eastAsia="Calibri"/>
        </w:rPr>
        <w:t>,</w:t>
      </w:r>
      <w:r w:rsidRPr="00846A24">
        <w:rPr>
          <w:rFonts w:eastAsia="Calibri"/>
        </w:rPr>
        <w:t xml:space="preserve"> </w:t>
      </w:r>
      <w:r w:rsidR="00EA6B71">
        <w:rPr>
          <w:rFonts w:eastAsia="Calibri"/>
        </w:rPr>
        <w:t xml:space="preserve">or seeking to business with the Commission, </w:t>
      </w:r>
      <w:r w:rsidRPr="00846A24">
        <w:rPr>
          <w:rFonts w:eastAsia="Calibri"/>
        </w:rPr>
        <w:t>to provide their e-mail addresses when they register for FRNs and to keep the e-mail information current along with other information used to register</w:t>
      </w:r>
      <w:r w:rsidRPr="00846A24">
        <w:rPr>
          <w:snapToGrid/>
          <w:color w:val="000000"/>
          <w:kern w:val="0"/>
        </w:rPr>
        <w:t>.</w:t>
      </w:r>
      <w:r>
        <w:rPr>
          <w:rStyle w:val="FootnoteReference"/>
          <w:snapToGrid/>
          <w:kern w:val="0"/>
          <w:sz w:val="22"/>
          <w:szCs w:val="22"/>
        </w:rPr>
        <w:footnoteReference w:id="34"/>
      </w:r>
      <w:r w:rsidRPr="00846A24">
        <w:rPr>
          <w:snapToGrid/>
          <w:color w:val="000000"/>
          <w:kern w:val="0"/>
        </w:rPr>
        <w:t xml:space="preserve">  This change finalizes the requirement for CORES users to provide e-mail address information as part of FRN registration</w:t>
      </w:r>
      <w:r w:rsidR="00EA6B71">
        <w:rPr>
          <w:snapToGrid/>
          <w:color w:val="000000"/>
          <w:kern w:val="0"/>
        </w:rPr>
        <w:t>:</w:t>
      </w:r>
      <w:r w:rsidRPr="00846A24">
        <w:rPr>
          <w:snapToGrid/>
          <w:color w:val="000000"/>
          <w:kern w:val="0"/>
        </w:rPr>
        <w:t xml:space="preserve"> e-mail address submission is a requirement only in the newer, modernized version of CORES.  With this change, the Commission will be able to end access to </w:t>
      </w:r>
      <w:r w:rsidR="00EA6B71">
        <w:rPr>
          <w:snapToGrid/>
          <w:color w:val="000000"/>
          <w:kern w:val="0"/>
        </w:rPr>
        <w:t>the original “</w:t>
      </w:r>
      <w:r w:rsidRPr="00846A24">
        <w:rPr>
          <w:snapToGrid/>
          <w:color w:val="000000"/>
          <w:kern w:val="0"/>
        </w:rPr>
        <w:t>legacy</w:t>
      </w:r>
      <w:r w:rsidR="00EA6B71">
        <w:rPr>
          <w:snapToGrid/>
          <w:color w:val="000000"/>
          <w:kern w:val="0"/>
        </w:rPr>
        <w:t>”</w:t>
      </w:r>
      <w:r w:rsidRPr="00846A24">
        <w:rPr>
          <w:snapToGrid/>
          <w:color w:val="000000"/>
          <w:kern w:val="0"/>
        </w:rPr>
        <w:t xml:space="preserve"> CORES </w:t>
      </w:r>
      <w:r w:rsidR="00EA6B71">
        <w:rPr>
          <w:snapToGrid/>
          <w:color w:val="000000"/>
          <w:kern w:val="0"/>
        </w:rPr>
        <w:t>that has been available since the Commission established CORES in 2000</w:t>
      </w:r>
      <w:r w:rsidR="00F728C4">
        <w:rPr>
          <w:snapToGrid/>
          <w:color w:val="000000"/>
          <w:kern w:val="0"/>
        </w:rPr>
        <w:t xml:space="preserve"> for FRN registration</w:t>
      </w:r>
      <w:r w:rsidR="00EA6B71">
        <w:rPr>
          <w:snapToGrid/>
          <w:color w:val="000000"/>
          <w:kern w:val="0"/>
        </w:rPr>
        <w:t xml:space="preserve">, </w:t>
      </w:r>
      <w:r w:rsidRPr="00846A24">
        <w:rPr>
          <w:snapToGrid/>
          <w:color w:val="000000"/>
          <w:kern w:val="0"/>
        </w:rPr>
        <w:t>a</w:t>
      </w:r>
      <w:r>
        <w:rPr>
          <w:snapToGrid/>
          <w:color w:val="000000"/>
          <w:kern w:val="0"/>
        </w:rPr>
        <w:t>nd</w:t>
      </w:r>
      <w:r w:rsidRPr="00846A24">
        <w:rPr>
          <w:snapToGrid/>
          <w:color w:val="000000"/>
          <w:kern w:val="0"/>
        </w:rPr>
        <w:t xml:space="preserve"> transition</w:t>
      </w:r>
      <w:r>
        <w:rPr>
          <w:snapToGrid/>
          <w:color w:val="000000"/>
          <w:kern w:val="0"/>
        </w:rPr>
        <w:t xml:space="preserve"> CORES</w:t>
      </w:r>
      <w:r w:rsidRPr="00846A24">
        <w:rPr>
          <w:snapToGrid/>
          <w:color w:val="000000"/>
          <w:kern w:val="0"/>
        </w:rPr>
        <w:t xml:space="preserve"> users to the updated version of CORES for FRN registration</w:t>
      </w:r>
      <w:r w:rsidR="00282641">
        <w:rPr>
          <w:snapToGrid/>
          <w:color w:val="000000"/>
          <w:kern w:val="0"/>
        </w:rPr>
        <w:t>.</w:t>
      </w:r>
      <w:r w:rsidRPr="00846A24">
        <w:rPr>
          <w:snapToGrid/>
          <w:color w:val="000000"/>
          <w:kern w:val="0"/>
        </w:rPr>
        <w:t xml:space="preserve"> </w:t>
      </w:r>
      <w:r w:rsidR="00EA6B71">
        <w:rPr>
          <w:snapToGrid/>
          <w:color w:val="000000"/>
          <w:kern w:val="0"/>
        </w:rPr>
        <w:t xml:space="preserve"> </w:t>
      </w:r>
      <w:r w:rsidR="00282641">
        <w:rPr>
          <w:snapToGrid/>
          <w:color w:val="000000"/>
          <w:kern w:val="0"/>
        </w:rPr>
        <w:t xml:space="preserve">The updated version of CORES </w:t>
      </w:r>
      <w:r w:rsidR="00F728C4">
        <w:rPr>
          <w:snapToGrid/>
          <w:color w:val="000000"/>
          <w:kern w:val="0"/>
        </w:rPr>
        <w:t xml:space="preserve">that will replace legacy CORES </w:t>
      </w:r>
      <w:r w:rsidRPr="00846A24">
        <w:rPr>
          <w:snapToGrid/>
          <w:color w:val="000000"/>
          <w:kern w:val="0"/>
        </w:rPr>
        <w:t>is a more efficient and secure system for managing the Commission’s financial management matters</w:t>
      </w:r>
      <w:r w:rsidR="00F728C4">
        <w:rPr>
          <w:snapToGrid/>
          <w:color w:val="000000"/>
          <w:kern w:val="0"/>
        </w:rPr>
        <w:t xml:space="preserve"> becaus</w:t>
      </w:r>
      <w:r w:rsidR="00D178AD">
        <w:rPr>
          <w:snapToGrid/>
          <w:color w:val="000000"/>
          <w:kern w:val="0"/>
        </w:rPr>
        <w:t>e</w:t>
      </w:r>
      <w:r w:rsidR="008A7CC8">
        <w:rPr>
          <w:snapToGrid/>
          <w:color w:val="000000"/>
          <w:kern w:val="0"/>
        </w:rPr>
        <w:t xml:space="preserve"> </w:t>
      </w:r>
      <w:r w:rsidR="00F728C4">
        <w:rPr>
          <w:snapToGrid/>
          <w:color w:val="000000"/>
          <w:kern w:val="0"/>
        </w:rPr>
        <w:t xml:space="preserve">it will </w:t>
      </w:r>
      <w:r w:rsidRPr="00F728C4" w:rsidR="00F728C4">
        <w:rPr>
          <w:snapToGrid/>
          <w:color w:val="000000"/>
          <w:kern w:val="0"/>
        </w:rPr>
        <w:t>allow the Commission to e-mail</w:t>
      </w:r>
      <w:r w:rsidR="00F728C4">
        <w:rPr>
          <w:snapToGrid/>
          <w:color w:val="000000"/>
          <w:kern w:val="0"/>
        </w:rPr>
        <w:t xml:space="preserve"> </w:t>
      </w:r>
      <w:r w:rsidRPr="00F728C4" w:rsidR="00F728C4">
        <w:rPr>
          <w:snapToGrid/>
          <w:color w:val="000000"/>
          <w:kern w:val="0"/>
        </w:rPr>
        <w:t xml:space="preserve">CORES registrants CORES and FRN-related information rather than </w:t>
      </w:r>
      <w:r w:rsidR="00F728C4">
        <w:rPr>
          <w:snapToGrid/>
          <w:color w:val="000000"/>
          <w:kern w:val="0"/>
        </w:rPr>
        <w:t xml:space="preserve">require the use of U.S. Postal Service delivery, </w:t>
      </w:r>
      <w:r w:rsidR="00D178AD">
        <w:rPr>
          <w:snapToGrid/>
          <w:color w:val="000000"/>
          <w:kern w:val="0"/>
        </w:rPr>
        <w:t>and t</w:t>
      </w:r>
      <w:r w:rsidRPr="00D178AD" w:rsidR="00D178AD">
        <w:rPr>
          <w:snapToGrid/>
          <w:color w:val="000000"/>
          <w:kern w:val="0"/>
        </w:rPr>
        <w:t xml:space="preserve">he new CORES </w:t>
      </w:r>
      <w:r w:rsidR="00D178AD">
        <w:rPr>
          <w:snapToGrid/>
          <w:color w:val="000000"/>
          <w:kern w:val="0"/>
        </w:rPr>
        <w:t>employs</w:t>
      </w:r>
      <w:r w:rsidRPr="00D178AD" w:rsidR="00D178AD">
        <w:rPr>
          <w:snapToGrid/>
          <w:color w:val="000000"/>
          <w:kern w:val="0"/>
        </w:rPr>
        <w:t xml:space="preserve"> identity </w:t>
      </w:r>
      <w:r w:rsidR="00D178AD">
        <w:rPr>
          <w:snapToGrid/>
          <w:color w:val="000000"/>
          <w:kern w:val="0"/>
        </w:rPr>
        <w:t xml:space="preserve">and access </w:t>
      </w:r>
      <w:r w:rsidRPr="00D178AD" w:rsidR="00D178AD">
        <w:rPr>
          <w:snapToGrid/>
          <w:color w:val="000000"/>
          <w:kern w:val="0"/>
        </w:rPr>
        <w:t>management for authenticating and authorizing access to the system</w:t>
      </w:r>
      <w:r w:rsidRPr="00846A24">
        <w:rPr>
          <w:snapToGrid/>
          <w:color w:val="000000"/>
          <w:kern w:val="0"/>
        </w:rPr>
        <w:t xml:space="preserve">.  </w:t>
      </w:r>
      <w:r>
        <w:rPr>
          <w:snapToGrid/>
          <w:color w:val="000000"/>
          <w:kern w:val="0"/>
        </w:rPr>
        <w:t>T</w:t>
      </w:r>
      <w:r w:rsidRPr="00846A24">
        <w:rPr>
          <w:snapToGrid/>
          <w:color w:val="000000"/>
          <w:kern w:val="0"/>
        </w:rPr>
        <w:t xml:space="preserve">he e-mail requirements named herein are the only specific requirements being adopted in this Report and Order.  </w:t>
      </w:r>
    </w:p>
    <w:p w:rsidR="004C6034" w:rsidRPr="00846A24" w:rsidP="004C6034" w14:paraId="168CA125" w14:textId="77777777">
      <w:pPr>
        <w:spacing w:after="120"/>
        <w:rPr>
          <w:snapToGrid/>
          <w:color w:val="000000"/>
          <w:kern w:val="0"/>
          <w:szCs w:val="22"/>
        </w:rPr>
      </w:pPr>
      <w:r w:rsidRPr="00110EBD">
        <w:rPr>
          <w:b/>
          <w:bCs/>
          <w:snapToGrid/>
          <w:color w:val="000000"/>
          <w:kern w:val="0"/>
          <w:szCs w:val="22"/>
        </w:rPr>
        <w:t>B.</w:t>
      </w:r>
      <w:r w:rsidRPr="00846A24">
        <w:rPr>
          <w:snapToGrid/>
          <w:color w:val="000000"/>
          <w:kern w:val="0"/>
          <w:szCs w:val="22"/>
        </w:rPr>
        <w:tab/>
      </w:r>
      <w:r w:rsidRPr="00846A24">
        <w:rPr>
          <w:b/>
          <w:snapToGrid/>
          <w:color w:val="000000"/>
          <w:kern w:val="0"/>
          <w:szCs w:val="22"/>
        </w:rPr>
        <w:t>Summary of Significant Issues Raised by Public Comments in Response to the IRFA</w:t>
      </w:r>
    </w:p>
    <w:p w:rsidR="004C6034" w:rsidRPr="00846A24" w:rsidP="00336ED3" w14:paraId="2C0EBE04" w14:textId="77777777">
      <w:pPr>
        <w:pStyle w:val="ParaNum"/>
        <w:rPr>
          <w:snapToGrid/>
        </w:rPr>
      </w:pPr>
      <w:r w:rsidRPr="002F2398">
        <w:rPr>
          <w:snapToGrid/>
        </w:rPr>
        <w:t>There</w:t>
      </w:r>
      <w:r w:rsidRPr="00846A24">
        <w:rPr>
          <w:snapToGrid/>
        </w:rPr>
        <w:t xml:space="preserve"> were no comments received in response to the IRFA.</w:t>
      </w:r>
    </w:p>
    <w:p w:rsidR="004C6034" w:rsidRPr="00846A24" w:rsidP="004C6034" w14:paraId="4C9C746C" w14:textId="77777777">
      <w:pPr>
        <w:spacing w:after="120"/>
        <w:rPr>
          <w:b/>
          <w:snapToGrid/>
          <w:color w:val="000000"/>
          <w:kern w:val="0"/>
          <w:szCs w:val="22"/>
        </w:rPr>
      </w:pPr>
      <w:r w:rsidRPr="00846A24">
        <w:rPr>
          <w:b/>
          <w:bCs/>
          <w:snapToGrid/>
          <w:color w:val="000000"/>
          <w:kern w:val="0"/>
          <w:szCs w:val="22"/>
        </w:rPr>
        <w:t>C.</w:t>
      </w:r>
      <w:r w:rsidRPr="00846A24">
        <w:rPr>
          <w:b/>
          <w:bCs/>
          <w:snapToGrid/>
          <w:color w:val="000000"/>
          <w:kern w:val="0"/>
          <w:szCs w:val="22"/>
        </w:rPr>
        <w:tab/>
      </w:r>
      <w:r w:rsidRPr="00846A24">
        <w:rPr>
          <w:b/>
          <w:snapToGrid/>
          <w:color w:val="000000"/>
          <w:kern w:val="0"/>
          <w:szCs w:val="22"/>
        </w:rPr>
        <w:t>Response to Comments by the Chief Counsel for Advocacy of the Small Business Administration</w:t>
      </w:r>
    </w:p>
    <w:p w:rsidR="004C6034" w:rsidRPr="00846A24" w:rsidP="00336ED3" w14:paraId="292B2C53" w14:textId="77777777">
      <w:pPr>
        <w:pStyle w:val="ParaNum"/>
        <w:rPr>
          <w:snapToGrid/>
        </w:rPr>
      </w:pPr>
      <w:r w:rsidRPr="002F2398">
        <w:rPr>
          <w:snapToGrid/>
        </w:rPr>
        <w:t>Pursuant</w:t>
      </w:r>
      <w:r w:rsidRPr="00846A24">
        <w:rPr>
          <w:snapToGrid/>
        </w:rPr>
        <w:t xml:space="preserve">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4C6034" w:rsidRPr="00846A24" w:rsidP="004C6034" w14:paraId="785044DD" w14:textId="77777777">
      <w:pPr>
        <w:spacing w:after="120"/>
        <w:rPr>
          <w:b/>
          <w:snapToGrid/>
          <w:color w:val="000000"/>
          <w:kern w:val="0"/>
          <w:szCs w:val="22"/>
        </w:rPr>
      </w:pPr>
      <w:r w:rsidRPr="00846A24">
        <w:rPr>
          <w:b/>
          <w:snapToGrid/>
          <w:color w:val="000000"/>
          <w:kern w:val="0"/>
          <w:szCs w:val="22"/>
        </w:rPr>
        <w:t>D.</w:t>
      </w:r>
      <w:r w:rsidRPr="00846A24">
        <w:rPr>
          <w:b/>
          <w:snapToGrid/>
          <w:color w:val="000000"/>
          <w:kern w:val="0"/>
          <w:szCs w:val="22"/>
        </w:rPr>
        <w:tab/>
        <w:t>Description and Estimate of the Number of Small Entities to Which the Proposed Rules Will Apply</w:t>
      </w:r>
    </w:p>
    <w:p w:rsidR="004C6034" w:rsidRPr="00846A24" w:rsidP="00336ED3" w14:paraId="3A6ED4E3" w14:textId="77777777">
      <w:pPr>
        <w:pStyle w:val="ParaNum"/>
        <w:rPr>
          <w:snapToGrid/>
        </w:rPr>
      </w:pPr>
      <w:r w:rsidRPr="002F2398">
        <w:rPr>
          <w:snapToGrid/>
        </w:rPr>
        <w:t>The</w:t>
      </w:r>
      <w:r w:rsidRPr="00846A24">
        <w:rPr>
          <w:snapToGrid/>
        </w:rPr>
        <w:t xml:space="preserve"> RFA directs agencies to provide a description of and, where feasible, an estimate of the number of small entities that may be affected by the proposed rules, if adopted.  The RFA defines the term “small entity” as having the same meaning as the terms “small business,” “small organization,” and “small governmental jurisdiction.”  In addition, the term “small business” has the same meaning as the </w:t>
      </w:r>
      <w:r w:rsidRPr="00846A24">
        <w:rPr>
          <w:snapToGrid/>
        </w:rPr>
        <w:t xml:space="preserve">term “small business concern” under the Small Business Act.  A small business concern is one which: (1) is independently owned and operated; (2) is not dominant in its field of operation; and (3) satisfies any additional criteria established by the Small Business Administration. </w:t>
      </w:r>
    </w:p>
    <w:p w:rsidR="004C6034" w:rsidP="00336ED3" w14:paraId="48E9D305" w14:textId="77777777">
      <w:pPr>
        <w:pStyle w:val="ParaNum"/>
        <w:rPr>
          <w:snapToGrid/>
        </w:rPr>
      </w:pPr>
      <w:r w:rsidRPr="00846A24">
        <w:rPr>
          <w:snapToGrid/>
        </w:rPr>
        <w:t xml:space="preserve">The changes or additions to the Commission’s Part 1 rules that will be made as a result of the Report and Order are of general applicability to all services, applying to all entities of any size that apply for or hold Commission licenses, permits, certifications, etc., as well as entities or individuals that have attributable ownership interests in such entities, and have already obtained or will in the future obtain a unique identifying number through CORES called an FCC Registration Number, or “FRN.”  </w:t>
      </w:r>
    </w:p>
    <w:p w:rsidR="004C6034" w:rsidRPr="00243CB4" w:rsidP="00336ED3" w14:paraId="4D513664" w14:textId="2D6E29D4">
      <w:pPr>
        <w:pStyle w:val="ParaNum"/>
        <w:rPr>
          <w:snapToGrid/>
          <w:color w:val="000000"/>
        </w:rPr>
      </w:pPr>
      <w:r w:rsidRPr="00846A24">
        <w:rPr>
          <w:rFonts w:eastAsia="Calibri"/>
          <w:b/>
          <w:i/>
          <w:snapToGrid/>
        </w:rPr>
        <w:t>Small Businesses, Small Organizations, Small Governmental Jurisdictions</w:t>
      </w:r>
      <w:r w:rsidRPr="00846A24">
        <w:rPr>
          <w:rFonts w:eastAsia="Calibri"/>
          <w:b/>
          <w:snapToGrid/>
        </w:rPr>
        <w:t>.</w:t>
      </w:r>
      <w:r w:rsidRPr="00846A24">
        <w:rPr>
          <w:rFonts w:eastAsia="Calibri"/>
          <w:snapToGrid/>
        </w:rPr>
        <w:t xml:space="preserve"> </w:t>
      </w:r>
      <w:r w:rsidRPr="00D87D89" w:rsidR="00C86F56">
        <w:t xml:space="preserve">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35"/>
      </w:r>
      <w:r w:rsidRPr="00D87D89" w:rsidR="00C86F56">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Cs w:val="22"/>
          <w:vertAlign w:val="superscript"/>
        </w:rPr>
        <w:footnoteReference w:id="36"/>
      </w:r>
      <w:r w:rsidRPr="00D87D89" w:rsidR="00C86F56">
        <w:t xml:space="preserve">  These types of small businesses represent 99.9% of all businesses in the United States, which translates to 30.7 million businesses.</w:t>
      </w:r>
      <w:r>
        <w:rPr>
          <w:szCs w:val="22"/>
          <w:vertAlign w:val="superscript"/>
        </w:rPr>
        <w:footnoteReference w:id="37"/>
      </w:r>
      <w:r w:rsidRPr="00846A24">
        <w:rPr>
          <w:rFonts w:eastAsia="Calibri"/>
          <w:bCs/>
          <w:snapToGrid/>
        </w:rPr>
        <w:t xml:space="preserve"> </w:t>
      </w:r>
      <w:r w:rsidR="00C86F56">
        <w:rPr>
          <w:rFonts w:eastAsia="Calibri"/>
          <w:bCs/>
          <w:snapToGrid/>
        </w:rPr>
        <w:t xml:space="preserve"> </w:t>
      </w:r>
      <w:r w:rsidRPr="00D87D89" w:rsidR="00C86F56">
        <w:t>Next, the type of small entity described as a “small organization” is generally “any not-for-profit enterprise which is independently owned and operated and is not dominant in its field.”</w:t>
      </w:r>
      <w:r>
        <w:rPr>
          <w:szCs w:val="22"/>
          <w:vertAlign w:val="superscript"/>
        </w:rPr>
        <w:footnoteReference w:id="38"/>
      </w:r>
      <w:r w:rsidRPr="00D87D89" w:rsidR="00C86F56">
        <w:t xml:space="preserve"> The Internal Revenue Service (IRS) uses a revenue benchmark of $50,000 or less to delineate its annual electronic filing requirements for small exempt organizations.</w:t>
      </w:r>
      <w:r>
        <w:rPr>
          <w:sz w:val="20"/>
          <w:vertAlign w:val="superscript"/>
        </w:rPr>
        <w:footnoteReference w:id="39"/>
      </w:r>
      <w:r w:rsidRPr="00D87D89" w:rsidR="00C86F56">
        <w:t xml:space="preserve">  Nationwide, for tax year 2018, there were approximately 571,709 small exempt organizations in the U.S. reporting revenues of $50,000 or less according to the registration and tax data for exempt organizations available from the IRS.</w:t>
      </w:r>
      <w:r>
        <w:rPr>
          <w:szCs w:val="22"/>
          <w:vertAlign w:val="superscript"/>
        </w:rPr>
        <w:footnoteReference w:id="40"/>
      </w:r>
      <w:r w:rsidR="00C86F56">
        <w:t xml:space="preserve">  </w:t>
      </w:r>
      <w:r w:rsidRPr="00D87D89" w:rsidR="00C86F56">
        <w:t>Finally, the small entity described as a “small governmental jurisdiction” is defined generally as “governments of cities, counties, towns, townships, villages, school districts, or special districts, with a population of less than fifty thousand.”</w:t>
      </w:r>
      <w:r>
        <w:rPr>
          <w:szCs w:val="22"/>
          <w:vertAlign w:val="superscript"/>
        </w:rPr>
        <w:footnoteReference w:id="41"/>
      </w:r>
      <w:r w:rsidRPr="00D87D89" w:rsidR="00C86F56">
        <w:t xml:space="preserve">  U.S. Census Bureau data from the 2017 Census of Governments</w:t>
      </w:r>
      <w:r>
        <w:rPr>
          <w:szCs w:val="22"/>
          <w:vertAlign w:val="superscript"/>
        </w:rPr>
        <w:footnoteReference w:id="42"/>
      </w:r>
      <w:r w:rsidRPr="00D87D89" w:rsidR="00C86F56">
        <w:t xml:space="preserve"> indicate that there were </w:t>
      </w:r>
      <w:r w:rsidRPr="00D87D89" w:rsidR="00C86F56">
        <w:rPr>
          <w:color w:val="000000"/>
        </w:rPr>
        <w:t>90,075 l</w:t>
      </w:r>
      <w:r w:rsidRPr="00D87D89" w:rsidR="00C86F56">
        <w:t xml:space="preserve">ocal governmental jurisdictions consisting of general purpose </w:t>
      </w:r>
      <w:r w:rsidRPr="00D87D89" w:rsidR="00C86F56">
        <w:t>governments and special purpose governments in the United States.</w:t>
      </w:r>
      <w:r>
        <w:rPr>
          <w:szCs w:val="22"/>
          <w:vertAlign w:val="superscript"/>
        </w:rPr>
        <w:footnoteReference w:id="43"/>
      </w:r>
      <w:r w:rsidRPr="00D87D89" w:rsidR="00C86F56">
        <w:t xml:space="preserve">  Of this number there were 36,931 general purpose governments (county</w:t>
      </w:r>
      <w:r>
        <w:rPr>
          <w:szCs w:val="22"/>
          <w:vertAlign w:val="superscript"/>
        </w:rPr>
        <w:footnoteReference w:id="44"/>
      </w:r>
      <w:r w:rsidRPr="00D87D89" w:rsidR="00C86F56">
        <w:t>, municipal and town or township</w:t>
      </w:r>
      <w:r>
        <w:rPr>
          <w:szCs w:val="22"/>
          <w:vertAlign w:val="superscript"/>
        </w:rPr>
        <w:footnoteReference w:id="45"/>
      </w:r>
      <w:r w:rsidRPr="00D87D89" w:rsidR="00C86F56">
        <w:t>) with populations of less than 50,000 and 12,040 special purpose governments - independent school districts</w:t>
      </w:r>
      <w:r>
        <w:rPr>
          <w:szCs w:val="22"/>
          <w:vertAlign w:val="superscript"/>
        </w:rPr>
        <w:footnoteReference w:id="46"/>
      </w:r>
      <w:r w:rsidRPr="00D87D89" w:rsidR="00C86F56">
        <w:t xml:space="preserve"> with enrollment populations of less than 50,000.</w:t>
      </w:r>
      <w:r>
        <w:rPr>
          <w:sz w:val="20"/>
          <w:vertAlign w:val="superscript"/>
        </w:rPr>
        <w:footnoteReference w:id="47"/>
      </w:r>
      <w:r w:rsidRPr="00D87D89" w:rsidR="00C86F56">
        <w:t xml:space="preserve">  </w:t>
      </w:r>
      <w:r w:rsidRPr="001C5437" w:rsidR="004F5321">
        <w:t>Accordingly, based on the 2017 U.S. Census of Governments data</w:t>
      </w:r>
      <w:r w:rsidR="004F5321">
        <w:t>,</w:t>
      </w:r>
      <w:r w:rsidRPr="001C5437" w:rsidR="004F5321">
        <w:t xml:space="preserve"> we estimate that at least 48,971 entities fall into the category of “small governmental jurisdiction</w:t>
      </w:r>
      <w:r w:rsidR="004F5321">
        <w:t>s</w:t>
      </w:r>
      <w:r w:rsidRPr="001C5437" w:rsidR="004F5321">
        <w:t>.”</w:t>
      </w:r>
      <w:r>
        <w:rPr>
          <w:rStyle w:val="FootnoteReference"/>
        </w:rPr>
        <w:footnoteReference w:id="48"/>
      </w:r>
      <w:r w:rsidRPr="00537751">
        <w:rPr>
          <w:rFonts w:eastAsia="Calibri"/>
          <w:snapToGrid/>
        </w:rPr>
        <w:t xml:space="preserve">  </w:t>
      </w:r>
    </w:p>
    <w:p w:rsidR="004C6034" w:rsidRPr="00B11C93" w:rsidP="004C6034" w14:paraId="3FA0706C" w14:textId="77777777">
      <w:pPr>
        <w:pStyle w:val="Heading3"/>
        <w:rPr>
          <w:snapToGrid/>
          <w:color w:val="000000"/>
          <w:kern w:val="0"/>
        </w:rPr>
      </w:pPr>
      <w:bookmarkStart w:id="83" w:name="_Toc498519567"/>
      <w:bookmarkStart w:id="84" w:name="_Toc491410815"/>
      <w:bookmarkStart w:id="85" w:name="_Toc491430596"/>
      <w:bookmarkStart w:id="86" w:name="_Toc491432013"/>
      <w:bookmarkStart w:id="87" w:name="_Toc491432258"/>
      <w:bookmarkStart w:id="88" w:name="_Toc491432800"/>
      <w:bookmarkStart w:id="89" w:name="_Toc491432870"/>
      <w:bookmarkStart w:id="90" w:name="_Toc492047262"/>
      <w:bookmarkStart w:id="91" w:name="_Toc492047798"/>
      <w:bookmarkStart w:id="92" w:name="_Toc492048081"/>
      <w:bookmarkStart w:id="93" w:name="_Toc492048183"/>
      <w:bookmarkStart w:id="94" w:name="_Toc492048264"/>
      <w:bookmarkStart w:id="95" w:name="_Toc492048346"/>
      <w:bookmarkStart w:id="96" w:name="_Toc492048448"/>
      <w:bookmarkStart w:id="97" w:name="_Toc492048669"/>
      <w:bookmarkStart w:id="98" w:name="_Toc492048750"/>
      <w:bookmarkStart w:id="99" w:name="_Toc492048829"/>
      <w:bookmarkStart w:id="100" w:name="_Toc492049433"/>
      <w:bookmarkStart w:id="101" w:name="_Toc492049533"/>
      <w:bookmarkStart w:id="102" w:name="_Toc492049704"/>
      <w:bookmarkStart w:id="103" w:name="_Toc492049781"/>
      <w:bookmarkStart w:id="104" w:name="_Toc492049026"/>
      <w:bookmarkStart w:id="105" w:name="_Toc492049858"/>
      <w:bookmarkStart w:id="106" w:name="_Toc492049936"/>
      <w:bookmarkStart w:id="107" w:name="_Toc492050553"/>
      <w:bookmarkStart w:id="108" w:name="_Toc492050632"/>
      <w:bookmarkStart w:id="109" w:name="_Toc492052956"/>
      <w:bookmarkStart w:id="110" w:name="_Toc492053028"/>
      <w:bookmarkStart w:id="111" w:name="_Toc492053100"/>
      <w:bookmarkStart w:id="112" w:name="_Toc492053172"/>
      <w:bookmarkStart w:id="113" w:name="_Toc492053243"/>
      <w:bookmarkStart w:id="114" w:name="_Toc492053314"/>
      <w:bookmarkStart w:id="115" w:name="_Toc492053385"/>
      <w:bookmarkStart w:id="116" w:name="_Toc492568168"/>
      <w:bookmarkStart w:id="117" w:name="_Toc492570165"/>
      <w:bookmarkStart w:id="118" w:name="_Toc492657303"/>
      <w:bookmarkStart w:id="119" w:name="_Toc492657888"/>
      <w:bookmarkStart w:id="120" w:name="_Toc492912607"/>
      <w:bookmarkStart w:id="121" w:name="_Toc492912757"/>
      <w:bookmarkStart w:id="122" w:name="_Toc492913668"/>
      <w:bookmarkStart w:id="123" w:name="_Toc492914803"/>
      <w:bookmarkStart w:id="124" w:name="_Toc492974942"/>
      <w:bookmarkStart w:id="125" w:name="_Toc492976308"/>
      <w:bookmarkStart w:id="126" w:name="_Toc492978800"/>
      <w:bookmarkStart w:id="127" w:name="_Toc493000824"/>
      <w:bookmarkStart w:id="128" w:name="_Toc493002811"/>
      <w:bookmarkStart w:id="129" w:name="_Toc493763359"/>
      <w:bookmarkStart w:id="130" w:name="_Toc493763422"/>
      <w:bookmarkStart w:id="131" w:name="_Toc494119000"/>
      <w:bookmarkStart w:id="132" w:name="_Toc494122289"/>
      <w:bookmarkStart w:id="133" w:name="_Toc494123101"/>
      <w:bookmarkStart w:id="134" w:name="_Toc494123406"/>
      <w:bookmarkStart w:id="135" w:name="_Toc494209934"/>
      <w:bookmarkStart w:id="136" w:name="_Toc494210020"/>
      <w:bookmarkStart w:id="137" w:name="_Toc498445504"/>
      <w:bookmarkStart w:id="138" w:name="_Toc498445553"/>
      <w:bookmarkStart w:id="139" w:name="_Toc498445602"/>
      <w:bookmarkStart w:id="140" w:name="_Toc498446706"/>
      <w:bookmarkStart w:id="141" w:name="_Toc498446759"/>
      <w:bookmarkStart w:id="142" w:name="_Toc498446808"/>
      <w:bookmarkStart w:id="143" w:name="_Toc498446857"/>
      <w:bookmarkStart w:id="144" w:name="_Toc498446906"/>
      <w:bookmarkStart w:id="145" w:name="_Toc498446955"/>
      <w:bookmarkStart w:id="146" w:name="_Toc498447813"/>
      <w:bookmarkStart w:id="147" w:name="_Toc498447862"/>
      <w:bookmarkStart w:id="148" w:name="_Toc498456179"/>
      <w:bookmarkStart w:id="149" w:name="_Toc498456319"/>
      <w:bookmarkStart w:id="150" w:name="_Toc498456408"/>
      <w:bookmarkStart w:id="151" w:name="_Toc498456457"/>
      <w:bookmarkStart w:id="152" w:name="_Toc498456531"/>
      <w:bookmarkStart w:id="153" w:name="_Toc498458320"/>
      <w:bookmarkStart w:id="154" w:name="_Toc498458445"/>
      <w:bookmarkStart w:id="155" w:name="_Toc498504690"/>
      <w:bookmarkStart w:id="156" w:name="_Toc498504755"/>
      <w:bookmarkStart w:id="157" w:name="_Toc498504940"/>
      <w:bookmarkStart w:id="158" w:name="_Toc496276985"/>
      <w:bookmarkStart w:id="159" w:name="_Toc496791030"/>
      <w:bookmarkStart w:id="160" w:name="_Toc496795873"/>
      <w:bookmarkStart w:id="161" w:name="_Toc496796002"/>
      <w:bookmarkStart w:id="162" w:name="_Toc497299100"/>
      <w:bookmarkStart w:id="163" w:name="_Toc497299164"/>
      <w:bookmarkStart w:id="164" w:name="_Toc497299228"/>
      <w:bookmarkStart w:id="165" w:name="_Toc497300128"/>
      <w:bookmarkStart w:id="166" w:name="_Toc497306325"/>
      <w:bookmarkStart w:id="167" w:name="_Toc497306390"/>
      <w:bookmarkStart w:id="168" w:name="_Toc497308912"/>
      <w:bookmarkStart w:id="169" w:name="_Toc497310221"/>
      <w:bookmarkStart w:id="170" w:name="_Toc497332514"/>
      <w:bookmarkStart w:id="171" w:name="_Toc497750286"/>
      <w:bookmarkStart w:id="172" w:name="_Toc497750356"/>
      <w:bookmarkStart w:id="173" w:name="_Toc497756017"/>
      <w:bookmarkStart w:id="174" w:name="_Toc497815915"/>
      <w:bookmarkStart w:id="175" w:name="_Toc497838870"/>
      <w:bookmarkStart w:id="176" w:name="_Toc498023597"/>
      <w:bookmarkStart w:id="177" w:name="_Toc498510199"/>
      <w:bookmarkStart w:id="178" w:name="_Toc498512144"/>
      <w:bookmarkStart w:id="179" w:name="_Toc498513720"/>
      <w:bookmarkStart w:id="180" w:name="_Toc498514431"/>
      <w:bookmarkStart w:id="181" w:name="_Toc498518576"/>
      <w:bookmarkStart w:id="182" w:name="_Toc498518624"/>
      <w:bookmarkStart w:id="183" w:name="_Toc498518727"/>
      <w:bookmarkStart w:id="184" w:name="_Toc498518915"/>
      <w:bookmarkStart w:id="185" w:name="_Toc498518963"/>
      <w:bookmarkStart w:id="186" w:name="_Toc498519011"/>
      <w:bookmarkStart w:id="187" w:name="_Toc498519513"/>
      <w:bookmarkStart w:id="188" w:name="_Toc13663640"/>
      <w:bookmarkStart w:id="189" w:name="_Toc13663740"/>
      <w:bookmarkStart w:id="190" w:name="_Toc16070629"/>
      <w:r w:rsidRPr="00846A24">
        <w:t>Providers of Telecommunications and Other Services</w:t>
      </w:r>
      <w:bookmarkStart w:id="191" w:name="_Toc498519568"/>
      <w:bookmarkStart w:id="192" w:name="_Toc491410816"/>
      <w:bookmarkStart w:id="193" w:name="_Toc491430597"/>
      <w:bookmarkStart w:id="194" w:name="_Toc491432014"/>
      <w:bookmarkStart w:id="195" w:name="_Toc491432259"/>
      <w:bookmarkStart w:id="196" w:name="_Toc491432801"/>
      <w:bookmarkStart w:id="197" w:name="_Toc491432871"/>
      <w:bookmarkStart w:id="198" w:name="_Toc492047263"/>
      <w:bookmarkStart w:id="199" w:name="_Toc492047799"/>
      <w:bookmarkStart w:id="200" w:name="_Toc492048082"/>
      <w:bookmarkStart w:id="201" w:name="_Toc492048184"/>
      <w:bookmarkStart w:id="202" w:name="_Toc492048265"/>
      <w:bookmarkStart w:id="203" w:name="_Toc492048347"/>
      <w:bookmarkStart w:id="204" w:name="_Toc492048449"/>
      <w:bookmarkStart w:id="205" w:name="_Toc492048670"/>
      <w:bookmarkStart w:id="206" w:name="_Toc492048751"/>
      <w:bookmarkStart w:id="207" w:name="_Toc492048830"/>
      <w:bookmarkStart w:id="208" w:name="_Toc492049434"/>
      <w:bookmarkStart w:id="209" w:name="_Toc492049534"/>
      <w:bookmarkStart w:id="210" w:name="_Toc492049705"/>
      <w:bookmarkStart w:id="211" w:name="_Toc492049782"/>
      <w:bookmarkStart w:id="212" w:name="_Toc492049027"/>
      <w:bookmarkStart w:id="213" w:name="_Toc492049859"/>
      <w:bookmarkStart w:id="214" w:name="_Toc492049937"/>
      <w:bookmarkStart w:id="215" w:name="_Toc492050554"/>
      <w:bookmarkStart w:id="216" w:name="_Toc492050633"/>
      <w:bookmarkStart w:id="217" w:name="_Toc492052957"/>
      <w:bookmarkStart w:id="218" w:name="_Toc492053029"/>
      <w:bookmarkStart w:id="219" w:name="_Toc492053101"/>
      <w:bookmarkStart w:id="220" w:name="_Toc492053173"/>
      <w:bookmarkStart w:id="221" w:name="_Toc492053244"/>
      <w:bookmarkStart w:id="222" w:name="_Toc492053315"/>
      <w:bookmarkStart w:id="223" w:name="_Toc492053386"/>
      <w:bookmarkStart w:id="224" w:name="_Toc492568169"/>
      <w:bookmarkStart w:id="225" w:name="_Toc492570166"/>
      <w:bookmarkStart w:id="226" w:name="_Toc492657304"/>
      <w:bookmarkStart w:id="227" w:name="_Toc492657889"/>
      <w:bookmarkStart w:id="228" w:name="_Toc492912608"/>
      <w:bookmarkStart w:id="229" w:name="_Toc492912758"/>
      <w:bookmarkStart w:id="230" w:name="_Toc492913669"/>
      <w:bookmarkStart w:id="231" w:name="_Toc492914804"/>
      <w:bookmarkStart w:id="232" w:name="_Toc492974943"/>
      <w:bookmarkStart w:id="233" w:name="_Toc492976309"/>
      <w:bookmarkStart w:id="234" w:name="_Toc492978801"/>
      <w:bookmarkStart w:id="235" w:name="_Toc493000825"/>
      <w:bookmarkStart w:id="236" w:name="_Toc493002812"/>
      <w:bookmarkStart w:id="237" w:name="_Toc493763360"/>
      <w:bookmarkStart w:id="238" w:name="_Toc493763423"/>
      <w:bookmarkStart w:id="239" w:name="_Toc494119001"/>
      <w:bookmarkStart w:id="240" w:name="_Toc494122290"/>
      <w:bookmarkStart w:id="241" w:name="_Toc494123102"/>
      <w:bookmarkStart w:id="242" w:name="_Toc494123407"/>
      <w:bookmarkStart w:id="243" w:name="_Toc494209935"/>
      <w:bookmarkStart w:id="244" w:name="_Toc494210021"/>
      <w:bookmarkStart w:id="245" w:name="_Toc498445505"/>
      <w:bookmarkStart w:id="246" w:name="_Toc498445554"/>
      <w:bookmarkStart w:id="247" w:name="_Toc498445603"/>
      <w:bookmarkStart w:id="248" w:name="_Toc498446707"/>
      <w:bookmarkStart w:id="249" w:name="_Toc498446760"/>
      <w:bookmarkStart w:id="250" w:name="_Toc498446809"/>
      <w:bookmarkStart w:id="251" w:name="_Toc498446858"/>
      <w:bookmarkStart w:id="252" w:name="_Toc498446907"/>
      <w:bookmarkStart w:id="253" w:name="_Toc498446956"/>
      <w:bookmarkStart w:id="254" w:name="_Toc498447814"/>
      <w:bookmarkStart w:id="255" w:name="_Toc498447863"/>
      <w:bookmarkStart w:id="256" w:name="_Toc498456180"/>
      <w:bookmarkStart w:id="257" w:name="_Toc498456320"/>
      <w:bookmarkStart w:id="258" w:name="_Toc498456409"/>
      <w:bookmarkStart w:id="259" w:name="_Toc498456458"/>
      <w:bookmarkStart w:id="260" w:name="_Toc498456532"/>
      <w:bookmarkStart w:id="261" w:name="_Toc498458321"/>
      <w:bookmarkStart w:id="262" w:name="_Toc498458446"/>
      <w:bookmarkStart w:id="263" w:name="_Toc498504691"/>
      <w:bookmarkStart w:id="264" w:name="_Toc498504756"/>
      <w:bookmarkStart w:id="265" w:name="_Toc498504941"/>
      <w:bookmarkStart w:id="266" w:name="_Toc496276986"/>
      <w:bookmarkStart w:id="267" w:name="_Toc496791031"/>
      <w:bookmarkStart w:id="268" w:name="_Toc496795874"/>
      <w:bookmarkStart w:id="269" w:name="_Toc496796003"/>
      <w:bookmarkStart w:id="270" w:name="_Toc497299101"/>
      <w:bookmarkStart w:id="271" w:name="_Toc497299165"/>
      <w:bookmarkStart w:id="272" w:name="_Toc497299229"/>
      <w:bookmarkStart w:id="273" w:name="_Toc497300129"/>
      <w:bookmarkStart w:id="274" w:name="_Toc497306326"/>
      <w:bookmarkStart w:id="275" w:name="_Toc497306391"/>
      <w:bookmarkStart w:id="276" w:name="_Toc497308913"/>
      <w:bookmarkStart w:id="277" w:name="_Toc497310222"/>
      <w:bookmarkStart w:id="278" w:name="_Toc497332515"/>
      <w:bookmarkStart w:id="279" w:name="_Toc497750287"/>
      <w:bookmarkStart w:id="280" w:name="_Toc497750357"/>
      <w:bookmarkStart w:id="281" w:name="_Toc497756018"/>
      <w:bookmarkStart w:id="282" w:name="_Toc497815916"/>
      <w:bookmarkStart w:id="283" w:name="_Toc497838871"/>
      <w:bookmarkStart w:id="284" w:name="_Toc498023598"/>
      <w:bookmarkStart w:id="285" w:name="_Toc498510200"/>
      <w:bookmarkStart w:id="286" w:name="_Toc498512145"/>
      <w:bookmarkStart w:id="287" w:name="_Toc498513721"/>
      <w:bookmarkStart w:id="288" w:name="_Toc498514432"/>
      <w:bookmarkStart w:id="289" w:name="_Toc498518577"/>
      <w:bookmarkStart w:id="290" w:name="_Toc498518625"/>
      <w:bookmarkStart w:id="291" w:name="_Toc498518728"/>
      <w:bookmarkStart w:id="292" w:name="_Toc498518785"/>
      <w:bookmarkStart w:id="293" w:name="_Toc498518839"/>
      <w:bookmarkStart w:id="294" w:name="_Toc498518916"/>
      <w:bookmarkStart w:id="295" w:name="_Toc498518964"/>
      <w:bookmarkStart w:id="296" w:name="_Toc498519012"/>
      <w:bookmarkStart w:id="297" w:name="_Toc49851951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4C6034" w:rsidRPr="00537751" w:rsidP="00336ED3" w14:paraId="0905ADC3" w14:textId="77777777">
      <w:pPr>
        <w:pStyle w:val="ParaNum"/>
      </w:pPr>
      <w:r w:rsidRPr="007646F1">
        <w:rPr>
          <w:i/>
          <w:iCs/>
          <w:snapToGrid/>
        </w:rPr>
        <w:t>Wired Telecommunications Carriers</w:t>
      </w:r>
      <w:r w:rsidRPr="002A58E1">
        <w:rPr>
          <w:snapToGrid/>
        </w:rPr>
        <w:t>.</w:t>
      </w:r>
      <w:r w:rsidRPr="002A58E1">
        <w:rPr>
          <w:b/>
          <w:snapToGrid/>
        </w:rPr>
        <w:t xml:space="preserve">  </w:t>
      </w:r>
      <w:r w:rsidRPr="002A58E1">
        <w:rPr>
          <w:snapToGrid/>
        </w:rP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napToGrid/>
          <w:vertAlign w:val="superscript"/>
        </w:rPr>
        <w:footnoteReference w:id="49"/>
      </w:r>
      <w:r w:rsidRPr="002A58E1">
        <w:rPr>
          <w:snapToGrid/>
        </w:rPr>
        <w:t xml:space="preserve">  The SBA has developed a small business size standard for Wired Telecommunications Carriers, which consists of all such companies having 1,500 or fewer employees.</w:t>
      </w:r>
      <w:r>
        <w:rPr>
          <w:snapToGrid/>
          <w:vertAlign w:val="superscript"/>
        </w:rPr>
        <w:footnoteReference w:id="50"/>
      </w:r>
      <w:r w:rsidRPr="002A58E1">
        <w:rPr>
          <w:snapToGrid/>
        </w:rPr>
        <w:t xml:space="preserve">  U.S. Census Bureau data for 2012 show that there were 3,117 firms </w:t>
      </w:r>
      <w:bookmarkStart w:id="299" w:name="_GoBack"/>
      <w:bookmarkEnd w:id="299"/>
      <w:r w:rsidRPr="002A58E1">
        <w:rPr>
          <w:snapToGrid/>
        </w:rPr>
        <w:t>that operated that year.</w:t>
      </w:r>
      <w:r>
        <w:rPr>
          <w:snapToGrid/>
          <w:vertAlign w:val="superscript"/>
        </w:rPr>
        <w:footnoteReference w:id="51"/>
      </w:r>
      <w:r w:rsidRPr="002A58E1">
        <w:rPr>
          <w:snapToGrid/>
        </w:rPr>
        <w:t xml:space="preserve">  Of this total, 3,083 operated with fewer than 1,000 employees.</w:t>
      </w:r>
      <w:r>
        <w:rPr>
          <w:snapToGrid/>
          <w:vertAlign w:val="superscript"/>
        </w:rPr>
        <w:footnoteReference w:id="52"/>
      </w:r>
      <w:r w:rsidRPr="002A58E1">
        <w:rPr>
          <w:snapToGrid/>
        </w:rPr>
        <w:t xml:space="preserve">  Thus, under this size standard, the majority of firms in this industry can be considered small</w:t>
      </w:r>
      <w:r w:rsidRPr="007646F1">
        <w:rPr>
          <w:i/>
          <w:iCs/>
          <w:snapToGrid/>
        </w:rPr>
        <w:t>.</w:t>
      </w:r>
    </w:p>
    <w:p w:rsidR="004C6034" w:rsidRPr="00537751" w:rsidP="00336ED3" w14:paraId="39E7D31A" w14:textId="77777777">
      <w:pPr>
        <w:pStyle w:val="ParaNum"/>
        <w:rPr>
          <w:rFonts w:eastAsia="Calibri"/>
          <w:snapToGrid/>
        </w:rPr>
      </w:pPr>
      <w:r w:rsidRPr="00784A7B">
        <w:rPr>
          <w:bCs/>
          <w:i/>
          <w:iCs/>
          <w:snapToGrid/>
          <w:color w:val="000000"/>
        </w:rPr>
        <w:t>Local Resellers</w:t>
      </w:r>
      <w:r w:rsidRPr="00846A24">
        <w:rPr>
          <w:rFonts w:eastAsia="Calibri"/>
          <w:snapToGrid/>
        </w:rPr>
        <w:t xml:space="preserve">.  The </w:t>
      </w:r>
      <w:r w:rsidRPr="002F2398">
        <w:rPr>
          <w:snapToGrid/>
        </w:rPr>
        <w:t>SBA</w:t>
      </w:r>
      <w:r w:rsidRPr="00846A24">
        <w:rPr>
          <w:rFonts w:eastAsia="Calibri"/>
          <w:snapToGrid/>
        </w:rPr>
        <w:t xml:space="preserve">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Fonts w:eastAsia="Calibri"/>
          <w:snapToGrid/>
          <w:vertAlign w:val="superscript"/>
        </w:rPr>
        <w:footnoteReference w:id="53"/>
      </w:r>
      <w:r w:rsidRPr="00846A24">
        <w:rPr>
          <w:rFonts w:eastAsia="Calibri"/>
          <w:snapToGrid/>
        </w:rPr>
        <w:t xml:space="preserve">  Under the SBA’s size standard, such a business is small if it has 1,500 or fewer employees.</w:t>
      </w:r>
      <w:r>
        <w:rPr>
          <w:rFonts w:eastAsia="Calibri"/>
          <w:snapToGrid/>
          <w:vertAlign w:val="superscript"/>
        </w:rPr>
        <w:footnoteReference w:id="54"/>
      </w:r>
      <w:r w:rsidRPr="00846A24">
        <w:rPr>
          <w:rFonts w:eastAsia="Calibri"/>
          <w:snapToGrid/>
        </w:rPr>
        <w:t xml:space="preserve">  U.S. Census Bureau data from 2012 show that 1,341 firms provided resale services during that year.</w:t>
      </w:r>
      <w:r>
        <w:rPr>
          <w:rFonts w:eastAsia="Calibri"/>
          <w:snapToGrid/>
          <w:vertAlign w:val="superscript"/>
        </w:rPr>
        <w:footnoteReference w:id="55"/>
      </w:r>
      <w:r w:rsidRPr="00846A24">
        <w:rPr>
          <w:rFonts w:eastAsia="Calibri"/>
          <w:snapToGrid/>
        </w:rPr>
        <w:t xml:space="preserve">  Of that number, all operated with fewer than 1,000 employees.</w:t>
      </w:r>
      <w:r>
        <w:rPr>
          <w:rFonts w:eastAsia="Calibri"/>
          <w:snapToGrid/>
          <w:vertAlign w:val="superscript"/>
        </w:rPr>
        <w:footnoteReference w:id="56"/>
      </w:r>
      <w:r w:rsidRPr="00846A24">
        <w:rPr>
          <w:rFonts w:eastAsia="Calibri"/>
          <w:snapToGrid/>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rFonts w:eastAsia="Calibri"/>
          <w:snapToGrid/>
          <w:vertAlign w:val="superscript"/>
        </w:rPr>
        <w:footnoteReference w:id="57"/>
      </w:r>
      <w:r w:rsidRPr="00846A24">
        <w:rPr>
          <w:rFonts w:eastAsia="Calibri"/>
          <w:snapToGrid/>
        </w:rPr>
        <w:t xml:space="preserve">  Of these, an estimated 211 have 1,500 or fewer employees and two have more than 1,500 employees.</w:t>
      </w:r>
      <w:r>
        <w:rPr>
          <w:rFonts w:eastAsia="Calibri"/>
          <w:snapToGrid/>
          <w:vertAlign w:val="superscript"/>
        </w:rPr>
        <w:footnoteReference w:id="58"/>
      </w:r>
      <w:r w:rsidRPr="00846A24">
        <w:rPr>
          <w:rFonts w:eastAsia="Calibri"/>
          <w:snapToGrid/>
        </w:rPr>
        <w:t xml:space="preserve">  Consequently, the Commission estimates that the majority of local resellers are small entities</w:t>
      </w:r>
      <w:r>
        <w:rPr>
          <w:rFonts w:eastAsia="Calibri"/>
          <w:snapToGrid/>
        </w:rPr>
        <w:t>.</w:t>
      </w:r>
    </w:p>
    <w:p w:rsidR="004C6034" w:rsidRPr="00537751" w:rsidP="00336ED3" w14:paraId="0D9A6E4E" w14:textId="77777777">
      <w:pPr>
        <w:pStyle w:val="ParaNum"/>
        <w:rPr>
          <w:rFonts w:eastAsia="Calibri"/>
          <w:snapToGrid/>
          <w:kern w:val="0"/>
        </w:rPr>
      </w:pPr>
      <w:r w:rsidRPr="00784A7B">
        <w:rPr>
          <w:bCs/>
          <w:i/>
          <w:iCs/>
          <w:snapToGrid/>
          <w:color w:val="000000"/>
          <w:kern w:val="0"/>
        </w:rPr>
        <w:t>Toll Resellers</w:t>
      </w:r>
      <w:r w:rsidRPr="00846A24">
        <w:rPr>
          <w:snapToGrid/>
          <w:color w:val="000000"/>
          <w:kern w:val="0"/>
        </w:rPr>
        <w:t xml:space="preserve">.  </w:t>
      </w:r>
      <w:bookmarkStart w:id="301" w:name="_Hlk27041454"/>
      <w:r w:rsidRPr="00846A24">
        <w:t xml:space="preserve">The </w:t>
      </w:r>
      <w:r w:rsidRPr="002F2398">
        <w:rPr>
          <w:snapToGrid/>
        </w:rPr>
        <w:t>Commission</w:t>
      </w:r>
      <w:r w:rsidRPr="00846A24">
        <w:t xml:space="preserve">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59"/>
      </w:r>
      <w:r w:rsidRPr="00846A24">
        <w:t xml:space="preserve">  The SBA has developed a small business size standard for the category of Telecommunications Resellers.</w:t>
      </w:r>
      <w:r>
        <w:rPr>
          <w:vertAlign w:val="superscript"/>
        </w:rPr>
        <w:footnoteReference w:id="60"/>
      </w:r>
      <w:r w:rsidRPr="00846A24">
        <w:t xml:space="preserve">  Under that size standard, such a business is small if it has 1,500 or fewer employees.</w:t>
      </w:r>
      <w:r>
        <w:rPr>
          <w:vertAlign w:val="superscript"/>
        </w:rPr>
        <w:footnoteReference w:id="61"/>
      </w:r>
      <w:r w:rsidRPr="00846A24">
        <w:t xml:space="preserve">  2012 Census Bureau data show that 1,341 firms provided resale services during that </w:t>
      </w:r>
      <w:r w:rsidRPr="00846A24">
        <w:t>year.</w:t>
      </w:r>
      <w:r>
        <w:rPr>
          <w:vertAlign w:val="superscript"/>
        </w:rPr>
        <w:footnoteReference w:id="62"/>
      </w:r>
      <w:r w:rsidRPr="00846A24">
        <w:t xml:space="preserve">  Of that number, 1,341 operated with fewer than 1,000 employees.</w:t>
      </w:r>
      <w:r>
        <w:rPr>
          <w:vertAlign w:val="superscript"/>
        </w:rPr>
        <w:footnoteReference w:id="63"/>
      </w:r>
      <w:r w:rsidRPr="00846A24">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64"/>
      </w:r>
      <w:r w:rsidRPr="00846A24">
        <w:t xml:space="preserve">  Of this total, an estimated 857 have 1,500 or fewer employees.</w:t>
      </w:r>
      <w:r>
        <w:rPr>
          <w:vertAlign w:val="superscript"/>
        </w:rPr>
        <w:footnoteReference w:id="65"/>
      </w:r>
      <w:r w:rsidRPr="00846A24">
        <w:t xml:space="preserve">  Consequently, the Commission estimates that the majority of toll resellers are small </w:t>
      </w:r>
      <w:bookmarkEnd w:id="301"/>
      <w:r w:rsidRPr="00846A24">
        <w:t>entities.</w:t>
      </w:r>
    </w:p>
    <w:p w:rsidR="004C6034" w:rsidRPr="00537751" w:rsidP="00336ED3" w14:paraId="7886625A" w14:textId="77777777">
      <w:pPr>
        <w:pStyle w:val="ParaNum"/>
        <w:rPr>
          <w:snapToGrid/>
          <w:color w:val="000000"/>
          <w:kern w:val="0"/>
        </w:rPr>
      </w:pPr>
      <w:r w:rsidRPr="00784A7B">
        <w:rPr>
          <w:bCs/>
          <w:i/>
          <w:iCs/>
          <w:snapToGrid/>
          <w:color w:val="000000"/>
          <w:kern w:val="0"/>
        </w:rPr>
        <w:t>Payphone Service Providers (“PSPs”)</w:t>
      </w:r>
      <w:r w:rsidRPr="00846A24">
        <w:rPr>
          <w:snapToGrid/>
          <w:color w:val="000000"/>
          <w:kern w:val="0"/>
        </w:rPr>
        <w:t xml:space="preserve">.  </w:t>
      </w:r>
      <w:r w:rsidRPr="00846A24">
        <w:t xml:space="preserve">The </w:t>
      </w:r>
      <w:r w:rsidRPr="002F2398">
        <w:rPr>
          <w:snapToGrid/>
        </w:rPr>
        <w:t>Commission</w:t>
      </w:r>
      <w:r w:rsidRPr="00846A24">
        <w:t xml:space="preserve"> has not developed a definition for Payphone Service Providers.  The closest NAICS Code Category is Telecommunications Resellers.  </w:t>
      </w:r>
      <w:bookmarkStart w:id="302" w:name="_Hlk27042244"/>
      <w:r w:rsidRPr="00846A24">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66"/>
      </w:r>
      <w:r w:rsidRPr="00846A24">
        <w:t xml:space="preserve">  The SBA has developed a small business size standard for the category of Telecommunications Resellers.</w:t>
      </w:r>
      <w:r>
        <w:rPr>
          <w:vertAlign w:val="superscript"/>
        </w:rPr>
        <w:footnoteReference w:id="67"/>
      </w:r>
      <w:r w:rsidRPr="00846A24">
        <w:t xml:space="preserve">  Under that size standard, such a business is small if it has 1,500 or fewer employees.</w:t>
      </w:r>
      <w:r>
        <w:rPr>
          <w:vertAlign w:val="superscript"/>
        </w:rPr>
        <w:footnoteReference w:id="68"/>
      </w:r>
      <w:r w:rsidRPr="00846A24">
        <w:t xml:space="preserve">  </w:t>
      </w:r>
      <w:bookmarkStart w:id="303" w:name="_Hlk27041611"/>
      <w:r w:rsidRPr="00846A24">
        <w:t>2012 Census Bureau data show that 1,341 firms provided resale services during that year.</w:t>
      </w:r>
      <w:r>
        <w:rPr>
          <w:vertAlign w:val="superscript"/>
        </w:rPr>
        <w:footnoteReference w:id="69"/>
      </w:r>
      <w:r w:rsidRPr="00846A24">
        <w:t xml:space="preserve">  Of that number, 1,341 operated with fewer than 1,000 employees.</w:t>
      </w:r>
      <w:r>
        <w:rPr>
          <w:vertAlign w:val="superscript"/>
        </w:rPr>
        <w:footnoteReference w:id="70"/>
      </w:r>
      <w:r w:rsidRPr="00846A24">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71"/>
      </w:r>
      <w:r w:rsidRPr="00846A24">
        <w:t xml:space="preserve">  Of this total, an estimated 857 have 1,500 or fewer employees.</w:t>
      </w:r>
      <w:r>
        <w:rPr>
          <w:vertAlign w:val="superscript"/>
        </w:rPr>
        <w:footnoteReference w:id="72"/>
      </w:r>
      <w:r w:rsidRPr="00846A24">
        <w:t xml:space="preserve">  Consequently, the Commission estimates that the majority of toll resellers are small </w:t>
      </w:r>
      <w:bookmarkEnd w:id="302"/>
      <w:bookmarkEnd w:id="303"/>
    </w:p>
    <w:p w:rsidR="004C6034" w:rsidP="00336ED3" w14:paraId="5678037D" w14:textId="77777777">
      <w:pPr>
        <w:pStyle w:val="ParaNum"/>
      </w:pPr>
      <w:r w:rsidRPr="00784A7B">
        <w:rPr>
          <w:bCs/>
          <w:i/>
          <w:iCs/>
          <w:snapToGrid/>
        </w:rPr>
        <w:t>Prepaid Calling Card Providers</w:t>
      </w:r>
      <w:r w:rsidRPr="00846A24">
        <w:rPr>
          <w:snapToGrid/>
        </w:rPr>
        <w:t xml:space="preserve">.  Neither the </w:t>
      </w:r>
      <w:r w:rsidRPr="002F2398">
        <w:rPr>
          <w:snapToGrid/>
        </w:rPr>
        <w:t>Commission</w:t>
      </w:r>
      <w:r w:rsidRPr="00846A24">
        <w:rPr>
          <w:snapToGrid/>
        </w:rPr>
        <w:t xml:space="preserve"> nor the SBA has developed a small business size standard specifically for prepaid calling card providers.  The appropriate size standard under SBA rules is for the category Telecommunications Resellers.  </w:t>
      </w:r>
      <w:bookmarkStart w:id="304" w:name="_Hlk27042387"/>
      <w:r w:rsidRPr="00846A24">
        <w:t xml:space="preserve">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w:t>
      </w:r>
      <w:r w:rsidRPr="00846A24">
        <w:t>in this industry.</w:t>
      </w:r>
      <w:r>
        <w:rPr>
          <w:vertAlign w:val="superscript"/>
        </w:rPr>
        <w:footnoteReference w:id="73"/>
      </w:r>
      <w:r w:rsidRPr="00846A24">
        <w:t xml:space="preserve">  The SBA has developed a small business size standard for the category of Telecommunications Resellers.</w:t>
      </w:r>
      <w:r>
        <w:rPr>
          <w:vertAlign w:val="superscript"/>
        </w:rPr>
        <w:footnoteReference w:id="74"/>
      </w:r>
      <w:r w:rsidRPr="00846A24">
        <w:t xml:space="preserve">  Under that size standard, such a business is small if it has 1,500 or fewer employees.</w:t>
      </w:r>
      <w:r>
        <w:rPr>
          <w:vertAlign w:val="superscript"/>
        </w:rPr>
        <w:footnoteReference w:id="75"/>
      </w:r>
      <w:r w:rsidRPr="00846A24">
        <w:t xml:space="preserve">  2012 Census Bureau data show that 1,341 firms provided resale services during that year.</w:t>
      </w:r>
      <w:r>
        <w:rPr>
          <w:vertAlign w:val="superscript"/>
        </w:rPr>
        <w:footnoteReference w:id="76"/>
      </w:r>
      <w:r w:rsidRPr="00846A24">
        <w:t xml:space="preserve">  Of that number, 1,341 operated with fewer than 1,000 employees.</w:t>
      </w:r>
      <w:r>
        <w:rPr>
          <w:vertAlign w:val="superscript"/>
        </w:rPr>
        <w:footnoteReference w:id="77"/>
      </w:r>
      <w:r w:rsidRPr="00846A24">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78"/>
      </w:r>
      <w:r w:rsidRPr="00846A24">
        <w:t xml:space="preserve">  Of this total, an estimated 857 have 1,500 or fewer employees.</w:t>
      </w:r>
      <w:r>
        <w:rPr>
          <w:vertAlign w:val="superscript"/>
        </w:rPr>
        <w:footnoteReference w:id="79"/>
      </w:r>
      <w:r w:rsidRPr="00846A24">
        <w:t xml:space="preserve">  Consequently, the Commission estimates that the majority of Prepaid Calling Card Providers are small</w:t>
      </w:r>
      <w:r>
        <w:t>.</w:t>
      </w:r>
      <w:r w:rsidRPr="00846A24">
        <w:t xml:space="preserve"> </w:t>
      </w:r>
    </w:p>
    <w:bookmarkEnd w:id="304"/>
    <w:p w:rsidR="004C6034" w:rsidRPr="00537751" w:rsidP="00336ED3" w14:paraId="552AC8B9" w14:textId="77777777">
      <w:pPr>
        <w:pStyle w:val="ParaNum"/>
        <w:rPr>
          <w:snapToGrid/>
        </w:rPr>
      </w:pPr>
      <w:r w:rsidRPr="00784A7B">
        <w:rPr>
          <w:bCs/>
          <w:i/>
          <w:iCs/>
          <w:snapToGrid/>
        </w:rPr>
        <w:t>800 and 800-Like Service Subscribers</w:t>
      </w:r>
      <w:r w:rsidRPr="00846A24">
        <w:rPr>
          <w:snapToGrid/>
        </w:rPr>
        <w:t xml:space="preserve">.  </w:t>
      </w:r>
      <w:r w:rsidRPr="002F2398">
        <w:rPr>
          <w:snapToGrid/>
        </w:rPr>
        <w:t>Neither</w:t>
      </w:r>
      <w:r w:rsidRPr="00846A24">
        <w:rPr>
          <w:snapToGrid/>
        </w:rPr>
        <w:t xml:space="preserve"> the Commission nor the SBA has developed a small business size standard specifically for 800 and 800-like service (“toll free”) subscribers.  The appropriate size standard under SBA rules is for the category Telecommunications Resellers.  </w:t>
      </w:r>
      <w:r w:rsidRPr="00846A24">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80"/>
      </w:r>
      <w:r w:rsidRPr="00846A24">
        <w:t xml:space="preserve">  The SBA has developed a small business size standard for the category of Telecommunications Resellers.</w:t>
      </w:r>
      <w:r>
        <w:rPr>
          <w:vertAlign w:val="superscript"/>
        </w:rPr>
        <w:footnoteReference w:id="81"/>
      </w:r>
      <w:r w:rsidRPr="00846A24">
        <w:t xml:space="preserve">  Under that size standard, such a business is small if it has 1,500 or fewer employees.</w:t>
      </w:r>
      <w:r>
        <w:rPr>
          <w:vertAlign w:val="superscript"/>
        </w:rPr>
        <w:footnoteReference w:id="82"/>
      </w:r>
      <w:r w:rsidRPr="00846A24">
        <w:t xml:space="preserve">  2012 Census Bureau data show that 1,341 firms provided </w:t>
      </w:r>
      <w:r w:rsidRPr="00537751">
        <w:t>resale services during that year.</w:t>
      </w:r>
      <w:r>
        <w:rPr>
          <w:vertAlign w:val="superscript"/>
        </w:rPr>
        <w:footnoteReference w:id="83"/>
      </w:r>
      <w:r w:rsidRPr="00537751">
        <w:t xml:space="preserve">  Of that number, 1,341 operated with fewer than 1,000 employees.</w:t>
      </w:r>
      <w:r>
        <w:rPr>
          <w:vertAlign w:val="superscript"/>
        </w:rPr>
        <w:footnoteReference w:id="84"/>
      </w:r>
      <w:r w:rsidRPr="0053775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85"/>
      </w:r>
      <w:r w:rsidRPr="00537751">
        <w:t xml:space="preserve">  Of this total, an estimated 857 have 1,500 or fewer </w:t>
      </w:r>
      <w:r w:rsidRPr="00537751">
        <w:t>employees.</w:t>
      </w:r>
      <w:r>
        <w:rPr>
          <w:vertAlign w:val="superscript"/>
        </w:rPr>
        <w:footnoteReference w:id="86"/>
      </w:r>
      <w:r w:rsidRPr="00537751">
        <w:t xml:space="preserve">  Consequently, the Commission estimates that the majority of 800 and 800-Like Service Providers are small. </w:t>
      </w:r>
    </w:p>
    <w:p w:rsidR="004C6034" w:rsidRPr="00784A7B" w:rsidP="00336ED3" w14:paraId="656333C7" w14:textId="77777777">
      <w:pPr>
        <w:pStyle w:val="ParaNum"/>
      </w:pPr>
      <w:bookmarkStart w:id="306" w:name="_DV_C618"/>
      <w:r w:rsidRPr="00784A7B">
        <w:rPr>
          <w:i/>
        </w:rPr>
        <w:t>Satellite Telecommunications.</w:t>
      </w:r>
      <w:r w:rsidRPr="00784A7B">
        <w:rPr>
          <w:shd w:val="clear" w:color="auto" w:fill="FFFFFF"/>
        </w:rPr>
        <w:t xml:space="preserve"> </w:t>
      </w:r>
      <w:r w:rsidRPr="00784A7B">
        <w:t xml:space="preserve">This </w:t>
      </w:r>
      <w:r w:rsidRPr="002F2398">
        <w:rPr>
          <w:snapToGrid/>
        </w:rPr>
        <w:t>category</w:t>
      </w:r>
      <w:r w:rsidRPr="00784A7B">
        <w:t xml:space="preserve"> comprises firms “primarily engaged in providing telecommunications services to</w:t>
      </w:r>
      <w:r w:rsidRPr="00846A24">
        <w:t xml:space="preserve"> other establishments in the telecommunications and broadcasting industries by forwarding and receiving communications signals via a system of satellites or reselling satellite telecommunications.”</w:t>
      </w:r>
      <w:r>
        <w:rPr>
          <w:vertAlign w:val="superscript"/>
        </w:rPr>
        <w:footnoteReference w:id="87"/>
      </w:r>
      <w:r w:rsidRPr="00846A24">
        <w:t xml:space="preserve">  Satellite telecommunications service providers include satellite and earth station operators. The category has a small business size standard of $35 million or less in average annual receipts, under SBA rules.</w:t>
      </w:r>
      <w:r>
        <w:rPr>
          <w:vertAlign w:val="superscript"/>
        </w:rPr>
        <w:footnoteReference w:id="88"/>
      </w:r>
      <w:r w:rsidRPr="00846A24">
        <w:t xml:space="preserve">  For this category, U.S. Census Bureau data for 2012 show that there were a total of 333 firms that operated for the entire year.</w:t>
      </w:r>
      <w:bookmarkEnd w:id="306"/>
      <w:r>
        <w:rPr>
          <w:vertAlign w:val="superscript"/>
        </w:rPr>
        <w:footnoteReference w:id="89"/>
      </w:r>
      <w:r w:rsidRPr="00846A24">
        <w:t xml:space="preserve">  Of this total, 299 firms had annual receipts of less than $25 million.</w:t>
      </w:r>
      <w:r>
        <w:rPr>
          <w:vertAlign w:val="superscript"/>
        </w:rPr>
        <w:footnoteReference w:id="90"/>
      </w:r>
      <w:r w:rsidRPr="00846A24">
        <w:t xml:space="preserve">  Consequently, we estimate that the majority of satellite telecommunications providers are small entities.</w:t>
      </w:r>
    </w:p>
    <w:p w:rsidR="004C6034" w:rsidP="00336ED3" w14:paraId="29C63994" w14:textId="217E60FD">
      <w:pPr>
        <w:pStyle w:val="ParaNum"/>
      </w:pPr>
      <w:r w:rsidRPr="00784A7B">
        <w:rPr>
          <w:bCs/>
          <w:i/>
          <w:iCs/>
          <w:snapToGrid/>
          <w:color w:val="000000"/>
          <w:kern w:val="0"/>
        </w:rPr>
        <w:t>All Other Telecommunications</w:t>
      </w:r>
      <w:r w:rsidRPr="00846A24">
        <w:rPr>
          <w:i/>
        </w:rPr>
        <w:t>.</w:t>
      </w:r>
      <w:r w:rsidRPr="00846A24">
        <w:rPr>
          <w:b/>
        </w:rPr>
        <w:t xml:space="preserve">  </w:t>
      </w:r>
      <w:r w:rsidRPr="00846A24">
        <w:t xml:space="preserve">The </w:t>
      </w:r>
      <w:r w:rsidRPr="00846A24">
        <w:rPr>
          <w:b/>
        </w:rPr>
        <w:t>“</w:t>
      </w:r>
      <w:r w:rsidRPr="00846A24">
        <w:t xml:space="preserve">All </w:t>
      </w:r>
      <w:r w:rsidRPr="002F2398">
        <w:rPr>
          <w:snapToGrid/>
        </w:rPr>
        <w:t>Other</w:t>
      </w:r>
      <w:r w:rsidRPr="00846A24">
        <w:t xml:space="preserve"> Telecommunications” category is comprised of establishments primarily engaged in providing specialized telecommunications services, such as satellite tracking, communications telemetry, and radar station operation.</w:t>
      </w:r>
      <w:r>
        <w:rPr>
          <w:vertAlign w:val="superscript"/>
        </w:rPr>
        <w:footnoteReference w:id="91"/>
      </w:r>
      <w:r w:rsidRPr="00846A24">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92"/>
      </w:r>
      <w:r w:rsidRPr="00846A24">
        <w:t xml:space="preserve">  Establishments providing Internet services or voice over Internet protocol (VoIP) services via client-supplied telecommunications connections are also included in this industry.</w:t>
      </w:r>
      <w:r>
        <w:rPr>
          <w:vertAlign w:val="superscript"/>
        </w:rPr>
        <w:footnoteReference w:id="93"/>
      </w:r>
      <w:r w:rsidRPr="00846A24">
        <w:t xml:space="preserve">  The SBA has developed a small business size standard for All Other Telecommunications, which consists of all such firms with annual receipts of $35 million or less.</w:t>
      </w:r>
      <w:r>
        <w:rPr>
          <w:vertAlign w:val="superscript"/>
        </w:rPr>
        <w:footnoteReference w:id="94"/>
      </w:r>
      <w:r w:rsidRPr="00846A24">
        <w:t xml:space="preserve">  For this category, U.S. Census Bureau data for 2012 shows that there were 1,442 firms that operated for the entire year.</w:t>
      </w:r>
      <w:r>
        <w:rPr>
          <w:vertAlign w:val="superscript"/>
        </w:rPr>
        <w:footnoteReference w:id="95"/>
      </w:r>
      <w:r w:rsidRPr="00846A24">
        <w:t xml:space="preserve">  Of those firms, a total of 1,400 had annual receipts less than $25 million.</w:t>
      </w:r>
      <w:r>
        <w:rPr>
          <w:vertAlign w:val="superscript"/>
        </w:rPr>
        <w:footnoteReference w:id="96"/>
      </w:r>
      <w:r w:rsidRPr="00846A24">
        <w:t xml:space="preserve">  Thus, the Commission estimates that the majority of “All Other Telecommunications” firms potentially affected by our action can be considered small. </w:t>
      </w:r>
    </w:p>
    <w:p w:rsidR="004C6034" w:rsidRPr="001B2AEE" w:rsidP="00336ED3" w14:paraId="349BA5E7" w14:textId="085B7CB7">
      <w:pPr>
        <w:pStyle w:val="ParaNum"/>
      </w:pPr>
      <w:r w:rsidRPr="00784A7B">
        <w:rPr>
          <w:bCs/>
          <w:i/>
          <w:iCs/>
          <w:snapToGrid/>
        </w:rPr>
        <w:t>Wireless Telecommunications Carriers (except Satellite).</w:t>
      </w:r>
      <w:r w:rsidRPr="00846A24">
        <w:rPr>
          <w:snapToGrid/>
        </w:rPr>
        <w:t xml:space="preserve">  </w:t>
      </w:r>
      <w:r w:rsidRPr="00022B56">
        <w:rPr>
          <w:snapToGrid/>
        </w:rPr>
        <w:t xml:space="preserve">This </w:t>
      </w:r>
      <w:r w:rsidRPr="002F2398">
        <w:rPr>
          <w:snapToGrid/>
        </w:rPr>
        <w:t>industry</w:t>
      </w:r>
      <w:r w:rsidRPr="00022B56">
        <w:rPr>
          <w:snapToGrid/>
        </w:rPr>
        <w:t xml:space="preserve">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t>
      </w:r>
      <w:r w:rsidRPr="00022B56">
        <w:rPr>
          <w:snapToGrid/>
        </w:rPr>
        <w:t>wireless video services.</w:t>
      </w:r>
      <w:r>
        <w:rPr>
          <w:snapToGrid/>
          <w:vertAlign w:val="superscript"/>
        </w:rPr>
        <w:footnoteReference w:id="97"/>
      </w:r>
      <w:r w:rsidRPr="00022B56">
        <w:rPr>
          <w:snapToGrid/>
        </w:rPr>
        <w:t xml:space="preserve">  The appropriate size standard under SBA rules is that such a business is small if it has 1,500 or fewer employees.</w:t>
      </w:r>
      <w:r>
        <w:rPr>
          <w:snapToGrid/>
          <w:vertAlign w:val="superscript"/>
        </w:rPr>
        <w:footnoteReference w:id="98"/>
      </w:r>
      <w:r w:rsidRPr="00022B56">
        <w:rPr>
          <w:snapToGrid/>
        </w:rPr>
        <w:t xml:space="preserve">  For this industry, U.S. Census data for 2012 show that there were 967 firms that operated for the entire year.</w:t>
      </w:r>
      <w:r>
        <w:rPr>
          <w:snapToGrid/>
          <w:vertAlign w:val="superscript"/>
        </w:rPr>
        <w:footnoteReference w:id="99"/>
      </w:r>
      <w:r w:rsidRPr="00022B56">
        <w:rPr>
          <w:snapToGrid/>
        </w:rPr>
        <w:t xml:space="preserve">  Of this total, 955 firms had employment of 999 or fewer employees.</w:t>
      </w:r>
      <w:r>
        <w:rPr>
          <w:snapToGrid/>
          <w:vertAlign w:val="superscript"/>
        </w:rPr>
        <w:footnoteReference w:id="100"/>
      </w:r>
      <w:r w:rsidRPr="00022B56">
        <w:rPr>
          <w:snapToGrid/>
        </w:rPr>
        <w:t xml:space="preserve">  Thus, under this category and the associated size standard, the Commission estimates that the majority of wireless telecommunications carriers (except satellite) are small entities.</w:t>
      </w:r>
      <w:r w:rsidRPr="00846A24">
        <w:t xml:space="preserve">  </w:t>
      </w:r>
    </w:p>
    <w:p w:rsidR="004C6034" w:rsidRPr="00D02BB4" w:rsidP="00336ED3" w14:paraId="52385F2A" w14:textId="77777777">
      <w:pPr>
        <w:pStyle w:val="ParaNum"/>
      </w:pPr>
      <w:r w:rsidRPr="001B2AEE">
        <w:rPr>
          <w:bCs/>
          <w:i/>
          <w:iCs/>
          <w:snapToGrid/>
          <w:color w:val="000000"/>
          <w:kern w:val="0"/>
        </w:rPr>
        <w:t>Television Broadcasting</w:t>
      </w:r>
      <w:r w:rsidRPr="002A58E1">
        <w:rPr>
          <w:bCs/>
          <w:i/>
          <w:iCs/>
          <w:snapToGrid/>
          <w:color w:val="000000"/>
          <w:kern w:val="0"/>
        </w:rPr>
        <w:t xml:space="preserve">. </w:t>
      </w:r>
      <w:r w:rsidRPr="00D02BB4">
        <w:t xml:space="preserve">This Economic Census category “comprises </w:t>
      </w:r>
      <w:r w:rsidRPr="00D02BB4">
        <w:rPr>
          <w:snapToGrid/>
        </w:rPr>
        <w:t>establishments</w:t>
      </w:r>
      <w:r w:rsidRPr="00D02BB4">
        <w:t xml:space="preserve"> primarily engaged in broadcasting images together with sound.”</w:t>
      </w:r>
      <w:r>
        <w:rPr>
          <w:vertAlign w:val="superscript"/>
        </w:rPr>
        <w:footnoteReference w:id="101"/>
      </w:r>
      <w:r w:rsidRPr="00D02BB4">
        <w:t xml:space="preserve">  These establishments operate television broadcast studios and facilities for the programming and transmission of programs to the public.</w:t>
      </w:r>
      <w:r>
        <w:rPr>
          <w:vertAlign w:val="superscript"/>
        </w:rPr>
        <w:footnoteReference w:id="102"/>
      </w:r>
      <w:r w:rsidRPr="00D02BB4">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103"/>
      </w:r>
      <w:r w:rsidRPr="00D02BB4">
        <w:t xml:space="preserve"> The 2012 Economic Census reports that 751 firms in this category operated in that year.</w:t>
      </w:r>
      <w:r>
        <w:rPr>
          <w:vertAlign w:val="superscript"/>
        </w:rPr>
        <w:footnoteReference w:id="104"/>
      </w:r>
      <w:r w:rsidRPr="00D02BB4">
        <w:t xml:space="preserve">  Of that number, 656 had annual receipts of $25,000,000 or less.</w:t>
      </w:r>
      <w:r>
        <w:rPr>
          <w:vertAlign w:val="superscript"/>
        </w:rPr>
        <w:footnoteReference w:id="105"/>
      </w:r>
      <w:r w:rsidRPr="00D02BB4">
        <w:t xml:space="preserve">  Based on this data we therefore estimate that the majority of commercial television broadcasters are small entities under the applicable SBA size standard. </w:t>
      </w:r>
    </w:p>
    <w:p w:rsidR="004C6034" w:rsidRPr="00D02BB4" w:rsidP="00336ED3" w14:paraId="57A7BCB3" w14:textId="77777777">
      <w:pPr>
        <w:pStyle w:val="ParaNum"/>
      </w:pPr>
      <w:r w:rsidRPr="00D02BB4">
        <w:t xml:space="preserve">The Commission has estimated the </w:t>
      </w:r>
      <w:r w:rsidRPr="00D02BB4">
        <w:rPr>
          <w:snapToGrid/>
        </w:rPr>
        <w:t>number</w:t>
      </w:r>
      <w:r w:rsidRPr="00D02BB4">
        <w:t xml:space="preserve"> of licensed commercial television stations to be 1,377.</w:t>
      </w:r>
      <w:r>
        <w:rPr>
          <w:vertAlign w:val="superscript"/>
        </w:rPr>
        <w:footnoteReference w:id="106"/>
      </w:r>
      <w:r w:rsidRPr="00D02BB4">
        <w:t xml:space="preserve">  Of this total, 1,258 stations (or about 91 percent) had revenues of $41.5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television stations to be 384.</w:t>
      </w:r>
      <w:r>
        <w:rPr>
          <w:vertAlign w:val="superscript"/>
        </w:rPr>
        <w:footnoteReference w:id="107"/>
      </w:r>
      <w:r w:rsidRPr="00D02BB4">
        <w:t xml:space="preserve">  Notwithstanding, the Commission does not compile and otherwise does not have access to information on the revenue of NCE stations that would permit it to determine how many such stations would qualify as small entities.  There are also 2,300 low power television stations, including Class A stations (LPTV) and 3,681 TV translator stations.</w:t>
      </w:r>
      <w:r>
        <w:rPr>
          <w:vertAlign w:val="superscript"/>
        </w:rPr>
        <w:footnoteReference w:id="108"/>
      </w:r>
      <w:r w:rsidRPr="00D02BB4">
        <w:t xml:space="preserve">  Given the nature of these services, we will presume that all of these entities qualify as small entities under the above SBA small business </w:t>
      </w:r>
      <w:r w:rsidRPr="00D02BB4">
        <w:t xml:space="preserve">size standard.  </w:t>
      </w:r>
    </w:p>
    <w:p w:rsidR="004C6034" w:rsidRPr="00D02BB4" w:rsidP="00336ED3" w14:paraId="58FF1530" w14:textId="77777777">
      <w:pPr>
        <w:pStyle w:val="ParaNum"/>
      </w:pPr>
      <w:r w:rsidRPr="00D02BB4">
        <w:t xml:space="preserve">We note, however, that in assessing </w:t>
      </w:r>
      <w:r w:rsidRPr="00D02BB4">
        <w:rPr>
          <w:snapToGrid/>
        </w:rPr>
        <w:t>whether</w:t>
      </w:r>
      <w:r w:rsidRPr="00D02BB4">
        <w:t xml:space="preserve"> a business concern qualifies as “small” under the above definition, business (control) affiliations</w:t>
      </w:r>
      <w:r>
        <w:rPr>
          <w:vertAlign w:val="superscript"/>
        </w:rPr>
        <w:footnoteReference w:id="109"/>
      </w:r>
      <w:r w:rsidRPr="00D02BB4">
        <w:t xml:space="preserve"> must be included. Our estimate, </w:t>
      </w:r>
      <w:r w:rsidRPr="00D02BB4">
        <w:t>therefore</w:t>
      </w:r>
      <w:r w:rsidRPr="00D02BB4">
        <w:t xml:space="preserv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4C6034" w:rsidRPr="002F2398" w:rsidP="00336ED3" w14:paraId="4CDCBD6F" w14:textId="2CB0EF34">
      <w:pPr>
        <w:pStyle w:val="ParaNum"/>
      </w:pPr>
      <w:r w:rsidRPr="005D1241">
        <w:rPr>
          <w:bCs/>
          <w:i/>
          <w:iCs/>
          <w:snapToGrid/>
          <w:color w:val="000000"/>
          <w:kern w:val="0"/>
        </w:rPr>
        <w:t>Radio Stations</w:t>
      </w:r>
      <w:r w:rsidRPr="00846A24">
        <w:t>.</w:t>
      </w:r>
      <w:r>
        <w:t xml:space="preserve">  </w:t>
      </w:r>
      <w:r w:rsidRPr="00846A24">
        <w:rPr>
          <w:snapToGrid/>
        </w:rPr>
        <w:t xml:space="preserve">This Economic Census </w:t>
      </w:r>
      <w:r w:rsidRPr="002F2398">
        <w:rPr>
          <w:snapToGrid/>
        </w:rPr>
        <w:t>category</w:t>
      </w:r>
      <w:r w:rsidRPr="00846A24">
        <w:rPr>
          <w:snapToGrid/>
        </w:rPr>
        <w:t xml:space="preserve"> “comprises establishments primarily engaged in broadcasting aural programs by radio to the public.”</w:t>
      </w:r>
      <w:r>
        <w:rPr>
          <w:snapToGrid/>
          <w:vertAlign w:val="superscript"/>
        </w:rPr>
        <w:footnoteReference w:id="110"/>
      </w:r>
      <w:r w:rsidRPr="00846A24">
        <w:rPr>
          <w:snapToGrid/>
        </w:rPr>
        <w:t xml:space="preserve">  The SBA has created the following small business size standard for this category: those having $41.5 million or less in annual receipts.</w:t>
      </w:r>
      <w:r>
        <w:rPr>
          <w:snapToGrid/>
          <w:vertAlign w:val="superscript"/>
        </w:rPr>
        <w:footnoteReference w:id="111"/>
      </w:r>
      <w:r w:rsidRPr="00846A24">
        <w:rPr>
          <w:snapToGrid/>
        </w:rPr>
        <w:t xml:space="preserve">  Census data for 2012 show that 2,849 firms in this category operated in that year.</w:t>
      </w:r>
      <w:r>
        <w:rPr>
          <w:snapToGrid/>
          <w:vertAlign w:val="superscript"/>
        </w:rPr>
        <w:footnoteReference w:id="112"/>
      </w:r>
      <w:r w:rsidRPr="00846A24">
        <w:rPr>
          <w:snapToGrid/>
        </w:rPr>
        <w:t xml:space="preserve">  Of this number, 2,806 firms had annual receipts of less than $25 millio</w:t>
      </w:r>
      <w:r w:rsidR="00C86F56">
        <w:rPr>
          <w:snapToGrid/>
        </w:rPr>
        <w:t>n</w:t>
      </w:r>
      <w:r w:rsidRPr="00846A24">
        <w:rPr>
          <w:snapToGrid/>
        </w:rPr>
        <w:t>.</w:t>
      </w:r>
      <w:r>
        <w:rPr>
          <w:snapToGrid/>
          <w:vertAlign w:val="superscript"/>
        </w:rPr>
        <w:footnoteReference w:id="113"/>
      </w:r>
      <w:r w:rsidRPr="00846A24">
        <w:rPr>
          <w:snapToGrid/>
        </w:rPr>
        <w:t xml:space="preserve">  Because the Census has no additional classifications that could serve as a basis for determining the number of stations whose receipts exceeded $41.5 million in that year, we conclude that the majority of radio broadcast stations were small entities under the applicable SBA size standard.  In addition, the Commission has estimated the number of noncommercial educational FM radio stations to be 4,122.</w:t>
      </w:r>
      <w:r>
        <w:rPr>
          <w:snapToGrid/>
          <w:vertAlign w:val="superscript"/>
        </w:rPr>
        <w:footnoteReference w:id="114"/>
      </w:r>
      <w:r w:rsidRPr="00846A24">
        <w:rPr>
          <w:snapToGrid/>
        </w:rPr>
        <w:t xml:space="preserve">  NCE </w:t>
      </w:r>
      <w:r w:rsidRPr="005D1241">
        <w:rPr>
          <w:snapToGrid/>
        </w:rPr>
        <w:t>stations are non-profit, and therefore considered to be small entities.</w:t>
      </w:r>
      <w:r>
        <w:rPr>
          <w:snapToGrid/>
          <w:vertAlign w:val="superscript"/>
        </w:rPr>
        <w:footnoteReference w:id="115"/>
      </w:r>
    </w:p>
    <w:p w:rsidR="004C6034" w:rsidRPr="005D1241" w:rsidP="00336ED3" w14:paraId="4B5C33D9" w14:textId="4B0425BD">
      <w:pPr>
        <w:pStyle w:val="ParaNum"/>
        <w:rPr>
          <w:bCs/>
          <w:snapToGrid/>
          <w:color w:val="000000"/>
        </w:rPr>
      </w:pPr>
      <w:r w:rsidRPr="002F2398">
        <w:rPr>
          <w:i/>
          <w:iCs/>
          <w:snapToGrid/>
          <w:color w:val="000000"/>
        </w:rPr>
        <w:t>Auxiliary, Special Broadcast and Other Program Distribution Services</w:t>
      </w:r>
      <w:r w:rsidRPr="002F2398">
        <w:rPr>
          <w:snapToGrid/>
          <w:color w:val="000000"/>
        </w:rPr>
        <w:t xml:space="preserve">. </w:t>
      </w:r>
      <w:r w:rsidRPr="002F2398">
        <w:rPr>
          <w:rFonts w:eastAsia="Calibri"/>
          <w:snapToGrid/>
        </w:rPr>
        <w:t xml:space="preserve">This </w:t>
      </w:r>
      <w:r w:rsidRPr="002F2398">
        <w:rPr>
          <w:snapToGrid/>
        </w:rPr>
        <w:t>service</w:t>
      </w:r>
      <w:r w:rsidRPr="002F2398">
        <w:rPr>
          <w:rFonts w:eastAsia="Calibri"/>
          <w:snapToGrid/>
        </w:rPr>
        <w:t xml:space="preserve"> involves a variety of transmitters, generally used to relay broadcast programming to the public (through translator and booster stations) or within the program distribution chain (from a remote news gathering unit back to the station).  Neither </w:t>
      </w:r>
      <w:r w:rsidRPr="002F2398">
        <w:rPr>
          <w:snapToGrid/>
          <w:szCs w:val="22"/>
        </w:rPr>
        <w:t>the</w:t>
      </w:r>
      <w:r w:rsidRPr="002F2398">
        <w:rPr>
          <w:rFonts w:eastAsia="Calibri"/>
          <w:snapToGrid/>
        </w:rPr>
        <w:t xml:space="preserve"> SBA nor the Commission has </w:t>
      </w:r>
      <w:r w:rsidRPr="002F2398">
        <w:rPr>
          <w:snapToGrid/>
        </w:rPr>
        <w:t>developed</w:t>
      </w:r>
      <w:r w:rsidRPr="002F2398">
        <w:rPr>
          <w:rFonts w:eastAsia="Calibri"/>
          <w:snapToGrid/>
        </w:rPr>
        <w:t xml:space="preserve"> a size standard applicable to broadcast auxiliary licensees.  The closest applicable SBA category and small business size standard falls under Radio Stations and Television Broadcasting.</w:t>
      </w:r>
      <w:r>
        <w:rPr>
          <w:rFonts w:eastAsia="Calibri"/>
          <w:snapToGrid/>
          <w:vertAlign w:val="superscript"/>
        </w:rPr>
        <w:footnoteReference w:id="116"/>
      </w:r>
      <w:r w:rsidRPr="002F2398">
        <w:rPr>
          <w:rFonts w:eastAsia="Calibri"/>
          <w:snapToGrid/>
        </w:rPr>
        <w:t xml:space="preserve">  The SBA size standard for radio stations is $41.5 million per year. U.S. Census Bureau data for 2012 show that 2,849 radio station firms operated </w:t>
      </w:r>
      <w:r w:rsidRPr="002F2398">
        <w:rPr>
          <w:rFonts w:eastAsia="Calibri"/>
          <w:snapToGrid/>
        </w:rPr>
        <w:t>during that year.</w:t>
      </w:r>
      <w:r>
        <w:rPr>
          <w:rFonts w:eastAsia="Calibri"/>
          <w:snapToGrid/>
          <w:vertAlign w:val="superscript"/>
        </w:rPr>
        <w:footnoteReference w:id="117"/>
      </w:r>
      <w:r w:rsidRPr="002F2398">
        <w:rPr>
          <w:rFonts w:eastAsia="Calibri"/>
          <w:snapToGrid/>
        </w:rPr>
        <w:t xml:space="preserve">  Of that number, 2,806 firms operated with annual receipts of less than $25 million per year.</w:t>
      </w:r>
      <w:r>
        <w:rPr>
          <w:rFonts w:eastAsia="Calibri"/>
          <w:snapToGrid/>
          <w:vertAlign w:val="superscript"/>
        </w:rPr>
        <w:footnoteReference w:id="118"/>
      </w:r>
      <w:r w:rsidRPr="002F2398">
        <w:rPr>
          <w:rFonts w:eastAsia="Calibri"/>
          <w:snapToGrid/>
        </w:rPr>
        <w:t xml:space="preserve">  For Television Broadcasting the SBA small business size standard is such businesses having $41.5 million or less in annual receipts.</w:t>
      </w:r>
      <w:r>
        <w:rPr>
          <w:rFonts w:eastAsia="Calibri"/>
          <w:snapToGrid/>
          <w:vertAlign w:val="superscript"/>
        </w:rPr>
        <w:footnoteReference w:id="119"/>
      </w:r>
      <w:r w:rsidRPr="002F2398">
        <w:rPr>
          <w:rFonts w:eastAsia="Calibri"/>
          <w:snapToGrid/>
        </w:rPr>
        <w:t xml:space="preserve">  U.S. Census Bureau data show that 751 firms in this category operated in that year.</w:t>
      </w:r>
      <w:r>
        <w:rPr>
          <w:rFonts w:eastAsia="Calibri"/>
          <w:snapToGrid/>
          <w:vertAlign w:val="superscript"/>
        </w:rPr>
        <w:footnoteReference w:id="120"/>
      </w:r>
      <w:r w:rsidRPr="002F2398">
        <w:rPr>
          <w:rFonts w:eastAsia="Calibri"/>
          <w:snapToGrid/>
        </w:rPr>
        <w:t xml:space="preserve">  Of that number, 656 had annual receipts of $25,000,000 or less.</w:t>
      </w:r>
      <w:r>
        <w:rPr>
          <w:rFonts w:eastAsia="Calibri"/>
          <w:snapToGrid/>
          <w:vertAlign w:val="superscript"/>
        </w:rPr>
        <w:footnoteReference w:id="121"/>
      </w:r>
      <w:r w:rsidRPr="002F2398">
        <w:rPr>
          <w:rFonts w:eastAsia="Calibri"/>
          <w:snapToGrid/>
        </w:rPr>
        <w:t xml:space="preserve">  Accordingly, based on the U.S. Census Bureau data for Radio Stations and Television Broadcasting, the Commission estimates that the majority of Auxiliary, Special Broadcast and Other Program Distribution Services firms are small</w:t>
      </w:r>
      <w:r w:rsidRPr="002F2398">
        <w:rPr>
          <w:rFonts w:eastAsia="Calibri"/>
          <w:i/>
          <w:snapToGrid/>
        </w:rPr>
        <w:t>.</w:t>
      </w:r>
    </w:p>
    <w:p w:rsidR="00090F42" w:rsidRPr="00C86F56" w:rsidP="00C86F56" w14:paraId="7CCDF14F" w14:textId="11BD359E">
      <w:pPr>
        <w:pStyle w:val="ParaNum"/>
        <w:rPr>
          <w:szCs w:val="22"/>
        </w:rPr>
      </w:pPr>
      <w:r w:rsidRPr="00090F42">
        <w:rPr>
          <w:i/>
        </w:rPr>
        <w:t>Cable Companies and Systems (Rate Regulation).</w:t>
      </w:r>
      <w:r w:rsidRPr="00090F42">
        <w:t xml:space="preserve">  The Commission has also developed its own small business size standards, for the purpose of cable rate regulation.  Under the Commission’s rules, a “small cable company” is one serving 400,000 or fewer subscribers nationwide.</w:t>
      </w:r>
      <w:r>
        <w:rPr>
          <w:color w:val="000000"/>
          <w:sz w:val="20"/>
          <w:vertAlign w:val="superscript"/>
        </w:rPr>
        <w:footnoteReference w:id="122"/>
      </w:r>
      <w:r w:rsidRPr="00090F42">
        <w:t xml:space="preserve">  Industry data indicate that there are 4,600 active cable systems in the United States.</w:t>
      </w:r>
      <w:r>
        <w:rPr>
          <w:sz w:val="20"/>
          <w:vertAlign w:val="superscript"/>
        </w:rPr>
        <w:footnoteReference w:id="123"/>
      </w:r>
      <w:r w:rsidRPr="00090F42">
        <w:t xml:space="preserve">  Of this total, all but five cable operators nationwide are small under the 400,000-subscriber size standard.</w:t>
      </w:r>
      <w:r>
        <w:rPr>
          <w:sz w:val="20"/>
          <w:vertAlign w:val="superscript"/>
        </w:rPr>
        <w:footnoteReference w:id="124"/>
      </w:r>
      <w:r w:rsidRPr="00090F42">
        <w:t xml:space="preserve">  In addition, under the Commission’s rate regulation rules, a “small system” is a cable system serving 15,000 or fewer subscribers.</w:t>
      </w:r>
      <w:r>
        <w:rPr>
          <w:color w:val="000000"/>
          <w:sz w:val="20"/>
          <w:vertAlign w:val="superscript"/>
        </w:rPr>
        <w:footnoteReference w:id="125"/>
      </w:r>
      <w:r w:rsidRPr="00090F42">
        <w:t xml:space="preserve">  Commission records show 4,600 cable systems </w:t>
      </w:r>
      <w:r w:rsidRPr="00F14EA6">
        <w:t>nationwide.</w:t>
      </w:r>
      <w:r>
        <w:rPr>
          <w:sz w:val="20"/>
          <w:vertAlign w:val="superscript"/>
        </w:rPr>
        <w:footnoteReference w:id="126"/>
      </w:r>
      <w:r w:rsidRPr="00090F42">
        <w:t xml:space="preserve">  Of this total, 3,900 cable systems have fewer than 15,000 subscribers, and 700 systems have 15,000 or more subscribers, based on the same records.</w:t>
      </w:r>
      <w:r>
        <w:rPr>
          <w:sz w:val="20"/>
          <w:vertAlign w:val="superscript"/>
        </w:rPr>
        <w:footnoteReference w:id="127"/>
      </w:r>
      <w:r w:rsidRPr="00090F42">
        <w:t xml:space="preserve">  Thus, under this standard as well, we estimate that most cable systems are small entities</w:t>
      </w:r>
    </w:p>
    <w:p w:rsidR="004C6034" w:rsidRPr="00D55980" w:rsidP="00336ED3" w14:paraId="02DCCF6D" w14:textId="77777777">
      <w:pPr>
        <w:pStyle w:val="ParaNum"/>
        <w:rPr>
          <w:snapToGrid/>
          <w:color w:val="000000"/>
        </w:rPr>
      </w:pPr>
      <w:r w:rsidRPr="00D55980">
        <w:rPr>
          <w:bCs/>
          <w:i/>
          <w:iCs/>
          <w:snapToGrid/>
          <w:color w:val="000000"/>
        </w:rPr>
        <w:t>Internet Service Providers</w:t>
      </w:r>
      <w:r w:rsidRPr="00846A24">
        <w:rPr>
          <w:snapToGrid/>
          <w:color w:val="000000"/>
        </w:rPr>
        <w:t xml:space="preserve">.  </w:t>
      </w:r>
      <w:r w:rsidRPr="00846A24">
        <w:rPr>
          <w:rFonts w:eastAsia="Calibri"/>
          <w:snapToGrid/>
        </w:rPr>
        <w:t xml:space="preserve">Broadband </w:t>
      </w:r>
      <w:r w:rsidRPr="00D42F9A">
        <w:rPr>
          <w:rFonts w:eastAsia="Calibri"/>
          <w:snapToGrid/>
        </w:rPr>
        <w:t>Internet</w:t>
      </w:r>
      <w:r w:rsidRPr="00846A24">
        <w:rPr>
          <w:rFonts w:eastAsia="Calibri"/>
          <w:snapToGrid/>
        </w:rPr>
        <w:t xml:space="preserve"> service providers include wired (e.g., cable, DSL) and VoIP service providers using their own operated wired telecommunications infrastructure fall in the category of Wired Telecommunication Carriers.</w:t>
      </w:r>
      <w:r>
        <w:rPr>
          <w:rFonts w:eastAsia="Calibri"/>
          <w:snapToGrid/>
          <w:vertAlign w:val="superscript"/>
        </w:rPr>
        <w:footnoteReference w:id="128"/>
      </w:r>
      <w:r w:rsidRPr="00846A24">
        <w:rPr>
          <w:rFonts w:eastAsia="Calibri"/>
          <w:snapToGrid/>
        </w:rPr>
        <w:t xml:space="preserve">  Wired Telecommunications Carriers are comprised of establishments primarily engaged in operating and/or providing access to transmission facilities and infrastructure that they own and/or lease for the transmission of voice, data, </w:t>
      </w:r>
      <w:r w:rsidRPr="00846A24">
        <w:rPr>
          <w:rFonts w:eastAsia="Calibri"/>
          <w:snapToGrid/>
        </w:rPr>
        <w:t>text, sound, and video using wired telecommunications networks. Transmission facilities may be based on a single technology or a combination of technologies.</w:t>
      </w:r>
      <w:r>
        <w:rPr>
          <w:rFonts w:eastAsia="Calibri"/>
          <w:snapToGrid/>
          <w:vertAlign w:val="superscript"/>
        </w:rPr>
        <w:footnoteReference w:id="129"/>
      </w:r>
      <w:r w:rsidRPr="00846A24">
        <w:rPr>
          <w:rFonts w:eastAsia="Calibri"/>
          <w:snapToGrid/>
        </w:rPr>
        <w:t xml:space="preserve">  The SBA size standard for this category classifies a business as small if it has 1,500 or fewer employees.</w:t>
      </w:r>
      <w:r>
        <w:rPr>
          <w:rFonts w:eastAsia="Calibri"/>
          <w:snapToGrid/>
          <w:vertAlign w:val="superscript"/>
        </w:rPr>
        <w:footnoteReference w:id="130"/>
      </w:r>
      <w:r w:rsidRPr="00846A24">
        <w:rPr>
          <w:rFonts w:eastAsia="Calibri"/>
          <w:snapToGrid/>
        </w:rPr>
        <w:t xml:space="preserve">  U.S. Census Bureau data for 2012 show that there were 3,117 firms that operated that year.</w:t>
      </w:r>
      <w:r>
        <w:rPr>
          <w:rFonts w:eastAsia="Calibri"/>
          <w:snapToGrid/>
          <w:vertAlign w:val="superscript"/>
        </w:rPr>
        <w:footnoteReference w:id="131"/>
      </w:r>
      <w:r w:rsidRPr="00846A24">
        <w:rPr>
          <w:rFonts w:eastAsia="Calibri"/>
          <w:snapToGrid/>
        </w:rPr>
        <w:t xml:space="preserve">  Of this total, 3,083 operated with fewer than 1,000 employees.</w:t>
      </w:r>
      <w:r>
        <w:rPr>
          <w:rFonts w:eastAsia="Calibri"/>
          <w:snapToGrid/>
          <w:vertAlign w:val="superscript"/>
        </w:rPr>
        <w:footnoteReference w:id="132"/>
      </w:r>
      <w:r w:rsidRPr="00846A24">
        <w:rPr>
          <w:rFonts w:eastAsia="Calibri"/>
          <w:snapToGrid/>
        </w:rPr>
        <w:t xml:space="preserve">  Consequently, under this size standard the majority of firms in this industry can be considered small.</w:t>
      </w:r>
    </w:p>
    <w:p w:rsidR="004C6034" w:rsidRPr="00846A24" w:rsidP="004C6034" w14:paraId="6C0E2D29" w14:textId="77777777">
      <w:pPr>
        <w:pStyle w:val="Heading3"/>
        <w:rPr>
          <w:rFonts w:eastAsia="Calibri"/>
          <w:szCs w:val="22"/>
        </w:rPr>
      </w:pPr>
      <w:r w:rsidRPr="00846A24">
        <w:rPr>
          <w:rFonts w:eastAsia="Calibri"/>
          <w:szCs w:val="22"/>
        </w:rPr>
        <w:t>Schools and Libraries</w:t>
      </w:r>
    </w:p>
    <w:p w:rsidR="004C6034" w:rsidRPr="00846A24" w:rsidP="00336ED3" w14:paraId="76E7704F" w14:textId="527AAC3F">
      <w:pPr>
        <w:pStyle w:val="ParaNum"/>
        <w:rPr>
          <w:rFonts w:eastAsia="Calibri"/>
        </w:rPr>
      </w:pPr>
      <w:r w:rsidRPr="00846A24">
        <w:rPr>
          <w:rFonts w:eastAsia="Calibri"/>
          <w:i/>
          <w:iCs/>
        </w:rPr>
        <w:t xml:space="preserve">Schools.  </w:t>
      </w:r>
      <w:r w:rsidRPr="00846A24">
        <w:rPr>
          <w:rFonts w:eastAsia="Calibri"/>
        </w:rPr>
        <w:t>While</w:t>
      </w:r>
      <w:r>
        <w:rPr>
          <w:rFonts w:eastAsia="Calibri"/>
        </w:rPr>
        <w:t xml:space="preserve"> the</w:t>
      </w:r>
      <w:r w:rsidRPr="00846A24">
        <w:rPr>
          <w:rFonts w:eastAsia="Calibri"/>
        </w:rPr>
        <w:t xml:space="preserve"> Commission does define entities eligible to participate in the E-Rate program, neither the Commission nor the SBA have a size standard for small entities specifically applicable to schools.  Under the E-Rate program, which provides support for elementary and secondary schools and libraries, an elementary school is generally “a non-profit institutional day or residential school that provides elementary education, as determined under state law.”</w:t>
      </w:r>
      <w:r>
        <w:rPr>
          <w:rFonts w:eastAsia="Calibri"/>
          <w:vertAlign w:val="superscript"/>
        </w:rPr>
        <w:footnoteReference w:id="133"/>
      </w:r>
      <w:r w:rsidRPr="00846A24">
        <w:rPr>
          <w:rFonts w:eastAsia="Calibri"/>
        </w:rPr>
        <w:t xml:space="preserve">  A secondary school is generally defined as “a non-profit institutional day or residential school that provides secondary education, as determined under state law,” and not offering education beyond grade 12.</w:t>
      </w:r>
      <w:r>
        <w:rPr>
          <w:rFonts w:eastAsia="Calibri"/>
          <w:vertAlign w:val="superscript"/>
        </w:rPr>
        <w:footnoteReference w:id="134"/>
      </w:r>
      <w:r w:rsidRPr="00846A24">
        <w:rPr>
          <w:rFonts w:eastAsia="Calibri"/>
        </w:rPr>
        <w:t xml:space="preserve">  For-profit schools, and schools with endowments in excess of $50,000,000, are not eligible to receive discounts under the E-Rate program.</w:t>
      </w:r>
      <w:r>
        <w:rPr>
          <w:rStyle w:val="FootnoteReference"/>
          <w:rFonts w:eastAsia="Calibri"/>
          <w:sz w:val="22"/>
          <w:szCs w:val="22"/>
        </w:rPr>
        <w:footnoteReference w:id="135"/>
      </w:r>
      <w:r w:rsidRPr="00846A24">
        <w:rPr>
          <w:rFonts w:eastAsia="Calibri"/>
        </w:rPr>
        <w:t xml:space="preserve">    </w:t>
      </w:r>
    </w:p>
    <w:p w:rsidR="004C6034" w:rsidRPr="00846A24" w:rsidP="00336ED3" w14:paraId="27CC858E" w14:textId="77777777">
      <w:pPr>
        <w:pStyle w:val="ParaNum"/>
        <w:rPr>
          <w:rFonts w:eastAsia="Calibri"/>
        </w:rPr>
      </w:pPr>
      <w:bookmarkStart w:id="309" w:name="_Hlk43387811"/>
      <w:r w:rsidRPr="00846A24">
        <w:rPr>
          <w:rFonts w:eastAsia="Calibri"/>
        </w:rPr>
        <w:t xml:space="preserve">Although the </w:t>
      </w:r>
      <w:r w:rsidRPr="00D42F9A">
        <w:rPr>
          <w:rFonts w:eastAsia="Calibri"/>
          <w:snapToGrid/>
        </w:rPr>
        <w:t>SBA</w:t>
      </w:r>
      <w:r w:rsidRPr="00846A24">
        <w:rPr>
          <w:rFonts w:eastAsia="Calibri"/>
        </w:rPr>
        <w:t xml:space="preserve"> does not have a size standard for small entities specifically applicable to schools, the closest NAICS Code category is Elementary and Secondary Schools under the subsector Educational Services.</w:t>
      </w:r>
      <w:r>
        <w:rPr>
          <w:rFonts w:eastAsia="Calibri"/>
          <w:vertAlign w:val="superscript"/>
        </w:rPr>
        <w:footnoteReference w:id="136"/>
      </w:r>
      <w:r w:rsidRPr="00846A24">
        <w:rPr>
          <w:rFonts w:eastAsia="Calibri"/>
        </w:rPr>
        <w:t xml:space="preserve">  The SBA has developed a small business size standard for Elementary and Secondary Schools which consists of all such entities with gross annual receipts of $12 million or less.</w:t>
      </w:r>
      <w:r>
        <w:rPr>
          <w:rFonts w:eastAsia="Calibri"/>
          <w:vertAlign w:val="superscript"/>
        </w:rPr>
        <w:footnoteReference w:id="137"/>
      </w:r>
      <w:r w:rsidRPr="00846A24">
        <w:rPr>
          <w:rFonts w:eastAsia="Calibri"/>
        </w:rPr>
        <w:t xml:space="preserve">  In fund</w:t>
      </w:r>
      <w:r>
        <w:rPr>
          <w:rFonts w:eastAsia="Calibri"/>
        </w:rPr>
        <w:t xml:space="preserve">ing year 2017, approximately </w:t>
      </w:r>
      <w:r w:rsidRPr="00846A24">
        <w:rPr>
          <w:rFonts w:eastAsia="Calibri"/>
        </w:rPr>
        <w:t>104,500 schools received funding under the schools and libraries universal service mechanism.</w:t>
      </w:r>
      <w:r>
        <w:rPr>
          <w:rStyle w:val="FootnoteReference"/>
          <w:rFonts w:eastAsia="Calibri"/>
          <w:szCs w:val="22"/>
        </w:rPr>
        <w:footnoteReference w:id="138"/>
      </w:r>
      <w:r w:rsidRPr="00846A24">
        <w:rPr>
          <w:rFonts w:eastAsia="Calibri"/>
        </w:rPr>
        <w:t xml:space="preserve">  Although we are unable to estimate the exact number of these entities that would qualify as small entities under SBA’s size standard, we estimate that fewer than 104,500 schools might be affected by our action.</w:t>
      </w:r>
      <w:bookmarkEnd w:id="309"/>
    </w:p>
    <w:p w:rsidR="004C6034" w:rsidRPr="00846A24" w:rsidP="00336ED3" w14:paraId="6C2C5FFD" w14:textId="77777777">
      <w:pPr>
        <w:pStyle w:val="ParaNum"/>
        <w:rPr>
          <w:rFonts w:eastAsia="Calibri"/>
        </w:rPr>
      </w:pPr>
      <w:r w:rsidRPr="00846A24">
        <w:rPr>
          <w:rFonts w:eastAsia="Calibri"/>
          <w:i/>
          <w:iCs/>
        </w:rPr>
        <w:t xml:space="preserve">Libraries.  </w:t>
      </w:r>
      <w:r w:rsidRPr="00846A24">
        <w:rPr>
          <w:rFonts w:eastAsia="Calibri"/>
        </w:rPr>
        <w:t xml:space="preserve">The Commission does have definitions for entities that participate in the E-Rate program but neither the Commission nor the SBA have a size standard for small entities specifically applicable to libraries.  Under the E-Rate program, which provides support for libraries, a library includes “(1) a public library, (2) a public elementary school or secondary school library, (3) an academic library, (4) a research library [] and (5) a private library, but only if the state in which such private library is </w:t>
      </w:r>
      <w:r w:rsidRPr="00846A24">
        <w:rPr>
          <w:rFonts w:eastAsia="Calibri"/>
        </w:rPr>
        <w:t>located determines that the library should be considered a library for the purposes of this definition.”</w:t>
      </w:r>
      <w:r>
        <w:rPr>
          <w:rFonts w:eastAsia="Calibri"/>
          <w:vertAlign w:val="superscript"/>
        </w:rPr>
        <w:footnoteReference w:id="139"/>
      </w:r>
      <w:r w:rsidRPr="00846A24">
        <w:rPr>
          <w:rFonts w:eastAsia="Calibri"/>
        </w:rPr>
        <w:t xml:space="preserve">  For-profit libraries, are not eligible to receive discounts under the program, nor are libraries whose budgets are not completely separate from any schools.</w:t>
      </w:r>
      <w:r>
        <w:rPr>
          <w:rFonts w:eastAsia="Calibri"/>
          <w:vertAlign w:val="superscript"/>
        </w:rPr>
        <w:footnoteReference w:id="140"/>
      </w:r>
      <w:r w:rsidRPr="00846A24">
        <w:rPr>
          <w:rFonts w:eastAsia="Calibri"/>
        </w:rPr>
        <w:t xml:space="preserve">  </w:t>
      </w:r>
    </w:p>
    <w:p w:rsidR="004C6034" w:rsidRPr="00846A24" w:rsidP="00336ED3" w14:paraId="7D6B7115" w14:textId="77777777">
      <w:pPr>
        <w:pStyle w:val="ParaNum"/>
        <w:rPr>
          <w:rFonts w:eastAsia="Calibri"/>
        </w:rPr>
      </w:pPr>
      <w:r w:rsidRPr="00846A24">
        <w:rPr>
          <w:rFonts w:eastAsia="Calibri"/>
        </w:rPr>
        <w:t xml:space="preserve">Although the SBA does not </w:t>
      </w:r>
      <w:r w:rsidRPr="00D42F9A">
        <w:rPr>
          <w:rFonts w:eastAsia="Calibri"/>
          <w:snapToGrid/>
        </w:rPr>
        <w:t>have</w:t>
      </w:r>
      <w:r w:rsidRPr="00846A24">
        <w:rPr>
          <w:rFonts w:eastAsia="Calibri"/>
        </w:rPr>
        <w:t xml:space="preserve"> a size standard for small entities specifically applicable to libraries, the closest NAICS Code category is Libraries and Archives.</w:t>
      </w:r>
      <w:r>
        <w:rPr>
          <w:rFonts w:eastAsia="Calibri"/>
          <w:vertAlign w:val="superscript"/>
        </w:rPr>
        <w:footnoteReference w:id="141"/>
      </w:r>
      <w:r w:rsidRPr="00846A24">
        <w:rPr>
          <w:rFonts w:eastAsia="Calibri"/>
        </w:rPr>
        <w:t xml:space="preserve">  The SBA has developed a small business size standard for Libraries and Archives which consists of all such entities with gross annual receipts of $16.5 million or less.</w:t>
      </w:r>
      <w:r>
        <w:rPr>
          <w:rFonts w:eastAsia="Calibri"/>
          <w:vertAlign w:val="superscript"/>
        </w:rPr>
        <w:footnoteReference w:id="142"/>
      </w:r>
      <w:r w:rsidRPr="00846A24">
        <w:rPr>
          <w:rFonts w:eastAsia="Calibri"/>
        </w:rPr>
        <w:t xml:space="preserve">  In funding year 2017, approximately 11,490 libraries received funding under the schools and libraries universal service mechanism.</w:t>
      </w:r>
      <w:r>
        <w:rPr>
          <w:rStyle w:val="FootnoteReference"/>
          <w:rFonts w:eastAsia="Calibri"/>
          <w:szCs w:val="22"/>
        </w:rPr>
        <w:footnoteReference w:id="143"/>
      </w:r>
      <w:r w:rsidRPr="00846A24">
        <w:rPr>
          <w:rFonts w:eastAsia="Calibri"/>
        </w:rPr>
        <w:t xml:space="preserve">  Although we are unable to estimate the exact number of these entities that would qualify as small entities under SBA’s size standard, we estimate that fewer than 11,490 libraries might be affected annually by our action.</w:t>
      </w:r>
    </w:p>
    <w:p w:rsidR="004C6034" w:rsidRPr="00B11C93" w:rsidP="004C6034" w14:paraId="1DDE1C5B" w14:textId="77777777">
      <w:pPr>
        <w:pStyle w:val="Heading3"/>
        <w:rPr>
          <w:rFonts w:eastAsia="Calibri"/>
          <w:snapToGrid/>
          <w:szCs w:val="22"/>
        </w:rPr>
      </w:pPr>
      <w:r w:rsidRPr="00846A24">
        <w:rPr>
          <w:rFonts w:eastAsia="Calibri"/>
          <w:snapToGrid/>
          <w:szCs w:val="22"/>
        </w:rPr>
        <w:t>Health Care Providers</w:t>
      </w:r>
    </w:p>
    <w:p w:rsidR="004C6034" w:rsidRPr="00B11C93" w:rsidP="00336ED3" w14:paraId="6CF28DEC" w14:textId="610175E3">
      <w:pPr>
        <w:pStyle w:val="ParaNum"/>
        <w:rPr>
          <w:rFonts w:eastAsia="Calibri"/>
          <w:snapToGrid/>
        </w:rPr>
      </w:pPr>
      <w:r w:rsidRPr="00B11C93">
        <w:rPr>
          <w:rFonts w:eastAsia="Calibri"/>
          <w:i/>
          <w:snapToGrid/>
        </w:rPr>
        <w:t xml:space="preserve">Offices of Physicians </w:t>
      </w:r>
      <w:r w:rsidRPr="00B11C93">
        <w:rPr>
          <w:rFonts w:eastAsia="Calibri"/>
          <w:i/>
          <w:snapToGrid/>
          <w:lang w:val="en"/>
        </w:rPr>
        <w:t xml:space="preserve">(except Mental Health Specialists). </w:t>
      </w:r>
      <w:r w:rsidRPr="00B11C93">
        <w:rPr>
          <w:rFonts w:eastAsia="Calibri"/>
          <w:b/>
          <w:snapToGrid/>
          <w:lang w:val="en"/>
        </w:rPr>
        <w:t xml:space="preserve"> </w:t>
      </w:r>
      <w:r w:rsidRPr="00B11C93">
        <w:rPr>
          <w:rFonts w:eastAsia="Calibri"/>
          <w:snapToGrid/>
          <w:lang w:val="en"/>
        </w:rPr>
        <w:t xml:space="preserve">This U.S. </w:t>
      </w:r>
      <w:r w:rsidRPr="00D42F9A">
        <w:rPr>
          <w:rFonts w:eastAsia="Calibri"/>
          <w:snapToGrid/>
        </w:rPr>
        <w:t>industry</w:t>
      </w:r>
      <w:r w:rsidRPr="00B11C93">
        <w:rPr>
          <w:rFonts w:eastAsia="Calibri"/>
          <w:snapToGrid/>
          <w:lang w:val="en"/>
        </w:rPr>
        <w:t xml:space="preserve"> comprises establishments of health practitioners having the degree of M.D. (Doctor of Medicine) or D.O.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health maintenance organization (HMO) medical centers.</w:t>
      </w:r>
      <w:r>
        <w:rPr>
          <w:rFonts w:eastAsia="Calibri"/>
          <w:snapToGrid/>
          <w:vertAlign w:val="superscript"/>
          <w:lang w:val="en"/>
        </w:rPr>
        <w:footnoteReference w:id="144"/>
      </w:r>
      <w:r w:rsidRPr="00B11C93">
        <w:rPr>
          <w:rFonts w:eastAsia="Calibri"/>
          <w:snapToGrid/>
          <w:lang w:val="en"/>
        </w:rPr>
        <w:t xml:space="preserve">  </w:t>
      </w:r>
      <w:r w:rsidRPr="00B11C93">
        <w:rPr>
          <w:rFonts w:eastAsia="Calibri"/>
          <w:snapToGrid/>
          <w:lang w:val="en"/>
        </w:rPr>
        <w:t>T</w:t>
      </w:r>
      <w:r w:rsidRPr="00B11C93">
        <w:rPr>
          <w:rFonts w:eastAsia="Calibri"/>
          <w:snapToGrid/>
        </w:rPr>
        <w:t>he</w:t>
      </w:r>
      <w:r w:rsidRPr="00B11C93">
        <w:rPr>
          <w:rFonts w:eastAsia="Calibri"/>
          <w:snapToGrid/>
        </w:rPr>
        <w:t xml:space="preserve"> SBA has created a size standard for this industry, which is annual receipts of $11 million or less.</w:t>
      </w:r>
      <w:r>
        <w:rPr>
          <w:rFonts w:eastAsia="Calibri"/>
          <w:snapToGrid/>
          <w:vertAlign w:val="superscript"/>
        </w:rPr>
        <w:footnoteReference w:id="145"/>
      </w:r>
      <w:r w:rsidRPr="00B11C93">
        <w:rPr>
          <w:rFonts w:eastAsia="Calibri"/>
          <w:snapToGrid/>
        </w:rPr>
        <w:t xml:space="preserve">  According to 2012 U.S. Economic Census, 152,468 firms operated throughout the entire year in this industry.</w:t>
      </w:r>
      <w:r>
        <w:rPr>
          <w:rFonts w:eastAsia="Calibri"/>
          <w:snapToGrid/>
          <w:vertAlign w:val="superscript"/>
        </w:rPr>
        <w:footnoteReference w:id="146"/>
      </w:r>
      <w:r w:rsidRPr="00B11C93">
        <w:rPr>
          <w:rFonts w:eastAsia="Calibri"/>
          <w:snapToGrid/>
        </w:rPr>
        <w:t xml:space="preserve">  Of that number, 147,718 had annual receipts of less than $10 million.</w:t>
      </w:r>
      <w:r>
        <w:rPr>
          <w:rFonts w:eastAsia="Calibri"/>
          <w:snapToGrid/>
          <w:vertAlign w:val="superscript"/>
        </w:rPr>
        <w:footnoteReference w:id="147"/>
      </w:r>
      <w:r w:rsidRPr="00B11C93">
        <w:rPr>
          <w:rFonts w:eastAsia="Calibri"/>
          <w:snapToGrid/>
        </w:rPr>
        <w:t xml:space="preserve">  Based on this data, we conclude that a majority of firms operating in this industry are small under the applicable size standard.</w:t>
      </w:r>
    </w:p>
    <w:p w:rsidR="004C6034" w:rsidRPr="00B11C93" w:rsidP="00336ED3" w14:paraId="303B7FC9" w14:textId="55D8EFFA">
      <w:pPr>
        <w:pStyle w:val="ParaNum"/>
        <w:rPr>
          <w:rFonts w:eastAsia="Calibri"/>
          <w:snapToGrid/>
        </w:rPr>
      </w:pPr>
      <w:r w:rsidRPr="00B11C93">
        <w:rPr>
          <w:rFonts w:eastAsia="Calibri"/>
          <w:i/>
          <w:snapToGrid/>
        </w:rPr>
        <w:t>Offices of Physicians, Mental Health Specialists.</w:t>
      </w:r>
      <w:r w:rsidRPr="00B11C93">
        <w:rPr>
          <w:rFonts w:eastAsia="Calibri"/>
          <w:b/>
          <w:snapToGrid/>
        </w:rPr>
        <w:t xml:space="preserve">  </w:t>
      </w:r>
      <w:r w:rsidRPr="00B11C93">
        <w:rPr>
          <w:rFonts w:eastAsia="Calibri"/>
          <w:snapToGrid/>
        </w:rPr>
        <w:t>T</w:t>
      </w:r>
      <w:r w:rsidRPr="00B11C93">
        <w:rPr>
          <w:rFonts w:eastAsia="Calibri"/>
          <w:snapToGrid/>
          <w:lang w:val="en"/>
        </w:rPr>
        <w:t>he</w:t>
      </w:r>
      <w:r w:rsidRPr="00B11C93">
        <w:rPr>
          <w:rFonts w:eastAsia="Calibri"/>
          <w:snapToGrid/>
          <w:lang w:val="en"/>
        </w:rPr>
        <w:t xml:space="preserve"> U.S. </w:t>
      </w:r>
      <w:r w:rsidRPr="00D42F9A">
        <w:rPr>
          <w:rFonts w:eastAsia="Calibri"/>
          <w:snapToGrid/>
        </w:rPr>
        <w:t>industry</w:t>
      </w:r>
      <w:r w:rsidRPr="00B11C93">
        <w:rPr>
          <w:rFonts w:eastAsia="Calibri"/>
          <w:snapToGrid/>
          <w:lang w:val="en"/>
        </w:rPr>
        <w:t xml:space="preserve"> comprises establishments of health practitioners having the degree of M.D. (Doctor of Medicine) or D.O. (Doctor of Osteopathy) primarily engaged in the independent practice of psychiatry or psychoanalysis.  These practitioners operate private or group practices in their own offices (e.g., centers, clinics) or in the facilities of others, such as hospitals or HMO medical centers.</w:t>
      </w:r>
      <w:r>
        <w:rPr>
          <w:rFonts w:eastAsia="Calibri"/>
          <w:snapToGrid/>
          <w:vertAlign w:val="superscript"/>
          <w:lang w:val="en"/>
        </w:rPr>
        <w:footnoteReference w:id="148"/>
      </w:r>
      <w:r w:rsidRPr="00B11C93">
        <w:rPr>
          <w:rFonts w:eastAsia="Calibri"/>
          <w:snapToGrid/>
          <w:lang w:val="en"/>
        </w:rPr>
        <w:t xml:space="preserve">  The SBA has established a size standard </w:t>
      </w:r>
      <w:r w:rsidRPr="00B11C93">
        <w:rPr>
          <w:rFonts w:eastAsia="Calibri"/>
          <w:snapToGrid/>
          <w:lang w:val="en"/>
        </w:rPr>
        <w:t>for businesses in this industry, which is annual receipts of $1</w:t>
      </w:r>
      <w:r>
        <w:rPr>
          <w:rFonts w:eastAsia="Calibri"/>
          <w:snapToGrid/>
          <w:lang w:val="en"/>
        </w:rPr>
        <w:t>2</w:t>
      </w:r>
      <w:r w:rsidRPr="00B11C93">
        <w:rPr>
          <w:rFonts w:eastAsia="Calibri"/>
          <w:snapToGrid/>
          <w:lang w:val="en"/>
        </w:rPr>
        <w:t xml:space="preserve"> million dollars or less.</w:t>
      </w:r>
      <w:r>
        <w:rPr>
          <w:rFonts w:eastAsia="Calibri"/>
          <w:snapToGrid/>
          <w:vertAlign w:val="superscript"/>
          <w:lang w:val="en"/>
        </w:rPr>
        <w:footnoteReference w:id="149"/>
      </w:r>
      <w:r w:rsidRPr="00B11C93">
        <w:rPr>
          <w:rFonts w:eastAsia="Calibri"/>
          <w:snapToGrid/>
          <w:lang w:val="en"/>
        </w:rPr>
        <w:t xml:space="preserve">  The U.S. Economic Census indicates that 8,809 firms operated </w:t>
      </w:r>
      <w:r w:rsidRPr="007B27BC">
        <w:rPr>
          <w:rFonts w:eastAsia="Calibri"/>
          <w:snapToGrid/>
        </w:rPr>
        <w:t>throughout</w:t>
      </w:r>
      <w:r w:rsidRPr="007B27BC">
        <w:rPr>
          <w:rFonts w:eastAsia="Calibri"/>
          <w:snapToGrid/>
          <w:lang w:val="en"/>
        </w:rPr>
        <w:t xml:space="preserve"> the entire year in this industry.</w:t>
      </w:r>
      <w:r>
        <w:rPr>
          <w:rFonts w:eastAsia="Calibri"/>
          <w:snapToGrid/>
          <w:vertAlign w:val="superscript"/>
          <w:lang w:val="en"/>
        </w:rPr>
        <w:footnoteReference w:id="150"/>
      </w:r>
      <w:r w:rsidRPr="007B27BC">
        <w:rPr>
          <w:rFonts w:eastAsia="Calibri"/>
          <w:snapToGrid/>
          <w:lang w:val="en"/>
        </w:rPr>
        <w:t xml:space="preserve">  Of that number 8,791 had annual receipts of less than $10 million</w:t>
      </w:r>
      <w:r w:rsidRPr="00B11C93">
        <w:rPr>
          <w:rFonts w:eastAsia="Calibri"/>
          <w:snapToGrid/>
          <w:lang w:val="en"/>
        </w:rPr>
        <w:t>.</w:t>
      </w:r>
      <w:r>
        <w:rPr>
          <w:rFonts w:eastAsia="Calibri"/>
          <w:snapToGrid/>
          <w:vertAlign w:val="superscript"/>
          <w:lang w:val="en"/>
        </w:rPr>
        <w:footnoteReference w:id="151"/>
      </w:r>
      <w:r w:rsidRPr="00B11C93">
        <w:rPr>
          <w:rFonts w:eastAsia="Calibri"/>
          <w:snapToGrid/>
          <w:lang w:val="en"/>
        </w:rPr>
        <w:t xml:space="preserve">  </w:t>
      </w:r>
      <w:r w:rsidRPr="00B11C93">
        <w:rPr>
          <w:rFonts w:eastAsia="Calibri"/>
          <w:snapToGrid/>
        </w:rPr>
        <w:t xml:space="preserve">Based on this data, we conclude that a majority of firms in this industry are small under the applicable standard. </w:t>
      </w:r>
    </w:p>
    <w:p w:rsidR="004C6034" w:rsidRPr="00B11C93" w:rsidP="00336ED3" w14:paraId="75A20EF8" w14:textId="2FDFDB03">
      <w:pPr>
        <w:pStyle w:val="ParaNum"/>
        <w:rPr>
          <w:rFonts w:eastAsia="Calibri"/>
          <w:snapToGrid/>
        </w:rPr>
      </w:pPr>
      <w:r w:rsidRPr="00B11C93">
        <w:rPr>
          <w:rFonts w:eastAsia="Calibri"/>
          <w:i/>
          <w:snapToGrid/>
          <w:lang w:val="en"/>
        </w:rPr>
        <w:t>Offices of Dentists.</w:t>
      </w:r>
      <w:r w:rsidRPr="00B11C93">
        <w:rPr>
          <w:rFonts w:eastAsia="Calibri"/>
          <w:b/>
          <w:snapToGrid/>
          <w:lang w:val="en"/>
        </w:rPr>
        <w:t xml:space="preserve">  </w:t>
      </w:r>
      <w:r w:rsidRPr="00B11C93">
        <w:rPr>
          <w:rFonts w:eastAsia="Calibri"/>
          <w:snapToGrid/>
          <w:lang w:val="en"/>
        </w:rPr>
        <w:t xml:space="preserve">This U.S. </w:t>
      </w:r>
      <w:r w:rsidRPr="00D42F9A">
        <w:rPr>
          <w:rFonts w:eastAsia="Calibri"/>
          <w:snapToGrid/>
        </w:rPr>
        <w:t>industry</w:t>
      </w:r>
      <w:r w:rsidRPr="00B11C93">
        <w:rPr>
          <w:rFonts w:eastAsia="Calibri"/>
          <w:snapToGrid/>
          <w:lang w:val="en"/>
        </w:rPr>
        <w:t xml:space="preserve"> comprises establishments of health practitioners having the degree of D.M.D. (Doctor of Dental Medicine), D.D.S. (Doctor of Dental Surgery), or D.D.S.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rFonts w:eastAsia="Calibri"/>
          <w:snapToGrid/>
          <w:vertAlign w:val="superscript"/>
          <w:lang w:val="en"/>
        </w:rPr>
        <w:footnoteReference w:id="152"/>
      </w:r>
      <w:r w:rsidRPr="00B11C93">
        <w:rPr>
          <w:rFonts w:eastAsia="Calibri"/>
          <w:snapToGrid/>
          <w:lang w:val="en"/>
        </w:rPr>
        <w:t xml:space="preserve">  The SBA has established a size standard for that industry of annual receipts of </w:t>
      </w:r>
      <w:r>
        <w:rPr>
          <w:rFonts w:eastAsia="Calibri"/>
          <w:snapToGrid/>
          <w:lang w:val="en"/>
        </w:rPr>
        <w:t>$8.0</w:t>
      </w:r>
      <w:r w:rsidRPr="00B11C93">
        <w:rPr>
          <w:rFonts w:eastAsia="Calibri"/>
          <w:snapToGrid/>
          <w:lang w:val="en"/>
        </w:rPr>
        <w:t xml:space="preserve"> million or less.</w:t>
      </w:r>
      <w:r>
        <w:rPr>
          <w:rFonts w:eastAsia="Calibri"/>
          <w:snapToGrid/>
          <w:vertAlign w:val="superscript"/>
          <w:lang w:val="en"/>
        </w:rPr>
        <w:footnoteReference w:id="153"/>
      </w:r>
      <w:r w:rsidRPr="00B11C93">
        <w:rPr>
          <w:rFonts w:eastAsia="Calibri"/>
          <w:snapToGrid/>
          <w:lang w:val="en"/>
        </w:rPr>
        <w:t xml:space="preserve">  The 2012 U.S. Economic Census indicates that 115,268 firms operated in the dental industry </w:t>
      </w:r>
      <w:r w:rsidRPr="00B11C93">
        <w:rPr>
          <w:rFonts w:eastAsia="Calibri"/>
          <w:snapToGrid/>
        </w:rPr>
        <w:t>throughout</w:t>
      </w:r>
      <w:r w:rsidRPr="00B11C93">
        <w:rPr>
          <w:rFonts w:eastAsia="Calibri"/>
          <w:snapToGrid/>
          <w:lang w:val="en"/>
        </w:rPr>
        <w:t xml:space="preserve"> the entire year.</w:t>
      </w:r>
      <w:r>
        <w:rPr>
          <w:rFonts w:eastAsia="Calibri"/>
          <w:snapToGrid/>
          <w:vertAlign w:val="superscript"/>
          <w:lang w:val="en"/>
        </w:rPr>
        <w:footnoteReference w:id="154"/>
      </w:r>
      <w:r w:rsidRPr="00B11C93">
        <w:rPr>
          <w:rFonts w:eastAsia="Calibri"/>
          <w:snapToGrid/>
          <w:lang w:val="en"/>
        </w:rPr>
        <w:t xml:space="preserve">  Of that number 114,417 had annual receipts of less than $5 million.</w:t>
      </w:r>
      <w:r>
        <w:rPr>
          <w:rFonts w:eastAsia="Calibri"/>
          <w:snapToGrid/>
          <w:vertAlign w:val="superscript"/>
          <w:lang w:val="en"/>
        </w:rPr>
        <w:footnoteReference w:id="155"/>
      </w:r>
      <w:r w:rsidRPr="00B11C93">
        <w:rPr>
          <w:rFonts w:eastAsia="Calibri"/>
          <w:snapToGrid/>
          <w:lang w:val="en"/>
        </w:rPr>
        <w:t xml:space="preserve">  Based on this data, we conclude that a majority of business in the dental industry are small under the applicable standard.</w:t>
      </w:r>
    </w:p>
    <w:p w:rsidR="004C6034" w:rsidRPr="00B11C93" w:rsidP="00336ED3" w14:paraId="65252ED6" w14:textId="4CD45676">
      <w:pPr>
        <w:pStyle w:val="ParaNum"/>
        <w:rPr>
          <w:rFonts w:eastAsia="Calibri"/>
          <w:snapToGrid/>
        </w:rPr>
      </w:pPr>
      <w:r w:rsidRPr="00B11C93">
        <w:rPr>
          <w:rFonts w:eastAsia="Calibri"/>
          <w:i/>
          <w:snapToGrid/>
        </w:rPr>
        <w:t>Offices of Chiropractors.</w:t>
      </w:r>
      <w:r w:rsidRPr="00B11C93">
        <w:rPr>
          <w:rFonts w:eastAsia="Calibri"/>
          <w:snapToGrid/>
        </w:rPr>
        <w:t xml:space="preserve">  This </w:t>
      </w:r>
      <w:r w:rsidRPr="00B11C93">
        <w:rPr>
          <w:rFonts w:eastAsia="Calibri"/>
          <w:snapToGrid/>
          <w:lang w:val="en"/>
        </w:rPr>
        <w:t xml:space="preserve">U.S. </w:t>
      </w:r>
      <w:r w:rsidRPr="00D42F9A">
        <w:rPr>
          <w:rFonts w:eastAsia="Calibri"/>
          <w:snapToGrid/>
        </w:rPr>
        <w:t>industry</w:t>
      </w:r>
      <w:r w:rsidRPr="00B11C93">
        <w:rPr>
          <w:rFonts w:eastAsia="Calibri"/>
          <w:snapToGrid/>
        </w:rPr>
        <w:t xml:space="preserve">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Fonts w:eastAsia="Calibri"/>
          <w:snapToGrid/>
          <w:vertAlign w:val="superscript"/>
        </w:rPr>
        <w:footnoteReference w:id="156"/>
      </w:r>
      <w:r w:rsidRPr="00B11C93">
        <w:rPr>
          <w:rFonts w:eastAsia="Calibri"/>
          <w:snapToGrid/>
        </w:rPr>
        <w:t xml:space="preserve">  The SBA has established a size standard for this industry, which is annual receipts of $</w:t>
      </w:r>
      <w:r>
        <w:rPr>
          <w:rFonts w:eastAsia="Calibri"/>
          <w:snapToGrid/>
        </w:rPr>
        <w:t>8.0</w:t>
      </w:r>
      <w:r w:rsidRPr="00B11C93">
        <w:rPr>
          <w:rFonts w:eastAsia="Calibri"/>
          <w:snapToGrid/>
        </w:rPr>
        <w:t xml:space="preserve"> million or less.</w:t>
      </w:r>
      <w:r>
        <w:rPr>
          <w:rFonts w:eastAsia="Calibri"/>
          <w:snapToGrid/>
          <w:vertAlign w:val="superscript"/>
        </w:rPr>
        <w:footnoteReference w:id="157"/>
      </w:r>
      <w:r w:rsidRPr="00B11C93">
        <w:rPr>
          <w:rFonts w:eastAsia="Calibri"/>
          <w:snapToGrid/>
        </w:rPr>
        <w:t xml:space="preserve">  The 2012 U.S. Economic Census statistics show that in 2012, there were 33,940 firms operated throughout the entire year.</w:t>
      </w:r>
      <w:r>
        <w:rPr>
          <w:rFonts w:eastAsia="Calibri"/>
          <w:snapToGrid/>
          <w:vertAlign w:val="superscript"/>
        </w:rPr>
        <w:footnoteReference w:id="158"/>
      </w:r>
      <w:r w:rsidRPr="00B11C93">
        <w:rPr>
          <w:rFonts w:eastAsia="Calibri"/>
          <w:snapToGrid/>
        </w:rPr>
        <w:t xml:space="preserve">  Of that </w:t>
      </w:r>
      <w:r w:rsidRPr="00B11C93">
        <w:rPr>
          <w:rFonts w:eastAsia="Calibri"/>
          <w:snapToGrid/>
        </w:rPr>
        <w:t>number 33,910 operated with annual receipts of less than $5 million per year.</w:t>
      </w:r>
      <w:r>
        <w:rPr>
          <w:rFonts w:eastAsia="Calibri"/>
          <w:snapToGrid/>
          <w:vertAlign w:val="superscript"/>
        </w:rPr>
        <w:footnoteReference w:id="159"/>
      </w:r>
      <w:r w:rsidRPr="00B11C93">
        <w:rPr>
          <w:rFonts w:eastAsia="Calibri"/>
          <w:snapToGrid/>
        </w:rPr>
        <w:t xml:space="preserve">  Based on that data, we conclude that a majority of chiropractors are small.</w:t>
      </w:r>
    </w:p>
    <w:p w:rsidR="004C6034" w:rsidRPr="00B11C93" w:rsidP="00336ED3" w14:paraId="5E82B390" w14:textId="631175C4">
      <w:pPr>
        <w:pStyle w:val="ParaNum"/>
        <w:rPr>
          <w:rFonts w:eastAsia="Calibri"/>
          <w:snapToGrid/>
        </w:rPr>
      </w:pPr>
      <w:r w:rsidRPr="00B11C93">
        <w:rPr>
          <w:rFonts w:eastAsia="Calibri"/>
          <w:i/>
          <w:snapToGrid/>
        </w:rPr>
        <w:t>Offices of Optometrists.</w:t>
      </w:r>
      <w:r w:rsidRPr="00B11C93">
        <w:rPr>
          <w:rFonts w:eastAsia="Calibri"/>
          <w:snapToGrid/>
        </w:rPr>
        <w:t xml:space="preserve">  This </w:t>
      </w:r>
      <w:r w:rsidRPr="00B11C93">
        <w:rPr>
          <w:rFonts w:eastAsia="Calibri"/>
          <w:snapToGrid/>
          <w:lang w:val="en"/>
        </w:rPr>
        <w:t xml:space="preserve">U.S. </w:t>
      </w:r>
      <w:r w:rsidRPr="00D42F9A">
        <w:rPr>
          <w:rFonts w:eastAsia="Calibri"/>
          <w:snapToGrid/>
        </w:rPr>
        <w:t>industry</w:t>
      </w:r>
      <w:r w:rsidRPr="00B11C93">
        <w:rPr>
          <w:rFonts w:eastAsia="Calibri"/>
          <w:snapToGrid/>
        </w:rPr>
        <w:t xml:space="preserve">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rFonts w:eastAsia="Calibri"/>
          <w:snapToGrid/>
          <w:vertAlign w:val="superscript"/>
        </w:rPr>
        <w:footnoteReference w:id="160"/>
      </w:r>
      <w:r w:rsidRPr="00B11C93">
        <w:rPr>
          <w:rFonts w:eastAsia="Calibri"/>
          <w:snapToGrid/>
        </w:rPr>
        <w:t xml:space="preserve">  The SBA has $</w:t>
      </w:r>
      <w:r>
        <w:rPr>
          <w:rFonts w:eastAsia="Calibri"/>
          <w:snapToGrid/>
        </w:rPr>
        <w:t>8.0</w:t>
      </w:r>
      <w:r w:rsidRPr="00B11C93">
        <w:rPr>
          <w:rFonts w:eastAsia="Calibri"/>
          <w:snapToGrid/>
        </w:rPr>
        <w:t xml:space="preserve"> established a size standard for businesses operating in this industry, which is annual receipts of million or less.</w:t>
      </w:r>
      <w:r>
        <w:rPr>
          <w:rFonts w:eastAsia="Calibri"/>
          <w:snapToGrid/>
          <w:vertAlign w:val="superscript"/>
        </w:rPr>
        <w:footnoteReference w:id="161"/>
      </w:r>
      <w:r w:rsidRPr="00B11C93">
        <w:rPr>
          <w:rFonts w:eastAsia="Calibri"/>
          <w:snapToGrid/>
        </w:rPr>
        <w:t xml:space="preserve">  The 2012 Economic Census indicates that 18,050 firms operated the entire year.</w:t>
      </w:r>
      <w:r>
        <w:rPr>
          <w:rFonts w:eastAsia="Calibri"/>
          <w:snapToGrid/>
          <w:vertAlign w:val="superscript"/>
        </w:rPr>
        <w:footnoteReference w:id="162"/>
      </w:r>
      <w:r w:rsidRPr="00B11C93">
        <w:rPr>
          <w:rFonts w:eastAsia="Calibri"/>
          <w:snapToGrid/>
        </w:rPr>
        <w:t xml:space="preserve">  Of that number, 17,951 had annual receipts of less than $5 million.</w:t>
      </w:r>
      <w:r>
        <w:rPr>
          <w:rFonts w:eastAsia="Calibri"/>
          <w:snapToGrid/>
          <w:vertAlign w:val="superscript"/>
        </w:rPr>
        <w:footnoteReference w:id="163"/>
      </w:r>
      <w:r w:rsidRPr="00B11C93">
        <w:rPr>
          <w:rFonts w:eastAsia="Calibri"/>
          <w:snapToGrid/>
        </w:rPr>
        <w:t xml:space="preserve">  Based on this data, we conclude that a majority of optometrists in this industry are small.</w:t>
      </w:r>
    </w:p>
    <w:p w:rsidR="004C6034" w:rsidRPr="00B11C93" w:rsidP="00336ED3" w14:paraId="572F83C3" w14:textId="5CF9B45A">
      <w:pPr>
        <w:pStyle w:val="ParaNum"/>
        <w:rPr>
          <w:rFonts w:eastAsia="Calibri"/>
          <w:snapToGrid/>
        </w:rPr>
      </w:pPr>
      <w:r w:rsidRPr="00B11C93">
        <w:rPr>
          <w:rFonts w:eastAsia="Calibri"/>
          <w:i/>
          <w:snapToGrid/>
        </w:rPr>
        <w:t>Offices of Mental Health Practitioners (except Physicians).</w:t>
      </w:r>
      <w:r w:rsidRPr="00B11C93">
        <w:rPr>
          <w:rFonts w:eastAsia="Calibri"/>
          <w:b/>
          <w:snapToGrid/>
        </w:rPr>
        <w:t xml:space="preserve">  </w:t>
      </w:r>
      <w:r w:rsidRPr="00B11C93">
        <w:rPr>
          <w:rFonts w:eastAsia="Calibri"/>
          <w:snapToGrid/>
        </w:rPr>
        <w:t xml:space="preserve">This </w:t>
      </w:r>
      <w:r w:rsidRPr="00B11C93">
        <w:rPr>
          <w:rFonts w:eastAsia="Calibri"/>
          <w:snapToGrid/>
          <w:lang w:val="en"/>
        </w:rPr>
        <w:t xml:space="preserve">U.S. </w:t>
      </w:r>
      <w:r w:rsidRPr="00D42F9A">
        <w:rPr>
          <w:rFonts w:eastAsia="Calibri"/>
          <w:snapToGrid/>
        </w:rPr>
        <w:t>industry</w:t>
      </w:r>
      <w:r w:rsidRPr="00B11C93">
        <w:rPr>
          <w:rFonts w:eastAsia="Calibri"/>
          <w:snapToGrid/>
        </w:rPr>
        <w:t xml:space="preserve">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Pr>
          <w:rFonts w:eastAsia="Calibri"/>
          <w:snapToGrid/>
          <w:vertAlign w:val="superscript"/>
        </w:rPr>
        <w:footnoteReference w:id="164"/>
      </w:r>
      <w:r w:rsidRPr="00B11C93">
        <w:rPr>
          <w:rFonts w:eastAsia="Calibri"/>
          <w:b/>
          <w:snapToGrid/>
        </w:rPr>
        <w:t xml:space="preserve">  </w:t>
      </w:r>
      <w:r w:rsidRPr="00B11C93">
        <w:rPr>
          <w:rFonts w:eastAsia="Calibri"/>
          <w:snapToGrid/>
        </w:rPr>
        <w:t>The SBA has created a size standard for this industry, which is annual receipts of $</w:t>
      </w:r>
      <w:r>
        <w:rPr>
          <w:rFonts w:eastAsia="Calibri"/>
          <w:snapToGrid/>
        </w:rPr>
        <w:t>8.0</w:t>
      </w:r>
      <w:r w:rsidRPr="00B11C93">
        <w:rPr>
          <w:rFonts w:eastAsia="Calibri"/>
          <w:snapToGrid/>
        </w:rPr>
        <w:t xml:space="preserve"> million or less. </w:t>
      </w:r>
      <w:r>
        <w:rPr>
          <w:rFonts w:eastAsia="Calibri"/>
          <w:snapToGrid/>
          <w:vertAlign w:val="superscript"/>
        </w:rPr>
        <w:footnoteReference w:id="165"/>
      </w:r>
      <w:r w:rsidRPr="00B11C93">
        <w:rPr>
          <w:rFonts w:eastAsia="Calibri"/>
          <w:snapToGrid/>
        </w:rPr>
        <w:t xml:space="preserve">  The 2012 U.S. Economic Census indicates that 16,058 firms operated throughout the entire year.</w:t>
      </w:r>
      <w:r>
        <w:rPr>
          <w:rFonts w:eastAsia="Calibri"/>
          <w:snapToGrid/>
          <w:vertAlign w:val="superscript"/>
        </w:rPr>
        <w:footnoteReference w:id="166"/>
      </w:r>
      <w:r w:rsidRPr="00B11C93">
        <w:rPr>
          <w:rFonts w:eastAsia="Calibri"/>
          <w:snapToGrid/>
        </w:rPr>
        <w:t xml:space="preserve">  Of that number, 15,894 firms received annual receipts of less than $5 million.</w:t>
      </w:r>
      <w:r>
        <w:rPr>
          <w:rFonts w:eastAsia="Calibri"/>
          <w:snapToGrid/>
          <w:vertAlign w:val="superscript"/>
        </w:rPr>
        <w:footnoteReference w:id="167"/>
      </w:r>
      <w:r w:rsidRPr="00B11C93">
        <w:rPr>
          <w:rFonts w:eastAsia="Calibri"/>
          <w:snapToGrid/>
        </w:rPr>
        <w:t xml:space="preserve">  Based on this data, we conclude that a majority of mental health practitioners who do not employ physicians are small.</w:t>
      </w:r>
    </w:p>
    <w:p w:rsidR="004C6034" w:rsidRPr="00B11C93" w:rsidP="00336ED3" w14:paraId="54DEB19F" w14:textId="7288B5BC">
      <w:pPr>
        <w:pStyle w:val="ParaNum"/>
        <w:rPr>
          <w:rFonts w:eastAsia="Calibri"/>
          <w:snapToGrid/>
        </w:rPr>
      </w:pPr>
      <w:r w:rsidRPr="00B11C93">
        <w:rPr>
          <w:rFonts w:eastAsia="Calibri"/>
          <w:i/>
          <w:snapToGrid/>
        </w:rPr>
        <w:t>Offices of Physical, Occupational and Speech Therapists and Audiologists.</w:t>
      </w:r>
      <w:r w:rsidRPr="00B11C93">
        <w:rPr>
          <w:rFonts w:eastAsia="Calibri"/>
          <w:b/>
          <w:snapToGrid/>
        </w:rPr>
        <w:t xml:space="preserve">  </w:t>
      </w:r>
      <w:r w:rsidRPr="00D42F9A">
        <w:rPr>
          <w:rFonts w:eastAsia="Calibri"/>
          <w:snapToGrid/>
        </w:rPr>
        <w:t>This</w:t>
      </w:r>
      <w:r w:rsidRPr="00B11C93">
        <w:rPr>
          <w:rFonts w:eastAsia="Calibri"/>
          <w:snapToGrid/>
        </w:rPr>
        <w:t xml:space="preserve"> </w:t>
      </w:r>
      <w:r w:rsidRPr="00B11C93">
        <w:rPr>
          <w:rFonts w:eastAsia="Calibri"/>
          <w:snapToGrid/>
          <w:lang w:val="en"/>
        </w:rPr>
        <w:t xml:space="preserve">U.S. </w:t>
      </w:r>
      <w:r w:rsidRPr="00B11C93">
        <w:rPr>
          <w:rFonts w:eastAsia="Calibri"/>
          <w:snapToGrid/>
        </w:rPr>
        <w:t xml:space="preserve">industry comprises establishments of independent health practitioners primarily engaged in one of the following:  (1) providing physical therapy services to patients who have impairments, functional </w:t>
      </w:r>
      <w:r w:rsidRPr="00B11C93">
        <w:rPr>
          <w:rFonts w:eastAsia="Calibri"/>
          <w:snapToGrid/>
        </w:rPr>
        <w:t>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rFonts w:eastAsia="Calibri"/>
          <w:snapToGrid/>
          <w:vertAlign w:val="superscript"/>
        </w:rPr>
        <w:footnoteReference w:id="168"/>
      </w:r>
      <w:r w:rsidRPr="00B11C93">
        <w:rPr>
          <w:rFonts w:eastAsia="Calibri"/>
          <w:snapToGrid/>
        </w:rPr>
        <w:t xml:space="preserve">  The SBA has established a size standard for this industry, which is annual receipts of $</w:t>
      </w:r>
      <w:r>
        <w:rPr>
          <w:rFonts w:eastAsia="Calibri"/>
          <w:snapToGrid/>
        </w:rPr>
        <w:t>8.0</w:t>
      </w:r>
      <w:r w:rsidRPr="00B11C93">
        <w:rPr>
          <w:rFonts w:eastAsia="Calibri"/>
          <w:snapToGrid/>
        </w:rPr>
        <w:t xml:space="preserve"> million or less.</w:t>
      </w:r>
      <w:r>
        <w:rPr>
          <w:rFonts w:eastAsia="Calibri"/>
          <w:snapToGrid/>
          <w:vertAlign w:val="superscript"/>
        </w:rPr>
        <w:footnoteReference w:id="169"/>
      </w:r>
      <w:r w:rsidRPr="00B11C93">
        <w:rPr>
          <w:rFonts w:eastAsia="Calibri"/>
          <w:snapToGrid/>
        </w:rPr>
        <w:t xml:space="preserve">  The 2012 U.S. Economic Census indicates that 20,567 firms in this industry operated throughout the entire year.</w:t>
      </w:r>
      <w:r>
        <w:rPr>
          <w:rFonts w:eastAsia="Calibri"/>
          <w:snapToGrid/>
          <w:vertAlign w:val="superscript"/>
        </w:rPr>
        <w:footnoteReference w:id="170"/>
      </w:r>
      <w:r w:rsidRPr="00B11C93">
        <w:rPr>
          <w:rFonts w:eastAsia="Calibri"/>
          <w:snapToGrid/>
        </w:rPr>
        <w:t xml:space="preserve">  Of this number, 20,047 had annual receipts of less than $5 million.</w:t>
      </w:r>
      <w:r>
        <w:rPr>
          <w:rFonts w:eastAsia="Calibri"/>
          <w:snapToGrid/>
          <w:vertAlign w:val="superscript"/>
        </w:rPr>
        <w:footnoteReference w:id="171"/>
      </w:r>
      <w:r w:rsidRPr="00B11C93">
        <w:rPr>
          <w:rFonts w:eastAsia="Calibri"/>
          <w:snapToGrid/>
        </w:rPr>
        <w:t xml:space="preserve">  Based on this data, we conclude that a majority of businesses in this industry are small. </w:t>
      </w:r>
    </w:p>
    <w:p w:rsidR="004C6034" w:rsidRPr="00B11C93" w:rsidP="00336ED3" w14:paraId="7E50FC2C" w14:textId="01B0F3B9">
      <w:pPr>
        <w:pStyle w:val="ParaNum"/>
        <w:rPr>
          <w:rFonts w:eastAsia="Calibri"/>
          <w:snapToGrid/>
        </w:rPr>
      </w:pPr>
      <w:r w:rsidRPr="00B11C93">
        <w:rPr>
          <w:rFonts w:eastAsia="Calibri"/>
          <w:i/>
          <w:snapToGrid/>
        </w:rPr>
        <w:t>Offices of Podiatrists.</w:t>
      </w:r>
      <w:r w:rsidRPr="00B11C93">
        <w:rPr>
          <w:rFonts w:eastAsia="Calibri"/>
          <w:b/>
          <w:snapToGrid/>
        </w:rPr>
        <w:t xml:space="preserve">  </w:t>
      </w:r>
      <w:r w:rsidRPr="00B11C93">
        <w:rPr>
          <w:rFonts w:eastAsia="Calibri"/>
          <w:snapToGrid/>
        </w:rPr>
        <w:t xml:space="preserve">This U.S. industry </w:t>
      </w:r>
      <w:r w:rsidRPr="00D42F9A">
        <w:rPr>
          <w:rFonts w:eastAsia="Calibri"/>
          <w:snapToGrid/>
        </w:rPr>
        <w:t>comprises</w:t>
      </w:r>
      <w:r w:rsidRPr="00B11C93">
        <w:rPr>
          <w:rFonts w:eastAsia="Calibri"/>
          <w:snapToGrid/>
        </w:rPr>
        <w:t xml:space="preserve"> establishments of health practitioners having the degree of D.P.M.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Fonts w:eastAsia="Calibri"/>
          <w:snapToGrid/>
          <w:vertAlign w:val="superscript"/>
        </w:rPr>
        <w:footnoteReference w:id="172"/>
      </w:r>
      <w:r w:rsidRPr="00B11C93">
        <w:rPr>
          <w:rFonts w:eastAsia="Calibri"/>
          <w:snapToGrid/>
        </w:rPr>
        <w:t xml:space="preserve">  The SBA has established a size standard for businesses in this industry, which is annual receipts of $</w:t>
      </w:r>
      <w:r>
        <w:rPr>
          <w:rFonts w:eastAsia="Calibri"/>
          <w:snapToGrid/>
        </w:rPr>
        <w:t>8.0</w:t>
      </w:r>
      <w:r w:rsidRPr="00B11C93">
        <w:rPr>
          <w:rFonts w:eastAsia="Calibri"/>
          <w:snapToGrid/>
        </w:rPr>
        <w:t xml:space="preserve"> million or less.</w:t>
      </w:r>
      <w:r>
        <w:rPr>
          <w:rFonts w:eastAsia="Calibri"/>
          <w:snapToGrid/>
          <w:vertAlign w:val="superscript"/>
        </w:rPr>
        <w:footnoteReference w:id="173"/>
      </w:r>
      <w:r w:rsidRPr="00B11C93">
        <w:rPr>
          <w:rFonts w:eastAsia="Calibri"/>
          <w:snapToGrid/>
        </w:rPr>
        <w:t xml:space="preserve">  The 2012 U.S. Economic Census indicates that 7,569 podiatry firms operated throughout the entire year.</w:t>
      </w:r>
      <w:r>
        <w:rPr>
          <w:rFonts w:eastAsia="Calibri"/>
          <w:snapToGrid/>
          <w:vertAlign w:val="superscript"/>
        </w:rPr>
        <w:footnoteReference w:id="174"/>
      </w:r>
      <w:r w:rsidRPr="00B11C93">
        <w:rPr>
          <w:rFonts w:eastAsia="Calibri"/>
          <w:snapToGrid/>
        </w:rPr>
        <w:t xml:space="preserve">  Of that number, 7,545 firms had annual receipts of less than $5 million.</w:t>
      </w:r>
      <w:r>
        <w:rPr>
          <w:rFonts w:eastAsia="Calibri"/>
          <w:snapToGrid/>
          <w:vertAlign w:val="superscript"/>
        </w:rPr>
        <w:footnoteReference w:id="175"/>
      </w:r>
      <w:r w:rsidRPr="00B11C93">
        <w:rPr>
          <w:rFonts w:eastAsia="Calibri"/>
          <w:snapToGrid/>
        </w:rPr>
        <w:t xml:space="preserve">  Based on this data, we conclude that a majority of firms in this industry are small.</w:t>
      </w:r>
      <w:r w:rsidRPr="00B11C93">
        <w:rPr>
          <w:rFonts w:eastAsia="Calibri"/>
          <w:snapToGrid/>
        </w:rPr>
        <w:tab/>
      </w:r>
    </w:p>
    <w:p w:rsidR="004C6034" w:rsidRPr="00B11C93" w:rsidP="00336ED3" w14:paraId="03E714E8" w14:textId="3C709B0B">
      <w:pPr>
        <w:pStyle w:val="ParaNum"/>
        <w:rPr>
          <w:rFonts w:eastAsia="Calibri"/>
          <w:snapToGrid/>
        </w:rPr>
      </w:pPr>
      <w:r w:rsidRPr="00B11C93">
        <w:rPr>
          <w:rFonts w:eastAsia="Calibri"/>
          <w:i/>
          <w:snapToGrid/>
        </w:rPr>
        <w:t xml:space="preserve">Offices of All Other Miscellaneous Health Practitioners. </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Fonts w:eastAsia="Calibri"/>
          <w:snapToGrid/>
          <w:vertAlign w:val="superscript"/>
        </w:rPr>
        <w:footnoteReference w:id="176"/>
      </w:r>
      <w:r w:rsidRPr="00B11C93">
        <w:rPr>
          <w:rFonts w:eastAsia="Calibri"/>
          <w:snapToGrid/>
        </w:rPr>
        <w:t xml:space="preserve">  The SBA has established a size standard for this industry, which is annual receipts of </w:t>
      </w:r>
      <w:r>
        <w:rPr>
          <w:rFonts w:eastAsia="Calibri"/>
          <w:snapToGrid/>
        </w:rPr>
        <w:t>$8.0</w:t>
      </w:r>
      <w:r w:rsidRPr="00B11C93">
        <w:rPr>
          <w:rFonts w:eastAsia="Calibri"/>
          <w:snapToGrid/>
        </w:rPr>
        <w:t xml:space="preserve"> million or less.</w:t>
      </w:r>
      <w:r>
        <w:rPr>
          <w:rFonts w:eastAsia="Calibri"/>
          <w:snapToGrid/>
          <w:vertAlign w:val="superscript"/>
        </w:rPr>
        <w:footnoteReference w:id="177"/>
      </w:r>
      <w:r w:rsidRPr="00B11C93">
        <w:rPr>
          <w:rFonts w:eastAsia="Calibri"/>
          <w:snapToGrid/>
        </w:rPr>
        <w:t xml:space="preserve">  The 2012 </w:t>
      </w:r>
      <w:r w:rsidRPr="00B11C93">
        <w:rPr>
          <w:rFonts w:eastAsia="Calibri"/>
          <w:snapToGrid/>
        </w:rPr>
        <w:t>U.S. Economic Census indicates that 11,460 firms operated throughout the entire year.</w:t>
      </w:r>
      <w:r>
        <w:rPr>
          <w:rFonts w:eastAsia="Calibri"/>
          <w:snapToGrid/>
          <w:vertAlign w:val="superscript"/>
        </w:rPr>
        <w:footnoteReference w:id="178"/>
      </w:r>
      <w:r w:rsidRPr="00B11C93">
        <w:rPr>
          <w:rFonts w:eastAsia="Calibri"/>
          <w:snapToGrid/>
        </w:rPr>
        <w:t xml:space="preserve">  Of that number, 11,374 firms had annual receipts of less than $5 million.</w:t>
      </w:r>
      <w:r>
        <w:rPr>
          <w:rFonts w:eastAsia="Calibri"/>
          <w:snapToGrid/>
          <w:vertAlign w:val="superscript"/>
        </w:rPr>
        <w:footnoteReference w:id="179"/>
      </w:r>
      <w:r w:rsidRPr="00B11C93">
        <w:rPr>
          <w:rFonts w:eastAsia="Calibri"/>
          <w:snapToGrid/>
        </w:rPr>
        <w:t xml:space="preserve">  Based on this data, we conclude the majority of firms in this industry are small.</w:t>
      </w:r>
    </w:p>
    <w:p w:rsidR="004C6034" w:rsidRPr="00B11C93" w:rsidP="00336ED3" w14:paraId="5319B191" w14:textId="46F8CACA">
      <w:pPr>
        <w:pStyle w:val="ParaNum"/>
        <w:rPr>
          <w:rFonts w:eastAsia="Calibri"/>
          <w:snapToGrid/>
        </w:rPr>
      </w:pPr>
      <w:r w:rsidRPr="00B11C93">
        <w:rPr>
          <w:rFonts w:eastAsia="Calibri"/>
          <w:i/>
          <w:snapToGrid/>
        </w:rPr>
        <w:t>Family Planning Centers.</w:t>
      </w:r>
      <w:r w:rsidRPr="00B11C93">
        <w:rPr>
          <w:rFonts w:eastAsia="Calibri"/>
          <w:snapToGrid/>
        </w:rPr>
        <w:t xml:space="preserve">  This </w:t>
      </w:r>
      <w:r w:rsidRPr="00B11C93">
        <w:rPr>
          <w:rFonts w:eastAsia="Calibri"/>
          <w:snapToGrid/>
          <w:lang w:val="en"/>
        </w:rPr>
        <w:t xml:space="preserve">U.S. </w:t>
      </w:r>
      <w:r w:rsidRPr="00D42F9A">
        <w:rPr>
          <w:rFonts w:eastAsia="Calibri"/>
          <w:snapToGrid/>
        </w:rPr>
        <w:t>industry</w:t>
      </w:r>
      <w:r w:rsidRPr="00B11C93">
        <w:rPr>
          <w:rFonts w:eastAsia="Calibri"/>
          <w:snapToGrid/>
        </w:rPr>
        <w:t xml:space="preserve">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Fonts w:eastAsia="Calibri"/>
          <w:snapToGrid/>
          <w:vertAlign w:val="superscript"/>
        </w:rPr>
        <w:footnoteReference w:id="180"/>
      </w:r>
      <w:r w:rsidRPr="00B11C93">
        <w:rPr>
          <w:rFonts w:eastAsia="Calibri"/>
          <w:snapToGrid/>
        </w:rPr>
        <w:t xml:space="preserve">  The SBA has established a size standard for this industry, which is annual receipts of $1</w:t>
      </w:r>
      <w:r>
        <w:rPr>
          <w:rFonts w:eastAsia="Calibri"/>
          <w:snapToGrid/>
        </w:rPr>
        <w:t>2</w:t>
      </w:r>
      <w:r w:rsidRPr="00B11C93">
        <w:rPr>
          <w:rFonts w:eastAsia="Calibri"/>
          <w:snapToGrid/>
        </w:rPr>
        <w:t xml:space="preserve"> million or less.</w:t>
      </w:r>
      <w:r>
        <w:rPr>
          <w:rFonts w:eastAsia="Calibri"/>
          <w:snapToGrid/>
          <w:vertAlign w:val="superscript"/>
        </w:rPr>
        <w:footnoteReference w:id="181"/>
      </w:r>
      <w:r w:rsidRPr="00B11C93">
        <w:rPr>
          <w:rFonts w:eastAsia="Calibri"/>
          <w:snapToGrid/>
        </w:rPr>
        <w:t xml:space="preserve">  The 2012 Economic Census indicates that 1,286 firms in this industry operated throughout the entire year.</w:t>
      </w:r>
      <w:r>
        <w:rPr>
          <w:rFonts w:eastAsia="Calibri"/>
          <w:snapToGrid/>
          <w:vertAlign w:val="superscript"/>
        </w:rPr>
        <w:footnoteReference w:id="182"/>
      </w:r>
      <w:r w:rsidRPr="00B11C93">
        <w:rPr>
          <w:rFonts w:eastAsia="Calibri"/>
          <w:snapToGrid/>
        </w:rPr>
        <w:t xml:space="preserve">  Of that number 1,237 had annual receipts of less than $10 million.</w:t>
      </w:r>
      <w:r>
        <w:rPr>
          <w:rFonts w:eastAsia="Calibri"/>
          <w:snapToGrid/>
          <w:vertAlign w:val="superscript"/>
        </w:rPr>
        <w:footnoteReference w:id="183"/>
      </w:r>
      <w:r w:rsidRPr="00B11C93">
        <w:rPr>
          <w:rFonts w:eastAsia="Calibri"/>
          <w:snapToGrid/>
        </w:rPr>
        <w:t xml:space="preserve">  Based on this data, we conclude that the majority of firms in this industry are small.</w:t>
      </w:r>
    </w:p>
    <w:p w:rsidR="004C6034" w:rsidRPr="00B11C93" w:rsidP="00336ED3" w14:paraId="1BBDE4BD" w14:textId="51888066">
      <w:pPr>
        <w:pStyle w:val="ParaNum"/>
        <w:rPr>
          <w:rFonts w:eastAsia="Calibri"/>
          <w:snapToGrid/>
        </w:rPr>
      </w:pPr>
      <w:r w:rsidRPr="00B11C93">
        <w:rPr>
          <w:rFonts w:eastAsia="Calibri"/>
          <w:i/>
          <w:snapToGrid/>
        </w:rPr>
        <w:t>Outpatient Mental Health and Substance Abuse Centers</w:t>
      </w:r>
      <w:r w:rsidRPr="00B11C93">
        <w:rPr>
          <w:rFonts w:eastAsia="Calibri"/>
          <w:snapToGrid/>
        </w:rPr>
        <w:t xml:space="preserve">.  This </w:t>
      </w:r>
      <w:r w:rsidRPr="00B11C93">
        <w:rPr>
          <w:rFonts w:eastAsia="Calibri"/>
          <w:snapToGrid/>
          <w:lang w:val="en"/>
        </w:rPr>
        <w:t xml:space="preserve">U.S. </w:t>
      </w:r>
      <w:r w:rsidRPr="00D42F9A">
        <w:rPr>
          <w:rFonts w:eastAsia="Calibri"/>
          <w:snapToGrid/>
        </w:rPr>
        <w:t>industry</w:t>
      </w:r>
      <w:r w:rsidRPr="00B11C93">
        <w:rPr>
          <w:rFonts w:eastAsia="Calibri"/>
          <w:snapToGrid/>
        </w:rPr>
        <w:t xml:space="preserve">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Fonts w:eastAsia="Calibri"/>
          <w:snapToGrid/>
          <w:vertAlign w:val="superscript"/>
        </w:rPr>
        <w:footnoteReference w:id="184"/>
      </w:r>
      <w:r w:rsidRPr="00B11C93">
        <w:rPr>
          <w:rFonts w:eastAsia="Calibri"/>
          <w:snapToGrid/>
        </w:rPr>
        <w:t xml:space="preserve">  The SBA has established a size standard for this industry, which is $1</w:t>
      </w:r>
      <w:r>
        <w:rPr>
          <w:rFonts w:eastAsia="Calibri"/>
          <w:snapToGrid/>
        </w:rPr>
        <w:t>6.5</w:t>
      </w:r>
      <w:r w:rsidRPr="00B11C93">
        <w:rPr>
          <w:rFonts w:eastAsia="Calibri"/>
          <w:snapToGrid/>
        </w:rPr>
        <w:t xml:space="preserve"> million or less in annual receipts.</w:t>
      </w:r>
      <w:r>
        <w:rPr>
          <w:rFonts w:eastAsia="Calibri"/>
          <w:snapToGrid/>
          <w:vertAlign w:val="superscript"/>
        </w:rPr>
        <w:footnoteReference w:id="185"/>
      </w:r>
      <w:r w:rsidRPr="00B11C93">
        <w:rPr>
          <w:rFonts w:eastAsia="Calibri"/>
          <w:snapToGrid/>
        </w:rPr>
        <w:t xml:space="preserve">  The 2012 U.S. Economic Census indicates that 4,446 firms operated throughout the entire year.</w:t>
      </w:r>
      <w:r>
        <w:rPr>
          <w:rFonts w:eastAsia="Calibri"/>
          <w:snapToGrid/>
          <w:vertAlign w:val="superscript"/>
        </w:rPr>
        <w:footnoteReference w:id="186"/>
      </w:r>
      <w:r w:rsidRPr="00B11C93">
        <w:rPr>
          <w:rFonts w:eastAsia="Calibri"/>
          <w:snapToGrid/>
        </w:rPr>
        <w:t xml:space="preserve">  Of that number, 4,069 had annual receipts of less than $10 million.</w:t>
      </w:r>
      <w:r>
        <w:rPr>
          <w:rFonts w:eastAsia="Calibri"/>
          <w:snapToGrid/>
          <w:vertAlign w:val="superscript"/>
        </w:rPr>
        <w:footnoteReference w:id="187"/>
      </w:r>
      <w:r w:rsidRPr="00B11C93">
        <w:rPr>
          <w:rFonts w:eastAsia="Calibri"/>
          <w:snapToGrid/>
        </w:rPr>
        <w:t xml:space="preserve">  Based on this data, we conclude that a majority of firms in this industry are small.</w:t>
      </w:r>
    </w:p>
    <w:p w:rsidR="004C6034" w:rsidRPr="00B11C93" w:rsidP="00336ED3" w14:paraId="5EFCF110" w14:textId="6AE98AD4">
      <w:pPr>
        <w:pStyle w:val="ParaNum"/>
        <w:rPr>
          <w:rFonts w:eastAsia="Calibri"/>
          <w:snapToGrid/>
        </w:rPr>
      </w:pPr>
      <w:r w:rsidRPr="00B11C93">
        <w:rPr>
          <w:rFonts w:eastAsia="Calibri"/>
          <w:i/>
          <w:snapToGrid/>
        </w:rPr>
        <w:t>HMO Medical Centers.</w:t>
      </w:r>
      <w:r w:rsidRPr="00B11C93">
        <w:rPr>
          <w:rFonts w:eastAsia="Calibri"/>
          <w:b/>
          <w:snapToGrid/>
        </w:rPr>
        <w:t xml:space="preserve">  </w:t>
      </w:r>
      <w:r w:rsidRPr="00B11C93">
        <w:rPr>
          <w:rFonts w:eastAsia="Calibri"/>
          <w:snapToGrid/>
        </w:rPr>
        <w:t xml:space="preserve">This U.S. industry </w:t>
      </w:r>
      <w:r w:rsidRPr="00D42F9A">
        <w:rPr>
          <w:rFonts w:eastAsia="Calibri"/>
          <w:snapToGrid/>
        </w:rPr>
        <w:t>comprises</w:t>
      </w:r>
      <w:r w:rsidRPr="00B11C93">
        <w:rPr>
          <w:rFonts w:eastAsia="Calibri"/>
          <w:snapToGrid/>
        </w:rPr>
        <w:t xml:space="preserve"> establishments with physicians and other medical staff primarily engaged in providing a range of outpatient medical services to the HMO subscribers with a focus generally on primary health care.  These establishments are owned by the HMO.  </w:t>
      </w:r>
      <w:r w:rsidRPr="00B11C93">
        <w:rPr>
          <w:rFonts w:eastAsia="Calibri"/>
          <w:snapToGrid/>
        </w:rPr>
        <w:t>Included in this industry are HMO establishments that both provide health care services and underwrite health and medical insurance policies.</w:t>
      </w:r>
      <w:r>
        <w:rPr>
          <w:rFonts w:eastAsia="Calibri"/>
          <w:snapToGrid/>
          <w:vertAlign w:val="superscript"/>
        </w:rPr>
        <w:footnoteReference w:id="188"/>
      </w:r>
      <w:r w:rsidRPr="00B11C93">
        <w:rPr>
          <w:rFonts w:eastAsia="Calibri"/>
          <w:snapToGrid/>
        </w:rPr>
        <w:t xml:space="preserve">  The SBA has established a size standard for this industry, which is $</w:t>
      </w:r>
      <w:r>
        <w:rPr>
          <w:rFonts w:eastAsia="Calibri"/>
          <w:snapToGrid/>
        </w:rPr>
        <w:t>3</w:t>
      </w:r>
      <w:r w:rsidRPr="00B11C93">
        <w:rPr>
          <w:rFonts w:eastAsia="Calibri"/>
          <w:snapToGrid/>
        </w:rPr>
        <w:t>5 million or less in annual receipts.</w:t>
      </w:r>
      <w:r>
        <w:rPr>
          <w:rFonts w:eastAsia="Calibri"/>
          <w:snapToGrid/>
          <w:vertAlign w:val="superscript"/>
        </w:rPr>
        <w:footnoteReference w:id="189"/>
      </w:r>
      <w:r w:rsidRPr="00B11C93">
        <w:rPr>
          <w:rFonts w:eastAsia="Calibri"/>
          <w:snapToGrid/>
        </w:rPr>
        <w:t xml:space="preserve">  The 2012 U.S. Economic Census indicates that 14 firms in this industry operated throughout the entire year.</w:t>
      </w:r>
      <w:r>
        <w:rPr>
          <w:rFonts w:eastAsia="Calibri"/>
          <w:snapToGrid/>
          <w:vertAlign w:val="superscript"/>
        </w:rPr>
        <w:footnoteReference w:id="190"/>
      </w:r>
      <w:r w:rsidRPr="00B11C93">
        <w:rPr>
          <w:rFonts w:eastAsia="Calibri"/>
          <w:snapToGrid/>
        </w:rPr>
        <w:t xml:space="preserve">  Of that number, 5 firms had annual receipts of less than $25 million.</w:t>
      </w:r>
      <w:r>
        <w:rPr>
          <w:rFonts w:eastAsia="Calibri"/>
          <w:snapToGrid/>
          <w:vertAlign w:val="superscript"/>
        </w:rPr>
        <w:footnoteReference w:id="191"/>
      </w:r>
      <w:r w:rsidRPr="00B11C93">
        <w:rPr>
          <w:rFonts w:eastAsia="Calibri"/>
          <w:snapToGrid/>
        </w:rPr>
        <w:t xml:space="preserve">  Based on this data, we conclude that approximately one-third of the firms in this industry are small.</w:t>
      </w:r>
    </w:p>
    <w:p w:rsidR="004C6034" w:rsidRPr="00B11C93" w:rsidP="00336ED3" w14:paraId="28B8DAD1" w14:textId="6F803BFD">
      <w:pPr>
        <w:pStyle w:val="ParaNum"/>
        <w:rPr>
          <w:rFonts w:eastAsia="Calibri"/>
          <w:snapToGrid/>
        </w:rPr>
      </w:pPr>
      <w:r w:rsidRPr="00B11C93">
        <w:rPr>
          <w:rFonts w:eastAsia="Calibri"/>
          <w:i/>
          <w:snapToGrid/>
        </w:rPr>
        <w:t>Freestanding Ambulatory Surgical and Emergency Centers.</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rFonts w:eastAsia="Calibri"/>
          <w:snapToGrid/>
          <w:vertAlign w:val="superscript"/>
        </w:rPr>
        <w:footnoteReference w:id="192"/>
      </w:r>
      <w:r w:rsidRPr="00B11C93">
        <w:rPr>
          <w:rFonts w:eastAsia="Calibri"/>
          <w:snapToGrid/>
        </w:rPr>
        <w:t xml:space="preserve">  The SBA has established a size standard for this industry, which is annual receipts of $1</w:t>
      </w:r>
      <w:r>
        <w:rPr>
          <w:rFonts w:eastAsia="Calibri"/>
          <w:snapToGrid/>
        </w:rPr>
        <w:t>6.</w:t>
      </w:r>
      <w:r w:rsidRPr="00B11C93">
        <w:rPr>
          <w:rFonts w:eastAsia="Calibri"/>
          <w:snapToGrid/>
        </w:rPr>
        <w:t>5 million or less.</w:t>
      </w:r>
      <w:r>
        <w:rPr>
          <w:rFonts w:eastAsia="Calibri"/>
          <w:snapToGrid/>
          <w:vertAlign w:val="superscript"/>
        </w:rPr>
        <w:footnoteReference w:id="193"/>
      </w:r>
      <w:r w:rsidRPr="00B11C93">
        <w:rPr>
          <w:rFonts w:eastAsia="Calibri"/>
          <w:snapToGrid/>
        </w:rPr>
        <w:t xml:space="preserve">  The 2012 U.S. Economic Census indicates that 3,595 firms in this industry operated throughout the entire year.</w:t>
      </w:r>
      <w:r>
        <w:rPr>
          <w:rFonts w:eastAsia="Calibri"/>
          <w:snapToGrid/>
          <w:vertAlign w:val="superscript"/>
        </w:rPr>
        <w:footnoteReference w:id="194"/>
      </w:r>
      <w:r w:rsidRPr="00B11C93">
        <w:rPr>
          <w:rFonts w:eastAsia="Calibri"/>
          <w:snapToGrid/>
        </w:rPr>
        <w:t xml:space="preserve">  Of that number, 3,222 firms had annual receipts of less than $10 million.</w:t>
      </w:r>
      <w:r>
        <w:rPr>
          <w:rFonts w:eastAsia="Calibri"/>
          <w:snapToGrid/>
          <w:vertAlign w:val="superscript"/>
        </w:rPr>
        <w:footnoteReference w:id="195"/>
      </w:r>
      <w:r w:rsidRPr="00B11C93">
        <w:rPr>
          <w:rFonts w:eastAsia="Calibri"/>
          <w:snapToGrid/>
        </w:rPr>
        <w:t xml:space="preserve">  Based on this data, we conclude that a majority of firms in this industry are small.</w:t>
      </w:r>
    </w:p>
    <w:p w:rsidR="004C6034" w:rsidRPr="00B11C93" w:rsidP="00336ED3" w14:paraId="56AF3BE5" w14:textId="258A4675">
      <w:pPr>
        <w:pStyle w:val="ParaNum"/>
        <w:rPr>
          <w:rFonts w:eastAsia="Calibri"/>
          <w:snapToGrid/>
        </w:rPr>
      </w:pPr>
      <w:r w:rsidRPr="00B11C93">
        <w:rPr>
          <w:rFonts w:eastAsia="Calibri"/>
          <w:i/>
          <w:snapToGrid/>
        </w:rPr>
        <w:t>All Other Outpatient Care Centers.</w:t>
      </w:r>
      <w:r w:rsidRPr="00B11C93">
        <w:rPr>
          <w:rFonts w:eastAsia="Calibri"/>
          <w:b/>
          <w:i/>
          <w:snapToGrid/>
        </w:rPr>
        <w:t xml:space="preserve"> </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rFonts w:eastAsia="Calibri"/>
          <w:snapToGrid/>
          <w:vertAlign w:val="superscript"/>
        </w:rPr>
        <w:footnoteReference w:id="196"/>
      </w:r>
      <w:r w:rsidRPr="00B11C93">
        <w:rPr>
          <w:rFonts w:eastAsia="Calibri"/>
          <w:snapToGrid/>
        </w:rPr>
        <w:t xml:space="preserve">  The SBA has established a size standard for this industry, which is annual receipts of $2</w:t>
      </w:r>
      <w:r>
        <w:rPr>
          <w:rFonts w:eastAsia="Calibri"/>
          <w:snapToGrid/>
        </w:rPr>
        <w:t>2</w:t>
      </w:r>
      <w:r w:rsidRPr="00B11C93">
        <w:rPr>
          <w:rFonts w:eastAsia="Calibri"/>
          <w:snapToGrid/>
        </w:rPr>
        <w:t xml:space="preserve"> million or less.</w:t>
      </w:r>
      <w:r>
        <w:rPr>
          <w:rFonts w:eastAsia="Calibri"/>
          <w:snapToGrid/>
          <w:vertAlign w:val="superscript"/>
        </w:rPr>
        <w:footnoteReference w:id="197"/>
      </w:r>
      <w:r w:rsidRPr="00B11C93">
        <w:rPr>
          <w:rFonts w:eastAsia="Calibri"/>
          <w:snapToGrid/>
        </w:rPr>
        <w:t xml:space="preserve">  The 2012 U.S. Economic Census indicates that 4,903 firms operated in this industry throughout </w:t>
      </w:r>
      <w:r w:rsidRPr="00B11C93">
        <w:rPr>
          <w:rFonts w:eastAsia="Calibri"/>
          <w:snapToGrid/>
        </w:rPr>
        <w:t>the entire year.</w:t>
      </w:r>
      <w:r>
        <w:rPr>
          <w:rFonts w:eastAsia="Calibri"/>
          <w:snapToGrid/>
          <w:vertAlign w:val="superscript"/>
        </w:rPr>
        <w:footnoteReference w:id="198"/>
      </w:r>
      <w:r w:rsidRPr="00B11C93">
        <w:rPr>
          <w:rFonts w:eastAsia="Calibri"/>
          <w:snapToGrid/>
        </w:rPr>
        <w:t xml:space="preserve">  Of this number, 4,269 firms had annual receipts of less than $10 million.</w:t>
      </w:r>
      <w:r>
        <w:rPr>
          <w:rFonts w:eastAsia="Calibri"/>
          <w:snapToGrid/>
          <w:vertAlign w:val="superscript"/>
        </w:rPr>
        <w:footnoteReference w:id="199"/>
      </w:r>
      <w:r w:rsidRPr="00B11C93">
        <w:rPr>
          <w:rFonts w:eastAsia="Calibri"/>
          <w:snapToGrid/>
        </w:rPr>
        <w:t xml:space="preserve">  Based on this data, we conclude that a majority of firms in this industry are small.</w:t>
      </w:r>
    </w:p>
    <w:p w:rsidR="004C6034" w:rsidRPr="00B11C93" w:rsidP="00336ED3" w14:paraId="1B99B455" w14:textId="155C87BF">
      <w:pPr>
        <w:pStyle w:val="ParaNum"/>
        <w:rPr>
          <w:rFonts w:eastAsia="Calibri"/>
          <w:snapToGrid/>
        </w:rPr>
      </w:pPr>
      <w:r w:rsidRPr="00B11C93">
        <w:rPr>
          <w:rFonts w:eastAsia="Calibri"/>
          <w:i/>
          <w:snapToGrid/>
        </w:rPr>
        <w:t>Blood and Organ Banks.</w:t>
      </w:r>
      <w:r w:rsidRPr="00B11C93">
        <w:rPr>
          <w:rFonts w:eastAsia="Calibri"/>
          <w:b/>
          <w:snapToGrid/>
        </w:rPr>
        <w:t xml:space="preserve">  </w:t>
      </w:r>
      <w:r w:rsidRPr="00B11C93">
        <w:rPr>
          <w:rFonts w:eastAsia="Calibri"/>
          <w:snapToGrid/>
        </w:rPr>
        <w:t>This U.S. industry comprises establishments primarily engaged in collecting, storing, and distributing blood and blood products and storing and distributing body organs.</w:t>
      </w:r>
      <w:r>
        <w:rPr>
          <w:rFonts w:eastAsia="Calibri"/>
          <w:snapToGrid/>
          <w:vertAlign w:val="superscript"/>
        </w:rPr>
        <w:footnoteReference w:id="200"/>
      </w:r>
      <w:r w:rsidRPr="00B11C93">
        <w:rPr>
          <w:rFonts w:eastAsia="Calibri"/>
          <w:snapToGrid/>
        </w:rPr>
        <w:t xml:space="preserve">  The SBA has established a size standard for this industry, which is annual receipts of $</w:t>
      </w:r>
      <w:r>
        <w:rPr>
          <w:rFonts w:eastAsia="Calibri"/>
          <w:snapToGrid/>
        </w:rPr>
        <w:t>3</w:t>
      </w:r>
      <w:r w:rsidRPr="00B11C93">
        <w:rPr>
          <w:rFonts w:eastAsia="Calibri"/>
          <w:snapToGrid/>
        </w:rPr>
        <w:t>5 million or less.</w:t>
      </w:r>
      <w:r>
        <w:rPr>
          <w:rFonts w:eastAsia="Calibri"/>
          <w:snapToGrid/>
          <w:vertAlign w:val="superscript"/>
        </w:rPr>
        <w:footnoteReference w:id="201"/>
      </w:r>
      <w:r w:rsidRPr="00B11C93">
        <w:rPr>
          <w:rFonts w:eastAsia="Calibri"/>
          <w:snapToGrid/>
        </w:rPr>
        <w:t xml:space="preserve">  The 2012 U.S. Economic Census indicates that 314 firms operated in this industry throughout the entire year.</w:t>
      </w:r>
      <w:r>
        <w:rPr>
          <w:rFonts w:eastAsia="Calibri"/>
          <w:snapToGrid/>
          <w:vertAlign w:val="superscript"/>
        </w:rPr>
        <w:footnoteReference w:id="202"/>
      </w:r>
      <w:r w:rsidRPr="00B11C93">
        <w:rPr>
          <w:rFonts w:eastAsia="Calibri"/>
          <w:snapToGrid/>
        </w:rPr>
        <w:t xml:space="preserve">  Of that number, 235 operated with annual receipts of less than $25 million.</w:t>
      </w:r>
      <w:r>
        <w:rPr>
          <w:rFonts w:eastAsia="Calibri"/>
          <w:snapToGrid/>
          <w:vertAlign w:val="superscript"/>
        </w:rPr>
        <w:footnoteReference w:id="203"/>
      </w:r>
      <w:r w:rsidRPr="00B11C93">
        <w:rPr>
          <w:rFonts w:eastAsia="Calibri"/>
          <w:snapToGrid/>
        </w:rPr>
        <w:t xml:space="preserve">  Based on this data, we conclude that approximately three-quarters of firms that operate in this industry are small.</w:t>
      </w:r>
    </w:p>
    <w:p w:rsidR="004C6034" w:rsidRPr="00B11C93" w:rsidP="00336ED3" w14:paraId="72A7E92F" w14:textId="684F08BC">
      <w:pPr>
        <w:pStyle w:val="ParaNum"/>
        <w:rPr>
          <w:rFonts w:eastAsia="Calibri"/>
          <w:snapToGrid/>
        </w:rPr>
      </w:pPr>
      <w:r w:rsidRPr="00B11C93">
        <w:rPr>
          <w:rFonts w:eastAsia="Calibri"/>
          <w:i/>
          <w:snapToGrid/>
        </w:rPr>
        <w:t>All Other Miscellaneous Ambulatory Health Care Services.</w:t>
      </w:r>
      <w:r w:rsidRPr="00B11C93">
        <w:rPr>
          <w:rFonts w:eastAsia="Calibri"/>
          <w:b/>
          <w:snapToGrid/>
        </w:rPr>
        <w:t xml:space="preserve">  </w:t>
      </w:r>
      <w:r w:rsidRPr="00B11C93">
        <w:rPr>
          <w:rFonts w:eastAsia="Calibri"/>
          <w:snapToGrid/>
        </w:rPr>
        <w:t xml:space="preserve">This U.S. industry comprises establishments primarily engaged in providing ambulatory health care services (except offices of physicians, dentists, and other health </w:t>
      </w:r>
      <w:r w:rsidRPr="00D42F9A">
        <w:rPr>
          <w:rFonts w:eastAsia="Calibri"/>
          <w:snapToGrid/>
        </w:rPr>
        <w:t>practitioners</w:t>
      </w:r>
      <w:r w:rsidRPr="00B11C93">
        <w:rPr>
          <w:rFonts w:eastAsia="Calibri"/>
          <w:snapToGrid/>
        </w:rPr>
        <w:t>; outpatient care centers; medical and diagnostic laboratories; home health care providers; ambulances; and blood and organ banks).</w:t>
      </w:r>
      <w:r>
        <w:rPr>
          <w:rFonts w:eastAsia="Calibri"/>
          <w:snapToGrid/>
          <w:vertAlign w:val="superscript"/>
        </w:rPr>
        <w:footnoteReference w:id="204"/>
      </w:r>
      <w:r w:rsidRPr="00B11C93">
        <w:rPr>
          <w:rFonts w:eastAsia="Calibri"/>
          <w:snapToGrid/>
        </w:rPr>
        <w:t xml:space="preserve">  The SBA has established a size standard for this industry, which is annual receipts of $1</w:t>
      </w:r>
      <w:r>
        <w:rPr>
          <w:rFonts w:eastAsia="Calibri"/>
          <w:snapToGrid/>
        </w:rPr>
        <w:t>6.</w:t>
      </w:r>
      <w:r w:rsidRPr="00B11C93">
        <w:rPr>
          <w:rFonts w:eastAsia="Calibri"/>
          <w:snapToGrid/>
        </w:rPr>
        <w:t>5 million or less.</w:t>
      </w:r>
      <w:r>
        <w:rPr>
          <w:rFonts w:eastAsia="Calibri"/>
          <w:snapToGrid/>
          <w:vertAlign w:val="superscript"/>
        </w:rPr>
        <w:footnoteReference w:id="205"/>
      </w:r>
      <w:r w:rsidRPr="00B11C93">
        <w:rPr>
          <w:rFonts w:eastAsia="Calibri"/>
          <w:snapToGrid/>
        </w:rPr>
        <w:t xml:space="preserve">  The 2012 U.S. Economic Census indicates that 2,429 firms operated in this industry throughout the entire year.</w:t>
      </w:r>
      <w:r>
        <w:rPr>
          <w:rFonts w:eastAsia="Calibri"/>
          <w:snapToGrid/>
          <w:vertAlign w:val="superscript"/>
        </w:rPr>
        <w:footnoteReference w:id="206"/>
      </w:r>
      <w:r w:rsidRPr="00B11C93">
        <w:rPr>
          <w:rFonts w:eastAsia="Calibri"/>
          <w:snapToGrid/>
        </w:rPr>
        <w:t xml:space="preserve">  Of that number, 2,318 had annual receipts of less than $10 million.</w:t>
      </w:r>
      <w:r>
        <w:rPr>
          <w:rFonts w:eastAsia="Calibri"/>
          <w:snapToGrid/>
          <w:vertAlign w:val="superscript"/>
        </w:rPr>
        <w:footnoteReference w:id="207"/>
      </w:r>
      <w:r w:rsidRPr="00B11C93">
        <w:rPr>
          <w:rFonts w:eastAsia="Calibri"/>
          <w:snapToGrid/>
        </w:rPr>
        <w:t xml:space="preserve">  Based on this data, we conclude that a majority of the firms in this industry are small.</w:t>
      </w:r>
    </w:p>
    <w:p w:rsidR="004C6034" w:rsidRPr="00B11C93" w:rsidP="00336ED3" w14:paraId="2EA994C7" w14:textId="3B0EF1BC">
      <w:pPr>
        <w:pStyle w:val="ParaNum"/>
        <w:rPr>
          <w:rFonts w:eastAsia="Calibri"/>
          <w:snapToGrid/>
        </w:rPr>
      </w:pPr>
      <w:r w:rsidRPr="00B11C93">
        <w:rPr>
          <w:rFonts w:eastAsia="Calibri"/>
          <w:i/>
          <w:snapToGrid/>
        </w:rPr>
        <w:t>Medical Laboratories.</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known as medical laboratories primarily engaged in providing analytic or diagnostic services, including body fluid analysis, generally to the medical profession or to the patient on referral from a health practitioner.</w:t>
      </w:r>
      <w:r>
        <w:rPr>
          <w:rFonts w:eastAsia="Calibri"/>
          <w:snapToGrid/>
          <w:vertAlign w:val="superscript"/>
        </w:rPr>
        <w:footnoteReference w:id="208"/>
      </w:r>
      <w:r w:rsidRPr="00B11C93">
        <w:rPr>
          <w:rFonts w:eastAsia="Calibri"/>
          <w:snapToGrid/>
        </w:rPr>
        <w:t xml:space="preserve">  The SBA has </w:t>
      </w:r>
      <w:r w:rsidRPr="00B11C93">
        <w:rPr>
          <w:rFonts w:eastAsia="Calibri"/>
          <w:snapToGrid/>
        </w:rPr>
        <w:t>established a size standard for this industry, which is annual receipts of $35 million or less.</w:t>
      </w:r>
      <w:r>
        <w:rPr>
          <w:rFonts w:eastAsia="Calibri"/>
          <w:snapToGrid/>
          <w:vertAlign w:val="superscript"/>
        </w:rPr>
        <w:footnoteReference w:id="209"/>
      </w:r>
      <w:r w:rsidRPr="00B11C93">
        <w:rPr>
          <w:rFonts w:eastAsia="Calibri"/>
          <w:snapToGrid/>
        </w:rPr>
        <w:t xml:space="preserve">  The 2012 U.S. Economic Census indicates that 2,599 firms operated in this industry throughout the entire year.</w:t>
      </w:r>
      <w:r>
        <w:rPr>
          <w:rFonts w:eastAsia="Calibri"/>
          <w:snapToGrid/>
          <w:vertAlign w:val="superscript"/>
        </w:rPr>
        <w:footnoteReference w:id="210"/>
      </w:r>
      <w:r w:rsidRPr="00B11C93">
        <w:rPr>
          <w:rFonts w:eastAsia="Calibri"/>
          <w:snapToGrid/>
        </w:rPr>
        <w:t xml:space="preserve">  Of this number, 2,465 had annual receipts of less than $25 million.</w:t>
      </w:r>
      <w:r>
        <w:rPr>
          <w:rFonts w:eastAsia="Calibri"/>
          <w:snapToGrid/>
          <w:vertAlign w:val="superscript"/>
        </w:rPr>
        <w:footnoteReference w:id="211"/>
      </w:r>
      <w:r w:rsidRPr="00B11C93">
        <w:rPr>
          <w:rFonts w:eastAsia="Calibri"/>
          <w:snapToGrid/>
        </w:rPr>
        <w:t xml:space="preserve">  Based on this data, we conclude that a majority of firms that operate in this industry are small.</w:t>
      </w:r>
      <w:r w:rsidRPr="00B11C93">
        <w:rPr>
          <w:rFonts w:eastAsia="Calibri"/>
          <w:snapToGrid/>
        </w:rPr>
        <w:tab/>
      </w:r>
    </w:p>
    <w:p w:rsidR="004C6034" w:rsidRPr="00B11C93" w:rsidP="00336ED3" w14:paraId="3ABD74EE" w14:textId="355D2FFC">
      <w:pPr>
        <w:pStyle w:val="ParaNum"/>
        <w:rPr>
          <w:rFonts w:eastAsia="Calibri"/>
          <w:snapToGrid/>
        </w:rPr>
      </w:pPr>
      <w:r w:rsidRPr="00B11C93">
        <w:rPr>
          <w:rFonts w:eastAsia="Calibri"/>
          <w:i/>
          <w:snapToGrid/>
        </w:rPr>
        <w:t>Diagnostic Imaging Centers.</w:t>
      </w:r>
      <w:r w:rsidRPr="00B11C93">
        <w:rPr>
          <w:rFonts w:eastAsia="Calibri"/>
          <w:b/>
          <w:snapToGrid/>
        </w:rPr>
        <w:t xml:space="preserve">  </w:t>
      </w:r>
      <w:r w:rsidRPr="00B11C93">
        <w:rPr>
          <w:rFonts w:eastAsia="Calibri"/>
          <w:snapToGrid/>
        </w:rPr>
        <w:t>This U.S. industry comprises establishments known as diagnostic imaging centers primarily engaged in producing images of the patient generally on referral from a health practitioner.</w:t>
      </w:r>
      <w:r>
        <w:rPr>
          <w:rFonts w:eastAsia="Calibri"/>
          <w:snapToGrid/>
          <w:vertAlign w:val="superscript"/>
        </w:rPr>
        <w:footnoteReference w:id="212"/>
      </w:r>
      <w:r w:rsidRPr="00B11C93">
        <w:rPr>
          <w:rFonts w:eastAsia="Calibri"/>
          <w:snapToGrid/>
        </w:rPr>
        <w:t xml:space="preserve">  The SBA has established size standard for this industry, which is annual receipts of $1</w:t>
      </w:r>
      <w:r>
        <w:rPr>
          <w:rFonts w:eastAsia="Calibri"/>
          <w:snapToGrid/>
        </w:rPr>
        <w:t>6.</w:t>
      </w:r>
      <w:r w:rsidRPr="00B11C93">
        <w:rPr>
          <w:rFonts w:eastAsia="Calibri"/>
          <w:snapToGrid/>
        </w:rPr>
        <w:t>5 million or less.</w:t>
      </w:r>
      <w:r>
        <w:rPr>
          <w:rFonts w:eastAsia="Calibri"/>
          <w:snapToGrid/>
          <w:vertAlign w:val="superscript"/>
        </w:rPr>
        <w:footnoteReference w:id="213"/>
      </w:r>
      <w:r w:rsidRPr="00B11C93">
        <w:rPr>
          <w:rFonts w:eastAsia="Calibri"/>
          <w:snapToGrid/>
        </w:rPr>
        <w:t xml:space="preserve">  The 2012 U.S. Economic Census indicates that 4,209 firms operated in this industry throughout the entire year.</w:t>
      </w:r>
      <w:r>
        <w:rPr>
          <w:rFonts w:eastAsia="Calibri"/>
          <w:snapToGrid/>
          <w:vertAlign w:val="superscript"/>
        </w:rPr>
        <w:footnoteReference w:id="214"/>
      </w:r>
      <w:r w:rsidRPr="00B11C93">
        <w:rPr>
          <w:rFonts w:eastAsia="Calibri"/>
          <w:snapToGrid/>
        </w:rPr>
        <w:t xml:space="preserve">  Of that number, 3,876 firms had annual receipts of less than $10 million.</w:t>
      </w:r>
      <w:r>
        <w:rPr>
          <w:rFonts w:eastAsia="Calibri"/>
          <w:snapToGrid/>
          <w:vertAlign w:val="superscript"/>
        </w:rPr>
        <w:footnoteReference w:id="215"/>
      </w:r>
      <w:r w:rsidRPr="00B11C93">
        <w:rPr>
          <w:rFonts w:eastAsia="Calibri"/>
          <w:snapToGrid/>
        </w:rPr>
        <w:t xml:space="preserve">  Based on this data, we conclude that a majority of firms that operate in this industry are small.</w:t>
      </w:r>
    </w:p>
    <w:p w:rsidR="004C6034" w:rsidRPr="00B11C93" w:rsidP="00336ED3" w14:paraId="113B91C0" w14:textId="41D7C114">
      <w:pPr>
        <w:pStyle w:val="ParaNum"/>
        <w:rPr>
          <w:rFonts w:eastAsia="Calibri"/>
          <w:snapToGrid/>
        </w:rPr>
      </w:pPr>
      <w:r w:rsidRPr="00B11C93">
        <w:rPr>
          <w:rFonts w:eastAsia="Calibri"/>
          <w:i/>
          <w:snapToGrid/>
        </w:rPr>
        <w:t>Home Health Care Services.</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Fonts w:eastAsia="Calibri"/>
          <w:snapToGrid/>
          <w:vertAlign w:val="superscript"/>
        </w:rPr>
        <w:footnoteReference w:id="216"/>
      </w:r>
      <w:r w:rsidRPr="00B11C93">
        <w:rPr>
          <w:rFonts w:eastAsia="Calibri"/>
          <w:snapToGrid/>
        </w:rPr>
        <w:t xml:space="preserve">  The SBA has established a size standard for this industry, which is annual receipts of $1</w:t>
      </w:r>
      <w:r>
        <w:rPr>
          <w:rFonts w:eastAsia="Calibri"/>
          <w:snapToGrid/>
        </w:rPr>
        <w:t>6.</w:t>
      </w:r>
      <w:r w:rsidRPr="00B11C93">
        <w:rPr>
          <w:rFonts w:eastAsia="Calibri"/>
          <w:snapToGrid/>
        </w:rPr>
        <w:t>5 million or less.</w:t>
      </w:r>
      <w:r>
        <w:rPr>
          <w:rFonts w:eastAsia="Calibri"/>
          <w:snapToGrid/>
          <w:vertAlign w:val="superscript"/>
        </w:rPr>
        <w:footnoteReference w:id="217"/>
      </w:r>
      <w:r w:rsidRPr="00B11C93">
        <w:rPr>
          <w:rFonts w:eastAsia="Calibri"/>
          <w:snapToGrid/>
        </w:rPr>
        <w:t xml:space="preserve">  The 2012 U.S. Economic Census indicates that 17,770 firms operated in this industry throughout the entire year.</w:t>
      </w:r>
      <w:r>
        <w:rPr>
          <w:rFonts w:eastAsia="Calibri"/>
          <w:snapToGrid/>
          <w:vertAlign w:val="superscript"/>
        </w:rPr>
        <w:footnoteReference w:id="218"/>
      </w:r>
      <w:r w:rsidRPr="00B11C93">
        <w:rPr>
          <w:rFonts w:eastAsia="Calibri"/>
          <w:snapToGrid/>
        </w:rPr>
        <w:t xml:space="preserve">  Of that number, 16,822 had annual receipts of less than $10 million.</w:t>
      </w:r>
      <w:r>
        <w:rPr>
          <w:rFonts w:eastAsia="Calibri"/>
          <w:snapToGrid/>
          <w:vertAlign w:val="superscript"/>
        </w:rPr>
        <w:footnoteReference w:id="219"/>
      </w:r>
      <w:r w:rsidRPr="00B11C93">
        <w:rPr>
          <w:rFonts w:eastAsia="Calibri"/>
          <w:snapToGrid/>
        </w:rPr>
        <w:t xml:space="preserve">  Based on this data, we conclude that a majority of firms that operate in this industry are small.</w:t>
      </w:r>
    </w:p>
    <w:p w:rsidR="004C6034" w:rsidRPr="00D166AD" w:rsidP="00336ED3" w14:paraId="35532A93" w14:textId="43F226BB">
      <w:pPr>
        <w:pStyle w:val="ParaNum"/>
        <w:rPr>
          <w:rFonts w:eastAsia="Calibri"/>
          <w:snapToGrid/>
        </w:rPr>
      </w:pPr>
      <w:r w:rsidRPr="00B11C93">
        <w:rPr>
          <w:rFonts w:eastAsia="Calibri"/>
          <w:i/>
          <w:snapToGrid/>
        </w:rPr>
        <w:t>Ambulance Services.</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primarily engaged in providing transportation of patients by ground or air, along with medical care.  These services are often </w:t>
      </w:r>
      <w:r w:rsidRPr="00B11C93">
        <w:rPr>
          <w:rFonts w:eastAsia="Calibri"/>
          <w:snapToGrid/>
        </w:rPr>
        <w:t>provided during a medical emergency but are not restricted to emergencies.  The vehicles are equipped with lifesaving equipment operated by medically trained personnel.</w:t>
      </w:r>
      <w:r>
        <w:rPr>
          <w:rFonts w:eastAsia="Calibri"/>
          <w:snapToGrid/>
          <w:vertAlign w:val="superscript"/>
        </w:rPr>
        <w:footnoteReference w:id="220"/>
      </w:r>
      <w:r w:rsidRPr="00B11C93">
        <w:rPr>
          <w:rFonts w:eastAsia="Calibri"/>
          <w:snapToGrid/>
        </w:rPr>
        <w:t xml:space="preserve">  The SBA has established a size standard for this industry, which is annual receipts of</w:t>
      </w:r>
      <w:r>
        <w:rPr>
          <w:rFonts w:eastAsia="Calibri"/>
          <w:snapToGrid/>
        </w:rPr>
        <w:t xml:space="preserve"> $16.5 million.</w:t>
      </w:r>
      <w:r>
        <w:rPr>
          <w:rFonts w:eastAsia="Calibri"/>
          <w:snapToGrid/>
          <w:vertAlign w:val="superscript"/>
        </w:rPr>
        <w:footnoteReference w:id="221"/>
      </w:r>
      <w:r>
        <w:rPr>
          <w:rFonts w:eastAsia="Calibri"/>
          <w:snapToGrid/>
        </w:rPr>
        <w:t xml:space="preserve">.  </w:t>
      </w:r>
      <w:r w:rsidRPr="00D166AD">
        <w:rPr>
          <w:rFonts w:eastAsia="Calibri"/>
          <w:snapToGrid/>
        </w:rPr>
        <w:t>The 2012 U.S. Economic Census indicates that 2,984 firms operated in this industry throughout the entire year.</w:t>
      </w:r>
      <w:r>
        <w:rPr>
          <w:rFonts w:eastAsia="Calibri"/>
          <w:snapToGrid/>
          <w:vertAlign w:val="superscript"/>
        </w:rPr>
        <w:footnoteReference w:id="222"/>
      </w:r>
      <w:r w:rsidRPr="00D166AD">
        <w:rPr>
          <w:rFonts w:eastAsia="Calibri"/>
          <w:snapToGrid/>
        </w:rPr>
        <w:t xml:space="preserve">  Of that number, 2,926 had annual receipts of less than $15 million.</w:t>
      </w:r>
      <w:r>
        <w:rPr>
          <w:rFonts w:eastAsia="Calibri"/>
          <w:snapToGrid/>
          <w:vertAlign w:val="superscript"/>
        </w:rPr>
        <w:footnoteReference w:id="223"/>
      </w:r>
      <w:r w:rsidRPr="00D166AD">
        <w:rPr>
          <w:rFonts w:eastAsia="Calibri"/>
          <w:snapToGrid/>
        </w:rPr>
        <w:t xml:space="preserve">  Based on this data, we conclude that a majority of firms in this industry are small.</w:t>
      </w:r>
    </w:p>
    <w:p w:rsidR="004C6034" w:rsidRPr="00B11C93" w:rsidP="00336ED3" w14:paraId="5295093E" w14:textId="0536E07E">
      <w:pPr>
        <w:pStyle w:val="ParaNum"/>
        <w:rPr>
          <w:rFonts w:eastAsia="Calibri"/>
          <w:snapToGrid/>
        </w:rPr>
      </w:pPr>
      <w:r w:rsidRPr="00B11C93">
        <w:rPr>
          <w:rFonts w:eastAsia="Calibri"/>
          <w:i/>
          <w:snapToGrid/>
        </w:rPr>
        <w:t>Kidney Dialysis Centers.</w:t>
      </w:r>
      <w:r w:rsidRPr="00B11C93">
        <w:rPr>
          <w:rFonts w:eastAsia="Calibri"/>
          <w:b/>
          <w:snapToGrid/>
        </w:rPr>
        <w:t xml:space="preserve">  </w:t>
      </w:r>
      <w:r w:rsidRPr="00B11C93">
        <w:rPr>
          <w:rFonts w:eastAsia="Calibri"/>
          <w:snapToGrid/>
        </w:rPr>
        <w:t xml:space="preserve">This U.S. </w:t>
      </w:r>
      <w:r w:rsidRPr="00D42F9A">
        <w:rPr>
          <w:rFonts w:eastAsia="Calibri"/>
          <w:snapToGrid/>
        </w:rPr>
        <w:t>industry</w:t>
      </w:r>
      <w:r w:rsidRPr="00B11C93">
        <w:rPr>
          <w:rFonts w:eastAsia="Calibri"/>
          <w:snapToGrid/>
        </w:rPr>
        <w:t xml:space="preserve"> comprises establishments with medical staff primarily engaged in providing outpatient kidney or renal dialysis services.</w:t>
      </w:r>
      <w:r>
        <w:rPr>
          <w:rFonts w:eastAsia="Calibri"/>
          <w:snapToGrid/>
          <w:vertAlign w:val="superscript"/>
        </w:rPr>
        <w:footnoteReference w:id="224"/>
      </w:r>
      <w:r w:rsidRPr="00B11C93">
        <w:rPr>
          <w:rFonts w:eastAsia="Calibri"/>
          <w:snapToGrid/>
        </w:rPr>
        <w:t xml:space="preserve">  The SBA has established assize standard for this industry, which is annual receipts of $</w:t>
      </w:r>
      <w:r>
        <w:rPr>
          <w:rFonts w:eastAsia="Calibri"/>
          <w:snapToGrid/>
        </w:rPr>
        <w:t>41</w:t>
      </w:r>
      <w:r w:rsidRPr="00B11C93">
        <w:rPr>
          <w:rFonts w:eastAsia="Calibri"/>
          <w:snapToGrid/>
        </w:rPr>
        <w:t>.5 million or less.</w:t>
      </w:r>
      <w:r>
        <w:rPr>
          <w:rFonts w:eastAsia="Calibri"/>
          <w:snapToGrid/>
          <w:vertAlign w:val="superscript"/>
        </w:rPr>
        <w:footnoteReference w:id="225"/>
      </w:r>
      <w:r w:rsidRPr="00B11C93">
        <w:rPr>
          <w:rFonts w:eastAsia="Calibri"/>
          <w:snapToGrid/>
        </w:rPr>
        <w:t xml:space="preserve">  The 2012 U.S. Economic Census indicates that 396 firms operated in this industry throughout the entire year.</w:t>
      </w:r>
      <w:r>
        <w:rPr>
          <w:rFonts w:eastAsia="Calibri"/>
          <w:snapToGrid/>
          <w:vertAlign w:val="superscript"/>
        </w:rPr>
        <w:footnoteReference w:id="226"/>
      </w:r>
      <w:r w:rsidRPr="00B11C93">
        <w:rPr>
          <w:rFonts w:eastAsia="Calibri"/>
          <w:snapToGrid/>
        </w:rPr>
        <w:t xml:space="preserve">  Of that number, 379 had annual receipts of less than $25 million.</w:t>
      </w:r>
      <w:r>
        <w:rPr>
          <w:rFonts w:eastAsia="Calibri"/>
          <w:snapToGrid/>
          <w:vertAlign w:val="superscript"/>
        </w:rPr>
        <w:footnoteReference w:id="227"/>
      </w:r>
      <w:r w:rsidRPr="00B11C93">
        <w:rPr>
          <w:rFonts w:eastAsia="Calibri"/>
          <w:snapToGrid/>
        </w:rPr>
        <w:t xml:space="preserve">  Based on this data, we conclude that a majority of firms in this industry are small.</w:t>
      </w:r>
    </w:p>
    <w:p w:rsidR="004C6034" w:rsidRPr="00B11C93" w:rsidP="00336ED3" w14:paraId="3A906012" w14:textId="5EF2E324">
      <w:pPr>
        <w:pStyle w:val="ParaNum"/>
        <w:rPr>
          <w:rFonts w:eastAsia="Calibri"/>
          <w:snapToGrid/>
        </w:rPr>
      </w:pPr>
      <w:r w:rsidRPr="00B11C93">
        <w:rPr>
          <w:rFonts w:eastAsia="Calibri"/>
          <w:i/>
          <w:snapToGrid/>
        </w:rPr>
        <w:t>General Medical and Surgical Hospitals.</w:t>
      </w:r>
      <w:r w:rsidRPr="00B11C93">
        <w:rPr>
          <w:rFonts w:eastAsia="Calibri"/>
          <w:snapToGrid/>
        </w:rPr>
        <w:t xml:space="preserve">  This U.S. </w:t>
      </w:r>
      <w:r w:rsidRPr="00D42F9A">
        <w:rPr>
          <w:rFonts w:eastAsia="Calibri"/>
          <w:snapToGrid/>
        </w:rPr>
        <w:t>industry</w:t>
      </w:r>
      <w:r w:rsidRPr="00B11C93">
        <w:rPr>
          <w:rFonts w:eastAsia="Calibri"/>
          <w:snapToGrid/>
        </w:rPr>
        <w:t xml:space="preserve">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rFonts w:eastAsia="Calibri"/>
          <w:snapToGrid/>
          <w:vertAlign w:val="superscript"/>
        </w:rPr>
        <w:footnoteReference w:id="228"/>
      </w:r>
      <w:r w:rsidRPr="00B11C93">
        <w:rPr>
          <w:rFonts w:eastAsia="Calibri"/>
          <w:snapToGrid/>
        </w:rPr>
        <w:t xml:space="preserve">  The SBA has established a size standard for this industry, which is annual receipts of $</w:t>
      </w:r>
      <w:r>
        <w:rPr>
          <w:rFonts w:eastAsia="Calibri"/>
          <w:snapToGrid/>
        </w:rPr>
        <w:t>41</w:t>
      </w:r>
      <w:r w:rsidRPr="00B11C93">
        <w:rPr>
          <w:rFonts w:eastAsia="Calibri"/>
          <w:snapToGrid/>
        </w:rPr>
        <w:t>.5 million or less.</w:t>
      </w:r>
      <w:r>
        <w:rPr>
          <w:rFonts w:eastAsia="Calibri"/>
          <w:snapToGrid/>
          <w:vertAlign w:val="superscript"/>
        </w:rPr>
        <w:footnoteReference w:id="229"/>
      </w:r>
      <w:r w:rsidRPr="00B11C93">
        <w:rPr>
          <w:rFonts w:eastAsia="Calibri"/>
          <w:snapToGrid/>
        </w:rPr>
        <w:t xml:space="preserve">  The 2012 U.S. Economic Census indicates that 2,800 firms operated in this industry throughout the entire year.</w:t>
      </w:r>
      <w:r>
        <w:rPr>
          <w:rFonts w:eastAsia="Calibri"/>
          <w:snapToGrid/>
          <w:vertAlign w:val="superscript"/>
        </w:rPr>
        <w:footnoteReference w:id="230"/>
      </w:r>
      <w:r w:rsidRPr="00B11C93">
        <w:rPr>
          <w:rFonts w:eastAsia="Calibri"/>
          <w:snapToGrid/>
        </w:rPr>
        <w:t xml:space="preserve">  </w:t>
      </w:r>
      <w:r w:rsidRPr="00B11C93">
        <w:rPr>
          <w:rFonts w:eastAsia="Calibri"/>
          <w:snapToGrid/>
        </w:rPr>
        <w:t>Of that number, 877 has annual receipts of less than $25 million.</w:t>
      </w:r>
      <w:r>
        <w:rPr>
          <w:rFonts w:eastAsia="Calibri"/>
          <w:snapToGrid/>
          <w:vertAlign w:val="superscript"/>
        </w:rPr>
        <w:footnoteReference w:id="231"/>
      </w:r>
      <w:r w:rsidRPr="00B11C93">
        <w:rPr>
          <w:rFonts w:eastAsia="Calibri"/>
          <w:snapToGrid/>
        </w:rPr>
        <w:t xml:space="preserve">  Based on this data, we conclude that approximately one-quarter of firms in this industry are small. </w:t>
      </w:r>
    </w:p>
    <w:p w:rsidR="004C6034" w:rsidRPr="00B11C93" w:rsidP="00336ED3" w14:paraId="4FC2767E" w14:textId="00569CE5">
      <w:pPr>
        <w:pStyle w:val="ParaNum"/>
        <w:rPr>
          <w:rFonts w:eastAsia="Calibri"/>
          <w:snapToGrid/>
        </w:rPr>
      </w:pPr>
      <w:r w:rsidRPr="00B11C93">
        <w:rPr>
          <w:rFonts w:eastAsia="Calibri"/>
          <w:i/>
          <w:snapToGrid/>
        </w:rPr>
        <w:t>Psychiatric and Substance Abuse Hospitals.</w:t>
      </w:r>
      <w:r w:rsidRPr="00B11C93">
        <w:rPr>
          <w:rFonts w:eastAsia="Calibri"/>
          <w:snapToGrid/>
        </w:rPr>
        <w:t xml:space="preserve">  This U.S. </w:t>
      </w:r>
      <w:r w:rsidRPr="00D42F9A">
        <w:rPr>
          <w:rFonts w:eastAsia="Calibri"/>
          <w:snapToGrid/>
        </w:rPr>
        <w:t>industry</w:t>
      </w:r>
      <w:r w:rsidRPr="00B11C93">
        <w:rPr>
          <w:rFonts w:eastAsia="Calibri"/>
          <w:snapToGrid/>
        </w:rPr>
        <w:t xml:space="preserve">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rPr>
          <w:rFonts w:eastAsia="Calibri"/>
          <w:snapToGrid/>
          <w:vertAlign w:val="superscript"/>
        </w:rPr>
        <w:footnoteReference w:id="232"/>
      </w:r>
      <w:r w:rsidRPr="00B11C93">
        <w:rPr>
          <w:rFonts w:eastAsia="Calibri"/>
          <w:snapToGrid/>
        </w:rPr>
        <w:t xml:space="preserve">  The SBA has established a size standard for this industry, which is annual receipts of $</w:t>
      </w:r>
      <w:r>
        <w:rPr>
          <w:rFonts w:eastAsia="Calibri"/>
          <w:snapToGrid/>
        </w:rPr>
        <w:t>41</w:t>
      </w:r>
      <w:r w:rsidRPr="00B11C93">
        <w:rPr>
          <w:rFonts w:eastAsia="Calibri"/>
          <w:snapToGrid/>
        </w:rPr>
        <w:t>.5 million or less.</w:t>
      </w:r>
      <w:r>
        <w:rPr>
          <w:rFonts w:eastAsia="Calibri"/>
          <w:snapToGrid/>
          <w:vertAlign w:val="superscript"/>
        </w:rPr>
        <w:footnoteReference w:id="233"/>
      </w:r>
      <w:r w:rsidRPr="00B11C93">
        <w:rPr>
          <w:rFonts w:eastAsia="Calibri"/>
          <w:snapToGrid/>
        </w:rPr>
        <w:t xml:space="preserve">  The 2012 U.S. Economic Census indicates that 404 firms operated in this industry throughout the entire year.</w:t>
      </w:r>
      <w:r>
        <w:rPr>
          <w:rFonts w:eastAsia="Calibri"/>
          <w:snapToGrid/>
          <w:vertAlign w:val="superscript"/>
        </w:rPr>
        <w:footnoteReference w:id="234"/>
      </w:r>
      <w:r w:rsidRPr="00B11C93">
        <w:rPr>
          <w:rFonts w:eastAsia="Calibri"/>
          <w:snapToGrid/>
        </w:rPr>
        <w:t xml:space="preserve">  Of that number, 185 had annual receipts of less than $25 million.</w:t>
      </w:r>
      <w:r>
        <w:rPr>
          <w:rFonts w:eastAsia="Calibri"/>
          <w:snapToGrid/>
          <w:vertAlign w:val="superscript"/>
        </w:rPr>
        <w:footnoteReference w:id="235"/>
      </w:r>
      <w:r w:rsidRPr="00B11C93">
        <w:rPr>
          <w:rFonts w:eastAsia="Calibri"/>
          <w:snapToGrid/>
        </w:rPr>
        <w:t xml:space="preserve">  Based on this data, we conclude that</w:t>
      </w:r>
      <w:r w:rsidR="009F71A8">
        <w:rPr>
          <w:rFonts w:eastAsia="Calibri"/>
          <w:snapToGrid/>
        </w:rPr>
        <w:t xml:space="preserve"> slightly less </w:t>
      </w:r>
      <w:r w:rsidRPr="00B11C93">
        <w:rPr>
          <w:rFonts w:eastAsia="Calibri"/>
          <w:snapToGrid/>
        </w:rPr>
        <w:t>than one-half of the firms in this industry are small.</w:t>
      </w:r>
    </w:p>
    <w:p w:rsidR="004C6034" w:rsidRPr="00B11C93" w:rsidP="00336ED3" w14:paraId="7248A573" w14:textId="29F5976A">
      <w:pPr>
        <w:pStyle w:val="ParaNum"/>
        <w:rPr>
          <w:rFonts w:eastAsia="Calibri"/>
          <w:snapToGrid/>
        </w:rPr>
      </w:pPr>
      <w:r w:rsidRPr="00B11C93">
        <w:rPr>
          <w:rFonts w:eastAsia="Calibri"/>
          <w:i/>
          <w:snapToGrid/>
        </w:rPr>
        <w:t>Specialty (Except Psychiatric and Substance Abuse) Hospitals.</w:t>
      </w:r>
      <w:r w:rsidRPr="00B11C93">
        <w:rPr>
          <w:rFonts w:eastAsia="Calibri"/>
          <w:snapToGrid/>
        </w:rPr>
        <w:t xml:space="preserve">  This U.S. </w:t>
      </w:r>
      <w:r w:rsidRPr="00D42F9A">
        <w:rPr>
          <w:rFonts w:eastAsia="Calibri"/>
          <w:snapToGrid/>
        </w:rPr>
        <w:t>industry</w:t>
      </w:r>
      <w:r w:rsidRPr="00B11C93">
        <w:rPr>
          <w:rFonts w:eastAsia="Calibri"/>
          <w:snapToGrid/>
        </w:rPr>
        <w:t xml:space="preserve">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Fonts w:eastAsia="Calibri"/>
          <w:snapToGrid/>
          <w:vertAlign w:val="superscript"/>
        </w:rPr>
        <w:footnoteReference w:id="236"/>
      </w:r>
      <w:r w:rsidRPr="00B11C93">
        <w:rPr>
          <w:rFonts w:eastAsia="Calibri"/>
          <w:snapToGrid/>
        </w:rPr>
        <w:t xml:space="preserve">  The SBA has established a size standard for this industry, which is annual receipts of $</w:t>
      </w:r>
      <w:r>
        <w:rPr>
          <w:rFonts w:eastAsia="Calibri"/>
          <w:snapToGrid/>
        </w:rPr>
        <w:t>41</w:t>
      </w:r>
      <w:r w:rsidRPr="00B11C93">
        <w:rPr>
          <w:rFonts w:eastAsia="Calibri"/>
          <w:snapToGrid/>
        </w:rPr>
        <w:t>.5 million or less.</w:t>
      </w:r>
      <w:r>
        <w:rPr>
          <w:rFonts w:eastAsia="Calibri"/>
          <w:snapToGrid/>
          <w:vertAlign w:val="superscript"/>
        </w:rPr>
        <w:footnoteReference w:id="237"/>
      </w:r>
      <w:r w:rsidRPr="00B11C93">
        <w:rPr>
          <w:rFonts w:eastAsia="Calibri"/>
          <w:snapToGrid/>
        </w:rPr>
        <w:t xml:space="preserve">  The 2012 U.S. Economic Census indicates that 346 firms operated in this industry </w:t>
      </w:r>
      <w:r w:rsidRPr="00B11C93">
        <w:rPr>
          <w:rFonts w:eastAsia="Calibri"/>
          <w:snapToGrid/>
        </w:rPr>
        <w:t>throughout the entire year.</w:t>
      </w:r>
      <w:r>
        <w:rPr>
          <w:rFonts w:eastAsia="Calibri"/>
          <w:snapToGrid/>
          <w:vertAlign w:val="superscript"/>
        </w:rPr>
        <w:footnoteReference w:id="238"/>
      </w:r>
      <w:r w:rsidRPr="00B11C93">
        <w:rPr>
          <w:rFonts w:eastAsia="Calibri"/>
          <w:snapToGrid/>
        </w:rPr>
        <w:t xml:space="preserve">  Of  that number, 146 firms had annual receipts of less than $25 million.</w:t>
      </w:r>
      <w:r>
        <w:rPr>
          <w:rFonts w:eastAsia="Calibri"/>
          <w:snapToGrid/>
          <w:vertAlign w:val="superscript"/>
        </w:rPr>
        <w:footnoteReference w:id="239"/>
      </w:r>
      <w:r w:rsidRPr="00B11C93">
        <w:rPr>
          <w:rFonts w:eastAsia="Calibri"/>
          <w:snapToGrid/>
        </w:rPr>
        <w:t xml:space="preserve">  Based on this data, we conclude that </w:t>
      </w:r>
      <w:r w:rsidR="005846B0">
        <w:rPr>
          <w:rFonts w:eastAsia="Calibri"/>
          <w:snapToGrid/>
        </w:rPr>
        <w:t xml:space="preserve">approximately one-third </w:t>
      </w:r>
      <w:r w:rsidRPr="00B11C93">
        <w:rPr>
          <w:rFonts w:eastAsia="Calibri"/>
          <w:snapToGrid/>
        </w:rPr>
        <w:t>of the firms in this industry are small.</w:t>
      </w:r>
    </w:p>
    <w:p w:rsidR="004C6034" w:rsidRPr="00B11C93" w:rsidP="00336ED3" w14:paraId="68001945" w14:textId="64547E5B">
      <w:pPr>
        <w:pStyle w:val="ParaNum"/>
        <w:rPr>
          <w:rFonts w:eastAsia="Calibri"/>
          <w:snapToGrid/>
        </w:rPr>
      </w:pPr>
      <w:r w:rsidRPr="00B11C93">
        <w:rPr>
          <w:rFonts w:eastAsia="Calibri"/>
          <w:i/>
          <w:snapToGrid/>
        </w:rPr>
        <w:t>Emergency and Other Relief Services.</w:t>
      </w:r>
      <w:r w:rsidRPr="00B11C93">
        <w:rPr>
          <w:rFonts w:eastAsia="Calibri"/>
          <w:b/>
          <w:snapToGrid/>
        </w:rPr>
        <w:t xml:space="preserve">  </w:t>
      </w:r>
      <w:r w:rsidRPr="00B11C93">
        <w:rPr>
          <w:rFonts w:eastAsia="Calibri"/>
          <w:snapToGrid/>
        </w:rPr>
        <w:t xml:space="preserve">This industry </w:t>
      </w:r>
      <w:r w:rsidRPr="00D42F9A">
        <w:rPr>
          <w:rFonts w:eastAsia="Calibri"/>
          <w:snapToGrid/>
        </w:rPr>
        <w:t>comprises</w:t>
      </w:r>
      <w:r w:rsidRPr="00B11C93">
        <w:rPr>
          <w:rFonts w:eastAsia="Calibri"/>
          <w:snapToGrid/>
        </w:rPr>
        <w:t xml:space="preserve"> establishments primarily engaged in providing food, shelter, clothing, medical relief, resettlement, and counseling to victims of domestic or international disasters or conflicts (e.g., wars).</w:t>
      </w:r>
      <w:r>
        <w:rPr>
          <w:rFonts w:eastAsia="Calibri"/>
          <w:snapToGrid/>
          <w:vertAlign w:val="superscript"/>
        </w:rPr>
        <w:footnoteReference w:id="240"/>
      </w:r>
      <w:r w:rsidRPr="00B11C93">
        <w:rPr>
          <w:rFonts w:eastAsia="Calibri"/>
          <w:snapToGrid/>
        </w:rPr>
        <w:t xml:space="preserve">  The SBA has established a size standard for this industry, which is annual receipts of $35 million or less.</w:t>
      </w:r>
      <w:r>
        <w:rPr>
          <w:rFonts w:eastAsia="Calibri"/>
          <w:snapToGrid/>
          <w:vertAlign w:val="superscript"/>
        </w:rPr>
        <w:footnoteReference w:id="241"/>
      </w:r>
      <w:r w:rsidRPr="00B11C93">
        <w:rPr>
          <w:rFonts w:eastAsia="Calibri"/>
          <w:snapToGrid/>
        </w:rPr>
        <w:t xml:space="preserve">  The 2012 U.S. Economic Census indicates that 541 firms operated in this industry throughout the entire year.</w:t>
      </w:r>
      <w:r>
        <w:rPr>
          <w:rFonts w:eastAsia="Calibri"/>
          <w:snapToGrid/>
          <w:vertAlign w:val="superscript"/>
        </w:rPr>
        <w:footnoteReference w:id="242"/>
      </w:r>
      <w:r w:rsidRPr="00B11C93">
        <w:rPr>
          <w:rFonts w:eastAsia="Calibri"/>
          <w:snapToGrid/>
        </w:rPr>
        <w:t xml:space="preserve">  Of that number, 509 had annual receipts of less than $25 million.</w:t>
      </w:r>
      <w:r>
        <w:rPr>
          <w:rFonts w:eastAsia="Calibri"/>
          <w:snapToGrid/>
          <w:vertAlign w:val="superscript"/>
        </w:rPr>
        <w:footnoteReference w:id="243"/>
      </w:r>
      <w:r w:rsidRPr="00B11C93">
        <w:rPr>
          <w:rFonts w:eastAsia="Calibri"/>
          <w:snapToGrid/>
        </w:rPr>
        <w:t xml:space="preserve">  Based on this data, we conclude that a majority of firms in this industry are small</w:t>
      </w:r>
      <w:r w:rsidR="005846B0">
        <w:rPr>
          <w:rFonts w:eastAsia="Calibri"/>
          <w:snapToGrid/>
        </w:rPr>
        <w:t>.</w:t>
      </w:r>
    </w:p>
    <w:p w:rsidR="004C6034" w:rsidRPr="00846A24" w:rsidP="004C6034" w14:paraId="66D66CDE" w14:textId="77777777">
      <w:pPr>
        <w:spacing w:after="120"/>
        <w:rPr>
          <w:snapToGrid/>
          <w:color w:val="000000"/>
          <w:kern w:val="0"/>
          <w:szCs w:val="22"/>
        </w:rPr>
      </w:pPr>
      <w:r w:rsidRPr="00110EBD">
        <w:rPr>
          <w:b/>
          <w:bCs/>
          <w:snapToGrid/>
          <w:color w:val="000000"/>
          <w:kern w:val="0"/>
          <w:szCs w:val="22"/>
        </w:rPr>
        <w:t>E</w:t>
      </w:r>
      <w:r>
        <w:rPr>
          <w:b/>
          <w:bCs/>
          <w:snapToGrid/>
          <w:color w:val="000000"/>
          <w:kern w:val="0"/>
          <w:szCs w:val="22"/>
        </w:rPr>
        <w:t>.</w:t>
      </w:r>
      <w:r w:rsidRPr="00110EBD">
        <w:rPr>
          <w:b/>
          <w:bCs/>
          <w:snapToGrid/>
          <w:color w:val="000000"/>
          <w:kern w:val="0"/>
          <w:szCs w:val="22"/>
        </w:rPr>
        <w:t xml:space="preserve"> </w:t>
      </w:r>
      <w:r w:rsidRPr="00846A24">
        <w:rPr>
          <w:snapToGrid/>
          <w:color w:val="000000"/>
          <w:kern w:val="0"/>
          <w:szCs w:val="22"/>
        </w:rPr>
        <w:tab/>
      </w:r>
      <w:r w:rsidRPr="00846A24">
        <w:rPr>
          <w:b/>
          <w:snapToGrid/>
          <w:color w:val="000000"/>
          <w:kern w:val="0"/>
          <w:szCs w:val="22"/>
        </w:rPr>
        <w:t>Description of Projected Reporting, Recordkeeping, and Other Compliance Requirements</w:t>
      </w:r>
      <w:r w:rsidRPr="00846A24">
        <w:rPr>
          <w:snapToGrid/>
          <w:color w:val="000000"/>
          <w:kern w:val="0"/>
          <w:szCs w:val="22"/>
        </w:rPr>
        <w:t>.</w:t>
      </w:r>
    </w:p>
    <w:p w:rsidR="004C6034" w:rsidRPr="00846A24" w:rsidP="00336ED3" w14:paraId="4B1B63B4" w14:textId="77777777">
      <w:pPr>
        <w:pStyle w:val="ParaNum"/>
        <w:rPr>
          <w:snapToGrid/>
        </w:rPr>
      </w:pPr>
      <w:r w:rsidRPr="00846A24">
        <w:rPr>
          <w:snapToGrid/>
        </w:rPr>
        <w:t xml:space="preserve">The Report and Order </w:t>
      </w:r>
      <w:r w:rsidRPr="00D42F9A">
        <w:rPr>
          <w:rFonts w:eastAsia="Calibri"/>
          <w:snapToGrid/>
        </w:rPr>
        <w:t>adopts</w:t>
      </w:r>
      <w:r w:rsidRPr="00846A24">
        <w:rPr>
          <w:snapToGrid/>
        </w:rPr>
        <w:t xml:space="preserve"> the following new reporting requirement.  New FRN registrants and certain existing FRN holders that need to update their FRNs will need to provide their e-mail address information to set up a username and password to be associated with their FRN.  Eventually, all FRN registrants will be expected to manage FRN-related business in the new CORES.</w:t>
      </w:r>
    </w:p>
    <w:p w:rsidR="004C6034" w:rsidRPr="00846A24" w:rsidP="004C6034" w14:paraId="74CCCF2C" w14:textId="77777777">
      <w:pPr>
        <w:spacing w:after="120"/>
        <w:rPr>
          <w:snapToGrid/>
          <w:color w:val="000000"/>
          <w:kern w:val="0"/>
          <w:szCs w:val="22"/>
        </w:rPr>
      </w:pPr>
      <w:r w:rsidRPr="00110EBD">
        <w:rPr>
          <w:b/>
          <w:bCs/>
          <w:snapToGrid/>
          <w:color w:val="000000"/>
          <w:kern w:val="0"/>
          <w:szCs w:val="22"/>
        </w:rPr>
        <w:t>F</w:t>
      </w:r>
      <w:r w:rsidRPr="00846A24">
        <w:rPr>
          <w:snapToGrid/>
          <w:color w:val="000000"/>
          <w:kern w:val="0"/>
          <w:szCs w:val="22"/>
        </w:rPr>
        <w:t xml:space="preserve">. </w:t>
      </w:r>
      <w:r w:rsidRPr="00846A24">
        <w:rPr>
          <w:snapToGrid/>
          <w:color w:val="000000"/>
          <w:kern w:val="0"/>
          <w:szCs w:val="22"/>
        </w:rPr>
        <w:tab/>
      </w:r>
      <w:r w:rsidRPr="00846A24">
        <w:rPr>
          <w:b/>
          <w:snapToGrid/>
          <w:color w:val="000000"/>
          <w:kern w:val="0"/>
          <w:szCs w:val="22"/>
        </w:rPr>
        <w:t>Steps Taken to Minimize Significant Economic Impact on Small Entities, and Significant Alternatives Considered</w:t>
      </w:r>
      <w:r w:rsidRPr="00846A24">
        <w:rPr>
          <w:snapToGrid/>
          <w:color w:val="000000"/>
          <w:kern w:val="0"/>
          <w:szCs w:val="22"/>
        </w:rPr>
        <w:t>.</w:t>
      </w:r>
    </w:p>
    <w:p w:rsidR="004C6034" w:rsidRPr="00846A24" w:rsidP="00336ED3" w14:paraId="7034C291" w14:textId="77777777">
      <w:pPr>
        <w:pStyle w:val="ParaNum"/>
        <w:rPr>
          <w:snapToGrid/>
        </w:rPr>
      </w:pPr>
      <w:r w:rsidRPr="00846A24">
        <w:rPr>
          <w:snapToGrid/>
        </w:rPr>
        <w:t xml:space="preserve">The RFA requires an agency to </w:t>
      </w:r>
      <w:r w:rsidRPr="00D42F9A">
        <w:rPr>
          <w:rFonts w:eastAsia="Calibri"/>
          <w:snapToGrid/>
        </w:rPr>
        <w:t>describe</w:t>
      </w:r>
      <w:r w:rsidRPr="00846A24">
        <w:rPr>
          <w:snapToGrid/>
        </w:rPr>
        <w:t xml:space="preserv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 </w:t>
      </w:r>
    </w:p>
    <w:p w:rsidR="004C6034" w:rsidRPr="00846A24" w:rsidP="00336ED3" w14:paraId="331930FC" w14:textId="331752CB">
      <w:pPr>
        <w:pStyle w:val="ParaNum"/>
        <w:rPr>
          <w:snapToGrid/>
        </w:rPr>
      </w:pPr>
      <w:r w:rsidRPr="00846A24">
        <w:rPr>
          <w:snapToGrid/>
        </w:rPr>
        <w:t xml:space="preserve">A substantial number of entities and </w:t>
      </w:r>
      <w:r w:rsidRPr="00D42F9A">
        <w:rPr>
          <w:rFonts w:eastAsia="Calibri"/>
          <w:snapToGrid/>
        </w:rPr>
        <w:t>individuals</w:t>
      </w:r>
      <w:r w:rsidRPr="00846A24">
        <w:rPr>
          <w:snapToGrid/>
        </w:rPr>
        <w:t xml:space="preserve"> doing business with the Commission have already received their FRNs through a prior registration in the old version of CORES (or legacy CORES), and we anticipate that the changes proposed here will have little to no economic impact on them.  For all users that are currently </w:t>
      </w:r>
      <w:r w:rsidR="005846B0">
        <w:rPr>
          <w:snapToGrid/>
        </w:rPr>
        <w:t xml:space="preserve">using the legacy CORES </w:t>
      </w:r>
      <w:r w:rsidRPr="00846A24">
        <w:rPr>
          <w:snapToGrid/>
        </w:rPr>
        <w:t>and will be expected to use the new CORES, there should be no economic barriers involved in seeking an FRN number through CORES</w:t>
      </w:r>
      <w:r>
        <w:rPr>
          <w:snapToGrid/>
        </w:rPr>
        <w:t xml:space="preserve"> </w:t>
      </w:r>
      <w:r w:rsidRPr="00846A24">
        <w:rPr>
          <w:snapToGrid/>
        </w:rPr>
        <w:t xml:space="preserve">when registering online through the Commission’s website.  The Office of Managing Director is </w:t>
      </w:r>
      <w:r>
        <w:rPr>
          <w:snapToGrid/>
        </w:rPr>
        <w:t xml:space="preserve">the </w:t>
      </w:r>
      <w:r w:rsidRPr="00846A24">
        <w:rPr>
          <w:snapToGrid/>
        </w:rPr>
        <w:t xml:space="preserve">delegated authority to transition registrants that obtained passwords through legacy CORES to the new CORES, and, in consultation with the Commission’s Chief Information Officer, will best determine what steps to take to bring such users into compliance.  Through the transition process, all FRN holders will be </w:t>
      </w:r>
      <w:r w:rsidRPr="00846A24">
        <w:rPr>
          <w:snapToGrid/>
        </w:rPr>
        <w:t xml:space="preserve">expected to manage FRN business through the new CORES.  After legacy CORES is retired (i.e., no longer publicly accessible), new FRN registrants and existing FRN holders that need to update FRN information will need to </w:t>
      </w:r>
      <w:r w:rsidR="00E86CB1">
        <w:rPr>
          <w:snapToGrid/>
        </w:rPr>
        <w:t xml:space="preserve">do so </w:t>
      </w:r>
      <w:r w:rsidRPr="00846A24">
        <w:rPr>
          <w:snapToGrid/>
        </w:rPr>
        <w:t>in the new CORES because the legacy CORES system will not be available.  When needing to first register for an FRN or make information changes to a registration, users will be required to provide an e-mail address and password in the FCC User Registration System in order to access the new CORES.  FRN holders that forget their passwords will also need to go through the new system to set up new passwords.  The steps to obtain a new FRN or revise the information associated with an already-existing FRN are not burdensome because this requires a limited amount of data entry in form fields and should involve little to no cost for the registrant</w:t>
      </w:r>
      <w:r>
        <w:rPr>
          <w:snapToGrid/>
        </w:rPr>
        <w:t>.</w:t>
      </w:r>
      <w:r w:rsidRPr="00846A24">
        <w:rPr>
          <w:snapToGrid/>
        </w:rPr>
        <w:t xml:space="preserve"> </w:t>
      </w:r>
      <w:r>
        <w:rPr>
          <w:snapToGrid/>
        </w:rPr>
        <w:t xml:space="preserve"> H</w:t>
      </w:r>
      <w:r w:rsidRPr="00846A24">
        <w:rPr>
          <w:snapToGrid/>
        </w:rPr>
        <w:t xml:space="preserve">owever, this order does not address other Commission information systems that may require FRN and password entry or additional requirements for those separate systems.  </w:t>
      </w:r>
    </w:p>
    <w:p w:rsidR="004C6034" w:rsidRPr="00846A24" w:rsidP="004C6034" w14:paraId="6878F435" w14:textId="77777777">
      <w:pPr>
        <w:spacing w:after="120"/>
        <w:rPr>
          <w:snapToGrid/>
          <w:color w:val="000000"/>
          <w:kern w:val="0"/>
          <w:szCs w:val="22"/>
        </w:rPr>
      </w:pPr>
      <w:r w:rsidRPr="00846A24">
        <w:rPr>
          <w:b/>
          <w:snapToGrid/>
          <w:color w:val="000000"/>
          <w:kern w:val="0"/>
          <w:szCs w:val="22"/>
        </w:rPr>
        <w:t>Report to Congress</w:t>
      </w:r>
      <w:r w:rsidRPr="00846A24">
        <w:rPr>
          <w:snapToGrid/>
          <w:color w:val="000000"/>
          <w:kern w:val="0"/>
          <w:szCs w:val="22"/>
        </w:rPr>
        <w:t>.</w:t>
      </w:r>
    </w:p>
    <w:p w:rsidR="004C6034" w:rsidRPr="00846A24" w:rsidP="00336ED3" w14:paraId="033D8C18" w14:textId="77777777">
      <w:pPr>
        <w:pStyle w:val="ParaNum"/>
        <w:rPr>
          <w:snapToGrid/>
        </w:rPr>
      </w:pPr>
      <w:r w:rsidRPr="00846A24">
        <w:rPr>
          <w:snapToGrid/>
        </w:rPr>
        <w:t xml:space="preserve">The </w:t>
      </w:r>
      <w:r w:rsidRPr="00D42F9A">
        <w:rPr>
          <w:rFonts w:eastAsia="Calibri"/>
          <w:snapToGrid/>
        </w:rPr>
        <w:t>Commission</w:t>
      </w:r>
      <w:r w:rsidRPr="00846A24">
        <w:rPr>
          <w:snapToGrid/>
        </w:rPr>
        <w:t xml:space="preserve"> will send a copy of the Report and Order, including the FRFA, in a report to be sent to Congress pursuant to the Congressional Review Act.  In addition, the Commission will send a copy the Report and Order, including FRFA, to the Chief Counsel for Advocacy of the Small Business Administration.  A copy of this Report and Order and FRFA (or summaries thereof) will be published in the Federal Register.</w:t>
      </w:r>
    </w:p>
    <w:p w:rsidR="004C6034" w:rsidRPr="00846A24" w:rsidP="00336ED3" w14:paraId="6B342B57" w14:textId="77777777">
      <w:pPr>
        <w:pStyle w:val="ParaNum"/>
        <w:numPr>
          <w:ilvl w:val="0"/>
          <w:numId w:val="0"/>
        </w:numPr>
      </w:pPr>
    </w:p>
    <w:p w:rsidR="00E46E24" w:rsidRPr="00E46E24" w:rsidP="00336ED3" w14:paraId="7EB33337" w14:textId="77777777">
      <w:pPr>
        <w:pStyle w:val="ParaNum"/>
        <w:numPr>
          <w:ilvl w:val="0"/>
          <w:numId w:val="0"/>
        </w:numPr>
      </w:pPr>
    </w:p>
    <w:sectPr w:rsidSect="00AB172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55614C" w14:paraId="5C2A82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0550" w14:paraId="65E93B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071F30" w14:paraId="50F1CB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55614C" w14:paraId="309E1A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0550" w14:paraId="3C5A949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14:paraId="5A12D66B" w14:textId="77777777">
    <w:pPr>
      <w:pStyle w:val="Footer"/>
      <w:jc w:val="center"/>
    </w:pPr>
    <w:r>
      <w:fldChar w:fldCharType="begin"/>
    </w:r>
    <w:r>
      <w:instrText xml:space="preserve"> PAGE   \* MERGEFORMAT </w:instrText>
    </w:r>
    <w:r>
      <w:fldChar w:fldCharType="separate"/>
    </w:r>
    <w:r>
      <w:rPr>
        <w:noProof/>
      </w:rPr>
      <w:t>8</w:t>
    </w:r>
    <w:r>
      <w:rPr>
        <w:noProof/>
      </w:rPr>
      <w:fldChar w:fldCharType="end"/>
    </w:r>
  </w:p>
  <w:p w:rsidR="00530550" w14:paraId="1FB89D44"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14:paraId="1F920A50"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55614C" w14:paraId="5B9136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0550" w14:paraId="6CEA530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14:paraId="0ECDF283" w14:textId="77777777">
    <w:pPr>
      <w:pStyle w:val="Footer"/>
      <w:jc w:val="center"/>
    </w:pPr>
    <w:r>
      <w:fldChar w:fldCharType="begin"/>
    </w:r>
    <w:r>
      <w:instrText xml:space="preserve"> PAGE   \* MERGEFORMAT </w:instrText>
    </w:r>
    <w:r>
      <w:fldChar w:fldCharType="separate"/>
    </w:r>
    <w:r>
      <w:rPr>
        <w:noProof/>
      </w:rPr>
      <w:t>25</w:t>
    </w:r>
    <w:r>
      <w:rPr>
        <w:noProof/>
      </w:rPr>
      <w:fldChar w:fldCharType="end"/>
    </w:r>
  </w:p>
  <w:p w:rsidR="00530550" w14:paraId="0DDD4E5B"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14:paraId="412321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550" w14:paraId="19DAD11D" w14:textId="77777777">
      <w:r>
        <w:separator/>
      </w:r>
    </w:p>
  </w:footnote>
  <w:footnote w:type="continuationSeparator" w:id="1">
    <w:p w:rsidR="00530550" w:rsidP="00C721AC" w14:paraId="430FF802" w14:textId="77777777">
      <w:pPr>
        <w:spacing w:before="120"/>
        <w:rPr>
          <w:sz w:val="20"/>
        </w:rPr>
      </w:pPr>
      <w:r>
        <w:rPr>
          <w:sz w:val="20"/>
        </w:rPr>
        <w:t xml:space="preserve">(Continued from previous page)  </w:t>
      </w:r>
      <w:r>
        <w:rPr>
          <w:sz w:val="20"/>
        </w:rPr>
        <w:separator/>
      </w:r>
    </w:p>
  </w:footnote>
  <w:footnote w:type="continuationNotice" w:id="2">
    <w:p w:rsidR="00530550" w:rsidP="00C721AC" w14:paraId="5BEA1573" w14:textId="77777777">
      <w:pPr>
        <w:jc w:val="right"/>
        <w:rPr>
          <w:sz w:val="20"/>
        </w:rPr>
      </w:pPr>
      <w:r>
        <w:rPr>
          <w:sz w:val="20"/>
        </w:rPr>
        <w:t>(continued….)</w:t>
      </w:r>
    </w:p>
  </w:footnote>
  <w:footnote w:id="3">
    <w:p w:rsidR="00530550" w:rsidRPr="00D72B94" w14:paraId="4DAFD168" w14:textId="38A0A8B4">
      <w:pPr>
        <w:pStyle w:val="FootnoteText"/>
      </w:pPr>
      <w:r>
        <w:rPr>
          <w:rStyle w:val="FootnoteReference"/>
        </w:rPr>
        <w:footnoteRef/>
      </w:r>
      <w:r>
        <w:t xml:space="preserve"> </w:t>
      </w:r>
      <w:r>
        <w:rPr>
          <w:i/>
        </w:rPr>
        <w:t xml:space="preserve">See, e.g., </w:t>
      </w:r>
      <w:r>
        <w:t xml:space="preserve">47 CFR. </w:t>
      </w:r>
      <w:r w:rsidRPr="00D72B94">
        <w:t xml:space="preserve">§ </w:t>
      </w:r>
      <w:r>
        <w:t xml:space="preserve">1.8002.  We note that this proceeding is not intended to modify or otherwise amend requirements pertaining to the types of transactions that require individuals or entities to obtain FRNs and supply FRNs in these transactions. </w:t>
      </w:r>
    </w:p>
  </w:footnote>
  <w:footnote w:id="4">
    <w:p w:rsidR="00530550" w:rsidRPr="00FA197F" w14:paraId="6D01593F" w14:textId="4ECA4ECD">
      <w:pPr>
        <w:pStyle w:val="FootnoteText"/>
      </w:pPr>
      <w:r>
        <w:rPr>
          <w:rStyle w:val="FootnoteReference"/>
        </w:rPr>
        <w:footnoteRef/>
      </w:r>
      <w:r>
        <w:t xml:space="preserve"> </w:t>
      </w:r>
      <w:r w:rsidRPr="009A3E85">
        <w:rPr>
          <w:i/>
        </w:rPr>
        <w:t>Amendments of Parts 1, 21, 61, 73, 74 and 76 of Commission’s Rules, Adoption of Mandatory FCC Registration Number</w:t>
      </w:r>
      <w:r w:rsidRPr="009A3E85">
        <w:t xml:space="preserve">, MD Docket No. 00-205, Report and Order, 16 FCC </w:t>
      </w:r>
      <w:r w:rsidRPr="009A3E85">
        <w:t>Rcd</w:t>
      </w:r>
      <w:r w:rsidRPr="009A3E85">
        <w:t xml:space="preserve"> 16138 (2001)</w:t>
      </w:r>
      <w:bookmarkStart w:id="16" w:name="_Hlk5986758"/>
      <w:r>
        <w:t xml:space="preserve"> (</w:t>
      </w:r>
      <w:r w:rsidRPr="007B485E">
        <w:rPr>
          <w:i/>
        </w:rPr>
        <w:t>2001 CORES Order</w:t>
      </w:r>
      <w:r>
        <w:t xml:space="preserve">); 47 CFR. § 1.8001, </w:t>
      </w:r>
      <w:bookmarkEnd w:id="16"/>
      <w:r w:rsidRPr="00F23627">
        <w:rPr>
          <w:i/>
        </w:rPr>
        <w:t>et seq</w:t>
      </w:r>
      <w:r>
        <w:t xml:space="preserve">.  See also, </w:t>
      </w:r>
      <w:r w:rsidRPr="00F43BCE">
        <w:rPr>
          <w:i/>
        </w:rPr>
        <w:t>Amendment of Part 1 of the Commission’s Rules, Concerning Practice and Procedure, Amendment of CORES Registration System</w:t>
      </w:r>
      <w:r w:rsidRPr="00F43BCE">
        <w:t xml:space="preserve">, MD Docket No. 10-234, Notice of Proposed Rulemaking, 25 FCC </w:t>
      </w:r>
      <w:r w:rsidRPr="00F43BCE">
        <w:t>Rcd</w:t>
      </w:r>
      <w:r w:rsidRPr="00F43BCE">
        <w:t xml:space="preserve"> 17407,174</w:t>
      </w:r>
      <w:r>
        <w:t>08-11</w:t>
      </w:r>
      <w:r w:rsidRPr="00F43BCE">
        <w:t xml:space="preserve"> (2010) (</w:t>
      </w:r>
      <w:r w:rsidRPr="00F43BCE">
        <w:rPr>
          <w:i/>
        </w:rPr>
        <w:t>2010 NPRM</w:t>
      </w:r>
      <w:r w:rsidRPr="00F43BCE">
        <w:t>)</w:t>
      </w:r>
      <w:r>
        <w:t xml:space="preserve"> (paragraphs 5-10 explains how CORES facilitates the Commission’s compliance with a variety of federal statutes and guidance, including but not limited to, the </w:t>
      </w:r>
      <w:r w:rsidRPr="002D2FC4">
        <w:t>Debt Collection Improvement Act of 1996</w:t>
      </w:r>
      <w:r>
        <w:t xml:space="preserve">).  </w:t>
      </w:r>
    </w:p>
  </w:footnote>
  <w:footnote w:id="5">
    <w:p w:rsidR="00530550" w:rsidP="002E383C" w14:paraId="67C9B740" w14:textId="5F1C932B">
      <w:pPr>
        <w:pStyle w:val="FootnoteText"/>
      </w:pPr>
      <w:r>
        <w:rPr>
          <w:rStyle w:val="FootnoteReference"/>
        </w:rPr>
        <w:footnoteRef/>
      </w:r>
      <w:r>
        <w:t xml:space="preserve"> 47 CFR § 1.8002(b)(1).</w:t>
      </w:r>
    </w:p>
  </w:footnote>
  <w:footnote w:id="6">
    <w:p w:rsidR="00530550" w14:paraId="40880BB6" w14:textId="43CB6CEC">
      <w:pPr>
        <w:pStyle w:val="FootnoteText"/>
      </w:pPr>
      <w:r>
        <w:rPr>
          <w:rStyle w:val="FootnoteReference"/>
        </w:rPr>
        <w:footnoteRef/>
      </w:r>
      <w:r>
        <w:t xml:space="preserve"> </w:t>
      </w:r>
      <w:r w:rsidRPr="00E75DC6">
        <w:t xml:space="preserve">47 </w:t>
      </w:r>
      <w:r>
        <w:t>CFR</w:t>
      </w:r>
      <w:r w:rsidRPr="00E75DC6">
        <w:t xml:space="preserve"> § 1.8002(b)(</w:t>
      </w:r>
      <w:r>
        <w:t>2</w:t>
      </w:r>
      <w:r w:rsidRPr="00E75DC6">
        <w:t>).</w:t>
      </w:r>
    </w:p>
  </w:footnote>
  <w:footnote w:id="7">
    <w:p w:rsidR="00530550" w14:paraId="3E360974" w14:textId="77777777">
      <w:pPr>
        <w:pStyle w:val="FootnoteText"/>
      </w:pPr>
      <w:r>
        <w:rPr>
          <w:rStyle w:val="FootnoteReference"/>
        </w:rPr>
        <w:footnoteRef/>
      </w:r>
      <w:r>
        <w:t xml:space="preserve"> </w:t>
      </w:r>
      <w:bookmarkStart w:id="17" w:name="_Hlk5978465"/>
      <w:r w:rsidRPr="00F43BCE">
        <w:rPr>
          <w:i/>
        </w:rPr>
        <w:t>2010 NPRM</w:t>
      </w:r>
      <w:r w:rsidRPr="00F43BCE">
        <w:t xml:space="preserve">, 25 FCC </w:t>
      </w:r>
      <w:r w:rsidRPr="00F43BCE">
        <w:t>Rcd</w:t>
      </w:r>
      <w:r w:rsidRPr="00F43BCE">
        <w:t xml:space="preserve"> </w:t>
      </w:r>
      <w:r>
        <w:t xml:space="preserve">at </w:t>
      </w:r>
      <w:r w:rsidRPr="00F43BCE">
        <w:t>174</w:t>
      </w:r>
      <w:r>
        <w:t>08.</w:t>
      </w:r>
      <w:r w:rsidRPr="00F43BCE">
        <w:t xml:space="preserve"> </w:t>
      </w:r>
      <w:bookmarkEnd w:id="17"/>
    </w:p>
  </w:footnote>
  <w:footnote w:id="8">
    <w:p w:rsidR="00530550" w:rsidRPr="00B118AC" w14:paraId="3A1573CB" w14:textId="77777777">
      <w:pPr>
        <w:pStyle w:val="FootnoteText"/>
      </w:pPr>
      <w:r>
        <w:rPr>
          <w:rStyle w:val="FootnoteReference"/>
        </w:rPr>
        <w:footnoteRef/>
      </w:r>
      <w:r>
        <w:t xml:space="preserve"> </w:t>
      </w:r>
      <w:r>
        <w:rPr>
          <w:i/>
        </w:rPr>
        <w:t xml:space="preserve">Id. </w:t>
      </w:r>
      <w:r>
        <w:t>at 17420.</w:t>
      </w:r>
    </w:p>
  </w:footnote>
  <w:footnote w:id="9">
    <w:p w:rsidR="00530550" w14:paraId="6408059D" w14:textId="688B23AB">
      <w:pPr>
        <w:pStyle w:val="FootnoteText"/>
      </w:pPr>
      <w:r>
        <w:rPr>
          <w:rStyle w:val="FootnoteReference"/>
        </w:rPr>
        <w:footnoteRef/>
      </w:r>
      <w:r>
        <w:t xml:space="preserve"> </w:t>
      </w:r>
      <w:r w:rsidRPr="00F43BCE">
        <w:rPr>
          <w:i/>
        </w:rPr>
        <w:t>2010 NPRM</w:t>
      </w:r>
      <w:r w:rsidRPr="00F43BCE">
        <w:t xml:space="preserve">, 25 FCC </w:t>
      </w:r>
      <w:r w:rsidRPr="00F43BCE">
        <w:t>Rcd</w:t>
      </w:r>
      <w:r w:rsidRPr="00F43BCE">
        <w:t xml:space="preserve"> at 17420 (stating “[i]n this day and age, e-mail communication is an efficient tool for maintaining contact with our </w:t>
      </w:r>
      <w:r w:rsidRPr="00F43BCE">
        <w:t>regulate</w:t>
      </w:r>
      <w:r>
        <w:t>e</w:t>
      </w:r>
      <w:r w:rsidRPr="00F43BCE">
        <w:t>s</w:t>
      </w:r>
      <w:r w:rsidRPr="00F43BCE">
        <w:t>” and having a registrant’s valid e-mail address would improve, for example, the Commission’s ability to contact registrants in the event of payment issues or to distribute important notices).  In asserting its proposal, the Commission also noted its commitment to reducing the environmental impact of its activities, and an intention “to increase its use of e-mail and other electronic means to communicate with regulated entities and interested parties in the future.”</w:t>
      </w:r>
      <w:r>
        <w:t xml:space="preserve"> </w:t>
      </w:r>
      <w:r w:rsidRPr="00F43BCE">
        <w:rPr>
          <w:i/>
        </w:rPr>
        <w:t>Id</w:t>
      </w:r>
      <w:r>
        <w:t xml:space="preserve">. </w:t>
      </w:r>
    </w:p>
  </w:footnote>
  <w:footnote w:id="10">
    <w:p w:rsidR="00530550" w14:paraId="22CC5432" w14:textId="2A12487F">
      <w:pPr>
        <w:pStyle w:val="FootnoteText"/>
      </w:pPr>
      <w:r>
        <w:rPr>
          <w:rStyle w:val="FootnoteReference"/>
        </w:rPr>
        <w:footnoteRef/>
      </w:r>
      <w:r>
        <w:t xml:space="preserve"> </w:t>
      </w:r>
      <w:r w:rsidRPr="00F43BCE">
        <w:rPr>
          <w:i/>
        </w:rPr>
        <w:t>Id</w:t>
      </w:r>
      <w:r>
        <w:t xml:space="preserve">.  </w:t>
      </w:r>
      <w:r w:rsidRPr="00373FD4">
        <w:t>The Office of Management and Budget pre-approved under the Paperwork Reduction Act the addition of a mandatory e-mail address field to the CORES system on March 15, 2011.  Notice of Office of Management and Budget Action, FCC Form 160, OMB Control Number 3060-0917, Mar. 15, 2011; Notice of Office of Management and Budget Action, FCC Form 161, OMB Control Number 3060-0918, Mar. 15, 2011.</w:t>
      </w:r>
    </w:p>
  </w:footnote>
  <w:footnote w:id="11">
    <w:p w:rsidR="00530550" w14:paraId="13C6B4D2" w14:textId="77777777">
      <w:pPr>
        <w:pStyle w:val="FootnoteText"/>
      </w:pPr>
      <w:r>
        <w:rPr>
          <w:rStyle w:val="FootnoteReference"/>
        </w:rPr>
        <w:footnoteRef/>
      </w:r>
      <w:r>
        <w:t xml:space="preserve"> </w:t>
      </w:r>
      <w:bookmarkStart w:id="18" w:name="_Hlk37276992"/>
      <w:r w:rsidRPr="00836892">
        <w:rPr>
          <w:i/>
        </w:rPr>
        <w:t>Office of Managing Director Announces New User-Specific ID Requirements to Access the Commission Registration System (CORES)</w:t>
      </w:r>
      <w:r w:rsidRPr="00836892">
        <w:t xml:space="preserve">, MD Docket No. 10-234, Public Notice, </w:t>
      </w:r>
      <w:bookmarkStart w:id="19" w:name="_Hlk5719271"/>
      <w:r w:rsidRPr="00836892">
        <w:t xml:space="preserve">31 FCC </w:t>
      </w:r>
      <w:r w:rsidRPr="00836892">
        <w:t>Rcd</w:t>
      </w:r>
      <w:r w:rsidRPr="00836892">
        <w:t xml:space="preserve"> 3831</w:t>
      </w:r>
      <w:bookmarkEnd w:id="19"/>
      <w:r>
        <w:t xml:space="preserve"> </w:t>
      </w:r>
      <w:r w:rsidRPr="00836892">
        <w:t>(</w:t>
      </w:r>
      <w:r>
        <w:t xml:space="preserve">OMD </w:t>
      </w:r>
      <w:r w:rsidRPr="00836892">
        <w:t>2016)</w:t>
      </w:r>
      <w:r>
        <w:t xml:space="preserve"> (</w:t>
      </w:r>
      <w:r w:rsidRPr="00B245DF">
        <w:rPr>
          <w:i/>
        </w:rPr>
        <w:t>2016</w:t>
      </w:r>
      <w:r>
        <w:t xml:space="preserve"> </w:t>
      </w:r>
      <w:r>
        <w:rPr>
          <w:i/>
        </w:rPr>
        <w:t>Public Notice</w:t>
      </w:r>
      <w:r>
        <w:t>)</w:t>
      </w:r>
      <w:r w:rsidRPr="00836892">
        <w:t>.</w:t>
      </w:r>
      <w:r>
        <w:t xml:space="preserve"> </w:t>
      </w:r>
      <w:bookmarkEnd w:id="18"/>
      <w:r w:rsidRPr="002339C9">
        <w:t xml:space="preserve">The </w:t>
      </w:r>
      <w:r w:rsidRPr="00CE5FD8">
        <w:rPr>
          <w:i/>
        </w:rPr>
        <w:t>2016 Public Notice</w:t>
      </w:r>
      <w:r w:rsidRPr="002339C9">
        <w:t xml:space="preserve"> indicated that due to the administrative nature of the announced CORES modifications, the changes could be implemented without notice and comment.  </w:t>
      </w:r>
      <w:r w:rsidRPr="00A01575">
        <w:rPr>
          <w:i/>
        </w:rPr>
        <w:t>Id.</w:t>
      </w:r>
      <w:r w:rsidRPr="002339C9">
        <w:t xml:space="preserve"> at 3832 and 3832, n.6 (citing 5 U.S.C. § 553(b)(A) (agency organization, procedure or practice that do not have a substantial impact on substantive rights and interests do not require notice and comment)).</w:t>
      </w:r>
      <w:r>
        <w:t xml:space="preserve"> </w:t>
      </w:r>
    </w:p>
  </w:footnote>
  <w:footnote w:id="12">
    <w:p w:rsidR="00530550" w14:paraId="491387AC" w14:textId="77777777">
      <w:pPr>
        <w:pStyle w:val="FootnoteText"/>
      </w:pPr>
      <w:r>
        <w:rPr>
          <w:rStyle w:val="FootnoteReference"/>
        </w:rPr>
        <w:footnoteRef/>
      </w:r>
      <w:r>
        <w:t xml:space="preserve"> </w:t>
      </w:r>
      <w:r w:rsidRPr="003C0D5C">
        <w:rPr>
          <w:i/>
        </w:rPr>
        <w:t>New CORES Online Password Reset and ULS Call Sign/FRN Association Features Available September 26, 200</w:t>
      </w:r>
      <w:r>
        <w:rPr>
          <w:i/>
        </w:rPr>
        <w:t>5</w:t>
      </w:r>
      <w:r>
        <w:t xml:space="preserve">, Public Notice, </w:t>
      </w:r>
      <w:r w:rsidRPr="00962584">
        <w:t xml:space="preserve">20 FCC </w:t>
      </w:r>
      <w:r w:rsidRPr="00962584">
        <w:t>Rcd</w:t>
      </w:r>
      <w:r w:rsidRPr="00962584">
        <w:t xml:space="preserve"> 16740</w:t>
      </w:r>
      <w:r>
        <w:t xml:space="preserve"> (rel. Oct. 27, 2005).</w:t>
      </w:r>
    </w:p>
  </w:footnote>
  <w:footnote w:id="13">
    <w:p w:rsidR="00530550" w14:paraId="0D48B1D8" w14:textId="77777777">
      <w:pPr>
        <w:pStyle w:val="FootnoteText"/>
      </w:pPr>
      <w:r>
        <w:rPr>
          <w:rStyle w:val="FootnoteReference"/>
        </w:rPr>
        <w:footnoteRef/>
      </w:r>
      <w:r>
        <w:t xml:space="preserve"> </w:t>
      </w:r>
      <w:r w:rsidRPr="00502AB1">
        <w:rPr>
          <w:i/>
        </w:rPr>
        <w:t>Public Notice</w:t>
      </w:r>
      <w:r w:rsidRPr="00502AB1">
        <w:t xml:space="preserve">, 31 FCC </w:t>
      </w:r>
      <w:r w:rsidRPr="00502AB1">
        <w:t>Rcd</w:t>
      </w:r>
      <w:r w:rsidRPr="00502AB1">
        <w:t xml:space="preserve"> at 383</w:t>
      </w:r>
      <w:r>
        <w:t>2.</w:t>
      </w:r>
    </w:p>
  </w:footnote>
  <w:footnote w:id="14">
    <w:p w:rsidR="00530550" w14:paraId="38DB7593" w14:textId="77777777">
      <w:pPr>
        <w:pStyle w:val="FootnoteText"/>
      </w:pPr>
      <w:r>
        <w:rPr>
          <w:rStyle w:val="FootnoteReference"/>
        </w:rPr>
        <w:footnoteRef/>
      </w:r>
      <w:r>
        <w:t xml:space="preserve"> </w:t>
      </w:r>
      <w:r w:rsidRPr="00A718FD">
        <w:rPr>
          <w:i/>
        </w:rPr>
        <w:t>See</w:t>
      </w:r>
      <w:r>
        <w:t xml:space="preserve"> paragraph 2 above. </w:t>
      </w:r>
    </w:p>
  </w:footnote>
  <w:footnote w:id="15">
    <w:p w:rsidR="00530550" w14:paraId="563A5487" w14:textId="2830662C">
      <w:pPr>
        <w:pStyle w:val="FootnoteText"/>
      </w:pPr>
      <w:r>
        <w:rPr>
          <w:rStyle w:val="FootnoteReference"/>
        </w:rPr>
        <w:footnoteRef/>
      </w:r>
      <w:r>
        <w:t xml:space="preserve"> </w:t>
      </w:r>
      <w:r w:rsidRPr="00C02DE3">
        <w:t xml:space="preserve">The </w:t>
      </w:r>
      <w:r w:rsidRPr="00232779">
        <w:rPr>
          <w:i/>
        </w:rPr>
        <w:t>2016 Public Notice</w:t>
      </w:r>
      <w:r w:rsidRPr="00C02DE3">
        <w:t xml:space="preserve"> announced that users of the new CORES would be required to provide a valid e-mail address for online access</w:t>
      </w:r>
      <w:r>
        <w:t xml:space="preserve">.  </w:t>
      </w:r>
      <w:r w:rsidRPr="00C02DE3">
        <w:rPr>
          <w:i/>
        </w:rPr>
        <w:t>Public Notice</w:t>
      </w:r>
      <w:r w:rsidRPr="00C02DE3">
        <w:t xml:space="preserve">, 31 FCC </w:t>
      </w:r>
      <w:r w:rsidRPr="00C02DE3">
        <w:t>Rcd</w:t>
      </w:r>
      <w:r w:rsidRPr="00C02DE3">
        <w:t xml:space="preserve"> at 3831</w:t>
      </w:r>
      <w:r w:rsidRPr="00620CA9">
        <w:t xml:space="preserve">.  To obtain an FRN in the new CORES, users must first create an account with a unique username and password in the FCC User Registration System.  The user will receive an e-mail from the FCC User Registration System with a link that they must click on to verify themselves as the authorized user.  The user’s e-mail address will be retained as their FCC username, which will be used to identify the registrant in transactions with the FCC. </w:t>
      </w:r>
      <w:r>
        <w:rPr>
          <w:i/>
        </w:rPr>
        <w:t xml:space="preserve">See </w:t>
      </w:r>
      <w:r>
        <w:t xml:space="preserve">Federal Communications Commission, </w:t>
      </w:r>
      <w:r w:rsidRPr="007511F6">
        <w:rPr>
          <w:i/>
        </w:rPr>
        <w:t>FCC User Registration System</w:t>
      </w:r>
      <w:r w:rsidRPr="00620CA9">
        <w:t xml:space="preserve">, </w:t>
      </w:r>
      <w:hyperlink r:id="rId1" w:history="1">
        <w:r w:rsidRPr="00CF671B">
          <w:rPr>
            <w:rStyle w:val="Hyperlink"/>
          </w:rPr>
          <w:t>https://apps2.fcc.gov/fccUserReg/pages/login.htm</w:t>
        </w:r>
      </w:hyperlink>
      <w:r>
        <w:t xml:space="preserve"> (last visited Apr. 12, 2021).  </w:t>
      </w:r>
      <w:bookmarkStart w:id="20" w:name="_Hlk11167660"/>
      <w:r>
        <w:t xml:space="preserve">OMD estimates that </w:t>
      </w:r>
      <w:r w:rsidRPr="0030268B">
        <w:t xml:space="preserve">55% </w:t>
      </w:r>
      <w:r>
        <w:t xml:space="preserve">of </w:t>
      </w:r>
      <w:r w:rsidRPr="0030268B">
        <w:t xml:space="preserve">FRN </w:t>
      </w:r>
      <w:r>
        <w:t xml:space="preserve">registrants have supplied an e-mail address to CORES and </w:t>
      </w:r>
      <w:r w:rsidRPr="0030268B">
        <w:t>45%</w:t>
      </w:r>
      <w:r>
        <w:t xml:space="preserve"> of</w:t>
      </w:r>
      <w:r w:rsidRPr="0030268B">
        <w:t xml:space="preserve"> FRN </w:t>
      </w:r>
      <w:r>
        <w:t>registrants have not supplied an e-mail address to CORES.</w:t>
      </w:r>
      <w:bookmarkEnd w:id="20"/>
    </w:p>
  </w:footnote>
  <w:footnote w:id="16">
    <w:p w:rsidR="00530550" w:rsidRPr="00881202" w14:paraId="16C9ADDD" w14:textId="77777777">
      <w:pPr>
        <w:pStyle w:val="FootnoteText"/>
      </w:pPr>
      <w:r>
        <w:rPr>
          <w:rStyle w:val="FootnoteReference"/>
        </w:rPr>
        <w:footnoteRef/>
      </w:r>
      <w:r>
        <w:t xml:space="preserve">  Notice of Office of Management and Budget Action, FCC Form 160, OMB Control Number 3060-0917, Dec. 12, 2018;</w:t>
      </w:r>
      <w:r w:rsidRPr="00844046">
        <w:t xml:space="preserve"> Notice of Office of Management and Budget Action, FCC Form 16</w:t>
      </w:r>
      <w:r>
        <w:t>1</w:t>
      </w:r>
      <w:r w:rsidRPr="00844046">
        <w:t>,</w:t>
      </w:r>
      <w:r>
        <w:t xml:space="preserve"> </w:t>
      </w:r>
      <w:r w:rsidRPr="00844046">
        <w:t>OMB Control Number 3060-091</w:t>
      </w:r>
      <w:r>
        <w:t>8</w:t>
      </w:r>
      <w:r w:rsidRPr="00844046">
        <w:t>, Dec. 12, 2018</w:t>
      </w:r>
      <w:r>
        <w:t xml:space="preserve">.  </w:t>
      </w:r>
      <w:r>
        <w:rPr>
          <w:i/>
        </w:rPr>
        <w:t xml:space="preserve">See </w:t>
      </w:r>
      <w:r>
        <w:t xml:space="preserve">Federal Communications Commission, </w:t>
      </w:r>
      <w:r>
        <w:rPr>
          <w:i/>
        </w:rPr>
        <w:t xml:space="preserve">Justification for </w:t>
      </w:r>
      <w:r>
        <w:rPr>
          <w:i/>
        </w:rPr>
        <w:t>Nonsubstantive</w:t>
      </w:r>
      <w:r>
        <w:rPr>
          <w:i/>
        </w:rPr>
        <w:t xml:space="preserve"> Change Request, </w:t>
      </w:r>
      <w:r w:rsidRPr="0058718A">
        <w:t>FCC Form 160, OMB Control Number 3060-0917</w:t>
      </w:r>
      <w:r>
        <w:t xml:space="preserve"> and F</w:t>
      </w:r>
      <w:r w:rsidRPr="0058718A">
        <w:t>CC Form 161, OMB Control Number 3060-0918</w:t>
      </w:r>
      <w:r>
        <w:t xml:space="preserve">, Nov.19, 2018 (date uploaded to Office of Information and Regulatory Affairs, Office of Management and Budget at </w:t>
      </w:r>
      <w:r w:rsidRPr="00BE3240">
        <w:t>https://www.reginfo.gov/public/</w:t>
      </w:r>
      <w:r>
        <w:t>).</w:t>
      </w:r>
    </w:p>
  </w:footnote>
  <w:footnote w:id="17">
    <w:p w:rsidR="00530550" w:rsidRPr="00B80413" w14:paraId="521FC390" w14:textId="77777777">
      <w:pPr>
        <w:pStyle w:val="FootnoteText"/>
      </w:pPr>
      <w:r>
        <w:rPr>
          <w:rStyle w:val="FootnoteReference"/>
        </w:rPr>
        <w:footnoteRef/>
      </w:r>
      <w:r>
        <w:t xml:space="preserve"> </w:t>
      </w:r>
      <w:r>
        <w:rPr>
          <w:i/>
        </w:rPr>
        <w:t xml:space="preserve">See </w:t>
      </w:r>
      <w:r>
        <w:t>Appendix B.</w:t>
      </w:r>
    </w:p>
  </w:footnote>
  <w:footnote w:id="18">
    <w:p w:rsidR="00530550" w14:paraId="279E41B5" w14:textId="2380A657">
      <w:pPr>
        <w:pStyle w:val="FootnoteText"/>
      </w:pPr>
      <w:r>
        <w:rPr>
          <w:rStyle w:val="FootnoteReference"/>
        </w:rPr>
        <w:footnoteRef/>
      </w:r>
      <w:r>
        <w:t xml:space="preserve"> </w:t>
      </w:r>
      <w:r w:rsidRPr="00F31745">
        <w:t xml:space="preserve">The Commission is required in </w:t>
      </w:r>
      <w:r>
        <w:t xml:space="preserve">various </w:t>
      </w:r>
      <w:r w:rsidRPr="00F31745">
        <w:t>contexts to manage and collect substantial sums of money, including annual regulatory fees and application fees and civil monetary penalties</w:t>
      </w:r>
      <w:r>
        <w:t xml:space="preserve">.  </w:t>
      </w:r>
      <w:r w:rsidRPr="00370428">
        <w:rPr>
          <w:i/>
        </w:rPr>
        <w:t>See,</w:t>
      </w:r>
      <w:r>
        <w:rPr>
          <w:i/>
        </w:rPr>
        <w:t xml:space="preserve"> </w:t>
      </w:r>
      <w:r w:rsidRPr="00370428">
        <w:rPr>
          <w:i/>
        </w:rPr>
        <w:t>e.g</w:t>
      </w:r>
      <w:r w:rsidRPr="00F31745">
        <w:t xml:space="preserve">., 47 U.S.C. </w:t>
      </w:r>
      <w:bookmarkStart w:id="32" w:name="_Hlk21609931"/>
      <w:r w:rsidRPr="00F31745">
        <w:t>§</w:t>
      </w:r>
      <w:bookmarkEnd w:id="32"/>
      <w:r w:rsidRPr="00F31745">
        <w:t xml:space="preserve">§ </w:t>
      </w:r>
      <w:r w:rsidRPr="00E5209F">
        <w:t>15</w:t>
      </w:r>
      <w:r>
        <w:t>8-</w:t>
      </w:r>
      <w:r w:rsidRPr="00E5209F">
        <w:t>159</w:t>
      </w:r>
      <w:r>
        <w:t>,</w:t>
      </w:r>
      <w:r w:rsidRPr="00E5209F">
        <w:t xml:space="preserve"> </w:t>
      </w:r>
      <w:r w:rsidRPr="00F31745">
        <w:t>503</w:t>
      </w:r>
      <w:r>
        <w:t>;</w:t>
      </w:r>
      <w:r w:rsidRPr="001733B1">
        <w:t xml:space="preserve">47 </w:t>
      </w:r>
      <w:r>
        <w:t>CFR</w:t>
      </w:r>
      <w:r w:rsidRPr="001733B1">
        <w:t xml:space="preserve"> § 1.80; </w:t>
      </w:r>
      <w:r w:rsidRPr="001733B1">
        <w:rPr>
          <w:i/>
        </w:rPr>
        <w:t>Forfeiture Policy Statement and Amendment of Section 1.80 of the Rules to Incorporate the Forfeiture Guidelines</w:t>
      </w:r>
      <w:r w:rsidRPr="001733B1">
        <w:t xml:space="preserve">, CI Docket No. 95-6, Report and Order, 12 FCC </w:t>
      </w:r>
      <w:r w:rsidRPr="001733B1">
        <w:t>Rcd</w:t>
      </w:r>
      <w:r w:rsidRPr="001733B1">
        <w:t xml:space="preserve"> 17087 (1997), recon. denied, 15 FCC </w:t>
      </w:r>
      <w:r w:rsidRPr="001733B1">
        <w:t>Rcd</w:t>
      </w:r>
      <w:r w:rsidRPr="001733B1">
        <w:t xml:space="preserve"> 303 (1999). </w:t>
      </w:r>
      <w:r>
        <w:t xml:space="preserve"> </w:t>
      </w:r>
      <w:r w:rsidRPr="00F31745">
        <w:t xml:space="preserve">The Commission also auctions various licenses through competitive bidding and administers the collection of payments for these licenses. </w:t>
      </w:r>
      <w:r>
        <w:rPr>
          <w:i/>
        </w:rPr>
        <w:t xml:space="preserve"> </w:t>
      </w:r>
      <w:r w:rsidRPr="00F31745">
        <w:t>47 U.S.C. § 309(j).</w:t>
      </w:r>
      <w:r>
        <w:t xml:space="preserve">  </w:t>
      </w:r>
      <w:r w:rsidRPr="00F31745">
        <w:t>In addition, the Commission directs the collection of mandated contributions to the Universal Service Fund (USF) and other statutory programs.</w:t>
      </w:r>
      <w:r>
        <w:t xml:space="preserve">  </w:t>
      </w:r>
      <w:r w:rsidRPr="00D96DCF">
        <w:t>47 U.S.C. § 254(d).</w:t>
      </w:r>
    </w:p>
  </w:footnote>
  <w:footnote w:id="19">
    <w:p w:rsidR="00530550" w14:paraId="7D4B80C9" w14:textId="77777777">
      <w:pPr>
        <w:pStyle w:val="FootnoteText"/>
      </w:pPr>
      <w:r>
        <w:rPr>
          <w:rStyle w:val="FootnoteReference"/>
        </w:rPr>
        <w:footnoteRef/>
      </w:r>
      <w:r>
        <w:t xml:space="preserve"> </w:t>
      </w:r>
      <w:r w:rsidRPr="00173FC5">
        <w:t>Sprint Comments at 6</w:t>
      </w:r>
      <w:r>
        <w:t xml:space="preserve">; AT&amp;T Reply Comments at 4-5; Frontier Comments at 5.  AT&amp;T also supported requiring existing FRN holders to update their FRNs with e-mail address information in response to an alert from the Commission.  </w:t>
      </w:r>
      <w:r w:rsidRPr="00AB0F17">
        <w:t>AT&amp;T Reply Comments at</w:t>
      </w:r>
      <w:r>
        <w:t xml:space="preserve"> </w:t>
      </w:r>
      <w:r w:rsidRPr="00AB0F17">
        <w:t>5</w:t>
      </w:r>
      <w:r>
        <w:t xml:space="preserve">.  </w:t>
      </w:r>
    </w:p>
  </w:footnote>
  <w:footnote w:id="20">
    <w:p w:rsidR="00530550" w:rsidRPr="00DB45CB" w14:paraId="54989C86" w14:textId="77777777">
      <w:pPr>
        <w:pStyle w:val="FootnoteText"/>
      </w:pPr>
      <w:r>
        <w:rPr>
          <w:rStyle w:val="FootnoteReference"/>
        </w:rPr>
        <w:footnoteRef/>
      </w:r>
      <w:r>
        <w:t xml:space="preserve"> </w:t>
      </w:r>
      <w:r w:rsidRPr="00EC20CC">
        <w:t>Sprint Comments at 6</w:t>
      </w:r>
      <w:r>
        <w:t>.</w:t>
      </w:r>
    </w:p>
  </w:footnote>
  <w:footnote w:id="21">
    <w:p w:rsidR="00530550" w14:paraId="7DB9A41B" w14:textId="77777777">
      <w:pPr>
        <w:pStyle w:val="FootnoteText"/>
      </w:pPr>
      <w:r>
        <w:rPr>
          <w:rStyle w:val="FootnoteReference"/>
        </w:rPr>
        <w:footnoteRef/>
      </w:r>
      <w:r>
        <w:t xml:space="preserve"> ARRL Comments at 11-13; </w:t>
      </w:r>
      <w:r>
        <w:t>Blooston</w:t>
      </w:r>
      <w:r>
        <w:t xml:space="preserve"> Law Reply Comments at 5-6.</w:t>
      </w:r>
    </w:p>
  </w:footnote>
  <w:footnote w:id="22">
    <w:p w:rsidR="00530550" w14:paraId="55D9A16F" w14:textId="77777777">
      <w:pPr>
        <w:pStyle w:val="FootnoteText"/>
      </w:pPr>
      <w:r>
        <w:rPr>
          <w:rStyle w:val="FootnoteReference"/>
        </w:rPr>
        <w:footnoteRef/>
      </w:r>
      <w:r>
        <w:t xml:space="preserve"> ARRL Comments at 11-12.</w:t>
      </w:r>
    </w:p>
  </w:footnote>
  <w:footnote w:id="23">
    <w:p w:rsidR="00530550" w14:paraId="19130275" w14:textId="77777777">
      <w:pPr>
        <w:pStyle w:val="FootnoteText"/>
      </w:pPr>
      <w:r>
        <w:rPr>
          <w:rStyle w:val="FootnoteReference"/>
        </w:rPr>
        <w:footnoteRef/>
      </w:r>
      <w:r>
        <w:t xml:space="preserve"> </w:t>
      </w:r>
      <w:r>
        <w:t>Blooston</w:t>
      </w:r>
      <w:r>
        <w:t xml:space="preserve"> Law Reply Comments at 5-6.</w:t>
      </w:r>
    </w:p>
  </w:footnote>
  <w:footnote w:id="24">
    <w:p w:rsidR="00530550" w:rsidRPr="00F52170" w14:paraId="095201E6" w14:textId="77777777">
      <w:pPr>
        <w:pStyle w:val="FootnoteText"/>
      </w:pPr>
      <w:r>
        <w:rPr>
          <w:rStyle w:val="FootnoteReference"/>
        </w:rPr>
        <w:footnoteRef/>
      </w:r>
      <w:r>
        <w:t xml:space="preserve"> </w:t>
      </w:r>
      <w:r>
        <w:rPr>
          <w:i/>
        </w:rPr>
        <w:t xml:space="preserve">Id. </w:t>
      </w:r>
      <w:r>
        <w:t>at 6.</w:t>
      </w:r>
    </w:p>
  </w:footnote>
  <w:footnote w:id="25">
    <w:p w:rsidR="00530550" w14:paraId="2A1F7B4B" w14:textId="77777777">
      <w:pPr>
        <w:pStyle w:val="FootnoteText"/>
      </w:pPr>
      <w:r>
        <w:rPr>
          <w:rStyle w:val="FootnoteReference"/>
        </w:rPr>
        <w:footnoteRef/>
      </w:r>
      <w:r>
        <w:t xml:space="preserve"> </w:t>
      </w:r>
      <w:r w:rsidRPr="00BC3E44">
        <w:rPr>
          <w:i/>
        </w:rPr>
        <w:t>See Schools and Libraries Universal Service Support Mechanism; A National Broadband Plan for Our Future</w:t>
      </w:r>
      <w:r w:rsidRPr="00BC3E44">
        <w:t xml:space="preserve">, CC Docket No. 02-6, GN Docket No. 09-51, Sixth Report and Order, 25 FCC </w:t>
      </w:r>
      <w:r w:rsidRPr="00BC3E44">
        <w:t>Rcd</w:t>
      </w:r>
      <w:r w:rsidRPr="00BC3E44">
        <w:t xml:space="preserve"> 18762, 187</w:t>
      </w:r>
      <w:r>
        <w:t>73-18777</w:t>
      </w:r>
      <w:r w:rsidRPr="00BC3E44">
        <w:t xml:space="preserve"> (2010)</w:t>
      </w:r>
      <w:r>
        <w:t>.</w:t>
      </w:r>
    </w:p>
  </w:footnote>
  <w:footnote w:id="26">
    <w:p w:rsidR="00530550" w:rsidRPr="009039ED" w14:paraId="6851B522" w14:textId="74915036">
      <w:pPr>
        <w:pStyle w:val="FootnoteText"/>
      </w:pPr>
      <w:r>
        <w:rPr>
          <w:rStyle w:val="FootnoteReference"/>
        </w:rPr>
        <w:footnoteRef/>
      </w:r>
      <w:r>
        <w:t xml:space="preserve"> </w:t>
      </w:r>
      <w:r>
        <w:rPr>
          <w:i/>
          <w:iCs/>
        </w:rPr>
        <w:t xml:space="preserve">See, e.g., </w:t>
      </w:r>
      <w:r w:rsidRPr="009039ED">
        <w:rPr>
          <w:i/>
          <w:iCs/>
        </w:rPr>
        <w:t xml:space="preserve">Completing the Transition to Electronic Filing, Licenses and Authorizations, and Correspondence in the Wireless Radio Services, </w:t>
      </w:r>
      <w:r w:rsidRPr="00E05BC8">
        <w:t>WT Docket No. 19-212,</w:t>
      </w:r>
      <w:r w:rsidRPr="009039ED">
        <w:rPr>
          <w:i/>
          <w:iCs/>
        </w:rPr>
        <w:t xml:space="preserve"> </w:t>
      </w:r>
      <w:r>
        <w:t xml:space="preserve">Order, </w:t>
      </w:r>
      <w:r w:rsidRPr="00413958">
        <w:t xml:space="preserve">35 FCC </w:t>
      </w:r>
      <w:r w:rsidRPr="00413958">
        <w:t>Rcd</w:t>
      </w:r>
      <w:r w:rsidRPr="00413958">
        <w:t xml:space="preserve"> 1078</w:t>
      </w:r>
      <w:r>
        <w:t xml:space="preserve">1, 10784 </w:t>
      </w:r>
      <w:r w:rsidRPr="009039ED">
        <w:t>(</w:t>
      </w:r>
      <w:r>
        <w:t>2020</w:t>
      </w:r>
      <w:r w:rsidRPr="009039ED">
        <w:t>)</w:t>
      </w:r>
      <w:r>
        <w:t xml:space="preserve"> (</w:t>
      </w:r>
      <w:r>
        <w:rPr>
          <w:i/>
          <w:iCs/>
        </w:rPr>
        <w:t>Electronic Licensing Order</w:t>
      </w:r>
      <w:r>
        <w:t>)</w:t>
      </w:r>
      <w:r w:rsidRPr="009039ED">
        <w:t>.</w:t>
      </w:r>
    </w:p>
  </w:footnote>
  <w:footnote w:id="27">
    <w:p w:rsidR="00530550" w14:paraId="14C9C291" w14:textId="1A14A320">
      <w:pPr>
        <w:pStyle w:val="FootnoteText"/>
      </w:pPr>
      <w:r>
        <w:rPr>
          <w:rStyle w:val="FootnoteReference"/>
        </w:rPr>
        <w:footnoteRef/>
      </w:r>
      <w:r>
        <w:t xml:space="preserve"> </w:t>
      </w:r>
      <w:r w:rsidRPr="00F140DE">
        <w:t xml:space="preserve">Federal Communications Commission, </w:t>
      </w:r>
      <w:bookmarkStart w:id="35" w:name="_Hlk9523724"/>
      <w:r>
        <w:t>Available Support Services,</w:t>
      </w:r>
      <w:r w:rsidRPr="00116A75">
        <w:t xml:space="preserve"> </w:t>
      </w:r>
      <w:bookmarkEnd w:id="35"/>
      <w:r w:rsidRPr="000D7BAF">
        <w:t>https://www.fcc.gov/available-support-services</w:t>
      </w:r>
      <w:r>
        <w:t xml:space="preserve"> </w:t>
      </w:r>
      <w:r w:rsidRPr="000D7BAF">
        <w:t xml:space="preserve"> </w:t>
      </w:r>
      <w:r>
        <w:t>(last visited Apr.13, 2021).</w:t>
      </w:r>
    </w:p>
  </w:footnote>
  <w:footnote w:id="28">
    <w:p w:rsidR="00530550" w:rsidP="000D7BAF" w14:paraId="1B39F1BF" w14:textId="3BF99557">
      <w:pPr>
        <w:pStyle w:val="FootnoteText"/>
      </w:pPr>
      <w:r>
        <w:rPr>
          <w:rStyle w:val="FootnoteReference"/>
        </w:rPr>
        <w:footnoteRef/>
      </w:r>
      <w:r>
        <w:t xml:space="preserve"> </w:t>
      </w:r>
      <w:r w:rsidRPr="00F34CE0">
        <w:t xml:space="preserve">The use of an email address helps </w:t>
      </w:r>
      <w:r>
        <w:t xml:space="preserve">the new </w:t>
      </w:r>
      <w:r w:rsidRPr="00F34CE0">
        <w:t xml:space="preserve">CORES system </w:t>
      </w:r>
      <w:r>
        <w:t xml:space="preserve">to </w:t>
      </w:r>
      <w:r w:rsidRPr="00F34CE0">
        <w:t>establish identity management for identifying, authenticating and authorizing access to the system to conduct business with FCC; this falls under the overarching umbrella of IT security (NIST 800-53 IA-2 and NIST 800-63).</w:t>
      </w:r>
      <w:r>
        <w:t xml:space="preserve">  The </w:t>
      </w:r>
      <w:r w:rsidRPr="009A77FB">
        <w:t xml:space="preserve">National Institute of Standards and Technology (NIST) </w:t>
      </w:r>
      <w:r>
        <w:t xml:space="preserve">creates and promotes the standards used by federal agencies to implement the Federal Information Security Management Act (FISMA) and manage other programs designed to protect information and promote information security. NIST 800-53 IA-2 requires all accounts to have unique IDs.  </w:t>
      </w:r>
      <w:r>
        <w:rPr>
          <w:i/>
        </w:rPr>
        <w:t>See</w:t>
      </w:r>
      <w:r w:rsidRPr="00FD35D8">
        <w:t xml:space="preserve"> </w:t>
      </w:r>
      <w:r>
        <w:t xml:space="preserve">National Institute of Standards and Technology, U.S., Department of Commerce, </w:t>
      </w:r>
      <w:r w:rsidRPr="00FD35D8">
        <w:rPr>
          <w:i/>
        </w:rPr>
        <w:t>NIST Special Publication</w:t>
      </w:r>
      <w:r>
        <w:rPr>
          <w:i/>
        </w:rPr>
        <w:t xml:space="preserve"> </w:t>
      </w:r>
      <w:r w:rsidRPr="00FD35D8">
        <w:rPr>
          <w:i/>
        </w:rPr>
        <w:t xml:space="preserve">800-53 (Rev. </w:t>
      </w:r>
      <w:r>
        <w:rPr>
          <w:i/>
        </w:rPr>
        <w:t>5.1</w:t>
      </w:r>
      <w:r w:rsidRPr="00FD35D8">
        <w:rPr>
          <w:i/>
        </w:rPr>
        <w:t>)</w:t>
      </w:r>
      <w:r>
        <w:rPr>
          <w:i/>
        </w:rPr>
        <w:t xml:space="preserve">, </w:t>
      </w:r>
      <w:r w:rsidRPr="00A55850">
        <w:rPr>
          <w:i/>
        </w:rPr>
        <w:t xml:space="preserve">https://csrc.nist.gov/Projects/risk-management/sp800-53-controls/release-search#!/control?version=5.1&amp;number=IA-2 </w:t>
      </w:r>
      <w:r>
        <w:t>(last visited Apr. 12, 2021)</w:t>
      </w:r>
      <w:r>
        <w:rPr>
          <w:i/>
        </w:rPr>
        <w:t xml:space="preserve">.  </w:t>
      </w:r>
      <w:r>
        <w:t xml:space="preserve">NIST 800-63 defines digital identity guidelines; email can be used for digital identity. </w:t>
      </w:r>
      <w:r>
        <w:rPr>
          <w:i/>
        </w:rPr>
        <w:t>See</w:t>
      </w:r>
      <w:r>
        <w:t xml:space="preserve"> Paul A. Grassi, Michael E. Garcia, James L. Fenton, </w:t>
      </w:r>
      <w:r w:rsidRPr="00FD35D8">
        <w:t>National Institute of Standards and Technology, U.S., Department of Commerce</w:t>
      </w:r>
      <w:r>
        <w:t>,</w:t>
      </w:r>
      <w:r w:rsidRPr="00FD35D8">
        <w:t xml:space="preserve"> </w:t>
      </w:r>
      <w:r w:rsidRPr="00FD35D8">
        <w:rPr>
          <w:i/>
        </w:rPr>
        <w:t>NIST Special Publication 800-63-3 - Digital Identity Guidelines</w:t>
      </w:r>
      <w:r>
        <w:t xml:space="preserve">, June 2017, </w:t>
      </w:r>
      <w:hyperlink r:id="rId2" w:history="1">
        <w:r w:rsidRPr="00FA6AD1">
          <w:rPr>
            <w:rStyle w:val="Hyperlink"/>
          </w:rPr>
          <w:t>https://nvlpubs.nist.gov/nistpubs/SpecialPublications/NIST.SP.800-63-3.pdf</w:t>
        </w:r>
      </w:hyperlink>
      <w:r>
        <w:t xml:space="preserve"> </w:t>
      </w:r>
      <w:bookmarkStart w:id="36" w:name="_Hlk20902446"/>
      <w:r>
        <w:t>(last visited Apr. 12, 2021)</w:t>
      </w:r>
      <w:bookmarkEnd w:id="36"/>
      <w:r>
        <w:t>.</w:t>
      </w:r>
    </w:p>
  </w:footnote>
  <w:footnote w:id="29">
    <w:p w:rsidR="00530550" w:rsidP="00537AC0" w14:paraId="2077A190" w14:textId="624DBDD6">
      <w:pPr>
        <w:pStyle w:val="FootnoteText"/>
      </w:pPr>
      <w:r>
        <w:rPr>
          <w:rStyle w:val="FootnoteReference"/>
        </w:rPr>
        <w:footnoteRef/>
      </w:r>
      <w:r>
        <w:t xml:space="preserve"> </w:t>
      </w:r>
      <w:r>
        <w:rPr>
          <w:i/>
        </w:rPr>
        <w:t>See, e.g</w:t>
      </w:r>
      <w:r w:rsidRPr="00537AC0">
        <w:t>.,</w:t>
      </w:r>
      <w:r>
        <w:rPr>
          <w:i/>
        </w:rPr>
        <w:t xml:space="preserve"> Electronic Licensing Order.</w:t>
      </w:r>
    </w:p>
  </w:footnote>
  <w:footnote w:id="30">
    <w:p w:rsidR="00530550" w14:paraId="5918867A" w14:textId="2A04AE76">
      <w:pPr>
        <w:pStyle w:val="FootnoteText"/>
      </w:pPr>
      <w:r>
        <w:rPr>
          <w:rStyle w:val="FootnoteReference"/>
        </w:rPr>
        <w:footnoteRef/>
      </w:r>
      <w:r>
        <w:t xml:space="preserve"> Deleting </w:t>
      </w:r>
      <w:r w:rsidRPr="00DE7D5C">
        <w:t xml:space="preserve">section 1.8002(e) involves </w:t>
      </w:r>
      <w:r>
        <w:t xml:space="preserve">a </w:t>
      </w:r>
      <w:r w:rsidRPr="00DE7D5C">
        <w:t xml:space="preserve">rule of agency organization, procedure, or practice, and the notice and comment and effective date provisions of the Administrative Procedure Act </w:t>
      </w:r>
      <w:r>
        <w:t>are</w:t>
      </w:r>
      <w:r w:rsidRPr="00DE7D5C">
        <w:t xml:space="preserve"> therefore inapplicable.  5 U.S.C. § 553(b)(3)(A), (d).</w:t>
      </w:r>
    </w:p>
  </w:footnote>
  <w:footnote w:id="31">
    <w:p w:rsidR="00530550" w:rsidP="00071F30" w14:paraId="18FBE14A" w14:textId="77777777">
      <w:pPr>
        <w:pStyle w:val="FootnoteText"/>
      </w:pPr>
      <w:r w:rsidRPr="00B24897">
        <w:rPr>
          <w:rStyle w:val="FootnoteReference"/>
        </w:rPr>
        <w:footnoteRef/>
      </w:r>
      <w:r w:rsidRPr="00B24897">
        <w:t xml:space="preserve"> 5 U.S.C. § 601 </w:t>
      </w:r>
      <w:r w:rsidRPr="00B24897">
        <w:rPr>
          <w:i/>
        </w:rPr>
        <w:t>et seq</w:t>
      </w:r>
      <w:r w:rsidRPr="00B24897">
        <w:t>.</w:t>
      </w:r>
    </w:p>
  </w:footnote>
  <w:footnote w:id="32">
    <w:p w:rsidR="00530550" w:rsidP="00071F30" w14:paraId="11FE9081" w14:textId="77777777">
      <w:pPr>
        <w:pStyle w:val="FootnoteText"/>
      </w:pPr>
      <w:r w:rsidRPr="00B24897">
        <w:rPr>
          <w:rStyle w:val="FootnoteReference"/>
        </w:rPr>
        <w:footnoteRef/>
      </w:r>
      <w:r w:rsidRPr="00B24897">
        <w:t xml:space="preserve"> Pub. L. No. 104-13, 109 Stat 163 (1995) (codified at 44 U.S.C. §§ 3501-3520).</w:t>
      </w:r>
    </w:p>
  </w:footnote>
  <w:footnote w:id="33">
    <w:p w:rsidR="00530550" w:rsidRPr="00CC2FF7" w:rsidP="00071F30" w14:paraId="6DFA5650" w14:textId="77777777">
      <w:pPr>
        <w:pStyle w:val="FootnoteText"/>
        <w:rPr>
          <w:i/>
        </w:rPr>
      </w:pPr>
      <w:r w:rsidRPr="00B24897">
        <w:rPr>
          <w:rStyle w:val="FootnoteReference"/>
        </w:rPr>
        <w:footnoteRef/>
      </w:r>
      <w:r w:rsidRPr="00B24897">
        <w:t xml:space="preserve"> 44 U.S.C. § 3507(d).</w:t>
      </w:r>
      <w:r>
        <w:t xml:space="preserve">  </w:t>
      </w:r>
      <w:r>
        <w:rPr>
          <w:i/>
        </w:rPr>
        <w:t xml:space="preserve">See </w:t>
      </w:r>
      <w:r w:rsidRPr="005B4A52">
        <w:t>Notice of Office of Management and Budget Action</w:t>
      </w:r>
      <w:r w:rsidRPr="005B4A52">
        <w:rPr>
          <w:i/>
        </w:rPr>
        <w:t xml:space="preserve">, </w:t>
      </w:r>
      <w:r w:rsidRPr="005B4A52">
        <w:t xml:space="preserve">FCC Form 160, OMB Control Number 3060-0917, </w:t>
      </w:r>
      <w:r>
        <w:t>Mar</w:t>
      </w:r>
      <w:r w:rsidRPr="005B4A52">
        <w:t>. 1</w:t>
      </w:r>
      <w:r>
        <w:t>5</w:t>
      </w:r>
      <w:r w:rsidRPr="005B4A52">
        <w:t>, 20</w:t>
      </w:r>
      <w:r>
        <w:t>11; Notice of Office of Management and Budget Action, FCC Form 161, OMB Control Number 3060-0918, Mar. 15, 2011.</w:t>
      </w:r>
    </w:p>
  </w:footnote>
  <w:footnote w:id="34">
    <w:p w:rsidR="00530550" w:rsidRPr="00B809E4" w:rsidP="004C6034" w14:paraId="4B6F9268" w14:textId="77777777">
      <w:pPr>
        <w:pStyle w:val="FootnoteText"/>
      </w:pPr>
      <w:r>
        <w:rPr>
          <w:rStyle w:val="FootnoteReference"/>
        </w:rPr>
        <w:footnoteRef/>
      </w:r>
      <w:r>
        <w:t xml:space="preserve"> Section 1.8002(b)(1) states “[w]</w:t>
      </w:r>
      <w:r w:rsidRPr="008F560A">
        <w:rPr>
          <w:szCs w:val="22"/>
        </w:rPr>
        <w:t xml:space="preserve">hen registering for an FRN through the CORES, an entity’s name, entity type, contact name and title, address, valid e-mail address, and taxpayer identifying number (TIN) must be provided.  </w:t>
      </w:r>
      <w:r>
        <w:rPr>
          <w:szCs w:val="22"/>
        </w:rPr>
        <w:t>For individuals, the TIN is the social security number (SSN).”  Section 1.8002(b)(2) states that “[</w:t>
      </w:r>
      <w:r>
        <w:rPr>
          <w:szCs w:val="22"/>
        </w:rPr>
        <w:t>i</w:t>
      </w:r>
      <w:r>
        <w:rPr>
          <w:szCs w:val="22"/>
        </w:rPr>
        <w:t>]</w:t>
      </w:r>
      <w:r w:rsidRPr="000F1A6D">
        <w:rPr>
          <w:szCs w:val="22"/>
        </w:rPr>
        <w:t>nformation</w:t>
      </w:r>
      <w:r w:rsidRPr="000F1A6D">
        <w:rPr>
          <w:szCs w:val="22"/>
        </w:rPr>
        <w:t xml:space="preserve"> listed in (b)(1) must be kept current by registrants either by updating the information on-line at the CORES link at www.fcc.gov or by filing FCC Form 161 (CORES Update/Change Form).</w:t>
      </w:r>
      <w:r>
        <w:rPr>
          <w:szCs w:val="22"/>
        </w:rPr>
        <w:t xml:space="preserve">”  Section 1.8002(e) has been removed.  </w:t>
      </w:r>
      <w:r>
        <w:rPr>
          <w:i/>
          <w:iCs/>
          <w:szCs w:val="22"/>
        </w:rPr>
        <w:t xml:space="preserve">See </w:t>
      </w:r>
      <w:r>
        <w:rPr>
          <w:szCs w:val="22"/>
        </w:rPr>
        <w:t xml:space="preserve">47 CFR § 1.8001 </w:t>
      </w:r>
      <w:r w:rsidRPr="00B809E4">
        <w:rPr>
          <w:i/>
          <w:iCs/>
          <w:szCs w:val="22"/>
        </w:rPr>
        <w:t>et seq</w:t>
      </w:r>
      <w:r>
        <w:rPr>
          <w:szCs w:val="22"/>
        </w:rPr>
        <w:t>.</w:t>
      </w:r>
    </w:p>
  </w:footnote>
  <w:footnote w:id="35">
    <w:p w:rsidR="00530550" w:rsidP="00C86F56" w14:paraId="09486BCE"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6">
    <w:p w:rsidR="00530550" w:rsidP="00C86F56" w14:paraId="3A5C73A3"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3" w:history="1">
        <w:r>
          <w:rPr>
            <w:rStyle w:val="Hyperlink"/>
          </w:rPr>
          <w:t>https://cdn.advocacy.sba.gov/wp-content/uploads/2019/09/23172859/Whats-New-With-Small-Business-2019.pdf</w:t>
        </w:r>
      </w:hyperlink>
      <w:r w:rsidRPr="00363480">
        <w:t xml:space="preserve"> (</w:t>
      </w:r>
      <w:r>
        <w:t>Sept 2019).</w:t>
      </w:r>
    </w:p>
  </w:footnote>
  <w:footnote w:id="37">
    <w:p w:rsidR="00530550" w:rsidP="00C86F56" w14:paraId="07CCF7BB" w14:textId="77777777">
      <w:pPr>
        <w:pStyle w:val="FootnoteText"/>
      </w:pPr>
      <w:r w:rsidRPr="00363480">
        <w:rPr>
          <w:rStyle w:val="FootnoteReference"/>
          <w:rFonts w:eastAsia="Calibri"/>
        </w:rPr>
        <w:footnoteRef/>
      </w:r>
      <w:r>
        <w:t xml:space="preserve"> </w:t>
      </w:r>
      <w:r>
        <w:rPr>
          <w:i/>
        </w:rPr>
        <w:t>Id</w:t>
      </w:r>
      <w:r w:rsidRPr="00363480">
        <w:t>.</w:t>
      </w:r>
    </w:p>
  </w:footnote>
  <w:footnote w:id="38">
    <w:p w:rsidR="00530550" w:rsidRPr="00363480" w:rsidP="00C86F56" w14:paraId="66A401DB"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39">
    <w:p w:rsidR="00530550" w:rsidP="00C86F56" w14:paraId="3170CADC" w14:textId="1941352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4" w:history="1">
        <w:r w:rsidRPr="00E93520">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40">
    <w:p w:rsidR="00530550" w:rsidRPr="007B60A8" w:rsidP="00C86F56" w14:paraId="4F2323BA"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5"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41">
    <w:p w:rsidR="00530550" w:rsidRPr="00363480" w:rsidP="00C86F56" w14:paraId="5353C382" w14:textId="77777777">
      <w:pPr>
        <w:pStyle w:val="FootnoteText"/>
      </w:pPr>
      <w:r w:rsidRPr="00363480">
        <w:rPr>
          <w:rStyle w:val="FootnoteReference"/>
          <w:rFonts w:eastAsia="Calibri"/>
          <w:spacing w:val="-2"/>
        </w:rPr>
        <w:footnoteRef/>
      </w:r>
      <w:r w:rsidRPr="00363480">
        <w:t xml:space="preserve"> 5 U.S.C. § 601(5).</w:t>
      </w:r>
    </w:p>
  </w:footnote>
  <w:footnote w:id="42">
    <w:p w:rsidR="00530550" w:rsidRPr="00363480" w:rsidP="00C86F56" w14:paraId="4F8037AE"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6" w:history="1">
        <w:r>
          <w:rPr>
            <w:rStyle w:val="Hyperlink"/>
          </w:rPr>
          <w:t>https://www.census.gov/programs-surveys/cog/about.html</w:t>
        </w:r>
      </w:hyperlink>
      <w:r>
        <w:t xml:space="preserve">. </w:t>
      </w:r>
    </w:p>
  </w:footnote>
  <w:footnote w:id="43">
    <w:p w:rsidR="00530550" w:rsidRPr="0059359B" w:rsidP="00C86F56" w14:paraId="04E4E5CE" w14:textId="4A8F337E">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44">
    <w:p w:rsidR="00530550" w:rsidRPr="0059359B" w:rsidP="00C86F56" w14:paraId="5C50D046" w14:textId="72B74768">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7" w:history="1">
        <w:r w:rsidRPr="0059359B">
          <w:rPr>
            <w:rStyle w:val="Hyperlink"/>
          </w:rPr>
          <w:t>https://www.census.gov/data/tables/2017/econ/gus/2017-governments.html</w:t>
        </w:r>
      </w:hyperlink>
      <w:r w:rsidRPr="0059359B">
        <w:rPr>
          <w:bCs/>
          <w:color w:val="4E4B47"/>
        </w:rPr>
        <w:t xml:space="preserve">. </w:t>
      </w:r>
      <w:r>
        <w:rPr>
          <w:bCs/>
          <w:color w:val="4E4B47"/>
        </w:rPr>
        <w:t xml:space="preserve"> </w:t>
      </w:r>
      <w:r w:rsidRPr="0059359B">
        <w:t xml:space="preserve">There were 2,105 county governments with populations less than 50,000.  This category does not include subcounty (municipal and township) governments.  </w:t>
      </w:r>
    </w:p>
  </w:footnote>
  <w:footnote w:id="45">
    <w:p w:rsidR="00530550" w:rsidRPr="0059359B" w:rsidP="00C86F56" w14:paraId="2352EF5D"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7"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46">
    <w:p w:rsidR="00530550" w:rsidRPr="00236169" w:rsidP="00C86F56" w14:paraId="3FB585C5" w14:textId="6CEFE774">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7" w:history="1">
        <w:r w:rsidRPr="00E93520">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47">
    <w:p w:rsidR="00530550" w:rsidP="00C86F56" w14:paraId="31D9BF3E"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8">
    <w:p w:rsidR="00530550" w:rsidRPr="007B60A8" w:rsidP="004F5321" w14:paraId="0DD44C14"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49">
    <w:p w:rsidR="00530550" w:rsidP="004C6034" w14:paraId="2F187D41" w14:textId="77777777">
      <w:pPr>
        <w:pStyle w:val="FootnoteText"/>
      </w:pPr>
      <w:r>
        <w:rPr>
          <w:rStyle w:val="FootnoteReference"/>
        </w:rPr>
        <w:footnoteRef/>
      </w:r>
      <w:r>
        <w:t xml:space="preserve"> </w:t>
      </w:r>
      <w:r>
        <w:rPr>
          <w:i/>
        </w:rPr>
        <w:t xml:space="preserve">See </w:t>
      </w:r>
      <w:r>
        <w:t xml:space="preserve">U.S. Census Bureau, </w:t>
      </w:r>
      <w:r>
        <w:rPr>
          <w:i/>
        </w:rPr>
        <w:t>2017 NAICS Definition, “517311 Wired Telecommunications Carriers”,</w:t>
      </w:r>
      <w:r>
        <w:t xml:space="preserve"> </w:t>
      </w:r>
      <w:hyperlink r:id="rId8" w:history="1">
        <w:r>
          <w:rPr>
            <w:rStyle w:val="Hyperlink"/>
          </w:rPr>
          <w:t>https://www.census.gov/cgi-bin/sssd/naics/naicsrch?code=517311&amp;search=2017</w:t>
        </w:r>
      </w:hyperlink>
      <w:r>
        <w:t xml:space="preserve">. </w:t>
      </w:r>
    </w:p>
  </w:footnote>
  <w:footnote w:id="50">
    <w:p w:rsidR="00530550" w:rsidP="004C6034" w14:paraId="598A0313" w14:textId="77777777">
      <w:pPr>
        <w:pStyle w:val="FootnoteText"/>
      </w:pPr>
      <w:r>
        <w:rPr>
          <w:rStyle w:val="FootnoteReference"/>
        </w:rPr>
        <w:footnoteRef/>
      </w:r>
      <w:bookmarkStart w:id="298" w:name="_Hlk31785073"/>
      <w:r>
        <w:rPr>
          <w:i/>
          <w:snapToGrid w:val="0"/>
        </w:rPr>
        <w:t xml:space="preserve"> See</w:t>
      </w:r>
      <w:r>
        <w:rPr>
          <w:snapToGrid w:val="0"/>
        </w:rPr>
        <w:t xml:space="preserve"> 13 CFR </w:t>
      </w:r>
      <w:r>
        <w:t>§</w:t>
      </w:r>
      <w:r>
        <w:rPr>
          <w:snapToGrid w:val="0"/>
        </w:rPr>
        <w:t xml:space="preserve"> 120.201, NAICS Code 517311 (previously 517110)</w:t>
      </w:r>
      <w:r>
        <w:t>.</w:t>
      </w:r>
      <w:bookmarkEnd w:id="298"/>
    </w:p>
  </w:footnote>
  <w:footnote w:id="51">
    <w:p w:rsidR="00530550" w:rsidP="004C6034" w14:paraId="1EA4DACA" w14:textId="77777777">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517110. </w:t>
      </w:r>
      <w:hyperlink r:id="rId9" w:history="1">
        <w:r>
          <w:rPr>
            <w:rStyle w:val="Hyperlink"/>
          </w:rPr>
          <w:t>https://factfinder.census.gov/bkmk/table/1.0/en/ECN/2012_US/51SSSZ5//naics~517110</w:t>
        </w:r>
      </w:hyperlink>
      <w:r>
        <w:t>.</w:t>
      </w:r>
    </w:p>
  </w:footnote>
  <w:footnote w:id="52">
    <w:p w:rsidR="00530550" w:rsidP="004C6034" w14:paraId="356A4250" w14:textId="77777777">
      <w:pPr>
        <w:pStyle w:val="FootnoteText"/>
      </w:pPr>
      <w:r>
        <w:rPr>
          <w:rStyle w:val="FootnoteReference"/>
        </w:rPr>
        <w:footnoteRef/>
      </w:r>
      <w:r>
        <w:t xml:space="preserve"> </w:t>
      </w:r>
      <w:r>
        <w:rPr>
          <w:i/>
        </w:rPr>
        <w:t xml:space="preserve">Id.  </w:t>
      </w:r>
      <w:bookmarkStart w:id="300" w:name="_Hlk34919132"/>
      <w:r>
        <w:t>The largest category provided by the census data is “1000 employees or more” and a more precise estimate for firms with fewer than 1,500 employees is not provided</w:t>
      </w:r>
      <w:bookmarkEnd w:id="300"/>
      <w:r>
        <w:t>.</w:t>
      </w:r>
    </w:p>
  </w:footnote>
  <w:footnote w:id="53">
    <w:p w:rsidR="00530550" w:rsidRPr="00DB0530" w:rsidP="004C6034" w14:paraId="487EC31D"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0" w:history="1">
        <w:r w:rsidRPr="00066589">
          <w:rPr>
            <w:rStyle w:val="Hyperlink"/>
          </w:rPr>
          <w:t>https://www.census.gov/cgi-bin/sssd/naics/naicsrch?code=517911&amp;search=2017%20NAICS%20Search</w:t>
        </w:r>
      </w:hyperlink>
      <w:r>
        <w:t xml:space="preserve">.  </w:t>
      </w:r>
    </w:p>
  </w:footnote>
  <w:footnote w:id="54">
    <w:p w:rsidR="00530550" w:rsidRPr="00DB0530" w:rsidP="004C6034" w14:paraId="42101763" w14:textId="77777777">
      <w:pPr>
        <w:pStyle w:val="FootnoteText"/>
      </w:pPr>
      <w:r w:rsidRPr="00DB0530">
        <w:rPr>
          <w:rStyle w:val="FootnoteReference"/>
        </w:rPr>
        <w:footnoteRef/>
      </w:r>
      <w:r w:rsidRPr="00DB0530">
        <w:t xml:space="preserve"> 13 CFR § 121.201, NAICS code 517911.</w:t>
      </w:r>
    </w:p>
  </w:footnote>
  <w:footnote w:id="55">
    <w:p w:rsidR="00530550" w:rsidP="004C6034" w14:paraId="7E5E015C"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11" w:history="1">
        <w:r w:rsidRPr="003B31E9">
          <w:rPr>
            <w:rStyle w:val="Hyperlink"/>
          </w:rPr>
          <w:t>https://factfinder.census.gov/bkmk/table/1.0/en/ECN/2012_US/51SSSZ5//naics~517911</w:t>
        </w:r>
      </w:hyperlink>
      <w:r>
        <w:t>.</w:t>
      </w:r>
    </w:p>
  </w:footnote>
  <w:footnote w:id="56">
    <w:p w:rsidR="00530550" w:rsidRPr="00DB0530" w:rsidP="004C6034" w14:paraId="776722CD" w14:textId="77777777">
      <w:pPr>
        <w:pStyle w:val="FootnoteText"/>
      </w:pPr>
      <w:r w:rsidRPr="00DB0530">
        <w:rPr>
          <w:rStyle w:val="FootnoteReference"/>
        </w:rPr>
        <w:footnoteRef/>
      </w:r>
      <w:r>
        <w:t xml:space="preserve"> </w:t>
      </w:r>
      <w:r>
        <w:rPr>
          <w:i/>
        </w:rPr>
        <w:t>Id</w:t>
      </w:r>
      <w:r w:rsidRPr="00DB0530">
        <w:t>.</w:t>
      </w:r>
      <w:r>
        <w:t xml:space="preserve">  </w:t>
      </w:r>
    </w:p>
  </w:footnote>
  <w:footnote w:id="57">
    <w:p w:rsidR="00530550" w:rsidRPr="00DB0530" w:rsidP="004C6034" w14:paraId="4AAF0064"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58">
    <w:p w:rsidR="00530550" w:rsidRPr="00DB0530" w:rsidP="004C6034" w14:paraId="36AEE827" w14:textId="77777777">
      <w:pPr>
        <w:pStyle w:val="FootnoteText"/>
      </w:pPr>
      <w:r w:rsidRPr="00DB0530">
        <w:rPr>
          <w:rStyle w:val="FootnoteReference"/>
        </w:rPr>
        <w:footnoteRef/>
      </w:r>
      <w:r w:rsidRPr="00DB0530">
        <w:t xml:space="preserve"> </w:t>
      </w:r>
      <w:r w:rsidRPr="00DB0530">
        <w:rPr>
          <w:i/>
        </w:rPr>
        <w:t>See id</w:t>
      </w:r>
      <w:r w:rsidRPr="00DB0530">
        <w:t>.</w:t>
      </w:r>
    </w:p>
  </w:footnote>
  <w:footnote w:id="59">
    <w:p w:rsidR="00530550" w:rsidRPr="00DB0530" w:rsidP="004C6034" w14:paraId="6F0CE241"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0" w:history="1">
        <w:r w:rsidRPr="00066589">
          <w:rPr>
            <w:rStyle w:val="Hyperlink"/>
          </w:rPr>
          <w:t>https://www.census.gov/cgi-bin/sssd/naics/naicsrch?code=517911&amp;search=2017%20NAICS%20Search</w:t>
        </w:r>
      </w:hyperlink>
      <w:r>
        <w:t xml:space="preserve">.  </w:t>
      </w:r>
    </w:p>
  </w:footnote>
  <w:footnote w:id="60">
    <w:p w:rsidR="00530550" w:rsidRPr="004F5321" w:rsidP="004C6034" w14:paraId="1FE5332E" w14:textId="7C3B4A6D">
      <w:pPr>
        <w:pStyle w:val="FootnoteText"/>
        <w:rPr>
          <w:color w:val="000000"/>
        </w:rPr>
      </w:pPr>
      <w:r w:rsidRPr="00DB0530">
        <w:rPr>
          <w:rStyle w:val="FootnoteReference"/>
        </w:rPr>
        <w:footnoteRef/>
      </w:r>
      <w:r w:rsidRPr="00DB0530">
        <w:t xml:space="preserve"> </w:t>
      </w:r>
      <w:r w:rsidRPr="00DB0530">
        <w:rPr>
          <w:color w:val="000000"/>
        </w:rPr>
        <w:t>13 CFR § 121.201, NAICS code 517911.</w:t>
      </w:r>
    </w:p>
  </w:footnote>
  <w:footnote w:id="61">
    <w:p w:rsidR="00530550" w:rsidRPr="00DB0530" w:rsidP="004C6034" w14:paraId="36E93D3C"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62">
    <w:p w:rsidR="00530550" w:rsidP="004C6034" w14:paraId="2CDEF240"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11" w:history="1">
        <w:r w:rsidRPr="003B31E9">
          <w:rPr>
            <w:rStyle w:val="Hyperlink"/>
          </w:rPr>
          <w:t>https://factfinder.census.gov/bkmk/table/1.0/en/ECN/2012_US/51SSSZ5//naics~517911</w:t>
        </w:r>
      </w:hyperlink>
      <w:r>
        <w:t>.</w:t>
      </w:r>
    </w:p>
  </w:footnote>
  <w:footnote w:id="63">
    <w:p w:rsidR="00530550" w:rsidRPr="00DB0530" w:rsidP="004C6034" w14:paraId="000057B9" w14:textId="77777777">
      <w:pPr>
        <w:pStyle w:val="FootnoteText"/>
      </w:pPr>
      <w:r w:rsidRPr="00DB0530">
        <w:rPr>
          <w:rStyle w:val="FootnoteReference"/>
        </w:rPr>
        <w:footnoteRef/>
      </w:r>
      <w:r>
        <w:t xml:space="preserve"> </w:t>
      </w:r>
      <w:r>
        <w:rPr>
          <w:i/>
        </w:rPr>
        <w:t xml:space="preserve">Id.  </w:t>
      </w:r>
    </w:p>
  </w:footnote>
  <w:footnote w:id="64">
    <w:p w:rsidR="00530550" w:rsidRPr="00DB0530" w:rsidP="004C6034" w14:paraId="2831F8D9"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65">
    <w:p w:rsidR="00530550" w:rsidRPr="00DB0530" w:rsidP="004C6034" w14:paraId="20246FDB"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66">
    <w:p w:rsidR="00530550" w:rsidRPr="00DB0530" w:rsidP="004C6034" w14:paraId="30E3EFB7"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0" w:history="1">
        <w:r w:rsidRPr="00066589">
          <w:rPr>
            <w:rStyle w:val="Hyperlink"/>
          </w:rPr>
          <w:t>https://www.census.gov/cgi-bin/sssd/naics/naicsrch?code=517911&amp;search=2017%20NAICS%20Search</w:t>
        </w:r>
      </w:hyperlink>
      <w:r>
        <w:t xml:space="preserve">.  </w:t>
      </w:r>
    </w:p>
  </w:footnote>
  <w:footnote w:id="67">
    <w:p w:rsidR="00530550" w:rsidRPr="00DB0530" w:rsidP="004C6034" w14:paraId="336FFA13" w14:textId="77777777">
      <w:pPr>
        <w:pStyle w:val="FootnoteText"/>
      </w:pPr>
      <w:r w:rsidRPr="00DB0530">
        <w:rPr>
          <w:rStyle w:val="FootnoteReference"/>
        </w:rPr>
        <w:footnoteRef/>
      </w:r>
      <w:r w:rsidRPr="00DB0530">
        <w:t xml:space="preserve"> </w:t>
      </w:r>
      <w:r w:rsidRPr="00DB0530">
        <w:rPr>
          <w:color w:val="000000"/>
        </w:rPr>
        <w:t>13 CFR § 121.201, NAICS code 517911.</w:t>
      </w:r>
    </w:p>
  </w:footnote>
  <w:footnote w:id="68">
    <w:p w:rsidR="00530550" w:rsidRPr="00DB0530" w:rsidP="004C6034" w14:paraId="69D98663"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69">
    <w:p w:rsidR="00530550" w:rsidP="004C6034" w14:paraId="59057BD9"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11" w:history="1">
        <w:r w:rsidRPr="003B31E9">
          <w:rPr>
            <w:rStyle w:val="Hyperlink"/>
          </w:rPr>
          <w:t>https://factfinder.census.gov/bkmk/table/1.0/en/ECN/2012_US/51SSSZ5//naics~517911</w:t>
        </w:r>
      </w:hyperlink>
      <w:r>
        <w:t>.</w:t>
      </w:r>
    </w:p>
  </w:footnote>
  <w:footnote w:id="70">
    <w:p w:rsidR="00530550" w:rsidRPr="00DB0530" w:rsidP="004C6034" w14:paraId="426D25A6" w14:textId="77777777">
      <w:pPr>
        <w:pStyle w:val="FootnoteText"/>
      </w:pPr>
      <w:r w:rsidRPr="00DB0530">
        <w:rPr>
          <w:rStyle w:val="FootnoteReference"/>
        </w:rPr>
        <w:footnoteRef/>
      </w:r>
      <w:r>
        <w:t xml:space="preserve"> </w:t>
      </w:r>
      <w:r>
        <w:rPr>
          <w:i/>
        </w:rPr>
        <w:t xml:space="preserve">Id.  </w:t>
      </w:r>
    </w:p>
  </w:footnote>
  <w:footnote w:id="71">
    <w:p w:rsidR="00530550" w:rsidRPr="00DB0530" w:rsidP="004C6034" w14:paraId="704A27C5"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72">
    <w:p w:rsidR="00530550" w:rsidRPr="00DB0530" w:rsidP="004C6034" w14:paraId="67E4A1EE"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73">
    <w:p w:rsidR="00530550" w:rsidRPr="00DB0530" w:rsidP="004C6034" w14:paraId="492520EB"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0" w:history="1">
        <w:r w:rsidRPr="00066589">
          <w:rPr>
            <w:rStyle w:val="Hyperlink"/>
          </w:rPr>
          <w:t>https://www.census.gov/cgi-bin/sssd/naics/naicsrch?code=517911&amp;search=2017%20NAICS%20Search</w:t>
        </w:r>
      </w:hyperlink>
      <w:r>
        <w:t xml:space="preserve">.  </w:t>
      </w:r>
    </w:p>
  </w:footnote>
  <w:footnote w:id="74">
    <w:p w:rsidR="00530550" w:rsidRPr="00DB0530" w:rsidP="004C6034" w14:paraId="306CC212" w14:textId="77777777">
      <w:pPr>
        <w:pStyle w:val="FootnoteText"/>
      </w:pPr>
      <w:r w:rsidRPr="00DB0530">
        <w:rPr>
          <w:rStyle w:val="FootnoteReference"/>
        </w:rPr>
        <w:footnoteRef/>
      </w:r>
      <w:r w:rsidRPr="00DB0530">
        <w:t xml:space="preserve"> </w:t>
      </w:r>
      <w:r w:rsidRPr="00DB0530">
        <w:rPr>
          <w:color w:val="000000"/>
        </w:rPr>
        <w:t>13 CFR § 121.201, NAICS code 517911.</w:t>
      </w:r>
    </w:p>
  </w:footnote>
  <w:footnote w:id="75">
    <w:p w:rsidR="00530550" w:rsidRPr="00DB0530" w:rsidP="004C6034" w14:paraId="575DF931"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76">
    <w:p w:rsidR="00530550" w:rsidP="004C6034" w14:paraId="4B2D9FAC"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11" w:history="1">
        <w:r w:rsidRPr="003B31E9">
          <w:rPr>
            <w:rStyle w:val="Hyperlink"/>
          </w:rPr>
          <w:t>https://factfinder.census.gov/bkmk/table/1.0/en/ECN/2012_US/51SSSZ5//naics~517911</w:t>
        </w:r>
      </w:hyperlink>
      <w:r>
        <w:t>.</w:t>
      </w:r>
    </w:p>
  </w:footnote>
  <w:footnote w:id="77">
    <w:p w:rsidR="00530550" w:rsidRPr="00327CD3" w:rsidP="004C6034" w14:paraId="30535F47" w14:textId="77777777">
      <w:pPr>
        <w:pStyle w:val="FootnoteText"/>
      </w:pPr>
      <w:r w:rsidRPr="00DB0530">
        <w:rPr>
          <w:rStyle w:val="FootnoteReference"/>
        </w:rPr>
        <w:footnoteRef/>
      </w:r>
      <w:r>
        <w:t xml:space="preserve"> </w:t>
      </w:r>
      <w:r>
        <w:rPr>
          <w:i/>
        </w:rPr>
        <w:t>Id.</w:t>
      </w:r>
      <w:bookmarkStart w:id="305" w:name="_Hlk22861329"/>
      <w:r w:rsidRPr="00327CD3">
        <w:rPr>
          <w:i/>
        </w:rPr>
        <w:t xml:space="preserve"> </w:t>
      </w:r>
      <w:bookmarkEnd w:id="305"/>
    </w:p>
    <w:p w:rsidR="00530550" w:rsidRPr="00DB0530" w:rsidP="004C6034" w14:paraId="097AFFD0" w14:textId="77777777">
      <w:pPr>
        <w:pStyle w:val="FootnoteText"/>
      </w:pPr>
      <w:r>
        <w:rPr>
          <w:i/>
        </w:rPr>
        <w:t xml:space="preserve">  </w:t>
      </w:r>
    </w:p>
  </w:footnote>
  <w:footnote w:id="78">
    <w:p w:rsidR="00530550" w:rsidRPr="00DB0530" w:rsidP="004C6034" w14:paraId="4EB479F2"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79">
    <w:p w:rsidR="00530550" w:rsidRPr="00DB0530" w:rsidP="004C6034" w14:paraId="7CB71945"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80">
    <w:p w:rsidR="00530550" w:rsidRPr="00DB0530" w:rsidP="004C6034" w14:paraId="17515C89"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0" w:history="1">
        <w:r w:rsidRPr="00066589">
          <w:rPr>
            <w:rStyle w:val="Hyperlink"/>
          </w:rPr>
          <w:t>https://www.census.gov/cgi-bin/sssd/naics/naicsrch?code=517911&amp;search=2017%20NAICS%20Search</w:t>
        </w:r>
      </w:hyperlink>
      <w:r>
        <w:t xml:space="preserve">.  </w:t>
      </w:r>
    </w:p>
  </w:footnote>
  <w:footnote w:id="81">
    <w:p w:rsidR="00530550" w:rsidRPr="00DB0530" w:rsidP="004C6034" w14:paraId="2757BFF9" w14:textId="77777777">
      <w:pPr>
        <w:pStyle w:val="FootnoteText"/>
      </w:pPr>
      <w:r w:rsidRPr="00DB0530">
        <w:rPr>
          <w:rStyle w:val="FootnoteReference"/>
        </w:rPr>
        <w:footnoteRef/>
      </w:r>
      <w:r w:rsidRPr="00DB0530">
        <w:t xml:space="preserve"> </w:t>
      </w:r>
      <w:r w:rsidRPr="00DB0530">
        <w:rPr>
          <w:color w:val="000000"/>
        </w:rPr>
        <w:t>13 CFR § 121.201, NAICS code 517911.</w:t>
      </w:r>
    </w:p>
  </w:footnote>
  <w:footnote w:id="82">
    <w:p w:rsidR="00530550" w:rsidRPr="00DB0530" w:rsidP="004C6034" w14:paraId="6C6C82E1"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83">
    <w:p w:rsidR="00530550" w:rsidP="004C6034" w14:paraId="19E5E043"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11" w:history="1">
        <w:r w:rsidRPr="003B31E9">
          <w:rPr>
            <w:rStyle w:val="Hyperlink"/>
          </w:rPr>
          <w:t>https://factfinder.census.gov/bkmk/table/1.0/en/ECN/2012_US/51SSSZ5//naics~517911</w:t>
        </w:r>
      </w:hyperlink>
      <w:r>
        <w:t>.</w:t>
      </w:r>
    </w:p>
  </w:footnote>
  <w:footnote w:id="84">
    <w:p w:rsidR="00530550" w:rsidRPr="00DB0530" w:rsidP="004C6034" w14:paraId="22D91AD2" w14:textId="77777777">
      <w:pPr>
        <w:pStyle w:val="FootnoteText"/>
      </w:pPr>
      <w:r w:rsidRPr="00DB0530">
        <w:rPr>
          <w:rStyle w:val="FootnoteReference"/>
        </w:rPr>
        <w:footnoteRef/>
      </w:r>
      <w:r>
        <w:t xml:space="preserve"> </w:t>
      </w:r>
      <w:r>
        <w:rPr>
          <w:i/>
        </w:rPr>
        <w:t xml:space="preserve">Id.  </w:t>
      </w:r>
    </w:p>
  </w:footnote>
  <w:footnote w:id="85">
    <w:p w:rsidR="00530550" w:rsidRPr="00DB0530" w:rsidP="004C6034" w14:paraId="7DE6B1C4"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86">
    <w:p w:rsidR="00530550" w:rsidRPr="00DB0530" w:rsidP="004C6034" w14:paraId="163EB759"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87">
    <w:p w:rsidR="00530550" w:rsidRPr="00C43F7F" w:rsidP="004C6034" w14:paraId="7F0C90A5" w14:textId="77777777">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hyperlink r:id="rId12" w:history="1">
        <w:r w:rsidRPr="007F5266">
          <w:rPr>
            <w:rStyle w:val="Hyperlink"/>
          </w:rPr>
          <w:t>https://www.census.gov/cgi-bin/sssd/naics/naicsrch?input=517410&amp;search=2017+NAICS+Search&amp;search=2017</w:t>
        </w:r>
      </w:hyperlink>
      <w:r>
        <w:t xml:space="preserve">.   </w:t>
      </w:r>
      <w:r w:rsidRPr="001B5DD6">
        <w:t xml:space="preserve"> </w:t>
      </w:r>
    </w:p>
  </w:footnote>
  <w:footnote w:id="88">
    <w:p w:rsidR="00530550" w:rsidRPr="001B5DD6" w:rsidP="004C6034" w14:paraId="2015F671" w14:textId="77777777">
      <w:pPr>
        <w:pStyle w:val="FootnoteText"/>
      </w:pPr>
      <w:r w:rsidRPr="001B5DD6">
        <w:rPr>
          <w:rStyle w:val="FootnoteReference"/>
        </w:rPr>
        <w:footnoteRef/>
      </w:r>
      <w:r w:rsidRPr="001B5DD6">
        <w:t xml:space="preserve"> 13 CFR § 121.201, NAICS code 517410.</w:t>
      </w:r>
    </w:p>
  </w:footnote>
  <w:footnote w:id="89">
    <w:p w:rsidR="00530550" w:rsidRPr="00C43F7F" w:rsidP="004C6034" w14:paraId="059C0121"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13" w:history="1">
        <w:r w:rsidRPr="00C57312">
          <w:rPr>
            <w:rStyle w:val="Hyperlink"/>
          </w:rPr>
          <w:t>https://factfinder.census.gov/bkmk/table/1.0/en/ECN/2012_US/51SSSZ4//naics~517410</w:t>
        </w:r>
      </w:hyperlink>
      <w:r w:rsidRPr="004C421B">
        <w:t>.</w:t>
      </w:r>
      <w:r>
        <w:t xml:space="preserve">   </w:t>
      </w:r>
      <w:r w:rsidRPr="004C421B">
        <w:t xml:space="preserve"> </w:t>
      </w:r>
    </w:p>
  </w:footnote>
  <w:footnote w:id="90">
    <w:p w:rsidR="00530550" w:rsidRPr="00C43F7F" w:rsidP="004C6034" w14:paraId="4CE40BAE" w14:textId="77777777">
      <w:pPr>
        <w:pStyle w:val="FootnoteText"/>
      </w:pPr>
      <w:r w:rsidRPr="001B5DD6">
        <w:rPr>
          <w:rStyle w:val="FootnoteReference"/>
        </w:rPr>
        <w:footnoteRef/>
      </w:r>
      <w:r w:rsidRPr="00C43F7F">
        <w:t xml:space="preserve"> </w:t>
      </w:r>
      <w:r w:rsidRPr="00C43F7F">
        <w:rPr>
          <w:i/>
        </w:rPr>
        <w:t>Id</w:t>
      </w:r>
      <w:r w:rsidRPr="00384B16">
        <w:t>.</w:t>
      </w:r>
      <w:r>
        <w:t xml:space="preserve">  </w:t>
      </w:r>
    </w:p>
  </w:footnote>
  <w:footnote w:id="91">
    <w:p w:rsidR="00530550" w:rsidP="004C6034" w14:paraId="63A0F0FE"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14" w:history="1">
        <w:r w:rsidRPr="007F5266">
          <w:rPr>
            <w:rStyle w:val="Hyperlink"/>
          </w:rPr>
          <w:t>https://www.census.gov/cgi-bin/sssd/naics/naicsrch?input=517919&amp;search=2017+NAICS+Search&amp;search=2017</w:t>
        </w:r>
      </w:hyperlink>
      <w:r>
        <w:rPr>
          <w:rStyle w:val="Hyperlink"/>
        </w:rPr>
        <w:t>.</w:t>
      </w:r>
    </w:p>
  </w:footnote>
  <w:footnote w:id="92">
    <w:p w:rsidR="00530550" w:rsidRPr="000E22EF" w:rsidP="004C6034" w14:paraId="304A37DC" w14:textId="77777777">
      <w:pPr>
        <w:pStyle w:val="FootnoteText"/>
        <w:rPr>
          <w:i/>
        </w:rPr>
      </w:pPr>
      <w:r>
        <w:rPr>
          <w:rStyle w:val="FootnoteReference"/>
        </w:rPr>
        <w:footnoteRef/>
      </w:r>
      <w:r>
        <w:t xml:space="preserve"> </w:t>
      </w:r>
      <w:r>
        <w:rPr>
          <w:i/>
        </w:rPr>
        <w:t>Id.</w:t>
      </w:r>
    </w:p>
  </w:footnote>
  <w:footnote w:id="93">
    <w:p w:rsidR="00530550" w:rsidRPr="003B1F31" w:rsidP="004C6034" w14:paraId="2A4DC8DE" w14:textId="77777777">
      <w:pPr>
        <w:pStyle w:val="FootnoteText"/>
      </w:pPr>
      <w:r w:rsidRPr="003B1F31">
        <w:rPr>
          <w:rStyle w:val="FootnoteReference"/>
        </w:rPr>
        <w:footnoteRef/>
      </w:r>
      <w:r>
        <w:rPr>
          <w:i/>
        </w:rPr>
        <w:t>Id</w:t>
      </w:r>
      <w:r w:rsidRPr="003B1F31">
        <w:t>.</w:t>
      </w:r>
    </w:p>
  </w:footnote>
  <w:footnote w:id="94">
    <w:p w:rsidR="00530550" w:rsidRPr="003B1F31" w:rsidP="004C6034" w14:paraId="051FAD3E"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95">
    <w:p w:rsidR="00530550" w:rsidP="004C6034" w14:paraId="2B45C6AB"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15" w:history="1">
        <w:r w:rsidRPr="00C57312">
          <w:rPr>
            <w:rStyle w:val="Hyperlink"/>
          </w:rPr>
          <w:t>https://factfinder.census.gov/bkmk/table/1.0/en/ECN/2012_US/51SSSZ4//naics~517919</w:t>
        </w:r>
      </w:hyperlink>
      <w:r>
        <w:rPr>
          <w:rStyle w:val="Hyperlink"/>
        </w:rPr>
        <w:t>.</w:t>
      </w:r>
    </w:p>
  </w:footnote>
  <w:footnote w:id="96">
    <w:p w:rsidR="00530550" w:rsidRPr="003B1F31" w:rsidP="004C6034" w14:paraId="2EE348DE" w14:textId="77777777">
      <w:pPr>
        <w:pStyle w:val="FootnoteText"/>
      </w:pPr>
      <w:r w:rsidRPr="003B1F31">
        <w:rPr>
          <w:rStyle w:val="FootnoteReference"/>
        </w:rPr>
        <w:footnoteRef/>
      </w:r>
      <w:r w:rsidRPr="003B1F31">
        <w:t xml:space="preserve"> </w:t>
      </w:r>
      <w:r>
        <w:rPr>
          <w:i/>
        </w:rPr>
        <w:t>Id.</w:t>
      </w:r>
    </w:p>
  </w:footnote>
  <w:footnote w:id="97">
    <w:p w:rsidR="00530550" w:rsidRPr="0068065B" w:rsidP="004C6034" w14:paraId="606F2FB5" w14:textId="77777777">
      <w:pPr>
        <w:pStyle w:val="FootnoteText"/>
      </w:pPr>
      <w:r w:rsidRPr="0068065B">
        <w:rPr>
          <w:rStyle w:val="FootnoteReference"/>
        </w:rPr>
        <w:footnoteRef/>
      </w:r>
      <w:r>
        <w:t xml:space="preserve"> U.S. Census Bureau, 2012 NAICS Definitions, “</w:t>
      </w:r>
      <w:r>
        <w:rPr>
          <w:bCs/>
        </w:rPr>
        <w:t>517210 Wireless Telecommunications Carriers (Except Satellite).”</w:t>
      </w:r>
      <w:r>
        <w:t xml:space="preserve"> </w:t>
      </w:r>
      <w:r w:rsidRPr="0068065B">
        <w:t xml:space="preserve"> </w:t>
      </w:r>
      <w:r w:rsidRPr="0068065B">
        <w:rPr>
          <w:i/>
        </w:rPr>
        <w:t xml:space="preserve">See </w:t>
      </w:r>
      <w:hyperlink r:id="rId16" w:history="1">
        <w:r w:rsidRPr="0068065B">
          <w:rPr>
            <w:rStyle w:val="Hyperlink"/>
          </w:rPr>
          <w:t>https://factfinder.census.gov/faces/affhelp/jsf/pages/metadata.xhtml?</w:t>
        </w:r>
        <w:r w:rsidRPr="0068065B">
          <w:rPr>
            <w:rStyle w:val="Hyperlink"/>
          </w:rPr>
          <w:br/>
        </w:r>
        <w:r w:rsidRPr="0068065B">
          <w:rPr>
            <w:rStyle w:val="Hyperlink"/>
          </w:rPr>
          <w:t>lang</w:t>
        </w:r>
        <w:r w:rsidRPr="0068065B">
          <w:rPr>
            <w:rStyle w:val="Hyperlink"/>
          </w:rPr>
          <w:t>=</w:t>
        </w:r>
        <w:r w:rsidRPr="0068065B">
          <w:rPr>
            <w:rStyle w:val="Hyperlink"/>
          </w:rPr>
          <w:t>en&amp;type</w:t>
        </w:r>
        <w:r w:rsidRPr="0068065B">
          <w:rPr>
            <w:rStyle w:val="Hyperlink"/>
          </w:rPr>
          <w:t>=</w:t>
        </w:r>
        <w:r w:rsidRPr="0068065B">
          <w:rPr>
            <w:rStyle w:val="Hyperlink"/>
          </w:rPr>
          <w:t>ib&amp;id</w:t>
        </w:r>
        <w:r w:rsidRPr="0068065B">
          <w:rPr>
            <w:rStyle w:val="Hyperlink"/>
          </w:rPr>
          <w:t>=</w:t>
        </w:r>
        <w:r w:rsidRPr="0068065B">
          <w:rPr>
            <w:rStyle w:val="Hyperlink"/>
          </w:rPr>
          <w:t>ib.en</w:t>
        </w:r>
        <w:r w:rsidRPr="0068065B">
          <w:rPr>
            <w:rStyle w:val="Hyperlink"/>
          </w:rPr>
          <w:t>./ECN.NAICS2012.517210</w:t>
        </w:r>
      </w:hyperlink>
      <w:r w:rsidRPr="0068065B">
        <w:rPr>
          <w:color w:val="1F497D"/>
        </w:rPr>
        <w:t>.</w:t>
      </w:r>
    </w:p>
  </w:footnote>
  <w:footnote w:id="98">
    <w:p w:rsidR="00530550" w:rsidP="004C6034" w14:paraId="24862266" w14:textId="77777777">
      <w:pPr>
        <w:pStyle w:val="FootnoteText"/>
      </w:pPr>
      <w:r>
        <w:rPr>
          <w:rStyle w:val="FootnoteReference"/>
        </w:rPr>
        <w:footnoteRef/>
      </w:r>
      <w:r>
        <w:t xml:space="preserve"> </w:t>
      </w:r>
      <w:r w:rsidRPr="006B076E">
        <w:rPr>
          <w:lang w:val="fr-FR"/>
        </w:rPr>
        <w:t>13 CFR § 121.201, NAICS code 517210</w:t>
      </w:r>
      <w:r>
        <w:rPr>
          <w:lang w:val="fr-FR"/>
        </w:rPr>
        <w:t>.</w:t>
      </w:r>
    </w:p>
  </w:footnote>
  <w:footnote w:id="99">
    <w:p w:rsidR="00530550" w:rsidP="004C6034" w14:paraId="48E26F42"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17" w:history="1">
        <w:r w:rsidRPr="00C57312">
          <w:rPr>
            <w:rStyle w:val="Hyperlink"/>
          </w:rPr>
          <w:t>https://factfinder.census.gov/bkmk/table/1.0/en/ECN/2012_US/51SSSZ5//naics~517210</w:t>
        </w:r>
      </w:hyperlink>
      <w:r>
        <w:rPr>
          <w:rStyle w:val="Hyperlink"/>
        </w:rPr>
        <w:t>.</w:t>
      </w:r>
    </w:p>
  </w:footnote>
  <w:footnote w:id="100">
    <w:p w:rsidR="00530550" w:rsidP="004C6034" w14:paraId="31D30667" w14:textId="77777777">
      <w:pPr>
        <w:pStyle w:val="FootnoteText"/>
      </w:pPr>
      <w:r>
        <w:rPr>
          <w:rStyle w:val="FootnoteReference"/>
        </w:rPr>
        <w:footnoteRef/>
      </w:r>
      <w:r>
        <w:t xml:space="preserve"> </w:t>
      </w:r>
      <w:r w:rsidRPr="006B076E">
        <w:rPr>
          <w:i/>
        </w:rPr>
        <w:t>Id</w:t>
      </w:r>
      <w:r w:rsidRPr="006B076E">
        <w:t xml:space="preserve">.  </w:t>
      </w:r>
    </w:p>
  </w:footnote>
  <w:footnote w:id="101">
    <w:p w:rsidR="00530550" w:rsidRPr="005B69AD" w:rsidP="004C6034" w14:paraId="07A96594" w14:textId="77777777">
      <w:pPr>
        <w:pStyle w:val="FootnoteText"/>
      </w:pPr>
      <w:r w:rsidRPr="005B69AD">
        <w:rPr>
          <w:rStyle w:val="FootnoteReference"/>
        </w:rPr>
        <w:footnoteRef/>
      </w:r>
      <w:r w:rsidRPr="005B69AD">
        <w:t xml:space="preserve"> U.S. Census Bureau, 2017 NAICS Definitions, “515120 Television Broadcasting,” </w:t>
      </w:r>
      <w:hyperlink r:id="rId18" w:history="1">
        <w:r w:rsidRPr="005B69AD">
          <w:rPr>
            <w:rStyle w:val="Hyperlink"/>
          </w:rPr>
          <w:t>https://www.census.gov/cgi-bin/sssd/naics/naicsrch?input=515120&amp;search=2017+NAICS+Search&amp;search=2017</w:t>
        </w:r>
      </w:hyperlink>
      <w:r w:rsidRPr="005B69AD">
        <w:t xml:space="preserve">. </w:t>
      </w:r>
    </w:p>
  </w:footnote>
  <w:footnote w:id="102">
    <w:p w:rsidR="00530550" w:rsidRPr="005B69AD" w:rsidP="004C6034" w14:paraId="08AA8F2C" w14:textId="77777777">
      <w:pPr>
        <w:pStyle w:val="FootnoteText"/>
      </w:pPr>
      <w:r w:rsidRPr="005B69AD">
        <w:rPr>
          <w:rStyle w:val="FootnoteReference"/>
        </w:rPr>
        <w:footnoteRef/>
      </w:r>
      <w:r w:rsidRPr="005B69AD">
        <w:t xml:space="preserve"> </w:t>
      </w:r>
      <w:r w:rsidRPr="005B69AD">
        <w:rPr>
          <w:i/>
        </w:rPr>
        <w:t>Id.</w:t>
      </w:r>
    </w:p>
  </w:footnote>
  <w:footnote w:id="103">
    <w:p w:rsidR="00530550" w:rsidRPr="005B69AD" w:rsidP="004C6034" w14:paraId="12434B80" w14:textId="77777777">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104">
    <w:p w:rsidR="00530550" w:rsidP="004C6034" w14:paraId="3AB43009" w14:textId="77777777">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19" w:history="1">
        <w:r w:rsidRPr="005B69AD">
          <w:rPr>
            <w:rStyle w:val="Hyperlink"/>
          </w:rPr>
          <w:t>https://factfinder.census.gov/bkmk/table/1.0/en/ECN/2012_US/51SSSZ4//naics~515120</w:t>
        </w:r>
      </w:hyperlink>
      <w:r>
        <w:rPr>
          <w:rStyle w:val="Hyperlink"/>
        </w:rPr>
        <w:t>.</w:t>
      </w:r>
    </w:p>
  </w:footnote>
  <w:footnote w:id="105">
    <w:p w:rsidR="00530550" w:rsidRPr="005B69AD" w:rsidP="004C6034" w14:paraId="2DA3AE80" w14:textId="77777777">
      <w:pPr>
        <w:pStyle w:val="FootnoteText"/>
      </w:pPr>
      <w:r w:rsidRPr="005B69AD">
        <w:rPr>
          <w:rStyle w:val="FootnoteReference"/>
        </w:rPr>
        <w:footnoteRef/>
      </w:r>
      <w:r>
        <w:t xml:space="preserve"> </w:t>
      </w:r>
      <w:r>
        <w:rPr>
          <w:i/>
        </w:rPr>
        <w:t>Id</w:t>
      </w:r>
      <w:r w:rsidRPr="005B69AD">
        <w:t xml:space="preserve">. </w:t>
      </w:r>
    </w:p>
  </w:footnote>
  <w:footnote w:id="106">
    <w:p w:rsidR="00530550" w:rsidRPr="005B69AD" w:rsidP="004C6034" w14:paraId="7B6A272F" w14:textId="77777777">
      <w:pPr>
        <w:pStyle w:val="FootnoteText"/>
      </w:pPr>
      <w:r w:rsidRPr="005B69AD">
        <w:rPr>
          <w:rStyle w:val="FootnoteReference"/>
        </w:rPr>
        <w:footnoteRef/>
      </w:r>
      <w:r w:rsidRPr="005B69AD">
        <w:t xml:space="preserve"> </w:t>
      </w:r>
      <w:r w:rsidRPr="00D923EF">
        <w:rPr>
          <w:i/>
        </w:rPr>
        <w:t>Broadcast Station Totals</w:t>
      </w:r>
      <w:r w:rsidRPr="005B69AD">
        <w:t xml:space="preserve"> as of </w:t>
      </w:r>
      <w:r>
        <w:t xml:space="preserve">June </w:t>
      </w:r>
      <w:r w:rsidRPr="005B69AD">
        <w:t>30,</w:t>
      </w:r>
      <w:r>
        <w:t xml:space="preserve"> 2018,</w:t>
      </w:r>
      <w:r w:rsidRPr="005B69AD">
        <w:t xml:space="preserve"> Press Release (MB</w:t>
      </w:r>
      <w:r>
        <w:t>, rel. Jul. 3</w:t>
      </w:r>
      <w:r w:rsidRPr="005B69AD">
        <w:t>, 201</w:t>
      </w:r>
      <w:r>
        <w:t>8</w:t>
      </w:r>
      <w:r w:rsidRPr="005B69AD">
        <w:t>) (</w:t>
      </w:r>
      <w:r>
        <w:t xml:space="preserve">June </w:t>
      </w:r>
      <w:r w:rsidRPr="005B69AD">
        <w:t>30</w:t>
      </w:r>
      <w:r>
        <w:t>, 2018</w:t>
      </w:r>
      <w:r w:rsidRPr="005B69AD">
        <w:t xml:space="preserve"> Broadcast Station Totals</w:t>
      </w:r>
      <w:r>
        <w:t xml:space="preserve"> Press Release</w:t>
      </w:r>
      <w:r w:rsidRPr="005B69AD">
        <w:t>),</w:t>
      </w:r>
      <w:r>
        <w:t xml:space="preserve"> </w:t>
      </w:r>
      <w:hyperlink r:id="rId20" w:history="1">
        <w:r w:rsidRPr="00ED3260">
          <w:rPr>
            <w:rStyle w:val="Hyperlink"/>
          </w:rPr>
          <w:t>https://docs.fcc.gov/public/attachments/DOC-352168A1.pdf</w:t>
        </w:r>
      </w:hyperlink>
      <w:r w:rsidRPr="005B69AD">
        <w:t xml:space="preserve">.     </w:t>
      </w:r>
    </w:p>
  </w:footnote>
  <w:footnote w:id="107">
    <w:p w:rsidR="00530550" w:rsidRPr="005B69AD" w:rsidP="004C6034" w14:paraId="326E293D" w14:textId="77777777">
      <w:pPr>
        <w:pStyle w:val="FootnoteText"/>
      </w:pPr>
      <w:r w:rsidRPr="005B69AD">
        <w:rPr>
          <w:rStyle w:val="FootnoteReference"/>
        </w:rPr>
        <w:footnoteRef/>
      </w:r>
      <w:r w:rsidRPr="005B69AD">
        <w:t xml:space="preserve"> </w:t>
      </w:r>
      <w:r w:rsidRPr="005B69AD">
        <w:rPr>
          <w:i/>
        </w:rPr>
        <w:t>Id.</w:t>
      </w:r>
    </w:p>
  </w:footnote>
  <w:footnote w:id="108">
    <w:p w:rsidR="00530550" w:rsidRPr="005B69AD" w:rsidP="004C6034" w14:paraId="4730EA0B" w14:textId="77777777">
      <w:pPr>
        <w:pStyle w:val="FootnoteText"/>
      </w:pPr>
      <w:r w:rsidRPr="005B69AD">
        <w:rPr>
          <w:rStyle w:val="FootnoteReference"/>
        </w:rPr>
        <w:footnoteRef/>
      </w:r>
      <w:r w:rsidRPr="005B69AD">
        <w:t xml:space="preserve"> </w:t>
      </w:r>
      <w:r w:rsidRPr="005B69AD">
        <w:rPr>
          <w:i/>
        </w:rPr>
        <w:t>Id.</w:t>
      </w:r>
    </w:p>
  </w:footnote>
  <w:footnote w:id="109">
    <w:p w:rsidR="00530550" w:rsidRPr="005B69AD" w:rsidP="004C6034" w14:paraId="3A8F7C84"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w:t>
      </w:r>
      <w:r w:rsidRPr="005B69AD">
        <w:t>parties</w:t>
      </w:r>
      <w:r w:rsidRPr="005B69AD">
        <w:t xml:space="preserve"> controls or has the power to control both.” 13 C.F.R. § 21.103(a)(1).</w:t>
      </w:r>
    </w:p>
  </w:footnote>
  <w:footnote w:id="110">
    <w:p w:rsidR="00530550" w:rsidRPr="00AD538C" w:rsidP="004C6034" w14:paraId="2DA8A999" w14:textId="77777777">
      <w:pPr>
        <w:pStyle w:val="FootnoteText"/>
        <w:widowControl w:val="0"/>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21"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111">
    <w:p w:rsidR="00530550" w:rsidRPr="00AD538C" w:rsidP="004C6034" w14:paraId="3A7F1DA9" w14:textId="77777777">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112">
    <w:p w:rsidR="00530550" w:rsidRPr="00550DD9" w:rsidP="004C6034" w14:paraId="39A1B662" w14:textId="77777777">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113">
    <w:p w:rsidR="00530550" w:rsidRPr="00550DD9" w:rsidP="004C6034" w14:paraId="0BDEAD37" w14:textId="77777777">
      <w:pPr>
        <w:pStyle w:val="FootnoteText"/>
        <w:widowControl w:val="0"/>
      </w:pPr>
      <w:r w:rsidRPr="00550DD9">
        <w:rPr>
          <w:rStyle w:val="FootnoteReference"/>
        </w:rPr>
        <w:footnoteRef/>
      </w:r>
      <w:r w:rsidRPr="00550DD9">
        <w:t xml:space="preserve"> </w:t>
      </w:r>
      <w:r w:rsidRPr="00550DD9">
        <w:rPr>
          <w:i/>
        </w:rPr>
        <w:t>Id</w:t>
      </w:r>
      <w:r w:rsidRPr="00550DD9">
        <w:t>.</w:t>
      </w:r>
    </w:p>
  </w:footnote>
  <w:footnote w:id="114">
    <w:p w:rsidR="00530550" w:rsidRPr="001F3FDA" w:rsidP="004C6034" w14:paraId="78A7C1C3" w14:textId="77777777">
      <w:pPr>
        <w:pStyle w:val="FootnoteText"/>
        <w:widowControl w:val="0"/>
      </w:pPr>
      <w:r>
        <w:rPr>
          <w:rStyle w:val="FootnoteReference"/>
        </w:rPr>
        <w:footnoteRef/>
      </w:r>
      <w:r>
        <w:t xml:space="preserve"> </w:t>
      </w:r>
      <w:r>
        <w:rPr>
          <w:i/>
        </w:rPr>
        <w:t xml:space="preserve">Broadcast Station Totals as of September 30, 2019, </w:t>
      </w:r>
      <w:r>
        <w:t>FCC News Release (rel. Oct. 2, 2019) (</w:t>
      </w:r>
      <w:r w:rsidRPr="001F3FDA">
        <w:rPr>
          <w:i/>
        </w:rPr>
        <w:t>Broadcast Station Totals</w:t>
      </w:r>
      <w:r>
        <w:t xml:space="preserve">), </w:t>
      </w:r>
      <w:hyperlink r:id="rId22" w:history="1">
        <w:r w:rsidRPr="00A34929">
          <w:rPr>
            <w:rStyle w:val="Hyperlink"/>
          </w:rPr>
          <w:t>https://docs.fcc.gov/public/attachments/DOC-359976A1.pdf</w:t>
        </w:r>
      </w:hyperlink>
    </w:p>
  </w:footnote>
  <w:footnote w:id="115">
    <w:p w:rsidR="00530550" w:rsidP="004C6034" w14:paraId="56C14B2D" w14:textId="77777777">
      <w:pPr>
        <w:pStyle w:val="FootnoteText"/>
        <w:widowControl w:val="0"/>
      </w:pPr>
      <w:r>
        <w:rPr>
          <w:rStyle w:val="FootnoteReference"/>
        </w:rPr>
        <w:footnoteRef/>
      </w:r>
      <w:r>
        <w:t xml:space="preserve"> 5 U.S.C. § 601(4), (6).</w:t>
      </w:r>
    </w:p>
  </w:footnote>
  <w:footnote w:id="116">
    <w:p w:rsidR="00530550" w:rsidP="004C6034" w14:paraId="506DE892" w14:textId="77777777">
      <w:pPr>
        <w:pStyle w:val="FootnoteText"/>
      </w:pPr>
      <w:r>
        <w:rPr>
          <w:rStyle w:val="FootnoteReference"/>
          <w:spacing w:val="-2"/>
        </w:rPr>
        <w:footnoteRef/>
      </w:r>
      <w:r>
        <w:rPr>
          <w:spacing w:val="-2"/>
        </w:rPr>
        <w:t xml:space="preserve"> 13 C.F.R. 121.201, NAICS codes 515112 and 515120.  </w:t>
      </w:r>
    </w:p>
  </w:footnote>
  <w:footnote w:id="117">
    <w:p w:rsidR="00530550" w:rsidRPr="00550DD9" w:rsidP="004C6034" w14:paraId="2380001C" w14:textId="77777777">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23" w:history="1">
        <w:r w:rsidRPr="00DC61E2">
          <w:rPr>
            <w:rStyle w:val="Hyperlink"/>
          </w:rPr>
          <w:t>https://factfinder.census.gov/bkmk/table/1.0/en/ECN/2012_US/51SSSZ4//naics~515112</w:t>
        </w:r>
      </w:hyperlink>
      <w:r>
        <w:t xml:space="preserve">. </w:t>
      </w:r>
    </w:p>
  </w:footnote>
  <w:footnote w:id="118">
    <w:p w:rsidR="00530550" w:rsidRPr="000D4091" w:rsidP="004C6034" w14:paraId="0090E833" w14:textId="77777777">
      <w:pPr>
        <w:pStyle w:val="FootnoteText"/>
      </w:pPr>
      <w:r>
        <w:rPr>
          <w:rStyle w:val="FootnoteReference"/>
        </w:rPr>
        <w:footnoteRef/>
      </w:r>
      <w:r>
        <w:t xml:space="preserve"> </w:t>
      </w:r>
      <w:r>
        <w:rPr>
          <w:i/>
        </w:rPr>
        <w:t>Id.</w:t>
      </w:r>
    </w:p>
  </w:footnote>
  <w:footnote w:id="119">
    <w:p w:rsidR="00530550" w:rsidRPr="005B69AD" w:rsidP="004C6034" w14:paraId="52289E94" w14:textId="77777777">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120">
    <w:p w:rsidR="00530550" w:rsidP="004C6034" w14:paraId="7B587A7D" w14:textId="77777777">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19" w:history="1">
        <w:r w:rsidRPr="005B69AD">
          <w:rPr>
            <w:rStyle w:val="Hyperlink"/>
          </w:rPr>
          <w:t>https://factfinder.census.gov/bkmk/table/1.0/en/ECN/2012_US/51SSSZ4//naics~515120</w:t>
        </w:r>
      </w:hyperlink>
      <w:r>
        <w:rPr>
          <w:rStyle w:val="Hyperlink"/>
        </w:rPr>
        <w:t>.</w:t>
      </w:r>
    </w:p>
  </w:footnote>
  <w:footnote w:id="121">
    <w:p w:rsidR="00530550" w:rsidRPr="005B69AD" w:rsidP="004C6034" w14:paraId="0C601A34" w14:textId="77777777">
      <w:pPr>
        <w:pStyle w:val="FootnoteText"/>
      </w:pPr>
      <w:r w:rsidRPr="005B69AD">
        <w:rPr>
          <w:rStyle w:val="FootnoteReference"/>
        </w:rPr>
        <w:footnoteRef/>
      </w:r>
      <w:r>
        <w:t xml:space="preserve"> </w:t>
      </w:r>
      <w:r>
        <w:rPr>
          <w:i/>
        </w:rPr>
        <w:t>Id</w:t>
      </w:r>
      <w:r w:rsidRPr="005B69AD">
        <w:t xml:space="preserve">. </w:t>
      </w:r>
    </w:p>
  </w:footnote>
  <w:footnote w:id="122">
    <w:p w:rsidR="00530550" w:rsidRPr="00AE638C" w:rsidP="00C86F56" w14:paraId="0C8497B6" w14:textId="77777777">
      <w:pPr>
        <w:pStyle w:val="FootnoteText"/>
        <w:rPr>
          <w:color w:val="000000"/>
        </w:rPr>
      </w:pPr>
      <w:r w:rsidRPr="00AE638C">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 xml:space="preserve">Sixth Report and Order and Eleventh Order on Reconsideration, 10 FCC </w:t>
      </w:r>
      <w:r w:rsidRPr="00AE638C">
        <w:rPr>
          <w:color w:val="000000"/>
        </w:rPr>
        <w:t>Rcd</w:t>
      </w:r>
      <w:r w:rsidRPr="00AE638C">
        <w:rPr>
          <w:color w:val="000000"/>
        </w:rPr>
        <w:t xml:space="preserve"> 7393, 7408 (1995).</w:t>
      </w:r>
    </w:p>
  </w:footnote>
  <w:footnote w:id="123">
    <w:p w:rsidR="00530550" w:rsidRPr="00F470CB" w:rsidP="00C86F56" w14:paraId="55BCD81D" w14:textId="543F2899">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xml:space="preserve">, www.fcc.gov/coals (last visited </w:t>
      </w:r>
      <w:r>
        <w:t>Apr</w:t>
      </w:r>
      <w:r w:rsidRPr="00F470CB">
        <w:t xml:space="preserve">. </w:t>
      </w:r>
      <w:r>
        <w:t>12</w:t>
      </w:r>
      <w:r w:rsidRPr="00F470CB">
        <w:t>, 20</w:t>
      </w:r>
      <w:r>
        <w:t>21</w:t>
      </w:r>
      <w:r w:rsidRPr="00F470CB">
        <w:t>).</w:t>
      </w:r>
    </w:p>
  </w:footnote>
  <w:footnote w:id="124">
    <w:p w:rsidR="00530550" w:rsidRPr="00F470CB" w:rsidP="00C86F56" w14:paraId="48BBB6D0" w14:textId="77777777">
      <w:pPr>
        <w:pStyle w:val="FootnoteText"/>
      </w:pPr>
      <w:r w:rsidRPr="00F470CB">
        <w:rPr>
          <w:rStyle w:val="FootnoteReference"/>
        </w:rPr>
        <w:footnoteRef/>
      </w:r>
      <w:r w:rsidRPr="00F470CB">
        <w:t xml:space="preserve"> </w:t>
      </w:r>
      <w:r>
        <w:t xml:space="preserve">S&amp;P Global Market Intelligence, </w:t>
      </w:r>
      <w:r w:rsidRPr="0067729E">
        <w:rPr>
          <w:i/>
        </w:rPr>
        <w:t>Top Cable MSOs as of 12/201</w:t>
      </w:r>
      <w:r>
        <w:rPr>
          <w:i/>
        </w:rPr>
        <w:t xml:space="preserve">9, </w:t>
      </w:r>
      <w:hyperlink r:id="rId24" w:history="1">
        <w:r w:rsidRPr="00084D7C">
          <w:rPr>
            <w:rStyle w:val="Hyperlink"/>
            <w:i/>
          </w:rPr>
          <w:t>https://platform.marketintelligence.spglobal.com/</w:t>
        </w:r>
      </w:hyperlink>
      <w:r>
        <w:rPr>
          <w:i/>
        </w:rPr>
        <w:t xml:space="preserve"> </w:t>
      </w:r>
      <w:r w:rsidRPr="00B27FDE">
        <w:rPr>
          <w:i/>
        </w:rPr>
        <w:t>(Dec 201</w:t>
      </w:r>
      <w:r>
        <w:rPr>
          <w:i/>
        </w:rPr>
        <w:t>9)</w:t>
      </w:r>
      <w:r w:rsidRPr="00F470CB">
        <w:t>.</w:t>
      </w:r>
      <w: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400,000 </w:t>
      </w:r>
      <w:r w:rsidRPr="00701D5D">
        <w:rPr>
          <w:rStyle w:val="Hyperlink"/>
        </w:rPr>
        <w:t xml:space="preserve">basic cable subscribers. </w:t>
      </w:r>
    </w:p>
  </w:footnote>
  <w:footnote w:id="125">
    <w:p w:rsidR="00530550" w:rsidRPr="00AE638C" w:rsidP="00C86F56" w14:paraId="64612114" w14:textId="77777777">
      <w:pPr>
        <w:pStyle w:val="FootnoteText"/>
        <w:rPr>
          <w:color w:val="000000"/>
        </w:rPr>
      </w:pPr>
      <w:r w:rsidRPr="00AE638C">
        <w:rPr>
          <w:rStyle w:val="FootnoteReference"/>
          <w:color w:val="000000"/>
        </w:rPr>
        <w:footnoteRef/>
      </w:r>
      <w:r w:rsidRPr="00AE638C">
        <w:rPr>
          <w:color w:val="000000"/>
        </w:rPr>
        <w:t xml:space="preserve"> 47 CFR § 76.901(c).  </w:t>
      </w:r>
    </w:p>
  </w:footnote>
  <w:footnote w:id="126">
    <w:p w:rsidR="00530550" w:rsidRPr="00F470CB" w:rsidP="00C86F56" w14:paraId="7D3EDC18" w14:textId="77777777">
      <w:pPr>
        <w:pStyle w:val="FootnoteText"/>
      </w:pPr>
      <w:r w:rsidRPr="00F470CB">
        <w:rPr>
          <w:rStyle w:val="FootnoteReference"/>
        </w:rPr>
        <w:footnoteRef/>
      </w:r>
      <w:r w:rsidRPr="00F470CB">
        <w:t xml:space="preserve"> </w:t>
      </w:r>
      <w:r w:rsidRPr="00E63FEC">
        <w:rPr>
          <w:i/>
        </w:rPr>
        <w:t xml:space="preserve">See supra </w:t>
      </w:r>
      <w:r>
        <w:rPr>
          <w:i/>
        </w:rPr>
        <w:t>n</w:t>
      </w:r>
      <w:r w:rsidRPr="00E63FEC">
        <w:rPr>
          <w:i/>
        </w:rPr>
        <w:t>ote</w:t>
      </w:r>
      <w:r>
        <w:rPr>
          <w:i/>
        </w:rPr>
        <w:t xml:space="preserve"> </w:t>
      </w:r>
      <w:r>
        <w:rPr>
          <w:i/>
        </w:rPr>
        <w:fldChar w:fldCharType="begin"/>
      </w:r>
      <w:r>
        <w:rPr>
          <w:i/>
        </w:rPr>
        <w:instrText xml:space="preserve"> NOTEREF _Ref24452875 \h </w:instrText>
      </w:r>
      <w:r>
        <w:rPr>
          <w:i/>
        </w:rPr>
        <w:fldChar w:fldCharType="separate"/>
      </w:r>
      <w:r>
        <w:rPr>
          <w:i/>
        </w:rPr>
        <w:t>2</w:t>
      </w:r>
      <w:r>
        <w:rPr>
          <w:i/>
        </w:rPr>
        <w:fldChar w:fldCharType="end"/>
      </w:r>
      <w:r w:rsidRPr="00E63FEC">
        <w:rPr>
          <w:i/>
        </w:rPr>
        <w:t>.</w:t>
      </w:r>
    </w:p>
  </w:footnote>
  <w:footnote w:id="127">
    <w:p w:rsidR="00530550" w:rsidRPr="00F470CB" w:rsidP="00C86F56" w14:paraId="6F8E9122" w14:textId="77777777">
      <w:pPr>
        <w:pStyle w:val="FootnoteText"/>
      </w:pPr>
      <w:r w:rsidRPr="00F470CB">
        <w:rPr>
          <w:rStyle w:val="FootnoteReference"/>
        </w:rPr>
        <w:footnoteRef/>
      </w:r>
      <w:r>
        <w:t xml:space="preserve"> </w:t>
      </w:r>
      <w:r>
        <w:rPr>
          <w:i/>
          <w:iCs/>
        </w:rPr>
        <w:t>Id</w:t>
      </w:r>
      <w:r w:rsidRPr="00F470CB">
        <w:t>.</w:t>
      </w:r>
    </w:p>
  </w:footnote>
  <w:footnote w:id="128">
    <w:p w:rsidR="00530550" w:rsidP="004C6034" w14:paraId="32E5D964" w14:textId="77777777">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bookmarkStart w:id="307" w:name="_Hlk3285965"/>
      <w:r w:rsidRPr="0064095E">
        <w:rPr>
          <w:i/>
        </w:rPr>
        <w:t>See</w:t>
      </w:r>
      <w:r>
        <w:t xml:space="preserve">, </w:t>
      </w:r>
      <w:hyperlink r:id="rId8" w:history="1">
        <w:r w:rsidRPr="004C4449">
          <w:rPr>
            <w:rStyle w:val="Hyperlink"/>
          </w:rPr>
          <w:t>https://www.census.gov/cgi-bin/sssd/naics/naicsrch?code=517311&amp;search=2017</w:t>
        </w:r>
      </w:hyperlink>
      <w:r>
        <w:t xml:space="preserve"> </w:t>
      </w:r>
    </w:p>
    <w:bookmarkEnd w:id="307"/>
  </w:footnote>
  <w:footnote w:id="129">
    <w:p w:rsidR="00530550" w:rsidRPr="006A3347" w:rsidP="004C6034" w14:paraId="36D1B103" w14:textId="77777777">
      <w:pPr>
        <w:pStyle w:val="FootnoteText"/>
      </w:pPr>
      <w:r>
        <w:rPr>
          <w:rStyle w:val="FootnoteReference"/>
        </w:rPr>
        <w:footnoteRef/>
      </w:r>
      <w:r>
        <w:t xml:space="preserve"> </w:t>
      </w:r>
      <w:r>
        <w:rPr>
          <w:i/>
        </w:rPr>
        <w:t>Id.</w:t>
      </w:r>
    </w:p>
  </w:footnote>
  <w:footnote w:id="130">
    <w:p w:rsidR="00530550" w:rsidP="004C6034" w14:paraId="25809835" w14:textId="77777777">
      <w:pPr>
        <w:pStyle w:val="FootnoteText"/>
      </w:pPr>
      <w:r>
        <w:rPr>
          <w:rStyle w:val="FootnoteReference"/>
        </w:rPr>
        <w:footnoteRef/>
      </w:r>
      <w:r>
        <w:t xml:space="preserve"> </w:t>
      </w:r>
      <w:r>
        <w:rPr>
          <w:i/>
        </w:rPr>
        <w:t>Id.</w:t>
      </w:r>
    </w:p>
  </w:footnote>
  <w:footnote w:id="131">
    <w:p w:rsidR="00530550" w:rsidP="004C6034" w14:paraId="515BF41B"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w:t>
      </w:r>
      <w:r w:rsidRPr="00E415BA">
        <w:rPr>
          <w:iCs/>
        </w:rPr>
        <w:t>2012</w:t>
      </w:r>
      <w:r w:rsidRPr="000C6D08">
        <w:t xml:space="preserve"> </w:t>
      </w:r>
      <w:r>
        <w:t>NAICS Code</w:t>
      </w:r>
      <w:r w:rsidRPr="00F55DAB">
        <w:t xml:space="preserve"> 517110 </w:t>
      </w:r>
      <w:hyperlink r:id="rId25" w:history="1">
        <w:r w:rsidRPr="00F55DAB">
          <w:rPr>
            <w:rStyle w:val="Hyperlink"/>
          </w:rPr>
          <w:t>https://factfinder.census.gov/bkmk/table/1.0/en/ECN/2012_US/51SSSZ5//naics~517110</w:t>
        </w:r>
      </w:hyperlink>
      <w:r>
        <w:rPr>
          <w:rStyle w:val="Hyperlink"/>
        </w:rPr>
        <w:t>.</w:t>
      </w:r>
    </w:p>
  </w:footnote>
  <w:footnote w:id="132">
    <w:p w:rsidR="00530550" w:rsidP="004C6034" w14:paraId="4FB09B41" w14:textId="77777777">
      <w:pPr>
        <w:pStyle w:val="FootnoteText"/>
      </w:pPr>
      <w:r>
        <w:rPr>
          <w:rStyle w:val="FootnoteReference"/>
        </w:rPr>
        <w:footnoteRef/>
      </w:r>
      <w:r>
        <w:t xml:space="preserve"> </w:t>
      </w:r>
      <w:r w:rsidRPr="00DA620A">
        <w:rPr>
          <w:i/>
        </w:rPr>
        <w:t>Id.</w:t>
      </w:r>
    </w:p>
  </w:footnote>
  <w:footnote w:id="133">
    <w:p w:rsidR="00530550" w:rsidRPr="00A55373" w:rsidP="004C6034" w14:paraId="4540F896" w14:textId="77777777">
      <w:pPr>
        <w:pStyle w:val="FootnoteText"/>
      </w:pPr>
      <w:r w:rsidRPr="00A55373">
        <w:rPr>
          <w:rStyle w:val="FootnoteReference"/>
        </w:rPr>
        <w:footnoteRef/>
      </w:r>
      <w:r w:rsidRPr="00A55373">
        <w:t xml:space="preserve"> </w:t>
      </w:r>
      <w:bookmarkStart w:id="308" w:name="_Hlk43389217"/>
      <w:r w:rsidRPr="00A55373">
        <w:rPr>
          <w:lang w:val="fr-FR"/>
        </w:rPr>
        <w:t>47 CFR § 54.500</w:t>
      </w:r>
      <w:bookmarkEnd w:id="308"/>
      <w:r w:rsidRPr="00A55373">
        <w:rPr>
          <w:lang w:val="fr-FR"/>
        </w:rPr>
        <w:t>.</w:t>
      </w:r>
    </w:p>
  </w:footnote>
  <w:footnote w:id="134">
    <w:p w:rsidR="00530550" w:rsidRPr="00A55373" w:rsidP="004C6034" w14:paraId="688D6283" w14:textId="77777777">
      <w:pPr>
        <w:pStyle w:val="FootnoteText"/>
      </w:pPr>
      <w:r w:rsidRPr="00A55373">
        <w:rPr>
          <w:rStyle w:val="FootnoteReference"/>
        </w:rPr>
        <w:footnoteRef/>
      </w:r>
      <w:r w:rsidRPr="00A55373">
        <w:t xml:space="preserve"> </w:t>
      </w:r>
      <w:r w:rsidRPr="00A55373">
        <w:rPr>
          <w:i/>
          <w:lang w:val="fr-FR"/>
        </w:rPr>
        <w:t>Id.</w:t>
      </w:r>
    </w:p>
  </w:footnote>
  <w:footnote w:id="135">
    <w:p w:rsidR="00530550" w:rsidRPr="00855B93" w:rsidP="004C6034" w14:paraId="13093B7F" w14:textId="77777777">
      <w:pPr>
        <w:pStyle w:val="FootnoteText"/>
        <w:rPr>
          <w:i/>
          <w:iCs/>
        </w:rPr>
      </w:pPr>
      <w:r>
        <w:rPr>
          <w:rStyle w:val="FootnoteReference"/>
        </w:rPr>
        <w:footnoteRef/>
      </w:r>
      <w:r>
        <w:t xml:space="preserve"> </w:t>
      </w:r>
      <w:r w:rsidRPr="00A55373">
        <w:rPr>
          <w:lang w:val="fr-FR"/>
        </w:rPr>
        <w:t>47 CFR § 54.50</w:t>
      </w:r>
      <w:r>
        <w:rPr>
          <w:lang w:val="fr-FR"/>
        </w:rPr>
        <w:t>1.</w:t>
      </w:r>
    </w:p>
  </w:footnote>
  <w:footnote w:id="136">
    <w:p w:rsidR="00530550" w:rsidRPr="00A55373" w:rsidP="004C6034" w14:paraId="7394B6B2" w14:textId="77777777">
      <w:pPr>
        <w:pStyle w:val="FootnoteText"/>
        <w:rPr>
          <w:i/>
        </w:rPr>
      </w:pPr>
      <w:r w:rsidRPr="00A55373">
        <w:rPr>
          <w:rStyle w:val="FootnoteReference"/>
        </w:rPr>
        <w:footnoteRef/>
      </w:r>
      <w:r w:rsidRPr="00A55373">
        <w:t xml:space="preserve"> </w:t>
      </w:r>
      <w:r w:rsidRPr="00A55373">
        <w:rPr>
          <w:i/>
        </w:rPr>
        <w:t xml:space="preserve">See </w:t>
      </w:r>
      <w:r w:rsidRPr="00A55373">
        <w:rPr>
          <w:color w:val="000000"/>
        </w:rPr>
        <w:t xml:space="preserve">13 CFR § 121.201. </w:t>
      </w:r>
      <w:r>
        <w:rPr>
          <w:color w:val="000000"/>
        </w:rPr>
        <w:t xml:space="preserve"> </w:t>
      </w:r>
      <w:r w:rsidRPr="00A55373">
        <w:t>As of 2017 the U.S. Census Bureau definition shows the NAIC</w:t>
      </w:r>
      <w:r>
        <w:t>S</w:t>
      </w:r>
      <w:r w:rsidRPr="00A55373">
        <w:t xml:space="preserve"> code as </w:t>
      </w:r>
      <w:r w:rsidRPr="00294FB9">
        <w:t xml:space="preserve">611110 </w:t>
      </w:r>
      <w:r>
        <w:t xml:space="preserve">for </w:t>
      </w:r>
      <w:r w:rsidRPr="00294FB9">
        <w:t>Elementary and Secondary Schools</w:t>
      </w:r>
      <w:r>
        <w:t xml:space="preserve">.  </w:t>
      </w:r>
      <w:r w:rsidRPr="00A55373">
        <w:t xml:space="preserve">U.S. Census Bureau, </w:t>
      </w:r>
      <w:r w:rsidRPr="00A55373">
        <w:rPr>
          <w:i/>
        </w:rPr>
        <w:t>201</w:t>
      </w:r>
      <w:r>
        <w:rPr>
          <w:i/>
        </w:rPr>
        <w:t>7 NAICS Definition</w:t>
      </w:r>
      <w:r>
        <w:t>,</w:t>
      </w:r>
      <w:r w:rsidRPr="00A55373">
        <w:t xml:space="preserve"> </w:t>
      </w:r>
      <w:hyperlink r:id="rId26" w:history="1">
        <w:r w:rsidRPr="004C73F3">
          <w:rPr>
            <w:rStyle w:val="Hyperlink"/>
          </w:rPr>
          <w:t>https://www.census.gov/cgi-bin/sssd/naics/naicsrch?code=611110&amp;search=2017%20NAICS%20Search</w:t>
        </w:r>
      </w:hyperlink>
      <w:r>
        <w:t xml:space="preserve"> </w:t>
      </w:r>
      <w:r w:rsidRPr="006B63B6">
        <w:rPr>
          <w:rStyle w:val="Hyperlink"/>
        </w:rPr>
        <w:t>(last visited</w:t>
      </w:r>
      <w:r>
        <w:rPr>
          <w:rStyle w:val="Hyperlink"/>
        </w:rPr>
        <w:t xml:space="preserve"> Jun. 18, 2020</w:t>
      </w:r>
      <w:r w:rsidRPr="006B63B6">
        <w:rPr>
          <w:rStyle w:val="Hyperlink"/>
        </w:rPr>
        <w:t>).</w:t>
      </w:r>
    </w:p>
  </w:footnote>
  <w:footnote w:id="137">
    <w:p w:rsidR="00530550" w:rsidRPr="00A55373" w:rsidP="004C6034" w14:paraId="2B31BDC1" w14:textId="77777777">
      <w:pPr>
        <w:pStyle w:val="FootnoteText"/>
      </w:pPr>
      <w:r w:rsidRPr="00A55373">
        <w:rPr>
          <w:rStyle w:val="FootnoteReference"/>
        </w:rPr>
        <w:footnoteRef/>
      </w:r>
      <w:r w:rsidRPr="00A55373">
        <w:rPr>
          <w:snapToGrid w:val="0"/>
        </w:rPr>
        <w:t xml:space="preserve"> </w:t>
      </w:r>
      <w:r w:rsidRPr="00A55373">
        <w:rPr>
          <w:i/>
          <w:snapToGrid w:val="0"/>
        </w:rPr>
        <w:t>Id</w:t>
      </w:r>
      <w:r w:rsidRPr="00A55373">
        <w:rPr>
          <w:snapToGrid w:val="0"/>
        </w:rPr>
        <w:t>.</w:t>
      </w:r>
    </w:p>
  </w:footnote>
  <w:footnote w:id="138">
    <w:p w:rsidR="00530550" w:rsidP="004C6034" w14:paraId="2E496EF4" w14:textId="77777777">
      <w:pPr>
        <w:pStyle w:val="FootnoteText"/>
      </w:pPr>
      <w:r>
        <w:rPr>
          <w:rStyle w:val="FootnoteReference"/>
        </w:rPr>
        <w:footnoteRef/>
      </w:r>
      <w:r>
        <w:t xml:space="preserve"> </w:t>
      </w:r>
      <w:r>
        <w:rPr>
          <w:i/>
          <w:iCs/>
        </w:rPr>
        <w:t xml:space="preserve">See </w:t>
      </w:r>
      <w:r>
        <w:t xml:space="preserve">Universal Service Administrative Company, Annual Report, at 7, </w:t>
      </w:r>
      <w:hyperlink r:id="rId27" w:history="1">
        <w:r w:rsidRPr="00401502">
          <w:rPr>
            <w:rStyle w:val="Hyperlink"/>
          </w:rPr>
          <w:t>https://www.usac.org/wp-content/uploads/about/documents/annual-reports/2017/USAC-2017-Annual-Report.pdf</w:t>
        </w:r>
      </w:hyperlink>
      <w:r>
        <w:t xml:space="preserve"> (last visited Aug. 25, 2020).</w:t>
      </w:r>
    </w:p>
  </w:footnote>
  <w:footnote w:id="139">
    <w:p w:rsidR="00530550" w:rsidRPr="00A55373" w:rsidP="004C6034" w14:paraId="52325850" w14:textId="77777777">
      <w:pPr>
        <w:pStyle w:val="FootnoteText"/>
      </w:pPr>
      <w:r w:rsidRPr="00A55373">
        <w:rPr>
          <w:rStyle w:val="FootnoteReference"/>
        </w:rPr>
        <w:footnoteRef/>
      </w:r>
      <w:r w:rsidRPr="00A55373">
        <w:t xml:space="preserve"> </w:t>
      </w:r>
      <w:r w:rsidRPr="00947A6D">
        <w:rPr>
          <w:lang w:val="fr-FR"/>
        </w:rPr>
        <w:t>47 CFR § 54.50</w:t>
      </w:r>
      <w:r>
        <w:rPr>
          <w:lang w:val="fr-FR"/>
        </w:rPr>
        <w:t>0.</w:t>
      </w:r>
    </w:p>
  </w:footnote>
  <w:footnote w:id="140">
    <w:p w:rsidR="00530550" w:rsidRPr="00947A6D" w:rsidP="004C6034" w14:paraId="7072CE73" w14:textId="77777777">
      <w:pPr>
        <w:pStyle w:val="FootnoteText"/>
        <w:rPr>
          <w:i/>
          <w:iCs/>
        </w:rPr>
      </w:pPr>
      <w:r w:rsidRPr="00A55373">
        <w:rPr>
          <w:rStyle w:val="FootnoteReference"/>
        </w:rPr>
        <w:footnoteRef/>
      </w:r>
      <w:r>
        <w:rPr>
          <w:lang w:val="fr-FR"/>
        </w:rPr>
        <w:t xml:space="preserve"> </w:t>
      </w:r>
      <w:r w:rsidRPr="00947A6D">
        <w:rPr>
          <w:lang w:val="fr-FR"/>
        </w:rPr>
        <w:t>47 CFR § 54.50</w:t>
      </w:r>
      <w:r>
        <w:rPr>
          <w:lang w:val="fr-FR"/>
        </w:rPr>
        <w:t>1.</w:t>
      </w:r>
    </w:p>
  </w:footnote>
  <w:footnote w:id="141">
    <w:p w:rsidR="00530550" w:rsidRPr="00A55373" w:rsidP="004C6034" w14:paraId="7F67065D" w14:textId="77777777">
      <w:pPr>
        <w:pStyle w:val="FootnoteText"/>
        <w:rPr>
          <w:i/>
        </w:rPr>
      </w:pPr>
      <w:r w:rsidRPr="00A55373">
        <w:rPr>
          <w:rStyle w:val="FootnoteReference"/>
        </w:rPr>
        <w:footnoteRef/>
      </w:r>
      <w:r w:rsidRPr="00A55373">
        <w:t xml:space="preserve"> </w:t>
      </w:r>
      <w:r w:rsidRPr="00A55373">
        <w:rPr>
          <w:i/>
        </w:rPr>
        <w:t xml:space="preserve">See </w:t>
      </w:r>
      <w:r w:rsidRPr="00A55373">
        <w:rPr>
          <w:color w:val="000000"/>
        </w:rPr>
        <w:t xml:space="preserve">13 CFR § 121.201. </w:t>
      </w:r>
      <w:r>
        <w:rPr>
          <w:color w:val="000000"/>
        </w:rPr>
        <w:t xml:space="preserve"> </w:t>
      </w:r>
      <w:r w:rsidRPr="00A55373">
        <w:t>As of 2017 the U.S. Census Bureau definition shows the NAIC</w:t>
      </w:r>
      <w:r>
        <w:t>S</w:t>
      </w:r>
      <w:r w:rsidRPr="00A55373">
        <w:t xml:space="preserve"> code as </w:t>
      </w:r>
      <w:r>
        <w:t>519120</w:t>
      </w:r>
      <w:r w:rsidRPr="00294FB9">
        <w:t xml:space="preserve"> </w:t>
      </w:r>
      <w:r>
        <w:t xml:space="preserve">for Libraries and Archives.  </w:t>
      </w:r>
      <w:r w:rsidRPr="00A55373">
        <w:t xml:space="preserve">U.S. Census Bureau, </w:t>
      </w:r>
      <w:r w:rsidRPr="00A55373">
        <w:rPr>
          <w:i/>
        </w:rPr>
        <w:t>201</w:t>
      </w:r>
      <w:r>
        <w:rPr>
          <w:i/>
        </w:rPr>
        <w:t>7 NAICS Definition</w:t>
      </w:r>
      <w:r>
        <w:t>,</w:t>
      </w:r>
      <w:r w:rsidRPr="00A55373">
        <w:t xml:space="preserve"> </w:t>
      </w:r>
      <w:hyperlink r:id="rId28" w:history="1">
        <w:r w:rsidRPr="004C73F3">
          <w:rPr>
            <w:rStyle w:val="Hyperlink"/>
          </w:rPr>
          <w:t>https://www.census.gov/cgi-bin/sssd/naics/naicsrch?code=519120&amp;search=2017%20NAICS%20Search</w:t>
        </w:r>
      </w:hyperlink>
      <w:r>
        <w:t xml:space="preserve"> </w:t>
      </w:r>
      <w:r w:rsidRPr="006B63B6">
        <w:rPr>
          <w:rStyle w:val="Hyperlink"/>
        </w:rPr>
        <w:t>(last visited</w:t>
      </w:r>
      <w:r>
        <w:rPr>
          <w:rStyle w:val="Hyperlink"/>
        </w:rPr>
        <w:t xml:space="preserve"> Jun. 18, 2020</w:t>
      </w:r>
      <w:r w:rsidRPr="006B63B6">
        <w:rPr>
          <w:rStyle w:val="Hyperlink"/>
        </w:rPr>
        <w:t>).</w:t>
      </w:r>
    </w:p>
  </w:footnote>
  <w:footnote w:id="142">
    <w:p w:rsidR="00530550" w:rsidRPr="00A55373" w:rsidP="004C6034" w14:paraId="2E6C0FE7" w14:textId="77777777">
      <w:pPr>
        <w:pStyle w:val="FootnoteText"/>
      </w:pPr>
      <w:r w:rsidRPr="00A55373">
        <w:rPr>
          <w:rStyle w:val="FootnoteReference"/>
        </w:rPr>
        <w:footnoteRef/>
      </w:r>
      <w:r w:rsidRPr="00A55373">
        <w:rPr>
          <w:snapToGrid w:val="0"/>
        </w:rPr>
        <w:t xml:space="preserve"> </w:t>
      </w:r>
      <w:r w:rsidRPr="00A55373">
        <w:rPr>
          <w:i/>
          <w:snapToGrid w:val="0"/>
        </w:rPr>
        <w:t>Id</w:t>
      </w:r>
      <w:r w:rsidRPr="00A55373">
        <w:rPr>
          <w:snapToGrid w:val="0"/>
        </w:rPr>
        <w:t>.</w:t>
      </w:r>
    </w:p>
  </w:footnote>
  <w:footnote w:id="143">
    <w:p w:rsidR="00530550" w:rsidP="004C6034" w14:paraId="02AADCF9" w14:textId="77777777">
      <w:pPr>
        <w:pStyle w:val="FootnoteText"/>
      </w:pPr>
      <w:r>
        <w:rPr>
          <w:rStyle w:val="FootnoteReference"/>
        </w:rPr>
        <w:footnoteRef/>
      </w:r>
      <w:r>
        <w:t xml:space="preserve"> </w:t>
      </w:r>
      <w:r w:rsidRPr="00A11721">
        <w:rPr>
          <w:i/>
          <w:iCs/>
        </w:rPr>
        <w:t>See</w:t>
      </w:r>
      <w:r w:rsidRPr="007F3B5B">
        <w:t xml:space="preserve"> Universal Service Administrative Company, Annual Report, at 7, https://www.usac.org/wp-content/uploads/about/documents/annual-reports/2017/USAC-2017-Annual-Report.pdf (last visited Aug. 25, 2020).</w:t>
      </w:r>
    </w:p>
  </w:footnote>
  <w:footnote w:id="144">
    <w:p w:rsidR="00530550" w:rsidP="004C6034" w14:paraId="6FEBFDF1" w14:textId="77777777">
      <w:pPr>
        <w:pStyle w:val="FootnoteText"/>
      </w:pPr>
      <w:r>
        <w:rPr>
          <w:rStyle w:val="FootnoteReference"/>
        </w:rPr>
        <w:footnoteRef/>
      </w:r>
      <w:r>
        <w:t xml:space="preserve"> </w:t>
      </w:r>
      <w:r w:rsidRPr="009655B9">
        <w:rPr>
          <w:i/>
        </w:rPr>
        <w:t xml:space="preserve">See </w:t>
      </w:r>
      <w:r>
        <w:t xml:space="preserve">U.S. Census Bureau, </w:t>
      </w:r>
      <w:r w:rsidRPr="006E385B">
        <w:rPr>
          <w:i/>
        </w:rPr>
        <w:t>2012 NAICS Definitions</w:t>
      </w:r>
      <w:r w:rsidRPr="00231DAF">
        <w:t xml:space="preserve">, </w:t>
      </w:r>
      <w:r>
        <w:t xml:space="preserve">NAICS Code 621111 </w:t>
      </w:r>
      <w:r w:rsidRPr="00B76AAE">
        <w:t>“</w:t>
      </w:r>
      <w:r w:rsidRPr="00F05C59">
        <w:t>Offices of Physicians</w:t>
      </w:r>
      <w:r w:rsidRPr="00B76AAE">
        <w:t xml:space="preserve"> </w:t>
      </w:r>
      <w:r w:rsidRPr="00F05C59">
        <w:rPr>
          <w:bCs/>
          <w:lang w:val="en"/>
        </w:rPr>
        <w:t>(except Mental Health Specialists)</w:t>
      </w:r>
      <w:r>
        <w:rPr>
          <w:bCs/>
          <w:lang w:val="en"/>
        </w:rPr>
        <w:t>,</w:t>
      </w:r>
      <w:r w:rsidRPr="00F05C59">
        <w:rPr>
          <w:bCs/>
          <w:lang w:val="en"/>
        </w:rPr>
        <w:t>”</w:t>
      </w:r>
      <w:r w:rsidRPr="00B76AAE">
        <w:t xml:space="preserve"> </w:t>
      </w:r>
      <w:hyperlink r:id="rId29" w:history="1">
        <w:r w:rsidRPr="00B62C0B">
          <w:rPr>
            <w:rStyle w:val="Hyperlink"/>
          </w:rPr>
          <w:t>https://www.census.gov/cgi-bin/sssd/naics/naicsrch?input=621111&amp;search=2012+NAICS+Search&amp;search=2012</w:t>
        </w:r>
      </w:hyperlink>
      <w:r w:rsidRPr="0038217F">
        <w:rPr>
          <w:rStyle w:val="Hyperlink"/>
        </w:rPr>
        <w:t xml:space="preserve"> (last visited </w:t>
      </w:r>
      <w:r>
        <w:rPr>
          <w:rStyle w:val="Hyperlink"/>
        </w:rPr>
        <w:t>June 6</w:t>
      </w:r>
      <w:r w:rsidRPr="0038217F">
        <w:rPr>
          <w:rStyle w:val="Hyperlink"/>
        </w:rPr>
        <w:t>, 2018).</w:t>
      </w:r>
    </w:p>
  </w:footnote>
  <w:footnote w:id="145">
    <w:p w:rsidR="00530550" w:rsidP="004C6034" w14:paraId="4B79FD50" w14:textId="77777777">
      <w:pPr>
        <w:pStyle w:val="FootnoteText"/>
      </w:pPr>
      <w:r>
        <w:rPr>
          <w:rStyle w:val="FootnoteReference"/>
        </w:rPr>
        <w:footnoteRef/>
      </w:r>
      <w:r>
        <w:t xml:space="preserve"> 13 CFR </w:t>
      </w:r>
      <w:r w:rsidRPr="005B5208">
        <w:t xml:space="preserve">§ </w:t>
      </w:r>
      <w:r>
        <w:t>121.201, NAICS Code 621111.</w:t>
      </w:r>
    </w:p>
  </w:footnote>
  <w:footnote w:id="146">
    <w:p w:rsidR="00530550" w:rsidP="004C6034" w14:paraId="21F7D316"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Table EC1262</w:t>
      </w:r>
      <w:r w:rsidRPr="001B5DD6">
        <w:t>SSSZ4,</w:t>
      </w:r>
      <w:r>
        <w:t xml:space="preserve"> </w:t>
      </w:r>
      <w:r w:rsidRPr="00F05C59">
        <w:rPr>
          <w:i/>
        </w:rPr>
        <w:t xml:space="preserve">Healthcare and Social Assistance: Subject Series - </w:t>
      </w:r>
      <w:r w:rsidRPr="00F05C59">
        <w:rPr>
          <w:i/>
        </w:rPr>
        <w:t>Estab</w:t>
      </w:r>
      <w:r w:rsidRPr="00F05C59">
        <w:rPr>
          <w:i/>
        </w:rPr>
        <w:t xml:space="preserve"> and Firm Size: </w:t>
      </w:r>
      <w:r w:rsidRPr="00F05C59">
        <w:rPr>
          <w:bCs/>
          <w:i/>
        </w:rPr>
        <w:t>Receipts</w:t>
      </w:r>
      <w:r>
        <w:rPr>
          <w:i/>
        </w:rPr>
        <w:t>/Revenue</w:t>
      </w:r>
      <w:r w:rsidRPr="00F05C59">
        <w:rPr>
          <w:bCs/>
          <w:i/>
        </w:rPr>
        <w:t xml:space="preserve"> Size of Firms for the United States:</w:t>
      </w:r>
      <w:r w:rsidRPr="001B5DD6">
        <w:rPr>
          <w:bCs/>
        </w:rPr>
        <w:t xml:space="preserve"> 2012</w:t>
      </w:r>
      <w:r w:rsidRPr="001B5DD6">
        <w:t>,</w:t>
      </w:r>
      <w:r>
        <w:t xml:space="preserve"> NAICS Code 621111, </w:t>
      </w:r>
      <w:hyperlink r:id="rId30" w:history="1">
        <w:r w:rsidRPr="00BA44ED">
          <w:rPr>
            <w:rStyle w:val="Hyperlink"/>
          </w:rPr>
          <w:t>https://factfinder.census.gov/bkmk/table/1.0/en/ECN/2012_US/62SSSZ4//naics~621111</w:t>
        </w:r>
      </w:hyperlink>
      <w:r w:rsidRPr="00025939">
        <w:rPr>
          <w:rStyle w:val="Hyperlink"/>
        </w:rPr>
        <w:t xml:space="preserve"> (last visited </w:t>
      </w:r>
      <w:r>
        <w:rPr>
          <w:rStyle w:val="Hyperlink"/>
        </w:rPr>
        <w:t>June 6</w:t>
      </w:r>
      <w:r w:rsidRPr="00025939">
        <w:rPr>
          <w:rStyle w:val="Hyperlink"/>
        </w:rPr>
        <w:t>, 2018)</w:t>
      </w:r>
      <w:r w:rsidRPr="00025939">
        <w:t>.</w:t>
      </w:r>
    </w:p>
  </w:footnote>
  <w:footnote w:id="147">
    <w:p w:rsidR="00530550" w:rsidP="004C6034" w14:paraId="3B69B17C" w14:textId="77777777">
      <w:pPr>
        <w:pStyle w:val="FootnoteText"/>
      </w:pPr>
      <w:r>
        <w:rPr>
          <w:rStyle w:val="FootnoteReference"/>
        </w:rPr>
        <w:footnoteRef/>
      </w:r>
      <w:r>
        <w:t xml:space="preserve"> </w:t>
      </w:r>
      <w:r>
        <w:rPr>
          <w:i/>
        </w:rPr>
        <w:t>Id</w:t>
      </w:r>
      <w:r>
        <w:t xml:space="preserve">.  </w:t>
      </w:r>
    </w:p>
  </w:footnote>
  <w:footnote w:id="148">
    <w:p w:rsidR="00530550" w:rsidP="004C6034" w14:paraId="60CAA841" w14:textId="77777777">
      <w:pPr>
        <w:pStyle w:val="FootnoteText"/>
      </w:pPr>
      <w:r>
        <w:rPr>
          <w:rStyle w:val="FootnoteReference"/>
        </w:rPr>
        <w:footnoteRef/>
      </w:r>
      <w:r>
        <w:t xml:space="preserve"> </w:t>
      </w:r>
      <w:r w:rsidRPr="009655B9">
        <w:rPr>
          <w:i/>
        </w:rPr>
        <w:t xml:space="preserve">See </w:t>
      </w:r>
      <w:r>
        <w:t xml:space="preserve">U.S. Census Bureau, </w:t>
      </w:r>
      <w:r w:rsidRPr="006555CE">
        <w:rPr>
          <w:i/>
        </w:rPr>
        <w:t>2012 NAICS Definitions</w:t>
      </w:r>
      <w:r w:rsidRPr="00231DAF">
        <w:t xml:space="preserve">, </w:t>
      </w:r>
      <w:r>
        <w:t xml:space="preserve">NAICS Code 621112 </w:t>
      </w:r>
      <w:r w:rsidRPr="00B76AAE">
        <w:t>“</w:t>
      </w:r>
      <w:r w:rsidRPr="002057F3">
        <w:t>Offices of Physicians</w:t>
      </w:r>
      <w:r>
        <w:t xml:space="preserve">, </w:t>
      </w:r>
      <w:r>
        <w:rPr>
          <w:bCs/>
          <w:lang w:val="en"/>
        </w:rPr>
        <w:t>Mental Health Specialists,</w:t>
      </w:r>
      <w:r w:rsidRPr="002057F3">
        <w:rPr>
          <w:bCs/>
          <w:lang w:val="en"/>
        </w:rPr>
        <w:t>”</w:t>
      </w:r>
      <w:r>
        <w:rPr>
          <w:bCs/>
          <w:lang w:val="en"/>
        </w:rPr>
        <w:t xml:space="preserve"> </w:t>
      </w:r>
      <w:hyperlink r:id="rId31" w:history="1">
        <w:r w:rsidRPr="00161245">
          <w:rPr>
            <w:rStyle w:val="Hyperlink"/>
            <w:lang w:val="en"/>
          </w:rPr>
          <w:t>https://www.census.gov/cgi-bin/sssd/naics/naicsrch?input=621112&amp;search=2012+NAICS+Search&amp;search=2012</w:t>
        </w:r>
      </w:hyperlink>
      <w:r w:rsidRPr="00025939">
        <w:rPr>
          <w:rStyle w:val="Hyperlink"/>
          <w:lang w:val="en"/>
        </w:rPr>
        <w:t xml:space="preserve"> (last visited </w:t>
      </w:r>
      <w:r>
        <w:rPr>
          <w:rStyle w:val="Hyperlink"/>
          <w:lang w:val="en"/>
        </w:rPr>
        <w:t>June 6</w:t>
      </w:r>
      <w:r w:rsidRPr="00025939">
        <w:rPr>
          <w:rStyle w:val="Hyperlink"/>
          <w:lang w:val="en"/>
        </w:rPr>
        <w:t>, 2018)</w:t>
      </w:r>
      <w:r w:rsidRPr="00025939">
        <w:t>.</w:t>
      </w:r>
      <w:r>
        <w:t xml:space="preserve">   </w:t>
      </w:r>
    </w:p>
  </w:footnote>
  <w:footnote w:id="149">
    <w:p w:rsidR="00530550" w:rsidP="004C6034" w14:paraId="59A5A705" w14:textId="77777777">
      <w:pPr>
        <w:pStyle w:val="FootnoteText"/>
      </w:pPr>
      <w:r>
        <w:rPr>
          <w:rStyle w:val="FootnoteReference"/>
        </w:rPr>
        <w:footnoteRef/>
      </w:r>
      <w:r>
        <w:t xml:space="preserve"> 13 CFR </w:t>
      </w:r>
      <w:r w:rsidRPr="005B5208">
        <w:t xml:space="preserve">§ </w:t>
      </w:r>
      <w:r>
        <w:t>121.201; NAICS Code 621112.</w:t>
      </w:r>
    </w:p>
  </w:footnote>
  <w:footnote w:id="150">
    <w:p w:rsidR="00530550" w:rsidP="004C6034" w14:paraId="430549C0" w14:textId="77777777">
      <w:pPr>
        <w:pStyle w:val="FootnoteText"/>
      </w:pPr>
      <w:r>
        <w:rPr>
          <w:rStyle w:val="FootnoteReference"/>
        </w:rPr>
        <w:footnoteRef/>
      </w:r>
      <w:r>
        <w:t xml:space="preserve"> </w:t>
      </w:r>
      <w:r w:rsidRPr="00305495">
        <w:t xml:space="preserve">U.S. Census Bureau, </w:t>
      </w:r>
      <w:r w:rsidRPr="00F05C59">
        <w:rPr>
          <w:i/>
        </w:rPr>
        <w:t xml:space="preserve">2012 Economic Census of the United States, </w:t>
      </w:r>
      <w:r w:rsidRPr="00F56BB1">
        <w:t>Table EC1262SSSZ4</w:t>
      </w:r>
      <w:r w:rsidRPr="00F05C59">
        <w:rPr>
          <w:i/>
        </w:rPr>
        <w:t xml:space="preserve">, 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w:t>
      </w:r>
      <w:r w:rsidRPr="00305495">
        <w:t xml:space="preserve">: 2012, NAICS </w:t>
      </w:r>
      <w:r>
        <w:t>Code</w:t>
      </w:r>
      <w:r w:rsidRPr="00305495">
        <w:t xml:space="preserve"> 621112, </w:t>
      </w:r>
      <w:hyperlink r:id="rId32" w:history="1">
        <w:r w:rsidRPr="00FC1E1F">
          <w:rPr>
            <w:rStyle w:val="Hyperlink"/>
          </w:rPr>
          <w:t>https://factfinder.census.gov/bkmk/table/1.0/en/ECN/2012_US/62SSSZ4//naics~621112</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51">
    <w:p w:rsidR="00530550" w:rsidP="004C6034" w14:paraId="3CEB29E9" w14:textId="77777777">
      <w:pPr>
        <w:pStyle w:val="FootnoteText"/>
      </w:pPr>
      <w:r>
        <w:rPr>
          <w:rStyle w:val="FootnoteReference"/>
        </w:rPr>
        <w:footnoteRef/>
      </w:r>
      <w:bookmarkStart w:id="310" w:name="_Hlk497229231"/>
      <w:r>
        <w:rPr>
          <w:i/>
        </w:rPr>
        <w:t xml:space="preserve"> Id</w:t>
      </w:r>
      <w:r>
        <w:t xml:space="preserve">.  </w:t>
      </w:r>
      <w:bookmarkEnd w:id="310"/>
    </w:p>
  </w:footnote>
  <w:footnote w:id="152">
    <w:p w:rsidR="00530550" w:rsidP="004C6034" w14:paraId="24B39D59" w14:textId="77777777">
      <w:pPr>
        <w:pStyle w:val="FootnoteText"/>
      </w:pPr>
      <w:r>
        <w:rPr>
          <w:rStyle w:val="FootnoteReference"/>
        </w:rPr>
        <w:footnoteRef/>
      </w:r>
      <w:r>
        <w:t xml:space="preserve"> </w:t>
      </w:r>
      <w:r w:rsidRPr="00B841F5">
        <w:rPr>
          <w:i/>
        </w:rPr>
        <w:t>See</w:t>
      </w:r>
      <w:r w:rsidRPr="00C17F9B">
        <w:t xml:space="preserve"> U.S. Census Bureau, </w:t>
      </w:r>
      <w:r w:rsidRPr="006555CE">
        <w:rPr>
          <w:i/>
        </w:rPr>
        <w:t>2012 NAICS Definitions</w:t>
      </w:r>
      <w:r w:rsidRPr="00C17F9B">
        <w:t>, NAICS Co</w:t>
      </w:r>
      <w:r>
        <w:t xml:space="preserve">de 621210 “Offices of Dentists,” </w:t>
      </w:r>
      <w:hyperlink r:id="rId33" w:history="1">
        <w:r w:rsidRPr="00B62C0B">
          <w:rPr>
            <w:rStyle w:val="Hyperlink"/>
          </w:rPr>
          <w:t>https://www.census.gov/cgi-bin/sssd/naics/naicsrch?input=621210&amp;search=2012+NAICS+Search&amp;search=2012</w:t>
        </w:r>
      </w:hyperlink>
      <w:r w:rsidRPr="00025939">
        <w:rPr>
          <w:rStyle w:val="Hyperlink"/>
        </w:rPr>
        <w:t xml:space="preserve"> (last visited </w:t>
      </w:r>
      <w:r>
        <w:rPr>
          <w:rStyle w:val="Hyperlink"/>
        </w:rPr>
        <w:t>June 6</w:t>
      </w:r>
      <w:r w:rsidRPr="00025939">
        <w:rPr>
          <w:rStyle w:val="Hyperlink"/>
        </w:rPr>
        <w:t>, 2018).</w:t>
      </w:r>
      <w:r>
        <w:rPr>
          <w:rStyle w:val="Hyperlink"/>
        </w:rPr>
        <w:t xml:space="preserve"> </w:t>
      </w:r>
    </w:p>
  </w:footnote>
  <w:footnote w:id="153">
    <w:p w:rsidR="00530550" w:rsidP="004C6034" w14:paraId="19A820AC" w14:textId="77777777">
      <w:pPr>
        <w:pStyle w:val="FootnoteText"/>
      </w:pPr>
      <w:r>
        <w:rPr>
          <w:rStyle w:val="FootnoteReference"/>
        </w:rPr>
        <w:footnoteRef/>
      </w:r>
      <w:r>
        <w:t xml:space="preserve"> 13 CFR </w:t>
      </w:r>
      <w:r w:rsidRPr="005B5208">
        <w:t xml:space="preserve">§ </w:t>
      </w:r>
      <w:r>
        <w:t>121.201; NAICS Code 621210.</w:t>
      </w:r>
    </w:p>
  </w:footnote>
  <w:footnote w:id="154">
    <w:p w:rsidR="00530550" w:rsidP="004C6034" w14:paraId="61FA28F2" w14:textId="77777777">
      <w:pPr>
        <w:pStyle w:val="FootnoteText"/>
      </w:pPr>
      <w:r>
        <w:rPr>
          <w:rStyle w:val="FootnoteReference"/>
        </w:rPr>
        <w:footnoteRef/>
      </w:r>
      <w:r>
        <w:t xml:space="preserve"> </w:t>
      </w:r>
      <w:r w:rsidRPr="00C17F9B">
        <w:t xml:space="preserve">U.S. Census Bureau, </w:t>
      </w:r>
      <w:r w:rsidRPr="00F05C59">
        <w:rPr>
          <w:i/>
        </w:rPr>
        <w:t>2012 Economic Census of the United States</w:t>
      </w:r>
      <w:r w:rsidRPr="00C17F9B">
        <w:t xml:space="preserve">, Table EC1262SSSZ4, </w:t>
      </w:r>
      <w:r w:rsidRPr="00F05C59">
        <w:rPr>
          <w:i/>
        </w:rPr>
        <w:t xml:space="preserve">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 </w:t>
      </w:r>
      <w:r w:rsidRPr="00F56BB1">
        <w:t>2012</w:t>
      </w:r>
      <w:r w:rsidRPr="00C17F9B">
        <w:t xml:space="preserve">, NAICS </w:t>
      </w:r>
      <w:r>
        <w:t>Code</w:t>
      </w:r>
      <w:r w:rsidRPr="00C17F9B">
        <w:t xml:space="preserve"> 621210, </w:t>
      </w:r>
      <w:hyperlink r:id="rId34" w:history="1">
        <w:r w:rsidRPr="00FC1E1F">
          <w:rPr>
            <w:rStyle w:val="Hyperlink"/>
          </w:rPr>
          <w:t>https://factfinder.census.gov/bkmk/table/1.0/en/ECN/2012_US/62SSSZ4//naics~621210</w:t>
        </w:r>
      </w:hyperlink>
      <w:r w:rsidRPr="00025939">
        <w:rPr>
          <w:rStyle w:val="Hyperlink"/>
        </w:rPr>
        <w:t xml:space="preserve"> (last visited </w:t>
      </w:r>
      <w:r>
        <w:rPr>
          <w:rStyle w:val="Hyperlink"/>
        </w:rPr>
        <w:t>June 6</w:t>
      </w:r>
      <w:r w:rsidRPr="00523DC2">
        <w:rPr>
          <w:rStyle w:val="Hyperlink"/>
        </w:rPr>
        <w:t>, 2018)</w:t>
      </w:r>
      <w:r w:rsidRPr="00A87FB8">
        <w:t>.</w:t>
      </w:r>
      <w:r>
        <w:t xml:space="preserve"> </w:t>
      </w:r>
    </w:p>
  </w:footnote>
  <w:footnote w:id="155">
    <w:p w:rsidR="00530550" w:rsidP="004C6034" w14:paraId="5501AA2C" w14:textId="77777777">
      <w:pPr>
        <w:pStyle w:val="FootnoteText"/>
      </w:pPr>
      <w:r>
        <w:rPr>
          <w:rStyle w:val="FootnoteReference"/>
        </w:rPr>
        <w:footnoteRef/>
      </w:r>
      <w:r>
        <w:rPr>
          <w:i/>
        </w:rPr>
        <w:t xml:space="preserve"> Id</w:t>
      </w:r>
      <w:r>
        <w:t xml:space="preserve">.  </w:t>
      </w:r>
    </w:p>
  </w:footnote>
  <w:footnote w:id="156">
    <w:p w:rsidR="00530550" w:rsidP="004C6034" w14:paraId="3BEA4728" w14:textId="77777777">
      <w:pPr>
        <w:pStyle w:val="FootnoteText"/>
      </w:pPr>
      <w:r>
        <w:rPr>
          <w:rStyle w:val="FootnoteReference"/>
        </w:rPr>
        <w:footnoteRef/>
      </w:r>
      <w:r>
        <w:t xml:space="preserve"> </w:t>
      </w:r>
      <w:r w:rsidRPr="00141A60">
        <w:rPr>
          <w:i/>
        </w:rPr>
        <w:t>See</w:t>
      </w:r>
      <w:r w:rsidRPr="00F05C59">
        <w:t xml:space="preserve"> U.S. Census Bureau, </w:t>
      </w:r>
      <w:r w:rsidRPr="006555CE">
        <w:rPr>
          <w:i/>
        </w:rPr>
        <w:t>2012 NAICS Definitions</w:t>
      </w:r>
      <w:r w:rsidRPr="00F05C59">
        <w:t>, NAICS Code 621310 “Offices of Chiropractors</w:t>
      </w:r>
      <w:r>
        <w:t>,</w:t>
      </w:r>
      <w:r w:rsidRPr="00F05C59">
        <w:t xml:space="preserve">” </w:t>
      </w:r>
      <w:hyperlink r:id="rId35" w:history="1">
        <w:r w:rsidRPr="00F05C59">
          <w:rPr>
            <w:rStyle w:val="Hyperlink"/>
          </w:rPr>
          <w:t>https://www.census.gov/cgi-bin/sssd/naics/naicsrch?input=621310&amp;search=2012+NAICS+Search&amp;search=2012</w:t>
        </w:r>
      </w:hyperlink>
      <w:r w:rsidRPr="00025939">
        <w:rPr>
          <w:rStyle w:val="Hyperlink"/>
        </w:rPr>
        <w:t xml:space="preserve"> (last v</w:t>
      </w:r>
      <w:r w:rsidRPr="00C67CE3">
        <w:rPr>
          <w:rStyle w:val="Hyperlink"/>
        </w:rPr>
        <w:t xml:space="preserve">isited </w:t>
      </w:r>
      <w:r>
        <w:rPr>
          <w:rStyle w:val="Hyperlink"/>
        </w:rPr>
        <w:t>June 6</w:t>
      </w:r>
      <w:r w:rsidRPr="00C67CE3">
        <w:rPr>
          <w:rStyle w:val="Hyperlink"/>
        </w:rPr>
        <w:t>, 2018)</w:t>
      </w:r>
      <w:r w:rsidRPr="00523DC2">
        <w:t>.</w:t>
      </w:r>
      <w:r>
        <w:t xml:space="preserve"> </w:t>
      </w:r>
      <w:r w:rsidRPr="00F05C59">
        <w:t xml:space="preserve"> </w:t>
      </w:r>
      <w:bookmarkStart w:id="311" w:name="_Hlk497319290"/>
      <w:r w:rsidRPr="006555CE">
        <w:rPr>
          <w:i/>
        </w:rPr>
        <w:t>See also</w:t>
      </w:r>
      <w:r w:rsidRPr="00184657">
        <w:t xml:space="preserve"> NAICS </w:t>
      </w:r>
      <w:r>
        <w:t>Code</w:t>
      </w:r>
      <w:r w:rsidRPr="00184657">
        <w:t xml:space="preserve"> 621310</w:t>
      </w:r>
      <w:r>
        <w:t>;</w:t>
      </w:r>
      <w:r w:rsidRPr="00184657">
        <w:t xml:space="preserve"> 13 </w:t>
      </w:r>
      <w:r>
        <w:t>CFR §</w:t>
      </w:r>
      <w:r w:rsidRPr="00184657">
        <w:t xml:space="preserve"> 121.201</w:t>
      </w:r>
      <w:r>
        <w:t>.</w:t>
      </w:r>
      <w:r w:rsidRPr="00184657">
        <w:t xml:space="preserve">     </w:t>
      </w:r>
      <w:bookmarkEnd w:id="311"/>
    </w:p>
  </w:footnote>
  <w:footnote w:id="157">
    <w:p w:rsidR="00530550" w:rsidP="004C6034" w14:paraId="25B895F6" w14:textId="77777777">
      <w:pPr>
        <w:pStyle w:val="FootnoteText"/>
      </w:pPr>
      <w:r>
        <w:rPr>
          <w:rStyle w:val="FootnoteReference"/>
        </w:rPr>
        <w:footnoteRef/>
      </w:r>
      <w:r w:rsidRPr="00184657">
        <w:t xml:space="preserve"> 13 CFR </w:t>
      </w:r>
      <w:r w:rsidRPr="005B5208">
        <w:t xml:space="preserve">§ </w:t>
      </w:r>
      <w:r w:rsidRPr="00184657">
        <w:t>121.201</w:t>
      </w:r>
      <w:r>
        <w:t>; NAICS C</w:t>
      </w:r>
      <w:r w:rsidRPr="00184657">
        <w:t>ode 621310</w:t>
      </w:r>
      <w:r>
        <w:t>.</w:t>
      </w:r>
      <w:r w:rsidRPr="00184657">
        <w:t xml:space="preserve">        </w:t>
      </w:r>
    </w:p>
  </w:footnote>
  <w:footnote w:id="158">
    <w:p w:rsidR="00530550" w:rsidP="004C6034" w14:paraId="355DBC55" w14:textId="77777777">
      <w:pPr>
        <w:pStyle w:val="FootnoteText"/>
      </w:pPr>
      <w:r>
        <w:rPr>
          <w:rStyle w:val="FootnoteReference"/>
        </w:rPr>
        <w:footnoteRef/>
      </w:r>
      <w:r>
        <w:t xml:space="preserve"> </w:t>
      </w:r>
      <w:r w:rsidRPr="00EE1602">
        <w:t xml:space="preserve">U.S. Census Bureau, </w:t>
      </w:r>
      <w:r w:rsidRPr="00F05C59">
        <w:rPr>
          <w:i/>
        </w:rPr>
        <w:t>2012 Economic Census of the United States</w:t>
      </w:r>
      <w:r w:rsidRPr="00EE1602">
        <w:t xml:space="preserve">, Table EC1262SSSZ4, </w:t>
      </w:r>
      <w:r w:rsidRPr="00F05C59">
        <w:rPr>
          <w:i/>
        </w:rPr>
        <w:t xml:space="preserve">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w:t>
      </w:r>
      <w:r w:rsidRPr="00EE1602">
        <w:t xml:space="preserve">: 2012, NAICS </w:t>
      </w:r>
      <w:r>
        <w:t>Code</w:t>
      </w:r>
      <w:r w:rsidRPr="00EE1602">
        <w:t xml:space="preserve"> 621310, </w:t>
      </w:r>
      <w:hyperlink r:id="rId36" w:history="1">
        <w:r w:rsidRPr="00FC1E1F">
          <w:rPr>
            <w:rStyle w:val="Hyperlink"/>
          </w:rPr>
          <w:t>https://factfinder.census.gov/bkmk/table/1.0/en/ECN/2012_US/62SSSZ4//naics~621310</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59">
    <w:p w:rsidR="00530550" w:rsidRPr="00E2443E" w:rsidP="004C6034" w14:paraId="680EEB08" w14:textId="77777777">
      <w:pPr>
        <w:pStyle w:val="FootnoteText"/>
      </w:pPr>
      <w:r>
        <w:rPr>
          <w:rStyle w:val="FootnoteReference"/>
        </w:rPr>
        <w:footnoteRef/>
      </w:r>
      <w:r>
        <w:t xml:space="preserve"> </w:t>
      </w:r>
      <w:r>
        <w:rPr>
          <w:i/>
        </w:rPr>
        <w:t xml:space="preserve">Id.  </w:t>
      </w:r>
    </w:p>
  </w:footnote>
  <w:footnote w:id="160">
    <w:p w:rsidR="00530550" w:rsidP="004C6034" w14:paraId="1F5B902A" w14:textId="77777777">
      <w:pPr>
        <w:pStyle w:val="FootnoteText"/>
      </w:pPr>
      <w:r>
        <w:rPr>
          <w:rStyle w:val="FootnoteReference"/>
        </w:rPr>
        <w:footnoteRef/>
      </w:r>
      <w:r>
        <w:t xml:space="preserve"> </w:t>
      </w:r>
      <w:r w:rsidRPr="00141A60">
        <w:rPr>
          <w:i/>
        </w:rPr>
        <w:t>See</w:t>
      </w:r>
      <w:r w:rsidRPr="002F5C74">
        <w:t xml:space="preserve"> U.S. Census Bureau, </w:t>
      </w:r>
      <w:r w:rsidRPr="006555CE">
        <w:rPr>
          <w:i/>
        </w:rPr>
        <w:t>2012 NAICS Definitions</w:t>
      </w:r>
      <w:r w:rsidRPr="002F5C74">
        <w:t>, NAICS Code 621</w:t>
      </w:r>
      <w:r>
        <w:t>3</w:t>
      </w:r>
      <w:r w:rsidRPr="002F5C74">
        <w:t>20 “Offices of Optometrists</w:t>
      </w:r>
      <w:r>
        <w:t>,</w:t>
      </w:r>
      <w:r w:rsidRPr="002F5C74">
        <w:t xml:space="preserve">” </w:t>
      </w:r>
      <w:hyperlink r:id="rId37" w:history="1">
        <w:r w:rsidRPr="00FC1E1F">
          <w:rPr>
            <w:rStyle w:val="Hyperlink"/>
          </w:rPr>
          <w:t>https://www.census.gov/cgi-bin/sssd/naics/naicsrch?input=621320&amp;search=2012+NAICS+Search&amp;search=2012</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61">
    <w:p w:rsidR="00530550" w:rsidP="004C6034" w14:paraId="16B65136" w14:textId="77777777">
      <w:pPr>
        <w:pStyle w:val="FootnoteText"/>
      </w:pPr>
      <w:r>
        <w:rPr>
          <w:rStyle w:val="FootnoteReference"/>
        </w:rPr>
        <w:footnoteRef/>
      </w:r>
      <w:r>
        <w:t xml:space="preserve"> 13 CFR </w:t>
      </w:r>
      <w:r w:rsidRPr="005B5208">
        <w:t xml:space="preserve">§ </w:t>
      </w:r>
      <w:r>
        <w:t>121.201; NAICS Code 62132</w:t>
      </w:r>
      <w:r w:rsidRPr="00184657">
        <w:t>0</w:t>
      </w:r>
      <w:r>
        <w:t xml:space="preserve">. </w:t>
      </w:r>
    </w:p>
  </w:footnote>
  <w:footnote w:id="162">
    <w:p w:rsidR="00530550" w:rsidP="004C6034" w14:paraId="6B562FB3" w14:textId="77777777">
      <w:pPr>
        <w:pStyle w:val="FootnoteText"/>
      </w:pPr>
      <w:r>
        <w:rPr>
          <w:rStyle w:val="FootnoteReference"/>
        </w:rPr>
        <w:footnoteRef/>
      </w:r>
      <w:r>
        <w:t xml:space="preserve"> </w:t>
      </w:r>
      <w:r w:rsidRPr="005B5208">
        <w:t xml:space="preserve">U.S. Census Bureau, </w:t>
      </w:r>
      <w:r w:rsidRPr="00F05C59">
        <w:rPr>
          <w:i/>
        </w:rPr>
        <w:t xml:space="preserve">2012 Economic Census of the United States, </w:t>
      </w:r>
      <w:r w:rsidRPr="005B5208">
        <w:t>Table EC1262SSSZ4</w:t>
      </w:r>
      <w:r w:rsidRPr="00F05C59">
        <w:rPr>
          <w:i/>
        </w:rPr>
        <w:t xml:space="preserve">, 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w:t>
      </w:r>
      <w:r w:rsidRPr="005B5208">
        <w:t xml:space="preserve">: 2012, NAICS </w:t>
      </w:r>
      <w:r>
        <w:t>Code</w:t>
      </w:r>
      <w:r w:rsidRPr="005B5208">
        <w:t xml:space="preserve"> 621320, </w:t>
      </w:r>
      <w:hyperlink r:id="rId38" w:history="1">
        <w:r w:rsidRPr="00FC1E1F">
          <w:rPr>
            <w:rStyle w:val="Hyperlink"/>
          </w:rPr>
          <w:t>https://factfinder.census.gov/bkmk/table/1.0/en/ECN/2012_US/62SSSZ4//naics~621320</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63">
    <w:p w:rsidR="00530550" w:rsidP="004C6034" w14:paraId="6470D0E0" w14:textId="77777777">
      <w:pPr>
        <w:pStyle w:val="FootnoteText"/>
      </w:pPr>
      <w:r>
        <w:rPr>
          <w:rStyle w:val="FootnoteReference"/>
        </w:rPr>
        <w:footnoteRef/>
      </w:r>
      <w:r>
        <w:rPr>
          <w:i/>
        </w:rPr>
        <w:t xml:space="preserve"> </w:t>
      </w:r>
      <w:r w:rsidRPr="00F05C59">
        <w:rPr>
          <w:i/>
        </w:rPr>
        <w:t>Id.</w:t>
      </w:r>
      <w:r>
        <w:rPr>
          <w:i/>
        </w:rPr>
        <w:t xml:space="preserve">  </w:t>
      </w:r>
    </w:p>
  </w:footnote>
  <w:footnote w:id="164">
    <w:p w:rsidR="00530550" w:rsidP="004C6034" w14:paraId="5709FC1D" w14:textId="77777777">
      <w:pPr>
        <w:pStyle w:val="FootnoteText"/>
      </w:pPr>
      <w:r>
        <w:rPr>
          <w:rStyle w:val="FootnoteReference"/>
        </w:rPr>
        <w:footnoteRef/>
      </w:r>
      <w:r>
        <w:t xml:space="preserve"> </w:t>
      </w:r>
      <w:r w:rsidRPr="00141A60">
        <w:rPr>
          <w:i/>
        </w:rPr>
        <w:t xml:space="preserve">See </w:t>
      </w:r>
      <w:r w:rsidRPr="00985C30">
        <w:t xml:space="preserve">U.S. Census Bureau, </w:t>
      </w:r>
      <w:r w:rsidRPr="006555CE">
        <w:rPr>
          <w:i/>
        </w:rPr>
        <w:t>2012 NAICS Definitions</w:t>
      </w:r>
      <w:r w:rsidRPr="00985C30">
        <w:t>, NAICS Code 621</w:t>
      </w:r>
      <w:r>
        <w:t>33</w:t>
      </w:r>
      <w:r w:rsidRPr="00985C30">
        <w:t>0 “Offices of Mental Health Pra</w:t>
      </w:r>
      <w:r>
        <w:t xml:space="preserve">ctitioners (except Physicians),” </w:t>
      </w:r>
      <w:hyperlink r:id="rId39" w:history="1">
        <w:r w:rsidRPr="00FC1E1F">
          <w:rPr>
            <w:rStyle w:val="Hyperlink"/>
          </w:rPr>
          <w:t>https://www.census.gov/cgi-bin/sssd/naics/naicsrch?input=621330&amp;search=2012+NAICS+Search&amp;search=2012</w:t>
        </w:r>
      </w:hyperlink>
      <w:r w:rsidRPr="00025939">
        <w:rPr>
          <w:rStyle w:val="Hyperlink"/>
        </w:rPr>
        <w:t xml:space="preserve"> (last visited </w:t>
      </w:r>
      <w:r>
        <w:rPr>
          <w:rStyle w:val="Hyperlink"/>
        </w:rPr>
        <w:t>June 6</w:t>
      </w:r>
      <w:r w:rsidRPr="00025939">
        <w:rPr>
          <w:rStyle w:val="Hyperlink"/>
        </w:rPr>
        <w:t>, 2018)</w:t>
      </w:r>
      <w:r w:rsidRPr="00025939">
        <w:t>.</w:t>
      </w:r>
      <w:r>
        <w:t xml:space="preserve"> </w:t>
      </w:r>
    </w:p>
  </w:footnote>
  <w:footnote w:id="165">
    <w:p w:rsidR="00530550" w:rsidP="004C6034" w14:paraId="3519BD1A" w14:textId="77777777">
      <w:pPr>
        <w:pStyle w:val="FootnoteText"/>
      </w:pPr>
      <w:r>
        <w:rPr>
          <w:rStyle w:val="FootnoteReference"/>
        </w:rPr>
        <w:footnoteRef/>
      </w:r>
      <w:r>
        <w:t xml:space="preserve"> 13 CFR </w:t>
      </w:r>
      <w:r w:rsidRPr="00E2287A">
        <w:t>§</w:t>
      </w:r>
      <w:r>
        <w:t xml:space="preserve"> 121.201; NAICS Code 621330.</w:t>
      </w:r>
    </w:p>
  </w:footnote>
  <w:footnote w:id="166">
    <w:p w:rsidR="00530550" w:rsidP="004C6034" w14:paraId="37785CBF" w14:textId="77777777">
      <w:pPr>
        <w:pStyle w:val="FootnoteText"/>
      </w:pPr>
      <w:r>
        <w:rPr>
          <w:rStyle w:val="FootnoteReference"/>
        </w:rPr>
        <w:footnoteRef/>
      </w:r>
      <w:r>
        <w:t xml:space="preserve"> </w:t>
      </w:r>
      <w:r w:rsidRPr="00E2287A">
        <w:t xml:space="preserve">U.S. Census Bureau, </w:t>
      </w:r>
      <w:r w:rsidRPr="00F05C59">
        <w:rPr>
          <w:i/>
        </w:rPr>
        <w:t xml:space="preserve">2012 Economic Census of the United States, </w:t>
      </w:r>
      <w:r w:rsidRPr="00E2287A">
        <w:t>Table EC1262SSSZ4</w:t>
      </w:r>
      <w:r w:rsidRPr="00F05C59">
        <w:rPr>
          <w:i/>
        </w:rPr>
        <w:t xml:space="preserve">, Healthcare and Social Assistance: Subject Series - </w:t>
      </w:r>
      <w:r w:rsidRPr="00F05C59">
        <w:rPr>
          <w:i/>
        </w:rPr>
        <w:t>Estab</w:t>
      </w:r>
      <w:r w:rsidRPr="00F05C59">
        <w:rPr>
          <w:i/>
        </w:rPr>
        <w:t xml:space="preserve"> a</w:t>
      </w:r>
      <w:r w:rsidRPr="00E2287A">
        <w:rPr>
          <w:i/>
        </w:rPr>
        <w:t xml:space="preserve">nd Firm Size: Receipts/Revenue </w:t>
      </w:r>
      <w:r w:rsidRPr="00F05C59">
        <w:rPr>
          <w:i/>
        </w:rPr>
        <w:t>Size of Firms for the United States</w:t>
      </w:r>
      <w:r w:rsidRPr="00E2287A">
        <w:t xml:space="preserve">: 2012, NAICS </w:t>
      </w:r>
      <w:r>
        <w:t>Code</w:t>
      </w:r>
      <w:r w:rsidRPr="00E2287A">
        <w:t xml:space="preserve"> 621330, </w:t>
      </w:r>
      <w:hyperlink r:id="rId40" w:history="1">
        <w:r w:rsidRPr="00FC1E1F">
          <w:rPr>
            <w:rStyle w:val="Hyperlink"/>
          </w:rPr>
          <w:t>https://factfinder.census.gov/bkmk/table/1.0/en/ECN/2012_US/62SSSZ4//naics~621330</w:t>
        </w:r>
      </w:hyperlink>
      <w:r w:rsidRPr="00025939">
        <w:rPr>
          <w:rStyle w:val="Hyperlink"/>
        </w:rPr>
        <w:t xml:space="preserve"> (last visited </w:t>
      </w:r>
      <w:r>
        <w:rPr>
          <w:rStyle w:val="Hyperlink"/>
        </w:rPr>
        <w:t>June 6</w:t>
      </w:r>
      <w:r w:rsidRPr="00025939">
        <w:rPr>
          <w:rStyle w:val="Hyperlink"/>
        </w:rPr>
        <w:t>, 2018)</w:t>
      </w:r>
      <w:r w:rsidRPr="00523DC2">
        <w:t xml:space="preserve">. </w:t>
      </w:r>
    </w:p>
  </w:footnote>
  <w:footnote w:id="167">
    <w:p w:rsidR="00530550" w:rsidP="004C6034" w14:paraId="1F8ADE1C" w14:textId="77777777">
      <w:pPr>
        <w:pStyle w:val="FootnoteText"/>
      </w:pPr>
      <w:r>
        <w:rPr>
          <w:rStyle w:val="FootnoteReference"/>
        </w:rPr>
        <w:footnoteRef/>
      </w:r>
      <w:r>
        <w:t xml:space="preserve"> </w:t>
      </w:r>
      <w:r w:rsidRPr="00F05C59">
        <w:rPr>
          <w:i/>
        </w:rPr>
        <w:t>Id.</w:t>
      </w:r>
      <w:r w:rsidRPr="00B85E6D">
        <w:t xml:space="preserve"> </w:t>
      </w:r>
    </w:p>
  </w:footnote>
  <w:footnote w:id="168">
    <w:p w:rsidR="00530550" w:rsidP="004C6034" w14:paraId="2D77A008" w14:textId="77777777">
      <w:pPr>
        <w:pStyle w:val="FootnoteText"/>
      </w:pPr>
      <w:r>
        <w:rPr>
          <w:rStyle w:val="FootnoteReference"/>
        </w:rPr>
        <w:footnoteRef/>
      </w:r>
      <w:r>
        <w:t xml:space="preserve"> </w:t>
      </w:r>
      <w:r w:rsidRPr="00141A60">
        <w:rPr>
          <w:i/>
        </w:rPr>
        <w:t>See</w:t>
      </w:r>
      <w:r w:rsidRPr="00B55323">
        <w:t xml:space="preserve"> U.S. Census Bureau, </w:t>
      </w:r>
      <w:r w:rsidRPr="006555CE">
        <w:rPr>
          <w:i/>
        </w:rPr>
        <w:t>2012 NAICS Definitions</w:t>
      </w:r>
      <w:r>
        <w:t>, NAICS Code 621340</w:t>
      </w:r>
      <w:r w:rsidRPr="00B55323">
        <w:t xml:space="preserve"> “Offices of Physical, Occupational and Speech Therapists and Audiologists</w:t>
      </w:r>
      <w:r>
        <w:t>,</w:t>
      </w:r>
      <w:r w:rsidRPr="00B55323">
        <w:t>”</w:t>
      </w:r>
      <w:r>
        <w:t xml:space="preserve"> </w:t>
      </w:r>
      <w:hyperlink r:id="rId41" w:history="1">
        <w:r w:rsidRPr="00FC1E1F">
          <w:rPr>
            <w:rStyle w:val="Hyperlink"/>
          </w:rPr>
          <w:t>https://www.census.gov/cgi-bin/sssd/naics/naicsrch?input=621340&amp;search=2012+NAICS+Search&amp;search=2012</w:t>
        </w:r>
      </w:hyperlink>
      <w:r>
        <w:rPr>
          <w:rStyle w:val="Hyperlink"/>
        </w:rPr>
        <w:t xml:space="preserve"> </w:t>
      </w:r>
      <w:r w:rsidRPr="00025939">
        <w:rPr>
          <w:rStyle w:val="Hyperlink"/>
        </w:rPr>
        <w:t xml:space="preserve">(last visited </w:t>
      </w:r>
      <w:r>
        <w:rPr>
          <w:rStyle w:val="Hyperlink"/>
        </w:rPr>
        <w:t>June 6</w:t>
      </w:r>
      <w:r w:rsidRPr="00025939">
        <w:rPr>
          <w:rStyle w:val="Hyperlink"/>
        </w:rPr>
        <w:t>, 2018)</w:t>
      </w:r>
      <w:r w:rsidRPr="00025939">
        <w:t xml:space="preserve">. </w:t>
      </w:r>
    </w:p>
  </w:footnote>
  <w:footnote w:id="169">
    <w:p w:rsidR="00530550" w:rsidP="004C6034" w14:paraId="61430DCC" w14:textId="77777777">
      <w:pPr>
        <w:pStyle w:val="FootnoteText"/>
      </w:pPr>
      <w:r>
        <w:rPr>
          <w:rStyle w:val="FootnoteReference"/>
        </w:rPr>
        <w:footnoteRef/>
      </w:r>
      <w:r>
        <w:t xml:space="preserve"> 13 CFR </w:t>
      </w:r>
      <w:r w:rsidRPr="00335E17">
        <w:t>§</w:t>
      </w:r>
      <w:r>
        <w:t xml:space="preserve"> 121.201; NAICS Code 621340.</w:t>
      </w:r>
    </w:p>
  </w:footnote>
  <w:footnote w:id="170">
    <w:p w:rsidR="00530550" w:rsidP="004C6034" w14:paraId="64754278" w14:textId="77777777">
      <w:pPr>
        <w:pStyle w:val="FootnoteText"/>
      </w:pPr>
      <w:r>
        <w:rPr>
          <w:rStyle w:val="FootnoteReference"/>
        </w:rPr>
        <w:footnoteRef/>
      </w:r>
      <w:r>
        <w:t xml:space="preserve"> </w:t>
      </w:r>
      <w:r w:rsidRPr="00B55323">
        <w:t xml:space="preserve">U.S. Census Bureau, </w:t>
      </w:r>
      <w:r w:rsidRPr="002304D8">
        <w:rPr>
          <w:i/>
        </w:rPr>
        <w:t xml:space="preserve">2012 Economic Census of the United States, </w:t>
      </w:r>
      <w:r w:rsidRPr="00B55323">
        <w:t>Table EC1262SSSZ4</w:t>
      </w:r>
      <w:r w:rsidRPr="002304D8">
        <w:rPr>
          <w:i/>
        </w:rPr>
        <w:t xml:space="preserve">, Healthcare and Social Assistance: Subject Series - </w:t>
      </w:r>
      <w:r w:rsidRPr="002304D8">
        <w:rPr>
          <w:i/>
        </w:rPr>
        <w:t>Estab</w:t>
      </w:r>
      <w:r w:rsidRPr="002304D8">
        <w:rPr>
          <w:i/>
        </w:rPr>
        <w:t xml:space="preserve"> a</w:t>
      </w:r>
      <w:r w:rsidRPr="006B1900">
        <w:rPr>
          <w:i/>
        </w:rPr>
        <w:t xml:space="preserve">nd Firm Size: Receipts/Revenue </w:t>
      </w:r>
      <w:r w:rsidRPr="002304D8">
        <w:rPr>
          <w:i/>
        </w:rPr>
        <w:t>Size of Firms for the United States</w:t>
      </w:r>
      <w:r w:rsidRPr="00B55323">
        <w:t xml:space="preserve">: 2012, NAICS </w:t>
      </w:r>
      <w:r>
        <w:t>Code</w:t>
      </w:r>
      <w:r w:rsidRPr="00B55323">
        <w:t xml:space="preserve"> 621340, </w:t>
      </w:r>
      <w:hyperlink r:id="rId42" w:history="1">
        <w:r w:rsidRPr="00FC1E1F">
          <w:rPr>
            <w:rStyle w:val="Hyperlink"/>
          </w:rPr>
          <w:t>https://factfinder.census.gov/bkmk/table/1.0/en/ECN/2012_US/62SSSZ4//naics~621340</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71">
    <w:p w:rsidR="00530550" w:rsidP="004C6034" w14:paraId="0183DD00" w14:textId="77777777">
      <w:pPr>
        <w:pStyle w:val="FootnoteText"/>
      </w:pPr>
      <w:r>
        <w:rPr>
          <w:rStyle w:val="FootnoteReference"/>
        </w:rPr>
        <w:footnoteRef/>
      </w:r>
      <w:r>
        <w:rPr>
          <w:i/>
        </w:rPr>
        <w:t xml:space="preserve"> </w:t>
      </w:r>
      <w:r w:rsidRPr="002304D8">
        <w:rPr>
          <w:i/>
        </w:rPr>
        <w:t>Id.</w:t>
      </w:r>
      <w:r w:rsidRPr="00B85E6D">
        <w:t xml:space="preserve"> </w:t>
      </w:r>
      <w:r>
        <w:t xml:space="preserve"> </w:t>
      </w:r>
    </w:p>
  </w:footnote>
  <w:footnote w:id="172">
    <w:p w:rsidR="00530550" w:rsidP="004C6034" w14:paraId="3AC1EF97" w14:textId="77777777">
      <w:pPr>
        <w:pStyle w:val="FootnoteText"/>
      </w:pPr>
      <w:r>
        <w:rPr>
          <w:rStyle w:val="FootnoteReference"/>
        </w:rPr>
        <w:footnoteRef/>
      </w:r>
      <w:r>
        <w:t xml:space="preserve"> </w:t>
      </w:r>
      <w:r w:rsidRPr="00141A60">
        <w:rPr>
          <w:i/>
        </w:rPr>
        <w:t>See</w:t>
      </w:r>
      <w:r w:rsidRPr="007175E6">
        <w:t xml:space="preserve"> U.S. Census Bureau, </w:t>
      </w:r>
      <w:r w:rsidRPr="006555CE">
        <w:rPr>
          <w:i/>
        </w:rPr>
        <w:t>2012 NAICS Definitions</w:t>
      </w:r>
      <w:r w:rsidRPr="007175E6">
        <w:t>, NAICS Code 621391 “Offices of Podiatrists</w:t>
      </w:r>
      <w:r>
        <w:t>,</w:t>
      </w:r>
      <w:r w:rsidRPr="007175E6">
        <w:t>”</w:t>
      </w:r>
      <w:r>
        <w:t xml:space="preserve"> </w:t>
      </w:r>
      <w:hyperlink r:id="rId43" w:history="1">
        <w:r w:rsidRPr="00FC1E1F">
          <w:rPr>
            <w:rStyle w:val="Hyperlink"/>
          </w:rPr>
          <w:t>https://www.census.gov/cgi-bin/sssd/naics/naicsrch?input=621391&amp;search=2012+NAICS+Search&amp;search=2012</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73">
    <w:p w:rsidR="00530550" w:rsidP="004C6034" w14:paraId="3D113C3D" w14:textId="77777777">
      <w:pPr>
        <w:pStyle w:val="FootnoteText"/>
      </w:pPr>
      <w:r>
        <w:rPr>
          <w:rStyle w:val="FootnoteReference"/>
        </w:rPr>
        <w:footnoteRef/>
      </w:r>
      <w:r>
        <w:t xml:space="preserve"> 13 CFR </w:t>
      </w:r>
      <w:r w:rsidRPr="00335E17">
        <w:t>§</w:t>
      </w:r>
      <w:r>
        <w:t xml:space="preserve"> 121.201; NAICS Code 621391.</w:t>
      </w:r>
    </w:p>
  </w:footnote>
  <w:footnote w:id="174">
    <w:p w:rsidR="00530550" w:rsidP="004C6034" w14:paraId="5940C0EE" w14:textId="77777777">
      <w:pPr>
        <w:pStyle w:val="FootnoteText"/>
      </w:pPr>
      <w:r>
        <w:rPr>
          <w:rStyle w:val="FootnoteReference"/>
        </w:rPr>
        <w:footnoteRef/>
      </w:r>
      <w:r>
        <w:t xml:space="preserve"> </w:t>
      </w:r>
      <w:r w:rsidRPr="004C6390">
        <w:t xml:space="preserve">U.S. Census Bureau, </w:t>
      </w:r>
      <w:r w:rsidRPr="006555CE">
        <w:rPr>
          <w:i/>
        </w:rPr>
        <w:t>2012 Economic Census of the United States</w:t>
      </w:r>
      <w:r w:rsidRPr="004C6390">
        <w:t xml:space="preserve">, Table EC1262SSSZ4, </w:t>
      </w:r>
      <w:r w:rsidRPr="006555CE">
        <w:rPr>
          <w:i/>
        </w:rPr>
        <w:t xml:space="preserve">Healthcare and Social Assistance: Subject Series - </w:t>
      </w:r>
      <w:r w:rsidRPr="006555CE">
        <w:rPr>
          <w:i/>
        </w:rPr>
        <w:t>Estab</w:t>
      </w:r>
      <w:r w:rsidRPr="006555CE">
        <w:rPr>
          <w:i/>
        </w:rPr>
        <w:t xml:space="preserve"> and Firm Size: Receipts/Revenue Size of Firms for the United States: 2012</w:t>
      </w:r>
      <w:r w:rsidRPr="004C6390">
        <w:t xml:space="preserve">, NAICS </w:t>
      </w:r>
      <w:r>
        <w:t>Code</w:t>
      </w:r>
      <w:r w:rsidRPr="004C6390">
        <w:t xml:space="preserve"> 621391, </w:t>
      </w:r>
      <w:hyperlink r:id="rId44" w:history="1">
        <w:r w:rsidRPr="00FC1E1F">
          <w:rPr>
            <w:rStyle w:val="Hyperlink"/>
          </w:rPr>
          <w:t>https://factfinder.census.gov/bkmk/table/1.0/en/ECN/2012_US/62SSSZ4//naics~621391</w:t>
        </w:r>
      </w:hyperlink>
      <w:r w:rsidRPr="00025939">
        <w:rPr>
          <w:rStyle w:val="Hyperlink"/>
        </w:rPr>
        <w:t xml:space="preserve"> (last visited </w:t>
      </w:r>
      <w:r>
        <w:rPr>
          <w:rStyle w:val="Hyperlink"/>
        </w:rPr>
        <w:t>June 6</w:t>
      </w:r>
      <w:r w:rsidRPr="00025939">
        <w:rPr>
          <w:rStyle w:val="Hyperlink"/>
        </w:rPr>
        <w:t>, 2018)</w:t>
      </w:r>
      <w:r w:rsidRPr="00523DC2">
        <w:t>.</w:t>
      </w:r>
      <w:r>
        <w:t xml:space="preserve"> </w:t>
      </w:r>
    </w:p>
  </w:footnote>
  <w:footnote w:id="175">
    <w:p w:rsidR="00530550" w:rsidP="004C6034" w14:paraId="24366353" w14:textId="77777777">
      <w:pPr>
        <w:pStyle w:val="FootnoteText"/>
      </w:pPr>
      <w:r>
        <w:rPr>
          <w:rStyle w:val="FootnoteReference"/>
        </w:rPr>
        <w:footnoteRef/>
      </w:r>
      <w:r>
        <w:rPr>
          <w:i/>
        </w:rPr>
        <w:t xml:space="preserve"> </w:t>
      </w:r>
      <w:r w:rsidRPr="00F05C59">
        <w:rPr>
          <w:i/>
        </w:rPr>
        <w:t>Id</w:t>
      </w:r>
      <w:r w:rsidRPr="004C6390">
        <w:t xml:space="preserve">.  </w:t>
      </w:r>
    </w:p>
  </w:footnote>
  <w:footnote w:id="176">
    <w:p w:rsidR="00530550" w:rsidP="004C6034" w14:paraId="558D1A1A" w14:textId="77777777">
      <w:pPr>
        <w:pStyle w:val="FootnoteText"/>
      </w:pPr>
      <w:r>
        <w:rPr>
          <w:rStyle w:val="FootnoteReference"/>
        </w:rPr>
        <w:footnoteRef/>
      </w:r>
      <w:r>
        <w:t xml:space="preserve"> </w:t>
      </w:r>
      <w:r w:rsidRPr="00141A60">
        <w:rPr>
          <w:i/>
        </w:rPr>
        <w:t>See</w:t>
      </w:r>
      <w:r w:rsidRPr="00B030FA">
        <w:t xml:space="preserve"> U.S. Census Bureau, </w:t>
      </w:r>
      <w:r w:rsidRPr="006555CE">
        <w:rPr>
          <w:i/>
        </w:rPr>
        <w:t>2012 NAICS Definitions</w:t>
      </w:r>
      <w:r w:rsidRPr="00B030FA">
        <w:t>, NAICS Code 621399 “Offices of All Other Miscellaneous Health Practitioners</w:t>
      </w:r>
      <w:r>
        <w:t>,</w:t>
      </w:r>
      <w:r w:rsidRPr="00B030FA">
        <w:t xml:space="preserve">” </w:t>
      </w:r>
      <w:hyperlink r:id="rId45" w:history="1">
        <w:r w:rsidRPr="00FC1E1F">
          <w:rPr>
            <w:rStyle w:val="Hyperlink"/>
          </w:rPr>
          <w:t>https://www.census.gov/cgi-bin/sssd/naics/naicsrch?input=621399&amp;search=2012+NAICS+Search&amp;search=2012</w:t>
        </w:r>
      </w:hyperlink>
      <w:r w:rsidRPr="00025939">
        <w:rPr>
          <w:rStyle w:val="Hyperlink"/>
        </w:rPr>
        <w:t xml:space="preserve"> (last visited </w:t>
      </w:r>
      <w:r>
        <w:rPr>
          <w:rStyle w:val="Hyperlink"/>
        </w:rPr>
        <w:t>June 6</w:t>
      </w:r>
      <w:r w:rsidRPr="00025939">
        <w:rPr>
          <w:rStyle w:val="Hyperlink"/>
        </w:rPr>
        <w:t>, 2018)</w:t>
      </w:r>
      <w:r w:rsidRPr="00025939">
        <w:t>.</w:t>
      </w:r>
      <w:r>
        <w:t xml:space="preserve"> </w:t>
      </w:r>
    </w:p>
  </w:footnote>
  <w:footnote w:id="177">
    <w:p w:rsidR="00530550" w:rsidP="004C6034" w14:paraId="212F4511" w14:textId="77777777">
      <w:pPr>
        <w:pStyle w:val="FootnoteText"/>
      </w:pPr>
      <w:r>
        <w:rPr>
          <w:rStyle w:val="FootnoteReference"/>
        </w:rPr>
        <w:footnoteRef/>
      </w:r>
      <w:r>
        <w:t xml:space="preserve"> 13 CFR </w:t>
      </w:r>
      <w:r w:rsidRPr="00335E17">
        <w:t>§</w:t>
      </w:r>
      <w:r>
        <w:t xml:space="preserve"> 121.201; NAICS Code 621399.</w:t>
      </w:r>
    </w:p>
  </w:footnote>
  <w:footnote w:id="178">
    <w:p w:rsidR="00530550" w:rsidP="004C6034" w14:paraId="2D796D0D" w14:textId="77777777">
      <w:pPr>
        <w:pStyle w:val="FootnoteText"/>
      </w:pPr>
      <w:r>
        <w:rPr>
          <w:rStyle w:val="FootnoteReference"/>
        </w:rPr>
        <w:footnoteRef/>
      </w:r>
      <w:r>
        <w:t xml:space="preserve"> </w:t>
      </w:r>
      <w:r w:rsidRPr="00B030FA">
        <w:t xml:space="preserve">U.S. Census Bureau, </w:t>
      </w:r>
      <w:r w:rsidRPr="00F05C59">
        <w:rPr>
          <w:i/>
        </w:rPr>
        <w:t xml:space="preserve">2012 Economic Census of the United States, </w:t>
      </w:r>
      <w:r w:rsidRPr="00E43971">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B030FA">
        <w:t xml:space="preserve">: 2012, NAICS </w:t>
      </w:r>
      <w:r>
        <w:t>Code</w:t>
      </w:r>
      <w:r w:rsidRPr="00B030FA">
        <w:t xml:space="preserve"> 621399, </w:t>
      </w:r>
      <w:hyperlink r:id="rId46" w:history="1">
        <w:r w:rsidRPr="00FC1E1F">
          <w:rPr>
            <w:rStyle w:val="Hyperlink"/>
          </w:rPr>
          <w:t>https://factfinder.census.gov/bkmk/table/1.0/en/ECN/2012_US/62SSSZ4//naics~621399</w:t>
        </w:r>
      </w:hyperlink>
      <w:r w:rsidRPr="00025939">
        <w:rPr>
          <w:rStyle w:val="Hyperlink"/>
        </w:rPr>
        <w:t xml:space="preserve"> (last visited </w:t>
      </w:r>
      <w:r>
        <w:rPr>
          <w:rStyle w:val="Hyperlink"/>
        </w:rPr>
        <w:t>June 6</w:t>
      </w:r>
      <w:r w:rsidRPr="00025939">
        <w:rPr>
          <w:rStyle w:val="Hyperlink"/>
        </w:rPr>
        <w:t>, 2018)</w:t>
      </w:r>
      <w:r w:rsidRPr="00523DC2">
        <w:t xml:space="preserve">. </w:t>
      </w:r>
    </w:p>
  </w:footnote>
  <w:footnote w:id="179">
    <w:p w:rsidR="00530550" w:rsidP="004C6034" w14:paraId="26595754" w14:textId="77777777">
      <w:pPr>
        <w:pStyle w:val="FootnoteText"/>
      </w:pPr>
      <w:r>
        <w:rPr>
          <w:rStyle w:val="FootnoteReference"/>
        </w:rPr>
        <w:footnoteRef/>
      </w:r>
      <w:r>
        <w:rPr>
          <w:i/>
        </w:rPr>
        <w:t xml:space="preserve"> </w:t>
      </w:r>
      <w:r w:rsidRPr="00F05C59">
        <w:rPr>
          <w:i/>
        </w:rPr>
        <w:t>Id.</w:t>
      </w:r>
      <w:r w:rsidRPr="005C751B">
        <w:t xml:space="preserve"> </w:t>
      </w:r>
    </w:p>
  </w:footnote>
  <w:footnote w:id="180">
    <w:p w:rsidR="00530550" w:rsidP="004C6034" w14:paraId="4C77EF8E" w14:textId="77777777">
      <w:pPr>
        <w:pStyle w:val="FootnoteText"/>
      </w:pPr>
      <w:r>
        <w:rPr>
          <w:rStyle w:val="FootnoteReference"/>
        </w:rPr>
        <w:footnoteRef/>
      </w:r>
      <w:r>
        <w:t xml:space="preserve"> </w:t>
      </w:r>
      <w:r w:rsidRPr="00141A60">
        <w:rPr>
          <w:i/>
        </w:rPr>
        <w:t>See</w:t>
      </w:r>
      <w:r w:rsidRPr="00A647B1">
        <w:t xml:space="preserve"> U.S. Census Bureau, </w:t>
      </w:r>
      <w:r w:rsidRPr="006555CE">
        <w:rPr>
          <w:i/>
        </w:rPr>
        <w:t>2012 NAICS Definitions</w:t>
      </w:r>
      <w:r w:rsidRPr="00A647B1">
        <w:t>, NAICS Code 621410 “Family Planning Centers</w:t>
      </w:r>
      <w:r>
        <w:t>,</w:t>
      </w:r>
      <w:r w:rsidRPr="00A647B1">
        <w:t>”</w:t>
      </w:r>
      <w:r>
        <w:t xml:space="preserve"> </w:t>
      </w:r>
      <w:hyperlink r:id="rId47" w:history="1">
        <w:r w:rsidRPr="00FC1E1F">
          <w:rPr>
            <w:rStyle w:val="Hyperlink"/>
          </w:rPr>
          <w:t>https://www.census.gov/cgi-bin/sssd/naics/naicsrch?input=621410&amp;search=2012+NAICS+Search&amp;search=2012</w:t>
        </w:r>
      </w:hyperlink>
      <w:r w:rsidRPr="00025939">
        <w:rPr>
          <w:rStyle w:val="Hyperlink"/>
        </w:rPr>
        <w:t xml:space="preserve"> (last visited </w:t>
      </w:r>
      <w:r>
        <w:rPr>
          <w:rStyle w:val="Hyperlink"/>
        </w:rPr>
        <w:t>June 6</w:t>
      </w:r>
      <w:r w:rsidRPr="00025939">
        <w:rPr>
          <w:rStyle w:val="Hyperlink"/>
        </w:rPr>
        <w:t>, 2018)</w:t>
      </w:r>
      <w:r w:rsidRPr="00523DC2">
        <w:t xml:space="preserve">. </w:t>
      </w:r>
    </w:p>
  </w:footnote>
  <w:footnote w:id="181">
    <w:p w:rsidR="00530550" w:rsidP="004C6034" w14:paraId="302E03B6" w14:textId="77777777">
      <w:pPr>
        <w:pStyle w:val="FootnoteText"/>
      </w:pPr>
      <w:r>
        <w:rPr>
          <w:rStyle w:val="FootnoteReference"/>
        </w:rPr>
        <w:footnoteRef/>
      </w:r>
      <w:r>
        <w:t xml:space="preserve"> 13 CFR </w:t>
      </w:r>
      <w:r w:rsidRPr="00335E17">
        <w:t>§</w:t>
      </w:r>
      <w:r>
        <w:t xml:space="preserve"> 121.201; NAICS Code 621410.</w:t>
      </w:r>
    </w:p>
  </w:footnote>
  <w:footnote w:id="182">
    <w:p w:rsidR="00530550" w:rsidP="004C6034" w14:paraId="705130E2" w14:textId="77777777">
      <w:pPr>
        <w:pStyle w:val="FootnoteText"/>
      </w:pPr>
      <w:r>
        <w:rPr>
          <w:rStyle w:val="FootnoteReference"/>
        </w:rPr>
        <w:footnoteRef/>
      </w:r>
      <w:r>
        <w:t xml:space="preserve"> </w:t>
      </w:r>
      <w:r w:rsidRPr="00A647B1">
        <w:t xml:space="preserve">U.S. Census Bureau, </w:t>
      </w:r>
      <w:r w:rsidRPr="00F05C59">
        <w:rPr>
          <w:i/>
        </w:rPr>
        <w:t xml:space="preserve">2012 Economic Census of the United States, </w:t>
      </w:r>
      <w:r w:rsidRPr="00A647B1">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t>: 2012, NAICS Code 62141</w:t>
      </w:r>
      <w:r w:rsidRPr="00A647B1">
        <w:t xml:space="preserve">0, </w:t>
      </w:r>
      <w:hyperlink r:id="rId48" w:history="1">
        <w:r w:rsidRPr="00FC1E1F">
          <w:rPr>
            <w:rStyle w:val="Hyperlink"/>
          </w:rPr>
          <w:t>https://factfinder.census.gov/bkmk/table/1.0/en/ECN/2012_US/62SSSZ4//naics~621410</w:t>
        </w:r>
      </w:hyperlink>
      <w:r w:rsidRPr="001353CD">
        <w:rPr>
          <w:rStyle w:val="Hyperlink"/>
        </w:rPr>
        <w:t xml:space="preserve"> (last visited </w:t>
      </w:r>
      <w:r>
        <w:rPr>
          <w:rStyle w:val="Hyperlink"/>
        </w:rPr>
        <w:t>June 6</w:t>
      </w:r>
      <w:r w:rsidRPr="001353CD">
        <w:rPr>
          <w:rStyle w:val="Hyperlink"/>
        </w:rPr>
        <w:t>, 2018)</w:t>
      </w:r>
      <w:r w:rsidRPr="00523DC2">
        <w:t xml:space="preserve">. </w:t>
      </w:r>
    </w:p>
  </w:footnote>
  <w:footnote w:id="183">
    <w:p w:rsidR="00530550" w:rsidP="004C6034" w14:paraId="75CD5126" w14:textId="77777777">
      <w:pPr>
        <w:pStyle w:val="FootnoteText"/>
      </w:pPr>
      <w:r>
        <w:rPr>
          <w:rStyle w:val="FootnoteReference"/>
        </w:rPr>
        <w:footnoteRef/>
      </w:r>
      <w:r>
        <w:rPr>
          <w:i/>
        </w:rPr>
        <w:t xml:space="preserve"> </w:t>
      </w:r>
      <w:r w:rsidRPr="00F05C59">
        <w:rPr>
          <w:i/>
        </w:rPr>
        <w:t>Id.</w:t>
      </w:r>
      <w:r w:rsidRPr="004E4815">
        <w:t xml:space="preserve">  </w:t>
      </w:r>
    </w:p>
  </w:footnote>
  <w:footnote w:id="184">
    <w:p w:rsidR="00530550" w:rsidP="004C6034" w14:paraId="60AF132B" w14:textId="77777777">
      <w:pPr>
        <w:pStyle w:val="FootnoteText"/>
      </w:pPr>
      <w:r>
        <w:rPr>
          <w:rStyle w:val="FootnoteReference"/>
        </w:rPr>
        <w:footnoteRef/>
      </w:r>
      <w:r>
        <w:t xml:space="preserve"> </w:t>
      </w:r>
      <w:r w:rsidRPr="00141A60">
        <w:rPr>
          <w:i/>
        </w:rPr>
        <w:t>See</w:t>
      </w:r>
      <w:r w:rsidRPr="00AF552E">
        <w:t xml:space="preserve"> U.S. Census Bureau, </w:t>
      </w:r>
      <w:r w:rsidRPr="006555CE">
        <w:rPr>
          <w:i/>
        </w:rPr>
        <w:t>2012 NAICS Definitions</w:t>
      </w:r>
      <w:r w:rsidRPr="00AF552E">
        <w:t>, NAICS Code 621420 “Outpatient Mental Health and Substance Abuse Centers</w:t>
      </w:r>
      <w:r>
        <w:t>,</w:t>
      </w:r>
      <w:r w:rsidRPr="00AF552E">
        <w:t xml:space="preserve">” </w:t>
      </w:r>
      <w:hyperlink r:id="rId49" w:history="1">
        <w:r w:rsidRPr="00FC1E1F">
          <w:rPr>
            <w:rStyle w:val="Hyperlink"/>
          </w:rPr>
          <w:t>https://www.census.gov/cgi-bin/sssd/naics/naicsrch?input=621420&amp;search=2012+NAICS+Search&amp;search=2012</w:t>
        </w:r>
      </w:hyperlink>
      <w:r w:rsidRPr="00EE657F">
        <w:rPr>
          <w:rStyle w:val="Hyperlink"/>
        </w:rPr>
        <w:t xml:space="preserve"> (last visited </w:t>
      </w:r>
      <w:r>
        <w:rPr>
          <w:rStyle w:val="Hyperlink"/>
        </w:rPr>
        <w:t>June 6</w:t>
      </w:r>
      <w:r w:rsidRPr="00EE657F">
        <w:rPr>
          <w:rStyle w:val="Hyperlink"/>
        </w:rPr>
        <w:t>, 2018)</w:t>
      </w:r>
      <w:r w:rsidRPr="00EE657F">
        <w:t>.</w:t>
      </w:r>
      <w:r>
        <w:t xml:space="preserve"> </w:t>
      </w:r>
    </w:p>
  </w:footnote>
  <w:footnote w:id="185">
    <w:p w:rsidR="00530550" w:rsidP="004C6034" w14:paraId="377F35E8" w14:textId="77777777">
      <w:pPr>
        <w:pStyle w:val="FootnoteText"/>
      </w:pPr>
      <w:r>
        <w:rPr>
          <w:rStyle w:val="FootnoteReference"/>
        </w:rPr>
        <w:footnoteRef/>
      </w:r>
      <w:r>
        <w:t xml:space="preserve"> 13 CFR § 121.201; NAICS Code 621420.</w:t>
      </w:r>
    </w:p>
  </w:footnote>
  <w:footnote w:id="186">
    <w:p w:rsidR="00530550" w:rsidP="004C6034" w14:paraId="2643E498" w14:textId="77777777">
      <w:pPr>
        <w:pStyle w:val="FootnoteText"/>
      </w:pPr>
      <w:r>
        <w:rPr>
          <w:rStyle w:val="FootnoteReference"/>
        </w:rPr>
        <w:footnoteRef/>
      </w:r>
      <w:r>
        <w:t xml:space="preserve">  </w:t>
      </w:r>
      <w:r w:rsidRPr="00AF552E">
        <w:t xml:space="preserve">U.S. Census Bureau, </w:t>
      </w:r>
      <w:r w:rsidRPr="00F05C59">
        <w:rPr>
          <w:i/>
        </w:rPr>
        <w:t xml:space="preserve">2012 Economic Census of the United States, </w:t>
      </w:r>
      <w:r w:rsidRPr="00AF552E">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AF552E">
        <w:t xml:space="preserve">: 2012, NAICS </w:t>
      </w:r>
      <w:r>
        <w:t>Code</w:t>
      </w:r>
      <w:r w:rsidRPr="00AF552E">
        <w:t xml:space="preserve"> 621420, </w:t>
      </w:r>
      <w:hyperlink r:id="rId50" w:history="1">
        <w:r w:rsidRPr="00FC1E1F">
          <w:rPr>
            <w:rStyle w:val="Hyperlink"/>
          </w:rPr>
          <w:t>https://factfinder.census.gov/bkmk/table/1.0/en/ECN/2012_US/62SSSZ4//naics~621420</w:t>
        </w:r>
      </w:hyperlink>
      <w:r w:rsidRPr="00EE657F">
        <w:rPr>
          <w:rStyle w:val="Hyperlink"/>
        </w:rPr>
        <w:t xml:space="preserve"> (last visited </w:t>
      </w:r>
      <w:r>
        <w:rPr>
          <w:rStyle w:val="Hyperlink"/>
        </w:rPr>
        <w:t>June 6</w:t>
      </w:r>
      <w:r w:rsidRPr="00EE657F">
        <w:rPr>
          <w:rStyle w:val="Hyperlink"/>
        </w:rPr>
        <w:t>, 2018)</w:t>
      </w:r>
      <w:r w:rsidRPr="00523DC2">
        <w:t>.</w:t>
      </w:r>
      <w:r>
        <w:t xml:space="preserve"> </w:t>
      </w:r>
    </w:p>
  </w:footnote>
  <w:footnote w:id="187">
    <w:p w:rsidR="00530550" w:rsidP="004C6034" w14:paraId="15A5507F" w14:textId="77777777">
      <w:pPr>
        <w:pStyle w:val="FootnoteText"/>
      </w:pPr>
      <w:r>
        <w:rPr>
          <w:rStyle w:val="FootnoteReference"/>
        </w:rPr>
        <w:footnoteRef/>
      </w:r>
      <w:r>
        <w:rPr>
          <w:i/>
        </w:rPr>
        <w:t xml:space="preserve"> </w:t>
      </w:r>
      <w:r w:rsidRPr="00F05C59">
        <w:rPr>
          <w:i/>
        </w:rPr>
        <w:t>Id</w:t>
      </w:r>
      <w:r w:rsidRPr="00EE7B3B">
        <w:t xml:space="preserve">.  </w:t>
      </w:r>
    </w:p>
  </w:footnote>
  <w:footnote w:id="188">
    <w:p w:rsidR="00530550" w:rsidP="004C6034" w14:paraId="020DD13C" w14:textId="77777777">
      <w:pPr>
        <w:pStyle w:val="FootnoteText"/>
      </w:pPr>
      <w:r>
        <w:rPr>
          <w:rStyle w:val="FootnoteReference"/>
        </w:rPr>
        <w:footnoteRef/>
      </w:r>
      <w:r>
        <w:t xml:space="preserve"> </w:t>
      </w:r>
      <w:r w:rsidRPr="00141A60">
        <w:rPr>
          <w:i/>
        </w:rPr>
        <w:t>See</w:t>
      </w:r>
      <w:r w:rsidRPr="00904B84">
        <w:t xml:space="preserve"> U.S. Census Bureau, </w:t>
      </w:r>
      <w:r w:rsidRPr="006555CE">
        <w:rPr>
          <w:i/>
        </w:rPr>
        <w:t>2012 NAICS Definitions</w:t>
      </w:r>
      <w:r w:rsidRPr="00904B84">
        <w:t>, NAICS Code 621491 “HMO Medical Centers</w:t>
      </w:r>
      <w:r>
        <w:t>,</w:t>
      </w:r>
      <w:r w:rsidRPr="00904B84">
        <w:t xml:space="preserve">” </w:t>
      </w:r>
      <w:hyperlink r:id="rId51" w:history="1">
        <w:r w:rsidRPr="00FC1E1F">
          <w:rPr>
            <w:rStyle w:val="Hyperlink"/>
          </w:rPr>
          <w:t>https://www.census.gov/cgi-bin/sssd/naics/naicsrch?input=621491&amp;search=2012+NAICS+Search&amp;search=2012</w:t>
        </w:r>
      </w:hyperlink>
      <w:r w:rsidRPr="00EE657F">
        <w:rPr>
          <w:rStyle w:val="Hyperlink"/>
        </w:rPr>
        <w:t xml:space="preserve"> (last visited </w:t>
      </w:r>
      <w:r>
        <w:rPr>
          <w:rStyle w:val="Hyperlink"/>
        </w:rPr>
        <w:t>June 6</w:t>
      </w:r>
      <w:r w:rsidRPr="00EE657F">
        <w:rPr>
          <w:rStyle w:val="Hyperlink"/>
        </w:rPr>
        <w:t>, 2018)</w:t>
      </w:r>
      <w:r w:rsidRPr="00523DC2">
        <w:t>.</w:t>
      </w:r>
      <w:r>
        <w:t xml:space="preserve">  </w:t>
      </w:r>
    </w:p>
  </w:footnote>
  <w:footnote w:id="189">
    <w:p w:rsidR="00530550" w:rsidP="004C6034" w14:paraId="6720AE01" w14:textId="77777777">
      <w:pPr>
        <w:pStyle w:val="FootnoteText"/>
      </w:pPr>
      <w:r>
        <w:rPr>
          <w:rStyle w:val="FootnoteReference"/>
        </w:rPr>
        <w:footnoteRef/>
      </w:r>
      <w:r>
        <w:t xml:space="preserve"> 13 CFR § 121.201; NAICS Code 621491.</w:t>
      </w:r>
    </w:p>
  </w:footnote>
  <w:footnote w:id="190">
    <w:p w:rsidR="00530550" w:rsidP="004C6034" w14:paraId="6BC059F1" w14:textId="77777777">
      <w:pPr>
        <w:pStyle w:val="FootnoteText"/>
      </w:pPr>
      <w:r>
        <w:rPr>
          <w:rStyle w:val="FootnoteReference"/>
        </w:rPr>
        <w:footnoteRef/>
      </w:r>
      <w:r>
        <w:t xml:space="preserve"> </w:t>
      </w:r>
      <w:r w:rsidRPr="002815CC">
        <w:t xml:space="preserve">U.S. Census Bureau, </w:t>
      </w:r>
      <w:r w:rsidRPr="00F05C59">
        <w:rPr>
          <w:i/>
        </w:rPr>
        <w:t xml:space="preserve">2012 Economic Census of the United States, </w:t>
      </w:r>
      <w:r w:rsidRPr="002815CC">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2815CC">
        <w:t xml:space="preserve">: 2012, NAICS </w:t>
      </w:r>
      <w:r>
        <w:t>Code</w:t>
      </w:r>
      <w:r w:rsidRPr="002815CC">
        <w:t xml:space="preserve"> 621491, </w:t>
      </w:r>
      <w:hyperlink r:id="rId52" w:history="1">
        <w:r w:rsidRPr="00FC1E1F">
          <w:rPr>
            <w:rStyle w:val="Hyperlink"/>
          </w:rPr>
          <w:t>https://factfinder.census.gov/bkmk/table/1.0/en/ECN/2012_US/62SSSZ4//naics~621491</w:t>
        </w:r>
      </w:hyperlink>
      <w:r w:rsidRPr="00EE657F">
        <w:rPr>
          <w:rStyle w:val="Hyperlink"/>
        </w:rPr>
        <w:t xml:space="preserve"> (last visited </w:t>
      </w:r>
      <w:r>
        <w:rPr>
          <w:rStyle w:val="Hyperlink"/>
        </w:rPr>
        <w:t>June 6</w:t>
      </w:r>
      <w:r w:rsidRPr="00EE657F">
        <w:rPr>
          <w:rStyle w:val="Hyperlink"/>
        </w:rPr>
        <w:t>, 2018)</w:t>
      </w:r>
      <w:r w:rsidRPr="00523DC2">
        <w:t>.</w:t>
      </w:r>
      <w:r>
        <w:t xml:space="preserve"> </w:t>
      </w:r>
    </w:p>
  </w:footnote>
  <w:footnote w:id="191">
    <w:p w:rsidR="00530550" w:rsidP="004C6034" w14:paraId="4D4773E0" w14:textId="77777777">
      <w:pPr>
        <w:pStyle w:val="FootnoteText"/>
      </w:pPr>
      <w:r>
        <w:rPr>
          <w:rStyle w:val="FootnoteReference"/>
        </w:rPr>
        <w:footnoteRef/>
      </w:r>
      <w:r>
        <w:t xml:space="preserve"> </w:t>
      </w:r>
      <w:r w:rsidRPr="00F05C59">
        <w:rPr>
          <w:i/>
        </w:rPr>
        <w:t>Id.</w:t>
      </w:r>
      <w:r w:rsidRPr="002D324C">
        <w:t xml:space="preserve">  </w:t>
      </w:r>
    </w:p>
  </w:footnote>
  <w:footnote w:id="192">
    <w:p w:rsidR="00530550" w:rsidP="004C6034" w14:paraId="493545FF" w14:textId="77777777">
      <w:pPr>
        <w:pStyle w:val="FootnoteText"/>
      </w:pPr>
      <w:r>
        <w:rPr>
          <w:rStyle w:val="FootnoteReference"/>
        </w:rPr>
        <w:footnoteRef/>
      </w:r>
      <w:r>
        <w:t xml:space="preserve"> </w:t>
      </w:r>
      <w:r w:rsidRPr="008734D1">
        <w:rPr>
          <w:i/>
        </w:rPr>
        <w:t>See</w:t>
      </w:r>
      <w:r w:rsidRPr="00A94040">
        <w:t xml:space="preserve"> U.S. Census Bureau</w:t>
      </w:r>
      <w:r w:rsidRPr="006555CE">
        <w:rPr>
          <w:i/>
        </w:rPr>
        <w:t>, 2012 NAICS Definitions</w:t>
      </w:r>
      <w:r w:rsidRPr="00A94040">
        <w:t>, NAICS Code 621493 “Freestanding Ambulatory Surgical and Emergency Centers</w:t>
      </w:r>
      <w:r>
        <w:t>,</w:t>
      </w:r>
      <w:r w:rsidRPr="00A94040">
        <w:t>”</w:t>
      </w:r>
      <w:r>
        <w:t xml:space="preserve"> </w:t>
      </w:r>
      <w:hyperlink r:id="rId53" w:history="1">
        <w:r w:rsidRPr="00FC1E1F">
          <w:rPr>
            <w:rStyle w:val="Hyperlink"/>
          </w:rPr>
          <w:t>https://www.census.gov/cgi-bin/sssd/naics/naicsrch?input=621493&amp;search=2012+NAICS+Search&amp;search=2012</w:t>
        </w:r>
      </w:hyperlink>
      <w:r w:rsidRPr="00E62F7C">
        <w:rPr>
          <w:rStyle w:val="Hyperlink"/>
        </w:rPr>
        <w:t xml:space="preserve"> (last visited </w:t>
      </w:r>
      <w:r>
        <w:rPr>
          <w:rStyle w:val="Hyperlink"/>
        </w:rPr>
        <w:t>June 6</w:t>
      </w:r>
      <w:r w:rsidRPr="00E62F7C">
        <w:rPr>
          <w:rStyle w:val="Hyperlink"/>
        </w:rPr>
        <w:t>, 2018)</w:t>
      </w:r>
      <w:r w:rsidRPr="00E62F7C">
        <w:t>.</w:t>
      </w:r>
      <w:r>
        <w:t xml:space="preserve"> </w:t>
      </w:r>
    </w:p>
  </w:footnote>
  <w:footnote w:id="193">
    <w:p w:rsidR="00530550" w:rsidP="004C6034" w14:paraId="1BCB1783" w14:textId="77777777">
      <w:pPr>
        <w:pStyle w:val="FootnoteText"/>
      </w:pPr>
      <w:r>
        <w:rPr>
          <w:rStyle w:val="FootnoteReference"/>
        </w:rPr>
        <w:footnoteRef/>
      </w:r>
      <w:r>
        <w:t xml:space="preserve"> 13 CFR § 121.201; NAICS Code 621493.</w:t>
      </w:r>
    </w:p>
  </w:footnote>
  <w:footnote w:id="194">
    <w:p w:rsidR="00530550" w:rsidP="004C6034" w14:paraId="5951C831" w14:textId="77777777">
      <w:pPr>
        <w:pStyle w:val="FootnoteText"/>
      </w:pPr>
      <w:r>
        <w:rPr>
          <w:rStyle w:val="FootnoteReference"/>
        </w:rPr>
        <w:footnoteRef/>
      </w:r>
      <w:r>
        <w:t xml:space="preserve"> </w:t>
      </w:r>
      <w:r w:rsidRPr="00F166A2">
        <w:t xml:space="preserve">U.S. Census Bureau, </w:t>
      </w:r>
      <w:r w:rsidRPr="00F05C59">
        <w:rPr>
          <w:i/>
        </w:rPr>
        <w:t xml:space="preserve">2012 Economic Census of the United States, </w:t>
      </w:r>
      <w:r w:rsidRPr="00F166A2">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F166A2">
        <w:t xml:space="preserve">: 2012, NAICS </w:t>
      </w:r>
      <w:r>
        <w:t>Code</w:t>
      </w:r>
      <w:r w:rsidRPr="00F166A2">
        <w:t xml:space="preserve"> 621493, </w:t>
      </w:r>
      <w:hyperlink r:id="rId54" w:history="1">
        <w:r w:rsidRPr="00FC1E1F">
          <w:rPr>
            <w:rStyle w:val="Hyperlink"/>
          </w:rPr>
          <w:t>https://factfinder.census.gov/bkmk/table/1.0/en/ECN/2012_US/62SSSZ4//naics~621493</w:t>
        </w:r>
      </w:hyperlink>
      <w:r w:rsidRPr="00E62F7C">
        <w:rPr>
          <w:rStyle w:val="Hyperlink"/>
        </w:rPr>
        <w:t xml:space="preserve"> (last visited </w:t>
      </w:r>
      <w:r>
        <w:rPr>
          <w:rStyle w:val="Hyperlink"/>
        </w:rPr>
        <w:t>June 6</w:t>
      </w:r>
      <w:r w:rsidRPr="00E62F7C">
        <w:rPr>
          <w:rStyle w:val="Hyperlink"/>
        </w:rPr>
        <w:t>, 2018)</w:t>
      </w:r>
      <w:r w:rsidRPr="00523DC2">
        <w:t>.</w:t>
      </w:r>
      <w:r>
        <w:t xml:space="preserve"> </w:t>
      </w:r>
    </w:p>
  </w:footnote>
  <w:footnote w:id="195">
    <w:p w:rsidR="00530550" w:rsidP="004C6034" w14:paraId="3179E435" w14:textId="77777777">
      <w:pPr>
        <w:pStyle w:val="FootnoteText"/>
      </w:pPr>
      <w:r>
        <w:rPr>
          <w:rStyle w:val="FootnoteReference"/>
        </w:rPr>
        <w:footnoteRef/>
      </w:r>
      <w:r w:rsidRPr="00C02EC6">
        <w:t xml:space="preserve"> </w:t>
      </w:r>
      <w:r w:rsidRPr="00F05C59">
        <w:rPr>
          <w:i/>
        </w:rPr>
        <w:t>Id.</w:t>
      </w:r>
      <w:r w:rsidRPr="00C02EC6">
        <w:t xml:space="preserve">  </w:t>
      </w:r>
    </w:p>
  </w:footnote>
  <w:footnote w:id="196">
    <w:p w:rsidR="00530550" w:rsidP="004C6034" w14:paraId="2C348804" w14:textId="77777777">
      <w:pPr>
        <w:pStyle w:val="FootnoteText"/>
      </w:pPr>
      <w:r>
        <w:rPr>
          <w:rStyle w:val="FootnoteReference"/>
        </w:rPr>
        <w:footnoteRef/>
      </w:r>
      <w:r>
        <w:t xml:space="preserve"> </w:t>
      </w:r>
      <w:r w:rsidRPr="008734D1">
        <w:rPr>
          <w:i/>
        </w:rPr>
        <w:t>See</w:t>
      </w:r>
      <w:r w:rsidRPr="006449C8">
        <w:t xml:space="preserve"> U.S. Census Bureau, </w:t>
      </w:r>
      <w:r w:rsidRPr="006555CE">
        <w:rPr>
          <w:i/>
        </w:rPr>
        <w:t>2012 NAICS Definitions</w:t>
      </w:r>
      <w:r>
        <w:t>, NAICS Code 621498</w:t>
      </w:r>
      <w:r w:rsidRPr="006449C8">
        <w:t xml:space="preserve"> “All Other Outpatient Care</w:t>
      </w:r>
      <w:r>
        <w:t xml:space="preserve"> </w:t>
      </w:r>
      <w:r w:rsidRPr="006449C8">
        <w:t>Centers</w:t>
      </w:r>
      <w:r>
        <w:t>,</w:t>
      </w:r>
      <w:r w:rsidRPr="006449C8">
        <w:t>”</w:t>
      </w:r>
      <w:r>
        <w:t xml:space="preserve"> </w:t>
      </w:r>
      <w:hyperlink r:id="rId55" w:history="1">
        <w:r w:rsidRPr="00FC1E1F">
          <w:rPr>
            <w:rStyle w:val="Hyperlink"/>
          </w:rPr>
          <w:t>https://www.census.gov/cgi-bin/sssd/naics/naicsrch?input=621498&amp;search=2012+NAICS+Search&amp;search=2012</w:t>
        </w:r>
      </w:hyperlink>
      <w:r w:rsidRPr="00E62F7C">
        <w:rPr>
          <w:rStyle w:val="Hyperlink"/>
        </w:rPr>
        <w:t xml:space="preserve"> (last visited </w:t>
      </w:r>
      <w:r>
        <w:rPr>
          <w:rStyle w:val="Hyperlink"/>
        </w:rPr>
        <w:t>June 6</w:t>
      </w:r>
      <w:r w:rsidRPr="00E62F7C">
        <w:rPr>
          <w:rStyle w:val="Hyperlink"/>
        </w:rPr>
        <w:t>, 2018)</w:t>
      </w:r>
      <w:r w:rsidRPr="00523DC2">
        <w:t>.</w:t>
      </w:r>
      <w:r>
        <w:t xml:space="preserve"> </w:t>
      </w:r>
    </w:p>
  </w:footnote>
  <w:footnote w:id="197">
    <w:p w:rsidR="00530550" w:rsidP="004C6034" w14:paraId="7652D538" w14:textId="77777777">
      <w:pPr>
        <w:pStyle w:val="FootnoteText"/>
      </w:pPr>
      <w:r>
        <w:rPr>
          <w:rStyle w:val="FootnoteReference"/>
        </w:rPr>
        <w:footnoteRef/>
      </w:r>
      <w:r>
        <w:t xml:space="preserve"> 13 CFR § 121.201; NAICS Code 621498.</w:t>
      </w:r>
    </w:p>
  </w:footnote>
  <w:footnote w:id="198">
    <w:p w:rsidR="00530550" w:rsidP="004C6034" w14:paraId="62CAC864" w14:textId="77777777">
      <w:pPr>
        <w:pStyle w:val="FootnoteText"/>
      </w:pPr>
      <w:r>
        <w:rPr>
          <w:rStyle w:val="FootnoteReference"/>
        </w:rPr>
        <w:footnoteRef/>
      </w:r>
      <w:r>
        <w:t xml:space="preserve"> U.S. Census Bureau, </w:t>
      </w:r>
      <w:r w:rsidRPr="00F05C59">
        <w:rPr>
          <w:i/>
        </w:rPr>
        <w:t xml:space="preserve">2012 Economic Census of the United States, </w:t>
      </w:r>
      <w:r w:rsidRPr="00C71323">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t xml:space="preserve">: 2012, NAICS Code 621498, </w:t>
      </w:r>
      <w:hyperlink r:id="rId56" w:history="1">
        <w:r w:rsidRPr="00FC1E1F">
          <w:rPr>
            <w:rStyle w:val="Hyperlink"/>
          </w:rPr>
          <w:t>https://factfinder.census.gov/bkmk/table/1.0/en/ECN/2012_US/62SSSZ4//naics~621498</w:t>
        </w:r>
      </w:hyperlink>
      <w:r w:rsidRPr="00E62F7C">
        <w:rPr>
          <w:rStyle w:val="Hyperlink"/>
        </w:rPr>
        <w:t xml:space="preserve"> (last visited </w:t>
      </w:r>
      <w:r>
        <w:rPr>
          <w:rStyle w:val="Hyperlink"/>
        </w:rPr>
        <w:t>June 6</w:t>
      </w:r>
      <w:r w:rsidRPr="00E62F7C">
        <w:rPr>
          <w:rStyle w:val="Hyperlink"/>
        </w:rPr>
        <w:t>, 2018)</w:t>
      </w:r>
      <w:r w:rsidRPr="00523DC2">
        <w:t>.</w:t>
      </w:r>
      <w:r>
        <w:t xml:space="preserve"> </w:t>
      </w:r>
    </w:p>
  </w:footnote>
  <w:footnote w:id="199">
    <w:p w:rsidR="00530550" w:rsidP="004C6034" w14:paraId="187698B2" w14:textId="77777777">
      <w:pPr>
        <w:pStyle w:val="FootnoteText"/>
      </w:pPr>
      <w:r>
        <w:rPr>
          <w:rStyle w:val="FootnoteReference"/>
        </w:rPr>
        <w:footnoteRef/>
      </w:r>
      <w:r w:rsidRPr="00522B82">
        <w:t xml:space="preserve"> </w:t>
      </w:r>
      <w:r w:rsidRPr="00F05C59">
        <w:rPr>
          <w:i/>
        </w:rPr>
        <w:t>Id.</w:t>
      </w:r>
      <w:r w:rsidRPr="00522B82">
        <w:t xml:space="preserve">  </w:t>
      </w:r>
    </w:p>
  </w:footnote>
  <w:footnote w:id="200">
    <w:p w:rsidR="00530550" w:rsidP="004C6034" w14:paraId="18CC9B84" w14:textId="77777777">
      <w:pPr>
        <w:pStyle w:val="FootnoteText"/>
      </w:pPr>
      <w:r>
        <w:rPr>
          <w:rStyle w:val="FootnoteReference"/>
        </w:rPr>
        <w:footnoteRef/>
      </w:r>
      <w:r>
        <w:t xml:space="preserve"> </w:t>
      </w:r>
      <w:r w:rsidRPr="008F771F">
        <w:rPr>
          <w:i/>
        </w:rPr>
        <w:t>See</w:t>
      </w:r>
      <w:r w:rsidRPr="00E16662">
        <w:t xml:space="preserve"> U.S. Census Bureau, </w:t>
      </w:r>
      <w:r w:rsidRPr="006555CE">
        <w:rPr>
          <w:i/>
        </w:rPr>
        <w:t>2012 NAICS Definitions</w:t>
      </w:r>
      <w:r w:rsidRPr="00E16662">
        <w:t>, NAICS Code 621991 “Blood and Organ Banks</w:t>
      </w:r>
      <w:r>
        <w:t>,</w:t>
      </w:r>
      <w:r w:rsidRPr="00E16662">
        <w:t>”</w:t>
      </w:r>
      <w:r>
        <w:t xml:space="preserve"> </w:t>
      </w:r>
      <w:hyperlink r:id="rId57" w:history="1">
        <w:r w:rsidRPr="00FC1E1F">
          <w:rPr>
            <w:rStyle w:val="Hyperlink"/>
          </w:rPr>
          <w:t>https://www.census.gov/cgi-bin/sssd/naics/naicsrch?input=621991&amp;search=2012+NAICS+Search&amp;search=2012</w:t>
        </w:r>
      </w:hyperlink>
      <w:r w:rsidRPr="009F40A3">
        <w:rPr>
          <w:rStyle w:val="Hyperlink"/>
        </w:rPr>
        <w:t xml:space="preserve"> (last visited </w:t>
      </w:r>
      <w:r>
        <w:rPr>
          <w:rStyle w:val="Hyperlink"/>
        </w:rPr>
        <w:t>June 6</w:t>
      </w:r>
      <w:r w:rsidRPr="009F40A3">
        <w:rPr>
          <w:rStyle w:val="Hyperlink"/>
        </w:rPr>
        <w:t>, 2018)</w:t>
      </w:r>
      <w:r w:rsidRPr="00523DC2">
        <w:t>.</w:t>
      </w:r>
      <w:r>
        <w:t xml:space="preserve"> </w:t>
      </w:r>
    </w:p>
  </w:footnote>
  <w:footnote w:id="201">
    <w:p w:rsidR="00530550" w:rsidP="004C6034" w14:paraId="7C76C8ED" w14:textId="77777777">
      <w:pPr>
        <w:pStyle w:val="FootnoteText"/>
      </w:pPr>
      <w:r>
        <w:rPr>
          <w:rStyle w:val="FootnoteReference"/>
        </w:rPr>
        <w:footnoteRef/>
      </w:r>
      <w:r>
        <w:t xml:space="preserve"> </w:t>
      </w:r>
      <w:r w:rsidRPr="00D01682">
        <w:t xml:space="preserve">13 </w:t>
      </w:r>
      <w:r>
        <w:t>CFR §</w:t>
      </w:r>
      <w:r w:rsidRPr="00D01682">
        <w:t xml:space="preserve"> </w:t>
      </w:r>
      <w:r>
        <w:t>121.201;</w:t>
      </w:r>
      <w:r w:rsidRPr="00D01682">
        <w:t xml:space="preserve"> NAICS Code 621991</w:t>
      </w:r>
      <w:r>
        <w:t>.</w:t>
      </w:r>
    </w:p>
  </w:footnote>
  <w:footnote w:id="202">
    <w:p w:rsidR="00530550" w:rsidP="004C6034" w14:paraId="74073237" w14:textId="77777777">
      <w:pPr>
        <w:pStyle w:val="FootnoteText"/>
      </w:pPr>
      <w:r>
        <w:rPr>
          <w:rStyle w:val="FootnoteReference"/>
        </w:rPr>
        <w:footnoteRef/>
      </w:r>
      <w:r>
        <w:t xml:space="preserve"> </w:t>
      </w:r>
      <w:r w:rsidRPr="00E16662">
        <w:t xml:space="preserve">U.S. Census Bureau, </w:t>
      </w:r>
      <w:r w:rsidRPr="00F05C59">
        <w:rPr>
          <w:i/>
        </w:rPr>
        <w:t xml:space="preserve">2012 Economic Census of the United States, </w:t>
      </w:r>
      <w:r w:rsidRPr="00E16662">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E16662">
        <w:t xml:space="preserve">: 2012, NAICS </w:t>
      </w:r>
      <w:r>
        <w:t>Code</w:t>
      </w:r>
      <w:r w:rsidRPr="00E16662">
        <w:t xml:space="preserve"> 621991, </w:t>
      </w:r>
      <w:hyperlink r:id="rId58" w:history="1">
        <w:r w:rsidRPr="00FC1E1F">
          <w:rPr>
            <w:rStyle w:val="Hyperlink"/>
          </w:rPr>
          <w:t>https://factfinder.census.gov/bkmk/table/1.0/en/ECN/2012_US/62SSSZ4//naics~621991</w:t>
        </w:r>
      </w:hyperlink>
      <w:r w:rsidRPr="009F40A3">
        <w:rPr>
          <w:rStyle w:val="Hyperlink"/>
        </w:rPr>
        <w:t xml:space="preserve"> (last</w:t>
      </w:r>
      <w:r w:rsidRPr="00E62F7C">
        <w:rPr>
          <w:rStyle w:val="Hyperlink"/>
        </w:rPr>
        <w:t xml:space="preserve"> visited </w:t>
      </w:r>
      <w:r>
        <w:rPr>
          <w:rStyle w:val="Hyperlink"/>
        </w:rPr>
        <w:t>June 6</w:t>
      </w:r>
      <w:r w:rsidRPr="00E62F7C">
        <w:rPr>
          <w:rStyle w:val="Hyperlink"/>
        </w:rPr>
        <w:t>, 2018)</w:t>
      </w:r>
      <w:r w:rsidRPr="00523DC2">
        <w:t>.</w:t>
      </w:r>
      <w:r>
        <w:t xml:space="preserve"> </w:t>
      </w:r>
    </w:p>
  </w:footnote>
  <w:footnote w:id="203">
    <w:p w:rsidR="00530550" w:rsidP="004C6034" w14:paraId="531E6D94" w14:textId="77777777">
      <w:pPr>
        <w:pStyle w:val="FootnoteText"/>
      </w:pPr>
      <w:r>
        <w:rPr>
          <w:rStyle w:val="FootnoteReference"/>
        </w:rPr>
        <w:footnoteRef/>
      </w:r>
      <w:r>
        <w:rPr>
          <w:i/>
        </w:rPr>
        <w:t xml:space="preserve"> </w:t>
      </w:r>
      <w:r w:rsidRPr="002304D8">
        <w:rPr>
          <w:i/>
        </w:rPr>
        <w:t>Id.</w:t>
      </w:r>
      <w:r w:rsidRPr="00522B82">
        <w:t xml:space="preserve">  </w:t>
      </w:r>
    </w:p>
  </w:footnote>
  <w:footnote w:id="204">
    <w:p w:rsidR="00530550" w:rsidP="004C6034" w14:paraId="515E9B82" w14:textId="77777777">
      <w:pPr>
        <w:pStyle w:val="FootnoteText"/>
      </w:pPr>
      <w:r>
        <w:rPr>
          <w:rStyle w:val="FootnoteReference"/>
        </w:rPr>
        <w:footnoteRef/>
      </w:r>
      <w:r>
        <w:t xml:space="preserve"> </w:t>
      </w:r>
      <w:r w:rsidRPr="008734D1">
        <w:rPr>
          <w:i/>
        </w:rPr>
        <w:t>See</w:t>
      </w:r>
      <w:r w:rsidRPr="00C0681C">
        <w:t xml:space="preserve"> U.S. Census Bureau, </w:t>
      </w:r>
      <w:r w:rsidRPr="006555CE">
        <w:rPr>
          <w:i/>
        </w:rPr>
        <w:t>2012 NAICS Definitions</w:t>
      </w:r>
      <w:r>
        <w:t>, NAICS Code 621999</w:t>
      </w:r>
      <w:r w:rsidRPr="00C0681C">
        <w:t xml:space="preserve"> “All Other Miscellaneous Ambulatory Health Care Services</w:t>
      </w:r>
      <w:r>
        <w:t>,”</w:t>
      </w:r>
      <w:r w:rsidRPr="00C0681C">
        <w:t xml:space="preserve"> </w:t>
      </w:r>
      <w:hyperlink r:id="rId59" w:history="1">
        <w:r w:rsidRPr="00FC1E1F">
          <w:rPr>
            <w:rStyle w:val="Hyperlink"/>
          </w:rPr>
          <w:t>https://www.census.gov/cgi-bin/sssd/naics/naicsrch?input=621999&amp;search=2012+NAICS+Search&amp;search=2012</w:t>
        </w:r>
      </w:hyperlink>
      <w:r w:rsidRPr="009F40A3">
        <w:rPr>
          <w:rStyle w:val="Hyperlink"/>
        </w:rPr>
        <w:t xml:space="preserve"> (last visited </w:t>
      </w:r>
      <w:r>
        <w:rPr>
          <w:rStyle w:val="Hyperlink"/>
        </w:rPr>
        <w:t>June 6</w:t>
      </w:r>
      <w:r w:rsidRPr="009F40A3">
        <w:rPr>
          <w:rStyle w:val="Hyperlink"/>
        </w:rPr>
        <w:t>, 2018)</w:t>
      </w:r>
      <w:r w:rsidRPr="009F40A3">
        <w:t>.</w:t>
      </w:r>
      <w:r>
        <w:t xml:space="preserve"> </w:t>
      </w:r>
    </w:p>
  </w:footnote>
  <w:footnote w:id="205">
    <w:p w:rsidR="00530550" w:rsidP="004C6034" w14:paraId="3580B4C7" w14:textId="77777777">
      <w:pPr>
        <w:pStyle w:val="FootnoteText"/>
      </w:pPr>
      <w:r>
        <w:rPr>
          <w:rStyle w:val="FootnoteReference"/>
        </w:rPr>
        <w:footnoteRef/>
      </w:r>
      <w:r>
        <w:t xml:space="preserve"> 13 CFR § 121.201; NAICS Code 621999.</w:t>
      </w:r>
    </w:p>
  </w:footnote>
  <w:footnote w:id="206">
    <w:p w:rsidR="00530550" w:rsidP="004C6034" w14:paraId="25A3F503" w14:textId="77777777">
      <w:pPr>
        <w:pStyle w:val="FootnoteText"/>
      </w:pPr>
      <w:r>
        <w:rPr>
          <w:rStyle w:val="FootnoteReference"/>
        </w:rPr>
        <w:footnoteRef/>
      </w:r>
      <w:r>
        <w:t xml:space="preserve"> </w:t>
      </w:r>
      <w:r w:rsidRPr="00945B56">
        <w:t xml:space="preserve">U.S. Census Bureau, </w:t>
      </w:r>
      <w:r w:rsidRPr="00F05C59">
        <w:rPr>
          <w:i/>
        </w:rPr>
        <w:t xml:space="preserve">2012 Economic Census of the United States, </w:t>
      </w:r>
      <w:r w:rsidRPr="00945B56">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945B56">
        <w:t xml:space="preserve">: 2012, NAICS </w:t>
      </w:r>
      <w:r>
        <w:t>Code</w:t>
      </w:r>
      <w:r w:rsidRPr="00945B56">
        <w:t xml:space="preserve"> 621999, </w:t>
      </w:r>
      <w:hyperlink r:id="rId60" w:history="1">
        <w:r w:rsidRPr="00FC1E1F">
          <w:rPr>
            <w:rStyle w:val="Hyperlink"/>
          </w:rPr>
          <w:t>https://factfinder.census.gov/bkmk/table/1.0/en/ECN/2012_US/62SSSZ4//naics~621999</w:t>
        </w:r>
      </w:hyperlink>
      <w:r w:rsidRPr="009F40A3">
        <w:rPr>
          <w:rStyle w:val="Hyperlink"/>
        </w:rPr>
        <w:t xml:space="preserve"> (last visited </w:t>
      </w:r>
      <w:r>
        <w:rPr>
          <w:rStyle w:val="Hyperlink"/>
        </w:rPr>
        <w:t>June 6</w:t>
      </w:r>
      <w:r w:rsidRPr="009F40A3">
        <w:rPr>
          <w:rStyle w:val="Hyperlink"/>
        </w:rPr>
        <w:t>, 2018)</w:t>
      </w:r>
      <w:r w:rsidRPr="00523DC2">
        <w:t>.</w:t>
      </w:r>
      <w:r>
        <w:t xml:space="preserve"> </w:t>
      </w:r>
    </w:p>
  </w:footnote>
  <w:footnote w:id="207">
    <w:p w:rsidR="00530550" w:rsidP="004C6034" w14:paraId="1DFB28D7" w14:textId="77777777">
      <w:pPr>
        <w:pStyle w:val="FootnoteText"/>
      </w:pPr>
      <w:r>
        <w:rPr>
          <w:rStyle w:val="FootnoteReference"/>
        </w:rPr>
        <w:footnoteRef/>
      </w:r>
      <w:r>
        <w:t xml:space="preserve"> </w:t>
      </w:r>
      <w:r w:rsidRPr="00F05C59">
        <w:rPr>
          <w:i/>
        </w:rPr>
        <w:t>Id.</w:t>
      </w:r>
      <w:r w:rsidRPr="00471F17">
        <w:t xml:space="preserve">  </w:t>
      </w:r>
    </w:p>
  </w:footnote>
  <w:footnote w:id="208">
    <w:p w:rsidR="00530550" w:rsidP="004C6034" w14:paraId="475A9526" w14:textId="77777777">
      <w:pPr>
        <w:pStyle w:val="FootnoteText"/>
      </w:pPr>
      <w:r>
        <w:rPr>
          <w:rStyle w:val="FootnoteReference"/>
        </w:rPr>
        <w:footnoteRef/>
      </w:r>
      <w:r>
        <w:t xml:space="preserve"> </w:t>
      </w:r>
      <w:r w:rsidRPr="00280DCB">
        <w:rPr>
          <w:i/>
        </w:rPr>
        <w:t>See</w:t>
      </w:r>
      <w:r w:rsidRPr="009D27C4">
        <w:t xml:space="preserve"> U.S. Census Bureau, </w:t>
      </w:r>
      <w:r w:rsidRPr="006555CE">
        <w:rPr>
          <w:i/>
        </w:rPr>
        <w:t>2012 NAICS Definitions</w:t>
      </w:r>
      <w:r w:rsidRPr="009D27C4">
        <w:t>, NAICS Code 621511 “Medical Laboratories</w:t>
      </w:r>
      <w:r>
        <w:t>,</w:t>
      </w:r>
      <w:r w:rsidRPr="009D27C4">
        <w:t>”</w:t>
      </w:r>
      <w:r>
        <w:t xml:space="preserve"> </w:t>
      </w:r>
      <w:hyperlink r:id="rId61" w:history="1">
        <w:r w:rsidRPr="00FC1E1F">
          <w:rPr>
            <w:rStyle w:val="Hyperlink"/>
          </w:rPr>
          <w:t>https://www.census.gov/cgi-bin/sssd/naics/naicsrch?input=621511&amp;search=2012+NAICS+Search&amp;search=2012</w:t>
        </w:r>
      </w:hyperlink>
      <w:r w:rsidRPr="00CE1BA1">
        <w:rPr>
          <w:rStyle w:val="Hyperlink"/>
        </w:rPr>
        <w:t xml:space="preserve"> (last visited </w:t>
      </w:r>
      <w:r>
        <w:rPr>
          <w:rStyle w:val="Hyperlink"/>
        </w:rPr>
        <w:t>June 6</w:t>
      </w:r>
      <w:r w:rsidRPr="00CE1BA1">
        <w:rPr>
          <w:rStyle w:val="Hyperlink"/>
        </w:rPr>
        <w:t>, 2018)</w:t>
      </w:r>
      <w:r w:rsidRPr="00523DC2">
        <w:t xml:space="preserve">. </w:t>
      </w:r>
    </w:p>
  </w:footnote>
  <w:footnote w:id="209">
    <w:p w:rsidR="00530550" w:rsidP="004C6034" w14:paraId="7918B2DC" w14:textId="77777777">
      <w:pPr>
        <w:pStyle w:val="FootnoteText"/>
      </w:pPr>
      <w:r>
        <w:rPr>
          <w:rStyle w:val="FootnoteReference"/>
        </w:rPr>
        <w:footnoteRef/>
      </w:r>
      <w:r>
        <w:t xml:space="preserve"> 13 CFR § 121.201; NAICS Code 621511.</w:t>
      </w:r>
    </w:p>
  </w:footnote>
  <w:footnote w:id="210">
    <w:p w:rsidR="00530550" w:rsidP="004C6034" w14:paraId="43929CE1" w14:textId="77777777">
      <w:pPr>
        <w:pStyle w:val="FootnoteText"/>
      </w:pPr>
      <w:r>
        <w:rPr>
          <w:rStyle w:val="FootnoteReference"/>
        </w:rPr>
        <w:footnoteRef/>
      </w:r>
      <w:r>
        <w:t xml:space="preserve"> </w:t>
      </w:r>
      <w:r w:rsidRPr="00DE43A5">
        <w:t xml:space="preserve">U.S. Census Bureau, </w:t>
      </w:r>
      <w:r w:rsidRPr="00F05C59">
        <w:rPr>
          <w:i/>
        </w:rPr>
        <w:t xml:space="preserve">2012 Economic Census of the United States, </w:t>
      </w:r>
      <w:r w:rsidRPr="00F05C59">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DE43A5">
        <w:t xml:space="preserve">: 2012, NAICS </w:t>
      </w:r>
      <w:r>
        <w:t>Code</w:t>
      </w:r>
      <w:r w:rsidRPr="00DE43A5">
        <w:t xml:space="preserve"> 621511, </w:t>
      </w:r>
      <w:hyperlink r:id="rId62" w:history="1">
        <w:r w:rsidRPr="00FC1E1F">
          <w:rPr>
            <w:rStyle w:val="Hyperlink"/>
          </w:rPr>
          <w:t>https://factfinder.census.gov/bkmk/table/1.0/en/ECN/2012_US/62SSSZ4//naics~621511</w:t>
        </w:r>
      </w:hyperlink>
      <w:r w:rsidRPr="00CE1BA1">
        <w:rPr>
          <w:rStyle w:val="Hyperlink"/>
        </w:rPr>
        <w:t xml:space="preserve"> (last visited </w:t>
      </w:r>
      <w:r>
        <w:rPr>
          <w:rStyle w:val="Hyperlink"/>
        </w:rPr>
        <w:t>June 6</w:t>
      </w:r>
      <w:r w:rsidRPr="00523DC2">
        <w:rPr>
          <w:rStyle w:val="Hyperlink"/>
        </w:rPr>
        <w:t>, 2018)</w:t>
      </w:r>
      <w:r w:rsidRPr="00A87FB8">
        <w:t>.</w:t>
      </w:r>
      <w:r>
        <w:t xml:space="preserve"> </w:t>
      </w:r>
    </w:p>
  </w:footnote>
  <w:footnote w:id="211">
    <w:p w:rsidR="00530550" w:rsidP="004C6034" w14:paraId="6A99406C" w14:textId="77777777">
      <w:pPr>
        <w:pStyle w:val="FootnoteText"/>
      </w:pPr>
      <w:r>
        <w:rPr>
          <w:rStyle w:val="FootnoteReference"/>
        </w:rPr>
        <w:footnoteRef/>
      </w:r>
      <w:r>
        <w:t xml:space="preserve"> </w:t>
      </w:r>
      <w:r w:rsidRPr="008734D1">
        <w:rPr>
          <w:i/>
        </w:rPr>
        <w:t>Id.</w:t>
      </w:r>
      <w:r w:rsidRPr="009E62CD">
        <w:t xml:space="preserve">  </w:t>
      </w:r>
    </w:p>
  </w:footnote>
  <w:footnote w:id="212">
    <w:p w:rsidR="00530550" w:rsidP="004C6034" w14:paraId="14496387" w14:textId="77777777">
      <w:pPr>
        <w:pStyle w:val="FootnoteText"/>
      </w:pPr>
      <w:r>
        <w:rPr>
          <w:rStyle w:val="FootnoteReference"/>
        </w:rPr>
        <w:footnoteRef/>
      </w:r>
      <w:r>
        <w:t xml:space="preserve"> </w:t>
      </w:r>
      <w:r w:rsidRPr="008734D1">
        <w:rPr>
          <w:i/>
        </w:rPr>
        <w:t xml:space="preserve">See </w:t>
      </w:r>
      <w:r w:rsidRPr="00001774">
        <w:t xml:space="preserve">U.S. Census Bureau, </w:t>
      </w:r>
      <w:r w:rsidRPr="006555CE">
        <w:rPr>
          <w:i/>
        </w:rPr>
        <w:t>2012 NAICS Definitions</w:t>
      </w:r>
      <w:r w:rsidRPr="00001774">
        <w:t>, NAICS Code 621512 “Diagnostic Imaging Centers</w:t>
      </w:r>
      <w:r>
        <w:t>,</w:t>
      </w:r>
      <w:r w:rsidRPr="00001774">
        <w:t xml:space="preserve">” </w:t>
      </w:r>
      <w:hyperlink r:id="rId63" w:history="1">
        <w:r w:rsidRPr="00FC1E1F">
          <w:rPr>
            <w:rStyle w:val="Hyperlink"/>
          </w:rPr>
          <w:t>https://www.census.gov/cgi-bin/sssd/naics/naicsrch?input=621512&amp;search=2012+NAICS+Search&amp;search=2012</w:t>
        </w:r>
      </w:hyperlink>
      <w:r w:rsidRPr="0043678D">
        <w:rPr>
          <w:rStyle w:val="Hyperlink"/>
        </w:rPr>
        <w:t xml:space="preserve"> (</w:t>
      </w:r>
      <w:r w:rsidRPr="00CE1BA1">
        <w:rPr>
          <w:rStyle w:val="Hyperlink"/>
        </w:rPr>
        <w:t xml:space="preserve">last visited </w:t>
      </w:r>
      <w:r>
        <w:rPr>
          <w:rStyle w:val="Hyperlink"/>
        </w:rPr>
        <w:t>June 6</w:t>
      </w:r>
      <w:r w:rsidRPr="00CE1BA1">
        <w:rPr>
          <w:rStyle w:val="Hyperlink"/>
        </w:rPr>
        <w:t>, 2018)</w:t>
      </w:r>
      <w:r w:rsidRPr="00523DC2">
        <w:t xml:space="preserve">. </w:t>
      </w:r>
    </w:p>
  </w:footnote>
  <w:footnote w:id="213">
    <w:p w:rsidR="00530550" w:rsidP="004C6034" w14:paraId="5E7BE1EC" w14:textId="77777777">
      <w:pPr>
        <w:pStyle w:val="FootnoteText"/>
      </w:pPr>
      <w:r>
        <w:rPr>
          <w:rStyle w:val="FootnoteReference"/>
        </w:rPr>
        <w:footnoteRef/>
      </w:r>
      <w:r>
        <w:t xml:space="preserve"> 13 CFR § 121.201; NAICS Code 621512.</w:t>
      </w:r>
    </w:p>
  </w:footnote>
  <w:footnote w:id="214">
    <w:p w:rsidR="00530550" w:rsidP="004C6034" w14:paraId="5196F732" w14:textId="77777777">
      <w:pPr>
        <w:pStyle w:val="FootnoteText"/>
      </w:pPr>
      <w:r>
        <w:rPr>
          <w:rStyle w:val="FootnoteReference"/>
        </w:rPr>
        <w:footnoteRef/>
      </w:r>
      <w:r>
        <w:t xml:space="preserve"> </w:t>
      </w:r>
      <w:r w:rsidRPr="002739C3">
        <w:t xml:space="preserve">U.S. Census Bureau, </w:t>
      </w:r>
      <w:r w:rsidRPr="00F05C59">
        <w:rPr>
          <w:i/>
        </w:rPr>
        <w:t xml:space="preserve">2012 Economic Census of the United States, </w:t>
      </w:r>
      <w:r w:rsidRPr="00F05C59">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2739C3">
        <w:t xml:space="preserve">: 2012, NAICS </w:t>
      </w:r>
      <w:r>
        <w:t>Code</w:t>
      </w:r>
      <w:r w:rsidRPr="002739C3">
        <w:t xml:space="preserve"> 621512, </w:t>
      </w:r>
      <w:hyperlink r:id="rId64" w:history="1">
        <w:r w:rsidRPr="00FC1E1F">
          <w:rPr>
            <w:rStyle w:val="Hyperlink"/>
          </w:rPr>
          <w:t>https://factfinder.census.gov/bkmk/table/1.0/en/ECN/2012_US/62SSSZ4//naics~621512</w:t>
        </w:r>
      </w:hyperlink>
      <w:r w:rsidRPr="0043678D">
        <w:rPr>
          <w:rStyle w:val="Hyperlink"/>
        </w:rPr>
        <w:t xml:space="preserve"> (last visited </w:t>
      </w:r>
      <w:r>
        <w:rPr>
          <w:rStyle w:val="Hyperlink"/>
        </w:rPr>
        <w:t>June 6</w:t>
      </w:r>
      <w:r w:rsidRPr="0043678D">
        <w:rPr>
          <w:rStyle w:val="Hyperlink"/>
        </w:rPr>
        <w:t>, 2018)</w:t>
      </w:r>
      <w:r w:rsidRPr="00523DC2">
        <w:t>.</w:t>
      </w:r>
      <w:r>
        <w:t xml:space="preserve"> </w:t>
      </w:r>
    </w:p>
  </w:footnote>
  <w:footnote w:id="215">
    <w:p w:rsidR="00530550" w:rsidP="004C6034" w14:paraId="2796188D" w14:textId="77777777">
      <w:pPr>
        <w:pStyle w:val="FootnoteText"/>
      </w:pPr>
      <w:r>
        <w:rPr>
          <w:rStyle w:val="FootnoteReference"/>
        </w:rPr>
        <w:footnoteRef/>
      </w:r>
      <w:r>
        <w:t xml:space="preserve"> </w:t>
      </w:r>
      <w:r w:rsidRPr="008734D1">
        <w:rPr>
          <w:i/>
        </w:rPr>
        <w:t>Id.</w:t>
      </w:r>
      <w:r w:rsidRPr="00001774">
        <w:t xml:space="preserve">  </w:t>
      </w:r>
    </w:p>
  </w:footnote>
  <w:footnote w:id="216">
    <w:p w:rsidR="00530550" w:rsidP="004C6034" w14:paraId="44389577" w14:textId="77777777">
      <w:pPr>
        <w:pStyle w:val="FootnoteText"/>
      </w:pPr>
      <w:r>
        <w:rPr>
          <w:rStyle w:val="FootnoteReference"/>
        </w:rPr>
        <w:footnoteRef/>
      </w:r>
      <w:r>
        <w:t xml:space="preserve"> </w:t>
      </w:r>
      <w:r w:rsidRPr="008734D1">
        <w:rPr>
          <w:i/>
        </w:rPr>
        <w:t>See</w:t>
      </w:r>
      <w:r w:rsidRPr="00124495">
        <w:t xml:space="preserve"> U.S. Census Bureau, </w:t>
      </w:r>
      <w:r w:rsidRPr="006555CE">
        <w:rPr>
          <w:i/>
        </w:rPr>
        <w:t>2012 NAICS Definitions</w:t>
      </w:r>
      <w:r w:rsidRPr="00124495">
        <w:t>, NAICS Code 621610 “Home Health Care Services</w:t>
      </w:r>
      <w:r>
        <w:t>,</w:t>
      </w:r>
      <w:r w:rsidRPr="00124495">
        <w:t xml:space="preserve">” </w:t>
      </w:r>
      <w:hyperlink r:id="rId65" w:history="1">
        <w:r w:rsidRPr="00FC1E1F">
          <w:rPr>
            <w:rStyle w:val="Hyperlink"/>
          </w:rPr>
          <w:t>https://www.census.gov/cgi-bin/sssd/naics/naicsrch?input=621610&amp;search=2012+NAICS+Search&amp;search=2012</w:t>
        </w:r>
      </w:hyperlink>
      <w:r w:rsidRPr="000B2C7C">
        <w:rPr>
          <w:rStyle w:val="Hyperlink"/>
        </w:rPr>
        <w:t xml:space="preserve"> (last visited </w:t>
      </w:r>
      <w:r>
        <w:rPr>
          <w:rStyle w:val="Hyperlink"/>
        </w:rPr>
        <w:t>June 6</w:t>
      </w:r>
      <w:r w:rsidRPr="00523DC2">
        <w:rPr>
          <w:rStyle w:val="Hyperlink"/>
        </w:rPr>
        <w:t>, 2018)</w:t>
      </w:r>
      <w:r w:rsidRPr="00A87FB8">
        <w:t>.</w:t>
      </w:r>
      <w:r>
        <w:t xml:space="preserve"> </w:t>
      </w:r>
    </w:p>
  </w:footnote>
  <w:footnote w:id="217">
    <w:p w:rsidR="00530550" w:rsidP="004C6034" w14:paraId="49CAD191" w14:textId="77777777">
      <w:pPr>
        <w:pStyle w:val="FootnoteText"/>
      </w:pPr>
      <w:r>
        <w:rPr>
          <w:rStyle w:val="FootnoteReference"/>
        </w:rPr>
        <w:footnoteRef/>
      </w:r>
      <w:r>
        <w:t xml:space="preserve"> 13 CFR § 121.201; NAICS Code 621610.</w:t>
      </w:r>
    </w:p>
  </w:footnote>
  <w:footnote w:id="218">
    <w:p w:rsidR="00530550" w:rsidP="004C6034" w14:paraId="04D691A1" w14:textId="77777777">
      <w:pPr>
        <w:pStyle w:val="FootnoteText"/>
      </w:pPr>
      <w:r>
        <w:rPr>
          <w:rStyle w:val="FootnoteReference"/>
        </w:rPr>
        <w:footnoteRef/>
      </w:r>
      <w:r>
        <w:t xml:space="preserve"> </w:t>
      </w:r>
      <w:r w:rsidRPr="00124495">
        <w:t xml:space="preserve">U.S. Census Bureau, </w:t>
      </w:r>
      <w:r w:rsidRPr="00F05C59">
        <w:rPr>
          <w:i/>
        </w:rPr>
        <w:t xml:space="preserve">2012 Economic Census of the United States, </w:t>
      </w:r>
      <w:r w:rsidRPr="00776FD0">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124495">
        <w:t xml:space="preserve">: 2012, NAICS </w:t>
      </w:r>
      <w:r>
        <w:t>Code</w:t>
      </w:r>
      <w:r w:rsidRPr="00124495">
        <w:t xml:space="preserve"> 621610, </w:t>
      </w:r>
      <w:hyperlink r:id="rId66" w:history="1">
        <w:r w:rsidRPr="00FC1E1F">
          <w:rPr>
            <w:rStyle w:val="Hyperlink"/>
          </w:rPr>
          <w:t>https://factfinder.census.gov/bkmk/table/1.0/en/ECN/2012_US/62SSSZ4//naics~621610</w:t>
        </w:r>
      </w:hyperlink>
      <w:r w:rsidRPr="000B2C7C">
        <w:rPr>
          <w:rStyle w:val="Hyperlink"/>
        </w:rPr>
        <w:t xml:space="preserve"> (last visited </w:t>
      </w:r>
      <w:r>
        <w:rPr>
          <w:rStyle w:val="Hyperlink"/>
        </w:rPr>
        <w:t>June 6</w:t>
      </w:r>
      <w:r w:rsidRPr="000B2C7C">
        <w:rPr>
          <w:rStyle w:val="Hyperlink"/>
        </w:rPr>
        <w:t>, 2018)</w:t>
      </w:r>
      <w:r w:rsidRPr="00523DC2">
        <w:t>.</w:t>
      </w:r>
      <w:r>
        <w:t xml:space="preserve"> </w:t>
      </w:r>
    </w:p>
  </w:footnote>
  <w:footnote w:id="219">
    <w:p w:rsidR="00530550" w:rsidP="004C6034" w14:paraId="369D7AD2" w14:textId="77777777">
      <w:pPr>
        <w:pStyle w:val="FootnoteText"/>
      </w:pPr>
      <w:r>
        <w:rPr>
          <w:rStyle w:val="FootnoteReference"/>
        </w:rPr>
        <w:footnoteRef/>
      </w:r>
      <w:r>
        <w:t xml:space="preserve"> </w:t>
      </w:r>
      <w:r w:rsidRPr="008734D1">
        <w:rPr>
          <w:i/>
        </w:rPr>
        <w:t>Id</w:t>
      </w:r>
      <w:r w:rsidRPr="00124495">
        <w:t xml:space="preserve">.  </w:t>
      </w:r>
    </w:p>
  </w:footnote>
  <w:footnote w:id="220">
    <w:p w:rsidR="00530550" w:rsidP="004C6034" w14:paraId="527DA002" w14:textId="77777777">
      <w:pPr>
        <w:pStyle w:val="FootnoteText"/>
      </w:pPr>
      <w:r>
        <w:rPr>
          <w:rStyle w:val="FootnoteReference"/>
        </w:rPr>
        <w:footnoteRef/>
      </w:r>
      <w:r>
        <w:t xml:space="preserve"> </w:t>
      </w:r>
      <w:r w:rsidRPr="008734D1">
        <w:rPr>
          <w:i/>
        </w:rPr>
        <w:t>See</w:t>
      </w:r>
      <w:r w:rsidRPr="00776FD0">
        <w:t xml:space="preserve"> U.S. Census Bureau, </w:t>
      </w:r>
      <w:r w:rsidRPr="006555CE">
        <w:rPr>
          <w:i/>
        </w:rPr>
        <w:t>2012 NAICS Definitions,</w:t>
      </w:r>
      <w:r w:rsidRPr="00776FD0">
        <w:t xml:space="preserve"> NAICS Code 621910 “Ambulance Services</w:t>
      </w:r>
      <w:r>
        <w:t>,</w:t>
      </w:r>
      <w:r w:rsidRPr="00776FD0">
        <w:t>”</w:t>
      </w:r>
      <w:r>
        <w:t xml:space="preserve"> </w:t>
      </w:r>
      <w:hyperlink r:id="rId67" w:history="1">
        <w:r w:rsidRPr="00FC1E1F">
          <w:rPr>
            <w:rStyle w:val="Hyperlink"/>
          </w:rPr>
          <w:t>https://www.census.gov/cgi-bin/sssd/naics/naicsrch?input=621910&amp;search=2012+NAICS+Search&amp;search=2012</w:t>
        </w:r>
      </w:hyperlink>
      <w:r w:rsidRPr="00EC1F32">
        <w:rPr>
          <w:rStyle w:val="Hyperlink"/>
        </w:rPr>
        <w:t xml:space="preserve"> (last visited </w:t>
      </w:r>
      <w:r>
        <w:rPr>
          <w:rStyle w:val="Hyperlink"/>
        </w:rPr>
        <w:t>June 6</w:t>
      </w:r>
      <w:r w:rsidRPr="00EC1F32">
        <w:rPr>
          <w:rStyle w:val="Hyperlink"/>
        </w:rPr>
        <w:t>, 2018)</w:t>
      </w:r>
      <w:r w:rsidRPr="00523DC2">
        <w:t>.</w:t>
      </w:r>
      <w:r>
        <w:t xml:space="preserve"> </w:t>
      </w:r>
    </w:p>
  </w:footnote>
  <w:footnote w:id="221">
    <w:p w:rsidR="00530550" w:rsidP="004C6034" w14:paraId="38703EC6" w14:textId="77777777">
      <w:pPr>
        <w:pStyle w:val="FootnoteText"/>
      </w:pPr>
      <w:r>
        <w:rPr>
          <w:rStyle w:val="FootnoteReference"/>
        </w:rPr>
        <w:footnoteRef/>
      </w:r>
      <w:r>
        <w:t xml:space="preserve"> </w:t>
      </w:r>
      <w:r w:rsidRPr="00C042DD">
        <w:t xml:space="preserve">13 </w:t>
      </w:r>
      <w:r>
        <w:t>CFR §</w:t>
      </w:r>
      <w:r w:rsidRPr="00C042DD">
        <w:t xml:space="preserve"> </w:t>
      </w:r>
      <w:r>
        <w:t>121.201;</w:t>
      </w:r>
      <w:r w:rsidRPr="00C042DD">
        <w:t xml:space="preserve"> NAICS Code 621910</w:t>
      </w:r>
      <w:r>
        <w:t>.</w:t>
      </w:r>
    </w:p>
  </w:footnote>
  <w:footnote w:id="222">
    <w:p w:rsidR="00530550" w:rsidP="004C6034" w14:paraId="452507CC" w14:textId="77777777">
      <w:pPr>
        <w:pStyle w:val="FootnoteText"/>
      </w:pPr>
      <w:r>
        <w:rPr>
          <w:rStyle w:val="FootnoteReference"/>
        </w:rPr>
        <w:footnoteRef/>
      </w:r>
      <w:r>
        <w:t xml:space="preserve"> </w:t>
      </w:r>
      <w:r w:rsidRPr="00126209">
        <w:t xml:space="preserve">U.S. Census Bureau, </w:t>
      </w:r>
      <w:r w:rsidRPr="00F05C59">
        <w:rPr>
          <w:i/>
        </w:rPr>
        <w:t xml:space="preserve">2012 Economic Census of the United States, </w:t>
      </w:r>
      <w:r w:rsidRPr="00AB3744">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126209">
        <w:t xml:space="preserve">: 2012, NAICS </w:t>
      </w:r>
      <w:r>
        <w:t>Code</w:t>
      </w:r>
      <w:r w:rsidRPr="00126209">
        <w:t xml:space="preserve"> 621910, </w:t>
      </w:r>
      <w:hyperlink r:id="rId68" w:history="1">
        <w:r w:rsidRPr="00FC1E1F">
          <w:rPr>
            <w:rStyle w:val="Hyperlink"/>
          </w:rPr>
          <w:t>https://factfinder.census.gov/bkmk/table/1.0/en/ECN/2012_US/62SSSZ4//naics~621910</w:t>
        </w:r>
      </w:hyperlink>
      <w:r w:rsidRPr="00183A93">
        <w:rPr>
          <w:rStyle w:val="Hyperlink"/>
        </w:rPr>
        <w:t xml:space="preserve"> (last visited </w:t>
      </w:r>
      <w:r>
        <w:rPr>
          <w:rStyle w:val="Hyperlink"/>
        </w:rPr>
        <w:t>June 6</w:t>
      </w:r>
      <w:r w:rsidRPr="00183A93">
        <w:rPr>
          <w:rStyle w:val="Hyperlink"/>
        </w:rPr>
        <w:t>, 2018)</w:t>
      </w:r>
      <w:r w:rsidRPr="00183A93">
        <w:t xml:space="preserve">. </w:t>
      </w:r>
    </w:p>
  </w:footnote>
  <w:footnote w:id="223">
    <w:p w:rsidR="00530550" w:rsidP="004C6034" w14:paraId="38A8FD18" w14:textId="77777777">
      <w:pPr>
        <w:pStyle w:val="FootnoteText"/>
      </w:pPr>
      <w:r>
        <w:rPr>
          <w:rStyle w:val="FootnoteReference"/>
        </w:rPr>
        <w:footnoteRef/>
      </w:r>
      <w:bookmarkStart w:id="312" w:name="_Hlk497581348"/>
      <w:r>
        <w:t xml:space="preserve"> </w:t>
      </w:r>
      <w:r w:rsidRPr="00F05C59">
        <w:rPr>
          <w:i/>
        </w:rPr>
        <w:t>Id</w:t>
      </w:r>
      <w:r w:rsidRPr="00963144">
        <w:t xml:space="preserve">.  </w:t>
      </w:r>
      <w:bookmarkEnd w:id="312"/>
    </w:p>
  </w:footnote>
  <w:footnote w:id="224">
    <w:p w:rsidR="00530550" w:rsidP="004C6034" w14:paraId="46024F58" w14:textId="77777777">
      <w:pPr>
        <w:pStyle w:val="FootnoteText"/>
      </w:pPr>
      <w:r>
        <w:rPr>
          <w:rStyle w:val="FootnoteReference"/>
        </w:rPr>
        <w:footnoteRef/>
      </w:r>
      <w:r>
        <w:t xml:space="preserve"> </w:t>
      </w:r>
      <w:bookmarkStart w:id="313" w:name="_Hlk497567108"/>
      <w:r w:rsidRPr="008734D1">
        <w:rPr>
          <w:i/>
        </w:rPr>
        <w:t>See</w:t>
      </w:r>
      <w:r w:rsidRPr="00524E33">
        <w:t xml:space="preserve"> U.S. Census Bureau, </w:t>
      </w:r>
      <w:r w:rsidRPr="006555CE">
        <w:rPr>
          <w:i/>
        </w:rPr>
        <w:t>2012 NAICS Definitions</w:t>
      </w:r>
      <w:r w:rsidRPr="00524E33">
        <w:t>, NAICS Code 621492 “Kidney Dialysis Centers</w:t>
      </w:r>
      <w:r>
        <w:t>,</w:t>
      </w:r>
      <w:r w:rsidRPr="00524E33">
        <w:t xml:space="preserve">” </w:t>
      </w:r>
      <w:hyperlink r:id="rId69" w:history="1">
        <w:r w:rsidRPr="00FC1E1F">
          <w:rPr>
            <w:rStyle w:val="Hyperlink"/>
          </w:rPr>
          <w:t>https://www.census.gov/cgi-bin/sssd/naics/naicsrch?input=621492&amp;search=2012+NAICS+Search&amp;search=2012</w:t>
        </w:r>
      </w:hyperlink>
      <w:r w:rsidRPr="00EC1F32">
        <w:rPr>
          <w:rStyle w:val="Hyperlink"/>
        </w:rPr>
        <w:t xml:space="preserve"> (last visited </w:t>
      </w:r>
      <w:r>
        <w:rPr>
          <w:rStyle w:val="Hyperlink"/>
        </w:rPr>
        <w:t>June 6</w:t>
      </w:r>
      <w:r w:rsidRPr="00EC1F32">
        <w:rPr>
          <w:rStyle w:val="Hyperlink"/>
        </w:rPr>
        <w:t>, 2018)</w:t>
      </w:r>
      <w:r w:rsidRPr="00523DC2">
        <w:t>.</w:t>
      </w:r>
      <w:r>
        <w:t xml:space="preserve"> </w:t>
      </w:r>
      <w:bookmarkEnd w:id="313"/>
    </w:p>
  </w:footnote>
  <w:footnote w:id="225">
    <w:p w:rsidR="00530550" w:rsidP="004C6034" w14:paraId="61AAC3B3" w14:textId="77777777">
      <w:pPr>
        <w:pStyle w:val="FootnoteText"/>
      </w:pPr>
      <w:r>
        <w:rPr>
          <w:rStyle w:val="FootnoteReference"/>
        </w:rPr>
        <w:footnoteRef/>
      </w:r>
      <w:r>
        <w:t xml:space="preserve"> 13 CFR § 121.201; NAICS Code 621492.</w:t>
      </w:r>
    </w:p>
  </w:footnote>
  <w:footnote w:id="226">
    <w:p w:rsidR="00530550" w:rsidP="004C6034" w14:paraId="6F2296F8" w14:textId="77777777">
      <w:pPr>
        <w:pStyle w:val="FootnoteText"/>
      </w:pPr>
      <w:r>
        <w:rPr>
          <w:rStyle w:val="FootnoteReference"/>
        </w:rPr>
        <w:footnoteRef/>
      </w:r>
      <w:r>
        <w:t xml:space="preserve"> </w:t>
      </w:r>
      <w:r w:rsidRPr="00AB3744">
        <w:t xml:space="preserve">U.S. Census Bureau, </w:t>
      </w:r>
      <w:r w:rsidRPr="00F05C59">
        <w:rPr>
          <w:i/>
        </w:rPr>
        <w:t xml:space="preserve">2012 Economic Census of the United States, </w:t>
      </w:r>
      <w:r w:rsidRPr="00AB3744">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AB3744">
        <w:t xml:space="preserve">: 2012, NAICS </w:t>
      </w:r>
      <w:r>
        <w:t>Code</w:t>
      </w:r>
      <w:r w:rsidRPr="00AB3744">
        <w:t xml:space="preserve"> 621492, </w:t>
      </w:r>
      <w:hyperlink r:id="rId70" w:history="1">
        <w:r w:rsidRPr="00FC1E1F">
          <w:rPr>
            <w:rStyle w:val="Hyperlink"/>
          </w:rPr>
          <w:t>https://factfinder.census.gov/bkmk/table/1.0/en/ECN/2012_US/62SSSZ4//naics~621492</w:t>
        </w:r>
      </w:hyperlink>
      <w:r w:rsidRPr="00EC1F32">
        <w:rPr>
          <w:rStyle w:val="Hyperlink"/>
        </w:rPr>
        <w:t xml:space="preserve"> (last visited </w:t>
      </w:r>
      <w:r>
        <w:rPr>
          <w:rStyle w:val="Hyperlink"/>
        </w:rPr>
        <w:t>June 6</w:t>
      </w:r>
      <w:r w:rsidRPr="00EC1F32">
        <w:rPr>
          <w:rStyle w:val="Hyperlink"/>
        </w:rPr>
        <w:t>, 2018)</w:t>
      </w:r>
      <w:r w:rsidRPr="00523DC2">
        <w:t>.</w:t>
      </w:r>
      <w:r>
        <w:t xml:space="preserve"> </w:t>
      </w:r>
    </w:p>
  </w:footnote>
  <w:footnote w:id="227">
    <w:p w:rsidR="00530550" w:rsidP="004C6034" w14:paraId="1D06AC58" w14:textId="77777777">
      <w:pPr>
        <w:pStyle w:val="FootnoteText"/>
      </w:pPr>
      <w:r>
        <w:rPr>
          <w:rStyle w:val="FootnoteReference"/>
        </w:rPr>
        <w:footnoteRef/>
      </w:r>
      <w:r>
        <w:rPr>
          <w:i/>
        </w:rPr>
        <w:t xml:space="preserve"> </w:t>
      </w:r>
      <w:r w:rsidRPr="00F05C59">
        <w:rPr>
          <w:i/>
        </w:rPr>
        <w:t>Id</w:t>
      </w:r>
      <w:r w:rsidRPr="004B1122">
        <w:t xml:space="preserve">.  </w:t>
      </w:r>
    </w:p>
  </w:footnote>
  <w:footnote w:id="228">
    <w:p w:rsidR="00530550" w:rsidP="004C6034" w14:paraId="240E7660" w14:textId="77777777">
      <w:pPr>
        <w:pStyle w:val="FootnoteText"/>
      </w:pPr>
      <w:r>
        <w:rPr>
          <w:rStyle w:val="FootnoteReference"/>
        </w:rPr>
        <w:footnoteRef/>
      </w:r>
      <w:r w:rsidRPr="00211905">
        <w:t xml:space="preserve"> </w:t>
      </w:r>
      <w:r w:rsidRPr="008734D1">
        <w:rPr>
          <w:i/>
        </w:rPr>
        <w:t>See</w:t>
      </w:r>
      <w:r w:rsidRPr="00211905">
        <w:t xml:space="preserve"> U.S. Census Bureau, </w:t>
      </w:r>
      <w:r w:rsidRPr="006555CE">
        <w:rPr>
          <w:i/>
        </w:rPr>
        <w:t>2012 NAICS Definitions,</w:t>
      </w:r>
      <w:r w:rsidRPr="00211905">
        <w:t xml:space="preserve"> NAICS Code 622110 “General Medical and Surgical Hospitals</w:t>
      </w:r>
      <w:r>
        <w:t>,</w:t>
      </w:r>
      <w:r w:rsidRPr="00211905">
        <w:t xml:space="preserve">” </w:t>
      </w:r>
      <w:hyperlink r:id="rId71" w:history="1">
        <w:r w:rsidRPr="00FC1E1F">
          <w:rPr>
            <w:rStyle w:val="Hyperlink"/>
          </w:rPr>
          <w:t>https://www.census.gov/cgi-bin/sssd/naics/naicsrch?input=622110&amp;search=2012+NAICS+Search&amp;search=2012</w:t>
        </w:r>
      </w:hyperlink>
      <w:r w:rsidRPr="00EC1F32">
        <w:rPr>
          <w:rStyle w:val="Hyperlink"/>
        </w:rPr>
        <w:t xml:space="preserve"> (last visited </w:t>
      </w:r>
      <w:r>
        <w:rPr>
          <w:rStyle w:val="Hyperlink"/>
        </w:rPr>
        <w:t>June 6</w:t>
      </w:r>
      <w:r w:rsidRPr="00EC1F32">
        <w:rPr>
          <w:rStyle w:val="Hyperlink"/>
        </w:rPr>
        <w:t>, 2018)</w:t>
      </w:r>
      <w:r w:rsidRPr="00EC1F32">
        <w:t>.</w:t>
      </w:r>
      <w:r>
        <w:t xml:space="preserve"> </w:t>
      </w:r>
    </w:p>
  </w:footnote>
  <w:footnote w:id="229">
    <w:p w:rsidR="00530550" w:rsidP="004C6034" w14:paraId="59E00283" w14:textId="77777777">
      <w:pPr>
        <w:pStyle w:val="FootnoteText"/>
      </w:pPr>
      <w:r>
        <w:rPr>
          <w:rStyle w:val="FootnoteReference"/>
        </w:rPr>
        <w:footnoteRef/>
      </w:r>
      <w:r>
        <w:t xml:space="preserve"> 13 CFR § 121.201; NAICS Code 622110.</w:t>
      </w:r>
    </w:p>
  </w:footnote>
  <w:footnote w:id="230">
    <w:p w:rsidR="00530550" w:rsidP="004C6034" w14:paraId="01CD39EE" w14:textId="77777777">
      <w:pPr>
        <w:pStyle w:val="FootnoteText"/>
      </w:pPr>
      <w:r>
        <w:rPr>
          <w:rStyle w:val="FootnoteReference"/>
        </w:rPr>
        <w:footnoteRef/>
      </w:r>
      <w:r>
        <w:t xml:space="preserve"> </w:t>
      </w:r>
      <w:r w:rsidRPr="00AC43EF">
        <w:t xml:space="preserve">U.S. Census Bureau, </w:t>
      </w:r>
      <w:r w:rsidRPr="00F05C59">
        <w:rPr>
          <w:i/>
        </w:rPr>
        <w:t xml:space="preserve">2012 Economic Census of the United States, </w:t>
      </w:r>
      <w:r w:rsidRPr="00B17605">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AC43EF">
        <w:t xml:space="preserve">: 2012, NAICS </w:t>
      </w:r>
      <w:r>
        <w:t>Code</w:t>
      </w:r>
      <w:r w:rsidRPr="00AC43EF">
        <w:t xml:space="preserve"> 622110, </w:t>
      </w:r>
      <w:hyperlink r:id="rId72" w:history="1">
        <w:r w:rsidRPr="00FC1E1F">
          <w:rPr>
            <w:rStyle w:val="Hyperlink"/>
          </w:rPr>
          <w:t>https://factfinder.census.gov/bkmk/table/1.0/en/ECN/2012_US/62SSSZ4//naics~622110</w:t>
        </w:r>
      </w:hyperlink>
      <w:r w:rsidRPr="00EC1F32">
        <w:rPr>
          <w:rStyle w:val="Hyperlink"/>
        </w:rPr>
        <w:t xml:space="preserve"> (last visited </w:t>
      </w:r>
      <w:r>
        <w:rPr>
          <w:rStyle w:val="Hyperlink"/>
        </w:rPr>
        <w:t>June 6</w:t>
      </w:r>
      <w:r w:rsidRPr="00EC1F32">
        <w:rPr>
          <w:rStyle w:val="Hyperlink"/>
        </w:rPr>
        <w:t>, 2018)</w:t>
      </w:r>
      <w:r w:rsidRPr="00523DC2">
        <w:t>.</w:t>
      </w:r>
      <w:r>
        <w:t xml:space="preserve"> </w:t>
      </w:r>
    </w:p>
  </w:footnote>
  <w:footnote w:id="231">
    <w:p w:rsidR="00530550" w:rsidP="004C6034" w14:paraId="393406E0" w14:textId="77777777">
      <w:pPr>
        <w:pStyle w:val="FootnoteText"/>
      </w:pPr>
      <w:r>
        <w:rPr>
          <w:rStyle w:val="FootnoteReference"/>
        </w:rPr>
        <w:footnoteRef/>
      </w:r>
      <w:r>
        <w:rPr>
          <w:i/>
        </w:rPr>
        <w:t xml:space="preserve"> </w:t>
      </w:r>
      <w:r w:rsidRPr="00F05C59">
        <w:rPr>
          <w:i/>
        </w:rPr>
        <w:t>Id.</w:t>
      </w:r>
      <w:r w:rsidRPr="00AC43EF">
        <w:t xml:space="preserve">  </w:t>
      </w:r>
    </w:p>
  </w:footnote>
  <w:footnote w:id="232">
    <w:p w:rsidR="00530550" w:rsidP="004C6034" w14:paraId="1BF887B0" w14:textId="77777777">
      <w:pPr>
        <w:pStyle w:val="FootnoteText"/>
      </w:pPr>
      <w:r>
        <w:rPr>
          <w:rStyle w:val="FootnoteReference"/>
        </w:rPr>
        <w:footnoteRef/>
      </w:r>
      <w:r>
        <w:t xml:space="preserve"> </w:t>
      </w:r>
      <w:r w:rsidRPr="008734D1">
        <w:rPr>
          <w:i/>
        </w:rPr>
        <w:t>See</w:t>
      </w:r>
      <w:r w:rsidRPr="00932BF7">
        <w:t xml:space="preserve"> U.S. Census Bureau, </w:t>
      </w:r>
      <w:r w:rsidRPr="006555CE">
        <w:rPr>
          <w:i/>
        </w:rPr>
        <w:t>2012 NAICS Definitions</w:t>
      </w:r>
      <w:r w:rsidRPr="00932BF7">
        <w:t>, NAICS Code 622210 “Psychiatric and Substance Abuse Hospitals</w:t>
      </w:r>
      <w:r>
        <w:t>,</w:t>
      </w:r>
      <w:r w:rsidRPr="00932BF7">
        <w:t xml:space="preserve">” </w:t>
      </w:r>
      <w:hyperlink r:id="rId73" w:history="1">
        <w:r w:rsidRPr="00FC1E1F">
          <w:rPr>
            <w:rStyle w:val="Hyperlink"/>
          </w:rPr>
          <w:t>https://www.census.gov/cgi-bin/sssd/naics/naicsrch?input=622210&amp;search=2012+NAICS+Search&amp;search=2012</w:t>
        </w:r>
      </w:hyperlink>
      <w:r w:rsidRPr="00EC1F32">
        <w:rPr>
          <w:rStyle w:val="Hyperlink"/>
        </w:rPr>
        <w:t xml:space="preserve"> (last visited </w:t>
      </w:r>
      <w:r>
        <w:rPr>
          <w:rStyle w:val="Hyperlink"/>
        </w:rPr>
        <w:t>June 6</w:t>
      </w:r>
      <w:r w:rsidRPr="00EC1F32">
        <w:rPr>
          <w:rStyle w:val="Hyperlink"/>
        </w:rPr>
        <w:t>, 2018)</w:t>
      </w:r>
      <w:r w:rsidRPr="00EC1F32">
        <w:t>.</w:t>
      </w:r>
      <w:r>
        <w:t xml:space="preserve"> </w:t>
      </w:r>
    </w:p>
  </w:footnote>
  <w:footnote w:id="233">
    <w:p w:rsidR="00530550" w:rsidP="004C6034" w14:paraId="287A19EB" w14:textId="77777777">
      <w:pPr>
        <w:pStyle w:val="FootnoteText"/>
      </w:pPr>
      <w:r>
        <w:rPr>
          <w:rStyle w:val="FootnoteReference"/>
        </w:rPr>
        <w:footnoteRef/>
      </w:r>
      <w:r>
        <w:t xml:space="preserve">  13 CFR § 121.201; NAICS Code 622210.</w:t>
      </w:r>
    </w:p>
  </w:footnote>
  <w:footnote w:id="234">
    <w:p w:rsidR="00530550" w:rsidP="004C6034" w14:paraId="6F4121F0" w14:textId="77777777">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05C59">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E35362">
        <w:t xml:space="preserve">: 2012, NAICS </w:t>
      </w:r>
      <w:r>
        <w:t>Code</w:t>
      </w:r>
      <w:r w:rsidRPr="00E35362">
        <w:t xml:space="preserve"> 622210, </w:t>
      </w:r>
      <w:hyperlink r:id="rId74" w:history="1">
        <w:r w:rsidRPr="00FC1E1F">
          <w:rPr>
            <w:rStyle w:val="Hyperlink"/>
          </w:rPr>
          <w:t>https://factfinder.census.gov/bkmk/table/1.0/en/ECN/2012_US/62SSSZ4//naics~622210</w:t>
        </w:r>
      </w:hyperlink>
      <w:r w:rsidRPr="00B9727A">
        <w:rPr>
          <w:rStyle w:val="Hyperlink"/>
        </w:rPr>
        <w:t xml:space="preserve"> (last visited </w:t>
      </w:r>
      <w:r>
        <w:rPr>
          <w:rStyle w:val="Hyperlink"/>
        </w:rPr>
        <w:t>June 6</w:t>
      </w:r>
      <w:r w:rsidRPr="00B9727A">
        <w:rPr>
          <w:rStyle w:val="Hyperlink"/>
        </w:rPr>
        <w:t>, 2018)</w:t>
      </w:r>
      <w:r w:rsidRPr="00523DC2">
        <w:t>.</w:t>
      </w:r>
      <w:r>
        <w:t xml:space="preserve"> </w:t>
      </w:r>
    </w:p>
  </w:footnote>
  <w:footnote w:id="235">
    <w:p w:rsidR="00530550" w:rsidP="004C6034" w14:paraId="30BFDEA9" w14:textId="77777777">
      <w:pPr>
        <w:pStyle w:val="FootnoteText"/>
      </w:pPr>
      <w:r>
        <w:rPr>
          <w:rStyle w:val="FootnoteReference"/>
        </w:rPr>
        <w:footnoteRef/>
      </w:r>
      <w:r>
        <w:t xml:space="preserve"> </w:t>
      </w:r>
      <w:r w:rsidRPr="00A2779F">
        <w:rPr>
          <w:i/>
        </w:rPr>
        <w:t>Id</w:t>
      </w:r>
      <w:r w:rsidRPr="00E35362">
        <w:t xml:space="preserve">.  </w:t>
      </w:r>
    </w:p>
  </w:footnote>
  <w:footnote w:id="236">
    <w:p w:rsidR="00530550" w:rsidP="004C6034" w14:paraId="4BCDD794" w14:textId="77777777">
      <w:pPr>
        <w:pStyle w:val="FootnoteText"/>
      </w:pPr>
      <w:r>
        <w:rPr>
          <w:rStyle w:val="FootnoteReference"/>
        </w:rPr>
        <w:footnoteRef/>
      </w:r>
      <w:r>
        <w:t xml:space="preserve"> </w:t>
      </w:r>
      <w:r w:rsidRPr="008734D1">
        <w:rPr>
          <w:i/>
        </w:rPr>
        <w:t>See</w:t>
      </w:r>
      <w:r w:rsidRPr="008E12DF">
        <w:t xml:space="preserve"> U.S. Census Bureau, </w:t>
      </w:r>
      <w:r w:rsidRPr="006555CE">
        <w:rPr>
          <w:i/>
        </w:rPr>
        <w:t>2012 NAICS Definitions</w:t>
      </w:r>
      <w:r w:rsidRPr="008E12DF">
        <w:t>, NAICS Code 622310 “Specialty (Except Psychiatric and Substance Abuse) Hospitals</w:t>
      </w:r>
      <w:r>
        <w:t>,</w:t>
      </w:r>
      <w:r w:rsidRPr="008E12DF">
        <w:t>”</w:t>
      </w:r>
      <w:r>
        <w:t xml:space="preserve"> </w:t>
      </w:r>
      <w:hyperlink r:id="rId75" w:history="1">
        <w:r w:rsidRPr="00FC1E1F">
          <w:rPr>
            <w:rStyle w:val="Hyperlink"/>
          </w:rPr>
          <w:t>https://www.census.gov/cgi-bin/sssd/naics/naicsrch?input=622310&amp;search=2012+NAICS+Search&amp;search=2012</w:t>
        </w:r>
      </w:hyperlink>
      <w:r w:rsidRPr="00B9727A">
        <w:rPr>
          <w:rStyle w:val="Hyperlink"/>
        </w:rPr>
        <w:t xml:space="preserve"> (last visited </w:t>
      </w:r>
      <w:r>
        <w:rPr>
          <w:rStyle w:val="Hyperlink"/>
        </w:rPr>
        <w:t>June 6</w:t>
      </w:r>
      <w:r w:rsidRPr="00B9727A">
        <w:rPr>
          <w:rStyle w:val="Hyperlink"/>
        </w:rPr>
        <w:t>, 2018)</w:t>
      </w:r>
      <w:r w:rsidRPr="00B9727A">
        <w:t>.</w:t>
      </w:r>
      <w:r>
        <w:t xml:space="preserve"> </w:t>
      </w:r>
    </w:p>
  </w:footnote>
  <w:footnote w:id="237">
    <w:p w:rsidR="00530550" w:rsidP="004C6034" w14:paraId="32D42EF8" w14:textId="77777777">
      <w:pPr>
        <w:pStyle w:val="FootnoteText"/>
      </w:pPr>
      <w:r>
        <w:rPr>
          <w:rStyle w:val="FootnoteReference"/>
        </w:rPr>
        <w:footnoteRef/>
      </w:r>
      <w:r>
        <w:t xml:space="preserve"> 13 CFR § 121.201; NAICS Code 622310.</w:t>
      </w:r>
    </w:p>
  </w:footnote>
  <w:footnote w:id="238">
    <w:p w:rsidR="00530550" w:rsidP="004C6034" w14:paraId="111AB0A5" w14:textId="77777777">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87D56">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E35362">
        <w:t xml:space="preserve">: 2012, NAICS </w:t>
      </w:r>
      <w:r>
        <w:t>Code</w:t>
      </w:r>
      <w:r w:rsidRPr="00E35362">
        <w:t xml:space="preserve"> 622</w:t>
      </w:r>
      <w:r>
        <w:t>3</w:t>
      </w:r>
      <w:r w:rsidRPr="00E35362">
        <w:t xml:space="preserve">10, </w:t>
      </w:r>
      <w:hyperlink r:id="rId76" w:history="1">
        <w:r w:rsidRPr="00FC1E1F">
          <w:rPr>
            <w:rStyle w:val="Hyperlink"/>
          </w:rPr>
          <w:t>https://factfinder.census.gov/bkmk/table/1.0/en/ECN/2012_US/62SSSZ4//naics~622310</w:t>
        </w:r>
      </w:hyperlink>
      <w:r>
        <w:t xml:space="preserve"> </w:t>
      </w:r>
      <w:r w:rsidRPr="0038217F">
        <w:t xml:space="preserve">(last visited </w:t>
      </w:r>
      <w:r>
        <w:t>June 6</w:t>
      </w:r>
      <w:r w:rsidRPr="0038217F">
        <w:t xml:space="preserve">, 2018).  </w:t>
      </w:r>
    </w:p>
  </w:footnote>
  <w:footnote w:id="239">
    <w:p w:rsidR="00530550" w:rsidP="004C6034" w14:paraId="47F76788" w14:textId="77777777">
      <w:pPr>
        <w:pStyle w:val="FootnoteText"/>
      </w:pPr>
      <w:r>
        <w:rPr>
          <w:rStyle w:val="FootnoteReference"/>
        </w:rPr>
        <w:footnoteRef/>
      </w:r>
      <w:r>
        <w:t xml:space="preserve"> </w:t>
      </w:r>
      <w:r w:rsidRPr="00F05C59">
        <w:rPr>
          <w:i/>
        </w:rPr>
        <w:t>Id.</w:t>
      </w:r>
      <w:r w:rsidRPr="00C53F60">
        <w:t xml:space="preserve">  </w:t>
      </w:r>
    </w:p>
  </w:footnote>
  <w:footnote w:id="240">
    <w:p w:rsidR="00530550" w:rsidP="004C6034" w14:paraId="794BB215" w14:textId="77777777">
      <w:pPr>
        <w:pStyle w:val="FootnoteText"/>
      </w:pPr>
      <w:r>
        <w:rPr>
          <w:rStyle w:val="FootnoteReference"/>
        </w:rPr>
        <w:footnoteRef/>
      </w:r>
      <w:r>
        <w:t xml:space="preserve"> </w:t>
      </w:r>
      <w:r w:rsidRPr="008734D1">
        <w:rPr>
          <w:i/>
        </w:rPr>
        <w:t>See</w:t>
      </w:r>
      <w:r w:rsidRPr="00796A71">
        <w:t xml:space="preserve"> U.S. Census Bureau, </w:t>
      </w:r>
      <w:r w:rsidRPr="006E385B">
        <w:rPr>
          <w:i/>
        </w:rPr>
        <w:t>2012 NAICS Definitions</w:t>
      </w:r>
      <w:r w:rsidRPr="00796A71">
        <w:t xml:space="preserve">, NAICS Code 624230 “Emergency and Other Relief Services”, </w:t>
      </w:r>
      <w:hyperlink r:id="rId77" w:history="1">
        <w:r w:rsidRPr="00FC1E1F">
          <w:rPr>
            <w:rStyle w:val="Hyperlink"/>
          </w:rPr>
          <w:t>https://www.census.gov/cgi-bin/sssd/naics/naicsrch?input=624230&amp;search=2012+NAICS+Search&amp;search=2012</w:t>
        </w:r>
      </w:hyperlink>
      <w:r>
        <w:t xml:space="preserve"> (last visited June 6, 2018).</w:t>
      </w:r>
    </w:p>
  </w:footnote>
  <w:footnote w:id="241">
    <w:p w:rsidR="00530550" w:rsidP="004C6034" w14:paraId="67FBBC1F" w14:textId="77777777">
      <w:pPr>
        <w:pStyle w:val="FootnoteText"/>
      </w:pPr>
      <w:r>
        <w:rPr>
          <w:rStyle w:val="FootnoteReference"/>
        </w:rPr>
        <w:footnoteRef/>
      </w:r>
      <w:r>
        <w:t xml:space="preserve"> 13 CFR § 121.201; NAICS Code 624230.</w:t>
      </w:r>
    </w:p>
  </w:footnote>
  <w:footnote w:id="242">
    <w:p w:rsidR="00530550" w:rsidP="004C6034" w14:paraId="3F6CF210" w14:textId="77777777">
      <w:pPr>
        <w:pStyle w:val="FootnoteText"/>
      </w:pPr>
      <w:r>
        <w:rPr>
          <w:rStyle w:val="FootnoteReference"/>
        </w:rPr>
        <w:footnoteRef/>
      </w:r>
      <w:r>
        <w:t xml:space="preserve"> </w:t>
      </w:r>
      <w:r w:rsidRPr="0004353B">
        <w:t xml:space="preserve">U.S. Census Bureau, </w:t>
      </w:r>
      <w:r w:rsidRPr="00F05C59">
        <w:rPr>
          <w:i/>
        </w:rPr>
        <w:t xml:space="preserve">2012 Economic Census of the United States, </w:t>
      </w:r>
      <w:r w:rsidRPr="0004353B">
        <w:t>Table 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04353B">
        <w:t xml:space="preserve">: 2012, NAICS </w:t>
      </w:r>
      <w:r>
        <w:t>Code</w:t>
      </w:r>
      <w:r w:rsidRPr="0004353B">
        <w:t xml:space="preserve"> 624230, </w:t>
      </w:r>
      <w:hyperlink r:id="rId78" w:history="1">
        <w:r w:rsidRPr="00FC1E1F">
          <w:rPr>
            <w:rStyle w:val="Hyperlink"/>
          </w:rPr>
          <w:t>https://factfinder.census.gov/bkmk/table/1.0/en/ECN/2012_US/62SSSZ4//naics~624230</w:t>
        </w:r>
      </w:hyperlink>
      <w:r w:rsidRPr="004822AF">
        <w:rPr>
          <w:rStyle w:val="Hyperlink"/>
        </w:rPr>
        <w:t xml:space="preserve"> (last visited </w:t>
      </w:r>
      <w:r>
        <w:rPr>
          <w:rStyle w:val="Hyperlink"/>
        </w:rPr>
        <w:t>June 6</w:t>
      </w:r>
      <w:r w:rsidRPr="004822AF">
        <w:rPr>
          <w:rStyle w:val="Hyperlink"/>
        </w:rPr>
        <w:t>, 2018)</w:t>
      </w:r>
      <w:r w:rsidRPr="00523DC2">
        <w:t>.</w:t>
      </w:r>
      <w:r>
        <w:t xml:space="preserve"> </w:t>
      </w:r>
    </w:p>
  </w:footnote>
  <w:footnote w:id="243">
    <w:p w:rsidR="00530550" w:rsidP="004C6034" w14:paraId="518F32DE" w14:textId="77777777">
      <w:pPr>
        <w:pStyle w:val="FootnoteText"/>
      </w:pPr>
      <w:r>
        <w:rPr>
          <w:rStyle w:val="FootnoteReference"/>
        </w:rPr>
        <w:footnoteRef/>
      </w:r>
      <w:r>
        <w:t xml:space="preserve">  </w:t>
      </w:r>
      <w:r w:rsidRPr="00F05C59">
        <w:rPr>
          <w:i/>
        </w:rPr>
        <w:t>Id.</w:t>
      </w:r>
      <w:r w:rsidRPr="00CC512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0E0" w:rsidP="000E20E0" w14:paraId="5424B424" w14:textId="69C0541B">
    <w:pPr>
      <w:pStyle w:val="Header"/>
      <w:rPr>
        <w:spacing w:val="-2"/>
      </w:rPr>
    </w:pPr>
    <w:r>
      <w:tab/>
      <w:t>Federal Communications Commission</w:t>
    </w:r>
    <w:r>
      <w:tab/>
    </w:r>
    <w:r>
      <w:rPr>
        <w:spacing w:val="-2"/>
      </w:rPr>
      <w:t>FCC 21-</w:t>
    </w:r>
    <w:r w:rsidR="006437E6">
      <w:rPr>
        <w:spacing w:val="-2"/>
      </w:rPr>
      <w:t>79</w:t>
    </w:r>
  </w:p>
  <w:p w:rsidR="00530550" w:rsidRPr="000E20E0" w:rsidP="000E20E0" w14:paraId="1DD6A5B4" w14:textId="127CADD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0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810B6F" w14:paraId="7AD38EC0" w14:textId="2118DAC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10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r>
    <w:bookmarkStart w:id="82" w:name="_Hlk534274520"/>
    <w:r>
      <w:rPr>
        <w:spacing w:val="-2"/>
      </w:rPr>
      <w:t>FCC</w:t>
    </w:r>
    <w:bookmarkEnd w:id="82"/>
    <w:r>
      <w:rPr>
        <w:spacing w:val="-2"/>
      </w:rPr>
      <w:t xml:space="preserve"> 21-</w:t>
    </w:r>
    <w:r w:rsidR="006437E6">
      <w:rPr>
        <w:spacing w:val="-2"/>
      </w:rPr>
      <w:t>79</w:t>
    </w:r>
  </w:p>
  <w:p w:rsidR="00530550" w:rsidRPr="003E517B" w:rsidP="00810B6F" w14:paraId="211865B2" w14:textId="1C5396DD">
    <w:pPr>
      <w:pStyle w:val="Header"/>
      <w:rPr>
        <w:spacing w:val="-2"/>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810B6F" w14:paraId="2CA8891C" w14:textId="4D90E522">
    <w:pPr>
      <w:pStyle w:val="Header"/>
      <w:rPr>
        <w:b w:val="0"/>
      </w:rPr>
    </w:pPr>
    <w:r>
      <w:tab/>
      <w:t>Federal Communications Commission</w:t>
    </w:r>
    <w:r>
      <w:tab/>
    </w:r>
    <w:r>
      <w:rPr>
        <w:spacing w:val="-2"/>
      </w:rPr>
      <w:t xml:space="preserve">FCC </w:t>
    </w:r>
    <w:r w:rsidR="006437E6">
      <w:rPr>
        <w:spacing w:val="-2"/>
      </w:rPr>
      <w:t>21</w:t>
    </w:r>
    <w:r>
      <w:rPr>
        <w:spacing w:val="-2"/>
      </w:rPr>
      <w:t>-</w:t>
    </w:r>
    <w:r w:rsidR="006437E6">
      <w:rPr>
        <w:spacing w:val="-2"/>
      </w:rPr>
      <w:t>79</w:t>
    </w:r>
  </w:p>
  <w:p w:rsidR="00530550" w14:paraId="58A0CB9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v:path arrowok="t"/>
              <w10:wrap anchorx="margin"/>
            </v:rect>
          </w:pict>
        </mc:Fallback>
      </mc:AlternateContent>
    </w:r>
  </w:p>
  <w:p w:rsidR="00530550" w14:paraId="2BB03B1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810B6F" w14:paraId="319412CE"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v:path arrowok="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31020B" w14:paraId="7D9F4D6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31020B" w14:paraId="04D30CCE" w14:textId="3A360D14">
    <w:pPr>
      <w:pStyle w:val="Header"/>
    </w:pPr>
    <w:r>
      <w:tab/>
      <w:t>Federal Communications Commission</w:t>
    </w:r>
    <w:r>
      <w:tab/>
    </w:r>
    <w:r>
      <w:rPr>
        <w:spacing w:val="-2"/>
      </w:rPr>
      <w:t>FCC 2</w:t>
    </w:r>
    <w:r w:rsidR="006437E6">
      <w:rPr>
        <w:spacing w:val="-2"/>
      </w:rPr>
      <w:t>1</w:t>
    </w:r>
    <w:r>
      <w:rPr>
        <w:spacing w:val="-2"/>
      </w:rPr>
      <w:t>-</w:t>
    </w:r>
    <w:r w:rsidR="006437E6">
      <w:rPr>
        <w:spacing w:val="-2"/>
      </w:rPr>
      <w:t>79</w:t>
    </w:r>
  </w:p>
  <w:p w:rsidR="00530550" w14:paraId="2F9EFB6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9"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530550" w14:paraId="01204E1B"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50" w:rsidP="0031020B" w14:paraId="52E5FFEA" w14:textId="77777777">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8" name="Rectangle 10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0"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r>
    <w:r>
      <w:fldChar w:fldCharType="begin"/>
    </w:r>
    <w:r>
      <w:instrText xml:space="preserve"> MACROBUTTON  Overtype "FCC  XX-XXX"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25E72"/>
    <w:multiLevelType w:val="hybridMultilevel"/>
    <w:tmpl w:val="1DF6E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hint="default"/>
      </w:rPr>
    </w:lvl>
    <w:lvl w:ilvl="8" w:tentative="1">
      <w:start w:val="1"/>
      <w:numFmt w:val="bullet"/>
      <w:lvlText w:val=""/>
      <w:lvlJc w:val="left"/>
      <w:pPr>
        <w:ind w:left="6540" w:hanging="360"/>
      </w:pPr>
      <w:rPr>
        <w:rFonts w:ascii="Wingdings" w:hAnsi="Wingdings" w:hint="default"/>
      </w:rPr>
    </w:lvl>
  </w:abstractNum>
  <w:abstractNum w:abstractNumId="2">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CA000F2"/>
    <w:multiLevelType w:val="hybridMultilevel"/>
    <w:tmpl w:val="AB404CF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EFD2977"/>
    <w:multiLevelType w:val="hybridMultilevel"/>
    <w:tmpl w:val="1DD023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D7627A"/>
    <w:multiLevelType w:val="multilevel"/>
    <w:tmpl w:val="5274BDF0"/>
    <w:numStyleLink w:val="StyleBulletedLatinCourierNewLeft075Hanging0252"/>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15D4EAC"/>
    <w:multiLevelType w:val="singleLevel"/>
    <w:tmpl w:val="DCF68544"/>
    <w:lvl w:ilvl="0">
      <w:start w:val="1"/>
      <w:numFmt w:val="upperLetter"/>
      <w:lvlText w:val="(%1)"/>
      <w:lvlJc w:val="left"/>
      <w:pPr>
        <w:tabs>
          <w:tab w:val="num" w:pos="1836"/>
        </w:tabs>
        <w:ind w:left="1836" w:hanging="396"/>
      </w:pPr>
      <w:rPr>
        <w:rFonts w:hint="default"/>
      </w:rPr>
    </w:lvl>
  </w:abstractNum>
  <w:abstractNum w:abstractNumId="15">
    <w:nsid w:val="780D6A0A"/>
    <w:multiLevelType w:val="singleLevel"/>
    <w:tmpl w:val="B30EC2E8"/>
    <w:lvl w:ilvl="0">
      <w:start w:val="1"/>
      <w:numFmt w:val="decimal"/>
      <w:pStyle w:val="Para"/>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auto"/>
        <w:spacing w:val="0"/>
        <w:w w:val="100"/>
        <w:kern w:val="28"/>
        <w:position w:val="0"/>
        <w:sz w:val="22"/>
        <w:szCs w:val="22"/>
        <w:u w:val="none" w:color="000000"/>
        <w:vertAlign w:val="baseline"/>
      </w:rPr>
    </w:lvl>
  </w:abstractNum>
  <w:num w:numId="1">
    <w:abstractNumId w:val="0"/>
  </w:num>
  <w:num w:numId="2">
    <w:abstractNumId w:val="4"/>
  </w:num>
  <w:num w:numId="3">
    <w:abstractNumId w:val="13"/>
  </w:num>
  <w:num w:numId="4">
    <w:abstractNumId w:val="6"/>
  </w:num>
  <w:num w:numId="5">
    <w:abstractNumId w:val="11"/>
  </w:num>
  <w:num w:numId="6">
    <w:abstractNumId w:val="5"/>
  </w:num>
  <w:num w:numId="7">
    <w:abstractNumId w:val="3"/>
  </w:num>
  <w:num w:numId="8">
    <w:abstractNumId w:val="1"/>
  </w:num>
  <w:num w:numId="9">
    <w:abstractNumId w:val="2"/>
  </w:num>
  <w:num w:numId="10">
    <w:abstractNumId w:val="12"/>
  </w:num>
  <w:num w:numId="11">
    <w:abstractNumId w:val="13"/>
    <w:lvlOverride w:ilvl="0">
      <w:startOverride w:val="1"/>
    </w:lvlOverride>
  </w:num>
  <w:num w:numId="12">
    <w:abstractNumId w:val="13"/>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9"/>
  </w:num>
  <w:num w:numId="20">
    <w:abstractNumId w:val="8"/>
  </w:num>
  <w:num w:numId="21">
    <w:abstractNumId w:val="13"/>
    <w:lvlOverride w:ilvl="0">
      <w:startOverride w:val="1"/>
    </w:lvlOverride>
  </w:num>
  <w:num w:numId="22">
    <w:abstractNumId w:val="13"/>
    <w:lvlOverride w:ilvl="0">
      <w:startOverride w:val="43"/>
    </w:lvlOverride>
  </w:num>
  <w:num w:numId="23">
    <w:abstractNumId w:val="13"/>
    <w:lvlOverride w:ilvl="0">
      <w:startOverride w:val="37"/>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57"/>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30"/>
    </w:lvlOverride>
  </w:num>
  <w:num w:numId="32">
    <w:abstractNumId w:val="13"/>
    <w:lvlOverride w:ilvl="0">
      <w:startOverride w:val="36"/>
    </w:lvlOverride>
  </w:num>
  <w:num w:numId="33">
    <w:abstractNumId w:val="13"/>
    <w:lvlOverride w:ilvl="0">
      <w:startOverride w:val="54"/>
    </w:lvlOverride>
  </w:num>
  <w:num w:numId="34">
    <w:abstractNumId w:val="15"/>
  </w:num>
  <w:num w:numId="35">
    <w:abstractNumId w:val="10"/>
  </w:num>
  <w:num w:numId="3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30"/>
    <w:rsid w:val="00001164"/>
    <w:rsid w:val="00001774"/>
    <w:rsid w:val="00003EB1"/>
    <w:rsid w:val="00006C7A"/>
    <w:rsid w:val="000072D2"/>
    <w:rsid w:val="0000780C"/>
    <w:rsid w:val="00010194"/>
    <w:rsid w:val="00010A7F"/>
    <w:rsid w:val="00010AED"/>
    <w:rsid w:val="00011EA0"/>
    <w:rsid w:val="00014253"/>
    <w:rsid w:val="000201C8"/>
    <w:rsid w:val="000213C8"/>
    <w:rsid w:val="00022B56"/>
    <w:rsid w:val="00022BF1"/>
    <w:rsid w:val="00023B93"/>
    <w:rsid w:val="0002538F"/>
    <w:rsid w:val="00025939"/>
    <w:rsid w:val="000264D8"/>
    <w:rsid w:val="00026598"/>
    <w:rsid w:val="0002767A"/>
    <w:rsid w:val="00030542"/>
    <w:rsid w:val="00030BB8"/>
    <w:rsid w:val="00032B47"/>
    <w:rsid w:val="00035956"/>
    <w:rsid w:val="00036039"/>
    <w:rsid w:val="0003658B"/>
    <w:rsid w:val="00037677"/>
    <w:rsid w:val="00037F90"/>
    <w:rsid w:val="00041D8D"/>
    <w:rsid w:val="0004353B"/>
    <w:rsid w:val="00050ADD"/>
    <w:rsid w:val="00050E40"/>
    <w:rsid w:val="000510DC"/>
    <w:rsid w:val="000513B0"/>
    <w:rsid w:val="00051AC0"/>
    <w:rsid w:val="00051EEE"/>
    <w:rsid w:val="00051FC8"/>
    <w:rsid w:val="000530DB"/>
    <w:rsid w:val="0005360F"/>
    <w:rsid w:val="00054926"/>
    <w:rsid w:val="00054AFF"/>
    <w:rsid w:val="000557C9"/>
    <w:rsid w:val="000558B8"/>
    <w:rsid w:val="00057AAA"/>
    <w:rsid w:val="000602E9"/>
    <w:rsid w:val="00061388"/>
    <w:rsid w:val="00065644"/>
    <w:rsid w:val="00066589"/>
    <w:rsid w:val="000703B2"/>
    <w:rsid w:val="00071985"/>
    <w:rsid w:val="00071999"/>
    <w:rsid w:val="00071F30"/>
    <w:rsid w:val="00074FD4"/>
    <w:rsid w:val="00075627"/>
    <w:rsid w:val="00075962"/>
    <w:rsid w:val="0007636B"/>
    <w:rsid w:val="00077A5F"/>
    <w:rsid w:val="00080B24"/>
    <w:rsid w:val="000812D3"/>
    <w:rsid w:val="0008240B"/>
    <w:rsid w:val="000840AF"/>
    <w:rsid w:val="00084D7C"/>
    <w:rsid w:val="0008637B"/>
    <w:rsid w:val="00086646"/>
    <w:rsid w:val="00086BCE"/>
    <w:rsid w:val="000875BF"/>
    <w:rsid w:val="00090F42"/>
    <w:rsid w:val="000923D1"/>
    <w:rsid w:val="00092D86"/>
    <w:rsid w:val="00093018"/>
    <w:rsid w:val="000964D4"/>
    <w:rsid w:val="00096637"/>
    <w:rsid w:val="00096924"/>
    <w:rsid w:val="00096D8C"/>
    <w:rsid w:val="00096F93"/>
    <w:rsid w:val="000976EC"/>
    <w:rsid w:val="000A12B6"/>
    <w:rsid w:val="000A3D5F"/>
    <w:rsid w:val="000A46D3"/>
    <w:rsid w:val="000A79CC"/>
    <w:rsid w:val="000B05D7"/>
    <w:rsid w:val="000B090B"/>
    <w:rsid w:val="000B2ACE"/>
    <w:rsid w:val="000B2C7C"/>
    <w:rsid w:val="000B2CC8"/>
    <w:rsid w:val="000B2FEC"/>
    <w:rsid w:val="000B44B2"/>
    <w:rsid w:val="000B47CC"/>
    <w:rsid w:val="000B49FF"/>
    <w:rsid w:val="000B7B63"/>
    <w:rsid w:val="000C030A"/>
    <w:rsid w:val="000C0B65"/>
    <w:rsid w:val="000C20A7"/>
    <w:rsid w:val="000C2F57"/>
    <w:rsid w:val="000C3864"/>
    <w:rsid w:val="000C4CFC"/>
    <w:rsid w:val="000C5F5A"/>
    <w:rsid w:val="000C6D08"/>
    <w:rsid w:val="000C7ED4"/>
    <w:rsid w:val="000D1413"/>
    <w:rsid w:val="000D4091"/>
    <w:rsid w:val="000D5769"/>
    <w:rsid w:val="000D7BAF"/>
    <w:rsid w:val="000E0159"/>
    <w:rsid w:val="000E04C0"/>
    <w:rsid w:val="000E05FE"/>
    <w:rsid w:val="000E1004"/>
    <w:rsid w:val="000E20E0"/>
    <w:rsid w:val="000E22EF"/>
    <w:rsid w:val="000E2A55"/>
    <w:rsid w:val="000E2D67"/>
    <w:rsid w:val="000E3361"/>
    <w:rsid w:val="000E36DE"/>
    <w:rsid w:val="000E3D42"/>
    <w:rsid w:val="000E4CE2"/>
    <w:rsid w:val="000E4E8B"/>
    <w:rsid w:val="000E6771"/>
    <w:rsid w:val="000F1338"/>
    <w:rsid w:val="000F1A6D"/>
    <w:rsid w:val="000F3227"/>
    <w:rsid w:val="000F33DE"/>
    <w:rsid w:val="000F5D18"/>
    <w:rsid w:val="00100B05"/>
    <w:rsid w:val="0010549E"/>
    <w:rsid w:val="001075E7"/>
    <w:rsid w:val="001076EF"/>
    <w:rsid w:val="001077C2"/>
    <w:rsid w:val="001077C3"/>
    <w:rsid w:val="00110EBD"/>
    <w:rsid w:val="00111D4A"/>
    <w:rsid w:val="00112546"/>
    <w:rsid w:val="0011404D"/>
    <w:rsid w:val="00116A75"/>
    <w:rsid w:val="00116F6D"/>
    <w:rsid w:val="00116FAD"/>
    <w:rsid w:val="00117B89"/>
    <w:rsid w:val="00120B95"/>
    <w:rsid w:val="00120D90"/>
    <w:rsid w:val="00120E16"/>
    <w:rsid w:val="00121556"/>
    <w:rsid w:val="00121B8D"/>
    <w:rsid w:val="00121DEB"/>
    <w:rsid w:val="00122350"/>
    <w:rsid w:val="00122BD5"/>
    <w:rsid w:val="00122D99"/>
    <w:rsid w:val="00124495"/>
    <w:rsid w:val="0012612E"/>
    <w:rsid w:val="00126209"/>
    <w:rsid w:val="00126B2D"/>
    <w:rsid w:val="00130B47"/>
    <w:rsid w:val="00131F8D"/>
    <w:rsid w:val="001328D9"/>
    <w:rsid w:val="00133F79"/>
    <w:rsid w:val="00133FCC"/>
    <w:rsid w:val="001353CD"/>
    <w:rsid w:val="0013597A"/>
    <w:rsid w:val="0013693F"/>
    <w:rsid w:val="00141741"/>
    <w:rsid w:val="00141A60"/>
    <w:rsid w:val="0014252C"/>
    <w:rsid w:val="0014521E"/>
    <w:rsid w:val="00153857"/>
    <w:rsid w:val="0015400A"/>
    <w:rsid w:val="00154DEB"/>
    <w:rsid w:val="00155383"/>
    <w:rsid w:val="00155942"/>
    <w:rsid w:val="00155C45"/>
    <w:rsid w:val="00155E02"/>
    <w:rsid w:val="00156660"/>
    <w:rsid w:val="00157AE4"/>
    <w:rsid w:val="00157BC3"/>
    <w:rsid w:val="00161245"/>
    <w:rsid w:val="00163976"/>
    <w:rsid w:val="00165390"/>
    <w:rsid w:val="00165691"/>
    <w:rsid w:val="00167C65"/>
    <w:rsid w:val="001705A0"/>
    <w:rsid w:val="0017115D"/>
    <w:rsid w:val="001716B6"/>
    <w:rsid w:val="001729FF"/>
    <w:rsid w:val="001733B1"/>
    <w:rsid w:val="00173D86"/>
    <w:rsid w:val="00173FC5"/>
    <w:rsid w:val="00174A1C"/>
    <w:rsid w:val="0017526F"/>
    <w:rsid w:val="001761C4"/>
    <w:rsid w:val="00180A76"/>
    <w:rsid w:val="00182044"/>
    <w:rsid w:val="00182667"/>
    <w:rsid w:val="00183A93"/>
    <w:rsid w:val="00183BDC"/>
    <w:rsid w:val="00184657"/>
    <w:rsid w:val="001867C5"/>
    <w:rsid w:val="001868A3"/>
    <w:rsid w:val="001877FA"/>
    <w:rsid w:val="00193C2A"/>
    <w:rsid w:val="001944F4"/>
    <w:rsid w:val="00194A66"/>
    <w:rsid w:val="001953A9"/>
    <w:rsid w:val="00195561"/>
    <w:rsid w:val="00195751"/>
    <w:rsid w:val="00196314"/>
    <w:rsid w:val="00197030"/>
    <w:rsid w:val="001A1511"/>
    <w:rsid w:val="001A4320"/>
    <w:rsid w:val="001A4A6F"/>
    <w:rsid w:val="001A73CE"/>
    <w:rsid w:val="001B1029"/>
    <w:rsid w:val="001B1196"/>
    <w:rsid w:val="001B2AEE"/>
    <w:rsid w:val="001B3244"/>
    <w:rsid w:val="001B368D"/>
    <w:rsid w:val="001B460F"/>
    <w:rsid w:val="001B5DD6"/>
    <w:rsid w:val="001B6FBA"/>
    <w:rsid w:val="001B770B"/>
    <w:rsid w:val="001C1BD5"/>
    <w:rsid w:val="001C2B01"/>
    <w:rsid w:val="001C3739"/>
    <w:rsid w:val="001C4AC5"/>
    <w:rsid w:val="001C5437"/>
    <w:rsid w:val="001C6AF3"/>
    <w:rsid w:val="001C6E21"/>
    <w:rsid w:val="001C79FC"/>
    <w:rsid w:val="001D02A9"/>
    <w:rsid w:val="001D3BFA"/>
    <w:rsid w:val="001D4B06"/>
    <w:rsid w:val="001D5785"/>
    <w:rsid w:val="001D5F96"/>
    <w:rsid w:val="001D6BCF"/>
    <w:rsid w:val="001D6F77"/>
    <w:rsid w:val="001D781D"/>
    <w:rsid w:val="001E01CA"/>
    <w:rsid w:val="001E1819"/>
    <w:rsid w:val="001E22AB"/>
    <w:rsid w:val="001E3666"/>
    <w:rsid w:val="001E6C07"/>
    <w:rsid w:val="001F09EC"/>
    <w:rsid w:val="001F2608"/>
    <w:rsid w:val="001F27C3"/>
    <w:rsid w:val="001F3BB9"/>
    <w:rsid w:val="001F3C3C"/>
    <w:rsid w:val="001F3CDB"/>
    <w:rsid w:val="001F3FDA"/>
    <w:rsid w:val="001F440E"/>
    <w:rsid w:val="001F471C"/>
    <w:rsid w:val="001F49CA"/>
    <w:rsid w:val="001F55C9"/>
    <w:rsid w:val="001F6599"/>
    <w:rsid w:val="001F6D05"/>
    <w:rsid w:val="001F73F9"/>
    <w:rsid w:val="002000CD"/>
    <w:rsid w:val="002017B6"/>
    <w:rsid w:val="00201DB3"/>
    <w:rsid w:val="00202D14"/>
    <w:rsid w:val="002031D7"/>
    <w:rsid w:val="00203485"/>
    <w:rsid w:val="00204578"/>
    <w:rsid w:val="00204B0E"/>
    <w:rsid w:val="002057F3"/>
    <w:rsid w:val="00205BAA"/>
    <w:rsid w:val="002075FA"/>
    <w:rsid w:val="0021096A"/>
    <w:rsid w:val="00211905"/>
    <w:rsid w:val="00213486"/>
    <w:rsid w:val="00216230"/>
    <w:rsid w:val="002162BB"/>
    <w:rsid w:val="002177F8"/>
    <w:rsid w:val="00220CB4"/>
    <w:rsid w:val="00220CDE"/>
    <w:rsid w:val="00221081"/>
    <w:rsid w:val="00221213"/>
    <w:rsid w:val="00222129"/>
    <w:rsid w:val="00222EAA"/>
    <w:rsid w:val="002234EB"/>
    <w:rsid w:val="00226211"/>
    <w:rsid w:val="00226ACC"/>
    <w:rsid w:val="002304D8"/>
    <w:rsid w:val="00230F0F"/>
    <w:rsid w:val="00231394"/>
    <w:rsid w:val="00231DAF"/>
    <w:rsid w:val="00232152"/>
    <w:rsid w:val="00232779"/>
    <w:rsid w:val="00233091"/>
    <w:rsid w:val="002339C9"/>
    <w:rsid w:val="00234C74"/>
    <w:rsid w:val="00236169"/>
    <w:rsid w:val="00242B43"/>
    <w:rsid w:val="002435AB"/>
    <w:rsid w:val="00243CB4"/>
    <w:rsid w:val="002472DA"/>
    <w:rsid w:val="002504A5"/>
    <w:rsid w:val="00252906"/>
    <w:rsid w:val="00254548"/>
    <w:rsid w:val="00256FD0"/>
    <w:rsid w:val="0025719E"/>
    <w:rsid w:val="00257475"/>
    <w:rsid w:val="00260146"/>
    <w:rsid w:val="00261A2F"/>
    <w:rsid w:val="00261B7C"/>
    <w:rsid w:val="00261F5F"/>
    <w:rsid w:val="0026238D"/>
    <w:rsid w:val="00264490"/>
    <w:rsid w:val="00264BA9"/>
    <w:rsid w:val="00264C2D"/>
    <w:rsid w:val="00265BB5"/>
    <w:rsid w:val="00267A7F"/>
    <w:rsid w:val="00270F54"/>
    <w:rsid w:val="00271983"/>
    <w:rsid w:val="00271E66"/>
    <w:rsid w:val="0027294D"/>
    <w:rsid w:val="002739C3"/>
    <w:rsid w:val="002742AD"/>
    <w:rsid w:val="002749CD"/>
    <w:rsid w:val="00275CAA"/>
    <w:rsid w:val="00275CF5"/>
    <w:rsid w:val="002760E2"/>
    <w:rsid w:val="002774A0"/>
    <w:rsid w:val="002777A1"/>
    <w:rsid w:val="00277E55"/>
    <w:rsid w:val="0028003D"/>
    <w:rsid w:val="002807B4"/>
    <w:rsid w:val="0028086F"/>
    <w:rsid w:val="00280DCB"/>
    <w:rsid w:val="002815CC"/>
    <w:rsid w:val="002815EF"/>
    <w:rsid w:val="00282641"/>
    <w:rsid w:val="0028301F"/>
    <w:rsid w:val="002837F3"/>
    <w:rsid w:val="00285017"/>
    <w:rsid w:val="00286FC1"/>
    <w:rsid w:val="00287C7D"/>
    <w:rsid w:val="00287E29"/>
    <w:rsid w:val="00290037"/>
    <w:rsid w:val="002925A0"/>
    <w:rsid w:val="00292F64"/>
    <w:rsid w:val="00294015"/>
    <w:rsid w:val="00294516"/>
    <w:rsid w:val="00294FB9"/>
    <w:rsid w:val="00295374"/>
    <w:rsid w:val="00295DE6"/>
    <w:rsid w:val="00296820"/>
    <w:rsid w:val="00297649"/>
    <w:rsid w:val="002A024A"/>
    <w:rsid w:val="002A0CC2"/>
    <w:rsid w:val="002A2D2E"/>
    <w:rsid w:val="002A3C35"/>
    <w:rsid w:val="002A58E1"/>
    <w:rsid w:val="002A7008"/>
    <w:rsid w:val="002B057E"/>
    <w:rsid w:val="002B0951"/>
    <w:rsid w:val="002B1735"/>
    <w:rsid w:val="002B2A48"/>
    <w:rsid w:val="002B36CC"/>
    <w:rsid w:val="002C00E8"/>
    <w:rsid w:val="002C0792"/>
    <w:rsid w:val="002C11F0"/>
    <w:rsid w:val="002C2C94"/>
    <w:rsid w:val="002C4C8F"/>
    <w:rsid w:val="002C56BF"/>
    <w:rsid w:val="002C6DEB"/>
    <w:rsid w:val="002C6E35"/>
    <w:rsid w:val="002D0B76"/>
    <w:rsid w:val="002D22FB"/>
    <w:rsid w:val="002D2B65"/>
    <w:rsid w:val="002D2FC4"/>
    <w:rsid w:val="002D324C"/>
    <w:rsid w:val="002D4A5A"/>
    <w:rsid w:val="002D4AA8"/>
    <w:rsid w:val="002E383C"/>
    <w:rsid w:val="002E4239"/>
    <w:rsid w:val="002E60DB"/>
    <w:rsid w:val="002E6C3D"/>
    <w:rsid w:val="002E7196"/>
    <w:rsid w:val="002E7C17"/>
    <w:rsid w:val="002F0ED7"/>
    <w:rsid w:val="002F10F8"/>
    <w:rsid w:val="002F2398"/>
    <w:rsid w:val="002F2CB0"/>
    <w:rsid w:val="002F4A42"/>
    <w:rsid w:val="002F5C74"/>
    <w:rsid w:val="002F6287"/>
    <w:rsid w:val="002F75BE"/>
    <w:rsid w:val="002F7703"/>
    <w:rsid w:val="002F78FF"/>
    <w:rsid w:val="0030070F"/>
    <w:rsid w:val="00302038"/>
    <w:rsid w:val="0030222D"/>
    <w:rsid w:val="0030224D"/>
    <w:rsid w:val="0030268B"/>
    <w:rsid w:val="00304268"/>
    <w:rsid w:val="00304779"/>
    <w:rsid w:val="00305495"/>
    <w:rsid w:val="00306A3A"/>
    <w:rsid w:val="0031020B"/>
    <w:rsid w:val="00311C3F"/>
    <w:rsid w:val="00311DE9"/>
    <w:rsid w:val="00312F80"/>
    <w:rsid w:val="003150B6"/>
    <w:rsid w:val="003155D9"/>
    <w:rsid w:val="00320EEC"/>
    <w:rsid w:val="003238C8"/>
    <w:rsid w:val="00323EE9"/>
    <w:rsid w:val="0032442F"/>
    <w:rsid w:val="00327CD3"/>
    <w:rsid w:val="0033307B"/>
    <w:rsid w:val="003331D9"/>
    <w:rsid w:val="00333BD2"/>
    <w:rsid w:val="00334061"/>
    <w:rsid w:val="0033421C"/>
    <w:rsid w:val="00335E17"/>
    <w:rsid w:val="003368D5"/>
    <w:rsid w:val="0033690B"/>
    <w:rsid w:val="00336ED3"/>
    <w:rsid w:val="003373C4"/>
    <w:rsid w:val="00337ED1"/>
    <w:rsid w:val="0034285F"/>
    <w:rsid w:val="00343749"/>
    <w:rsid w:val="00345E2B"/>
    <w:rsid w:val="00347024"/>
    <w:rsid w:val="0034728A"/>
    <w:rsid w:val="00350D26"/>
    <w:rsid w:val="00354B92"/>
    <w:rsid w:val="00355EB3"/>
    <w:rsid w:val="00356C7B"/>
    <w:rsid w:val="003572F9"/>
    <w:rsid w:val="00357547"/>
    <w:rsid w:val="00361481"/>
    <w:rsid w:val="00361694"/>
    <w:rsid w:val="003619EA"/>
    <w:rsid w:val="00363446"/>
    <w:rsid w:val="00363480"/>
    <w:rsid w:val="0036398B"/>
    <w:rsid w:val="003660ED"/>
    <w:rsid w:val="00370428"/>
    <w:rsid w:val="00373FD4"/>
    <w:rsid w:val="00376121"/>
    <w:rsid w:val="0037765D"/>
    <w:rsid w:val="00377B42"/>
    <w:rsid w:val="00377F9B"/>
    <w:rsid w:val="003808A1"/>
    <w:rsid w:val="0038214A"/>
    <w:rsid w:val="0038217F"/>
    <w:rsid w:val="00384B16"/>
    <w:rsid w:val="0038535E"/>
    <w:rsid w:val="00385606"/>
    <w:rsid w:val="0038685E"/>
    <w:rsid w:val="00387761"/>
    <w:rsid w:val="0039016B"/>
    <w:rsid w:val="003910E2"/>
    <w:rsid w:val="00392096"/>
    <w:rsid w:val="003925BA"/>
    <w:rsid w:val="003925E2"/>
    <w:rsid w:val="003926B0"/>
    <w:rsid w:val="003A05B1"/>
    <w:rsid w:val="003A184C"/>
    <w:rsid w:val="003A1DDC"/>
    <w:rsid w:val="003A5AD1"/>
    <w:rsid w:val="003A697B"/>
    <w:rsid w:val="003B0550"/>
    <w:rsid w:val="003B1F31"/>
    <w:rsid w:val="003B2CB7"/>
    <w:rsid w:val="003B30EA"/>
    <w:rsid w:val="003B31E9"/>
    <w:rsid w:val="003B4EC3"/>
    <w:rsid w:val="003B6001"/>
    <w:rsid w:val="003B694F"/>
    <w:rsid w:val="003B6DF8"/>
    <w:rsid w:val="003B7E8F"/>
    <w:rsid w:val="003C04C7"/>
    <w:rsid w:val="003C0589"/>
    <w:rsid w:val="003C05A0"/>
    <w:rsid w:val="003C0D5C"/>
    <w:rsid w:val="003C0FF0"/>
    <w:rsid w:val="003C1097"/>
    <w:rsid w:val="003C6E97"/>
    <w:rsid w:val="003D12C9"/>
    <w:rsid w:val="003D15B7"/>
    <w:rsid w:val="003D1B1C"/>
    <w:rsid w:val="003D224C"/>
    <w:rsid w:val="003D23F0"/>
    <w:rsid w:val="003D2409"/>
    <w:rsid w:val="003D36F7"/>
    <w:rsid w:val="003D4EB8"/>
    <w:rsid w:val="003D66CF"/>
    <w:rsid w:val="003E1BA9"/>
    <w:rsid w:val="003E406D"/>
    <w:rsid w:val="003E517B"/>
    <w:rsid w:val="003E58D9"/>
    <w:rsid w:val="003E663C"/>
    <w:rsid w:val="003F171C"/>
    <w:rsid w:val="003F1DEA"/>
    <w:rsid w:val="003F43E5"/>
    <w:rsid w:val="003F47D6"/>
    <w:rsid w:val="003F4A83"/>
    <w:rsid w:val="003F6F5C"/>
    <w:rsid w:val="003F785E"/>
    <w:rsid w:val="004006E7"/>
    <w:rsid w:val="00400901"/>
    <w:rsid w:val="004012BF"/>
    <w:rsid w:val="00401502"/>
    <w:rsid w:val="0040695B"/>
    <w:rsid w:val="00410BC2"/>
    <w:rsid w:val="00412FC5"/>
    <w:rsid w:val="00413958"/>
    <w:rsid w:val="004145F6"/>
    <w:rsid w:val="0041477A"/>
    <w:rsid w:val="0041739D"/>
    <w:rsid w:val="0041790C"/>
    <w:rsid w:val="0042115F"/>
    <w:rsid w:val="00422276"/>
    <w:rsid w:val="00422A82"/>
    <w:rsid w:val="00422BE3"/>
    <w:rsid w:val="00423B26"/>
    <w:rsid w:val="004242F1"/>
    <w:rsid w:val="004254A4"/>
    <w:rsid w:val="00426DF3"/>
    <w:rsid w:val="00427A66"/>
    <w:rsid w:val="00431E3C"/>
    <w:rsid w:val="00432B9A"/>
    <w:rsid w:val="00435052"/>
    <w:rsid w:val="0043678D"/>
    <w:rsid w:val="00436A41"/>
    <w:rsid w:val="004374BD"/>
    <w:rsid w:val="004416BF"/>
    <w:rsid w:val="00442621"/>
    <w:rsid w:val="00445A00"/>
    <w:rsid w:val="00446984"/>
    <w:rsid w:val="00446DD0"/>
    <w:rsid w:val="004509E5"/>
    <w:rsid w:val="00450B27"/>
    <w:rsid w:val="004511D8"/>
    <w:rsid w:val="00451581"/>
    <w:rsid w:val="00451B0F"/>
    <w:rsid w:val="00454389"/>
    <w:rsid w:val="00456813"/>
    <w:rsid w:val="004574A8"/>
    <w:rsid w:val="00460701"/>
    <w:rsid w:val="00461DFF"/>
    <w:rsid w:val="0046416C"/>
    <w:rsid w:val="00466E4D"/>
    <w:rsid w:val="00471EE6"/>
    <w:rsid w:val="00471F17"/>
    <w:rsid w:val="00472646"/>
    <w:rsid w:val="004740D4"/>
    <w:rsid w:val="00474947"/>
    <w:rsid w:val="00476071"/>
    <w:rsid w:val="00476FB1"/>
    <w:rsid w:val="00477F83"/>
    <w:rsid w:val="00480BAE"/>
    <w:rsid w:val="004822AF"/>
    <w:rsid w:val="00482A44"/>
    <w:rsid w:val="00487537"/>
    <w:rsid w:val="00492CB2"/>
    <w:rsid w:val="0049402B"/>
    <w:rsid w:val="00495BEE"/>
    <w:rsid w:val="00495F27"/>
    <w:rsid w:val="004A17ED"/>
    <w:rsid w:val="004A33FC"/>
    <w:rsid w:val="004A39B7"/>
    <w:rsid w:val="004A3C19"/>
    <w:rsid w:val="004A467E"/>
    <w:rsid w:val="004A4A36"/>
    <w:rsid w:val="004A696E"/>
    <w:rsid w:val="004A72F8"/>
    <w:rsid w:val="004A7598"/>
    <w:rsid w:val="004A7739"/>
    <w:rsid w:val="004A77A7"/>
    <w:rsid w:val="004A79C5"/>
    <w:rsid w:val="004B1122"/>
    <w:rsid w:val="004B1E00"/>
    <w:rsid w:val="004B25B7"/>
    <w:rsid w:val="004B34E2"/>
    <w:rsid w:val="004B3FDF"/>
    <w:rsid w:val="004B43B8"/>
    <w:rsid w:val="004B4DF0"/>
    <w:rsid w:val="004B7C33"/>
    <w:rsid w:val="004C162B"/>
    <w:rsid w:val="004C2494"/>
    <w:rsid w:val="004C2EE3"/>
    <w:rsid w:val="004C421B"/>
    <w:rsid w:val="004C4449"/>
    <w:rsid w:val="004C4E68"/>
    <w:rsid w:val="004C6034"/>
    <w:rsid w:val="004C630C"/>
    <w:rsid w:val="004C6390"/>
    <w:rsid w:val="004C67AF"/>
    <w:rsid w:val="004C690A"/>
    <w:rsid w:val="004C739C"/>
    <w:rsid w:val="004C73F3"/>
    <w:rsid w:val="004C7607"/>
    <w:rsid w:val="004C7B5B"/>
    <w:rsid w:val="004D1215"/>
    <w:rsid w:val="004D13E0"/>
    <w:rsid w:val="004D5470"/>
    <w:rsid w:val="004D56BD"/>
    <w:rsid w:val="004D5704"/>
    <w:rsid w:val="004D67DD"/>
    <w:rsid w:val="004D7059"/>
    <w:rsid w:val="004E363C"/>
    <w:rsid w:val="004E4154"/>
    <w:rsid w:val="004E4815"/>
    <w:rsid w:val="004E4A22"/>
    <w:rsid w:val="004E4D47"/>
    <w:rsid w:val="004E5002"/>
    <w:rsid w:val="004E7EF7"/>
    <w:rsid w:val="004F0C08"/>
    <w:rsid w:val="004F4364"/>
    <w:rsid w:val="004F5321"/>
    <w:rsid w:val="004F6152"/>
    <w:rsid w:val="004F7310"/>
    <w:rsid w:val="005008EA"/>
    <w:rsid w:val="00501EF4"/>
    <w:rsid w:val="00502AB1"/>
    <w:rsid w:val="00504B3E"/>
    <w:rsid w:val="00505164"/>
    <w:rsid w:val="00505434"/>
    <w:rsid w:val="00505483"/>
    <w:rsid w:val="00505CB4"/>
    <w:rsid w:val="005117EA"/>
    <w:rsid w:val="00511968"/>
    <w:rsid w:val="00517857"/>
    <w:rsid w:val="00520B8B"/>
    <w:rsid w:val="00522785"/>
    <w:rsid w:val="00522B05"/>
    <w:rsid w:val="00522B82"/>
    <w:rsid w:val="00523DC2"/>
    <w:rsid w:val="0052493F"/>
    <w:rsid w:val="00524C14"/>
    <w:rsid w:val="00524E33"/>
    <w:rsid w:val="00525201"/>
    <w:rsid w:val="005258DB"/>
    <w:rsid w:val="00525D79"/>
    <w:rsid w:val="00530550"/>
    <w:rsid w:val="0053057D"/>
    <w:rsid w:val="00530751"/>
    <w:rsid w:val="00530809"/>
    <w:rsid w:val="00531404"/>
    <w:rsid w:val="0053327C"/>
    <w:rsid w:val="0053479D"/>
    <w:rsid w:val="00537293"/>
    <w:rsid w:val="00537751"/>
    <w:rsid w:val="00537AC0"/>
    <w:rsid w:val="005418A2"/>
    <w:rsid w:val="00541DE1"/>
    <w:rsid w:val="00543D48"/>
    <w:rsid w:val="00550DD9"/>
    <w:rsid w:val="00550EB9"/>
    <w:rsid w:val="00552DB1"/>
    <w:rsid w:val="005553A2"/>
    <w:rsid w:val="0055614C"/>
    <w:rsid w:val="00556621"/>
    <w:rsid w:val="00557880"/>
    <w:rsid w:val="00565189"/>
    <w:rsid w:val="00565DB6"/>
    <w:rsid w:val="00566D06"/>
    <w:rsid w:val="00573586"/>
    <w:rsid w:val="00577414"/>
    <w:rsid w:val="0058005B"/>
    <w:rsid w:val="00580139"/>
    <w:rsid w:val="00583D5B"/>
    <w:rsid w:val="005846B0"/>
    <w:rsid w:val="00584B11"/>
    <w:rsid w:val="0058718A"/>
    <w:rsid w:val="00590782"/>
    <w:rsid w:val="00590FA5"/>
    <w:rsid w:val="00592B92"/>
    <w:rsid w:val="0059341F"/>
    <w:rsid w:val="0059359B"/>
    <w:rsid w:val="00593DE3"/>
    <w:rsid w:val="00595D11"/>
    <w:rsid w:val="00595D5C"/>
    <w:rsid w:val="005976FA"/>
    <w:rsid w:val="005A12D6"/>
    <w:rsid w:val="005A21A2"/>
    <w:rsid w:val="005A2362"/>
    <w:rsid w:val="005A2BB1"/>
    <w:rsid w:val="005A2F5B"/>
    <w:rsid w:val="005A34C3"/>
    <w:rsid w:val="005A66E3"/>
    <w:rsid w:val="005B0A5B"/>
    <w:rsid w:val="005B0E52"/>
    <w:rsid w:val="005B3415"/>
    <w:rsid w:val="005B3616"/>
    <w:rsid w:val="005B4355"/>
    <w:rsid w:val="005B4A52"/>
    <w:rsid w:val="005B5208"/>
    <w:rsid w:val="005B69AD"/>
    <w:rsid w:val="005B6ACD"/>
    <w:rsid w:val="005B796B"/>
    <w:rsid w:val="005C150A"/>
    <w:rsid w:val="005C1FCF"/>
    <w:rsid w:val="005C20B7"/>
    <w:rsid w:val="005C4908"/>
    <w:rsid w:val="005C53BE"/>
    <w:rsid w:val="005C544D"/>
    <w:rsid w:val="005C576C"/>
    <w:rsid w:val="005C5EDD"/>
    <w:rsid w:val="005C6A50"/>
    <w:rsid w:val="005C751B"/>
    <w:rsid w:val="005C7AFC"/>
    <w:rsid w:val="005D1241"/>
    <w:rsid w:val="005D12CC"/>
    <w:rsid w:val="005D45B8"/>
    <w:rsid w:val="005D47DE"/>
    <w:rsid w:val="005D5CF6"/>
    <w:rsid w:val="005D6479"/>
    <w:rsid w:val="005E089C"/>
    <w:rsid w:val="005E14C2"/>
    <w:rsid w:val="005E24A5"/>
    <w:rsid w:val="005E34C1"/>
    <w:rsid w:val="005E5E59"/>
    <w:rsid w:val="005E60A7"/>
    <w:rsid w:val="005E6305"/>
    <w:rsid w:val="005E758D"/>
    <w:rsid w:val="005F2C2F"/>
    <w:rsid w:val="005F3CF8"/>
    <w:rsid w:val="005F4DA2"/>
    <w:rsid w:val="00605785"/>
    <w:rsid w:val="006067E8"/>
    <w:rsid w:val="00606930"/>
    <w:rsid w:val="00607BA5"/>
    <w:rsid w:val="0061027A"/>
    <w:rsid w:val="00610C32"/>
    <w:rsid w:val="0061180A"/>
    <w:rsid w:val="006158B1"/>
    <w:rsid w:val="00616807"/>
    <w:rsid w:val="00620CA9"/>
    <w:rsid w:val="0062378C"/>
    <w:rsid w:val="00624375"/>
    <w:rsid w:val="00626EB6"/>
    <w:rsid w:val="0062716C"/>
    <w:rsid w:val="00630461"/>
    <w:rsid w:val="00631992"/>
    <w:rsid w:val="00632C9D"/>
    <w:rsid w:val="006339D1"/>
    <w:rsid w:val="006347F4"/>
    <w:rsid w:val="0063693A"/>
    <w:rsid w:val="00637B79"/>
    <w:rsid w:val="0064040B"/>
    <w:rsid w:val="0064095E"/>
    <w:rsid w:val="006437E6"/>
    <w:rsid w:val="006449C8"/>
    <w:rsid w:val="00645452"/>
    <w:rsid w:val="00645DCB"/>
    <w:rsid w:val="00646C8A"/>
    <w:rsid w:val="00646DC2"/>
    <w:rsid w:val="0065453A"/>
    <w:rsid w:val="00654B2A"/>
    <w:rsid w:val="00655413"/>
    <w:rsid w:val="006554C7"/>
    <w:rsid w:val="006555CE"/>
    <w:rsid w:val="00655D03"/>
    <w:rsid w:val="00655EB9"/>
    <w:rsid w:val="0065691C"/>
    <w:rsid w:val="006574EA"/>
    <w:rsid w:val="00657715"/>
    <w:rsid w:val="0066136B"/>
    <w:rsid w:val="00661DD6"/>
    <w:rsid w:val="006623D5"/>
    <w:rsid w:val="00662C9B"/>
    <w:rsid w:val="00666906"/>
    <w:rsid w:val="00673FD3"/>
    <w:rsid w:val="00674C7F"/>
    <w:rsid w:val="006753EE"/>
    <w:rsid w:val="006771D8"/>
    <w:rsid w:val="0067729E"/>
    <w:rsid w:val="006777B9"/>
    <w:rsid w:val="00677D5C"/>
    <w:rsid w:val="0068065B"/>
    <w:rsid w:val="006807FE"/>
    <w:rsid w:val="00683388"/>
    <w:rsid w:val="00683F84"/>
    <w:rsid w:val="0068420F"/>
    <w:rsid w:val="00684637"/>
    <w:rsid w:val="006908B2"/>
    <w:rsid w:val="006917D9"/>
    <w:rsid w:val="00696991"/>
    <w:rsid w:val="00697F75"/>
    <w:rsid w:val="006A0804"/>
    <w:rsid w:val="006A3347"/>
    <w:rsid w:val="006A35EE"/>
    <w:rsid w:val="006A6A81"/>
    <w:rsid w:val="006A7B5B"/>
    <w:rsid w:val="006B00F8"/>
    <w:rsid w:val="006B076E"/>
    <w:rsid w:val="006B0DF7"/>
    <w:rsid w:val="006B1900"/>
    <w:rsid w:val="006B27D9"/>
    <w:rsid w:val="006B2896"/>
    <w:rsid w:val="006B4CA2"/>
    <w:rsid w:val="006B5F46"/>
    <w:rsid w:val="006B63B6"/>
    <w:rsid w:val="006B65A7"/>
    <w:rsid w:val="006B6BCC"/>
    <w:rsid w:val="006C04F1"/>
    <w:rsid w:val="006C6674"/>
    <w:rsid w:val="006C6681"/>
    <w:rsid w:val="006C66E7"/>
    <w:rsid w:val="006C7AF6"/>
    <w:rsid w:val="006D040F"/>
    <w:rsid w:val="006D05EA"/>
    <w:rsid w:val="006D06B9"/>
    <w:rsid w:val="006D10A7"/>
    <w:rsid w:val="006D571B"/>
    <w:rsid w:val="006E29E1"/>
    <w:rsid w:val="006E3249"/>
    <w:rsid w:val="006E385B"/>
    <w:rsid w:val="006E723E"/>
    <w:rsid w:val="006F055F"/>
    <w:rsid w:val="006F1636"/>
    <w:rsid w:val="006F2A24"/>
    <w:rsid w:val="006F2E12"/>
    <w:rsid w:val="006F3617"/>
    <w:rsid w:val="006F5C0D"/>
    <w:rsid w:val="006F5D1F"/>
    <w:rsid w:val="006F7393"/>
    <w:rsid w:val="006F7595"/>
    <w:rsid w:val="00700017"/>
    <w:rsid w:val="00701D5D"/>
    <w:rsid w:val="0070224F"/>
    <w:rsid w:val="00703B5B"/>
    <w:rsid w:val="007045DB"/>
    <w:rsid w:val="00705CB5"/>
    <w:rsid w:val="00707651"/>
    <w:rsid w:val="007115F7"/>
    <w:rsid w:val="0071317E"/>
    <w:rsid w:val="00713895"/>
    <w:rsid w:val="0071618F"/>
    <w:rsid w:val="00716776"/>
    <w:rsid w:val="00716DBD"/>
    <w:rsid w:val="007175E6"/>
    <w:rsid w:val="007217CE"/>
    <w:rsid w:val="0072192D"/>
    <w:rsid w:val="00723017"/>
    <w:rsid w:val="00725E0B"/>
    <w:rsid w:val="00725E39"/>
    <w:rsid w:val="00726876"/>
    <w:rsid w:val="00726AE9"/>
    <w:rsid w:val="007304A0"/>
    <w:rsid w:val="007310E6"/>
    <w:rsid w:val="00732481"/>
    <w:rsid w:val="00732E7F"/>
    <w:rsid w:val="007422BE"/>
    <w:rsid w:val="0074301D"/>
    <w:rsid w:val="00743ECD"/>
    <w:rsid w:val="00745091"/>
    <w:rsid w:val="00745730"/>
    <w:rsid w:val="00746024"/>
    <w:rsid w:val="0075047E"/>
    <w:rsid w:val="007511F6"/>
    <w:rsid w:val="00751312"/>
    <w:rsid w:val="0075352C"/>
    <w:rsid w:val="00753FAF"/>
    <w:rsid w:val="00756B18"/>
    <w:rsid w:val="007629DE"/>
    <w:rsid w:val="007646F1"/>
    <w:rsid w:val="00765944"/>
    <w:rsid w:val="007714C5"/>
    <w:rsid w:val="00771B60"/>
    <w:rsid w:val="00772D3F"/>
    <w:rsid w:val="0077319D"/>
    <w:rsid w:val="00773700"/>
    <w:rsid w:val="007752E3"/>
    <w:rsid w:val="0077557B"/>
    <w:rsid w:val="007757CB"/>
    <w:rsid w:val="00776FD0"/>
    <w:rsid w:val="007801A1"/>
    <w:rsid w:val="0078048B"/>
    <w:rsid w:val="00781E79"/>
    <w:rsid w:val="007836FE"/>
    <w:rsid w:val="00783FE9"/>
    <w:rsid w:val="00784A7B"/>
    <w:rsid w:val="00785689"/>
    <w:rsid w:val="00786570"/>
    <w:rsid w:val="00786816"/>
    <w:rsid w:val="00786DC3"/>
    <w:rsid w:val="007872A7"/>
    <w:rsid w:val="007878A6"/>
    <w:rsid w:val="007917BC"/>
    <w:rsid w:val="00793DE4"/>
    <w:rsid w:val="00794430"/>
    <w:rsid w:val="00794AE4"/>
    <w:rsid w:val="007962A1"/>
    <w:rsid w:val="00796A71"/>
    <w:rsid w:val="0079754B"/>
    <w:rsid w:val="00797D9F"/>
    <w:rsid w:val="007A152C"/>
    <w:rsid w:val="007A1A74"/>
    <w:rsid w:val="007A1E6D"/>
    <w:rsid w:val="007A266E"/>
    <w:rsid w:val="007A33E2"/>
    <w:rsid w:val="007A65C4"/>
    <w:rsid w:val="007A6CC6"/>
    <w:rsid w:val="007B0EB2"/>
    <w:rsid w:val="007B121A"/>
    <w:rsid w:val="007B175F"/>
    <w:rsid w:val="007B26F7"/>
    <w:rsid w:val="007B27BC"/>
    <w:rsid w:val="007B2C60"/>
    <w:rsid w:val="007B473A"/>
    <w:rsid w:val="007B485E"/>
    <w:rsid w:val="007B549B"/>
    <w:rsid w:val="007B58B0"/>
    <w:rsid w:val="007B60A8"/>
    <w:rsid w:val="007B75AE"/>
    <w:rsid w:val="007B77FF"/>
    <w:rsid w:val="007B7BA9"/>
    <w:rsid w:val="007B7EE1"/>
    <w:rsid w:val="007C09D3"/>
    <w:rsid w:val="007C158F"/>
    <w:rsid w:val="007C23F5"/>
    <w:rsid w:val="007C4DEE"/>
    <w:rsid w:val="007C4ED6"/>
    <w:rsid w:val="007C5A95"/>
    <w:rsid w:val="007C6194"/>
    <w:rsid w:val="007D02BC"/>
    <w:rsid w:val="007D1054"/>
    <w:rsid w:val="007D1DE8"/>
    <w:rsid w:val="007D34D9"/>
    <w:rsid w:val="007D40DF"/>
    <w:rsid w:val="007D4EDD"/>
    <w:rsid w:val="007D5332"/>
    <w:rsid w:val="007D566B"/>
    <w:rsid w:val="007D5789"/>
    <w:rsid w:val="007D60D9"/>
    <w:rsid w:val="007D724C"/>
    <w:rsid w:val="007E04D7"/>
    <w:rsid w:val="007E0D02"/>
    <w:rsid w:val="007E1A9E"/>
    <w:rsid w:val="007E2E67"/>
    <w:rsid w:val="007E2E7B"/>
    <w:rsid w:val="007E3DB9"/>
    <w:rsid w:val="007E4EBB"/>
    <w:rsid w:val="007E4F6B"/>
    <w:rsid w:val="007E5588"/>
    <w:rsid w:val="007E567A"/>
    <w:rsid w:val="007E6099"/>
    <w:rsid w:val="007F0FF2"/>
    <w:rsid w:val="007F3B5B"/>
    <w:rsid w:val="007F3EAE"/>
    <w:rsid w:val="007F5266"/>
    <w:rsid w:val="007F5762"/>
    <w:rsid w:val="007F7CEB"/>
    <w:rsid w:val="0080799B"/>
    <w:rsid w:val="00810B6F"/>
    <w:rsid w:val="008177F4"/>
    <w:rsid w:val="00820893"/>
    <w:rsid w:val="00822CE0"/>
    <w:rsid w:val="00825103"/>
    <w:rsid w:val="00825312"/>
    <w:rsid w:val="00825750"/>
    <w:rsid w:val="0082581D"/>
    <w:rsid w:val="0083129B"/>
    <w:rsid w:val="008338FE"/>
    <w:rsid w:val="00833F06"/>
    <w:rsid w:val="008355E8"/>
    <w:rsid w:val="00836130"/>
    <w:rsid w:val="00836892"/>
    <w:rsid w:val="00837673"/>
    <w:rsid w:val="0084000D"/>
    <w:rsid w:val="008400DA"/>
    <w:rsid w:val="00841AB1"/>
    <w:rsid w:val="008439DA"/>
    <w:rsid w:val="00844046"/>
    <w:rsid w:val="008454A6"/>
    <w:rsid w:val="00846A24"/>
    <w:rsid w:val="00851C1B"/>
    <w:rsid w:val="00852B1F"/>
    <w:rsid w:val="00855075"/>
    <w:rsid w:val="00855B93"/>
    <w:rsid w:val="008575CF"/>
    <w:rsid w:val="008619EB"/>
    <w:rsid w:val="008629FA"/>
    <w:rsid w:val="00863AB6"/>
    <w:rsid w:val="00864465"/>
    <w:rsid w:val="008649F4"/>
    <w:rsid w:val="00864E90"/>
    <w:rsid w:val="00865465"/>
    <w:rsid w:val="008655F5"/>
    <w:rsid w:val="00865CD7"/>
    <w:rsid w:val="008678DF"/>
    <w:rsid w:val="0087040C"/>
    <w:rsid w:val="0087125A"/>
    <w:rsid w:val="00871CD6"/>
    <w:rsid w:val="0087210A"/>
    <w:rsid w:val="008728EA"/>
    <w:rsid w:val="008731D4"/>
    <w:rsid w:val="008734D1"/>
    <w:rsid w:val="00874744"/>
    <w:rsid w:val="00874ECF"/>
    <w:rsid w:val="008761D0"/>
    <w:rsid w:val="00876613"/>
    <w:rsid w:val="00876878"/>
    <w:rsid w:val="00881202"/>
    <w:rsid w:val="00881A55"/>
    <w:rsid w:val="00883EE1"/>
    <w:rsid w:val="0088475F"/>
    <w:rsid w:val="00887069"/>
    <w:rsid w:val="00887643"/>
    <w:rsid w:val="008905B3"/>
    <w:rsid w:val="00890F50"/>
    <w:rsid w:val="0089309D"/>
    <w:rsid w:val="00893A21"/>
    <w:rsid w:val="0089530F"/>
    <w:rsid w:val="00896FE4"/>
    <w:rsid w:val="00897E08"/>
    <w:rsid w:val="008A01D5"/>
    <w:rsid w:val="008A0AD2"/>
    <w:rsid w:val="008A290F"/>
    <w:rsid w:val="008A2B83"/>
    <w:rsid w:val="008A3BFF"/>
    <w:rsid w:val="008A3EC9"/>
    <w:rsid w:val="008A44B1"/>
    <w:rsid w:val="008A5B9F"/>
    <w:rsid w:val="008A5F0A"/>
    <w:rsid w:val="008A60E1"/>
    <w:rsid w:val="008A6DFE"/>
    <w:rsid w:val="008A751C"/>
    <w:rsid w:val="008A7CC8"/>
    <w:rsid w:val="008A7F88"/>
    <w:rsid w:val="008B2726"/>
    <w:rsid w:val="008C1067"/>
    <w:rsid w:val="008C1AA9"/>
    <w:rsid w:val="008C49B9"/>
    <w:rsid w:val="008C577E"/>
    <w:rsid w:val="008C60B2"/>
    <w:rsid w:val="008C68F1"/>
    <w:rsid w:val="008C71D4"/>
    <w:rsid w:val="008D0092"/>
    <w:rsid w:val="008D0223"/>
    <w:rsid w:val="008D0B43"/>
    <w:rsid w:val="008D189E"/>
    <w:rsid w:val="008D1BF4"/>
    <w:rsid w:val="008D2E33"/>
    <w:rsid w:val="008D3183"/>
    <w:rsid w:val="008D53E3"/>
    <w:rsid w:val="008D5669"/>
    <w:rsid w:val="008D58D2"/>
    <w:rsid w:val="008D6E88"/>
    <w:rsid w:val="008D7739"/>
    <w:rsid w:val="008E00C6"/>
    <w:rsid w:val="008E0AE7"/>
    <w:rsid w:val="008E12DF"/>
    <w:rsid w:val="008E14A8"/>
    <w:rsid w:val="008E2C86"/>
    <w:rsid w:val="008E31DE"/>
    <w:rsid w:val="008E3B45"/>
    <w:rsid w:val="008E3FC6"/>
    <w:rsid w:val="008F0254"/>
    <w:rsid w:val="008F0AF5"/>
    <w:rsid w:val="008F2F92"/>
    <w:rsid w:val="008F317B"/>
    <w:rsid w:val="008F4492"/>
    <w:rsid w:val="008F5059"/>
    <w:rsid w:val="008F560A"/>
    <w:rsid w:val="008F5884"/>
    <w:rsid w:val="008F771F"/>
    <w:rsid w:val="00902ED7"/>
    <w:rsid w:val="009039ED"/>
    <w:rsid w:val="00904B07"/>
    <w:rsid w:val="00904B60"/>
    <w:rsid w:val="00904B84"/>
    <w:rsid w:val="009050BA"/>
    <w:rsid w:val="009050F0"/>
    <w:rsid w:val="00905A78"/>
    <w:rsid w:val="00905D54"/>
    <w:rsid w:val="009060EE"/>
    <w:rsid w:val="0090622E"/>
    <w:rsid w:val="00906C54"/>
    <w:rsid w:val="009079F8"/>
    <w:rsid w:val="0091078B"/>
    <w:rsid w:val="00912690"/>
    <w:rsid w:val="009135DC"/>
    <w:rsid w:val="009139FB"/>
    <w:rsid w:val="00913C47"/>
    <w:rsid w:val="00920DF5"/>
    <w:rsid w:val="00921803"/>
    <w:rsid w:val="00923D8F"/>
    <w:rsid w:val="009251D4"/>
    <w:rsid w:val="00925B10"/>
    <w:rsid w:val="00926503"/>
    <w:rsid w:val="00932BF7"/>
    <w:rsid w:val="00933317"/>
    <w:rsid w:val="00934D67"/>
    <w:rsid w:val="00935A48"/>
    <w:rsid w:val="00941CC1"/>
    <w:rsid w:val="009428E7"/>
    <w:rsid w:val="00943E98"/>
    <w:rsid w:val="00945B56"/>
    <w:rsid w:val="00946AED"/>
    <w:rsid w:val="0094715A"/>
    <w:rsid w:val="00947A6D"/>
    <w:rsid w:val="00950B88"/>
    <w:rsid w:val="00950FA4"/>
    <w:rsid w:val="009514E3"/>
    <w:rsid w:val="00954786"/>
    <w:rsid w:val="00954799"/>
    <w:rsid w:val="0096021F"/>
    <w:rsid w:val="0096141E"/>
    <w:rsid w:val="009619F6"/>
    <w:rsid w:val="00962584"/>
    <w:rsid w:val="00963144"/>
    <w:rsid w:val="009638E6"/>
    <w:rsid w:val="00964A2F"/>
    <w:rsid w:val="00965446"/>
    <w:rsid w:val="009655B9"/>
    <w:rsid w:val="009726D8"/>
    <w:rsid w:val="0097369A"/>
    <w:rsid w:val="009740FD"/>
    <w:rsid w:val="00974C9C"/>
    <w:rsid w:val="009806DB"/>
    <w:rsid w:val="00981F90"/>
    <w:rsid w:val="00985C30"/>
    <w:rsid w:val="00985F0B"/>
    <w:rsid w:val="009935AC"/>
    <w:rsid w:val="00995350"/>
    <w:rsid w:val="00997A9E"/>
    <w:rsid w:val="009A0277"/>
    <w:rsid w:val="009A340C"/>
    <w:rsid w:val="009A3597"/>
    <w:rsid w:val="009A3E85"/>
    <w:rsid w:val="009A53BD"/>
    <w:rsid w:val="009A6F15"/>
    <w:rsid w:val="009A77FB"/>
    <w:rsid w:val="009B0DF0"/>
    <w:rsid w:val="009B1598"/>
    <w:rsid w:val="009B2421"/>
    <w:rsid w:val="009B2964"/>
    <w:rsid w:val="009B4AE6"/>
    <w:rsid w:val="009B58B7"/>
    <w:rsid w:val="009C063F"/>
    <w:rsid w:val="009C3EC1"/>
    <w:rsid w:val="009C6F25"/>
    <w:rsid w:val="009C792D"/>
    <w:rsid w:val="009D03E1"/>
    <w:rsid w:val="009D073E"/>
    <w:rsid w:val="009D0979"/>
    <w:rsid w:val="009D27C4"/>
    <w:rsid w:val="009D319C"/>
    <w:rsid w:val="009D3E8B"/>
    <w:rsid w:val="009D4453"/>
    <w:rsid w:val="009D7308"/>
    <w:rsid w:val="009D7B46"/>
    <w:rsid w:val="009D7FCC"/>
    <w:rsid w:val="009E0A8D"/>
    <w:rsid w:val="009E32D7"/>
    <w:rsid w:val="009E3B4E"/>
    <w:rsid w:val="009E4C20"/>
    <w:rsid w:val="009E51C9"/>
    <w:rsid w:val="009E5C10"/>
    <w:rsid w:val="009E62CD"/>
    <w:rsid w:val="009F0331"/>
    <w:rsid w:val="009F0CFB"/>
    <w:rsid w:val="009F1B14"/>
    <w:rsid w:val="009F3168"/>
    <w:rsid w:val="009F3DAD"/>
    <w:rsid w:val="009F40A3"/>
    <w:rsid w:val="009F54DD"/>
    <w:rsid w:val="009F71A8"/>
    <w:rsid w:val="009F76DB"/>
    <w:rsid w:val="00A0123C"/>
    <w:rsid w:val="00A01575"/>
    <w:rsid w:val="00A03D59"/>
    <w:rsid w:val="00A0418C"/>
    <w:rsid w:val="00A042BA"/>
    <w:rsid w:val="00A05AE7"/>
    <w:rsid w:val="00A07B2F"/>
    <w:rsid w:val="00A11561"/>
    <w:rsid w:val="00A116C3"/>
    <w:rsid w:val="00A11721"/>
    <w:rsid w:val="00A11EC5"/>
    <w:rsid w:val="00A13605"/>
    <w:rsid w:val="00A172CA"/>
    <w:rsid w:val="00A21B28"/>
    <w:rsid w:val="00A2779F"/>
    <w:rsid w:val="00A32C3B"/>
    <w:rsid w:val="00A33B53"/>
    <w:rsid w:val="00A33DB0"/>
    <w:rsid w:val="00A34929"/>
    <w:rsid w:val="00A34B65"/>
    <w:rsid w:val="00A3613F"/>
    <w:rsid w:val="00A363AC"/>
    <w:rsid w:val="00A37843"/>
    <w:rsid w:val="00A4057C"/>
    <w:rsid w:val="00A411AD"/>
    <w:rsid w:val="00A4491B"/>
    <w:rsid w:val="00A44E9F"/>
    <w:rsid w:val="00A45F4F"/>
    <w:rsid w:val="00A51C3E"/>
    <w:rsid w:val="00A5226A"/>
    <w:rsid w:val="00A53E95"/>
    <w:rsid w:val="00A55373"/>
    <w:rsid w:val="00A55850"/>
    <w:rsid w:val="00A55D4E"/>
    <w:rsid w:val="00A56756"/>
    <w:rsid w:val="00A567F2"/>
    <w:rsid w:val="00A600A9"/>
    <w:rsid w:val="00A6052C"/>
    <w:rsid w:val="00A60FD7"/>
    <w:rsid w:val="00A6147E"/>
    <w:rsid w:val="00A61560"/>
    <w:rsid w:val="00A616CE"/>
    <w:rsid w:val="00A62C3B"/>
    <w:rsid w:val="00A647B1"/>
    <w:rsid w:val="00A704C9"/>
    <w:rsid w:val="00A708D7"/>
    <w:rsid w:val="00A718FD"/>
    <w:rsid w:val="00A74229"/>
    <w:rsid w:val="00A75AA9"/>
    <w:rsid w:val="00A76AEC"/>
    <w:rsid w:val="00A830AF"/>
    <w:rsid w:val="00A8561A"/>
    <w:rsid w:val="00A8650F"/>
    <w:rsid w:val="00A87A13"/>
    <w:rsid w:val="00A87FB8"/>
    <w:rsid w:val="00A92902"/>
    <w:rsid w:val="00A93D62"/>
    <w:rsid w:val="00A94040"/>
    <w:rsid w:val="00A97EC7"/>
    <w:rsid w:val="00AA045E"/>
    <w:rsid w:val="00AA0991"/>
    <w:rsid w:val="00AA55B7"/>
    <w:rsid w:val="00AA5B9E"/>
    <w:rsid w:val="00AA6845"/>
    <w:rsid w:val="00AA763E"/>
    <w:rsid w:val="00AB0F17"/>
    <w:rsid w:val="00AB0FD6"/>
    <w:rsid w:val="00AB1721"/>
    <w:rsid w:val="00AB2407"/>
    <w:rsid w:val="00AB3744"/>
    <w:rsid w:val="00AB38B9"/>
    <w:rsid w:val="00AB40C5"/>
    <w:rsid w:val="00AB48CC"/>
    <w:rsid w:val="00AB4CD6"/>
    <w:rsid w:val="00AB53DF"/>
    <w:rsid w:val="00AB5AA9"/>
    <w:rsid w:val="00AB5FAC"/>
    <w:rsid w:val="00AB6F45"/>
    <w:rsid w:val="00AC2A4C"/>
    <w:rsid w:val="00AC43EF"/>
    <w:rsid w:val="00AC4ACB"/>
    <w:rsid w:val="00AC5125"/>
    <w:rsid w:val="00AC6CC7"/>
    <w:rsid w:val="00AD122F"/>
    <w:rsid w:val="00AD169A"/>
    <w:rsid w:val="00AD2133"/>
    <w:rsid w:val="00AD2844"/>
    <w:rsid w:val="00AD4D46"/>
    <w:rsid w:val="00AD51CB"/>
    <w:rsid w:val="00AD538C"/>
    <w:rsid w:val="00AD5E4E"/>
    <w:rsid w:val="00AE06E2"/>
    <w:rsid w:val="00AE246A"/>
    <w:rsid w:val="00AE638C"/>
    <w:rsid w:val="00AE63D5"/>
    <w:rsid w:val="00AE6418"/>
    <w:rsid w:val="00AF019C"/>
    <w:rsid w:val="00AF128E"/>
    <w:rsid w:val="00AF31B8"/>
    <w:rsid w:val="00AF368C"/>
    <w:rsid w:val="00AF4EE3"/>
    <w:rsid w:val="00AF552E"/>
    <w:rsid w:val="00AF6454"/>
    <w:rsid w:val="00AF6549"/>
    <w:rsid w:val="00AF68F6"/>
    <w:rsid w:val="00B0128A"/>
    <w:rsid w:val="00B030FA"/>
    <w:rsid w:val="00B0366A"/>
    <w:rsid w:val="00B04F6D"/>
    <w:rsid w:val="00B0647C"/>
    <w:rsid w:val="00B0661F"/>
    <w:rsid w:val="00B0664D"/>
    <w:rsid w:val="00B07E5C"/>
    <w:rsid w:val="00B116C9"/>
    <w:rsid w:val="00B118AC"/>
    <w:rsid w:val="00B11C93"/>
    <w:rsid w:val="00B12591"/>
    <w:rsid w:val="00B128C1"/>
    <w:rsid w:val="00B16371"/>
    <w:rsid w:val="00B1676D"/>
    <w:rsid w:val="00B16DBB"/>
    <w:rsid w:val="00B17605"/>
    <w:rsid w:val="00B23453"/>
    <w:rsid w:val="00B241F0"/>
    <w:rsid w:val="00B245DF"/>
    <w:rsid w:val="00B24766"/>
    <w:rsid w:val="00B24897"/>
    <w:rsid w:val="00B2763D"/>
    <w:rsid w:val="00B27FDE"/>
    <w:rsid w:val="00B30558"/>
    <w:rsid w:val="00B31D2C"/>
    <w:rsid w:val="00B32362"/>
    <w:rsid w:val="00B323CD"/>
    <w:rsid w:val="00B37E93"/>
    <w:rsid w:val="00B37F66"/>
    <w:rsid w:val="00B40A1D"/>
    <w:rsid w:val="00B40F3F"/>
    <w:rsid w:val="00B420C0"/>
    <w:rsid w:val="00B42317"/>
    <w:rsid w:val="00B43DC3"/>
    <w:rsid w:val="00B52E03"/>
    <w:rsid w:val="00B53E64"/>
    <w:rsid w:val="00B55323"/>
    <w:rsid w:val="00B5546D"/>
    <w:rsid w:val="00B567E4"/>
    <w:rsid w:val="00B57034"/>
    <w:rsid w:val="00B57B1A"/>
    <w:rsid w:val="00B60D2F"/>
    <w:rsid w:val="00B61057"/>
    <w:rsid w:val="00B62C0B"/>
    <w:rsid w:val="00B6559E"/>
    <w:rsid w:val="00B738F1"/>
    <w:rsid w:val="00B75451"/>
    <w:rsid w:val="00B76591"/>
    <w:rsid w:val="00B76AAE"/>
    <w:rsid w:val="00B77C0D"/>
    <w:rsid w:val="00B80413"/>
    <w:rsid w:val="00B80667"/>
    <w:rsid w:val="00B809E4"/>
    <w:rsid w:val="00B811F7"/>
    <w:rsid w:val="00B83FA1"/>
    <w:rsid w:val="00B841F5"/>
    <w:rsid w:val="00B850DD"/>
    <w:rsid w:val="00B85E6D"/>
    <w:rsid w:val="00B86272"/>
    <w:rsid w:val="00B86F98"/>
    <w:rsid w:val="00B878EE"/>
    <w:rsid w:val="00B9011A"/>
    <w:rsid w:val="00B91B33"/>
    <w:rsid w:val="00B9206D"/>
    <w:rsid w:val="00B92BDD"/>
    <w:rsid w:val="00B92CB1"/>
    <w:rsid w:val="00B94135"/>
    <w:rsid w:val="00B95AE9"/>
    <w:rsid w:val="00B95CC0"/>
    <w:rsid w:val="00B95FEF"/>
    <w:rsid w:val="00B96415"/>
    <w:rsid w:val="00B96918"/>
    <w:rsid w:val="00B969D2"/>
    <w:rsid w:val="00B9727A"/>
    <w:rsid w:val="00BA003F"/>
    <w:rsid w:val="00BA1EA1"/>
    <w:rsid w:val="00BA2D9D"/>
    <w:rsid w:val="00BA44ED"/>
    <w:rsid w:val="00BA5DC6"/>
    <w:rsid w:val="00BA6196"/>
    <w:rsid w:val="00BA7387"/>
    <w:rsid w:val="00BA7FAF"/>
    <w:rsid w:val="00BB01FD"/>
    <w:rsid w:val="00BB040C"/>
    <w:rsid w:val="00BB0796"/>
    <w:rsid w:val="00BB182C"/>
    <w:rsid w:val="00BB1A3C"/>
    <w:rsid w:val="00BB264C"/>
    <w:rsid w:val="00BB4E79"/>
    <w:rsid w:val="00BB76A2"/>
    <w:rsid w:val="00BC33C8"/>
    <w:rsid w:val="00BC33E3"/>
    <w:rsid w:val="00BC3A34"/>
    <w:rsid w:val="00BC3E44"/>
    <w:rsid w:val="00BC41BF"/>
    <w:rsid w:val="00BC448D"/>
    <w:rsid w:val="00BC4AC9"/>
    <w:rsid w:val="00BC6196"/>
    <w:rsid w:val="00BC62EC"/>
    <w:rsid w:val="00BC66B6"/>
    <w:rsid w:val="00BC6B8E"/>
    <w:rsid w:val="00BC6D8C"/>
    <w:rsid w:val="00BC79AB"/>
    <w:rsid w:val="00BD0756"/>
    <w:rsid w:val="00BD08F1"/>
    <w:rsid w:val="00BD0DD5"/>
    <w:rsid w:val="00BD1263"/>
    <w:rsid w:val="00BD1769"/>
    <w:rsid w:val="00BD6A1B"/>
    <w:rsid w:val="00BD749F"/>
    <w:rsid w:val="00BE0BF3"/>
    <w:rsid w:val="00BE1041"/>
    <w:rsid w:val="00BE1438"/>
    <w:rsid w:val="00BE15A8"/>
    <w:rsid w:val="00BE3240"/>
    <w:rsid w:val="00BE34E4"/>
    <w:rsid w:val="00BE50E7"/>
    <w:rsid w:val="00BF1819"/>
    <w:rsid w:val="00BF1D35"/>
    <w:rsid w:val="00BF30A4"/>
    <w:rsid w:val="00BF4051"/>
    <w:rsid w:val="00BF510A"/>
    <w:rsid w:val="00BF6323"/>
    <w:rsid w:val="00BF6516"/>
    <w:rsid w:val="00BF68AD"/>
    <w:rsid w:val="00BF747D"/>
    <w:rsid w:val="00BF7717"/>
    <w:rsid w:val="00C00D5A"/>
    <w:rsid w:val="00C015AD"/>
    <w:rsid w:val="00C02042"/>
    <w:rsid w:val="00C02DE3"/>
    <w:rsid w:val="00C02EC6"/>
    <w:rsid w:val="00C042DD"/>
    <w:rsid w:val="00C0601C"/>
    <w:rsid w:val="00C0681C"/>
    <w:rsid w:val="00C06826"/>
    <w:rsid w:val="00C079C5"/>
    <w:rsid w:val="00C13917"/>
    <w:rsid w:val="00C13D23"/>
    <w:rsid w:val="00C15685"/>
    <w:rsid w:val="00C15D67"/>
    <w:rsid w:val="00C15DA5"/>
    <w:rsid w:val="00C16B77"/>
    <w:rsid w:val="00C16BE8"/>
    <w:rsid w:val="00C17F9B"/>
    <w:rsid w:val="00C2223C"/>
    <w:rsid w:val="00C22AD2"/>
    <w:rsid w:val="00C23BF0"/>
    <w:rsid w:val="00C27474"/>
    <w:rsid w:val="00C27B57"/>
    <w:rsid w:val="00C301F3"/>
    <w:rsid w:val="00C305F2"/>
    <w:rsid w:val="00C34006"/>
    <w:rsid w:val="00C35B5F"/>
    <w:rsid w:val="00C36B4C"/>
    <w:rsid w:val="00C36D5B"/>
    <w:rsid w:val="00C37328"/>
    <w:rsid w:val="00C4087F"/>
    <w:rsid w:val="00C42099"/>
    <w:rsid w:val="00C426B1"/>
    <w:rsid w:val="00C432DC"/>
    <w:rsid w:val="00C43F7F"/>
    <w:rsid w:val="00C44217"/>
    <w:rsid w:val="00C44E21"/>
    <w:rsid w:val="00C45B46"/>
    <w:rsid w:val="00C4605E"/>
    <w:rsid w:val="00C462B0"/>
    <w:rsid w:val="00C46311"/>
    <w:rsid w:val="00C46567"/>
    <w:rsid w:val="00C4758A"/>
    <w:rsid w:val="00C509D9"/>
    <w:rsid w:val="00C53F60"/>
    <w:rsid w:val="00C541D2"/>
    <w:rsid w:val="00C54569"/>
    <w:rsid w:val="00C55C4E"/>
    <w:rsid w:val="00C55F2F"/>
    <w:rsid w:val="00C57312"/>
    <w:rsid w:val="00C57937"/>
    <w:rsid w:val="00C61252"/>
    <w:rsid w:val="00C61EA9"/>
    <w:rsid w:val="00C62766"/>
    <w:rsid w:val="00C62A75"/>
    <w:rsid w:val="00C633F2"/>
    <w:rsid w:val="00C63731"/>
    <w:rsid w:val="00C63AFC"/>
    <w:rsid w:val="00C63BBB"/>
    <w:rsid w:val="00C6556C"/>
    <w:rsid w:val="00C6563A"/>
    <w:rsid w:val="00C66160"/>
    <w:rsid w:val="00C677B0"/>
    <w:rsid w:val="00C67CE3"/>
    <w:rsid w:val="00C710CE"/>
    <w:rsid w:val="00C71323"/>
    <w:rsid w:val="00C721AC"/>
    <w:rsid w:val="00C72638"/>
    <w:rsid w:val="00C73B86"/>
    <w:rsid w:val="00C73C7E"/>
    <w:rsid w:val="00C75B2F"/>
    <w:rsid w:val="00C77AD7"/>
    <w:rsid w:val="00C8024D"/>
    <w:rsid w:val="00C80A22"/>
    <w:rsid w:val="00C820D4"/>
    <w:rsid w:val="00C82396"/>
    <w:rsid w:val="00C8267D"/>
    <w:rsid w:val="00C8328A"/>
    <w:rsid w:val="00C83615"/>
    <w:rsid w:val="00C83997"/>
    <w:rsid w:val="00C83E72"/>
    <w:rsid w:val="00C8443F"/>
    <w:rsid w:val="00C85478"/>
    <w:rsid w:val="00C86A88"/>
    <w:rsid w:val="00C86CC9"/>
    <w:rsid w:val="00C86F56"/>
    <w:rsid w:val="00C90BE0"/>
    <w:rsid w:val="00C90D6A"/>
    <w:rsid w:val="00C9291A"/>
    <w:rsid w:val="00C951F3"/>
    <w:rsid w:val="00C958C2"/>
    <w:rsid w:val="00CA247E"/>
    <w:rsid w:val="00CA2DD6"/>
    <w:rsid w:val="00CA61ED"/>
    <w:rsid w:val="00CA6AC0"/>
    <w:rsid w:val="00CA6D21"/>
    <w:rsid w:val="00CB2191"/>
    <w:rsid w:val="00CB34B5"/>
    <w:rsid w:val="00CB4C92"/>
    <w:rsid w:val="00CB56B8"/>
    <w:rsid w:val="00CC0C44"/>
    <w:rsid w:val="00CC0FA4"/>
    <w:rsid w:val="00CC1447"/>
    <w:rsid w:val="00CC2FE6"/>
    <w:rsid w:val="00CC2FF7"/>
    <w:rsid w:val="00CC3A77"/>
    <w:rsid w:val="00CC3F45"/>
    <w:rsid w:val="00CC5128"/>
    <w:rsid w:val="00CC72B6"/>
    <w:rsid w:val="00CD3480"/>
    <w:rsid w:val="00CD3C81"/>
    <w:rsid w:val="00CD4FDD"/>
    <w:rsid w:val="00CD61B8"/>
    <w:rsid w:val="00CE001F"/>
    <w:rsid w:val="00CE12FE"/>
    <w:rsid w:val="00CE1B84"/>
    <w:rsid w:val="00CE1BA1"/>
    <w:rsid w:val="00CE2CC3"/>
    <w:rsid w:val="00CE3846"/>
    <w:rsid w:val="00CE3C85"/>
    <w:rsid w:val="00CE4909"/>
    <w:rsid w:val="00CE4F51"/>
    <w:rsid w:val="00CE5FD8"/>
    <w:rsid w:val="00CE7F12"/>
    <w:rsid w:val="00CF0D30"/>
    <w:rsid w:val="00CF21FB"/>
    <w:rsid w:val="00CF671B"/>
    <w:rsid w:val="00D006FF"/>
    <w:rsid w:val="00D012BF"/>
    <w:rsid w:val="00D01682"/>
    <w:rsid w:val="00D01DE7"/>
    <w:rsid w:val="00D0218D"/>
    <w:rsid w:val="00D02687"/>
    <w:rsid w:val="00D02BB4"/>
    <w:rsid w:val="00D036B9"/>
    <w:rsid w:val="00D03F0D"/>
    <w:rsid w:val="00D05A29"/>
    <w:rsid w:val="00D066A9"/>
    <w:rsid w:val="00D0699C"/>
    <w:rsid w:val="00D10034"/>
    <w:rsid w:val="00D11D57"/>
    <w:rsid w:val="00D1211E"/>
    <w:rsid w:val="00D12A5F"/>
    <w:rsid w:val="00D13107"/>
    <w:rsid w:val="00D13245"/>
    <w:rsid w:val="00D13781"/>
    <w:rsid w:val="00D143DE"/>
    <w:rsid w:val="00D166AD"/>
    <w:rsid w:val="00D16C68"/>
    <w:rsid w:val="00D178AD"/>
    <w:rsid w:val="00D20135"/>
    <w:rsid w:val="00D23B55"/>
    <w:rsid w:val="00D23F82"/>
    <w:rsid w:val="00D25FB5"/>
    <w:rsid w:val="00D27F6D"/>
    <w:rsid w:val="00D30D9F"/>
    <w:rsid w:val="00D31277"/>
    <w:rsid w:val="00D32B63"/>
    <w:rsid w:val="00D35A94"/>
    <w:rsid w:val="00D4015A"/>
    <w:rsid w:val="00D40C40"/>
    <w:rsid w:val="00D418A8"/>
    <w:rsid w:val="00D42553"/>
    <w:rsid w:val="00D42F9A"/>
    <w:rsid w:val="00D42FA6"/>
    <w:rsid w:val="00D434E5"/>
    <w:rsid w:val="00D4365F"/>
    <w:rsid w:val="00D44223"/>
    <w:rsid w:val="00D45CDB"/>
    <w:rsid w:val="00D5166D"/>
    <w:rsid w:val="00D555D7"/>
    <w:rsid w:val="00D55980"/>
    <w:rsid w:val="00D574B2"/>
    <w:rsid w:val="00D57859"/>
    <w:rsid w:val="00D60902"/>
    <w:rsid w:val="00D60AD1"/>
    <w:rsid w:val="00D61026"/>
    <w:rsid w:val="00D618ED"/>
    <w:rsid w:val="00D63C7A"/>
    <w:rsid w:val="00D642B3"/>
    <w:rsid w:val="00D70607"/>
    <w:rsid w:val="00D70DD8"/>
    <w:rsid w:val="00D72565"/>
    <w:rsid w:val="00D72B94"/>
    <w:rsid w:val="00D72D08"/>
    <w:rsid w:val="00D76473"/>
    <w:rsid w:val="00D777A4"/>
    <w:rsid w:val="00D81C9B"/>
    <w:rsid w:val="00D8381C"/>
    <w:rsid w:val="00D87671"/>
    <w:rsid w:val="00D87678"/>
    <w:rsid w:val="00D87D89"/>
    <w:rsid w:val="00D9069B"/>
    <w:rsid w:val="00D91CB0"/>
    <w:rsid w:val="00D923EF"/>
    <w:rsid w:val="00D94B82"/>
    <w:rsid w:val="00D955A1"/>
    <w:rsid w:val="00D96929"/>
    <w:rsid w:val="00D96DCF"/>
    <w:rsid w:val="00D97611"/>
    <w:rsid w:val="00DA1D2A"/>
    <w:rsid w:val="00DA2529"/>
    <w:rsid w:val="00DA3460"/>
    <w:rsid w:val="00DA398D"/>
    <w:rsid w:val="00DA5F86"/>
    <w:rsid w:val="00DA620A"/>
    <w:rsid w:val="00DA6D04"/>
    <w:rsid w:val="00DB0114"/>
    <w:rsid w:val="00DB0530"/>
    <w:rsid w:val="00DB130A"/>
    <w:rsid w:val="00DB1810"/>
    <w:rsid w:val="00DB2EBB"/>
    <w:rsid w:val="00DB4453"/>
    <w:rsid w:val="00DB45CB"/>
    <w:rsid w:val="00DC035F"/>
    <w:rsid w:val="00DC059F"/>
    <w:rsid w:val="00DC10A1"/>
    <w:rsid w:val="00DC4047"/>
    <w:rsid w:val="00DC433E"/>
    <w:rsid w:val="00DC4740"/>
    <w:rsid w:val="00DC5223"/>
    <w:rsid w:val="00DC52DD"/>
    <w:rsid w:val="00DC61E2"/>
    <w:rsid w:val="00DC655F"/>
    <w:rsid w:val="00DC672C"/>
    <w:rsid w:val="00DD0B59"/>
    <w:rsid w:val="00DD0C58"/>
    <w:rsid w:val="00DD2745"/>
    <w:rsid w:val="00DD43DC"/>
    <w:rsid w:val="00DD76E2"/>
    <w:rsid w:val="00DD7EBD"/>
    <w:rsid w:val="00DE17E7"/>
    <w:rsid w:val="00DE3505"/>
    <w:rsid w:val="00DE43A5"/>
    <w:rsid w:val="00DE6A22"/>
    <w:rsid w:val="00DE792A"/>
    <w:rsid w:val="00DE7D5C"/>
    <w:rsid w:val="00DF243E"/>
    <w:rsid w:val="00DF36F4"/>
    <w:rsid w:val="00DF4F9C"/>
    <w:rsid w:val="00DF613E"/>
    <w:rsid w:val="00DF62B6"/>
    <w:rsid w:val="00DF687F"/>
    <w:rsid w:val="00DF6D51"/>
    <w:rsid w:val="00E0114C"/>
    <w:rsid w:val="00E013C9"/>
    <w:rsid w:val="00E029CC"/>
    <w:rsid w:val="00E0526C"/>
    <w:rsid w:val="00E05BC8"/>
    <w:rsid w:val="00E06857"/>
    <w:rsid w:val="00E06A51"/>
    <w:rsid w:val="00E07225"/>
    <w:rsid w:val="00E134D6"/>
    <w:rsid w:val="00E1476D"/>
    <w:rsid w:val="00E16662"/>
    <w:rsid w:val="00E174A6"/>
    <w:rsid w:val="00E17D04"/>
    <w:rsid w:val="00E2278B"/>
    <w:rsid w:val="00E2287A"/>
    <w:rsid w:val="00E23896"/>
    <w:rsid w:val="00E2443E"/>
    <w:rsid w:val="00E24A16"/>
    <w:rsid w:val="00E27853"/>
    <w:rsid w:val="00E3191A"/>
    <w:rsid w:val="00E31F0C"/>
    <w:rsid w:val="00E3440A"/>
    <w:rsid w:val="00E35362"/>
    <w:rsid w:val="00E35E23"/>
    <w:rsid w:val="00E361DD"/>
    <w:rsid w:val="00E3709F"/>
    <w:rsid w:val="00E37E7E"/>
    <w:rsid w:val="00E40DA4"/>
    <w:rsid w:val="00E414AC"/>
    <w:rsid w:val="00E415BA"/>
    <w:rsid w:val="00E4190E"/>
    <w:rsid w:val="00E42DFF"/>
    <w:rsid w:val="00E43971"/>
    <w:rsid w:val="00E46E24"/>
    <w:rsid w:val="00E46F28"/>
    <w:rsid w:val="00E47BE0"/>
    <w:rsid w:val="00E47D0B"/>
    <w:rsid w:val="00E50642"/>
    <w:rsid w:val="00E5155C"/>
    <w:rsid w:val="00E51BE6"/>
    <w:rsid w:val="00E5209F"/>
    <w:rsid w:val="00E5350F"/>
    <w:rsid w:val="00E53F17"/>
    <w:rsid w:val="00E5409F"/>
    <w:rsid w:val="00E543BC"/>
    <w:rsid w:val="00E550C2"/>
    <w:rsid w:val="00E55D5B"/>
    <w:rsid w:val="00E56B21"/>
    <w:rsid w:val="00E57526"/>
    <w:rsid w:val="00E577E1"/>
    <w:rsid w:val="00E62F7C"/>
    <w:rsid w:val="00E632FF"/>
    <w:rsid w:val="00E63F5C"/>
    <w:rsid w:val="00E63FEC"/>
    <w:rsid w:val="00E64F90"/>
    <w:rsid w:val="00E6504E"/>
    <w:rsid w:val="00E660C7"/>
    <w:rsid w:val="00E67BCA"/>
    <w:rsid w:val="00E70335"/>
    <w:rsid w:val="00E7166F"/>
    <w:rsid w:val="00E75746"/>
    <w:rsid w:val="00E75DC6"/>
    <w:rsid w:val="00E7754D"/>
    <w:rsid w:val="00E77CC2"/>
    <w:rsid w:val="00E80366"/>
    <w:rsid w:val="00E82100"/>
    <w:rsid w:val="00E829D7"/>
    <w:rsid w:val="00E84048"/>
    <w:rsid w:val="00E86CB1"/>
    <w:rsid w:val="00E86EBA"/>
    <w:rsid w:val="00E91614"/>
    <w:rsid w:val="00E92981"/>
    <w:rsid w:val="00E93520"/>
    <w:rsid w:val="00E93C2A"/>
    <w:rsid w:val="00E97362"/>
    <w:rsid w:val="00E977A7"/>
    <w:rsid w:val="00EA1DBD"/>
    <w:rsid w:val="00EA2D14"/>
    <w:rsid w:val="00EA54F4"/>
    <w:rsid w:val="00EA6A96"/>
    <w:rsid w:val="00EA6B71"/>
    <w:rsid w:val="00EA7908"/>
    <w:rsid w:val="00EA7D70"/>
    <w:rsid w:val="00EB0B84"/>
    <w:rsid w:val="00EB186A"/>
    <w:rsid w:val="00EB2313"/>
    <w:rsid w:val="00EB4659"/>
    <w:rsid w:val="00EB620A"/>
    <w:rsid w:val="00EB6919"/>
    <w:rsid w:val="00EC0882"/>
    <w:rsid w:val="00EC1582"/>
    <w:rsid w:val="00EC1F32"/>
    <w:rsid w:val="00EC20CC"/>
    <w:rsid w:val="00EC5C56"/>
    <w:rsid w:val="00EC637D"/>
    <w:rsid w:val="00ED0380"/>
    <w:rsid w:val="00ED14AB"/>
    <w:rsid w:val="00ED16E2"/>
    <w:rsid w:val="00ED191C"/>
    <w:rsid w:val="00ED234B"/>
    <w:rsid w:val="00ED3260"/>
    <w:rsid w:val="00ED32D6"/>
    <w:rsid w:val="00ED45CC"/>
    <w:rsid w:val="00ED53DA"/>
    <w:rsid w:val="00ED5C53"/>
    <w:rsid w:val="00ED6430"/>
    <w:rsid w:val="00ED6DDC"/>
    <w:rsid w:val="00EE1602"/>
    <w:rsid w:val="00EE37A5"/>
    <w:rsid w:val="00EE3F21"/>
    <w:rsid w:val="00EE48A4"/>
    <w:rsid w:val="00EE4E71"/>
    <w:rsid w:val="00EE504B"/>
    <w:rsid w:val="00EE61B7"/>
    <w:rsid w:val="00EE61FC"/>
    <w:rsid w:val="00EE6488"/>
    <w:rsid w:val="00EE657F"/>
    <w:rsid w:val="00EE66D2"/>
    <w:rsid w:val="00EE7B3B"/>
    <w:rsid w:val="00EF0F57"/>
    <w:rsid w:val="00EF10E1"/>
    <w:rsid w:val="00EF1D5E"/>
    <w:rsid w:val="00EF1E9E"/>
    <w:rsid w:val="00EF3C02"/>
    <w:rsid w:val="00EF5FA8"/>
    <w:rsid w:val="00EF62F8"/>
    <w:rsid w:val="00EF67FC"/>
    <w:rsid w:val="00EF7AC7"/>
    <w:rsid w:val="00F010BC"/>
    <w:rsid w:val="00F01276"/>
    <w:rsid w:val="00F02168"/>
    <w:rsid w:val="00F021FA"/>
    <w:rsid w:val="00F02D63"/>
    <w:rsid w:val="00F03350"/>
    <w:rsid w:val="00F0480B"/>
    <w:rsid w:val="00F04929"/>
    <w:rsid w:val="00F05C59"/>
    <w:rsid w:val="00F06806"/>
    <w:rsid w:val="00F11934"/>
    <w:rsid w:val="00F119E5"/>
    <w:rsid w:val="00F1269E"/>
    <w:rsid w:val="00F1354A"/>
    <w:rsid w:val="00F140DE"/>
    <w:rsid w:val="00F146A1"/>
    <w:rsid w:val="00F14EA6"/>
    <w:rsid w:val="00F150F4"/>
    <w:rsid w:val="00F152F8"/>
    <w:rsid w:val="00F15559"/>
    <w:rsid w:val="00F15E20"/>
    <w:rsid w:val="00F166A2"/>
    <w:rsid w:val="00F167FC"/>
    <w:rsid w:val="00F172FE"/>
    <w:rsid w:val="00F21BF1"/>
    <w:rsid w:val="00F21E4E"/>
    <w:rsid w:val="00F221BE"/>
    <w:rsid w:val="00F22D36"/>
    <w:rsid w:val="00F23627"/>
    <w:rsid w:val="00F23B44"/>
    <w:rsid w:val="00F2515E"/>
    <w:rsid w:val="00F30A1E"/>
    <w:rsid w:val="00F31745"/>
    <w:rsid w:val="00F32EFE"/>
    <w:rsid w:val="00F34CE0"/>
    <w:rsid w:val="00F4060B"/>
    <w:rsid w:val="00F40A16"/>
    <w:rsid w:val="00F4276E"/>
    <w:rsid w:val="00F428AE"/>
    <w:rsid w:val="00F43BCE"/>
    <w:rsid w:val="00F4422A"/>
    <w:rsid w:val="00F44405"/>
    <w:rsid w:val="00F4491A"/>
    <w:rsid w:val="00F470CB"/>
    <w:rsid w:val="00F51570"/>
    <w:rsid w:val="00F52170"/>
    <w:rsid w:val="00F55DAB"/>
    <w:rsid w:val="00F56287"/>
    <w:rsid w:val="00F56BAB"/>
    <w:rsid w:val="00F56BB1"/>
    <w:rsid w:val="00F5781A"/>
    <w:rsid w:val="00F614DD"/>
    <w:rsid w:val="00F62E97"/>
    <w:rsid w:val="00F63BE0"/>
    <w:rsid w:val="00F64209"/>
    <w:rsid w:val="00F64F5B"/>
    <w:rsid w:val="00F66E19"/>
    <w:rsid w:val="00F728C4"/>
    <w:rsid w:val="00F741FB"/>
    <w:rsid w:val="00F75223"/>
    <w:rsid w:val="00F7642A"/>
    <w:rsid w:val="00F80EDD"/>
    <w:rsid w:val="00F850D1"/>
    <w:rsid w:val="00F8739B"/>
    <w:rsid w:val="00F87D56"/>
    <w:rsid w:val="00F9261C"/>
    <w:rsid w:val="00F93163"/>
    <w:rsid w:val="00F93BF5"/>
    <w:rsid w:val="00F93FB6"/>
    <w:rsid w:val="00F944C6"/>
    <w:rsid w:val="00F95267"/>
    <w:rsid w:val="00F96F24"/>
    <w:rsid w:val="00FA02AD"/>
    <w:rsid w:val="00FA0F5D"/>
    <w:rsid w:val="00FA197F"/>
    <w:rsid w:val="00FA1E34"/>
    <w:rsid w:val="00FA4349"/>
    <w:rsid w:val="00FA5085"/>
    <w:rsid w:val="00FA5E1C"/>
    <w:rsid w:val="00FA6968"/>
    <w:rsid w:val="00FA6AD1"/>
    <w:rsid w:val="00FA759A"/>
    <w:rsid w:val="00FB0ED2"/>
    <w:rsid w:val="00FB445F"/>
    <w:rsid w:val="00FB7E73"/>
    <w:rsid w:val="00FC1E1F"/>
    <w:rsid w:val="00FC23F9"/>
    <w:rsid w:val="00FC56E6"/>
    <w:rsid w:val="00FC6084"/>
    <w:rsid w:val="00FC6D40"/>
    <w:rsid w:val="00FD2053"/>
    <w:rsid w:val="00FD2F5C"/>
    <w:rsid w:val="00FD35D8"/>
    <w:rsid w:val="00FD4194"/>
    <w:rsid w:val="00FD72B6"/>
    <w:rsid w:val="00FD7387"/>
    <w:rsid w:val="00FE017F"/>
    <w:rsid w:val="00FE0680"/>
    <w:rsid w:val="00FE2555"/>
    <w:rsid w:val="00FE28AC"/>
    <w:rsid w:val="00FE6356"/>
    <w:rsid w:val="00FE7764"/>
    <w:rsid w:val="00FE7FCE"/>
    <w:rsid w:val="00FF10EE"/>
    <w:rsid w:val="00FF1FBC"/>
    <w:rsid w:val="00FF2ADD"/>
    <w:rsid w:val="00FF2AE4"/>
    <w:rsid w:val="00FF6E5E"/>
    <w:rsid w:val="671439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12A44D"/>
  <w15:chartTrackingRefBased/>
  <w15:docId w15:val="{C47D798B-E16E-4130-80E3-EFAD061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7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98"/>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B86F9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B86F98"/>
    <w:pPr>
      <w:keepNext/>
      <w:numPr>
        <w:ilvl w:val="1"/>
        <w:numId w:val="4"/>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86F98"/>
    <w:pPr>
      <w:keepNext/>
      <w:numPr>
        <w:ilvl w:val="2"/>
        <w:numId w:val="4"/>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B86F98"/>
    <w:pPr>
      <w:keepNext/>
      <w:numPr>
        <w:ilvl w:val="3"/>
        <w:numId w:val="4"/>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B86F98"/>
    <w:pPr>
      <w:keepNext/>
      <w:numPr>
        <w:ilvl w:val="4"/>
        <w:numId w:val="4"/>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B86F98"/>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B86F98"/>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B86F98"/>
    <w:pPr>
      <w:numPr>
        <w:ilvl w:val="7"/>
        <w:numId w:val="4"/>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B86F9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6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F98"/>
  </w:style>
  <w:style w:type="paragraph" w:customStyle="1" w:styleId="ParaNum">
    <w:name w:val="ParaNum"/>
    <w:basedOn w:val="Normal"/>
    <w:link w:val="ParaNumChar1"/>
    <w:rsid w:val="00B86F98"/>
    <w:pPr>
      <w:numPr>
        <w:numId w:val="3"/>
      </w:numPr>
      <w:tabs>
        <w:tab w:val="clear" w:pos="1080"/>
        <w:tab w:val="num" w:pos="1440"/>
      </w:tabs>
      <w:spacing w:after="120"/>
    </w:pPr>
  </w:style>
  <w:style w:type="paragraph" w:styleId="EndnoteText">
    <w:name w:val="endnote text"/>
    <w:basedOn w:val="Normal"/>
    <w:link w:val="EndnoteTextChar"/>
    <w:semiHidden/>
    <w:rsid w:val="00B86F98"/>
    <w:rPr>
      <w:sz w:val="20"/>
    </w:rPr>
  </w:style>
  <w:style w:type="character" w:styleId="EndnoteReference">
    <w:name w:val="endnote reference"/>
    <w:semiHidden/>
    <w:rsid w:val="00B86F98"/>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B86F9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86F98"/>
    <w:rPr>
      <w:rFonts w:ascii="Times New Roman" w:hAnsi="Times New Roman"/>
      <w:dstrike w:val="0"/>
      <w:color w:val="auto"/>
      <w:sz w:val="20"/>
      <w:vertAlign w:val="superscript"/>
    </w:rPr>
  </w:style>
  <w:style w:type="paragraph" w:styleId="TOC1">
    <w:name w:val="toc 1"/>
    <w:basedOn w:val="Normal"/>
    <w:next w:val="Normal"/>
    <w:rsid w:val="00B86F98"/>
    <w:pPr>
      <w:tabs>
        <w:tab w:val="left" w:pos="360"/>
        <w:tab w:val="right" w:leader="dot" w:pos="9360"/>
      </w:tabs>
      <w:suppressAutoHyphens/>
      <w:ind w:left="360" w:right="720" w:hanging="360"/>
    </w:pPr>
    <w:rPr>
      <w:caps/>
      <w:noProof/>
    </w:rPr>
  </w:style>
  <w:style w:type="paragraph" w:styleId="TOC2">
    <w:name w:val="toc 2"/>
    <w:basedOn w:val="Normal"/>
    <w:next w:val="Normal"/>
    <w:rsid w:val="00B86F98"/>
    <w:pPr>
      <w:tabs>
        <w:tab w:val="left" w:pos="720"/>
        <w:tab w:val="right" w:leader="dot" w:pos="9360"/>
      </w:tabs>
      <w:suppressAutoHyphens/>
      <w:ind w:left="720" w:right="720" w:hanging="360"/>
    </w:pPr>
    <w:rPr>
      <w:noProof/>
    </w:rPr>
  </w:style>
  <w:style w:type="paragraph" w:styleId="TOC3">
    <w:name w:val="toc 3"/>
    <w:basedOn w:val="Normal"/>
    <w:next w:val="Normal"/>
    <w:rsid w:val="00B86F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6F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6F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6F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6F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6F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6F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6F98"/>
    <w:pPr>
      <w:tabs>
        <w:tab w:val="right" w:pos="9360"/>
      </w:tabs>
      <w:suppressAutoHyphens/>
    </w:pPr>
  </w:style>
  <w:style w:type="character" w:customStyle="1" w:styleId="EquationCaption">
    <w:name w:val="_Equation Caption"/>
    <w:rsid w:val="00B86F98"/>
  </w:style>
  <w:style w:type="paragraph" w:styleId="Header">
    <w:name w:val="header"/>
    <w:basedOn w:val="Normal"/>
    <w:link w:val="HeaderChar"/>
    <w:autoRedefine/>
    <w:rsid w:val="00B86F98"/>
    <w:pPr>
      <w:tabs>
        <w:tab w:val="center" w:pos="4680"/>
        <w:tab w:val="right" w:pos="9360"/>
      </w:tabs>
    </w:pPr>
    <w:rPr>
      <w:b/>
    </w:rPr>
  </w:style>
  <w:style w:type="paragraph" w:styleId="Footer">
    <w:name w:val="footer"/>
    <w:basedOn w:val="Normal"/>
    <w:link w:val="FooterChar"/>
    <w:uiPriority w:val="99"/>
    <w:rsid w:val="00B86F98"/>
    <w:pPr>
      <w:tabs>
        <w:tab w:val="center" w:pos="4320"/>
        <w:tab w:val="right" w:pos="8640"/>
      </w:tabs>
    </w:pPr>
  </w:style>
  <w:style w:type="character" w:styleId="PageNumber">
    <w:name w:val="page number"/>
    <w:basedOn w:val="DefaultParagraphFont"/>
    <w:rsid w:val="00B86F98"/>
  </w:style>
  <w:style w:type="paragraph" w:styleId="BlockText">
    <w:name w:val="Block Text"/>
    <w:basedOn w:val="Normal"/>
    <w:rsid w:val="00B86F98"/>
    <w:pPr>
      <w:spacing w:after="240"/>
      <w:ind w:left="1440" w:right="1440"/>
    </w:pPr>
  </w:style>
  <w:style w:type="paragraph" w:customStyle="1" w:styleId="Paratitle">
    <w:name w:val="Para title"/>
    <w:basedOn w:val="Normal"/>
    <w:rsid w:val="00B86F98"/>
    <w:pPr>
      <w:tabs>
        <w:tab w:val="center" w:pos="9270"/>
      </w:tabs>
      <w:spacing w:after="240"/>
    </w:pPr>
    <w:rPr>
      <w:spacing w:val="-2"/>
    </w:rPr>
  </w:style>
  <w:style w:type="paragraph" w:customStyle="1" w:styleId="Bullet">
    <w:name w:val="Bullet"/>
    <w:basedOn w:val="Normal"/>
    <w:rsid w:val="00B86F98"/>
    <w:pPr>
      <w:tabs>
        <w:tab w:val="left" w:pos="2160"/>
      </w:tabs>
      <w:spacing w:after="220"/>
      <w:ind w:left="2160" w:hanging="720"/>
    </w:pPr>
  </w:style>
  <w:style w:type="paragraph" w:customStyle="1" w:styleId="TableFormat">
    <w:name w:val="TableFormat"/>
    <w:basedOn w:val="Bullet"/>
    <w:rsid w:val="00B86F98"/>
    <w:pPr>
      <w:tabs>
        <w:tab w:val="clear" w:pos="2160"/>
        <w:tab w:val="left" w:pos="5040"/>
      </w:tabs>
      <w:ind w:left="5040" w:hanging="3600"/>
    </w:pPr>
  </w:style>
  <w:style w:type="paragraph" w:customStyle="1" w:styleId="TOCTitle">
    <w:name w:val="TOC Title"/>
    <w:basedOn w:val="Normal"/>
    <w:rsid w:val="00B86F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6F98"/>
    <w:pPr>
      <w:jc w:val="center"/>
    </w:pPr>
    <w:rPr>
      <w:rFonts w:ascii="Times New Roman Bold" w:hAnsi="Times New Roman Bold"/>
      <w:b/>
      <w:bCs/>
      <w:caps/>
      <w:szCs w:val="22"/>
    </w:rPr>
  </w:style>
  <w:style w:type="character" w:styleId="Hyperlink">
    <w:name w:val="Hyperlink"/>
    <w:rsid w:val="00B86F98"/>
    <w:rPr>
      <w:color w:val="0000FF"/>
      <w:u w:val="single"/>
    </w:rPr>
  </w:style>
  <w:style w:type="character" w:customStyle="1" w:styleId="FooterChar">
    <w:name w:val="Footer Char"/>
    <w:link w:val="Footer"/>
    <w:uiPriority w:val="99"/>
    <w:rsid w:val="00B86F9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071F30"/>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071F30"/>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071F30"/>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 Char,Heading 4 Char1 Char Char,Heading 4 Char1 Char1,Heading 4 Char2 Char"/>
    <w:link w:val="Heading4"/>
    <w:rsid w:val="00071F30"/>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071F30"/>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071F30"/>
    <w:rPr>
      <w:b/>
      <w:snapToGrid w:val="0"/>
      <w:kern w:val="28"/>
      <w:sz w:val="22"/>
    </w:rPr>
  </w:style>
  <w:style w:type="character" w:customStyle="1" w:styleId="Heading7Char">
    <w:name w:val="Heading 7 Char"/>
    <w:link w:val="Heading7"/>
    <w:rsid w:val="00071F30"/>
    <w:rPr>
      <w:b/>
      <w:snapToGrid w:val="0"/>
      <w:kern w:val="28"/>
      <w:sz w:val="22"/>
    </w:rPr>
  </w:style>
  <w:style w:type="character" w:customStyle="1" w:styleId="Heading8Char">
    <w:name w:val="Heading 8 Char"/>
    <w:link w:val="Heading8"/>
    <w:rsid w:val="00071F30"/>
    <w:rPr>
      <w:b/>
      <w:snapToGrid w:val="0"/>
      <w:kern w:val="28"/>
      <w:sz w:val="22"/>
    </w:rPr>
  </w:style>
  <w:style w:type="character" w:customStyle="1" w:styleId="Heading9Char">
    <w:name w:val="Heading 9 Char"/>
    <w:aliases w:val="9 Char,Heading 9.table Char,Titre 9 Char,Topic Char,t Char,table Char"/>
    <w:link w:val="Heading9"/>
    <w:rsid w:val="00071F30"/>
    <w:rPr>
      <w:b/>
      <w:snapToGrid w:val="0"/>
      <w:kern w:val="28"/>
      <w:sz w:val="22"/>
    </w:rPr>
  </w:style>
  <w:style w:type="character" w:customStyle="1" w:styleId="EndnoteTextChar">
    <w:name w:val="Endnote Text Char"/>
    <w:link w:val="EndnoteText"/>
    <w:semiHidden/>
    <w:rsid w:val="00071F30"/>
    <w:rPr>
      <w:snapToGrid w:val="0"/>
      <w:kern w:val="28"/>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071F30"/>
  </w:style>
  <w:style w:type="character" w:customStyle="1" w:styleId="HeaderChar">
    <w:name w:val="Header Char"/>
    <w:link w:val="Header"/>
    <w:rsid w:val="00071F30"/>
    <w:rPr>
      <w:b/>
      <w:snapToGrid w:val="0"/>
      <w:kern w:val="28"/>
      <w:sz w:val="22"/>
    </w:rPr>
  </w:style>
  <w:style w:type="paragraph" w:styleId="BalloonText">
    <w:name w:val="Balloon Text"/>
    <w:basedOn w:val="Normal"/>
    <w:link w:val="BalloonTextChar"/>
    <w:rsid w:val="00071F30"/>
    <w:rPr>
      <w:rFonts w:ascii="Segoe UI" w:hAnsi="Segoe UI"/>
      <w:sz w:val="18"/>
      <w:lang w:val="x-none" w:eastAsia="x-none"/>
    </w:rPr>
  </w:style>
  <w:style w:type="character" w:customStyle="1" w:styleId="BalloonTextChar">
    <w:name w:val="Balloon Text Char"/>
    <w:link w:val="BalloonText"/>
    <w:rsid w:val="00071F30"/>
    <w:rPr>
      <w:rFonts w:ascii="Segoe UI" w:hAnsi="Segoe UI"/>
      <w:snapToGrid w:val="0"/>
      <w:kern w:val="28"/>
      <w:sz w:val="18"/>
      <w:lang w:val="x-none" w:eastAsia="x-none"/>
    </w:rPr>
  </w:style>
  <w:style w:type="paragraph" w:styleId="CommentText">
    <w:name w:val="annotation text"/>
    <w:basedOn w:val="Normal"/>
    <w:link w:val="CommentTextChar"/>
    <w:rsid w:val="00071F30"/>
    <w:rPr>
      <w:sz w:val="20"/>
    </w:rPr>
  </w:style>
  <w:style w:type="character" w:customStyle="1" w:styleId="CommentTextChar">
    <w:name w:val="Comment Text Char"/>
    <w:link w:val="CommentText"/>
    <w:rsid w:val="00071F30"/>
    <w:rPr>
      <w:snapToGrid w:val="0"/>
      <w:kern w:val="28"/>
    </w:rPr>
  </w:style>
  <w:style w:type="paragraph" w:styleId="CommentSubject">
    <w:name w:val="annotation subject"/>
    <w:basedOn w:val="CommentText"/>
    <w:next w:val="CommentText"/>
    <w:link w:val="CommentSubjectChar"/>
    <w:uiPriority w:val="99"/>
    <w:rsid w:val="00071F30"/>
    <w:rPr>
      <w:b/>
      <w:bCs/>
    </w:rPr>
  </w:style>
  <w:style w:type="character" w:customStyle="1" w:styleId="CommentSubjectChar">
    <w:name w:val="Comment Subject Char"/>
    <w:link w:val="CommentSubject"/>
    <w:uiPriority w:val="99"/>
    <w:rsid w:val="00071F30"/>
    <w:rPr>
      <w:b/>
      <w:bCs/>
      <w:snapToGrid w:val="0"/>
      <w:kern w:val="28"/>
    </w:rPr>
  </w:style>
  <w:style w:type="character" w:customStyle="1" w:styleId="Mention1">
    <w:name w:val="Mention1"/>
    <w:uiPriority w:val="99"/>
    <w:semiHidden/>
    <w:unhideWhenUsed/>
    <w:rsid w:val="00071F30"/>
    <w:rPr>
      <w:color w:val="2B579A"/>
      <w:shd w:val="clear" w:color="auto" w:fill="E6E6E6"/>
    </w:rPr>
  </w:style>
  <w:style w:type="character" w:customStyle="1" w:styleId="ParaNumChar1">
    <w:name w:val="ParaNum Char1"/>
    <w:link w:val="ParaNum"/>
    <w:locked/>
    <w:rsid w:val="00336ED3"/>
    <w:rPr>
      <w:snapToGrid w:val="0"/>
      <w:kern w:val="28"/>
      <w:sz w:val="22"/>
    </w:rPr>
  </w:style>
  <w:style w:type="character" w:styleId="CommentReference">
    <w:name w:val="annotation reference"/>
    <w:uiPriority w:val="99"/>
    <w:rsid w:val="00071F30"/>
    <w:rPr>
      <w:sz w:val="16"/>
    </w:rPr>
  </w:style>
  <w:style w:type="paragraph" w:customStyle="1" w:styleId="ColorfulShading-Accent11">
    <w:name w:val="Colorful Shading - Accent 11"/>
    <w:hidden/>
    <w:uiPriority w:val="99"/>
    <w:semiHidden/>
    <w:rsid w:val="00071F30"/>
    <w:rPr>
      <w:kern w:val="28"/>
      <w:sz w:val="22"/>
    </w:rPr>
  </w:style>
  <w:style w:type="paragraph" w:styleId="NormalWeb">
    <w:name w:val="Normal (Web)"/>
    <w:basedOn w:val="Normal"/>
    <w:uiPriority w:val="99"/>
    <w:unhideWhenUsed/>
    <w:rsid w:val="00071F30"/>
    <w:pPr>
      <w:widowControl/>
      <w:spacing w:before="100" w:beforeAutospacing="1" w:after="100" w:afterAutospacing="1"/>
    </w:pPr>
    <w:rPr>
      <w:kern w:val="0"/>
      <w:sz w:val="24"/>
      <w:szCs w:val="24"/>
    </w:rPr>
  </w:style>
  <w:style w:type="paragraph" w:styleId="BodyText">
    <w:name w:val="Body Text"/>
    <w:basedOn w:val="Normal"/>
    <w:link w:val="BodyTextChar"/>
    <w:rsid w:val="00071F30"/>
    <w:pPr>
      <w:spacing w:after="120"/>
      <w:contextualSpacing/>
    </w:pPr>
  </w:style>
  <w:style w:type="character" w:customStyle="1" w:styleId="BodyTextChar">
    <w:name w:val="Body Text Char"/>
    <w:link w:val="BodyText"/>
    <w:rsid w:val="00071F30"/>
    <w:rPr>
      <w:snapToGrid w:val="0"/>
      <w:kern w:val="28"/>
      <w:sz w:val="22"/>
    </w:rPr>
  </w:style>
  <w:style w:type="table" w:styleId="MediumList2Accent2">
    <w:name w:val="Medium List 2 Accent 2"/>
    <w:basedOn w:val="TableNormal"/>
    <w:uiPriority w:val="71"/>
    <w:unhideWhenUsed/>
    <w:rsid w:val="00071F30"/>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paragraph" w:customStyle="1" w:styleId="ColorfulShading-Accent12">
    <w:name w:val="Colorful Shading - Accent 12"/>
    <w:hidden/>
    <w:uiPriority w:val="62"/>
    <w:rsid w:val="00071F30"/>
    <w:rPr>
      <w:kern w:val="28"/>
      <w:sz w:val="22"/>
    </w:rPr>
  </w:style>
  <w:style w:type="numbering" w:customStyle="1" w:styleId="StyleBulletedLatinCourierNewLeft075Hanging0252">
    <w:name w:val="Style Bulleted (Latin) Courier New Left:  0.75&quot; Hanging:  0.25&quot;...2"/>
    <w:rsid w:val="00071F30"/>
    <w:pPr>
      <w:numPr>
        <w:numId w:val="9"/>
      </w:numPr>
    </w:pPr>
  </w:style>
  <w:style w:type="character" w:styleId="Emphasis">
    <w:name w:val="Emphasis"/>
    <w:uiPriority w:val="20"/>
    <w:qFormat/>
    <w:rsid w:val="00071F30"/>
    <w:rPr>
      <w:i/>
      <w:iCs/>
    </w:rPr>
  </w:style>
  <w:style w:type="character" w:customStyle="1" w:styleId="UnresolvedMention1">
    <w:name w:val="Unresolved Mention1"/>
    <w:uiPriority w:val="99"/>
    <w:semiHidden/>
    <w:unhideWhenUsed/>
    <w:rsid w:val="00071F30"/>
    <w:rPr>
      <w:color w:val="808080"/>
      <w:shd w:val="clear" w:color="auto" w:fill="E6E6E6"/>
    </w:rPr>
  </w:style>
  <w:style w:type="character" w:styleId="FollowedHyperlink">
    <w:name w:val="FollowedHyperlink"/>
    <w:rsid w:val="00071F30"/>
    <w:rPr>
      <w:color w:val="954F72"/>
      <w:u w:val="single"/>
    </w:rPr>
  </w:style>
  <w:style w:type="character" w:customStyle="1" w:styleId="ParaNumChar">
    <w:name w:val="ParaNum Char"/>
    <w:locked/>
    <w:rsid w:val="00071F30"/>
    <w:rPr>
      <w:snapToGrid w:val="0"/>
      <w:kern w:val="28"/>
      <w:sz w:val="22"/>
    </w:rPr>
  </w:style>
  <w:style w:type="paragraph" w:styleId="BodyText2">
    <w:name w:val="Body Text 2"/>
    <w:basedOn w:val="Normal"/>
    <w:link w:val="BodyText2Char"/>
    <w:rsid w:val="00071F30"/>
    <w:pPr>
      <w:spacing w:after="120"/>
    </w:pPr>
  </w:style>
  <w:style w:type="character" w:customStyle="1" w:styleId="BodyText2Char">
    <w:name w:val="Body Text 2 Char"/>
    <w:link w:val="BodyText2"/>
    <w:rsid w:val="00071F30"/>
    <w:rPr>
      <w:snapToGrid w:val="0"/>
      <w:kern w:val="28"/>
      <w:sz w:val="22"/>
    </w:rPr>
  </w:style>
  <w:style w:type="paragraph" w:styleId="Revision">
    <w:name w:val="Revision"/>
    <w:hidden/>
    <w:rsid w:val="00071F30"/>
    <w:rPr>
      <w:snapToGrid w:val="0"/>
      <w:kern w:val="28"/>
      <w:sz w:val="22"/>
    </w:rPr>
  </w:style>
  <w:style w:type="character" w:customStyle="1" w:styleId="UnresolvedMention2">
    <w:name w:val="Unresolved Mention2"/>
    <w:basedOn w:val="DefaultParagraphFont"/>
    <w:uiPriority w:val="99"/>
    <w:semiHidden/>
    <w:unhideWhenUsed/>
    <w:rsid w:val="007C09D3"/>
    <w:rPr>
      <w:color w:val="605E5C"/>
      <w:shd w:val="clear" w:color="auto" w:fill="E1DFDD"/>
    </w:rPr>
  </w:style>
  <w:style w:type="paragraph" w:styleId="BodyTextIndent2">
    <w:name w:val="Body Text Indent 2"/>
    <w:basedOn w:val="Normal"/>
    <w:link w:val="BodyTextIndent2Char"/>
    <w:rsid w:val="001F73F9"/>
    <w:pPr>
      <w:spacing w:after="120" w:line="480" w:lineRule="auto"/>
      <w:ind w:left="360"/>
    </w:pPr>
  </w:style>
  <w:style w:type="character" w:customStyle="1" w:styleId="BodyTextIndent2Char">
    <w:name w:val="Body Text Indent 2 Char"/>
    <w:basedOn w:val="DefaultParagraphFont"/>
    <w:link w:val="BodyTextIndent2"/>
    <w:rsid w:val="001F73F9"/>
    <w:rPr>
      <w:snapToGrid w:val="0"/>
      <w:kern w:val="28"/>
      <w:sz w:val="22"/>
    </w:rPr>
  </w:style>
  <w:style w:type="character" w:customStyle="1" w:styleId="documentbody">
    <w:name w:val="documentbody"/>
    <w:basedOn w:val="DefaultParagraphFont"/>
    <w:rsid w:val="001F73F9"/>
  </w:style>
  <w:style w:type="paragraph" w:styleId="Caption">
    <w:name w:val="caption"/>
    <w:basedOn w:val="Normal"/>
    <w:next w:val="Normal"/>
    <w:semiHidden/>
    <w:unhideWhenUsed/>
    <w:qFormat/>
    <w:rsid w:val="00213486"/>
    <w:pPr>
      <w:spacing w:after="200"/>
    </w:pPr>
    <w:rPr>
      <w:i/>
      <w:iCs/>
      <w:color w:val="44546A" w:themeColor="text2"/>
      <w:sz w:val="18"/>
      <w:szCs w:val="18"/>
    </w:rPr>
  </w:style>
  <w:style w:type="paragraph" w:customStyle="1" w:styleId="ChecklistBullet">
    <w:name w:val="Checklist_Bullet"/>
    <w:basedOn w:val="Normal"/>
    <w:rsid w:val="00213486"/>
    <w:pPr>
      <w:keepLines/>
      <w:widowControl/>
      <w:tabs>
        <w:tab w:val="num" w:pos="1080"/>
      </w:tabs>
      <w:spacing w:after="120" w:line="240" w:lineRule="atLeast"/>
      <w:ind w:right="346"/>
    </w:pPr>
    <w:rPr>
      <w:snapToGrid/>
      <w:spacing w:val="-2"/>
      <w:kern w:val="0"/>
      <w:sz w:val="24"/>
    </w:rPr>
  </w:style>
  <w:style w:type="character" w:customStyle="1" w:styleId="Footnote">
    <w:name w:val="Footnote"/>
    <w:basedOn w:val="DefaultParagraphFont"/>
    <w:rsid w:val="00213486"/>
  </w:style>
  <w:style w:type="character" w:customStyle="1" w:styleId="DeltaViewInsertion">
    <w:name w:val="DeltaView Insertion"/>
    <w:rsid w:val="00213486"/>
    <w:rPr>
      <w:color w:val="0000FF"/>
      <w:spacing w:val="0"/>
      <w:u w:val="double"/>
    </w:rPr>
  </w:style>
  <w:style w:type="character" w:customStyle="1" w:styleId="UnresolvedMention3">
    <w:name w:val="Unresolved Mention3"/>
    <w:basedOn w:val="DefaultParagraphFont"/>
    <w:rsid w:val="00D03F0D"/>
    <w:rPr>
      <w:color w:val="605E5C"/>
      <w:shd w:val="clear" w:color="auto" w:fill="E1DFDD"/>
    </w:rPr>
  </w:style>
  <w:style w:type="character" w:customStyle="1" w:styleId="costarpage">
    <w:name w:val="co_starpage"/>
    <w:basedOn w:val="DefaultParagraphFont"/>
    <w:rsid w:val="007B485E"/>
  </w:style>
  <w:style w:type="character" w:customStyle="1" w:styleId="UnresolvedMention4">
    <w:name w:val="Unresolved Mention4"/>
    <w:basedOn w:val="DefaultParagraphFont"/>
    <w:rsid w:val="00495BEE"/>
    <w:rPr>
      <w:color w:val="605E5C"/>
      <w:shd w:val="clear" w:color="auto" w:fill="E1DFDD"/>
    </w:rPr>
  </w:style>
  <w:style w:type="character" w:customStyle="1" w:styleId="UnresolvedMention">
    <w:name w:val="Unresolved Mention"/>
    <w:basedOn w:val="DefaultParagraphFont"/>
    <w:uiPriority w:val="99"/>
    <w:semiHidden/>
    <w:unhideWhenUsed/>
    <w:rsid w:val="00FD35D8"/>
    <w:rPr>
      <w:color w:val="605E5C"/>
      <w:shd w:val="clear" w:color="auto" w:fill="E1DFDD"/>
    </w:rPr>
  </w:style>
  <w:style w:type="character" w:customStyle="1" w:styleId="ParaNumCharChar1">
    <w:name w:val="ParaNum Char Char1"/>
    <w:locked/>
    <w:rsid w:val="00271E66"/>
    <w:rPr>
      <w:rFonts w:eastAsia="Times New Roman" w:cs="Times New Roman"/>
      <w:snapToGrid w:val="0"/>
      <w:kern w:val="28"/>
      <w:sz w:val="22"/>
      <w:szCs w:val="20"/>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3 Char1,Footnote Text Char4 Char1 Char Char"/>
    <w:uiPriority w:val="99"/>
    <w:locked/>
    <w:rsid w:val="00345E2B"/>
    <w:rPr>
      <w:rFonts w:eastAsia="Times New Roman" w:cs="Times New Roman"/>
      <w:sz w:val="20"/>
      <w:szCs w:val="20"/>
    </w:rPr>
  </w:style>
  <w:style w:type="paragraph" w:customStyle="1" w:styleId="Para">
    <w:name w:val="Para#"/>
    <w:basedOn w:val="Normal"/>
    <w:uiPriority w:val="99"/>
    <w:rsid w:val="005008EA"/>
    <w:pPr>
      <w:numPr>
        <w:numId w:val="34"/>
      </w:numPr>
      <w:tabs>
        <w:tab w:val="num" w:pos="720"/>
        <w:tab w:val="clear" w:pos="1080"/>
      </w:tabs>
      <w:spacing w:before="120"/>
      <w:ind w:left="720" w:hanging="720"/>
    </w:pPr>
    <w:rPr>
      <w:rFonts w:eastAsia="Calibri"/>
    </w:rPr>
  </w:style>
  <w:style w:type="character" w:styleId="PlaceholderText">
    <w:name w:val="Placeholder Text"/>
    <w:basedOn w:val="DefaultParagraphFont"/>
    <w:uiPriority w:val="99"/>
    <w:semiHidden/>
    <w:rsid w:val="009E4C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2.fcc.gov/fccUserReg/pages/login.htm" TargetMode="External" /><Relationship Id="rId10" Type="http://schemas.openxmlformats.org/officeDocument/2006/relationships/hyperlink" Target="https://www.census.gov/cgi-bin/sssd/naics/naicsrch?code=517911&amp;search=2017%20NAICS%20Search" TargetMode="External" /><Relationship Id="rId11" Type="http://schemas.openxmlformats.org/officeDocument/2006/relationships/hyperlink" Target="https://factfinder.census.gov/bkmk/table/1.0/en/ECN/2012_US/51SSSZ5//naics~517911" TargetMode="External" /><Relationship Id="rId12" Type="http://schemas.openxmlformats.org/officeDocument/2006/relationships/hyperlink" Target="https://www.census.gov/cgi-bin/sssd/naics/naicsrch?input=517410&amp;search=2017+NAICS+Search&amp;search=2017" TargetMode="External" /><Relationship Id="rId13" Type="http://schemas.openxmlformats.org/officeDocument/2006/relationships/hyperlink" Target="https://factfinder.census.gov/bkmk/table/1.0/en/ECN/2012_US/51SSSZ4//naics~517410" TargetMode="External" /><Relationship Id="rId14" Type="http://schemas.openxmlformats.org/officeDocument/2006/relationships/hyperlink" Target="https://www.census.gov/cgi-bin/sssd/naics/naicsrch?input=517919&amp;search=2017+NAICS+Search&amp;search=2017" TargetMode="External" /><Relationship Id="rId15" Type="http://schemas.openxmlformats.org/officeDocument/2006/relationships/hyperlink" Target="https://factfinder.census.gov/bkmk/table/1.0/en/ECN/2012_US/51SSSZ4//naics~517919" TargetMode="External" /><Relationship Id="rId16" Type="http://schemas.openxmlformats.org/officeDocument/2006/relationships/hyperlink" Target="https://factfinder.census.gov/faces/affhelp/jsf/pages/metadata.xhtml?lang=en&amp;type=ib&amp;id=ib.en./ECN.NAICS2012.517210" TargetMode="External" /><Relationship Id="rId17" Type="http://schemas.openxmlformats.org/officeDocument/2006/relationships/hyperlink" Target="https://factfinder.census.gov/bkmk/table/1.0/en/ECN/2012_US/51SSSZ5//naics~517210" TargetMode="External" /><Relationship Id="rId18" Type="http://schemas.openxmlformats.org/officeDocument/2006/relationships/hyperlink" Target="https://www.census.gov/cgi-bin/sssd/naics/naicsrch?input=515120&amp;search=2017+NAICS+Search&amp;search=2017" TargetMode="External" /><Relationship Id="rId19" Type="http://schemas.openxmlformats.org/officeDocument/2006/relationships/hyperlink" Target="https://factfinder.census.gov/bkmk/table/1.0/en/ECN/2012_US/51SSSZ4//naics~515120" TargetMode="External" /><Relationship Id="rId2" Type="http://schemas.openxmlformats.org/officeDocument/2006/relationships/hyperlink" Target="https://nvlpubs.nist.gov/nistpubs/SpecialPublications/NIST.SP.800-63-3.pdf" TargetMode="External" /><Relationship Id="rId20" Type="http://schemas.openxmlformats.org/officeDocument/2006/relationships/hyperlink" Target="https://docs.fcc.gov/public/attachments/DOC-352168A1.pdf" TargetMode="External" /><Relationship Id="rId21" Type="http://schemas.openxmlformats.org/officeDocument/2006/relationships/hyperlink" Target="http://www.census.gov/cgi-bin/sssd/naics/naicsrch" TargetMode="External" /><Relationship Id="rId22" Type="http://schemas.openxmlformats.org/officeDocument/2006/relationships/hyperlink" Target="https://docs.fcc.gov/public/attachments/DOC-359976A1.pdf" TargetMode="External" /><Relationship Id="rId23" Type="http://schemas.openxmlformats.org/officeDocument/2006/relationships/hyperlink" Target="https://factfinder.census.gov/bkmk/table/1.0/en/ECN/2012_US/51SSSZ4//naics~515112" TargetMode="External" /><Relationship Id="rId24" Type="http://schemas.openxmlformats.org/officeDocument/2006/relationships/hyperlink" Target="https://platform.marketintelligence.spglobal.com/" TargetMode="External" /><Relationship Id="rId25" Type="http://schemas.openxmlformats.org/officeDocument/2006/relationships/hyperlink" Target="https://factfinder.census.gov/bkmk/table/1.0/en/ECN/2012_US/51SSSZ5//naics~517110" TargetMode="External" /><Relationship Id="rId26" Type="http://schemas.openxmlformats.org/officeDocument/2006/relationships/hyperlink" Target="https://www.census.gov/cgi-bin/sssd/naics/naicsrch?code=611110&amp;search=2017%20NAICS%20Search" TargetMode="External" /><Relationship Id="rId27" Type="http://schemas.openxmlformats.org/officeDocument/2006/relationships/hyperlink" Target="https://www.usac.org/wp-content/uploads/about/documents/annual-reports/2017/USAC-2017-Annual-Report.pdf" TargetMode="External" /><Relationship Id="rId28" Type="http://schemas.openxmlformats.org/officeDocument/2006/relationships/hyperlink" Target="https://www.census.gov/cgi-bin/sssd/naics/naicsrch?code=519120&amp;search=2017%20NAICS%20Search" TargetMode="External" /><Relationship Id="rId29" Type="http://schemas.openxmlformats.org/officeDocument/2006/relationships/hyperlink" Target="https://www.census.gov/cgi-bin/sssd/naics/naicsrch?input=621111&amp;search=2012+NAICS+Search&amp;search=2012" TargetMode="External" /><Relationship Id="rId3" Type="http://schemas.openxmlformats.org/officeDocument/2006/relationships/hyperlink" Target="https://cdn.advocacy.sba.gov/wp-content/uploads/2019/09/23172859/Whats-New-With-Small-Business-2019.pdf" TargetMode="External" /><Relationship Id="rId30" Type="http://schemas.openxmlformats.org/officeDocument/2006/relationships/hyperlink" Target="https://factfinder.census.gov/bkmk/table/1.0/en/ECN/2012_US/62SSSZ4//naics~621111" TargetMode="External" /><Relationship Id="rId31" Type="http://schemas.openxmlformats.org/officeDocument/2006/relationships/hyperlink" Target="https://www.census.gov/cgi-bin/sssd/naics/naicsrch?input=621112&amp;search=2012+NAICS+Search&amp;search=2012" TargetMode="External" /><Relationship Id="rId32" Type="http://schemas.openxmlformats.org/officeDocument/2006/relationships/hyperlink" Target="https://factfinder.census.gov/bkmk/table/1.0/en/ECN/2012_US/62SSSZ4//naics~621112" TargetMode="External" /><Relationship Id="rId33" Type="http://schemas.openxmlformats.org/officeDocument/2006/relationships/hyperlink" Target="https://www.census.gov/cgi-bin/sssd/naics/naicsrch?input=621210&amp;search=2012+NAICS+Search&amp;search=2012" TargetMode="External" /><Relationship Id="rId34" Type="http://schemas.openxmlformats.org/officeDocument/2006/relationships/hyperlink" Target="https://factfinder.census.gov/bkmk/table/1.0/en/ECN/2012_US/62SSSZ4//naics~621210" TargetMode="External" /><Relationship Id="rId35" Type="http://schemas.openxmlformats.org/officeDocument/2006/relationships/hyperlink" Target="https://www.census.gov/cgi-bin/sssd/naics/naicsrch?input=621310&amp;search=2012+NAICS+Search&amp;search=2012" TargetMode="External" /><Relationship Id="rId36" Type="http://schemas.openxmlformats.org/officeDocument/2006/relationships/hyperlink" Target="https://factfinder.census.gov/bkmk/table/1.0/en/ECN/2012_US/62SSSZ4//naics~621310" TargetMode="External" /><Relationship Id="rId37" Type="http://schemas.openxmlformats.org/officeDocument/2006/relationships/hyperlink" Target="https://www.census.gov/cgi-bin/sssd/naics/naicsrch?input=621320&amp;search=2012+NAICS+Search&amp;search=2012" TargetMode="External" /><Relationship Id="rId38" Type="http://schemas.openxmlformats.org/officeDocument/2006/relationships/hyperlink" Target="https://factfinder.census.gov/bkmk/table/1.0/en/ECN/2012_US/62SSSZ4//naics~621320" TargetMode="External" /><Relationship Id="rId39" Type="http://schemas.openxmlformats.org/officeDocument/2006/relationships/hyperlink" Target="https://www.census.gov/cgi-bin/sssd/naics/naicsrch?input=621330&amp;search=2012+NAICS+Search&amp;search=2012" TargetMode="External" /><Relationship Id="rId4" Type="http://schemas.openxmlformats.org/officeDocument/2006/relationships/hyperlink" Target="https://www.irs.gov/charities-non-profits/annual-electronic-filing-requirement-for-small-exempt-organizations-form-990-n-e-postcard" TargetMode="External" /><Relationship Id="rId40" Type="http://schemas.openxmlformats.org/officeDocument/2006/relationships/hyperlink" Target="https://factfinder.census.gov/bkmk/table/1.0/en/ECN/2012_US/62SSSZ4//naics~621330" TargetMode="External" /><Relationship Id="rId41" Type="http://schemas.openxmlformats.org/officeDocument/2006/relationships/hyperlink" Target="https://www.census.gov/cgi-bin/sssd/naics/naicsrch?input=621340&amp;search=2012+NAICS+Search&amp;search=2012" TargetMode="External" /><Relationship Id="rId42" Type="http://schemas.openxmlformats.org/officeDocument/2006/relationships/hyperlink" Target="https://factfinder.census.gov/bkmk/table/1.0/en/ECN/2012_US/62SSSZ4//naics~621340" TargetMode="External" /><Relationship Id="rId43" Type="http://schemas.openxmlformats.org/officeDocument/2006/relationships/hyperlink" Target="https://www.census.gov/cgi-bin/sssd/naics/naicsrch?input=621391&amp;search=2012+NAICS+Search&amp;search=2012" TargetMode="External" /><Relationship Id="rId44" Type="http://schemas.openxmlformats.org/officeDocument/2006/relationships/hyperlink" Target="https://factfinder.census.gov/bkmk/table/1.0/en/ECN/2012_US/62SSSZ4//naics~621391" TargetMode="External" /><Relationship Id="rId45" Type="http://schemas.openxmlformats.org/officeDocument/2006/relationships/hyperlink" Target="https://www.census.gov/cgi-bin/sssd/naics/naicsrch?input=621399&amp;search=2012+NAICS+Search&amp;search=2012" TargetMode="External" /><Relationship Id="rId46" Type="http://schemas.openxmlformats.org/officeDocument/2006/relationships/hyperlink" Target="https://factfinder.census.gov/bkmk/table/1.0/en/ECN/2012_US/62SSSZ4//naics~621399" TargetMode="External" /><Relationship Id="rId47" Type="http://schemas.openxmlformats.org/officeDocument/2006/relationships/hyperlink" Target="https://www.census.gov/cgi-bin/sssd/naics/naicsrch?input=621410&amp;search=2012+NAICS+Search&amp;search=2012" TargetMode="External" /><Relationship Id="rId48" Type="http://schemas.openxmlformats.org/officeDocument/2006/relationships/hyperlink" Target="https://factfinder.census.gov/bkmk/table/1.0/en/ECN/2012_US/62SSSZ4//naics~621410" TargetMode="External" /><Relationship Id="rId49" Type="http://schemas.openxmlformats.org/officeDocument/2006/relationships/hyperlink" Target="https://www.census.gov/cgi-bin/sssd/naics/naicsrch?input=621420&amp;search=2012+NAICS+Search&amp;search=2012" TargetMode="External" /><Relationship Id="rId5" Type="http://schemas.openxmlformats.org/officeDocument/2006/relationships/hyperlink" Target="https://www.irs.gov/charities-non-profits/exempt-organizations-business-master-file-extract-eo-bmf" TargetMode="External" /><Relationship Id="rId50" Type="http://schemas.openxmlformats.org/officeDocument/2006/relationships/hyperlink" Target="https://factfinder.census.gov/bkmk/table/1.0/en/ECN/2012_US/62SSSZ4//naics~621420" TargetMode="External" /><Relationship Id="rId51" Type="http://schemas.openxmlformats.org/officeDocument/2006/relationships/hyperlink" Target="https://www.census.gov/cgi-bin/sssd/naics/naicsrch?input=621491&amp;search=2012+NAICS+Search&amp;search=2012" TargetMode="External" /><Relationship Id="rId52" Type="http://schemas.openxmlformats.org/officeDocument/2006/relationships/hyperlink" Target="https://factfinder.census.gov/bkmk/table/1.0/en/ECN/2012_US/62SSSZ4//naics~621491" TargetMode="External" /><Relationship Id="rId53" Type="http://schemas.openxmlformats.org/officeDocument/2006/relationships/hyperlink" Target="https://www.census.gov/cgi-bin/sssd/naics/naicsrch?input=621493&amp;search=2012+NAICS+Search&amp;search=2012" TargetMode="External" /><Relationship Id="rId54" Type="http://schemas.openxmlformats.org/officeDocument/2006/relationships/hyperlink" Target="https://factfinder.census.gov/bkmk/table/1.0/en/ECN/2012_US/62SSSZ4//naics~621493" TargetMode="External" /><Relationship Id="rId55" Type="http://schemas.openxmlformats.org/officeDocument/2006/relationships/hyperlink" Target="https://www.census.gov/cgi-bin/sssd/naics/naicsrch?input=621498&amp;search=2012+NAICS+Search&amp;search=2012" TargetMode="External" /><Relationship Id="rId56" Type="http://schemas.openxmlformats.org/officeDocument/2006/relationships/hyperlink" Target="https://factfinder.census.gov/bkmk/table/1.0/en/ECN/2012_US/62SSSZ4//naics~621498" TargetMode="External" /><Relationship Id="rId57" Type="http://schemas.openxmlformats.org/officeDocument/2006/relationships/hyperlink" Target="https://www.census.gov/cgi-bin/sssd/naics/naicsrch?input=621991&amp;search=2012+NAICS+Search&amp;search=2012" TargetMode="External" /><Relationship Id="rId58" Type="http://schemas.openxmlformats.org/officeDocument/2006/relationships/hyperlink" Target="https://factfinder.census.gov/bkmk/table/1.0/en/ECN/2012_US/62SSSZ4//naics~621991" TargetMode="External" /><Relationship Id="rId59" Type="http://schemas.openxmlformats.org/officeDocument/2006/relationships/hyperlink" Target="https://www.census.gov/cgi-bin/sssd/naics/naicsrch?input=621999&amp;search=2012+NAICS+Search&amp;search=2012" TargetMode="External" /><Relationship Id="rId6" Type="http://schemas.openxmlformats.org/officeDocument/2006/relationships/hyperlink" Target="https://www.census.gov/programs-surveys/cog/about.html" TargetMode="External" /><Relationship Id="rId60" Type="http://schemas.openxmlformats.org/officeDocument/2006/relationships/hyperlink" Target="https://factfinder.census.gov/bkmk/table/1.0/en/ECN/2012_US/62SSSZ4//naics~621999" TargetMode="External" /><Relationship Id="rId61" Type="http://schemas.openxmlformats.org/officeDocument/2006/relationships/hyperlink" Target="https://www.census.gov/cgi-bin/sssd/naics/naicsrch?input=621511&amp;search=2012+NAICS+Search&amp;search=2012" TargetMode="External" /><Relationship Id="rId62" Type="http://schemas.openxmlformats.org/officeDocument/2006/relationships/hyperlink" Target="https://factfinder.census.gov/bkmk/table/1.0/en/ECN/2012_US/62SSSZ4//naics~621511" TargetMode="External" /><Relationship Id="rId63" Type="http://schemas.openxmlformats.org/officeDocument/2006/relationships/hyperlink" Target="https://www.census.gov/cgi-bin/sssd/naics/naicsrch?input=621512&amp;search=2012+NAICS+Search&amp;search=2012" TargetMode="External" /><Relationship Id="rId64" Type="http://schemas.openxmlformats.org/officeDocument/2006/relationships/hyperlink" Target="https://factfinder.census.gov/bkmk/table/1.0/en/ECN/2012_US/62SSSZ4//naics~621512" TargetMode="External" /><Relationship Id="rId65" Type="http://schemas.openxmlformats.org/officeDocument/2006/relationships/hyperlink" Target="https://www.census.gov/cgi-bin/sssd/naics/naicsrch?input=621610&amp;search=2012+NAICS+Search&amp;search=2012" TargetMode="External" /><Relationship Id="rId66" Type="http://schemas.openxmlformats.org/officeDocument/2006/relationships/hyperlink" Target="https://factfinder.census.gov/bkmk/table/1.0/en/ECN/2012_US/62SSSZ4//naics~621610" TargetMode="External" /><Relationship Id="rId67" Type="http://schemas.openxmlformats.org/officeDocument/2006/relationships/hyperlink" Target="https://www.census.gov/cgi-bin/sssd/naics/naicsrch?input=621910&amp;search=2012+NAICS+Search&amp;search=2012" TargetMode="External" /><Relationship Id="rId68" Type="http://schemas.openxmlformats.org/officeDocument/2006/relationships/hyperlink" Target="https://factfinder.census.gov/bkmk/table/1.0/en/ECN/2012_US/62SSSZ4//naics~621910" TargetMode="External" /><Relationship Id="rId69" Type="http://schemas.openxmlformats.org/officeDocument/2006/relationships/hyperlink" Target="https://www.census.gov/cgi-bin/sssd/naics/naicsrch?input=621492&amp;search=2012+NAICS+Search&amp;search=2012" TargetMode="External" /><Relationship Id="rId7" Type="http://schemas.openxmlformats.org/officeDocument/2006/relationships/hyperlink" Target="https://www.census.gov/data/tables/2017/econ/gus/2017-governments.html" TargetMode="External" /><Relationship Id="rId70" Type="http://schemas.openxmlformats.org/officeDocument/2006/relationships/hyperlink" Target="https://factfinder.census.gov/bkmk/table/1.0/en/ECN/2012_US/62SSSZ4//naics~621492" TargetMode="External" /><Relationship Id="rId71" Type="http://schemas.openxmlformats.org/officeDocument/2006/relationships/hyperlink" Target="https://www.census.gov/cgi-bin/sssd/naics/naicsrch?input=622110&amp;search=2012+NAICS+Search&amp;search=2012" TargetMode="External" /><Relationship Id="rId72" Type="http://schemas.openxmlformats.org/officeDocument/2006/relationships/hyperlink" Target="https://factfinder.census.gov/bkmk/table/1.0/en/ECN/2012_US/62SSSZ4//naics~622110" TargetMode="External" /><Relationship Id="rId73" Type="http://schemas.openxmlformats.org/officeDocument/2006/relationships/hyperlink" Target="https://www.census.gov/cgi-bin/sssd/naics/naicsrch?input=622210&amp;search=2012+NAICS+Search&amp;search=2012" TargetMode="External" /><Relationship Id="rId74" Type="http://schemas.openxmlformats.org/officeDocument/2006/relationships/hyperlink" Target="https://factfinder.census.gov/bkmk/table/1.0/en/ECN/2012_US/62SSSZ4//naics~622210" TargetMode="External" /><Relationship Id="rId75" Type="http://schemas.openxmlformats.org/officeDocument/2006/relationships/hyperlink" Target="https://www.census.gov/cgi-bin/sssd/naics/naicsrch?input=622310&amp;search=2012+NAICS+Search&amp;search=2012" TargetMode="External" /><Relationship Id="rId76" Type="http://schemas.openxmlformats.org/officeDocument/2006/relationships/hyperlink" Target="https://factfinder.census.gov/bkmk/table/1.0/en/ECN/2012_US/62SSSZ4//naics~622310" TargetMode="External" /><Relationship Id="rId77" Type="http://schemas.openxmlformats.org/officeDocument/2006/relationships/hyperlink" Target="https://www.census.gov/cgi-bin/sssd/naics/naicsrch?input=624230&amp;search=2012+NAICS+Search&amp;search=2012" TargetMode="External" /><Relationship Id="rId78" Type="http://schemas.openxmlformats.org/officeDocument/2006/relationships/hyperlink" Target="https://factfinder.census.gov/bkmk/table/1.0/en/ECN/2012_US/62SSSZ4//naics~624230" TargetMode="External" /><Relationship Id="rId8" Type="http://schemas.openxmlformats.org/officeDocument/2006/relationships/hyperlink" Target="https://www.census.gov/cgi-bin/sssd/naics/naicsrch?code=517311&amp;search=2017" TargetMode="External" /><Relationship Id="rId9" Type="http://schemas.openxmlformats.org/officeDocument/2006/relationships/hyperlink" Target="https://factfinder.census.gov/bkmk/table/1.0/en/ECN/2012_US/51SSSZ5/naics~51711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